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3C6A" w14:textId="77777777" w:rsidR="0074696E" w:rsidRPr="00B46EED" w:rsidRDefault="00B628F3" w:rsidP="00AD784C">
      <w:pPr>
        <w:pStyle w:val="Spacerparatopoffirstpage"/>
        <w:rPr>
          <w:rFonts w:cs="Arial"/>
        </w:rPr>
      </w:pPr>
      <w:bookmarkStart w:id="0" w:name="_GoBack"/>
      <w:bookmarkEnd w:id="0"/>
      <w:r w:rsidRPr="00B46EED">
        <w:rPr>
          <w:rFonts w:cs="Arial"/>
        </w:rPr>
        <w:drawing>
          <wp:anchor distT="0" distB="0" distL="114300" distR="114300" simplePos="0" relativeHeight="251657728" behindDoc="1" locked="1" layoutInCell="0" allowOverlap="1" wp14:anchorId="54CA8034" wp14:editId="77A528EC">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8632F" w14:textId="77777777" w:rsidR="00A62D44" w:rsidRPr="00B46EED" w:rsidRDefault="00A62D44" w:rsidP="004C6EEE">
      <w:pPr>
        <w:pStyle w:val="Sectionbreakfirstpage"/>
        <w:rPr>
          <w:rFonts w:cs="Arial"/>
        </w:rPr>
        <w:sectPr w:rsidR="00A62D44" w:rsidRPr="00B46EED"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rsidRPr="00B46EED" w14:paraId="768B25FB" w14:textId="77777777" w:rsidTr="00B628F3">
        <w:trPr>
          <w:trHeight w:val="1247"/>
        </w:trPr>
        <w:tc>
          <w:tcPr>
            <w:tcW w:w="8472" w:type="dxa"/>
            <w:shd w:val="clear" w:color="auto" w:fill="auto"/>
            <w:vAlign w:val="bottom"/>
          </w:tcPr>
          <w:p w14:paraId="2EB1D027" w14:textId="5AC0B233" w:rsidR="00AD784C" w:rsidRPr="00B46EED" w:rsidRDefault="00B628F3" w:rsidP="00A91406">
            <w:pPr>
              <w:pStyle w:val="DHHSmainheading"/>
              <w:rPr>
                <w:rFonts w:cs="Arial"/>
              </w:rPr>
            </w:pPr>
            <w:r w:rsidRPr="00B46EED">
              <w:rPr>
                <w:rFonts w:cs="Arial"/>
              </w:rPr>
              <w:t>Victorian Alcohol and Drug Collection VADC Bulletin</w:t>
            </w:r>
            <w:r w:rsidR="00862C02" w:rsidRPr="00B46EED">
              <w:rPr>
                <w:rFonts w:cs="Arial"/>
              </w:rPr>
              <w:t xml:space="preserve"> </w:t>
            </w:r>
            <w:r w:rsidR="00003E30">
              <w:rPr>
                <w:rFonts w:cs="Arial"/>
              </w:rPr>
              <w:t>2020-21</w:t>
            </w:r>
          </w:p>
        </w:tc>
      </w:tr>
      <w:tr w:rsidR="00AD784C" w:rsidRPr="00B46EED" w14:paraId="67862756" w14:textId="77777777" w:rsidTr="00B628F3">
        <w:trPr>
          <w:trHeight w:hRule="exact" w:val="1162"/>
        </w:trPr>
        <w:tc>
          <w:tcPr>
            <w:tcW w:w="8472" w:type="dxa"/>
            <w:shd w:val="clear" w:color="auto" w:fill="auto"/>
            <w:tcMar>
              <w:top w:w="170" w:type="dxa"/>
              <w:bottom w:w="510" w:type="dxa"/>
            </w:tcMar>
          </w:tcPr>
          <w:p w14:paraId="533D08C4" w14:textId="64D5E13E" w:rsidR="00357B4E" w:rsidRPr="00B46EED" w:rsidRDefault="00B628F3" w:rsidP="00357B4E">
            <w:pPr>
              <w:pStyle w:val="DHHSmainsubheading"/>
              <w:rPr>
                <w:rFonts w:cs="Arial"/>
                <w:szCs w:val="28"/>
              </w:rPr>
            </w:pPr>
            <w:r w:rsidRPr="00B46EED">
              <w:rPr>
                <w:rFonts w:cs="Arial"/>
                <w:szCs w:val="28"/>
              </w:rPr>
              <w:t xml:space="preserve">Edition </w:t>
            </w:r>
            <w:r w:rsidR="005744DB" w:rsidRPr="00B46EED">
              <w:rPr>
                <w:rFonts w:cs="Arial"/>
                <w:szCs w:val="28"/>
              </w:rPr>
              <w:t>10</w:t>
            </w:r>
            <w:r w:rsidRPr="00B46EED">
              <w:rPr>
                <w:rFonts w:cs="Arial"/>
                <w:szCs w:val="28"/>
              </w:rPr>
              <w:t xml:space="preserve">: </w:t>
            </w:r>
            <w:r w:rsidR="00C27BAD" w:rsidRPr="00B46EED">
              <w:rPr>
                <w:rFonts w:cs="Arial"/>
                <w:szCs w:val="28"/>
              </w:rPr>
              <w:t xml:space="preserve"> </w:t>
            </w:r>
            <w:r w:rsidR="006E6442" w:rsidRPr="006E6442">
              <w:rPr>
                <w:rFonts w:cs="Arial"/>
                <w:szCs w:val="28"/>
              </w:rPr>
              <w:t>16</w:t>
            </w:r>
            <w:r w:rsidR="00003E30" w:rsidRPr="006E6442">
              <w:rPr>
                <w:rFonts w:cs="Arial"/>
                <w:szCs w:val="28"/>
              </w:rPr>
              <w:t xml:space="preserve"> July </w:t>
            </w:r>
            <w:r w:rsidRPr="00B46EED">
              <w:rPr>
                <w:rFonts w:cs="Arial"/>
                <w:szCs w:val="28"/>
              </w:rPr>
              <w:t>20</w:t>
            </w:r>
            <w:r w:rsidR="0001534A" w:rsidRPr="00B46EED">
              <w:rPr>
                <w:rFonts w:cs="Arial"/>
                <w:szCs w:val="28"/>
              </w:rPr>
              <w:t>20</w:t>
            </w:r>
          </w:p>
        </w:tc>
      </w:tr>
    </w:tbl>
    <w:p w14:paraId="430F9C86" w14:textId="77777777" w:rsidR="00E91DF9" w:rsidRDefault="00AD784C" w:rsidP="0001093C">
      <w:pPr>
        <w:pStyle w:val="DHHSTOCheadingfactsheet"/>
        <w:spacing w:before="240"/>
        <w:rPr>
          <w:noProof/>
        </w:rPr>
      </w:pPr>
      <w:r w:rsidRPr="00B46EED">
        <w:rPr>
          <w:rFonts w:cs="Arial"/>
        </w:rPr>
        <w:t>Contents</w:t>
      </w:r>
      <w:r w:rsidRPr="00B46EED">
        <w:rPr>
          <w:rFonts w:cs="Arial"/>
          <w:noProof/>
          <w:color w:val="auto"/>
          <w:sz w:val="20"/>
          <w:szCs w:val="20"/>
        </w:rPr>
        <w:fldChar w:fldCharType="begin"/>
      </w:r>
      <w:r w:rsidRPr="00B46EED">
        <w:rPr>
          <w:rFonts w:cs="Arial"/>
        </w:rPr>
        <w:instrText xml:space="preserve"> TOC \h \z \t "Heading 1,1,Heading 2,2" </w:instrText>
      </w:r>
      <w:r w:rsidRPr="00B46EED">
        <w:rPr>
          <w:rFonts w:cs="Arial"/>
          <w:noProof/>
          <w:color w:val="auto"/>
          <w:sz w:val="20"/>
          <w:szCs w:val="20"/>
        </w:rPr>
        <w:fldChar w:fldCharType="separate"/>
      </w:r>
    </w:p>
    <w:p w14:paraId="48F48C48" w14:textId="6DF5E468" w:rsidR="00E91DF9" w:rsidRDefault="00E91DF9">
      <w:pPr>
        <w:pStyle w:val="TOC1"/>
        <w:tabs>
          <w:tab w:val="left" w:pos="567"/>
        </w:tabs>
        <w:rPr>
          <w:rFonts w:asciiTheme="minorHAnsi" w:eastAsiaTheme="minorEastAsia" w:hAnsiTheme="minorHAnsi" w:cstheme="minorBidi"/>
          <w:b w:val="0"/>
          <w:sz w:val="22"/>
          <w:szCs w:val="22"/>
          <w:lang w:eastAsia="en-AU"/>
        </w:rPr>
      </w:pPr>
      <w:hyperlink w:anchor="_Toc45804640" w:history="1">
        <w:r w:rsidRPr="00FA0FD4">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sz w:val="22"/>
            <w:szCs w:val="22"/>
            <w:lang w:eastAsia="en-AU"/>
          </w:rPr>
          <w:tab/>
        </w:r>
        <w:r w:rsidRPr="00FA0FD4">
          <w:rPr>
            <w:rStyle w:val="Hyperlink"/>
          </w:rPr>
          <w:t>Residential pre-admission engagement</w:t>
        </w:r>
        <w:r>
          <w:rPr>
            <w:webHidden/>
          </w:rPr>
          <w:tab/>
        </w:r>
        <w:r>
          <w:rPr>
            <w:webHidden/>
          </w:rPr>
          <w:fldChar w:fldCharType="begin"/>
        </w:r>
        <w:r>
          <w:rPr>
            <w:webHidden/>
          </w:rPr>
          <w:instrText xml:space="preserve"> PAGEREF _Toc45804640 \h </w:instrText>
        </w:r>
        <w:r>
          <w:rPr>
            <w:webHidden/>
          </w:rPr>
        </w:r>
        <w:r>
          <w:rPr>
            <w:webHidden/>
          </w:rPr>
          <w:fldChar w:fldCharType="separate"/>
        </w:r>
        <w:r>
          <w:rPr>
            <w:webHidden/>
          </w:rPr>
          <w:t>1</w:t>
        </w:r>
        <w:r>
          <w:rPr>
            <w:webHidden/>
          </w:rPr>
          <w:fldChar w:fldCharType="end"/>
        </w:r>
      </w:hyperlink>
    </w:p>
    <w:p w14:paraId="68B68A8F" w14:textId="6A110784" w:rsidR="00E91DF9" w:rsidRDefault="00CF174D">
      <w:pPr>
        <w:pStyle w:val="TOC1"/>
        <w:tabs>
          <w:tab w:val="left" w:pos="567"/>
        </w:tabs>
        <w:rPr>
          <w:rFonts w:asciiTheme="minorHAnsi" w:eastAsiaTheme="minorEastAsia" w:hAnsiTheme="minorHAnsi" w:cstheme="minorBidi"/>
          <w:b w:val="0"/>
          <w:sz w:val="22"/>
          <w:szCs w:val="22"/>
          <w:lang w:eastAsia="en-AU"/>
        </w:rPr>
      </w:pPr>
      <w:hyperlink w:anchor="_Toc45804641" w:history="1">
        <w:r w:rsidR="00E91DF9" w:rsidRPr="00FA0FD4">
          <w:rPr>
            <w:rStyle w:val="Hyperlink"/>
            <w14:scene3d>
              <w14:camera w14:prst="orthographicFront"/>
              <w14:lightRig w14:rig="threePt" w14:dir="t">
                <w14:rot w14:lat="0" w14:lon="0" w14:rev="0"/>
              </w14:lightRig>
            </w14:scene3d>
          </w:rPr>
          <w:t>2.</w:t>
        </w:r>
        <w:r w:rsidR="00E91DF9">
          <w:rPr>
            <w:rFonts w:asciiTheme="minorHAnsi" w:eastAsiaTheme="minorEastAsia" w:hAnsiTheme="minorHAnsi" w:cstheme="minorBidi"/>
            <w:b w:val="0"/>
            <w:sz w:val="22"/>
            <w:szCs w:val="22"/>
            <w:lang w:eastAsia="en-AU"/>
          </w:rPr>
          <w:tab/>
        </w:r>
        <w:r w:rsidR="00E91DF9" w:rsidRPr="00FA0FD4">
          <w:rPr>
            <w:rStyle w:val="Hyperlink"/>
          </w:rPr>
          <w:t>End of the year transition reminder</w:t>
        </w:r>
        <w:r w:rsidR="00E91DF9">
          <w:rPr>
            <w:webHidden/>
          </w:rPr>
          <w:tab/>
        </w:r>
        <w:r w:rsidR="00E91DF9">
          <w:rPr>
            <w:webHidden/>
          </w:rPr>
          <w:fldChar w:fldCharType="begin"/>
        </w:r>
        <w:r w:rsidR="00E91DF9">
          <w:rPr>
            <w:webHidden/>
          </w:rPr>
          <w:instrText xml:space="preserve"> PAGEREF _Toc45804641 \h </w:instrText>
        </w:r>
        <w:r w:rsidR="00E91DF9">
          <w:rPr>
            <w:webHidden/>
          </w:rPr>
        </w:r>
        <w:r w:rsidR="00E91DF9">
          <w:rPr>
            <w:webHidden/>
          </w:rPr>
          <w:fldChar w:fldCharType="separate"/>
        </w:r>
        <w:r w:rsidR="00E91DF9">
          <w:rPr>
            <w:webHidden/>
          </w:rPr>
          <w:t>2</w:t>
        </w:r>
        <w:r w:rsidR="00E91DF9">
          <w:rPr>
            <w:webHidden/>
          </w:rPr>
          <w:fldChar w:fldCharType="end"/>
        </w:r>
      </w:hyperlink>
    </w:p>
    <w:p w14:paraId="3DEE7913" w14:textId="60F6B6CC" w:rsidR="00E91DF9" w:rsidRDefault="00CF174D">
      <w:pPr>
        <w:pStyle w:val="TOC1"/>
        <w:tabs>
          <w:tab w:val="left" w:pos="567"/>
        </w:tabs>
        <w:rPr>
          <w:rFonts w:asciiTheme="minorHAnsi" w:eastAsiaTheme="minorEastAsia" w:hAnsiTheme="minorHAnsi" w:cstheme="minorBidi"/>
          <w:b w:val="0"/>
          <w:sz w:val="22"/>
          <w:szCs w:val="22"/>
          <w:lang w:eastAsia="en-AU"/>
        </w:rPr>
      </w:pPr>
      <w:hyperlink w:anchor="_Toc45804642" w:history="1">
        <w:r w:rsidR="00E91DF9" w:rsidRPr="00FA0FD4">
          <w:rPr>
            <w:rStyle w:val="Hyperlink"/>
            <w14:scene3d>
              <w14:camera w14:prst="orthographicFront"/>
              <w14:lightRig w14:rig="threePt" w14:dir="t">
                <w14:rot w14:lat="0" w14:lon="0" w14:rev="0"/>
              </w14:lightRig>
            </w14:scene3d>
          </w:rPr>
          <w:t>3.</w:t>
        </w:r>
        <w:r w:rsidR="00E91DF9">
          <w:rPr>
            <w:rFonts w:asciiTheme="minorHAnsi" w:eastAsiaTheme="minorEastAsia" w:hAnsiTheme="minorHAnsi" w:cstheme="minorBidi"/>
            <w:b w:val="0"/>
            <w:sz w:val="22"/>
            <w:szCs w:val="22"/>
            <w:lang w:eastAsia="en-AU"/>
          </w:rPr>
          <w:tab/>
        </w:r>
        <w:r w:rsidR="00E91DF9" w:rsidRPr="00FA0FD4">
          <w:rPr>
            <w:rStyle w:val="Hyperlink"/>
          </w:rPr>
          <w:t>Testing extracts for 2020-21 data</w:t>
        </w:r>
        <w:r w:rsidR="00E91DF9">
          <w:rPr>
            <w:webHidden/>
          </w:rPr>
          <w:tab/>
        </w:r>
        <w:r w:rsidR="00E91DF9">
          <w:rPr>
            <w:webHidden/>
          </w:rPr>
          <w:fldChar w:fldCharType="begin"/>
        </w:r>
        <w:r w:rsidR="00E91DF9">
          <w:rPr>
            <w:webHidden/>
          </w:rPr>
          <w:instrText xml:space="preserve"> PAGEREF _Toc45804642 \h </w:instrText>
        </w:r>
        <w:r w:rsidR="00E91DF9">
          <w:rPr>
            <w:webHidden/>
          </w:rPr>
        </w:r>
        <w:r w:rsidR="00E91DF9">
          <w:rPr>
            <w:webHidden/>
          </w:rPr>
          <w:fldChar w:fldCharType="separate"/>
        </w:r>
        <w:r w:rsidR="00E91DF9">
          <w:rPr>
            <w:webHidden/>
          </w:rPr>
          <w:t>2</w:t>
        </w:r>
        <w:r w:rsidR="00E91DF9">
          <w:rPr>
            <w:webHidden/>
          </w:rPr>
          <w:fldChar w:fldCharType="end"/>
        </w:r>
      </w:hyperlink>
    </w:p>
    <w:p w14:paraId="00A7A1AD" w14:textId="57527032" w:rsidR="00E91DF9" w:rsidRDefault="00CF174D">
      <w:pPr>
        <w:pStyle w:val="TOC1"/>
        <w:tabs>
          <w:tab w:val="left" w:pos="567"/>
        </w:tabs>
        <w:rPr>
          <w:rFonts w:asciiTheme="minorHAnsi" w:eastAsiaTheme="minorEastAsia" w:hAnsiTheme="minorHAnsi" w:cstheme="minorBidi"/>
          <w:b w:val="0"/>
          <w:sz w:val="22"/>
          <w:szCs w:val="22"/>
          <w:lang w:eastAsia="en-AU"/>
        </w:rPr>
      </w:pPr>
      <w:hyperlink w:anchor="_Toc45804643" w:history="1">
        <w:r w:rsidR="00E91DF9" w:rsidRPr="00FA0FD4">
          <w:rPr>
            <w:rStyle w:val="Hyperlink"/>
            <w14:scene3d>
              <w14:camera w14:prst="orthographicFront"/>
              <w14:lightRig w14:rig="threePt" w14:dir="t">
                <w14:rot w14:lat="0" w14:lon="0" w14:rev="0"/>
              </w14:lightRig>
            </w14:scene3d>
          </w:rPr>
          <w:t>4.</w:t>
        </w:r>
        <w:r w:rsidR="00E91DF9">
          <w:rPr>
            <w:rFonts w:asciiTheme="minorHAnsi" w:eastAsiaTheme="minorEastAsia" w:hAnsiTheme="minorHAnsi" w:cstheme="minorBidi"/>
            <w:b w:val="0"/>
            <w:sz w:val="22"/>
            <w:szCs w:val="22"/>
            <w:lang w:eastAsia="en-AU"/>
          </w:rPr>
          <w:tab/>
        </w:r>
        <w:r w:rsidR="00E91DF9" w:rsidRPr="00FA0FD4">
          <w:rPr>
            <w:rStyle w:val="Hyperlink"/>
          </w:rPr>
          <w:t>Service Event Statement (SES) reminder</w:t>
        </w:r>
        <w:r w:rsidR="00E91DF9">
          <w:rPr>
            <w:webHidden/>
          </w:rPr>
          <w:tab/>
        </w:r>
        <w:r w:rsidR="00E91DF9">
          <w:rPr>
            <w:webHidden/>
          </w:rPr>
          <w:fldChar w:fldCharType="begin"/>
        </w:r>
        <w:r w:rsidR="00E91DF9">
          <w:rPr>
            <w:webHidden/>
          </w:rPr>
          <w:instrText xml:space="preserve"> PAGEREF _Toc45804643 \h </w:instrText>
        </w:r>
        <w:r w:rsidR="00E91DF9">
          <w:rPr>
            <w:webHidden/>
          </w:rPr>
        </w:r>
        <w:r w:rsidR="00E91DF9">
          <w:rPr>
            <w:webHidden/>
          </w:rPr>
          <w:fldChar w:fldCharType="separate"/>
        </w:r>
        <w:r w:rsidR="00E91DF9">
          <w:rPr>
            <w:webHidden/>
          </w:rPr>
          <w:t>2</w:t>
        </w:r>
        <w:r w:rsidR="00E91DF9">
          <w:rPr>
            <w:webHidden/>
          </w:rPr>
          <w:fldChar w:fldCharType="end"/>
        </w:r>
      </w:hyperlink>
    </w:p>
    <w:p w14:paraId="39F2202C" w14:textId="243083D7" w:rsidR="00E91DF9" w:rsidRDefault="00CF174D">
      <w:pPr>
        <w:pStyle w:val="TOC1"/>
        <w:tabs>
          <w:tab w:val="left" w:pos="567"/>
        </w:tabs>
        <w:rPr>
          <w:rFonts w:asciiTheme="minorHAnsi" w:eastAsiaTheme="minorEastAsia" w:hAnsiTheme="minorHAnsi" w:cstheme="minorBidi"/>
          <w:b w:val="0"/>
          <w:sz w:val="22"/>
          <w:szCs w:val="22"/>
          <w:lang w:eastAsia="en-AU"/>
        </w:rPr>
      </w:pPr>
      <w:hyperlink w:anchor="_Toc45804644" w:history="1">
        <w:r w:rsidR="00E91DF9" w:rsidRPr="00FA0FD4">
          <w:rPr>
            <w:rStyle w:val="Hyperlink"/>
            <w14:scene3d>
              <w14:camera w14:prst="orthographicFront"/>
              <w14:lightRig w14:rig="threePt" w14:dir="t">
                <w14:rot w14:lat="0" w14:lon="0" w14:rev="0"/>
              </w14:lightRig>
            </w14:scene3d>
          </w:rPr>
          <w:t>5.</w:t>
        </w:r>
        <w:r w:rsidR="00E91DF9">
          <w:rPr>
            <w:rFonts w:asciiTheme="minorHAnsi" w:eastAsiaTheme="minorEastAsia" w:hAnsiTheme="minorHAnsi" w:cstheme="minorBidi"/>
            <w:b w:val="0"/>
            <w:sz w:val="22"/>
            <w:szCs w:val="22"/>
            <w:lang w:eastAsia="en-AU"/>
          </w:rPr>
          <w:tab/>
        </w:r>
        <w:r w:rsidR="00E91DF9" w:rsidRPr="00FA0FD4">
          <w:rPr>
            <w:rStyle w:val="Hyperlink"/>
          </w:rPr>
          <w:t>Configuration of AOD47 &amp; AOD48 validations</w:t>
        </w:r>
        <w:r w:rsidR="00E91DF9">
          <w:rPr>
            <w:webHidden/>
          </w:rPr>
          <w:tab/>
        </w:r>
        <w:r w:rsidR="00E91DF9">
          <w:rPr>
            <w:webHidden/>
          </w:rPr>
          <w:fldChar w:fldCharType="begin"/>
        </w:r>
        <w:r w:rsidR="00E91DF9">
          <w:rPr>
            <w:webHidden/>
          </w:rPr>
          <w:instrText xml:space="preserve"> PAGEREF _Toc45804644 \h </w:instrText>
        </w:r>
        <w:r w:rsidR="00E91DF9">
          <w:rPr>
            <w:webHidden/>
          </w:rPr>
        </w:r>
        <w:r w:rsidR="00E91DF9">
          <w:rPr>
            <w:webHidden/>
          </w:rPr>
          <w:fldChar w:fldCharType="separate"/>
        </w:r>
        <w:r w:rsidR="00E91DF9">
          <w:rPr>
            <w:webHidden/>
          </w:rPr>
          <w:t>3</w:t>
        </w:r>
        <w:r w:rsidR="00E91DF9">
          <w:rPr>
            <w:webHidden/>
          </w:rPr>
          <w:fldChar w:fldCharType="end"/>
        </w:r>
      </w:hyperlink>
    </w:p>
    <w:p w14:paraId="18C905EA" w14:textId="461C6D4E" w:rsidR="00E91DF9" w:rsidRDefault="00CF174D">
      <w:pPr>
        <w:pStyle w:val="TOC1"/>
        <w:tabs>
          <w:tab w:val="left" w:pos="567"/>
        </w:tabs>
        <w:rPr>
          <w:rFonts w:asciiTheme="minorHAnsi" w:eastAsiaTheme="minorEastAsia" w:hAnsiTheme="minorHAnsi" w:cstheme="minorBidi"/>
          <w:b w:val="0"/>
          <w:sz w:val="22"/>
          <w:szCs w:val="22"/>
          <w:lang w:eastAsia="en-AU"/>
        </w:rPr>
      </w:pPr>
      <w:hyperlink w:anchor="_Toc45804645" w:history="1">
        <w:r w:rsidR="00E91DF9" w:rsidRPr="00FA0FD4">
          <w:rPr>
            <w:rStyle w:val="Hyperlink"/>
            <w14:scene3d>
              <w14:camera w14:prst="orthographicFront"/>
              <w14:lightRig w14:rig="threePt" w14:dir="t">
                <w14:rot w14:lat="0" w14:lon="0" w14:rev="0"/>
              </w14:lightRig>
            </w14:scene3d>
          </w:rPr>
          <w:t>6.</w:t>
        </w:r>
        <w:r w:rsidR="00E91DF9">
          <w:rPr>
            <w:rFonts w:asciiTheme="minorHAnsi" w:eastAsiaTheme="minorEastAsia" w:hAnsiTheme="minorHAnsi" w:cstheme="minorBidi"/>
            <w:b w:val="0"/>
            <w:sz w:val="22"/>
            <w:szCs w:val="22"/>
            <w:lang w:eastAsia="en-AU"/>
          </w:rPr>
          <w:tab/>
        </w:r>
        <w:r w:rsidR="00E91DF9" w:rsidRPr="00FA0FD4">
          <w:rPr>
            <w:rStyle w:val="Hyperlink"/>
          </w:rPr>
          <w:t>DTAU/EOC update</w:t>
        </w:r>
        <w:r w:rsidR="00E91DF9">
          <w:rPr>
            <w:webHidden/>
          </w:rPr>
          <w:tab/>
        </w:r>
        <w:r w:rsidR="00E91DF9">
          <w:rPr>
            <w:webHidden/>
          </w:rPr>
          <w:fldChar w:fldCharType="begin"/>
        </w:r>
        <w:r w:rsidR="00E91DF9">
          <w:rPr>
            <w:webHidden/>
          </w:rPr>
          <w:instrText xml:space="preserve"> PAGEREF _Toc45804645 \h </w:instrText>
        </w:r>
        <w:r w:rsidR="00E91DF9">
          <w:rPr>
            <w:webHidden/>
          </w:rPr>
        </w:r>
        <w:r w:rsidR="00E91DF9">
          <w:rPr>
            <w:webHidden/>
          </w:rPr>
          <w:fldChar w:fldCharType="separate"/>
        </w:r>
        <w:r w:rsidR="00E91DF9">
          <w:rPr>
            <w:webHidden/>
          </w:rPr>
          <w:t>3</w:t>
        </w:r>
        <w:r w:rsidR="00E91DF9">
          <w:rPr>
            <w:webHidden/>
          </w:rPr>
          <w:fldChar w:fldCharType="end"/>
        </w:r>
      </w:hyperlink>
    </w:p>
    <w:p w14:paraId="72F49D59" w14:textId="36B65E43" w:rsidR="00E91DF9" w:rsidRDefault="00CF174D">
      <w:pPr>
        <w:pStyle w:val="TOC1"/>
        <w:tabs>
          <w:tab w:val="left" w:pos="567"/>
        </w:tabs>
        <w:rPr>
          <w:rFonts w:asciiTheme="minorHAnsi" w:eastAsiaTheme="minorEastAsia" w:hAnsiTheme="minorHAnsi" w:cstheme="minorBidi"/>
          <w:b w:val="0"/>
          <w:sz w:val="22"/>
          <w:szCs w:val="22"/>
          <w:lang w:eastAsia="en-AU"/>
        </w:rPr>
      </w:pPr>
      <w:hyperlink w:anchor="_Toc45804646" w:history="1">
        <w:r w:rsidR="00E91DF9" w:rsidRPr="00FA0FD4">
          <w:rPr>
            <w:rStyle w:val="Hyperlink"/>
            <w14:scene3d>
              <w14:camera w14:prst="orthographicFront"/>
              <w14:lightRig w14:rig="threePt" w14:dir="t">
                <w14:rot w14:lat="0" w14:lon="0" w14:rev="0"/>
              </w14:lightRig>
            </w14:scene3d>
          </w:rPr>
          <w:t>7.</w:t>
        </w:r>
        <w:r w:rsidR="00E91DF9">
          <w:rPr>
            <w:rFonts w:asciiTheme="minorHAnsi" w:eastAsiaTheme="minorEastAsia" w:hAnsiTheme="minorHAnsi" w:cstheme="minorBidi"/>
            <w:b w:val="0"/>
            <w:sz w:val="22"/>
            <w:szCs w:val="22"/>
            <w:lang w:eastAsia="en-AU"/>
          </w:rPr>
          <w:tab/>
        </w:r>
        <w:r w:rsidR="00E91DF9" w:rsidRPr="00FA0FD4">
          <w:rPr>
            <w:rStyle w:val="Hyperlink"/>
          </w:rPr>
          <w:t>Recent publications</w:t>
        </w:r>
        <w:r w:rsidR="00E91DF9">
          <w:rPr>
            <w:webHidden/>
          </w:rPr>
          <w:tab/>
        </w:r>
        <w:r w:rsidR="00E91DF9">
          <w:rPr>
            <w:webHidden/>
          </w:rPr>
          <w:fldChar w:fldCharType="begin"/>
        </w:r>
        <w:r w:rsidR="00E91DF9">
          <w:rPr>
            <w:webHidden/>
          </w:rPr>
          <w:instrText xml:space="preserve"> PAGEREF _Toc45804646 \h </w:instrText>
        </w:r>
        <w:r w:rsidR="00E91DF9">
          <w:rPr>
            <w:webHidden/>
          </w:rPr>
        </w:r>
        <w:r w:rsidR="00E91DF9">
          <w:rPr>
            <w:webHidden/>
          </w:rPr>
          <w:fldChar w:fldCharType="separate"/>
        </w:r>
        <w:r w:rsidR="00E91DF9">
          <w:rPr>
            <w:webHidden/>
          </w:rPr>
          <w:t>3</w:t>
        </w:r>
        <w:r w:rsidR="00E91DF9">
          <w:rPr>
            <w:webHidden/>
          </w:rPr>
          <w:fldChar w:fldCharType="end"/>
        </w:r>
      </w:hyperlink>
    </w:p>
    <w:p w14:paraId="2D455A24" w14:textId="679DDDF5" w:rsidR="00E91DF9" w:rsidRDefault="00CF174D">
      <w:pPr>
        <w:pStyle w:val="TOC1"/>
        <w:tabs>
          <w:tab w:val="left" w:pos="567"/>
        </w:tabs>
        <w:rPr>
          <w:rFonts w:asciiTheme="minorHAnsi" w:eastAsiaTheme="minorEastAsia" w:hAnsiTheme="minorHAnsi" w:cstheme="minorBidi"/>
          <w:b w:val="0"/>
          <w:sz w:val="22"/>
          <w:szCs w:val="22"/>
          <w:lang w:eastAsia="en-AU"/>
        </w:rPr>
      </w:pPr>
      <w:hyperlink w:anchor="_Toc45804647" w:history="1">
        <w:r w:rsidR="00E91DF9" w:rsidRPr="00FA0FD4">
          <w:rPr>
            <w:rStyle w:val="Hyperlink"/>
            <w14:scene3d>
              <w14:camera w14:prst="orthographicFront"/>
              <w14:lightRig w14:rig="threePt" w14:dir="t">
                <w14:rot w14:lat="0" w14:lon="0" w14:rev="0"/>
              </w14:lightRig>
            </w14:scene3d>
          </w:rPr>
          <w:t>8.</w:t>
        </w:r>
        <w:r w:rsidR="00E91DF9">
          <w:rPr>
            <w:rFonts w:asciiTheme="minorHAnsi" w:eastAsiaTheme="minorEastAsia" w:hAnsiTheme="minorHAnsi" w:cstheme="minorBidi"/>
            <w:b w:val="0"/>
            <w:sz w:val="22"/>
            <w:szCs w:val="22"/>
            <w:lang w:eastAsia="en-AU"/>
          </w:rPr>
          <w:tab/>
        </w:r>
        <w:r w:rsidR="00E91DF9" w:rsidRPr="00FA0FD4">
          <w:rPr>
            <w:rStyle w:val="Hyperlink"/>
          </w:rPr>
          <w:t>Contact details</w:t>
        </w:r>
        <w:r w:rsidR="00E91DF9">
          <w:rPr>
            <w:webHidden/>
          </w:rPr>
          <w:tab/>
        </w:r>
        <w:r w:rsidR="00E91DF9">
          <w:rPr>
            <w:webHidden/>
          </w:rPr>
          <w:fldChar w:fldCharType="begin"/>
        </w:r>
        <w:r w:rsidR="00E91DF9">
          <w:rPr>
            <w:webHidden/>
          </w:rPr>
          <w:instrText xml:space="preserve"> PAGEREF _Toc45804647 \h </w:instrText>
        </w:r>
        <w:r w:rsidR="00E91DF9">
          <w:rPr>
            <w:webHidden/>
          </w:rPr>
        </w:r>
        <w:r w:rsidR="00E91DF9">
          <w:rPr>
            <w:webHidden/>
          </w:rPr>
          <w:fldChar w:fldCharType="separate"/>
        </w:r>
        <w:r w:rsidR="00E91DF9">
          <w:rPr>
            <w:webHidden/>
          </w:rPr>
          <w:t>3</w:t>
        </w:r>
        <w:r w:rsidR="00E91DF9">
          <w:rPr>
            <w:webHidden/>
          </w:rPr>
          <w:fldChar w:fldCharType="end"/>
        </w:r>
      </w:hyperlink>
    </w:p>
    <w:p w14:paraId="589FE5D4" w14:textId="60613A3A" w:rsidR="00E91DF9" w:rsidRDefault="00CF174D">
      <w:pPr>
        <w:pStyle w:val="TOC1"/>
        <w:rPr>
          <w:rFonts w:asciiTheme="minorHAnsi" w:eastAsiaTheme="minorEastAsia" w:hAnsiTheme="minorHAnsi" w:cstheme="minorBidi"/>
          <w:b w:val="0"/>
          <w:sz w:val="22"/>
          <w:szCs w:val="22"/>
          <w:lang w:eastAsia="en-AU"/>
        </w:rPr>
      </w:pPr>
      <w:hyperlink w:anchor="_Toc45804648" w:history="1">
        <w:r w:rsidR="00E91DF9" w:rsidRPr="00FA0FD4">
          <w:rPr>
            <w:rStyle w:val="Hyperlink"/>
            <w:lang w:eastAsia="en-AU"/>
          </w:rPr>
          <w:t>Appendix 1 - Funding source attributes (VADC Data specification 2020-21)</w:t>
        </w:r>
        <w:r w:rsidR="00E91DF9">
          <w:rPr>
            <w:webHidden/>
          </w:rPr>
          <w:tab/>
        </w:r>
        <w:r w:rsidR="00E91DF9">
          <w:rPr>
            <w:webHidden/>
          </w:rPr>
          <w:fldChar w:fldCharType="begin"/>
        </w:r>
        <w:r w:rsidR="00E91DF9">
          <w:rPr>
            <w:webHidden/>
          </w:rPr>
          <w:instrText xml:space="preserve"> PAGEREF _Toc45804648 \h </w:instrText>
        </w:r>
        <w:r w:rsidR="00E91DF9">
          <w:rPr>
            <w:webHidden/>
          </w:rPr>
        </w:r>
        <w:r w:rsidR="00E91DF9">
          <w:rPr>
            <w:webHidden/>
          </w:rPr>
          <w:fldChar w:fldCharType="separate"/>
        </w:r>
        <w:r w:rsidR="00E91DF9">
          <w:rPr>
            <w:webHidden/>
          </w:rPr>
          <w:t>4</w:t>
        </w:r>
        <w:r w:rsidR="00E91DF9">
          <w:rPr>
            <w:webHidden/>
          </w:rPr>
          <w:fldChar w:fldCharType="end"/>
        </w:r>
      </w:hyperlink>
    </w:p>
    <w:p w14:paraId="02727017" w14:textId="299A6348" w:rsidR="00A32EE4" w:rsidRPr="00B46EED" w:rsidRDefault="00AD784C" w:rsidP="00A32EE4">
      <w:pPr>
        <w:pStyle w:val="DHHSbody"/>
        <w:rPr>
          <w:rFonts w:cs="Arial"/>
        </w:rPr>
      </w:pPr>
      <w:r w:rsidRPr="00B46EED">
        <w:rPr>
          <w:rFonts w:cs="Arial"/>
        </w:rPr>
        <w:fldChar w:fldCharType="end"/>
      </w:r>
    </w:p>
    <w:p w14:paraId="6FD8207E" w14:textId="6BF33D50" w:rsidR="0010112B" w:rsidRPr="00B46EED" w:rsidRDefault="009810AB" w:rsidP="0010112B">
      <w:pPr>
        <w:pStyle w:val="Heading1"/>
        <w:numPr>
          <w:ilvl w:val="0"/>
          <w:numId w:val="24"/>
        </w:numPr>
        <w:rPr>
          <w:sz w:val="28"/>
          <w:szCs w:val="28"/>
        </w:rPr>
      </w:pPr>
      <w:bookmarkStart w:id="1" w:name="_Toc45804640"/>
      <w:r>
        <w:rPr>
          <w:sz w:val="28"/>
          <w:szCs w:val="28"/>
        </w:rPr>
        <w:t>Residential pre-admission engagement</w:t>
      </w:r>
      <w:bookmarkEnd w:id="1"/>
    </w:p>
    <w:p w14:paraId="18EDD6DC" w14:textId="76A7C431" w:rsidR="008D3179" w:rsidRDefault="00116BCC" w:rsidP="00A179F3">
      <w:pPr>
        <w:pStyle w:val="DHHSbody"/>
        <w:spacing w:line="240" w:lineRule="atLeast"/>
      </w:pPr>
      <w:proofErr w:type="gramStart"/>
      <w:r w:rsidRPr="00116BCC">
        <w:t>In light of</w:t>
      </w:r>
      <w:proofErr w:type="gramEnd"/>
      <w:r w:rsidRPr="00116BCC">
        <w:t xml:space="preserve"> the COVID-19 pandemic, the department has reviewed the 2020-21 annual changes to the VADC and is seeking to minimise its impact on agencies without compromising the ongoing supply of data.</w:t>
      </w:r>
      <w:r w:rsidR="008D3179">
        <w:t xml:space="preserve"> </w:t>
      </w:r>
      <w:r w:rsidRPr="00116BCC">
        <w:t xml:space="preserve">As a result, from 1 July 2020 both </w:t>
      </w:r>
      <w:r w:rsidR="00402CD4">
        <w:t xml:space="preserve">the old and new </w:t>
      </w:r>
      <w:r w:rsidRPr="00116BCC">
        <w:t>residential pre-admission engagement service streams will be accepted for 2020-21 financial year and 2019-20 financial year (if 2019-20 reporting period resubmissions required).</w:t>
      </w:r>
      <w:r w:rsidR="008D3179">
        <w:br/>
      </w:r>
    </w:p>
    <w:p w14:paraId="66984BCC" w14:textId="77587203" w:rsidR="00116BCC" w:rsidRDefault="00116BCC" w:rsidP="00A179F3">
      <w:pPr>
        <w:pStyle w:val="DHHSbody"/>
        <w:spacing w:line="240" w:lineRule="atLeast"/>
      </w:pPr>
      <w:r w:rsidRPr="00116BCC">
        <w:t xml:space="preserve">Please refer to table </w:t>
      </w:r>
      <w:r w:rsidRPr="00116BCC">
        <w:rPr>
          <w:i/>
          <w:iCs/>
        </w:rPr>
        <w:t>4.2.5 Funding source attributes</w:t>
      </w:r>
      <w:r w:rsidRPr="00116BCC">
        <w:t xml:space="preserve"> of the </w:t>
      </w:r>
      <w:r w:rsidRPr="00116BCC">
        <w:rPr>
          <w:i/>
          <w:iCs/>
        </w:rPr>
        <w:t>VADC Data specification 2020-21</w:t>
      </w:r>
      <w:r w:rsidRPr="00116BCC">
        <w:t xml:space="preserve"> for valid funding source/service stream combinations.</w:t>
      </w:r>
    </w:p>
    <w:tbl>
      <w:tblPr>
        <w:tblStyle w:val="TableGrid"/>
        <w:tblW w:w="0" w:type="auto"/>
        <w:tblLook w:val="04A0" w:firstRow="1" w:lastRow="0" w:firstColumn="1" w:lastColumn="0" w:noHBand="0" w:noVBand="1"/>
      </w:tblPr>
      <w:tblGrid>
        <w:gridCol w:w="4282"/>
        <w:gridCol w:w="1701"/>
        <w:gridCol w:w="1134"/>
        <w:gridCol w:w="2969"/>
      </w:tblGrid>
      <w:tr w:rsidR="0078550D" w14:paraId="3C219422" w14:textId="3E00D15D" w:rsidTr="00CD50A2">
        <w:tc>
          <w:tcPr>
            <w:tcW w:w="4282" w:type="dxa"/>
          </w:tcPr>
          <w:p w14:paraId="49AC471C" w14:textId="5945C826" w:rsidR="00574A9A" w:rsidRPr="00574A9A" w:rsidRDefault="00574A9A" w:rsidP="009810AB">
            <w:pPr>
              <w:pStyle w:val="DHHSbody"/>
              <w:spacing w:line="240" w:lineRule="atLeast"/>
              <w:rPr>
                <w:rFonts w:cs="Arial"/>
                <w:b/>
                <w:bCs/>
              </w:rPr>
            </w:pPr>
            <w:r w:rsidRPr="00574A9A">
              <w:rPr>
                <w:rFonts w:cs="Arial"/>
                <w:b/>
                <w:bCs/>
              </w:rPr>
              <w:t>Service stream</w:t>
            </w:r>
          </w:p>
        </w:tc>
        <w:tc>
          <w:tcPr>
            <w:tcW w:w="1701" w:type="dxa"/>
          </w:tcPr>
          <w:p w14:paraId="7130D92E" w14:textId="57404FE4" w:rsidR="00574A9A" w:rsidRPr="00574A9A" w:rsidRDefault="00574A9A" w:rsidP="009810AB">
            <w:pPr>
              <w:pStyle w:val="DHHSbody"/>
              <w:spacing w:line="240" w:lineRule="atLeast"/>
              <w:rPr>
                <w:rFonts w:cs="Arial"/>
                <w:b/>
                <w:bCs/>
              </w:rPr>
            </w:pPr>
            <w:r w:rsidRPr="00574A9A">
              <w:rPr>
                <w:rFonts w:cs="Arial"/>
                <w:b/>
                <w:bCs/>
              </w:rPr>
              <w:t xml:space="preserve">Service event type </w:t>
            </w:r>
          </w:p>
        </w:tc>
        <w:tc>
          <w:tcPr>
            <w:tcW w:w="1134" w:type="dxa"/>
          </w:tcPr>
          <w:p w14:paraId="7A08BC02" w14:textId="6F2A7E78" w:rsidR="00574A9A" w:rsidRPr="00574A9A" w:rsidRDefault="0078550D" w:rsidP="009810AB">
            <w:pPr>
              <w:pStyle w:val="DHHSbody"/>
              <w:spacing w:line="240" w:lineRule="atLeast"/>
              <w:rPr>
                <w:rFonts w:cs="Arial"/>
                <w:b/>
                <w:bCs/>
              </w:rPr>
            </w:pPr>
            <w:r>
              <w:rPr>
                <w:rFonts w:cs="Arial"/>
                <w:b/>
                <w:bCs/>
              </w:rPr>
              <w:t>F</w:t>
            </w:r>
            <w:r w:rsidR="00574A9A" w:rsidRPr="00574A9A">
              <w:rPr>
                <w:rFonts w:cs="Arial"/>
                <w:b/>
                <w:bCs/>
              </w:rPr>
              <w:t>inancial year</w:t>
            </w:r>
          </w:p>
        </w:tc>
        <w:tc>
          <w:tcPr>
            <w:tcW w:w="2969" w:type="dxa"/>
          </w:tcPr>
          <w:p w14:paraId="406CAE10" w14:textId="7A8862F0" w:rsidR="00574A9A" w:rsidRPr="00574A9A" w:rsidRDefault="00574A9A" w:rsidP="009810AB">
            <w:pPr>
              <w:pStyle w:val="DHHSbody"/>
              <w:spacing w:line="240" w:lineRule="atLeast"/>
              <w:rPr>
                <w:rFonts w:cs="Arial"/>
                <w:b/>
                <w:bCs/>
              </w:rPr>
            </w:pPr>
            <w:r w:rsidRPr="00574A9A">
              <w:rPr>
                <w:rFonts w:cs="Arial"/>
                <w:b/>
                <w:bCs/>
              </w:rPr>
              <w:t xml:space="preserve">Accepted </w:t>
            </w:r>
            <w:r w:rsidR="0078550D" w:rsidRPr="00751E7A">
              <w:rPr>
                <w:rFonts w:cs="Arial"/>
                <w:b/>
                <w:bCs/>
                <w:u w:val="single"/>
              </w:rPr>
              <w:t>from 1 July 2020</w:t>
            </w:r>
            <w:r w:rsidR="0078550D">
              <w:rPr>
                <w:rFonts w:cs="Arial"/>
                <w:b/>
                <w:bCs/>
              </w:rPr>
              <w:t xml:space="preserve"> for 2019-20 and 2020-21</w:t>
            </w:r>
            <w:r w:rsidR="00751E7A">
              <w:rPr>
                <w:rFonts w:cs="Arial"/>
                <w:b/>
                <w:bCs/>
              </w:rPr>
              <w:t xml:space="preserve"> financial years</w:t>
            </w:r>
          </w:p>
        </w:tc>
      </w:tr>
      <w:tr w:rsidR="0078550D" w14:paraId="7C262354" w14:textId="245E8098" w:rsidTr="00CD50A2">
        <w:tc>
          <w:tcPr>
            <w:tcW w:w="4282" w:type="dxa"/>
          </w:tcPr>
          <w:p w14:paraId="6F3CBC7B" w14:textId="295E10DA" w:rsidR="00574A9A" w:rsidRDefault="00574A9A" w:rsidP="009810AB">
            <w:pPr>
              <w:pStyle w:val="DHHSbody"/>
              <w:spacing w:line="240" w:lineRule="atLeast"/>
              <w:rPr>
                <w:rFonts w:cs="Arial"/>
              </w:rPr>
            </w:pPr>
            <w:r w:rsidRPr="009810AB">
              <w:rPr>
                <w:rFonts w:cs="Arial"/>
                <w:color w:val="000000"/>
              </w:rPr>
              <w:t>32- Residential pre-admission engagement</w:t>
            </w:r>
            <w:r>
              <w:rPr>
                <w:rFonts w:cs="Arial"/>
                <w:color w:val="000000"/>
              </w:rPr>
              <w:t xml:space="preserve"> </w:t>
            </w:r>
            <w:r w:rsidR="00751E7A">
              <w:rPr>
                <w:rFonts w:cs="Arial"/>
                <w:color w:val="000000"/>
              </w:rPr>
              <w:t>(</w:t>
            </w:r>
            <w:r w:rsidR="00751E7A" w:rsidRPr="00751E7A">
              <w:rPr>
                <w:rFonts w:cs="Arial"/>
                <w:i/>
                <w:iCs/>
                <w:color w:val="000000"/>
              </w:rPr>
              <w:t>this code will be retired on 1 July 2021</w:t>
            </w:r>
            <w:r w:rsidR="00751E7A">
              <w:rPr>
                <w:rFonts w:cs="Arial"/>
                <w:color w:val="000000"/>
              </w:rPr>
              <w:t>)</w:t>
            </w:r>
          </w:p>
        </w:tc>
        <w:tc>
          <w:tcPr>
            <w:tcW w:w="1701" w:type="dxa"/>
          </w:tcPr>
          <w:p w14:paraId="0817BC9D" w14:textId="478D568C" w:rsidR="00574A9A" w:rsidRDefault="00574A9A" w:rsidP="009810AB">
            <w:pPr>
              <w:pStyle w:val="DHHSbody"/>
              <w:spacing w:line="240" w:lineRule="atLeast"/>
              <w:rPr>
                <w:rFonts w:cs="Arial"/>
              </w:rPr>
            </w:pPr>
            <w:r>
              <w:rPr>
                <w:rFonts w:cs="Arial"/>
              </w:rPr>
              <w:t>3- Treatment</w:t>
            </w:r>
          </w:p>
        </w:tc>
        <w:tc>
          <w:tcPr>
            <w:tcW w:w="1134" w:type="dxa"/>
          </w:tcPr>
          <w:p w14:paraId="11AB8551" w14:textId="5EE77795" w:rsidR="00574A9A" w:rsidRDefault="0078550D" w:rsidP="009810AB">
            <w:pPr>
              <w:pStyle w:val="DHHSbody"/>
              <w:spacing w:line="240" w:lineRule="atLeast"/>
              <w:rPr>
                <w:rFonts w:cs="Arial"/>
              </w:rPr>
            </w:pPr>
            <w:r>
              <w:rPr>
                <w:rFonts w:cs="Arial"/>
              </w:rPr>
              <w:t>2019-20</w:t>
            </w:r>
          </w:p>
        </w:tc>
        <w:tc>
          <w:tcPr>
            <w:tcW w:w="2969" w:type="dxa"/>
          </w:tcPr>
          <w:p w14:paraId="58780675" w14:textId="42AB4A56" w:rsidR="00574A9A" w:rsidRDefault="00574A9A" w:rsidP="009810AB">
            <w:pPr>
              <w:pStyle w:val="DHHSbody"/>
              <w:spacing w:line="240" w:lineRule="atLeast"/>
              <w:rPr>
                <w:rFonts w:cs="Arial"/>
              </w:rPr>
            </w:pPr>
            <w:r>
              <w:rPr>
                <w:rFonts w:cs="Arial"/>
              </w:rPr>
              <w:t>Y</w:t>
            </w:r>
            <w:r w:rsidR="00751E7A">
              <w:rPr>
                <w:rFonts w:cs="Arial"/>
              </w:rPr>
              <w:t>es</w:t>
            </w:r>
          </w:p>
        </w:tc>
      </w:tr>
      <w:tr w:rsidR="0078550D" w14:paraId="47DBEBAB" w14:textId="0F9C9C09" w:rsidTr="00CD50A2">
        <w:tc>
          <w:tcPr>
            <w:tcW w:w="4282" w:type="dxa"/>
          </w:tcPr>
          <w:p w14:paraId="5E26427A" w14:textId="6DC7F9A5" w:rsidR="00D0364D" w:rsidRPr="00D0364D" w:rsidRDefault="00574A9A" w:rsidP="009810AB">
            <w:pPr>
              <w:pStyle w:val="DHHSbody"/>
              <w:spacing w:line="240" w:lineRule="atLeast"/>
              <w:rPr>
                <w:rFonts w:cs="Arial"/>
                <w:color w:val="000000"/>
              </w:rPr>
            </w:pPr>
            <w:r w:rsidRPr="009810AB">
              <w:rPr>
                <w:rFonts w:cs="Arial"/>
                <w:color w:val="000000"/>
              </w:rPr>
              <w:t>33- Residential pre-admission engagement</w:t>
            </w:r>
          </w:p>
        </w:tc>
        <w:tc>
          <w:tcPr>
            <w:tcW w:w="1701" w:type="dxa"/>
          </w:tcPr>
          <w:p w14:paraId="7CD130FC" w14:textId="3E236C6A" w:rsidR="00574A9A" w:rsidRDefault="00574A9A" w:rsidP="009810AB">
            <w:pPr>
              <w:pStyle w:val="DHHSbody"/>
              <w:spacing w:line="240" w:lineRule="atLeast"/>
              <w:rPr>
                <w:rFonts w:cs="Arial"/>
              </w:rPr>
            </w:pPr>
            <w:r>
              <w:rPr>
                <w:rFonts w:cs="Arial"/>
              </w:rPr>
              <w:t>1- Presentation</w:t>
            </w:r>
          </w:p>
        </w:tc>
        <w:tc>
          <w:tcPr>
            <w:tcW w:w="1134" w:type="dxa"/>
          </w:tcPr>
          <w:p w14:paraId="00513E9E" w14:textId="70E37C72" w:rsidR="00574A9A" w:rsidRDefault="0078550D" w:rsidP="009810AB">
            <w:pPr>
              <w:pStyle w:val="DHHSbody"/>
              <w:spacing w:line="240" w:lineRule="atLeast"/>
              <w:rPr>
                <w:rFonts w:cs="Arial"/>
              </w:rPr>
            </w:pPr>
            <w:r>
              <w:rPr>
                <w:rFonts w:cs="Arial"/>
              </w:rPr>
              <w:t>2020-21</w:t>
            </w:r>
          </w:p>
        </w:tc>
        <w:tc>
          <w:tcPr>
            <w:tcW w:w="2969" w:type="dxa"/>
          </w:tcPr>
          <w:p w14:paraId="061ABD78" w14:textId="48B3A484" w:rsidR="00574A9A" w:rsidRDefault="00574A9A" w:rsidP="009810AB">
            <w:pPr>
              <w:pStyle w:val="DHHSbody"/>
              <w:spacing w:line="240" w:lineRule="atLeast"/>
              <w:rPr>
                <w:rFonts w:cs="Arial"/>
              </w:rPr>
            </w:pPr>
            <w:r>
              <w:rPr>
                <w:rFonts w:cs="Arial"/>
              </w:rPr>
              <w:t>Y</w:t>
            </w:r>
            <w:r w:rsidR="00751E7A">
              <w:rPr>
                <w:rFonts w:cs="Arial"/>
              </w:rPr>
              <w:t>es</w:t>
            </w:r>
          </w:p>
        </w:tc>
      </w:tr>
    </w:tbl>
    <w:p w14:paraId="14EC6FE2" w14:textId="77777777" w:rsidR="005B0CD9" w:rsidRDefault="005B0CD9" w:rsidP="005B0CD9">
      <w:pPr>
        <w:spacing w:after="120" w:line="240" w:lineRule="atLeast"/>
        <w:rPr>
          <w:rFonts w:ascii="Arial" w:eastAsia="Times New Roman" w:hAnsi="Arial" w:cs="Arial"/>
          <w:sz w:val="20"/>
          <w:szCs w:val="20"/>
        </w:rPr>
      </w:pPr>
    </w:p>
    <w:p w14:paraId="7FE09D53" w14:textId="4915562B" w:rsidR="008D6701" w:rsidRDefault="005B0CD9" w:rsidP="005B0CD9">
      <w:pPr>
        <w:spacing w:after="120" w:line="240" w:lineRule="atLeast"/>
        <w:rPr>
          <w:rFonts w:cs="Arial"/>
          <w:color w:val="000000"/>
        </w:rPr>
      </w:pPr>
      <w:r>
        <w:rPr>
          <w:rFonts w:ascii="Arial" w:eastAsia="Times New Roman" w:hAnsi="Arial" w:cs="Arial"/>
          <w:sz w:val="20"/>
          <w:szCs w:val="20"/>
        </w:rPr>
        <w:t xml:space="preserve">Note - Only one preadmission service event should be reported prior to a residential service event. There is no requirement to report both </w:t>
      </w:r>
      <w:r>
        <w:rPr>
          <w:rFonts w:cs="Arial"/>
          <w:color w:val="000000"/>
        </w:rPr>
        <w:t>”</w:t>
      </w:r>
      <w:r w:rsidRPr="009810AB">
        <w:rPr>
          <w:rFonts w:cs="Arial"/>
          <w:color w:val="000000"/>
        </w:rPr>
        <w:t>3</w:t>
      </w:r>
      <w:r>
        <w:rPr>
          <w:rFonts w:cs="Arial"/>
          <w:color w:val="000000"/>
        </w:rPr>
        <w:t>3</w:t>
      </w:r>
      <w:r w:rsidRPr="009810AB">
        <w:rPr>
          <w:rFonts w:cs="Arial"/>
          <w:color w:val="000000"/>
        </w:rPr>
        <w:t>- Residential pre-admission engagement</w:t>
      </w:r>
      <w:r>
        <w:rPr>
          <w:rFonts w:cs="Arial"/>
          <w:color w:val="000000"/>
        </w:rPr>
        <w:t xml:space="preserve"> (Presentation)” and ”</w:t>
      </w:r>
      <w:r w:rsidRPr="009810AB">
        <w:rPr>
          <w:rFonts w:cs="Arial"/>
          <w:color w:val="000000"/>
        </w:rPr>
        <w:t>32- Residential pre-admission engagement</w:t>
      </w:r>
      <w:r>
        <w:rPr>
          <w:rFonts w:cs="Arial"/>
          <w:color w:val="000000"/>
        </w:rPr>
        <w:t xml:space="preserve"> (Treatment)”.</w:t>
      </w:r>
    </w:p>
    <w:p w14:paraId="52978783" w14:textId="77777777" w:rsidR="008D6701" w:rsidRDefault="008D6701">
      <w:pPr>
        <w:rPr>
          <w:rFonts w:cs="Arial"/>
          <w:color w:val="000000"/>
        </w:rPr>
      </w:pPr>
      <w:r>
        <w:rPr>
          <w:rFonts w:cs="Arial"/>
          <w:color w:val="000000"/>
        </w:rPr>
        <w:br w:type="page"/>
      </w:r>
    </w:p>
    <w:p w14:paraId="227ECADE" w14:textId="7A318E4B" w:rsidR="009810AB" w:rsidRPr="00B46EED" w:rsidRDefault="009810AB" w:rsidP="009810AB">
      <w:pPr>
        <w:pStyle w:val="Heading1"/>
        <w:numPr>
          <w:ilvl w:val="0"/>
          <w:numId w:val="24"/>
        </w:numPr>
        <w:rPr>
          <w:sz w:val="28"/>
          <w:szCs w:val="28"/>
        </w:rPr>
      </w:pPr>
      <w:bookmarkStart w:id="2" w:name="_Toc45804641"/>
      <w:r w:rsidRPr="00B46EED">
        <w:rPr>
          <w:sz w:val="28"/>
          <w:szCs w:val="28"/>
        </w:rPr>
        <w:lastRenderedPageBreak/>
        <w:t>End of the year transition reminder</w:t>
      </w:r>
      <w:bookmarkEnd w:id="2"/>
    </w:p>
    <w:p w14:paraId="2A63B57B" w14:textId="26E8EE74" w:rsidR="00A179F3" w:rsidRDefault="00B958A9" w:rsidP="00A179F3">
      <w:pPr>
        <w:spacing w:after="120" w:line="240" w:lineRule="atLeast"/>
        <w:rPr>
          <w:rFonts w:ascii="Arial" w:eastAsia="Times New Roman" w:hAnsi="Arial" w:cs="Arial"/>
          <w:sz w:val="20"/>
          <w:szCs w:val="20"/>
        </w:rPr>
      </w:pPr>
      <w:bookmarkStart w:id="3" w:name="_Hlk45288079"/>
      <w:r w:rsidRPr="00B958A9">
        <w:rPr>
          <w:rFonts w:ascii="Arial" w:eastAsia="Times New Roman" w:hAnsi="Arial" w:cs="Arial"/>
          <w:sz w:val="20"/>
          <w:szCs w:val="20"/>
        </w:rPr>
        <w:t xml:space="preserve">We recognise that service providers are working extremely hard to meet reporting timeframes in difficult and demanding environments and we appreciate the efforts being made. </w:t>
      </w:r>
      <w:r w:rsidR="00A179F3">
        <w:rPr>
          <w:rFonts w:ascii="Arial" w:eastAsia="Times New Roman" w:hAnsi="Arial" w:cs="Arial"/>
          <w:sz w:val="20"/>
          <w:szCs w:val="20"/>
        </w:rPr>
        <w:t xml:space="preserve"> </w:t>
      </w:r>
      <w:r w:rsidR="00A179F3" w:rsidRPr="00B958A9">
        <w:rPr>
          <w:rFonts w:ascii="Arial" w:eastAsia="Times New Roman" w:hAnsi="Arial" w:cs="Arial"/>
          <w:sz w:val="20"/>
          <w:szCs w:val="20"/>
        </w:rPr>
        <w:t>VADC data continues to be required to be submitted and errors addressed by the 15</w:t>
      </w:r>
      <w:r w:rsidR="00A179F3" w:rsidRPr="00B958A9">
        <w:rPr>
          <w:rFonts w:ascii="Arial" w:eastAsia="Times New Roman" w:hAnsi="Arial" w:cs="Arial"/>
          <w:sz w:val="20"/>
          <w:szCs w:val="20"/>
          <w:vertAlign w:val="superscript"/>
        </w:rPr>
        <w:t>th</w:t>
      </w:r>
      <w:r w:rsidR="00A179F3" w:rsidRPr="00B958A9">
        <w:rPr>
          <w:rFonts w:ascii="Arial" w:eastAsia="Times New Roman" w:hAnsi="Arial" w:cs="Arial"/>
          <w:sz w:val="20"/>
          <w:szCs w:val="20"/>
        </w:rPr>
        <w:t xml:space="preserve"> of the month. Please advise </w:t>
      </w:r>
      <w:hyperlink r:id="rId15" w:history="1">
        <w:r w:rsidR="00A179F3" w:rsidRPr="00B958A9">
          <w:rPr>
            <w:rStyle w:val="Hyperlink"/>
            <w:rFonts w:ascii="Arial" w:eastAsia="Times New Roman" w:hAnsi="Arial" w:cs="Arial"/>
            <w:sz w:val="20"/>
            <w:szCs w:val="20"/>
          </w:rPr>
          <w:t>VADC_data@dhhs.vic.gov.au</w:t>
        </w:r>
      </w:hyperlink>
      <w:r w:rsidR="00A179F3" w:rsidRPr="00B958A9">
        <w:rPr>
          <w:rFonts w:ascii="Arial" w:eastAsia="Times New Roman" w:hAnsi="Arial" w:cs="Arial"/>
          <w:sz w:val="20"/>
          <w:szCs w:val="20"/>
        </w:rPr>
        <w:t xml:space="preserve"> if you are unable to meet the timelines.</w:t>
      </w:r>
    </w:p>
    <w:p w14:paraId="5A49F998" w14:textId="62F92471" w:rsidR="008D3179" w:rsidRDefault="008D3179" w:rsidP="00A179F3">
      <w:pPr>
        <w:spacing w:after="120" w:line="240" w:lineRule="atLeast"/>
        <w:rPr>
          <w:rFonts w:ascii="Arial" w:eastAsia="Times New Roman" w:hAnsi="Arial" w:cs="Arial"/>
          <w:sz w:val="20"/>
          <w:szCs w:val="20"/>
        </w:rPr>
      </w:pPr>
    </w:p>
    <w:p w14:paraId="0AF7F64B" w14:textId="7DF19F9A" w:rsidR="008D3179" w:rsidRDefault="004B6557" w:rsidP="005B0CD9">
      <w:pPr>
        <w:pStyle w:val="Heading3"/>
      </w:pPr>
      <w:r>
        <w:t xml:space="preserve">VADC 19/20 </w:t>
      </w:r>
      <w:r w:rsidR="008D3179">
        <w:t>Data quality</w:t>
      </w:r>
      <w:r w:rsidR="005B0CD9">
        <w:t xml:space="preserve"> </w:t>
      </w:r>
      <w:r>
        <w:t>and completeness</w:t>
      </w:r>
    </w:p>
    <w:p w14:paraId="5110A2D8" w14:textId="27BB78AC" w:rsidR="008D3179" w:rsidRPr="005B0CD9" w:rsidRDefault="005B0CD9" w:rsidP="005B0CD9">
      <w:pPr>
        <w:pStyle w:val="ListParagraph"/>
        <w:numPr>
          <w:ilvl w:val="0"/>
          <w:numId w:val="42"/>
        </w:numPr>
        <w:spacing w:after="120" w:line="240" w:lineRule="atLeast"/>
        <w:rPr>
          <w:rFonts w:ascii="Arial" w:eastAsia="Times New Roman" w:hAnsi="Arial" w:cs="Arial"/>
          <w:sz w:val="20"/>
          <w:szCs w:val="20"/>
        </w:rPr>
      </w:pPr>
      <w:r w:rsidRPr="005B0CD9">
        <w:rPr>
          <w:rFonts w:ascii="Arial" w:eastAsia="Times New Roman" w:hAnsi="Arial" w:cs="Arial"/>
          <w:sz w:val="20"/>
          <w:szCs w:val="20"/>
        </w:rPr>
        <w:t>D</w:t>
      </w:r>
      <w:r w:rsidR="008D3179" w:rsidRPr="005B0CD9">
        <w:rPr>
          <w:rFonts w:ascii="Arial" w:eastAsia="Times New Roman" w:hAnsi="Arial" w:cs="Arial"/>
          <w:sz w:val="20"/>
          <w:szCs w:val="20"/>
        </w:rPr>
        <w:t>o not artificially close service events on 30 June 2020 due to end of financial year. There is no requirement for this as part of end of financial year arrangements. Closure of service events should be in accordance with usual practice only.</w:t>
      </w:r>
    </w:p>
    <w:p w14:paraId="0532656C" w14:textId="77777777" w:rsidR="005B0CD9" w:rsidRDefault="005B0CD9" w:rsidP="005B0CD9">
      <w:pPr>
        <w:spacing w:after="120" w:line="240" w:lineRule="atLeast"/>
        <w:rPr>
          <w:rFonts w:ascii="Arial" w:eastAsia="Times New Roman" w:hAnsi="Arial" w:cs="Arial"/>
          <w:sz w:val="20"/>
          <w:szCs w:val="20"/>
        </w:rPr>
      </w:pPr>
    </w:p>
    <w:p w14:paraId="5CC83C50" w14:textId="1D1E7920" w:rsidR="005B0CD9" w:rsidRPr="005B0CD9" w:rsidRDefault="004B6557" w:rsidP="005B0CD9">
      <w:pPr>
        <w:pStyle w:val="ListParagraph"/>
        <w:numPr>
          <w:ilvl w:val="0"/>
          <w:numId w:val="42"/>
        </w:numPr>
        <w:spacing w:after="120" w:line="240" w:lineRule="atLeast"/>
        <w:rPr>
          <w:rFonts w:ascii="Arial" w:eastAsia="Times New Roman" w:hAnsi="Arial" w:cs="Arial"/>
          <w:sz w:val="20"/>
          <w:szCs w:val="20"/>
        </w:rPr>
      </w:pPr>
      <w:r>
        <w:rPr>
          <w:rFonts w:ascii="Arial" w:eastAsia="Times New Roman" w:hAnsi="Arial" w:cs="Arial"/>
          <w:sz w:val="20"/>
          <w:szCs w:val="20"/>
        </w:rPr>
        <w:t xml:space="preserve">For </w:t>
      </w:r>
      <w:r w:rsidR="005B0CD9" w:rsidRPr="005B0CD9">
        <w:rPr>
          <w:rFonts w:ascii="Arial" w:eastAsia="Times New Roman" w:hAnsi="Arial" w:cs="Arial"/>
          <w:sz w:val="20"/>
          <w:szCs w:val="20"/>
        </w:rPr>
        <w:t xml:space="preserve">your VADC activity to be counted in 2019-20 performance reports, please ensure </w:t>
      </w:r>
      <w:r w:rsidR="00CA3F17">
        <w:rPr>
          <w:rFonts w:ascii="Arial" w:eastAsia="Times New Roman" w:hAnsi="Arial" w:cs="Arial"/>
          <w:sz w:val="20"/>
          <w:szCs w:val="20"/>
        </w:rPr>
        <w:t>you</w:t>
      </w:r>
    </w:p>
    <w:p w14:paraId="08BEA155" w14:textId="668B3362" w:rsidR="005B0CD9" w:rsidRDefault="005B0CD9" w:rsidP="005B0CD9">
      <w:pPr>
        <w:pStyle w:val="ListParagraph"/>
        <w:numPr>
          <w:ilvl w:val="0"/>
          <w:numId w:val="39"/>
        </w:numPr>
        <w:spacing w:after="120" w:line="240" w:lineRule="atLeast"/>
        <w:rPr>
          <w:rFonts w:ascii="Arial" w:eastAsia="Times New Roman" w:hAnsi="Arial" w:cs="Arial"/>
          <w:sz w:val="20"/>
          <w:szCs w:val="20"/>
        </w:rPr>
      </w:pPr>
      <w:r w:rsidRPr="00837BBB">
        <w:rPr>
          <w:rFonts w:ascii="Arial" w:eastAsia="Times New Roman" w:hAnsi="Arial" w:cs="Arial"/>
          <w:sz w:val="20"/>
          <w:szCs w:val="20"/>
        </w:rPr>
        <w:t xml:space="preserve">submit </w:t>
      </w:r>
      <w:r>
        <w:rPr>
          <w:rFonts w:ascii="Arial" w:eastAsia="Times New Roman" w:hAnsi="Arial" w:cs="Arial"/>
          <w:sz w:val="20"/>
          <w:szCs w:val="20"/>
        </w:rPr>
        <w:t>2019-20 VADC data by COB 14</w:t>
      </w:r>
      <w:r w:rsidRPr="00837BBB">
        <w:rPr>
          <w:rFonts w:ascii="Arial" w:eastAsia="Times New Roman" w:hAnsi="Arial" w:cs="Arial"/>
          <w:sz w:val="20"/>
          <w:szCs w:val="20"/>
        </w:rPr>
        <w:t xml:space="preserve"> </w:t>
      </w:r>
      <w:r>
        <w:rPr>
          <w:rFonts w:ascii="Arial" w:eastAsia="Times New Roman" w:hAnsi="Arial" w:cs="Arial"/>
          <w:sz w:val="20"/>
          <w:szCs w:val="20"/>
        </w:rPr>
        <w:t>August 2020</w:t>
      </w:r>
    </w:p>
    <w:p w14:paraId="143FEC4F" w14:textId="41819AE6" w:rsidR="005B0CD9" w:rsidRDefault="005B0CD9" w:rsidP="005B0CD9">
      <w:pPr>
        <w:pStyle w:val="ListParagraph"/>
        <w:numPr>
          <w:ilvl w:val="0"/>
          <w:numId w:val="39"/>
        </w:numPr>
        <w:spacing w:after="120" w:line="240" w:lineRule="atLeast"/>
        <w:rPr>
          <w:rFonts w:ascii="Arial" w:eastAsia="Times New Roman" w:hAnsi="Arial" w:cs="Arial"/>
          <w:sz w:val="20"/>
          <w:szCs w:val="20"/>
        </w:rPr>
      </w:pPr>
      <w:r>
        <w:rPr>
          <w:rFonts w:ascii="Arial" w:eastAsia="Times New Roman" w:hAnsi="Arial" w:cs="Arial"/>
          <w:sz w:val="20"/>
          <w:szCs w:val="20"/>
        </w:rPr>
        <w:t xml:space="preserve">review </w:t>
      </w:r>
      <w:r w:rsidR="00CA3F17">
        <w:rPr>
          <w:rFonts w:ascii="Arial" w:eastAsia="Times New Roman" w:hAnsi="Arial" w:cs="Arial"/>
          <w:sz w:val="20"/>
          <w:szCs w:val="20"/>
        </w:rPr>
        <w:t xml:space="preserve">the </w:t>
      </w:r>
      <w:r>
        <w:rPr>
          <w:rFonts w:ascii="Arial" w:eastAsia="Times New Roman" w:hAnsi="Arial" w:cs="Arial"/>
          <w:sz w:val="20"/>
          <w:szCs w:val="20"/>
        </w:rPr>
        <w:t>Service Event Statement (SES) generated on 17-18 August 2020</w:t>
      </w:r>
    </w:p>
    <w:p w14:paraId="73594F8A" w14:textId="351974B3" w:rsidR="005B0CD9" w:rsidRDefault="005B0CD9" w:rsidP="005B0CD9">
      <w:pPr>
        <w:pStyle w:val="ListParagraph"/>
        <w:numPr>
          <w:ilvl w:val="0"/>
          <w:numId w:val="39"/>
        </w:numPr>
        <w:spacing w:after="120" w:line="240" w:lineRule="atLeast"/>
        <w:rPr>
          <w:rFonts w:ascii="Arial" w:eastAsia="Times New Roman" w:hAnsi="Arial" w:cs="Arial"/>
          <w:sz w:val="20"/>
          <w:szCs w:val="20"/>
        </w:rPr>
      </w:pPr>
      <w:r>
        <w:rPr>
          <w:rFonts w:ascii="Arial" w:eastAsia="Times New Roman" w:hAnsi="Arial" w:cs="Arial"/>
          <w:sz w:val="20"/>
          <w:szCs w:val="20"/>
        </w:rPr>
        <w:t xml:space="preserve">where required, correct and resubmit 2019-20 VADC data by COB </w:t>
      </w:r>
      <w:r w:rsidRPr="00837BBB">
        <w:rPr>
          <w:rFonts w:ascii="Arial" w:eastAsia="Times New Roman" w:hAnsi="Arial" w:cs="Arial"/>
          <w:sz w:val="20"/>
          <w:szCs w:val="20"/>
        </w:rPr>
        <w:t>2</w:t>
      </w:r>
      <w:r w:rsidR="00860A96">
        <w:rPr>
          <w:rFonts w:ascii="Arial" w:eastAsia="Times New Roman" w:hAnsi="Arial" w:cs="Arial"/>
          <w:sz w:val="20"/>
          <w:szCs w:val="20"/>
        </w:rPr>
        <w:t>1</w:t>
      </w:r>
      <w:r w:rsidRPr="00837BBB">
        <w:rPr>
          <w:rFonts w:ascii="Arial" w:eastAsia="Times New Roman" w:hAnsi="Arial" w:cs="Arial"/>
          <w:sz w:val="20"/>
          <w:szCs w:val="20"/>
        </w:rPr>
        <w:t xml:space="preserve"> August 2020 </w:t>
      </w:r>
    </w:p>
    <w:p w14:paraId="444D4DDB" w14:textId="2C9EDA16" w:rsidR="005B0CD9" w:rsidRDefault="005B0CD9" w:rsidP="005B0CD9">
      <w:pPr>
        <w:spacing w:after="120" w:line="240" w:lineRule="atLeast"/>
        <w:rPr>
          <w:rFonts w:ascii="Arial" w:eastAsia="Times New Roman" w:hAnsi="Arial" w:cs="Arial"/>
          <w:sz w:val="20"/>
          <w:szCs w:val="20"/>
        </w:rPr>
      </w:pPr>
      <w:r>
        <w:rPr>
          <w:rFonts w:ascii="Arial" w:eastAsia="Times New Roman" w:hAnsi="Arial" w:cs="Arial"/>
          <w:sz w:val="20"/>
          <w:szCs w:val="20"/>
        </w:rPr>
        <w:t>W</w:t>
      </w:r>
      <w:r w:rsidRPr="00051E84">
        <w:rPr>
          <w:rFonts w:ascii="Arial" w:eastAsia="Times New Roman" w:hAnsi="Arial" w:cs="Arial"/>
          <w:sz w:val="20"/>
          <w:szCs w:val="20"/>
        </w:rPr>
        <w:t xml:space="preserve">hilst we will accept </w:t>
      </w:r>
      <w:r>
        <w:rPr>
          <w:rFonts w:ascii="Arial" w:eastAsia="Times New Roman" w:hAnsi="Arial" w:cs="Arial"/>
          <w:sz w:val="20"/>
          <w:szCs w:val="20"/>
        </w:rPr>
        <w:t>VADC data</w:t>
      </w:r>
      <w:r w:rsidRPr="00051E84">
        <w:rPr>
          <w:rFonts w:ascii="Arial" w:eastAsia="Times New Roman" w:hAnsi="Arial" w:cs="Arial"/>
          <w:sz w:val="20"/>
          <w:szCs w:val="20"/>
        </w:rPr>
        <w:t xml:space="preserve"> beyond </w:t>
      </w:r>
      <w:r>
        <w:rPr>
          <w:rFonts w:ascii="Arial" w:eastAsia="Times New Roman" w:hAnsi="Arial" w:cs="Arial"/>
          <w:sz w:val="20"/>
          <w:szCs w:val="20"/>
        </w:rPr>
        <w:t>2</w:t>
      </w:r>
      <w:r w:rsidR="00860A96">
        <w:rPr>
          <w:rFonts w:ascii="Arial" w:eastAsia="Times New Roman" w:hAnsi="Arial" w:cs="Arial"/>
          <w:sz w:val="20"/>
          <w:szCs w:val="20"/>
        </w:rPr>
        <w:t>1</w:t>
      </w:r>
      <w:r>
        <w:rPr>
          <w:rFonts w:ascii="Arial" w:eastAsia="Times New Roman" w:hAnsi="Arial" w:cs="Arial"/>
          <w:sz w:val="20"/>
          <w:szCs w:val="20"/>
        </w:rPr>
        <w:t xml:space="preserve"> August</w:t>
      </w:r>
      <w:r w:rsidRPr="00051E84">
        <w:rPr>
          <w:rFonts w:ascii="Arial" w:eastAsia="Times New Roman" w:hAnsi="Arial" w:cs="Arial"/>
          <w:sz w:val="20"/>
          <w:szCs w:val="20"/>
        </w:rPr>
        <w:t xml:space="preserve">, it may not be included </w:t>
      </w:r>
      <w:r>
        <w:rPr>
          <w:rFonts w:ascii="Arial" w:eastAsia="Times New Roman" w:hAnsi="Arial" w:cs="Arial"/>
          <w:sz w:val="20"/>
          <w:szCs w:val="20"/>
        </w:rPr>
        <w:t xml:space="preserve">into </w:t>
      </w:r>
      <w:r w:rsidRPr="00051E84">
        <w:rPr>
          <w:rFonts w:ascii="Arial" w:eastAsia="Times New Roman" w:hAnsi="Arial" w:cs="Arial"/>
          <w:sz w:val="20"/>
          <w:szCs w:val="20"/>
        </w:rPr>
        <w:t xml:space="preserve">routine </w:t>
      </w:r>
      <w:r>
        <w:rPr>
          <w:rFonts w:ascii="Arial" w:eastAsia="Times New Roman" w:hAnsi="Arial" w:cs="Arial"/>
          <w:sz w:val="20"/>
          <w:szCs w:val="20"/>
        </w:rPr>
        <w:t>2019-20</w:t>
      </w:r>
      <w:r w:rsidRPr="00051E84">
        <w:rPr>
          <w:rFonts w:ascii="Arial" w:eastAsia="Times New Roman" w:hAnsi="Arial" w:cs="Arial"/>
          <w:sz w:val="20"/>
          <w:szCs w:val="20"/>
        </w:rPr>
        <w:t xml:space="preserve"> performance reports</w:t>
      </w:r>
      <w:r>
        <w:rPr>
          <w:rFonts w:ascii="Arial" w:eastAsia="Times New Roman" w:hAnsi="Arial" w:cs="Arial"/>
          <w:sz w:val="20"/>
          <w:szCs w:val="20"/>
        </w:rPr>
        <w:t>.</w:t>
      </w:r>
    </w:p>
    <w:p w14:paraId="0FD3AC1D" w14:textId="2FA68986" w:rsidR="0012177C" w:rsidRDefault="0012177C" w:rsidP="005B0CD9">
      <w:pPr>
        <w:spacing w:after="120" w:line="240" w:lineRule="atLeast"/>
        <w:rPr>
          <w:rFonts w:ascii="Arial" w:eastAsia="Times New Roman" w:hAnsi="Arial" w:cs="Arial"/>
          <w:sz w:val="20"/>
          <w:szCs w:val="20"/>
        </w:rPr>
      </w:pPr>
    </w:p>
    <w:p w14:paraId="22F6A330" w14:textId="77777777" w:rsidR="0012177C" w:rsidRPr="00051E84" w:rsidRDefault="0012177C" w:rsidP="005B0CD9">
      <w:pPr>
        <w:spacing w:after="120" w:line="240" w:lineRule="atLeast"/>
        <w:rPr>
          <w:rFonts w:ascii="Arial" w:eastAsia="Times New Roman" w:hAnsi="Arial" w:cs="Arial"/>
          <w:sz w:val="20"/>
          <w:szCs w:val="20"/>
        </w:rPr>
      </w:pPr>
    </w:p>
    <w:p w14:paraId="40E81203" w14:textId="5F50E91A" w:rsidR="007B40B7" w:rsidRPr="00B46EED" w:rsidRDefault="007B40B7" w:rsidP="007B40B7">
      <w:pPr>
        <w:pStyle w:val="Heading1"/>
        <w:numPr>
          <w:ilvl w:val="0"/>
          <w:numId w:val="24"/>
        </w:numPr>
        <w:rPr>
          <w:sz w:val="28"/>
          <w:szCs w:val="28"/>
        </w:rPr>
      </w:pPr>
      <w:bookmarkStart w:id="4" w:name="_Toc45804642"/>
      <w:bookmarkEnd w:id="3"/>
      <w:r>
        <w:rPr>
          <w:sz w:val="28"/>
          <w:szCs w:val="28"/>
        </w:rPr>
        <w:t xml:space="preserve">Testing extracts for </w:t>
      </w:r>
      <w:r w:rsidRPr="00B46EED">
        <w:rPr>
          <w:sz w:val="28"/>
          <w:szCs w:val="28"/>
        </w:rPr>
        <w:t>2020-21</w:t>
      </w:r>
      <w:r>
        <w:rPr>
          <w:sz w:val="28"/>
          <w:szCs w:val="28"/>
        </w:rPr>
        <w:t xml:space="preserve"> data</w:t>
      </w:r>
      <w:bookmarkEnd w:id="4"/>
    </w:p>
    <w:p w14:paraId="1B1867E7" w14:textId="77777777" w:rsidR="00B958A9" w:rsidRPr="00987666" w:rsidRDefault="00B958A9" w:rsidP="00A179F3">
      <w:pPr>
        <w:pStyle w:val="DHHSbody"/>
        <w:spacing w:line="240" w:lineRule="atLeast"/>
      </w:pPr>
      <w:bookmarkStart w:id="5" w:name="_Hlk36563834"/>
      <w:r w:rsidRPr="00987666">
        <w:t xml:space="preserve">The department encourages service providers to test their system changes before sending live data to the VADC. It is preferable that the vendor submits their test data through their nominated site. </w:t>
      </w:r>
    </w:p>
    <w:bookmarkEnd w:id="5"/>
    <w:p w14:paraId="1256C371" w14:textId="77777777" w:rsidR="00B958A9" w:rsidRPr="00837BBB" w:rsidRDefault="00B958A9" w:rsidP="00A179F3">
      <w:pPr>
        <w:pStyle w:val="DHHSbody"/>
        <w:spacing w:line="240" w:lineRule="atLeast"/>
      </w:pPr>
      <w:r w:rsidRPr="00837BBB">
        <w:t>Objectives of the testing process</w:t>
      </w:r>
      <w:r>
        <w:t>:</w:t>
      </w:r>
    </w:p>
    <w:p w14:paraId="25947435" w14:textId="77777777" w:rsidR="00B958A9" w:rsidRPr="00987666" w:rsidRDefault="00B958A9" w:rsidP="00A179F3">
      <w:pPr>
        <w:pStyle w:val="ListParagraph"/>
        <w:numPr>
          <w:ilvl w:val="0"/>
          <w:numId w:val="41"/>
        </w:numPr>
        <w:spacing w:after="120" w:line="240" w:lineRule="atLeast"/>
        <w:contextualSpacing w:val="0"/>
        <w:rPr>
          <w:rFonts w:ascii="Arial" w:hAnsi="Arial" w:cs="Arial"/>
          <w:sz w:val="20"/>
          <w:szCs w:val="20"/>
        </w:rPr>
      </w:pPr>
      <w:r>
        <w:rPr>
          <w:rFonts w:ascii="Arial" w:eastAsia="Times" w:hAnsi="Arial" w:cs="Times New Roman"/>
          <w:sz w:val="20"/>
          <w:szCs w:val="20"/>
        </w:rPr>
        <w:t>t</w:t>
      </w:r>
      <w:r w:rsidRPr="00837BBB">
        <w:rPr>
          <w:rFonts w:ascii="Arial" w:eastAsia="Times" w:hAnsi="Arial" w:cs="Times New Roman"/>
          <w:sz w:val="20"/>
          <w:szCs w:val="20"/>
        </w:rPr>
        <w:t>o confirm software can create a submission</w:t>
      </w:r>
      <w:r w:rsidRPr="00987666">
        <w:rPr>
          <w:rFonts w:ascii="Arial" w:hAnsi="Arial" w:cs="Arial"/>
          <w:sz w:val="20"/>
          <w:szCs w:val="20"/>
        </w:rPr>
        <w:t xml:space="preserve"> file in the correct format for reporting data to the VADC</w:t>
      </w:r>
    </w:p>
    <w:p w14:paraId="4B3AEAE6" w14:textId="77777777" w:rsidR="00B958A9" w:rsidRPr="00987666" w:rsidRDefault="00B958A9" w:rsidP="00A179F3">
      <w:pPr>
        <w:pStyle w:val="ListParagraph"/>
        <w:numPr>
          <w:ilvl w:val="0"/>
          <w:numId w:val="41"/>
        </w:numPr>
        <w:spacing w:after="120" w:line="240" w:lineRule="atLeast"/>
        <w:contextualSpacing w:val="0"/>
        <w:rPr>
          <w:rFonts w:ascii="Arial" w:hAnsi="Arial" w:cs="Arial"/>
          <w:sz w:val="20"/>
          <w:szCs w:val="20"/>
        </w:rPr>
      </w:pPr>
      <w:r>
        <w:rPr>
          <w:rFonts w:ascii="Arial" w:hAnsi="Arial" w:cs="Arial"/>
          <w:sz w:val="20"/>
          <w:szCs w:val="20"/>
        </w:rPr>
        <w:t>t</w:t>
      </w:r>
      <w:r w:rsidRPr="00987666">
        <w:rPr>
          <w:rFonts w:ascii="Arial" w:hAnsi="Arial" w:cs="Arial"/>
          <w:sz w:val="20"/>
          <w:szCs w:val="20"/>
        </w:rPr>
        <w:t>o demonstrate capability of error correction and re-submission</w:t>
      </w:r>
    </w:p>
    <w:p w14:paraId="2E5244A2" w14:textId="0ED7BF58" w:rsidR="00B958A9" w:rsidRDefault="00B958A9" w:rsidP="00A179F3">
      <w:pPr>
        <w:pStyle w:val="ListParagraph"/>
        <w:numPr>
          <w:ilvl w:val="0"/>
          <w:numId w:val="41"/>
        </w:numPr>
        <w:spacing w:after="120" w:line="240" w:lineRule="atLeast"/>
        <w:contextualSpacing w:val="0"/>
        <w:rPr>
          <w:rFonts w:ascii="Arial" w:hAnsi="Arial" w:cs="Arial"/>
          <w:sz w:val="20"/>
          <w:szCs w:val="20"/>
        </w:rPr>
      </w:pPr>
      <w:r>
        <w:rPr>
          <w:rFonts w:ascii="Arial" w:hAnsi="Arial" w:cs="Arial"/>
          <w:sz w:val="20"/>
          <w:szCs w:val="20"/>
        </w:rPr>
        <w:t>t</w:t>
      </w:r>
      <w:r w:rsidRPr="00987666">
        <w:rPr>
          <w:rFonts w:ascii="Arial" w:hAnsi="Arial" w:cs="Arial"/>
          <w:sz w:val="20"/>
          <w:szCs w:val="20"/>
        </w:rPr>
        <w:t>o provide advice about submission of data, correction of errors and data quality</w:t>
      </w:r>
    </w:p>
    <w:p w14:paraId="05D4391C" w14:textId="0F057A1C" w:rsidR="0012177C" w:rsidRDefault="0012177C" w:rsidP="0012177C">
      <w:pPr>
        <w:spacing w:after="120" w:line="240" w:lineRule="atLeast"/>
        <w:rPr>
          <w:rFonts w:ascii="Arial" w:hAnsi="Arial" w:cs="Arial"/>
          <w:sz w:val="20"/>
          <w:szCs w:val="20"/>
        </w:rPr>
      </w:pPr>
    </w:p>
    <w:p w14:paraId="602A3DB7" w14:textId="77777777" w:rsidR="0012177C" w:rsidRPr="0012177C" w:rsidRDefault="0012177C" w:rsidP="0012177C">
      <w:pPr>
        <w:spacing w:after="120" w:line="240" w:lineRule="atLeast"/>
        <w:rPr>
          <w:rFonts w:ascii="Arial" w:hAnsi="Arial" w:cs="Arial"/>
          <w:sz w:val="20"/>
          <w:szCs w:val="20"/>
        </w:rPr>
      </w:pPr>
    </w:p>
    <w:p w14:paraId="2506B593" w14:textId="532C24A0" w:rsidR="00A177FD" w:rsidRPr="00B46EED" w:rsidRDefault="00A177FD" w:rsidP="00A177FD">
      <w:pPr>
        <w:pStyle w:val="Heading1"/>
        <w:numPr>
          <w:ilvl w:val="0"/>
          <w:numId w:val="24"/>
        </w:numPr>
        <w:rPr>
          <w:sz w:val="28"/>
          <w:szCs w:val="28"/>
        </w:rPr>
      </w:pPr>
      <w:bookmarkStart w:id="6" w:name="_Toc45804643"/>
      <w:r w:rsidRPr="00B46EED">
        <w:rPr>
          <w:sz w:val="28"/>
          <w:szCs w:val="28"/>
        </w:rPr>
        <w:t>Service Event Statement (SES) reminder</w:t>
      </w:r>
      <w:bookmarkEnd w:id="6"/>
    </w:p>
    <w:p w14:paraId="5145520D" w14:textId="552CD89F" w:rsidR="0012177C" w:rsidRDefault="00574A9A" w:rsidP="00A179F3">
      <w:pPr>
        <w:pStyle w:val="DHHSbody"/>
        <w:spacing w:line="240" w:lineRule="atLeast"/>
        <w:rPr>
          <w:rFonts w:cs="Arial"/>
        </w:rPr>
      </w:pPr>
      <w:r>
        <w:rPr>
          <w:rFonts w:cs="Arial"/>
        </w:rPr>
        <w:t>Please</w:t>
      </w:r>
      <w:r w:rsidR="0010112B" w:rsidRPr="00B46EED">
        <w:rPr>
          <w:rFonts w:cs="Arial"/>
        </w:rPr>
        <w:t xml:space="preserve"> </w:t>
      </w:r>
      <w:r w:rsidR="007A5103">
        <w:rPr>
          <w:rFonts w:cs="Arial"/>
        </w:rPr>
        <w:t>download</w:t>
      </w:r>
      <w:r w:rsidR="0010112B" w:rsidRPr="00B46EED">
        <w:rPr>
          <w:rFonts w:cs="Arial"/>
        </w:rPr>
        <w:t xml:space="preserve"> your SES from </w:t>
      </w:r>
      <w:r w:rsidR="00A50FBC">
        <w:rPr>
          <w:rFonts w:cs="Arial"/>
        </w:rPr>
        <w:t>your VADC</w:t>
      </w:r>
      <w:r w:rsidR="0010112B" w:rsidRPr="00B46EED">
        <w:rPr>
          <w:rFonts w:cs="Arial"/>
        </w:rPr>
        <w:t xml:space="preserve"> pick up folder </w:t>
      </w:r>
      <w:r w:rsidR="00A50FBC">
        <w:rPr>
          <w:rFonts w:cs="Arial"/>
        </w:rPr>
        <w:t xml:space="preserve">in MFT </w:t>
      </w:r>
      <w:r w:rsidR="00A50FBC" w:rsidRPr="00B46EED">
        <w:rPr>
          <w:rFonts w:cs="Arial"/>
        </w:rPr>
        <w:t>and review your activity</w:t>
      </w:r>
      <w:r w:rsidR="00A50FBC">
        <w:rPr>
          <w:rFonts w:cs="Arial"/>
        </w:rPr>
        <w:t xml:space="preserve">. </w:t>
      </w:r>
      <w:r w:rsidR="00402CD4">
        <w:rPr>
          <w:rFonts w:cs="Arial"/>
        </w:rPr>
        <w:t xml:space="preserve">The </w:t>
      </w:r>
      <w:r w:rsidR="00A50FBC">
        <w:rPr>
          <w:rFonts w:cs="Arial"/>
        </w:rPr>
        <w:t xml:space="preserve">SES is </w:t>
      </w:r>
      <w:r>
        <w:rPr>
          <w:rFonts w:cs="Arial"/>
        </w:rPr>
        <w:t xml:space="preserve">available </w:t>
      </w:r>
      <w:r w:rsidR="00127719">
        <w:rPr>
          <w:rFonts w:cs="Arial"/>
        </w:rPr>
        <w:t xml:space="preserve">2-3 days </w:t>
      </w:r>
      <w:r>
        <w:rPr>
          <w:rFonts w:cs="Arial"/>
        </w:rPr>
        <w:t xml:space="preserve">after </w:t>
      </w:r>
      <w:r w:rsidR="00402CD4">
        <w:rPr>
          <w:rFonts w:cs="Arial"/>
        </w:rPr>
        <w:t xml:space="preserve">the </w:t>
      </w:r>
      <w:r>
        <w:rPr>
          <w:rFonts w:cs="Arial"/>
        </w:rPr>
        <w:t>submission deadline</w:t>
      </w:r>
      <w:r w:rsidR="0010112B" w:rsidRPr="00B46EED">
        <w:rPr>
          <w:rFonts w:cs="Arial"/>
        </w:rPr>
        <w:t xml:space="preserve">. </w:t>
      </w:r>
      <w:r w:rsidR="00F62B49">
        <w:rPr>
          <w:rFonts w:cs="Arial"/>
        </w:rPr>
        <w:t>To ensure your current activity is</w:t>
      </w:r>
      <w:r w:rsidR="0025629A">
        <w:rPr>
          <w:rFonts w:cs="Arial"/>
        </w:rPr>
        <w:t xml:space="preserve"> included in your SES, error free data </w:t>
      </w:r>
      <w:r w:rsidR="00F62B49">
        <w:rPr>
          <w:rFonts w:cs="Arial"/>
        </w:rPr>
        <w:t>must be submitted</w:t>
      </w:r>
      <w:r w:rsidR="0025629A">
        <w:rPr>
          <w:rFonts w:cs="Arial"/>
        </w:rPr>
        <w:t xml:space="preserve"> </w:t>
      </w:r>
      <w:r w:rsidR="00F62B49">
        <w:rPr>
          <w:rFonts w:cs="Arial"/>
        </w:rPr>
        <w:t>by the submission deadline, t</w:t>
      </w:r>
      <w:r w:rsidR="0025629A">
        <w:rPr>
          <w:rFonts w:cs="Arial"/>
        </w:rPr>
        <w:t>he 15</w:t>
      </w:r>
      <w:r w:rsidR="0025629A" w:rsidRPr="0025629A">
        <w:rPr>
          <w:rFonts w:cs="Arial"/>
          <w:vertAlign w:val="superscript"/>
        </w:rPr>
        <w:t>th</w:t>
      </w:r>
      <w:r w:rsidR="0025629A">
        <w:rPr>
          <w:rFonts w:cs="Arial"/>
        </w:rPr>
        <w:t xml:space="preserve"> of the month.</w:t>
      </w:r>
      <w:r w:rsidR="00F62B49">
        <w:rPr>
          <w:rFonts w:cs="Arial"/>
        </w:rPr>
        <w:t xml:space="preserve"> </w:t>
      </w:r>
    </w:p>
    <w:p w14:paraId="347F3317" w14:textId="77777777" w:rsidR="0012177C" w:rsidRDefault="0012177C">
      <w:pPr>
        <w:rPr>
          <w:rFonts w:ascii="Arial" w:eastAsia="Times" w:hAnsi="Arial" w:cs="Arial"/>
          <w:sz w:val="20"/>
          <w:szCs w:val="20"/>
        </w:rPr>
      </w:pPr>
      <w:r>
        <w:rPr>
          <w:rFonts w:cs="Arial"/>
        </w:rPr>
        <w:br w:type="page"/>
      </w:r>
    </w:p>
    <w:p w14:paraId="64E39FE0" w14:textId="4CE28CFE" w:rsidR="00937B6D" w:rsidRPr="00B46EED" w:rsidRDefault="00261938" w:rsidP="0018434B">
      <w:pPr>
        <w:pStyle w:val="Heading1"/>
        <w:numPr>
          <w:ilvl w:val="0"/>
          <w:numId w:val="24"/>
        </w:numPr>
        <w:rPr>
          <w:sz w:val="28"/>
          <w:szCs w:val="28"/>
        </w:rPr>
      </w:pPr>
      <w:bookmarkStart w:id="7" w:name="_Toc45804644"/>
      <w:r>
        <w:rPr>
          <w:sz w:val="28"/>
          <w:szCs w:val="28"/>
        </w:rPr>
        <w:lastRenderedPageBreak/>
        <w:t xml:space="preserve">Configuration of </w:t>
      </w:r>
      <w:r w:rsidR="00003E30">
        <w:rPr>
          <w:sz w:val="28"/>
          <w:szCs w:val="28"/>
        </w:rPr>
        <w:t xml:space="preserve">AOD47 &amp; AOD48 </w:t>
      </w:r>
      <w:r w:rsidR="00814D51">
        <w:rPr>
          <w:sz w:val="28"/>
          <w:szCs w:val="28"/>
        </w:rPr>
        <w:t>validatio</w:t>
      </w:r>
      <w:r w:rsidR="0018434B">
        <w:rPr>
          <w:sz w:val="28"/>
          <w:szCs w:val="28"/>
        </w:rPr>
        <w:t>n</w:t>
      </w:r>
      <w:r>
        <w:rPr>
          <w:sz w:val="28"/>
          <w:szCs w:val="28"/>
        </w:rPr>
        <w:t>s</w:t>
      </w:r>
      <w:bookmarkEnd w:id="7"/>
      <w:r>
        <w:rPr>
          <w:sz w:val="28"/>
          <w:szCs w:val="28"/>
        </w:rPr>
        <w:t xml:space="preserve"> </w:t>
      </w:r>
    </w:p>
    <w:p w14:paraId="05F007CA" w14:textId="6F839AE2" w:rsidR="000A6F5F" w:rsidRDefault="00CA3F17" w:rsidP="00A179F3">
      <w:pPr>
        <w:pStyle w:val="DHHSbody"/>
        <w:spacing w:line="240" w:lineRule="atLeast"/>
        <w:rPr>
          <w:rFonts w:cs="Arial"/>
        </w:rPr>
      </w:pPr>
      <w:r>
        <w:rPr>
          <w:rFonts w:cs="Arial"/>
        </w:rPr>
        <w:t xml:space="preserve">An issue </w:t>
      </w:r>
      <w:r w:rsidR="00F005AF">
        <w:rPr>
          <w:rFonts w:cs="Arial"/>
        </w:rPr>
        <w:t xml:space="preserve">has been identified </w:t>
      </w:r>
      <w:r w:rsidR="000A6F5F">
        <w:rPr>
          <w:rFonts w:cs="Arial"/>
        </w:rPr>
        <w:t xml:space="preserve">in the VADC </w:t>
      </w:r>
      <w:r>
        <w:rPr>
          <w:rFonts w:cs="Arial"/>
        </w:rPr>
        <w:t>processor</w:t>
      </w:r>
      <w:r w:rsidR="000A6F5F">
        <w:rPr>
          <w:rFonts w:cs="Arial"/>
        </w:rPr>
        <w:t xml:space="preserve"> when</w:t>
      </w:r>
      <w:r w:rsidR="00F005AF">
        <w:rPr>
          <w:rFonts w:cs="Arial"/>
        </w:rPr>
        <w:t xml:space="preserve"> validating </w:t>
      </w:r>
      <w:r w:rsidR="000A6F5F">
        <w:rPr>
          <w:rFonts w:cs="Arial"/>
        </w:rPr>
        <w:t>the following combinations:</w:t>
      </w:r>
    </w:p>
    <w:p w14:paraId="0EB85197" w14:textId="7E151F19" w:rsidR="000A6F5F" w:rsidRDefault="00F005AF" w:rsidP="00A179F3">
      <w:pPr>
        <w:pStyle w:val="DHHSbody"/>
        <w:numPr>
          <w:ilvl w:val="0"/>
          <w:numId w:val="36"/>
        </w:numPr>
        <w:spacing w:line="240" w:lineRule="atLeast"/>
        <w:rPr>
          <w:rFonts w:cs="Arial"/>
        </w:rPr>
      </w:pPr>
      <w:r>
        <w:rPr>
          <w:rFonts w:cs="Arial"/>
        </w:rPr>
        <w:t>funding source</w:t>
      </w:r>
      <w:r w:rsidR="000A6F5F">
        <w:rPr>
          <w:rFonts w:cs="Arial"/>
        </w:rPr>
        <w:t xml:space="preserve"> </w:t>
      </w:r>
      <w:r w:rsidR="000A6F5F" w:rsidRPr="000A6F5F">
        <w:rPr>
          <w:rFonts w:cs="Arial"/>
          <w:i/>
          <w:iCs/>
        </w:rPr>
        <w:t>100-Vic State Gov – General</w:t>
      </w:r>
      <w:r w:rsidR="000A6F5F">
        <w:rPr>
          <w:rFonts w:cs="Arial"/>
        </w:rPr>
        <w:t xml:space="preserve"> / </w:t>
      </w:r>
      <w:r>
        <w:rPr>
          <w:rFonts w:cs="Arial"/>
        </w:rPr>
        <w:t xml:space="preserve">service stream </w:t>
      </w:r>
      <w:r w:rsidR="000A6F5F" w:rsidRPr="000A6F5F">
        <w:rPr>
          <w:rFonts w:cs="Arial"/>
          <w:i/>
          <w:iCs/>
        </w:rPr>
        <w:t>21-Brief Intervention</w:t>
      </w:r>
    </w:p>
    <w:p w14:paraId="6E3CCD72" w14:textId="275FA9FA" w:rsidR="000A6F5F" w:rsidRDefault="000A6F5F" w:rsidP="00A179F3">
      <w:pPr>
        <w:pStyle w:val="DHHSbody"/>
        <w:numPr>
          <w:ilvl w:val="0"/>
          <w:numId w:val="36"/>
        </w:numPr>
        <w:spacing w:line="240" w:lineRule="atLeast"/>
        <w:rPr>
          <w:rFonts w:cs="Arial"/>
        </w:rPr>
      </w:pPr>
      <w:r>
        <w:rPr>
          <w:rFonts w:cs="Arial"/>
        </w:rPr>
        <w:t xml:space="preserve">funding source </w:t>
      </w:r>
      <w:r w:rsidRPr="000A6F5F">
        <w:rPr>
          <w:rFonts w:cs="Arial"/>
          <w:i/>
          <w:iCs/>
        </w:rPr>
        <w:t>100-Vic State Gov – General</w:t>
      </w:r>
      <w:r>
        <w:rPr>
          <w:rFonts w:cs="Arial"/>
        </w:rPr>
        <w:t xml:space="preserve"> / service stream </w:t>
      </w:r>
      <w:r w:rsidRPr="000A6F5F">
        <w:rPr>
          <w:rFonts w:cs="Arial"/>
          <w:i/>
          <w:iCs/>
        </w:rPr>
        <w:t>52-Bridging Support</w:t>
      </w:r>
    </w:p>
    <w:p w14:paraId="5EECEE2B" w14:textId="3FF4B063" w:rsidR="009F5DC6" w:rsidRDefault="009F5DC6" w:rsidP="00A179F3">
      <w:pPr>
        <w:pStyle w:val="DHHSbody"/>
        <w:spacing w:line="240" w:lineRule="atLeast"/>
        <w:rPr>
          <w:rFonts w:cs="Arial"/>
        </w:rPr>
      </w:pPr>
      <w:r>
        <w:rPr>
          <w:rFonts w:cs="Arial"/>
        </w:rPr>
        <w:t xml:space="preserve">Service events submitted from </w:t>
      </w:r>
      <w:r w:rsidR="00CA3F17">
        <w:rPr>
          <w:rFonts w:cs="Arial"/>
        </w:rPr>
        <w:t xml:space="preserve">the </w:t>
      </w:r>
      <w:r>
        <w:rPr>
          <w:rFonts w:cs="Arial"/>
        </w:rPr>
        <w:t xml:space="preserve">July 2019 reporting period onwards with the above combination were wrongly accepted onto the VADC database, instead of showing as </w:t>
      </w:r>
      <w:r w:rsidR="00116BCC">
        <w:rPr>
          <w:rFonts w:cs="Arial"/>
        </w:rPr>
        <w:t xml:space="preserve">an </w:t>
      </w:r>
      <w:r>
        <w:rPr>
          <w:rFonts w:cs="Arial"/>
        </w:rPr>
        <w:t>error in the validation reports. We apologise for any inconvenience caused.</w:t>
      </w:r>
    </w:p>
    <w:p w14:paraId="18263E47" w14:textId="558DEAF9" w:rsidR="00EA5DA7" w:rsidRDefault="009F5DC6" w:rsidP="00A179F3">
      <w:pPr>
        <w:pStyle w:val="DHHSbody"/>
        <w:spacing w:line="240" w:lineRule="atLeast"/>
        <w:rPr>
          <w:rFonts w:eastAsia="Times New Roman" w:cs="Arial"/>
          <w:strike/>
        </w:rPr>
      </w:pPr>
      <w:r>
        <w:rPr>
          <w:rFonts w:eastAsia="Times New Roman" w:cs="Arial"/>
          <w:b/>
          <w:bCs/>
        </w:rPr>
        <w:t>Th</w:t>
      </w:r>
      <w:r w:rsidR="00CA3F17">
        <w:rPr>
          <w:rFonts w:eastAsia="Times New Roman" w:cs="Arial"/>
          <w:b/>
          <w:bCs/>
        </w:rPr>
        <w:t>is problem will be corrected</w:t>
      </w:r>
      <w:r w:rsidR="00EA5DA7">
        <w:rPr>
          <w:rFonts w:eastAsia="Times New Roman" w:cs="Arial"/>
          <w:b/>
          <w:bCs/>
        </w:rPr>
        <w:t xml:space="preserve"> </w:t>
      </w:r>
      <w:r w:rsidR="00783446">
        <w:rPr>
          <w:rFonts w:eastAsia="Times New Roman" w:cs="Arial"/>
          <w:b/>
          <w:bCs/>
        </w:rPr>
        <w:t xml:space="preserve">and </w:t>
      </w:r>
      <w:r w:rsidR="00CA3F17">
        <w:rPr>
          <w:rFonts w:eastAsia="Times New Roman" w:cs="Arial"/>
          <w:b/>
          <w:bCs/>
        </w:rPr>
        <w:t xml:space="preserve">implemented </w:t>
      </w:r>
      <w:r>
        <w:rPr>
          <w:rFonts w:eastAsia="Times New Roman" w:cs="Arial"/>
          <w:b/>
          <w:bCs/>
        </w:rPr>
        <w:t>with</w:t>
      </w:r>
      <w:r w:rsidR="00F005AF">
        <w:rPr>
          <w:rFonts w:eastAsia="Times New Roman" w:cs="Arial"/>
          <w:b/>
          <w:bCs/>
        </w:rPr>
        <w:t xml:space="preserve"> </w:t>
      </w:r>
      <w:r w:rsidR="00783446">
        <w:rPr>
          <w:rFonts w:eastAsia="Times New Roman" w:cs="Arial"/>
          <w:b/>
          <w:bCs/>
        </w:rPr>
        <w:t xml:space="preserve">the </w:t>
      </w:r>
      <w:r w:rsidR="00F005AF">
        <w:rPr>
          <w:rFonts w:eastAsia="Times New Roman" w:cs="Arial"/>
          <w:b/>
          <w:bCs/>
        </w:rPr>
        <w:t>2020</w:t>
      </w:r>
      <w:r>
        <w:rPr>
          <w:rFonts w:eastAsia="Times New Roman" w:cs="Arial"/>
          <w:b/>
          <w:bCs/>
        </w:rPr>
        <w:t>-21 annual changes</w:t>
      </w:r>
      <w:r w:rsidR="00783446">
        <w:rPr>
          <w:rFonts w:eastAsia="Times New Roman" w:cs="Arial"/>
          <w:b/>
          <w:bCs/>
        </w:rPr>
        <w:t xml:space="preserve"> </w:t>
      </w:r>
      <w:r w:rsidR="00CA3F17">
        <w:rPr>
          <w:rFonts w:eastAsia="Times New Roman" w:cs="Arial"/>
          <w:b/>
          <w:bCs/>
        </w:rPr>
        <w:t xml:space="preserve">on 20 July </w:t>
      </w:r>
      <w:r w:rsidR="00783446">
        <w:rPr>
          <w:rFonts w:eastAsia="Times New Roman" w:cs="Arial"/>
          <w:b/>
          <w:bCs/>
        </w:rPr>
        <w:t xml:space="preserve">and applied to all </w:t>
      </w:r>
      <w:r w:rsidR="00CA3F17">
        <w:rPr>
          <w:rFonts w:eastAsia="Times New Roman" w:cs="Arial"/>
          <w:b/>
          <w:bCs/>
        </w:rPr>
        <w:t xml:space="preserve">19-20 and 20-21 </w:t>
      </w:r>
      <w:r w:rsidR="00783446">
        <w:rPr>
          <w:rFonts w:eastAsia="Times New Roman" w:cs="Arial"/>
          <w:b/>
          <w:bCs/>
        </w:rPr>
        <w:t>reporting periods</w:t>
      </w:r>
      <w:r w:rsidR="00EA5DA7">
        <w:rPr>
          <w:rFonts w:eastAsia="Times New Roman" w:cs="Arial"/>
          <w:b/>
          <w:bCs/>
        </w:rPr>
        <w:t xml:space="preserve"> </w:t>
      </w:r>
      <w:r w:rsidR="00783446">
        <w:rPr>
          <w:rFonts w:eastAsia="Times New Roman" w:cs="Arial"/>
          <w:b/>
          <w:bCs/>
        </w:rPr>
        <w:t xml:space="preserve">submitted </w:t>
      </w:r>
      <w:r w:rsidR="00CA3F17">
        <w:rPr>
          <w:rFonts w:eastAsia="Times New Roman" w:cs="Arial"/>
          <w:b/>
          <w:bCs/>
        </w:rPr>
        <w:t>after that date.</w:t>
      </w:r>
    </w:p>
    <w:p w14:paraId="18470E56" w14:textId="6F0ADB7E" w:rsidR="0025629A" w:rsidRPr="00B46EED" w:rsidRDefault="0025629A" w:rsidP="0025629A">
      <w:pPr>
        <w:pStyle w:val="Heading1"/>
        <w:numPr>
          <w:ilvl w:val="0"/>
          <w:numId w:val="24"/>
        </w:numPr>
        <w:rPr>
          <w:sz w:val="28"/>
          <w:szCs w:val="28"/>
        </w:rPr>
      </w:pPr>
      <w:bookmarkStart w:id="8" w:name="_Toc45804645"/>
      <w:r>
        <w:rPr>
          <w:sz w:val="28"/>
          <w:szCs w:val="28"/>
        </w:rPr>
        <w:t>DTAU</w:t>
      </w:r>
      <w:r w:rsidR="00EA33EF">
        <w:rPr>
          <w:sz w:val="28"/>
          <w:szCs w:val="28"/>
        </w:rPr>
        <w:t>/</w:t>
      </w:r>
      <w:r w:rsidR="00F85F62">
        <w:rPr>
          <w:sz w:val="28"/>
          <w:szCs w:val="28"/>
        </w:rPr>
        <w:t>EOC</w:t>
      </w:r>
      <w:r>
        <w:rPr>
          <w:sz w:val="28"/>
          <w:szCs w:val="28"/>
        </w:rPr>
        <w:t xml:space="preserve"> </w:t>
      </w:r>
      <w:r w:rsidR="00F85F62">
        <w:rPr>
          <w:sz w:val="28"/>
          <w:szCs w:val="28"/>
        </w:rPr>
        <w:t>update</w:t>
      </w:r>
      <w:bookmarkEnd w:id="8"/>
      <w:r>
        <w:rPr>
          <w:sz w:val="28"/>
          <w:szCs w:val="28"/>
        </w:rPr>
        <w:t xml:space="preserve"> </w:t>
      </w:r>
    </w:p>
    <w:p w14:paraId="78FDC358" w14:textId="407C35BD" w:rsidR="0025629A" w:rsidRPr="00B46EED" w:rsidRDefault="00F24D53" w:rsidP="00A179F3">
      <w:pPr>
        <w:pStyle w:val="DHHSbody"/>
        <w:spacing w:line="240" w:lineRule="atLeast"/>
        <w:rPr>
          <w:rFonts w:cs="Arial"/>
        </w:rPr>
      </w:pPr>
      <w:r>
        <w:rPr>
          <w:rFonts w:cs="Arial"/>
        </w:rPr>
        <w:t>The</w:t>
      </w:r>
      <w:r w:rsidR="002C7B65">
        <w:rPr>
          <w:rFonts w:cs="Arial"/>
        </w:rPr>
        <w:t>re are several retrospective changes being applied to the</w:t>
      </w:r>
      <w:r>
        <w:rPr>
          <w:rFonts w:cs="Arial"/>
        </w:rPr>
        <w:t xml:space="preserve"> </w:t>
      </w:r>
      <w:r w:rsidR="0025629A">
        <w:rPr>
          <w:rFonts w:cs="Arial"/>
        </w:rPr>
        <w:t xml:space="preserve">2019-20 </w:t>
      </w:r>
      <w:r w:rsidR="002C7B65">
        <w:rPr>
          <w:rFonts w:cs="Arial"/>
        </w:rPr>
        <w:t xml:space="preserve">EOC and </w:t>
      </w:r>
      <w:r w:rsidR="0025629A">
        <w:rPr>
          <w:rFonts w:cs="Arial"/>
        </w:rPr>
        <w:t xml:space="preserve">DTAU </w:t>
      </w:r>
      <w:r>
        <w:rPr>
          <w:rFonts w:cs="Arial"/>
        </w:rPr>
        <w:t>derivation rules</w:t>
      </w:r>
      <w:r w:rsidR="002C7B65">
        <w:rPr>
          <w:rFonts w:cs="Arial"/>
        </w:rPr>
        <w:t>, which will be announced shortly</w:t>
      </w:r>
      <w:r w:rsidR="002E0106">
        <w:rPr>
          <w:rFonts w:cs="Arial"/>
        </w:rPr>
        <w:t>. These are</w:t>
      </w:r>
      <w:r w:rsidR="002C7B65">
        <w:rPr>
          <w:rFonts w:cs="Arial"/>
        </w:rPr>
        <w:t xml:space="preserve"> in recognition of </w:t>
      </w:r>
      <w:r w:rsidR="00CA3F17">
        <w:rPr>
          <w:rFonts w:cs="Arial"/>
        </w:rPr>
        <w:t xml:space="preserve">the </w:t>
      </w:r>
      <w:r w:rsidR="002C7B65">
        <w:rPr>
          <w:rFonts w:cs="Arial"/>
        </w:rPr>
        <w:t xml:space="preserve">impact </w:t>
      </w:r>
      <w:r w:rsidR="00F005AF">
        <w:rPr>
          <w:rFonts w:cs="Arial"/>
        </w:rPr>
        <w:t>C</w:t>
      </w:r>
      <w:r w:rsidR="00CA3F17">
        <w:rPr>
          <w:rFonts w:cs="Arial"/>
        </w:rPr>
        <w:t xml:space="preserve">OVID </w:t>
      </w:r>
      <w:r w:rsidR="00EA33EF">
        <w:rPr>
          <w:rFonts w:cs="Arial"/>
        </w:rPr>
        <w:t>-19</w:t>
      </w:r>
      <w:r w:rsidR="002E0106">
        <w:rPr>
          <w:rFonts w:cs="Arial"/>
        </w:rPr>
        <w:t xml:space="preserve"> has had</w:t>
      </w:r>
      <w:r w:rsidR="002C7B65">
        <w:rPr>
          <w:rFonts w:cs="Arial"/>
        </w:rPr>
        <w:t xml:space="preserve"> to the</w:t>
      </w:r>
      <w:r w:rsidR="002E0106">
        <w:rPr>
          <w:rFonts w:cs="Arial"/>
        </w:rPr>
        <w:t xml:space="preserve"> AOD</w:t>
      </w:r>
      <w:r w:rsidR="002C7B65">
        <w:rPr>
          <w:rFonts w:cs="Arial"/>
        </w:rPr>
        <w:t xml:space="preserve"> sector and emerging insights</w:t>
      </w:r>
      <w:r w:rsidR="0018434B">
        <w:t>.</w:t>
      </w:r>
      <w:r w:rsidR="002C7B65">
        <w:t xml:space="preserve"> Funding model changes will be communicated by </w:t>
      </w:r>
      <w:hyperlink r:id="rId16" w:history="1">
        <w:r w:rsidR="002C7B65" w:rsidRPr="00B23497">
          <w:rPr>
            <w:rStyle w:val="Hyperlink"/>
          </w:rPr>
          <w:t>AOD.Enquiries@dhhs.vic.gov.au</w:t>
        </w:r>
      </w:hyperlink>
      <w:r w:rsidR="002C7B65">
        <w:t xml:space="preserve"> in the coming weeks.</w:t>
      </w:r>
    </w:p>
    <w:p w14:paraId="5FAA4CB8" w14:textId="77777777" w:rsidR="00B144CD" w:rsidRPr="00B46EED" w:rsidRDefault="00B144CD" w:rsidP="00B144CD">
      <w:pPr>
        <w:pStyle w:val="Heading1"/>
        <w:numPr>
          <w:ilvl w:val="0"/>
          <w:numId w:val="24"/>
        </w:numPr>
        <w:rPr>
          <w:sz w:val="28"/>
          <w:szCs w:val="28"/>
        </w:rPr>
      </w:pPr>
      <w:bookmarkStart w:id="9" w:name="_Toc45804646"/>
      <w:bookmarkStart w:id="10" w:name="_Hlk43144683"/>
      <w:r>
        <w:rPr>
          <w:sz w:val="28"/>
          <w:szCs w:val="28"/>
        </w:rPr>
        <w:t>Recent publications</w:t>
      </w:r>
      <w:bookmarkEnd w:id="9"/>
    </w:p>
    <w:p w14:paraId="234E102D" w14:textId="77777777" w:rsidR="00B144CD" w:rsidRPr="005B4340" w:rsidRDefault="00B144CD" w:rsidP="00A179F3">
      <w:pPr>
        <w:spacing w:after="120" w:line="240" w:lineRule="atLeast"/>
        <w:rPr>
          <w:rStyle w:val="Hyperlink"/>
          <w:rFonts w:ascii="Arial" w:hAnsi="Arial" w:cs="Arial"/>
          <w:sz w:val="20"/>
          <w:szCs w:val="20"/>
        </w:rPr>
      </w:pPr>
      <w:r>
        <w:rPr>
          <w:rFonts w:ascii="Arial" w:eastAsia="Times" w:hAnsi="Arial" w:cs="Arial"/>
          <w:color w:val="000000"/>
          <w:sz w:val="20"/>
          <w:szCs w:val="20"/>
        </w:rPr>
        <w:t xml:space="preserve">VADC 2020-21 specifications </w:t>
      </w:r>
      <w:hyperlink r:id="rId17" w:history="1">
        <w:r w:rsidRPr="005B4340">
          <w:rPr>
            <w:rStyle w:val="Hyperlink"/>
            <w:rFonts w:ascii="Arial" w:hAnsi="Arial" w:cs="Arial"/>
            <w:sz w:val="20"/>
            <w:szCs w:val="20"/>
          </w:rPr>
          <w:t>https://www2.health.vic.gov.au/alcohol-and-drugs/funding-and-reporting-aod-services/data-collection</w:t>
        </w:r>
      </w:hyperlink>
    </w:p>
    <w:p w14:paraId="04CF6651" w14:textId="77777777" w:rsidR="00B144CD" w:rsidRPr="005B4340" w:rsidRDefault="00B144CD" w:rsidP="00A179F3">
      <w:pPr>
        <w:spacing w:after="120" w:line="240" w:lineRule="atLeast"/>
        <w:rPr>
          <w:rFonts w:ascii="Arial" w:hAnsi="Arial" w:cs="Arial"/>
          <w:sz w:val="20"/>
          <w:szCs w:val="20"/>
        </w:rPr>
      </w:pPr>
      <w:r w:rsidRPr="005B4340">
        <w:rPr>
          <w:rFonts w:ascii="Arial" w:eastAsia="Times" w:hAnsi="Arial" w:cs="Arial"/>
          <w:sz w:val="20"/>
          <w:szCs w:val="20"/>
        </w:rPr>
        <w:t>Service Event Statement and VADC Bulletins</w:t>
      </w:r>
      <w:r>
        <w:rPr>
          <w:rFonts w:ascii="Arial" w:eastAsia="Times" w:hAnsi="Arial" w:cs="Arial"/>
          <w:sz w:val="20"/>
          <w:szCs w:val="20"/>
        </w:rPr>
        <w:t xml:space="preserve"> </w:t>
      </w:r>
      <w:hyperlink r:id="rId18" w:history="1">
        <w:r w:rsidRPr="005B4340">
          <w:rPr>
            <w:rStyle w:val="Hyperlink"/>
            <w:rFonts w:ascii="Arial" w:hAnsi="Arial" w:cs="Arial"/>
            <w:sz w:val="20"/>
            <w:szCs w:val="20"/>
          </w:rPr>
          <w:t>https://www2.health.vic.gov.au/alcohol-and-drugs/funding-and-reporting-aod-services/reporting-for-aod-services/data-collection/2019-20-vadc-documentation</w:t>
        </w:r>
      </w:hyperlink>
    </w:p>
    <w:p w14:paraId="2388734C" w14:textId="1383B733" w:rsidR="00B144CD" w:rsidRDefault="00B144CD" w:rsidP="00A179F3">
      <w:pPr>
        <w:pStyle w:val="xmsonormal"/>
        <w:spacing w:before="240" w:after="120" w:line="240" w:lineRule="atLeast"/>
        <w:rPr>
          <w:rStyle w:val="Hyperlink"/>
          <w:rFonts w:ascii="Arial" w:hAnsi="Arial" w:cs="Arial"/>
          <w:sz w:val="20"/>
          <w:szCs w:val="20"/>
        </w:rPr>
      </w:pPr>
      <w:r w:rsidRPr="00B46EED">
        <w:rPr>
          <w:rFonts w:ascii="Arial" w:eastAsia="Times" w:hAnsi="Arial" w:cs="Arial"/>
          <w:sz w:val="20"/>
          <w:szCs w:val="20"/>
          <w:lang w:eastAsia="en-US"/>
        </w:rPr>
        <w:t xml:space="preserve">Modified specification for revisions can be found here </w:t>
      </w:r>
      <w:hyperlink r:id="rId19" w:history="1">
        <w:r w:rsidRPr="00B46EED">
          <w:rPr>
            <w:rStyle w:val="Hyperlink"/>
            <w:rFonts w:ascii="Arial" w:hAnsi="Arial" w:cs="Arial"/>
            <w:sz w:val="20"/>
            <w:szCs w:val="20"/>
          </w:rPr>
          <w:t>https://www2.health.vic.gov.au/alcohol-and-drugs/funding-and-reporting-aod-services/reporting-for-aod-services/data-collection/annual-changes</w:t>
        </w:r>
      </w:hyperlink>
    </w:p>
    <w:p w14:paraId="5B270B27" w14:textId="4A7174DC" w:rsidR="00007AD9" w:rsidRPr="00B46EED" w:rsidRDefault="00452BE2" w:rsidP="00A177FD">
      <w:pPr>
        <w:pStyle w:val="Heading1"/>
        <w:numPr>
          <w:ilvl w:val="0"/>
          <w:numId w:val="24"/>
        </w:numPr>
        <w:rPr>
          <w:sz w:val="28"/>
          <w:szCs w:val="28"/>
        </w:rPr>
      </w:pPr>
      <w:bookmarkStart w:id="11" w:name="_Toc45804647"/>
      <w:r w:rsidRPr="00B46EED">
        <w:rPr>
          <w:sz w:val="28"/>
          <w:szCs w:val="28"/>
        </w:rPr>
        <w:t>Contact details</w:t>
      </w:r>
      <w:bookmarkEnd w:id="11"/>
      <w:r w:rsidRPr="00B46EED">
        <w:rPr>
          <w:sz w:val="28"/>
          <w:szCs w:val="28"/>
        </w:rPr>
        <w:t xml:space="preserve"> </w:t>
      </w:r>
    </w:p>
    <w:p w14:paraId="03E3CA09" w14:textId="607B6A24" w:rsidR="00C37A8E" w:rsidRDefault="00452BE2" w:rsidP="00A179F3">
      <w:pPr>
        <w:pStyle w:val="DHHSbody"/>
        <w:spacing w:line="240" w:lineRule="atLeast"/>
        <w:rPr>
          <w:rStyle w:val="Hyperlink"/>
          <w:rFonts w:cs="Arial"/>
        </w:rPr>
      </w:pPr>
      <w:r w:rsidRPr="00B46EED">
        <w:rPr>
          <w:rFonts w:cs="Arial"/>
        </w:rPr>
        <w:t xml:space="preserve">VADC </w:t>
      </w:r>
      <w:r w:rsidR="00D37C21" w:rsidRPr="00B46EED">
        <w:rPr>
          <w:rFonts w:cs="Arial"/>
        </w:rPr>
        <w:t>B</w:t>
      </w:r>
      <w:r w:rsidRPr="00B46EED">
        <w:rPr>
          <w:rFonts w:cs="Arial"/>
        </w:rPr>
        <w:t>ulletin</w:t>
      </w:r>
      <w:r w:rsidR="00AF5E1F" w:rsidRPr="00B46EED">
        <w:rPr>
          <w:rFonts w:cs="Arial"/>
        </w:rPr>
        <w:t>s</w:t>
      </w:r>
      <w:r w:rsidRPr="00B46EED">
        <w:rPr>
          <w:rFonts w:cs="Arial"/>
        </w:rPr>
        <w:t xml:space="preserve"> </w:t>
      </w:r>
      <w:r w:rsidR="00AF5E1F" w:rsidRPr="00B46EED">
        <w:rPr>
          <w:rFonts w:cs="Arial"/>
        </w:rPr>
        <w:t>are</w:t>
      </w:r>
      <w:r w:rsidRPr="00B46EED">
        <w:rPr>
          <w:rFonts w:cs="Arial"/>
        </w:rPr>
        <w:t xml:space="preserve"> produced at intervals to provide </w:t>
      </w:r>
      <w:r w:rsidR="00D37C21" w:rsidRPr="00B46EED">
        <w:rPr>
          <w:rFonts w:cs="Arial"/>
        </w:rPr>
        <w:t xml:space="preserve">updates to specification and current data issues. </w:t>
      </w:r>
      <w:r w:rsidR="007A5ADD" w:rsidRPr="00B46EED">
        <w:rPr>
          <w:rFonts w:cs="Arial"/>
        </w:rPr>
        <w:t xml:space="preserve"> </w:t>
      </w:r>
      <w:r w:rsidRPr="00B46EED">
        <w:rPr>
          <w:rFonts w:cs="Arial"/>
        </w:rPr>
        <w:t xml:space="preserve">Service providers are encouraged to submit </w:t>
      </w:r>
      <w:r w:rsidR="00E86282" w:rsidRPr="00B46EED">
        <w:rPr>
          <w:rFonts w:cs="Arial"/>
        </w:rPr>
        <w:t>VADC queries and</w:t>
      </w:r>
      <w:r w:rsidRPr="00B46EED">
        <w:rPr>
          <w:rFonts w:cs="Arial"/>
        </w:rPr>
        <w:t xml:space="preserve"> feedback to</w:t>
      </w:r>
      <w:r w:rsidRPr="00B46EED">
        <w:rPr>
          <w:rStyle w:val="Hyperlink"/>
          <w:rFonts w:cs="Arial"/>
        </w:rPr>
        <w:t xml:space="preserve"> </w:t>
      </w:r>
      <w:bookmarkStart w:id="12" w:name="_Hlk12344669"/>
      <w:r w:rsidR="007C1B9B" w:rsidRPr="00B46EED">
        <w:rPr>
          <w:rStyle w:val="Hyperlink"/>
          <w:rFonts w:cs="Arial"/>
        </w:rPr>
        <w:fldChar w:fldCharType="begin"/>
      </w:r>
      <w:r w:rsidR="007C1B9B" w:rsidRPr="00B46EED">
        <w:rPr>
          <w:rStyle w:val="Hyperlink"/>
          <w:rFonts w:cs="Arial"/>
        </w:rPr>
        <w:instrText xml:space="preserve"> HYPERLINK "mailto:VADC_data@dhhs.vic.gov.au" </w:instrText>
      </w:r>
      <w:r w:rsidR="007C1B9B" w:rsidRPr="00B46EED">
        <w:rPr>
          <w:rStyle w:val="Hyperlink"/>
          <w:rFonts w:cs="Arial"/>
        </w:rPr>
        <w:fldChar w:fldCharType="separate"/>
      </w:r>
      <w:r w:rsidR="00016432" w:rsidRPr="00B46EED">
        <w:rPr>
          <w:rStyle w:val="Hyperlink"/>
          <w:rFonts w:cs="Arial"/>
        </w:rPr>
        <w:t>VADC_data@dhhs.vic.gov.au</w:t>
      </w:r>
      <w:r w:rsidR="007C1B9B" w:rsidRPr="00B46EED">
        <w:rPr>
          <w:rStyle w:val="Hyperlink"/>
          <w:rFonts w:cs="Arial"/>
        </w:rPr>
        <w:fldChar w:fldCharType="end"/>
      </w:r>
      <w:bookmarkEnd w:id="12"/>
    </w:p>
    <w:p w14:paraId="1F376EFA" w14:textId="77777777" w:rsidR="00213A1A" w:rsidRDefault="00213A1A" w:rsidP="00A179F3">
      <w:pPr>
        <w:pStyle w:val="DHHSbody"/>
        <w:spacing w:before="120" w:line="240" w:lineRule="atLeast"/>
      </w:pPr>
      <w:bookmarkStart w:id="13" w:name="_Hlk35347290"/>
      <w:r>
        <w:t>For assistance with:</w:t>
      </w:r>
    </w:p>
    <w:p w14:paraId="2CA93D5F" w14:textId="5D4E9C83" w:rsidR="00213A1A" w:rsidRPr="00AD533F" w:rsidRDefault="00213A1A" w:rsidP="00D0364D">
      <w:pPr>
        <w:pStyle w:val="DHHSbody"/>
        <w:numPr>
          <w:ilvl w:val="0"/>
          <w:numId w:val="35"/>
        </w:numPr>
        <w:spacing w:before="120" w:after="240" w:line="240" w:lineRule="atLeast"/>
        <w:ind w:left="714" w:hanging="357"/>
        <w:rPr>
          <w:rStyle w:val="Hyperlink"/>
          <w:color w:val="auto"/>
          <w:u w:val="none"/>
        </w:rPr>
      </w:pPr>
      <w:r>
        <w:t xml:space="preserve">VADC data submissions and the Service Event Statement (SES) – contact </w:t>
      </w:r>
      <w:hyperlink r:id="rId20" w:history="1">
        <w:r w:rsidRPr="00767C0A">
          <w:rPr>
            <w:rStyle w:val="Hyperlink"/>
          </w:rPr>
          <w:t>VADC_data@dhhs.vic.gov.au</w:t>
        </w:r>
      </w:hyperlink>
      <w:r>
        <w:t xml:space="preserve"> </w:t>
      </w:r>
      <w:r w:rsidRPr="00AD533F">
        <w:rPr>
          <w:rStyle w:val="Hyperlink"/>
          <w:color w:val="auto"/>
          <w:u w:val="none"/>
        </w:rPr>
        <w:t xml:space="preserve"> </w:t>
      </w:r>
    </w:p>
    <w:p w14:paraId="73A4231A" w14:textId="63F91F47" w:rsidR="00213A1A" w:rsidRPr="00B144CD" w:rsidRDefault="00213A1A" w:rsidP="00D0364D">
      <w:pPr>
        <w:pStyle w:val="DHHSbody"/>
        <w:numPr>
          <w:ilvl w:val="0"/>
          <w:numId w:val="35"/>
        </w:numPr>
        <w:spacing w:before="120" w:after="240" w:line="240" w:lineRule="atLeast"/>
      </w:pPr>
      <w:r w:rsidRPr="00B144CD">
        <w:t>Service targets and performance reports – contact your divisional Agency Performance System Support (APSS)</w:t>
      </w:r>
    </w:p>
    <w:p w14:paraId="3B9517CA" w14:textId="0BE17FF1" w:rsidR="00213A1A" w:rsidRPr="00213A1A" w:rsidRDefault="00213A1A" w:rsidP="00D0364D">
      <w:pPr>
        <w:pStyle w:val="DHHSbody"/>
        <w:numPr>
          <w:ilvl w:val="0"/>
          <w:numId w:val="35"/>
        </w:numPr>
        <w:spacing w:before="120" w:after="240" w:line="240" w:lineRule="atLeast"/>
      </w:pPr>
      <w:r>
        <w:t xml:space="preserve">Data requests and reporting queries – contact Victorian Agency for Health Information (VAHI) </w:t>
      </w:r>
      <w:hyperlink r:id="rId21" w:history="1">
        <w:r>
          <w:rPr>
            <w:rStyle w:val="Hyperlink"/>
          </w:rPr>
          <w:t>https://vahi.freshdesk.com/support/home</w:t>
        </w:r>
      </w:hyperlink>
    </w:p>
    <w:p w14:paraId="4D93136B" w14:textId="44A51E48" w:rsidR="00213A1A" w:rsidRPr="00213A1A" w:rsidRDefault="00213A1A" w:rsidP="00D0364D">
      <w:pPr>
        <w:pStyle w:val="DHHSbody"/>
        <w:numPr>
          <w:ilvl w:val="0"/>
          <w:numId w:val="35"/>
        </w:numPr>
        <w:spacing w:before="120" w:after="240" w:line="240" w:lineRule="atLeast"/>
        <w:ind w:left="714" w:hanging="357"/>
        <w:rPr>
          <w:rStyle w:val="Hyperlink"/>
          <w:color w:val="auto"/>
          <w:u w:val="none"/>
        </w:rPr>
      </w:pPr>
      <w:r w:rsidRPr="00145C9C">
        <w:t>Funding unit business rules</w:t>
      </w:r>
      <w:r w:rsidR="00145C9C">
        <w:rPr>
          <w:rStyle w:val="Hyperlink"/>
          <w:color w:val="auto"/>
        </w:rPr>
        <w:t xml:space="preserve"> (</w:t>
      </w:r>
      <w:r w:rsidR="00145C9C" w:rsidRPr="005B4340">
        <w:rPr>
          <w:rFonts w:cs="Arial"/>
        </w:rPr>
        <w:t>DTAU/EOC/COT</w:t>
      </w:r>
      <w:r w:rsidR="00145C9C">
        <w:rPr>
          <w:rFonts w:cs="Arial"/>
        </w:rPr>
        <w:t>)</w:t>
      </w:r>
      <w:r w:rsidRPr="00242081">
        <w:rPr>
          <w:rStyle w:val="Hyperlink"/>
          <w:color w:val="auto"/>
        </w:rPr>
        <w:t xml:space="preserve"> </w:t>
      </w:r>
      <w:r>
        <w:rPr>
          <w:rStyle w:val="Hyperlink"/>
          <w:color w:val="auto"/>
        </w:rPr>
        <w:t>–</w:t>
      </w:r>
      <w:r w:rsidRPr="00242081">
        <w:rPr>
          <w:rStyle w:val="Hyperlink"/>
          <w:color w:val="auto"/>
        </w:rPr>
        <w:t xml:space="preserve"> contact </w:t>
      </w:r>
      <w:hyperlink r:id="rId22" w:history="1">
        <w:r w:rsidRPr="00F921A3">
          <w:rPr>
            <w:rStyle w:val="Hyperlink"/>
          </w:rPr>
          <w:t>aod.enquiries@dhhs.vic.gov.au</w:t>
        </w:r>
      </w:hyperlink>
      <w:r w:rsidRPr="00242081">
        <w:rPr>
          <w:rStyle w:val="Hyperlink"/>
          <w:color w:val="auto"/>
        </w:rPr>
        <w:t xml:space="preserve"> </w:t>
      </w:r>
      <w:bookmarkEnd w:id="13"/>
    </w:p>
    <w:bookmarkEnd w:id="10"/>
    <w:p w14:paraId="32C8F946" w14:textId="630FC0CE" w:rsidR="00F24D53" w:rsidRDefault="00F24D53" w:rsidP="00FF6D9D">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A50FBC" w:rsidRPr="002802E3" w14:paraId="590D062A" w14:textId="77777777" w:rsidTr="005309F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A95FC4C" w14:textId="77777777" w:rsidR="00A50FBC" w:rsidRPr="00A50FBC" w:rsidRDefault="00A50FBC" w:rsidP="009F5DC6">
            <w:pPr>
              <w:pStyle w:val="DHHSaccessibilitypara"/>
              <w:spacing w:after="120" w:line="240" w:lineRule="atLeast"/>
              <w:rPr>
                <w:sz w:val="20"/>
                <w:szCs w:val="20"/>
              </w:rPr>
            </w:pPr>
            <w:r w:rsidRPr="00A50FBC">
              <w:rPr>
                <w:sz w:val="20"/>
                <w:szCs w:val="20"/>
              </w:rPr>
              <w:t xml:space="preserve">To receive this publication in an accessible format </w:t>
            </w:r>
            <w:hyperlink r:id="rId23" w:history="1">
              <w:r w:rsidRPr="00A50FBC">
                <w:rPr>
                  <w:rStyle w:val="Hyperlink"/>
                  <w:sz w:val="20"/>
                  <w:szCs w:val="20"/>
                </w:rPr>
                <w:t>email VADC Data</w:t>
              </w:r>
            </w:hyperlink>
            <w:r w:rsidRPr="00A50FBC">
              <w:rPr>
                <w:sz w:val="20"/>
                <w:szCs w:val="20"/>
              </w:rPr>
              <w:t xml:space="preserve"> &lt;VADC_data@dhhs.vic.gov.au&gt; </w:t>
            </w:r>
          </w:p>
          <w:p w14:paraId="46FCCAA6" w14:textId="77777777" w:rsidR="00A50FBC" w:rsidRPr="00A50FBC" w:rsidRDefault="00A50FBC" w:rsidP="009F5DC6">
            <w:pPr>
              <w:pStyle w:val="DHHSbody"/>
              <w:spacing w:line="240" w:lineRule="atLeast"/>
            </w:pPr>
            <w:r w:rsidRPr="00A50FBC">
              <w:t>Authorised and published by the Victorian Government, 1 Treasury Place, Melbourne.</w:t>
            </w:r>
          </w:p>
          <w:p w14:paraId="6AF71061" w14:textId="1E66A570" w:rsidR="00A50FBC" w:rsidRPr="00A50FBC" w:rsidRDefault="00A50FBC" w:rsidP="009F5DC6">
            <w:pPr>
              <w:pStyle w:val="DHHSbody"/>
              <w:spacing w:before="240" w:line="240" w:lineRule="atLeast"/>
            </w:pPr>
            <w:r w:rsidRPr="00A50FBC">
              <w:t xml:space="preserve">© State of Victoria, Department of Health and Human Services, </w:t>
            </w:r>
            <w:r w:rsidR="00003E30">
              <w:t>July</w:t>
            </w:r>
            <w:r w:rsidR="00003E30" w:rsidRPr="00A50FBC">
              <w:t xml:space="preserve"> </w:t>
            </w:r>
            <w:r w:rsidRPr="00A50FBC">
              <w:t xml:space="preserve">2020 </w:t>
            </w:r>
          </w:p>
          <w:p w14:paraId="233C3D6B" w14:textId="77777777" w:rsidR="00A50FBC" w:rsidRPr="002802E3" w:rsidRDefault="00A50FBC" w:rsidP="009F5DC6">
            <w:pPr>
              <w:pStyle w:val="DHHSbody"/>
              <w:spacing w:line="240" w:lineRule="atLeast"/>
            </w:pPr>
            <w:r w:rsidRPr="00A50FBC">
              <w:t xml:space="preserve">Available from the </w:t>
            </w:r>
            <w:r w:rsidRPr="00A50FBC">
              <w:rPr>
                <w:bCs/>
                <w:lang w:eastAsia="en-AU"/>
              </w:rPr>
              <w:t xml:space="preserve">Victorian Alcohol and Drug Collection (VADC) </w:t>
            </w:r>
            <w:r w:rsidRPr="00A50FBC">
              <w:t xml:space="preserve">on the </w:t>
            </w:r>
            <w:proofErr w:type="spellStart"/>
            <w:r w:rsidRPr="00A50FBC">
              <w:t>Health.vic</w:t>
            </w:r>
            <w:proofErr w:type="spellEnd"/>
            <w:r w:rsidRPr="00A50FBC">
              <w:t xml:space="preserve"> website</w:t>
            </w:r>
            <w:r w:rsidRPr="00A50FBC">
              <w:rPr>
                <w:rStyle w:val="Hyperlink"/>
              </w:rPr>
              <w:t xml:space="preserve"> </w:t>
            </w:r>
            <w:hyperlink r:id="rId24" w:history="1">
              <w:r w:rsidRPr="00A50FBC">
                <w:rPr>
                  <w:rStyle w:val="Hyperlink"/>
                </w:rPr>
                <w:t>https://www2.health.vic.gov.au/alcohol-and-drugs/funding-and-reporting-aod-services/data-collection</w:t>
              </w:r>
            </w:hyperlink>
          </w:p>
        </w:tc>
      </w:tr>
    </w:tbl>
    <w:p w14:paraId="582F016D" w14:textId="77777777" w:rsidR="00F24D53" w:rsidRDefault="00F24D53" w:rsidP="00FF6D9D">
      <w:pPr>
        <w:pStyle w:val="DHHSbody"/>
        <w:rPr>
          <w:rFonts w:cs="Arial"/>
        </w:rPr>
        <w:sectPr w:rsidR="00F24D53" w:rsidSect="004020E8">
          <w:headerReference w:type="default" r:id="rId25"/>
          <w:footerReference w:type="default" r:id="rId26"/>
          <w:type w:val="continuous"/>
          <w:pgSz w:w="11906" w:h="16838" w:code="9"/>
          <w:pgMar w:top="1418" w:right="851" w:bottom="1134" w:left="851" w:header="567" w:footer="510" w:gutter="0"/>
          <w:cols w:space="340"/>
          <w:titlePg/>
          <w:docGrid w:linePitch="360"/>
        </w:sectPr>
      </w:pPr>
    </w:p>
    <w:p w14:paraId="614273BF" w14:textId="63F8D8DA" w:rsidR="00F24D53" w:rsidRDefault="00F24D53" w:rsidP="00F24D53">
      <w:pPr>
        <w:pStyle w:val="Heading1"/>
        <w:rPr>
          <w:lang w:eastAsia="en-AU"/>
        </w:rPr>
      </w:pPr>
      <w:bookmarkStart w:id="15" w:name="_Toc45804648"/>
      <w:bookmarkStart w:id="16" w:name="_Toc8892842"/>
      <w:bookmarkStart w:id="17" w:name="_Toc9944856"/>
      <w:bookmarkStart w:id="18" w:name="_Toc9945304"/>
      <w:bookmarkStart w:id="19" w:name="_Toc10192367"/>
      <w:bookmarkStart w:id="20" w:name="_Toc10464986"/>
      <w:bookmarkStart w:id="21" w:name="_Toc10551207"/>
      <w:bookmarkStart w:id="22" w:name="_Toc10647686"/>
      <w:bookmarkStart w:id="23" w:name="_Toc11836808"/>
      <w:bookmarkStart w:id="24" w:name="_Toc21944746"/>
      <w:bookmarkStart w:id="25" w:name="_Toc21959666"/>
      <w:r>
        <w:rPr>
          <w:lang w:eastAsia="en-AU"/>
        </w:rPr>
        <w:lastRenderedPageBreak/>
        <w:t xml:space="preserve">Appendix 1 - </w:t>
      </w:r>
      <w:r w:rsidRPr="00F24D53">
        <w:rPr>
          <w:lang w:eastAsia="en-AU"/>
        </w:rPr>
        <w:t>Funding source attributes</w:t>
      </w:r>
      <w:r>
        <w:rPr>
          <w:lang w:eastAsia="en-AU"/>
        </w:rPr>
        <w:t xml:space="preserve"> (VADC Data specification 2020-21)</w:t>
      </w:r>
      <w:bookmarkEnd w:id="15"/>
    </w:p>
    <w:p w14:paraId="59C76DB9" w14:textId="4287728D" w:rsidR="00F24D53" w:rsidRPr="00F24D53" w:rsidRDefault="00F24D53" w:rsidP="00F24D53">
      <w:pPr>
        <w:pStyle w:val="DHHSbody"/>
        <w:rPr>
          <w:b/>
          <w:bCs/>
          <w:lang w:eastAsia="en-AU"/>
        </w:rPr>
      </w:pPr>
      <w:r w:rsidRPr="00F24D53">
        <w:rPr>
          <w:b/>
          <w:bCs/>
          <w:lang w:eastAsia="en-AU"/>
        </w:rPr>
        <w:t>4.2.5 Funding source attributes</w:t>
      </w:r>
      <w:bookmarkEnd w:id="16"/>
      <w:bookmarkEnd w:id="17"/>
      <w:bookmarkEnd w:id="18"/>
      <w:bookmarkEnd w:id="19"/>
      <w:bookmarkEnd w:id="20"/>
      <w:bookmarkEnd w:id="21"/>
      <w:bookmarkEnd w:id="22"/>
      <w:bookmarkEnd w:id="23"/>
      <w:bookmarkEnd w:id="24"/>
      <w:bookmarkEnd w:id="25"/>
    </w:p>
    <w:p w14:paraId="52C937A9" w14:textId="77777777" w:rsidR="00F24D53" w:rsidRPr="00AF022B" w:rsidRDefault="00F24D53" w:rsidP="00F24D53">
      <w:pPr>
        <w:pStyle w:val="DHHSbody"/>
      </w:pPr>
      <w:r w:rsidRPr="00AF022B">
        <w:t>A funding source and service stream must be nominated for all service events. Different combinations of funding source and service stream relate to:</w:t>
      </w:r>
    </w:p>
    <w:p w14:paraId="0C6925FD" w14:textId="77777777" w:rsidR="00F24D53" w:rsidRPr="00AF022B" w:rsidRDefault="00F24D53" w:rsidP="00F24D53">
      <w:pPr>
        <w:pStyle w:val="DHHSbody"/>
        <w:numPr>
          <w:ilvl w:val="0"/>
          <w:numId w:val="38"/>
        </w:numPr>
      </w:pPr>
      <w:r w:rsidRPr="00AF022B">
        <w:t>different funding units (COT, EOC, DTAU)</w:t>
      </w:r>
      <w:r>
        <w:t>,</w:t>
      </w:r>
      <w:r w:rsidRPr="00AF022B">
        <w:t xml:space="preserve"> or</w:t>
      </w:r>
    </w:p>
    <w:p w14:paraId="38E31B59" w14:textId="77777777" w:rsidR="00F24D53" w:rsidRPr="00AF022B" w:rsidRDefault="00F24D53" w:rsidP="00F24D53">
      <w:pPr>
        <w:pStyle w:val="DHHSbody"/>
        <w:numPr>
          <w:ilvl w:val="0"/>
          <w:numId w:val="38"/>
        </w:numPr>
      </w:pPr>
      <w:r w:rsidRPr="00AF022B">
        <w:t>different DTAU values due to variations in service stream model of care and/or performance monitoring requirements.</w:t>
      </w:r>
    </w:p>
    <w:p w14:paraId="7B9D0743" w14:textId="77777777" w:rsidR="00F24D53" w:rsidRPr="00AF022B" w:rsidRDefault="00F24D53" w:rsidP="00F24D53">
      <w:pPr>
        <w:pStyle w:val="DHHSbody"/>
      </w:pPr>
      <w:r w:rsidRPr="00AF022B">
        <w:t>Only the combinations specified below can be used.</w:t>
      </w:r>
    </w:p>
    <w:p w14:paraId="522C7EB0" w14:textId="77777777" w:rsidR="00F24D53" w:rsidRPr="00AF022B" w:rsidRDefault="00F24D53" w:rsidP="00F24D53">
      <w:pPr>
        <w:pStyle w:val="DHHSbody"/>
        <w:spacing w:after="0" w:line="240" w:lineRule="auto"/>
      </w:pPr>
      <w:r w:rsidRPr="00AF022B">
        <w:t>Funding Unit</w:t>
      </w:r>
    </w:p>
    <w:p w14:paraId="10050EC4" w14:textId="77777777" w:rsidR="00F24D53" w:rsidRPr="00AF022B" w:rsidRDefault="00F24D53" w:rsidP="00F24D53">
      <w:pPr>
        <w:pStyle w:val="DHHSbody"/>
        <w:numPr>
          <w:ilvl w:val="0"/>
          <w:numId w:val="37"/>
        </w:numPr>
        <w:spacing w:after="0" w:line="240" w:lineRule="auto"/>
      </w:pPr>
      <w:r w:rsidRPr="00AF022B">
        <w:t>C: Courses of Treatment</w:t>
      </w:r>
    </w:p>
    <w:p w14:paraId="2D142D1A" w14:textId="77777777" w:rsidR="00F24D53" w:rsidRPr="00AF022B" w:rsidRDefault="00F24D53" w:rsidP="00F24D53">
      <w:pPr>
        <w:pStyle w:val="DHHSbody"/>
        <w:numPr>
          <w:ilvl w:val="0"/>
          <w:numId w:val="37"/>
        </w:numPr>
        <w:spacing w:after="0" w:line="240" w:lineRule="auto"/>
      </w:pPr>
      <w:r w:rsidRPr="00AF022B">
        <w:t>E: Episodes of Care</w:t>
      </w:r>
    </w:p>
    <w:p w14:paraId="7A130540" w14:textId="77777777" w:rsidR="00F24D53" w:rsidRPr="00AF022B" w:rsidRDefault="00F24D53" w:rsidP="00F24D53">
      <w:pPr>
        <w:pStyle w:val="DHHSbody"/>
        <w:numPr>
          <w:ilvl w:val="0"/>
          <w:numId w:val="37"/>
        </w:numPr>
        <w:spacing w:after="0" w:line="240" w:lineRule="auto"/>
      </w:pPr>
      <w:r w:rsidRPr="00AF022B">
        <w:t>D: Drug Treatment Activity Unit</w:t>
      </w:r>
    </w:p>
    <w:p w14:paraId="46BD5B0A" w14:textId="77777777" w:rsidR="00F24D53" w:rsidRPr="00AF022B" w:rsidRDefault="00F24D53" w:rsidP="00F24D53">
      <w:pPr>
        <w:pStyle w:val="DHHSbody"/>
        <w:numPr>
          <w:ilvl w:val="0"/>
          <w:numId w:val="37"/>
        </w:numPr>
        <w:spacing w:after="0" w:line="240" w:lineRule="auto"/>
      </w:pPr>
      <w:r w:rsidRPr="00AF022B">
        <w:t>NA: Not applicable (no funding unit, therefore [L] &amp; [S] are optional)</w:t>
      </w:r>
    </w:p>
    <w:p w14:paraId="695A72F6" w14:textId="77777777" w:rsidR="00F24D53" w:rsidRPr="00AF022B" w:rsidRDefault="00F24D53" w:rsidP="00F24D53">
      <w:pPr>
        <w:pStyle w:val="DHHSbody"/>
        <w:spacing w:after="0" w:line="240" w:lineRule="auto"/>
      </w:pPr>
      <w:r w:rsidRPr="00AF022B">
        <w:t>Other values</w:t>
      </w:r>
    </w:p>
    <w:p w14:paraId="4DF92986" w14:textId="77777777" w:rsidR="00F24D53" w:rsidRPr="00AF022B" w:rsidRDefault="00F24D53" w:rsidP="00F24D53">
      <w:pPr>
        <w:pStyle w:val="DHHSbody"/>
        <w:numPr>
          <w:ilvl w:val="0"/>
          <w:numId w:val="37"/>
        </w:numPr>
        <w:spacing w:after="0" w:line="240" w:lineRule="auto"/>
      </w:pPr>
      <w:r w:rsidRPr="00AF022B">
        <w:t>[L]: Course Length expected at service event end for this combination</w:t>
      </w:r>
    </w:p>
    <w:p w14:paraId="6ABAD191" w14:textId="77777777" w:rsidR="00F24D53" w:rsidRPr="00AF022B" w:rsidRDefault="00F24D53" w:rsidP="00F24D53">
      <w:pPr>
        <w:pStyle w:val="DHHSbody"/>
        <w:numPr>
          <w:ilvl w:val="0"/>
          <w:numId w:val="37"/>
        </w:numPr>
        <w:spacing w:after="0" w:line="240" w:lineRule="auto"/>
      </w:pPr>
      <w:r w:rsidRPr="00AF022B">
        <w:t>[S]: Significant goal achieved expected at service event end for this combination</w:t>
      </w:r>
    </w:p>
    <w:p w14:paraId="272DEE58" w14:textId="3BE095FA" w:rsidR="00F24D53" w:rsidRDefault="00F24D53">
      <w:pPr>
        <w:rPr>
          <w:rFonts w:ascii="Arial" w:eastAsia="Times" w:hAnsi="Arial" w:cs="Times New Roman"/>
          <w:sz w:val="20"/>
          <w:szCs w:val="20"/>
        </w:rPr>
      </w:pPr>
      <w:r>
        <w:br w:type="page"/>
      </w:r>
    </w:p>
    <w:p w14:paraId="281D5E2B" w14:textId="77777777" w:rsidR="00F24D53" w:rsidRPr="00AF022B" w:rsidRDefault="00F24D53" w:rsidP="00F24D53">
      <w:pPr>
        <w:pStyle w:val="Caption"/>
        <w:rPr>
          <w:sz w:val="24"/>
          <w:szCs w:val="24"/>
        </w:rPr>
      </w:pPr>
      <w:r w:rsidRPr="00AF022B">
        <w:rPr>
          <w:sz w:val="24"/>
          <w:szCs w:val="24"/>
        </w:rPr>
        <w:lastRenderedPageBreak/>
        <w:t>Table 4 Service event funding sources and funding units</w:t>
      </w:r>
    </w:p>
    <w:tbl>
      <w:tblPr>
        <w:tblStyle w:val="TableGrid"/>
        <w:tblW w:w="14493" w:type="dxa"/>
        <w:tblLayout w:type="fixed"/>
        <w:tblLook w:val="04A0" w:firstRow="1" w:lastRow="0" w:firstColumn="1" w:lastColumn="0" w:noHBand="0" w:noVBand="1"/>
      </w:tblPr>
      <w:tblGrid>
        <w:gridCol w:w="3415"/>
        <w:gridCol w:w="594"/>
        <w:gridCol w:w="594"/>
        <w:gridCol w:w="594"/>
        <w:gridCol w:w="546"/>
        <w:gridCol w:w="594"/>
        <w:gridCol w:w="594"/>
        <w:gridCol w:w="583"/>
        <w:gridCol w:w="595"/>
        <w:gridCol w:w="594"/>
        <w:gridCol w:w="594"/>
        <w:gridCol w:w="594"/>
        <w:gridCol w:w="584"/>
        <w:gridCol w:w="547"/>
        <w:gridCol w:w="584"/>
        <w:gridCol w:w="547"/>
        <w:gridCol w:w="594"/>
        <w:gridCol w:w="594"/>
        <w:gridCol w:w="547"/>
        <w:gridCol w:w="594"/>
        <w:gridCol w:w="11"/>
      </w:tblGrid>
      <w:tr w:rsidR="00F24D53" w:rsidRPr="005309F5" w14:paraId="31D6FBB0" w14:textId="77777777" w:rsidTr="005309F5">
        <w:trPr>
          <w:cantSplit/>
          <w:trHeight w:val="405"/>
          <w:tblHeader/>
        </w:trPr>
        <w:tc>
          <w:tcPr>
            <w:tcW w:w="3415" w:type="dxa"/>
            <w:vAlign w:val="center"/>
          </w:tcPr>
          <w:p w14:paraId="479BEFF8" w14:textId="77777777" w:rsidR="00F24D53" w:rsidRPr="005309F5" w:rsidRDefault="00F24D53" w:rsidP="005309F5">
            <w:pPr>
              <w:rPr>
                <w:rFonts w:ascii="Arial" w:hAnsi="Arial" w:cs="Arial"/>
                <w:b/>
                <w:color w:val="000000"/>
                <w:sz w:val="20"/>
                <w:szCs w:val="20"/>
                <w:lang w:eastAsia="en-AU"/>
              </w:rPr>
            </w:pPr>
            <w:bookmarkStart w:id="26" w:name="_Hlk10548981"/>
            <w:bookmarkStart w:id="27" w:name="_Hlk10549717"/>
            <w:r w:rsidRPr="005309F5">
              <w:rPr>
                <w:rFonts w:ascii="Arial" w:hAnsi="Arial" w:cs="Arial"/>
                <w:b/>
                <w:color w:val="000000"/>
                <w:sz w:val="20"/>
                <w:szCs w:val="20"/>
                <w:lang w:eastAsia="en-AU"/>
              </w:rPr>
              <w:t>Funding Source code</w:t>
            </w:r>
          </w:p>
        </w:tc>
        <w:tc>
          <w:tcPr>
            <w:tcW w:w="594" w:type="dxa"/>
          </w:tcPr>
          <w:p w14:paraId="4451DDAD" w14:textId="77777777" w:rsidR="00F24D53" w:rsidRPr="005309F5" w:rsidRDefault="00F24D53" w:rsidP="005309F5">
            <w:pPr>
              <w:jc w:val="center"/>
              <w:rPr>
                <w:rFonts w:ascii="Arial" w:hAnsi="Arial" w:cs="Arial"/>
                <w:b/>
                <w:color w:val="000000"/>
                <w:sz w:val="20"/>
                <w:szCs w:val="20"/>
                <w:lang w:eastAsia="en-AU"/>
              </w:rPr>
            </w:pPr>
          </w:p>
        </w:tc>
        <w:tc>
          <w:tcPr>
            <w:tcW w:w="10484" w:type="dxa"/>
            <w:gridSpan w:val="19"/>
            <w:vAlign w:val="center"/>
          </w:tcPr>
          <w:p w14:paraId="13B214DC" w14:textId="77777777" w:rsidR="00F24D53" w:rsidRPr="005309F5" w:rsidRDefault="00F24D53" w:rsidP="005309F5">
            <w:pPr>
              <w:jc w:val="center"/>
              <w:rPr>
                <w:rFonts w:ascii="Arial" w:hAnsi="Arial" w:cs="Arial"/>
                <w:b/>
                <w:color w:val="000000"/>
                <w:sz w:val="20"/>
                <w:szCs w:val="20"/>
                <w:lang w:eastAsia="en-AU"/>
              </w:rPr>
            </w:pPr>
            <w:r w:rsidRPr="005309F5">
              <w:rPr>
                <w:rFonts w:ascii="Arial" w:hAnsi="Arial" w:cs="Arial"/>
                <w:b/>
                <w:color w:val="000000"/>
                <w:sz w:val="20"/>
                <w:szCs w:val="20"/>
                <w:lang w:eastAsia="en-AU"/>
              </w:rPr>
              <w:t>Service Stream Code</w:t>
            </w:r>
          </w:p>
        </w:tc>
      </w:tr>
      <w:tr w:rsidR="00F24D53" w:rsidRPr="005309F5" w14:paraId="3B31F7A4" w14:textId="77777777" w:rsidTr="005309F5">
        <w:trPr>
          <w:gridAfter w:val="1"/>
          <w:wAfter w:w="11" w:type="dxa"/>
          <w:cantSplit/>
          <w:trHeight w:val="2640"/>
          <w:tblHeader/>
        </w:trPr>
        <w:tc>
          <w:tcPr>
            <w:tcW w:w="3415" w:type="dxa"/>
          </w:tcPr>
          <w:p w14:paraId="1F825885" w14:textId="77777777" w:rsidR="00F24D53" w:rsidRPr="005309F5" w:rsidRDefault="00F24D53" w:rsidP="005309F5">
            <w:pPr>
              <w:spacing w:after="240"/>
              <w:ind w:left="113" w:right="113"/>
              <w:rPr>
                <w:rFonts w:ascii="Arial" w:hAnsi="Arial" w:cs="Arial"/>
                <w:color w:val="000000"/>
                <w:sz w:val="20"/>
                <w:szCs w:val="20"/>
                <w:lang w:eastAsia="en-AU"/>
              </w:rPr>
            </w:pPr>
            <w:bookmarkStart w:id="28" w:name="_Hlk10548742"/>
            <w:bookmarkEnd w:id="26"/>
          </w:p>
        </w:tc>
        <w:tc>
          <w:tcPr>
            <w:tcW w:w="594" w:type="dxa"/>
            <w:textDirection w:val="btLr"/>
          </w:tcPr>
          <w:p w14:paraId="668AA807"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10- Residential Withdrawal</w:t>
            </w:r>
          </w:p>
        </w:tc>
        <w:tc>
          <w:tcPr>
            <w:tcW w:w="594" w:type="dxa"/>
            <w:textDirection w:val="btLr"/>
          </w:tcPr>
          <w:p w14:paraId="705CF9D8"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11-Non-Residential Withdrawal</w:t>
            </w:r>
          </w:p>
        </w:tc>
        <w:tc>
          <w:tcPr>
            <w:tcW w:w="594" w:type="dxa"/>
            <w:textDirection w:val="btLr"/>
          </w:tcPr>
          <w:p w14:paraId="39E9C37D"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20-Counselling</w:t>
            </w:r>
          </w:p>
        </w:tc>
        <w:tc>
          <w:tcPr>
            <w:tcW w:w="546" w:type="dxa"/>
            <w:textDirection w:val="btLr"/>
          </w:tcPr>
          <w:p w14:paraId="57FD5B2A"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21-Brief Intervention</w:t>
            </w:r>
          </w:p>
        </w:tc>
        <w:tc>
          <w:tcPr>
            <w:tcW w:w="594" w:type="dxa"/>
            <w:textDirection w:val="btLr"/>
          </w:tcPr>
          <w:p w14:paraId="2D9F4269"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22-Ante &amp; Post Natal Support</w:t>
            </w:r>
          </w:p>
        </w:tc>
        <w:tc>
          <w:tcPr>
            <w:tcW w:w="594" w:type="dxa"/>
            <w:textDirection w:val="btLr"/>
          </w:tcPr>
          <w:p w14:paraId="51C37C0D"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30-Residential Rehabilitation</w:t>
            </w:r>
          </w:p>
        </w:tc>
        <w:tc>
          <w:tcPr>
            <w:tcW w:w="583" w:type="dxa"/>
            <w:textDirection w:val="btLr"/>
          </w:tcPr>
          <w:p w14:paraId="537AEA9E"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31-Therapeutic Day Rehabilitation</w:t>
            </w:r>
          </w:p>
        </w:tc>
        <w:tc>
          <w:tcPr>
            <w:tcW w:w="595" w:type="dxa"/>
            <w:textDirection w:val="btLr"/>
          </w:tcPr>
          <w:p w14:paraId="2D879ED1" w14:textId="77777777" w:rsidR="00F24D53" w:rsidRPr="005309F5" w:rsidRDefault="00F24D53" w:rsidP="005309F5">
            <w:pPr>
              <w:spacing w:after="240"/>
              <w:ind w:left="113" w:right="113"/>
              <w:rPr>
                <w:rFonts w:ascii="Arial" w:hAnsi="Arial" w:cs="Arial"/>
                <w:sz w:val="20"/>
                <w:szCs w:val="20"/>
                <w:lang w:eastAsia="en-AU"/>
              </w:rPr>
            </w:pPr>
            <w:r w:rsidRPr="005309F5">
              <w:rPr>
                <w:rFonts w:ascii="Arial" w:hAnsi="Arial" w:cs="Arial"/>
                <w:sz w:val="20"/>
                <w:szCs w:val="20"/>
                <w:lang w:eastAsia="en-AU"/>
              </w:rPr>
              <w:t xml:space="preserve">32 – Residential pre-admission engagement * </w:t>
            </w:r>
          </w:p>
        </w:tc>
        <w:tc>
          <w:tcPr>
            <w:tcW w:w="594" w:type="dxa"/>
            <w:textDirection w:val="btLr"/>
          </w:tcPr>
          <w:p w14:paraId="46E49596"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33 – Residential pre-admission engagement *</w:t>
            </w:r>
          </w:p>
        </w:tc>
        <w:tc>
          <w:tcPr>
            <w:tcW w:w="594" w:type="dxa"/>
            <w:textDirection w:val="btLr"/>
          </w:tcPr>
          <w:p w14:paraId="4A4B7747"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50-Care &amp; Recovery Coordination</w:t>
            </w:r>
          </w:p>
        </w:tc>
        <w:tc>
          <w:tcPr>
            <w:tcW w:w="594" w:type="dxa"/>
            <w:textDirection w:val="btLr"/>
          </w:tcPr>
          <w:p w14:paraId="4C2BCC30"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51-Outreach</w:t>
            </w:r>
          </w:p>
        </w:tc>
        <w:tc>
          <w:tcPr>
            <w:tcW w:w="584" w:type="dxa"/>
            <w:textDirection w:val="btLr"/>
          </w:tcPr>
          <w:p w14:paraId="47452EC5"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52-Bridging Support</w:t>
            </w:r>
          </w:p>
        </w:tc>
        <w:tc>
          <w:tcPr>
            <w:tcW w:w="547" w:type="dxa"/>
            <w:textDirection w:val="btLr"/>
          </w:tcPr>
          <w:p w14:paraId="44201388"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60-Client education program</w:t>
            </w:r>
          </w:p>
        </w:tc>
        <w:tc>
          <w:tcPr>
            <w:tcW w:w="584" w:type="dxa"/>
            <w:textDirection w:val="btLr"/>
          </w:tcPr>
          <w:p w14:paraId="1D9A2BB0"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71-Comprehensive assessment</w:t>
            </w:r>
          </w:p>
        </w:tc>
        <w:tc>
          <w:tcPr>
            <w:tcW w:w="547" w:type="dxa"/>
            <w:textDirection w:val="btLr"/>
          </w:tcPr>
          <w:p w14:paraId="3E8ACC44"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80-Intake</w:t>
            </w:r>
          </w:p>
        </w:tc>
        <w:tc>
          <w:tcPr>
            <w:tcW w:w="594" w:type="dxa"/>
            <w:textDirection w:val="btLr"/>
          </w:tcPr>
          <w:p w14:paraId="6DCB118F"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81-Outdoor Therapy (Youth)</w:t>
            </w:r>
          </w:p>
        </w:tc>
        <w:tc>
          <w:tcPr>
            <w:tcW w:w="594" w:type="dxa"/>
            <w:textDirection w:val="btLr"/>
          </w:tcPr>
          <w:p w14:paraId="226D9862"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82-Day Program (Youth)</w:t>
            </w:r>
          </w:p>
        </w:tc>
        <w:tc>
          <w:tcPr>
            <w:tcW w:w="547" w:type="dxa"/>
            <w:textDirection w:val="btLr"/>
          </w:tcPr>
          <w:p w14:paraId="617B9DC6"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83-Follow up</w:t>
            </w:r>
          </w:p>
        </w:tc>
        <w:tc>
          <w:tcPr>
            <w:tcW w:w="594" w:type="dxa"/>
            <w:textDirection w:val="btLr"/>
          </w:tcPr>
          <w:p w14:paraId="5E609B48" w14:textId="77777777" w:rsidR="00F24D53" w:rsidRPr="005309F5" w:rsidRDefault="00F24D53" w:rsidP="005309F5">
            <w:pPr>
              <w:spacing w:after="240"/>
              <w:ind w:left="113" w:right="113"/>
              <w:rPr>
                <w:rFonts w:ascii="Arial" w:hAnsi="Arial" w:cs="Arial"/>
                <w:color w:val="000000"/>
                <w:sz w:val="20"/>
                <w:szCs w:val="20"/>
                <w:lang w:eastAsia="en-AU"/>
              </w:rPr>
            </w:pPr>
            <w:r w:rsidRPr="005309F5">
              <w:rPr>
                <w:rFonts w:ascii="Arial" w:hAnsi="Arial" w:cs="Arial"/>
                <w:color w:val="000000"/>
                <w:sz w:val="20"/>
                <w:szCs w:val="20"/>
                <w:lang w:eastAsia="en-AU"/>
              </w:rPr>
              <w:t>84-Supported Accommodation</w:t>
            </w:r>
          </w:p>
        </w:tc>
      </w:tr>
      <w:tr w:rsidR="00F24D53" w:rsidRPr="005309F5" w14:paraId="71C03525" w14:textId="77777777" w:rsidTr="005309F5">
        <w:trPr>
          <w:gridAfter w:val="1"/>
          <w:wAfter w:w="11" w:type="dxa"/>
        </w:trPr>
        <w:tc>
          <w:tcPr>
            <w:tcW w:w="3415" w:type="dxa"/>
            <w:vAlign w:val="bottom"/>
          </w:tcPr>
          <w:p w14:paraId="06F62A4B"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0 –Not funded</w:t>
            </w:r>
          </w:p>
        </w:tc>
        <w:tc>
          <w:tcPr>
            <w:tcW w:w="594" w:type="dxa"/>
          </w:tcPr>
          <w:p w14:paraId="2CC13F5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0CA69F28"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6F3472C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6" w:type="dxa"/>
          </w:tcPr>
          <w:p w14:paraId="4A23634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4AA47CB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2351AE8F"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3" w:type="dxa"/>
          </w:tcPr>
          <w:p w14:paraId="0FA26644"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5" w:type="dxa"/>
          </w:tcPr>
          <w:p w14:paraId="6439E8A9" w14:textId="77777777" w:rsidR="00F24D53" w:rsidRPr="005309F5" w:rsidRDefault="00F24D53" w:rsidP="005309F5">
            <w:pPr>
              <w:rPr>
                <w:rFonts w:ascii="Arial" w:hAnsi="Arial" w:cs="Arial"/>
                <w:sz w:val="20"/>
                <w:szCs w:val="20"/>
                <w:lang w:eastAsia="en-AU"/>
              </w:rPr>
            </w:pPr>
            <w:r w:rsidRPr="005309F5">
              <w:rPr>
                <w:rFonts w:ascii="Arial" w:hAnsi="Arial" w:cs="Arial"/>
                <w:sz w:val="20"/>
                <w:szCs w:val="20"/>
                <w:lang w:eastAsia="en-AU"/>
              </w:rPr>
              <w:t xml:space="preserve">NA </w:t>
            </w:r>
          </w:p>
        </w:tc>
        <w:tc>
          <w:tcPr>
            <w:tcW w:w="594" w:type="dxa"/>
          </w:tcPr>
          <w:p w14:paraId="1C9F90CF"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308320E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31911CC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4" w:type="dxa"/>
          </w:tcPr>
          <w:p w14:paraId="2708B064"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1363C07A"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4" w:type="dxa"/>
          </w:tcPr>
          <w:p w14:paraId="74DBBB1E"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2CA673F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08BAE31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04A754A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22668BD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530E96E8"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r>
      <w:tr w:rsidR="00F24D53" w:rsidRPr="005309F5" w14:paraId="23AD8B4B" w14:textId="77777777" w:rsidTr="005309F5">
        <w:trPr>
          <w:gridAfter w:val="1"/>
          <w:wAfter w:w="11" w:type="dxa"/>
        </w:trPr>
        <w:tc>
          <w:tcPr>
            <w:tcW w:w="3415" w:type="dxa"/>
            <w:vAlign w:val="bottom"/>
          </w:tcPr>
          <w:p w14:paraId="75C3B7BC"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100-Vic State Gov – General</w:t>
            </w:r>
          </w:p>
        </w:tc>
        <w:tc>
          <w:tcPr>
            <w:tcW w:w="594" w:type="dxa"/>
          </w:tcPr>
          <w:p w14:paraId="706CABB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94" w:type="dxa"/>
          </w:tcPr>
          <w:p w14:paraId="1403A40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94" w:type="dxa"/>
          </w:tcPr>
          <w:p w14:paraId="6AB79A3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46" w:type="dxa"/>
          </w:tcPr>
          <w:p w14:paraId="20A35638" w14:textId="77777777" w:rsidR="00F24D53" w:rsidRPr="005309F5" w:rsidRDefault="00F24D53" w:rsidP="005309F5">
            <w:pPr>
              <w:rPr>
                <w:rFonts w:ascii="Arial" w:hAnsi="Arial" w:cs="Arial"/>
                <w:strike/>
                <w:color w:val="000000"/>
                <w:sz w:val="20"/>
                <w:szCs w:val="20"/>
                <w:lang w:eastAsia="en-AU"/>
              </w:rPr>
            </w:pPr>
          </w:p>
        </w:tc>
        <w:tc>
          <w:tcPr>
            <w:tcW w:w="594" w:type="dxa"/>
          </w:tcPr>
          <w:p w14:paraId="352F64F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7640D0D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83" w:type="dxa"/>
          </w:tcPr>
          <w:p w14:paraId="2F9886A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95" w:type="dxa"/>
          </w:tcPr>
          <w:p w14:paraId="097341BD" w14:textId="77777777" w:rsidR="00F24D53" w:rsidRPr="005309F5" w:rsidRDefault="00F24D53" w:rsidP="005309F5">
            <w:pPr>
              <w:rPr>
                <w:rFonts w:ascii="Arial" w:hAnsi="Arial" w:cs="Arial"/>
                <w:sz w:val="20"/>
                <w:szCs w:val="20"/>
                <w:lang w:eastAsia="en-AU"/>
              </w:rPr>
            </w:pPr>
          </w:p>
        </w:tc>
        <w:tc>
          <w:tcPr>
            <w:tcW w:w="594" w:type="dxa"/>
          </w:tcPr>
          <w:p w14:paraId="25ADAD8E" w14:textId="77777777" w:rsidR="00F24D53" w:rsidRPr="005309F5" w:rsidRDefault="00F24D53" w:rsidP="005309F5">
            <w:pPr>
              <w:rPr>
                <w:rFonts w:ascii="Arial" w:hAnsi="Arial" w:cs="Arial"/>
                <w:color w:val="000000"/>
                <w:sz w:val="20"/>
                <w:szCs w:val="20"/>
                <w:lang w:eastAsia="en-AU"/>
              </w:rPr>
            </w:pPr>
          </w:p>
        </w:tc>
        <w:tc>
          <w:tcPr>
            <w:tcW w:w="594" w:type="dxa"/>
          </w:tcPr>
          <w:p w14:paraId="12E7D56A"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94" w:type="dxa"/>
          </w:tcPr>
          <w:p w14:paraId="62F2F928"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4" w:type="dxa"/>
          </w:tcPr>
          <w:p w14:paraId="1E4D4F78" w14:textId="77777777" w:rsidR="00F24D53" w:rsidRPr="005309F5" w:rsidRDefault="00F24D53" w:rsidP="005309F5">
            <w:pPr>
              <w:rPr>
                <w:rFonts w:ascii="Arial" w:hAnsi="Arial" w:cs="Arial"/>
                <w:strike/>
                <w:color w:val="000000"/>
                <w:sz w:val="20"/>
                <w:szCs w:val="20"/>
                <w:lang w:eastAsia="en-AU"/>
              </w:rPr>
            </w:pPr>
          </w:p>
        </w:tc>
        <w:tc>
          <w:tcPr>
            <w:tcW w:w="547" w:type="dxa"/>
          </w:tcPr>
          <w:p w14:paraId="16EE839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C</w:t>
            </w:r>
          </w:p>
        </w:tc>
        <w:tc>
          <w:tcPr>
            <w:tcW w:w="584" w:type="dxa"/>
          </w:tcPr>
          <w:p w14:paraId="573A046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7" w:type="dxa"/>
          </w:tcPr>
          <w:p w14:paraId="67C7BC2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94" w:type="dxa"/>
          </w:tcPr>
          <w:p w14:paraId="7489409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507FAB5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7" w:type="dxa"/>
          </w:tcPr>
          <w:p w14:paraId="4CDCCAFF" w14:textId="77777777" w:rsidR="00F24D53" w:rsidRPr="005309F5" w:rsidRDefault="00F24D53" w:rsidP="005309F5">
            <w:pPr>
              <w:rPr>
                <w:rFonts w:ascii="Arial" w:hAnsi="Arial" w:cs="Arial"/>
                <w:color w:val="000000"/>
                <w:sz w:val="20"/>
                <w:szCs w:val="20"/>
                <w:lang w:eastAsia="en-AU"/>
              </w:rPr>
            </w:pPr>
          </w:p>
        </w:tc>
        <w:tc>
          <w:tcPr>
            <w:tcW w:w="594" w:type="dxa"/>
          </w:tcPr>
          <w:p w14:paraId="4D6480C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r>
      <w:tr w:rsidR="00F24D53" w:rsidRPr="005309F5" w14:paraId="4459D6B4" w14:textId="77777777" w:rsidTr="005309F5">
        <w:trPr>
          <w:gridAfter w:val="1"/>
          <w:wAfter w:w="11" w:type="dxa"/>
        </w:trPr>
        <w:tc>
          <w:tcPr>
            <w:tcW w:w="3415" w:type="dxa"/>
            <w:vAlign w:val="bottom"/>
          </w:tcPr>
          <w:p w14:paraId="53C581C7"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102-Vic State Gov-</w:t>
            </w:r>
            <w:r w:rsidRPr="005309F5">
              <w:rPr>
                <w:rFonts w:ascii="Arial" w:hAnsi="Arial" w:cs="Arial"/>
                <w:sz w:val="20"/>
                <w:szCs w:val="20"/>
              </w:rPr>
              <w:t xml:space="preserve"> Drug Diversion Appointment Line (DDAL)</w:t>
            </w:r>
          </w:p>
        </w:tc>
        <w:tc>
          <w:tcPr>
            <w:tcW w:w="594" w:type="dxa"/>
          </w:tcPr>
          <w:p w14:paraId="5B109EB6" w14:textId="77777777" w:rsidR="00F24D53" w:rsidRPr="005309F5" w:rsidRDefault="00F24D53" w:rsidP="005309F5">
            <w:pPr>
              <w:rPr>
                <w:rFonts w:ascii="Arial" w:hAnsi="Arial" w:cs="Arial"/>
                <w:color w:val="000000"/>
                <w:sz w:val="20"/>
                <w:szCs w:val="20"/>
                <w:lang w:eastAsia="en-AU"/>
              </w:rPr>
            </w:pPr>
          </w:p>
        </w:tc>
        <w:tc>
          <w:tcPr>
            <w:tcW w:w="594" w:type="dxa"/>
          </w:tcPr>
          <w:p w14:paraId="27A589C8" w14:textId="77777777" w:rsidR="00F24D53" w:rsidRPr="005309F5" w:rsidRDefault="00F24D53" w:rsidP="005309F5">
            <w:pPr>
              <w:rPr>
                <w:rFonts w:ascii="Arial" w:hAnsi="Arial" w:cs="Arial"/>
                <w:color w:val="000000"/>
                <w:sz w:val="20"/>
                <w:szCs w:val="20"/>
                <w:lang w:eastAsia="en-AU"/>
              </w:rPr>
            </w:pPr>
          </w:p>
        </w:tc>
        <w:tc>
          <w:tcPr>
            <w:tcW w:w="594" w:type="dxa"/>
          </w:tcPr>
          <w:p w14:paraId="14A3731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6" w:type="dxa"/>
          </w:tcPr>
          <w:p w14:paraId="5D82B3A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94" w:type="dxa"/>
          </w:tcPr>
          <w:p w14:paraId="7A333BB9" w14:textId="77777777" w:rsidR="00F24D53" w:rsidRPr="005309F5" w:rsidRDefault="00F24D53" w:rsidP="005309F5">
            <w:pPr>
              <w:rPr>
                <w:rFonts w:ascii="Arial" w:hAnsi="Arial" w:cs="Arial"/>
                <w:color w:val="000000"/>
                <w:sz w:val="20"/>
                <w:szCs w:val="20"/>
                <w:lang w:eastAsia="en-AU"/>
              </w:rPr>
            </w:pPr>
          </w:p>
        </w:tc>
        <w:tc>
          <w:tcPr>
            <w:tcW w:w="594" w:type="dxa"/>
          </w:tcPr>
          <w:p w14:paraId="1A87268A" w14:textId="77777777" w:rsidR="00F24D53" w:rsidRPr="005309F5" w:rsidRDefault="00F24D53" w:rsidP="005309F5">
            <w:pPr>
              <w:rPr>
                <w:rFonts w:ascii="Arial" w:hAnsi="Arial" w:cs="Arial"/>
                <w:color w:val="000000"/>
                <w:sz w:val="20"/>
                <w:szCs w:val="20"/>
                <w:lang w:eastAsia="en-AU"/>
              </w:rPr>
            </w:pPr>
          </w:p>
        </w:tc>
        <w:tc>
          <w:tcPr>
            <w:tcW w:w="583" w:type="dxa"/>
          </w:tcPr>
          <w:p w14:paraId="4DDE3933" w14:textId="77777777" w:rsidR="00F24D53" w:rsidRPr="005309F5" w:rsidRDefault="00F24D53" w:rsidP="005309F5">
            <w:pPr>
              <w:rPr>
                <w:rFonts w:ascii="Arial" w:hAnsi="Arial" w:cs="Arial"/>
                <w:color w:val="000000"/>
                <w:sz w:val="20"/>
                <w:szCs w:val="20"/>
                <w:lang w:eastAsia="en-AU"/>
              </w:rPr>
            </w:pPr>
          </w:p>
        </w:tc>
        <w:tc>
          <w:tcPr>
            <w:tcW w:w="595" w:type="dxa"/>
          </w:tcPr>
          <w:p w14:paraId="614534CA" w14:textId="77777777" w:rsidR="00F24D53" w:rsidRPr="005309F5" w:rsidRDefault="00F24D53" w:rsidP="005309F5">
            <w:pPr>
              <w:rPr>
                <w:rFonts w:ascii="Arial" w:hAnsi="Arial" w:cs="Arial"/>
                <w:sz w:val="20"/>
                <w:szCs w:val="20"/>
                <w:lang w:eastAsia="en-AU"/>
              </w:rPr>
            </w:pPr>
          </w:p>
        </w:tc>
        <w:tc>
          <w:tcPr>
            <w:tcW w:w="594" w:type="dxa"/>
          </w:tcPr>
          <w:p w14:paraId="37070C5D" w14:textId="77777777" w:rsidR="00F24D53" w:rsidRPr="005309F5" w:rsidRDefault="00F24D53" w:rsidP="005309F5">
            <w:pPr>
              <w:rPr>
                <w:rFonts w:ascii="Arial" w:hAnsi="Arial" w:cs="Arial"/>
                <w:color w:val="000000"/>
                <w:sz w:val="20"/>
                <w:szCs w:val="20"/>
                <w:lang w:eastAsia="en-AU"/>
              </w:rPr>
            </w:pPr>
          </w:p>
        </w:tc>
        <w:tc>
          <w:tcPr>
            <w:tcW w:w="594" w:type="dxa"/>
          </w:tcPr>
          <w:p w14:paraId="2472239A" w14:textId="77777777" w:rsidR="00F24D53" w:rsidRPr="005309F5" w:rsidRDefault="00F24D53" w:rsidP="005309F5">
            <w:pPr>
              <w:rPr>
                <w:rFonts w:ascii="Arial" w:hAnsi="Arial" w:cs="Arial"/>
                <w:color w:val="000000"/>
                <w:sz w:val="20"/>
                <w:szCs w:val="20"/>
                <w:lang w:eastAsia="en-AU"/>
              </w:rPr>
            </w:pPr>
          </w:p>
        </w:tc>
        <w:tc>
          <w:tcPr>
            <w:tcW w:w="594" w:type="dxa"/>
          </w:tcPr>
          <w:p w14:paraId="49CCA04A" w14:textId="77777777" w:rsidR="00F24D53" w:rsidRPr="005309F5" w:rsidRDefault="00F24D53" w:rsidP="005309F5">
            <w:pPr>
              <w:rPr>
                <w:rFonts w:ascii="Arial" w:hAnsi="Arial" w:cs="Arial"/>
                <w:color w:val="000000"/>
                <w:sz w:val="20"/>
                <w:szCs w:val="20"/>
                <w:lang w:eastAsia="en-AU"/>
              </w:rPr>
            </w:pPr>
          </w:p>
        </w:tc>
        <w:tc>
          <w:tcPr>
            <w:tcW w:w="584" w:type="dxa"/>
          </w:tcPr>
          <w:p w14:paraId="4A2E0C73" w14:textId="77777777" w:rsidR="00F24D53" w:rsidRPr="005309F5" w:rsidRDefault="00F24D53" w:rsidP="005309F5">
            <w:pPr>
              <w:rPr>
                <w:rFonts w:ascii="Arial" w:hAnsi="Arial" w:cs="Arial"/>
                <w:color w:val="000000"/>
                <w:sz w:val="20"/>
                <w:szCs w:val="20"/>
                <w:lang w:eastAsia="en-AU"/>
              </w:rPr>
            </w:pPr>
          </w:p>
        </w:tc>
        <w:tc>
          <w:tcPr>
            <w:tcW w:w="547" w:type="dxa"/>
          </w:tcPr>
          <w:p w14:paraId="63A08240" w14:textId="77777777" w:rsidR="00F24D53" w:rsidRPr="005309F5" w:rsidRDefault="00F24D53" w:rsidP="005309F5">
            <w:pPr>
              <w:rPr>
                <w:rFonts w:ascii="Arial" w:hAnsi="Arial" w:cs="Arial"/>
                <w:color w:val="000000"/>
                <w:sz w:val="20"/>
                <w:szCs w:val="20"/>
                <w:lang w:eastAsia="en-AU"/>
              </w:rPr>
            </w:pPr>
          </w:p>
        </w:tc>
        <w:tc>
          <w:tcPr>
            <w:tcW w:w="584" w:type="dxa"/>
          </w:tcPr>
          <w:p w14:paraId="1FB1AF5D"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7" w:type="dxa"/>
          </w:tcPr>
          <w:p w14:paraId="7EA13BA7" w14:textId="77777777" w:rsidR="00F24D53" w:rsidRPr="005309F5" w:rsidRDefault="00F24D53" w:rsidP="005309F5">
            <w:pPr>
              <w:rPr>
                <w:rFonts w:ascii="Arial" w:hAnsi="Arial" w:cs="Arial"/>
                <w:color w:val="000000"/>
                <w:sz w:val="20"/>
                <w:szCs w:val="20"/>
                <w:lang w:eastAsia="en-AU"/>
              </w:rPr>
            </w:pPr>
          </w:p>
        </w:tc>
        <w:tc>
          <w:tcPr>
            <w:tcW w:w="594" w:type="dxa"/>
          </w:tcPr>
          <w:p w14:paraId="0A7A70B4" w14:textId="77777777" w:rsidR="00F24D53" w:rsidRPr="005309F5" w:rsidRDefault="00F24D53" w:rsidP="005309F5">
            <w:pPr>
              <w:rPr>
                <w:rFonts w:ascii="Arial" w:hAnsi="Arial" w:cs="Arial"/>
                <w:color w:val="000000"/>
                <w:sz w:val="20"/>
                <w:szCs w:val="20"/>
                <w:lang w:eastAsia="en-AU"/>
              </w:rPr>
            </w:pPr>
          </w:p>
        </w:tc>
        <w:tc>
          <w:tcPr>
            <w:tcW w:w="594" w:type="dxa"/>
          </w:tcPr>
          <w:p w14:paraId="164266C3" w14:textId="77777777" w:rsidR="00F24D53" w:rsidRPr="005309F5" w:rsidRDefault="00F24D53" w:rsidP="005309F5">
            <w:pPr>
              <w:rPr>
                <w:rFonts w:ascii="Arial" w:hAnsi="Arial" w:cs="Arial"/>
                <w:color w:val="000000"/>
                <w:sz w:val="20"/>
                <w:szCs w:val="20"/>
                <w:lang w:eastAsia="en-AU"/>
              </w:rPr>
            </w:pPr>
          </w:p>
        </w:tc>
        <w:tc>
          <w:tcPr>
            <w:tcW w:w="547" w:type="dxa"/>
          </w:tcPr>
          <w:p w14:paraId="0C6CF141" w14:textId="77777777" w:rsidR="00F24D53" w:rsidRPr="005309F5" w:rsidRDefault="00F24D53" w:rsidP="005309F5">
            <w:pPr>
              <w:rPr>
                <w:rFonts w:ascii="Arial" w:hAnsi="Arial" w:cs="Arial"/>
                <w:color w:val="000000"/>
                <w:sz w:val="20"/>
                <w:szCs w:val="20"/>
                <w:lang w:eastAsia="en-AU"/>
              </w:rPr>
            </w:pPr>
          </w:p>
        </w:tc>
        <w:tc>
          <w:tcPr>
            <w:tcW w:w="594" w:type="dxa"/>
          </w:tcPr>
          <w:p w14:paraId="4A6FF6BF" w14:textId="77777777" w:rsidR="00F24D53" w:rsidRPr="005309F5" w:rsidRDefault="00F24D53" w:rsidP="005309F5">
            <w:pPr>
              <w:rPr>
                <w:rFonts w:ascii="Arial" w:hAnsi="Arial" w:cs="Arial"/>
                <w:color w:val="000000"/>
                <w:sz w:val="20"/>
                <w:szCs w:val="20"/>
                <w:lang w:eastAsia="en-AU"/>
              </w:rPr>
            </w:pPr>
          </w:p>
        </w:tc>
      </w:tr>
      <w:bookmarkEnd w:id="28"/>
      <w:tr w:rsidR="00F24D53" w:rsidRPr="005309F5" w14:paraId="41EE9C4A" w14:textId="77777777" w:rsidTr="005309F5">
        <w:trPr>
          <w:gridAfter w:val="1"/>
          <w:wAfter w:w="11" w:type="dxa"/>
        </w:trPr>
        <w:tc>
          <w:tcPr>
            <w:tcW w:w="3415" w:type="dxa"/>
            <w:vAlign w:val="bottom"/>
          </w:tcPr>
          <w:p w14:paraId="458E7EA6"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103-Vic State Gov-Aboriginal Metro Ice Partnership</w:t>
            </w:r>
          </w:p>
        </w:tc>
        <w:tc>
          <w:tcPr>
            <w:tcW w:w="594" w:type="dxa"/>
          </w:tcPr>
          <w:p w14:paraId="069D762F" w14:textId="77777777" w:rsidR="00F24D53" w:rsidRPr="005309F5" w:rsidRDefault="00F24D53" w:rsidP="005309F5">
            <w:pPr>
              <w:rPr>
                <w:rFonts w:ascii="Arial" w:hAnsi="Arial" w:cs="Arial"/>
                <w:color w:val="000000"/>
                <w:sz w:val="20"/>
                <w:szCs w:val="20"/>
                <w:lang w:eastAsia="en-AU"/>
              </w:rPr>
            </w:pPr>
          </w:p>
        </w:tc>
        <w:tc>
          <w:tcPr>
            <w:tcW w:w="594" w:type="dxa"/>
          </w:tcPr>
          <w:p w14:paraId="61CB8E50" w14:textId="77777777" w:rsidR="00F24D53" w:rsidRPr="005309F5" w:rsidRDefault="00F24D53" w:rsidP="005309F5">
            <w:pPr>
              <w:rPr>
                <w:rFonts w:ascii="Arial" w:hAnsi="Arial" w:cs="Arial"/>
                <w:color w:val="000000"/>
                <w:sz w:val="20"/>
                <w:szCs w:val="20"/>
                <w:lang w:eastAsia="en-AU"/>
              </w:rPr>
            </w:pPr>
          </w:p>
        </w:tc>
        <w:tc>
          <w:tcPr>
            <w:tcW w:w="594" w:type="dxa"/>
          </w:tcPr>
          <w:p w14:paraId="591F777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6" w:type="dxa"/>
          </w:tcPr>
          <w:p w14:paraId="2736F95B" w14:textId="77777777" w:rsidR="00F24D53" w:rsidRPr="005309F5" w:rsidRDefault="00F24D53" w:rsidP="005309F5">
            <w:pPr>
              <w:rPr>
                <w:rFonts w:ascii="Arial" w:hAnsi="Arial" w:cs="Arial"/>
                <w:color w:val="000000"/>
                <w:sz w:val="20"/>
                <w:szCs w:val="20"/>
                <w:lang w:eastAsia="en-AU"/>
              </w:rPr>
            </w:pPr>
          </w:p>
        </w:tc>
        <w:tc>
          <w:tcPr>
            <w:tcW w:w="594" w:type="dxa"/>
          </w:tcPr>
          <w:p w14:paraId="0308EBD5" w14:textId="77777777" w:rsidR="00F24D53" w:rsidRPr="005309F5" w:rsidRDefault="00F24D53" w:rsidP="005309F5">
            <w:pPr>
              <w:rPr>
                <w:rFonts w:ascii="Arial" w:hAnsi="Arial" w:cs="Arial"/>
                <w:color w:val="000000"/>
                <w:sz w:val="20"/>
                <w:szCs w:val="20"/>
                <w:lang w:eastAsia="en-AU"/>
              </w:rPr>
            </w:pPr>
          </w:p>
        </w:tc>
        <w:tc>
          <w:tcPr>
            <w:tcW w:w="594" w:type="dxa"/>
          </w:tcPr>
          <w:p w14:paraId="084C00B5" w14:textId="77777777" w:rsidR="00F24D53" w:rsidRPr="005309F5" w:rsidRDefault="00F24D53" w:rsidP="005309F5">
            <w:pPr>
              <w:rPr>
                <w:rFonts w:ascii="Arial" w:hAnsi="Arial" w:cs="Arial"/>
                <w:color w:val="000000"/>
                <w:sz w:val="20"/>
                <w:szCs w:val="20"/>
                <w:lang w:eastAsia="en-AU"/>
              </w:rPr>
            </w:pPr>
          </w:p>
        </w:tc>
        <w:tc>
          <w:tcPr>
            <w:tcW w:w="583" w:type="dxa"/>
          </w:tcPr>
          <w:p w14:paraId="66C3C751" w14:textId="77777777" w:rsidR="00F24D53" w:rsidRPr="005309F5" w:rsidRDefault="00F24D53" w:rsidP="005309F5">
            <w:pPr>
              <w:rPr>
                <w:rFonts w:ascii="Arial" w:hAnsi="Arial" w:cs="Arial"/>
                <w:color w:val="000000"/>
                <w:sz w:val="20"/>
                <w:szCs w:val="20"/>
                <w:lang w:eastAsia="en-AU"/>
              </w:rPr>
            </w:pPr>
          </w:p>
        </w:tc>
        <w:tc>
          <w:tcPr>
            <w:tcW w:w="595" w:type="dxa"/>
          </w:tcPr>
          <w:p w14:paraId="7FC25BA9" w14:textId="77777777" w:rsidR="00F24D53" w:rsidRPr="005309F5" w:rsidRDefault="00F24D53" w:rsidP="005309F5">
            <w:pPr>
              <w:rPr>
                <w:rFonts w:ascii="Arial" w:hAnsi="Arial" w:cs="Arial"/>
                <w:sz w:val="20"/>
                <w:szCs w:val="20"/>
                <w:lang w:eastAsia="en-AU"/>
              </w:rPr>
            </w:pPr>
          </w:p>
        </w:tc>
        <w:tc>
          <w:tcPr>
            <w:tcW w:w="594" w:type="dxa"/>
          </w:tcPr>
          <w:p w14:paraId="5E434CDE" w14:textId="77777777" w:rsidR="00F24D53" w:rsidRPr="005309F5" w:rsidRDefault="00F24D53" w:rsidP="005309F5">
            <w:pPr>
              <w:rPr>
                <w:rFonts w:ascii="Arial" w:hAnsi="Arial" w:cs="Arial"/>
                <w:color w:val="000000"/>
                <w:sz w:val="20"/>
                <w:szCs w:val="20"/>
                <w:lang w:eastAsia="en-AU"/>
              </w:rPr>
            </w:pPr>
          </w:p>
        </w:tc>
        <w:tc>
          <w:tcPr>
            <w:tcW w:w="594" w:type="dxa"/>
          </w:tcPr>
          <w:p w14:paraId="56E8BED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39EDD795" w14:textId="77777777" w:rsidR="00F24D53" w:rsidRPr="005309F5" w:rsidRDefault="00F24D53" w:rsidP="005309F5">
            <w:pPr>
              <w:rPr>
                <w:rFonts w:ascii="Arial" w:hAnsi="Arial" w:cs="Arial"/>
                <w:color w:val="000000"/>
                <w:sz w:val="20"/>
                <w:szCs w:val="20"/>
                <w:lang w:eastAsia="en-AU"/>
              </w:rPr>
            </w:pPr>
          </w:p>
        </w:tc>
        <w:tc>
          <w:tcPr>
            <w:tcW w:w="584" w:type="dxa"/>
          </w:tcPr>
          <w:p w14:paraId="74743FAD" w14:textId="77777777" w:rsidR="00F24D53" w:rsidRPr="005309F5" w:rsidRDefault="00F24D53" w:rsidP="005309F5">
            <w:pPr>
              <w:rPr>
                <w:rFonts w:ascii="Arial" w:hAnsi="Arial" w:cs="Arial"/>
                <w:color w:val="000000"/>
                <w:sz w:val="20"/>
                <w:szCs w:val="20"/>
                <w:lang w:eastAsia="en-AU"/>
              </w:rPr>
            </w:pPr>
          </w:p>
        </w:tc>
        <w:tc>
          <w:tcPr>
            <w:tcW w:w="547" w:type="dxa"/>
          </w:tcPr>
          <w:p w14:paraId="2ABBB3CE" w14:textId="77777777" w:rsidR="00F24D53" w:rsidRPr="005309F5" w:rsidRDefault="00F24D53" w:rsidP="005309F5">
            <w:pPr>
              <w:rPr>
                <w:rFonts w:ascii="Arial" w:hAnsi="Arial" w:cs="Arial"/>
                <w:color w:val="000000"/>
                <w:sz w:val="20"/>
                <w:szCs w:val="20"/>
                <w:lang w:eastAsia="en-AU"/>
              </w:rPr>
            </w:pPr>
          </w:p>
        </w:tc>
        <w:tc>
          <w:tcPr>
            <w:tcW w:w="584" w:type="dxa"/>
          </w:tcPr>
          <w:p w14:paraId="7DEDA54C" w14:textId="77777777" w:rsidR="00F24D53" w:rsidRPr="005309F5" w:rsidRDefault="00F24D53" w:rsidP="005309F5">
            <w:pPr>
              <w:rPr>
                <w:rFonts w:ascii="Arial" w:hAnsi="Arial" w:cs="Arial"/>
                <w:color w:val="000000"/>
                <w:sz w:val="20"/>
                <w:szCs w:val="20"/>
                <w:lang w:eastAsia="en-AU"/>
              </w:rPr>
            </w:pPr>
          </w:p>
        </w:tc>
        <w:tc>
          <w:tcPr>
            <w:tcW w:w="547" w:type="dxa"/>
          </w:tcPr>
          <w:p w14:paraId="20EB4F0B" w14:textId="77777777" w:rsidR="00F24D53" w:rsidRPr="005309F5" w:rsidRDefault="00F24D53" w:rsidP="005309F5">
            <w:pPr>
              <w:rPr>
                <w:rFonts w:ascii="Arial" w:hAnsi="Arial" w:cs="Arial"/>
                <w:color w:val="000000"/>
                <w:sz w:val="20"/>
                <w:szCs w:val="20"/>
                <w:lang w:eastAsia="en-AU"/>
              </w:rPr>
            </w:pPr>
          </w:p>
        </w:tc>
        <w:tc>
          <w:tcPr>
            <w:tcW w:w="594" w:type="dxa"/>
          </w:tcPr>
          <w:p w14:paraId="7E442B57" w14:textId="77777777" w:rsidR="00F24D53" w:rsidRPr="005309F5" w:rsidRDefault="00F24D53" w:rsidP="005309F5">
            <w:pPr>
              <w:rPr>
                <w:rFonts w:ascii="Arial" w:hAnsi="Arial" w:cs="Arial"/>
                <w:color w:val="000000"/>
                <w:sz w:val="20"/>
                <w:szCs w:val="20"/>
                <w:lang w:eastAsia="en-AU"/>
              </w:rPr>
            </w:pPr>
          </w:p>
        </w:tc>
        <w:tc>
          <w:tcPr>
            <w:tcW w:w="594" w:type="dxa"/>
          </w:tcPr>
          <w:p w14:paraId="183F9A59" w14:textId="77777777" w:rsidR="00F24D53" w:rsidRPr="005309F5" w:rsidRDefault="00F24D53" w:rsidP="005309F5">
            <w:pPr>
              <w:rPr>
                <w:rFonts w:ascii="Arial" w:hAnsi="Arial" w:cs="Arial"/>
                <w:color w:val="000000"/>
                <w:sz w:val="20"/>
                <w:szCs w:val="20"/>
                <w:lang w:eastAsia="en-AU"/>
              </w:rPr>
            </w:pPr>
          </w:p>
        </w:tc>
        <w:tc>
          <w:tcPr>
            <w:tcW w:w="547" w:type="dxa"/>
          </w:tcPr>
          <w:p w14:paraId="5B1117FB" w14:textId="77777777" w:rsidR="00F24D53" w:rsidRPr="005309F5" w:rsidRDefault="00F24D53" w:rsidP="005309F5">
            <w:pPr>
              <w:rPr>
                <w:rFonts w:ascii="Arial" w:hAnsi="Arial" w:cs="Arial"/>
                <w:color w:val="000000"/>
                <w:sz w:val="20"/>
                <w:szCs w:val="20"/>
                <w:lang w:eastAsia="en-AU"/>
              </w:rPr>
            </w:pPr>
          </w:p>
        </w:tc>
        <w:tc>
          <w:tcPr>
            <w:tcW w:w="594" w:type="dxa"/>
          </w:tcPr>
          <w:p w14:paraId="39D1D53F" w14:textId="77777777" w:rsidR="00F24D53" w:rsidRPr="005309F5" w:rsidRDefault="00F24D53" w:rsidP="005309F5">
            <w:pPr>
              <w:rPr>
                <w:rFonts w:ascii="Arial" w:hAnsi="Arial" w:cs="Arial"/>
                <w:color w:val="000000"/>
                <w:sz w:val="20"/>
                <w:szCs w:val="20"/>
                <w:lang w:eastAsia="en-AU"/>
              </w:rPr>
            </w:pPr>
          </w:p>
        </w:tc>
      </w:tr>
      <w:tr w:rsidR="00F24D53" w:rsidRPr="005309F5" w14:paraId="393B17CE" w14:textId="77777777" w:rsidTr="005309F5">
        <w:trPr>
          <w:gridAfter w:val="1"/>
          <w:wAfter w:w="11" w:type="dxa"/>
        </w:trPr>
        <w:tc>
          <w:tcPr>
            <w:tcW w:w="3415" w:type="dxa"/>
            <w:vAlign w:val="bottom"/>
          </w:tcPr>
          <w:p w14:paraId="79EEAAE1"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104-Vic State Gov-Pharmacotherapy Outreach</w:t>
            </w:r>
          </w:p>
        </w:tc>
        <w:tc>
          <w:tcPr>
            <w:tcW w:w="594" w:type="dxa"/>
          </w:tcPr>
          <w:p w14:paraId="541E7E6F" w14:textId="77777777" w:rsidR="00F24D53" w:rsidRPr="005309F5" w:rsidRDefault="00F24D53" w:rsidP="005309F5">
            <w:pPr>
              <w:rPr>
                <w:rFonts w:ascii="Arial" w:hAnsi="Arial" w:cs="Arial"/>
                <w:color w:val="000000"/>
                <w:sz w:val="20"/>
                <w:szCs w:val="20"/>
                <w:lang w:eastAsia="en-AU"/>
              </w:rPr>
            </w:pPr>
          </w:p>
        </w:tc>
        <w:tc>
          <w:tcPr>
            <w:tcW w:w="594" w:type="dxa"/>
          </w:tcPr>
          <w:p w14:paraId="30E55C8A" w14:textId="77777777" w:rsidR="00F24D53" w:rsidRPr="005309F5" w:rsidRDefault="00F24D53" w:rsidP="005309F5">
            <w:pPr>
              <w:rPr>
                <w:rFonts w:ascii="Arial" w:hAnsi="Arial" w:cs="Arial"/>
                <w:color w:val="000000"/>
                <w:sz w:val="20"/>
                <w:szCs w:val="20"/>
                <w:lang w:eastAsia="en-AU"/>
              </w:rPr>
            </w:pPr>
          </w:p>
        </w:tc>
        <w:tc>
          <w:tcPr>
            <w:tcW w:w="594" w:type="dxa"/>
          </w:tcPr>
          <w:p w14:paraId="6A1BE968"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6" w:type="dxa"/>
          </w:tcPr>
          <w:p w14:paraId="4BD61B5D" w14:textId="77777777" w:rsidR="00F24D53" w:rsidRPr="005309F5" w:rsidRDefault="00F24D53" w:rsidP="005309F5">
            <w:pPr>
              <w:rPr>
                <w:rFonts w:ascii="Arial" w:hAnsi="Arial" w:cs="Arial"/>
                <w:color w:val="000000"/>
                <w:sz w:val="20"/>
                <w:szCs w:val="20"/>
                <w:lang w:eastAsia="en-AU"/>
              </w:rPr>
            </w:pPr>
          </w:p>
        </w:tc>
        <w:tc>
          <w:tcPr>
            <w:tcW w:w="594" w:type="dxa"/>
          </w:tcPr>
          <w:p w14:paraId="6FE49DCB" w14:textId="77777777" w:rsidR="00F24D53" w:rsidRPr="005309F5" w:rsidRDefault="00F24D53" w:rsidP="005309F5">
            <w:pPr>
              <w:rPr>
                <w:rFonts w:ascii="Arial" w:hAnsi="Arial" w:cs="Arial"/>
                <w:color w:val="000000"/>
                <w:sz w:val="20"/>
                <w:szCs w:val="20"/>
                <w:lang w:eastAsia="en-AU"/>
              </w:rPr>
            </w:pPr>
          </w:p>
        </w:tc>
        <w:tc>
          <w:tcPr>
            <w:tcW w:w="594" w:type="dxa"/>
          </w:tcPr>
          <w:p w14:paraId="30865AE0" w14:textId="77777777" w:rsidR="00F24D53" w:rsidRPr="005309F5" w:rsidRDefault="00F24D53" w:rsidP="005309F5">
            <w:pPr>
              <w:rPr>
                <w:rFonts w:ascii="Arial" w:hAnsi="Arial" w:cs="Arial"/>
                <w:color w:val="000000"/>
                <w:sz w:val="20"/>
                <w:szCs w:val="20"/>
                <w:lang w:eastAsia="en-AU"/>
              </w:rPr>
            </w:pPr>
          </w:p>
        </w:tc>
        <w:tc>
          <w:tcPr>
            <w:tcW w:w="583" w:type="dxa"/>
          </w:tcPr>
          <w:p w14:paraId="2D590D08" w14:textId="77777777" w:rsidR="00F24D53" w:rsidRPr="005309F5" w:rsidRDefault="00F24D53" w:rsidP="005309F5">
            <w:pPr>
              <w:rPr>
                <w:rFonts w:ascii="Arial" w:hAnsi="Arial" w:cs="Arial"/>
                <w:color w:val="000000"/>
                <w:sz w:val="20"/>
                <w:szCs w:val="20"/>
                <w:lang w:eastAsia="en-AU"/>
              </w:rPr>
            </w:pPr>
          </w:p>
        </w:tc>
        <w:tc>
          <w:tcPr>
            <w:tcW w:w="595" w:type="dxa"/>
          </w:tcPr>
          <w:p w14:paraId="4C55B496" w14:textId="77777777" w:rsidR="00F24D53" w:rsidRPr="005309F5" w:rsidRDefault="00F24D53" w:rsidP="005309F5">
            <w:pPr>
              <w:rPr>
                <w:rFonts w:ascii="Arial" w:hAnsi="Arial" w:cs="Arial"/>
                <w:sz w:val="20"/>
                <w:szCs w:val="20"/>
                <w:lang w:eastAsia="en-AU"/>
              </w:rPr>
            </w:pPr>
          </w:p>
        </w:tc>
        <w:tc>
          <w:tcPr>
            <w:tcW w:w="594" w:type="dxa"/>
          </w:tcPr>
          <w:p w14:paraId="0EFDBFAD" w14:textId="77777777" w:rsidR="00F24D53" w:rsidRPr="005309F5" w:rsidRDefault="00F24D53" w:rsidP="005309F5">
            <w:pPr>
              <w:rPr>
                <w:rFonts w:ascii="Arial" w:hAnsi="Arial" w:cs="Arial"/>
                <w:color w:val="000000"/>
                <w:sz w:val="20"/>
                <w:szCs w:val="20"/>
                <w:lang w:eastAsia="en-AU"/>
              </w:rPr>
            </w:pPr>
          </w:p>
        </w:tc>
        <w:tc>
          <w:tcPr>
            <w:tcW w:w="594" w:type="dxa"/>
          </w:tcPr>
          <w:p w14:paraId="37AF19E1" w14:textId="77777777" w:rsidR="00F24D53" w:rsidRPr="005309F5" w:rsidRDefault="00F24D53" w:rsidP="005309F5">
            <w:pPr>
              <w:rPr>
                <w:rFonts w:ascii="Arial" w:hAnsi="Arial" w:cs="Arial"/>
                <w:color w:val="000000"/>
                <w:sz w:val="20"/>
                <w:szCs w:val="20"/>
                <w:lang w:eastAsia="en-AU"/>
              </w:rPr>
            </w:pPr>
          </w:p>
        </w:tc>
        <w:tc>
          <w:tcPr>
            <w:tcW w:w="594" w:type="dxa"/>
          </w:tcPr>
          <w:p w14:paraId="538091E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4" w:type="dxa"/>
          </w:tcPr>
          <w:p w14:paraId="0669F123" w14:textId="77777777" w:rsidR="00F24D53" w:rsidRPr="005309F5" w:rsidRDefault="00F24D53" w:rsidP="005309F5">
            <w:pPr>
              <w:rPr>
                <w:rFonts w:ascii="Arial" w:hAnsi="Arial" w:cs="Arial"/>
                <w:color w:val="000000"/>
                <w:sz w:val="20"/>
                <w:szCs w:val="20"/>
                <w:lang w:eastAsia="en-AU"/>
              </w:rPr>
            </w:pPr>
          </w:p>
        </w:tc>
        <w:tc>
          <w:tcPr>
            <w:tcW w:w="547" w:type="dxa"/>
          </w:tcPr>
          <w:p w14:paraId="29547141" w14:textId="77777777" w:rsidR="00F24D53" w:rsidRPr="005309F5" w:rsidRDefault="00F24D53" w:rsidP="005309F5">
            <w:pPr>
              <w:rPr>
                <w:rFonts w:ascii="Arial" w:hAnsi="Arial" w:cs="Arial"/>
                <w:color w:val="000000"/>
                <w:sz w:val="20"/>
                <w:szCs w:val="20"/>
                <w:lang w:eastAsia="en-AU"/>
              </w:rPr>
            </w:pPr>
          </w:p>
        </w:tc>
        <w:tc>
          <w:tcPr>
            <w:tcW w:w="584" w:type="dxa"/>
          </w:tcPr>
          <w:p w14:paraId="2789A487" w14:textId="77777777" w:rsidR="00F24D53" w:rsidRPr="005309F5" w:rsidRDefault="00F24D53" w:rsidP="005309F5">
            <w:pPr>
              <w:rPr>
                <w:rFonts w:ascii="Arial" w:hAnsi="Arial" w:cs="Arial"/>
                <w:color w:val="000000"/>
                <w:sz w:val="20"/>
                <w:szCs w:val="20"/>
                <w:lang w:eastAsia="en-AU"/>
              </w:rPr>
            </w:pPr>
          </w:p>
        </w:tc>
        <w:tc>
          <w:tcPr>
            <w:tcW w:w="547" w:type="dxa"/>
          </w:tcPr>
          <w:p w14:paraId="6679A7AE" w14:textId="77777777" w:rsidR="00F24D53" w:rsidRPr="005309F5" w:rsidRDefault="00F24D53" w:rsidP="005309F5">
            <w:pPr>
              <w:rPr>
                <w:rFonts w:ascii="Arial" w:hAnsi="Arial" w:cs="Arial"/>
                <w:color w:val="000000"/>
                <w:sz w:val="20"/>
                <w:szCs w:val="20"/>
                <w:lang w:eastAsia="en-AU"/>
              </w:rPr>
            </w:pPr>
          </w:p>
        </w:tc>
        <w:tc>
          <w:tcPr>
            <w:tcW w:w="594" w:type="dxa"/>
          </w:tcPr>
          <w:p w14:paraId="6422B9D7" w14:textId="77777777" w:rsidR="00F24D53" w:rsidRPr="005309F5" w:rsidRDefault="00F24D53" w:rsidP="005309F5">
            <w:pPr>
              <w:rPr>
                <w:rFonts w:ascii="Arial" w:hAnsi="Arial" w:cs="Arial"/>
                <w:color w:val="000000"/>
                <w:sz w:val="20"/>
                <w:szCs w:val="20"/>
                <w:lang w:eastAsia="en-AU"/>
              </w:rPr>
            </w:pPr>
          </w:p>
        </w:tc>
        <w:tc>
          <w:tcPr>
            <w:tcW w:w="594" w:type="dxa"/>
          </w:tcPr>
          <w:p w14:paraId="23406212" w14:textId="77777777" w:rsidR="00F24D53" w:rsidRPr="005309F5" w:rsidRDefault="00F24D53" w:rsidP="005309F5">
            <w:pPr>
              <w:rPr>
                <w:rFonts w:ascii="Arial" w:hAnsi="Arial" w:cs="Arial"/>
                <w:color w:val="000000"/>
                <w:sz w:val="20"/>
                <w:szCs w:val="20"/>
                <w:lang w:eastAsia="en-AU"/>
              </w:rPr>
            </w:pPr>
          </w:p>
        </w:tc>
        <w:tc>
          <w:tcPr>
            <w:tcW w:w="547" w:type="dxa"/>
          </w:tcPr>
          <w:p w14:paraId="77FF14C4" w14:textId="77777777" w:rsidR="00F24D53" w:rsidRPr="005309F5" w:rsidRDefault="00F24D53" w:rsidP="005309F5">
            <w:pPr>
              <w:rPr>
                <w:rFonts w:ascii="Arial" w:hAnsi="Arial" w:cs="Arial"/>
                <w:color w:val="000000"/>
                <w:sz w:val="20"/>
                <w:szCs w:val="20"/>
                <w:lang w:eastAsia="en-AU"/>
              </w:rPr>
            </w:pPr>
          </w:p>
        </w:tc>
        <w:tc>
          <w:tcPr>
            <w:tcW w:w="594" w:type="dxa"/>
          </w:tcPr>
          <w:p w14:paraId="0FCCA74E" w14:textId="77777777" w:rsidR="00F24D53" w:rsidRPr="005309F5" w:rsidRDefault="00F24D53" w:rsidP="005309F5">
            <w:pPr>
              <w:rPr>
                <w:rFonts w:ascii="Arial" w:hAnsi="Arial" w:cs="Arial"/>
                <w:color w:val="000000"/>
                <w:sz w:val="20"/>
                <w:szCs w:val="20"/>
                <w:lang w:eastAsia="en-AU"/>
              </w:rPr>
            </w:pPr>
          </w:p>
        </w:tc>
      </w:tr>
      <w:tr w:rsidR="00F24D53" w:rsidRPr="005309F5" w14:paraId="72FB7F6D" w14:textId="77777777" w:rsidTr="005309F5">
        <w:trPr>
          <w:gridAfter w:val="1"/>
          <w:wAfter w:w="11" w:type="dxa"/>
        </w:trPr>
        <w:tc>
          <w:tcPr>
            <w:tcW w:w="3415" w:type="dxa"/>
            <w:vAlign w:val="bottom"/>
          </w:tcPr>
          <w:p w14:paraId="2B0D03B8"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105-Vic State Gov-Specialist Pharmacotherapy Program</w:t>
            </w:r>
          </w:p>
        </w:tc>
        <w:tc>
          <w:tcPr>
            <w:tcW w:w="594" w:type="dxa"/>
          </w:tcPr>
          <w:p w14:paraId="2D546111" w14:textId="77777777" w:rsidR="00F24D53" w:rsidRPr="005309F5" w:rsidRDefault="00F24D53" w:rsidP="005309F5">
            <w:pPr>
              <w:rPr>
                <w:rFonts w:ascii="Arial" w:hAnsi="Arial" w:cs="Arial"/>
                <w:color w:val="000000"/>
                <w:sz w:val="20"/>
                <w:szCs w:val="20"/>
                <w:lang w:eastAsia="en-AU"/>
              </w:rPr>
            </w:pPr>
          </w:p>
        </w:tc>
        <w:tc>
          <w:tcPr>
            <w:tcW w:w="594" w:type="dxa"/>
          </w:tcPr>
          <w:p w14:paraId="191C9DFF" w14:textId="77777777" w:rsidR="00F24D53" w:rsidRPr="005309F5" w:rsidRDefault="00F24D53" w:rsidP="005309F5">
            <w:pPr>
              <w:rPr>
                <w:rFonts w:ascii="Arial" w:hAnsi="Arial" w:cs="Arial"/>
                <w:color w:val="000000"/>
                <w:sz w:val="20"/>
                <w:szCs w:val="20"/>
                <w:lang w:eastAsia="en-AU"/>
              </w:rPr>
            </w:pPr>
          </w:p>
        </w:tc>
        <w:tc>
          <w:tcPr>
            <w:tcW w:w="594" w:type="dxa"/>
          </w:tcPr>
          <w:p w14:paraId="79E60AC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6" w:type="dxa"/>
          </w:tcPr>
          <w:p w14:paraId="0938C858" w14:textId="77777777" w:rsidR="00F24D53" w:rsidRPr="005309F5" w:rsidRDefault="00F24D53" w:rsidP="005309F5">
            <w:pPr>
              <w:rPr>
                <w:rFonts w:ascii="Arial" w:hAnsi="Arial" w:cs="Arial"/>
                <w:color w:val="000000"/>
                <w:sz w:val="20"/>
                <w:szCs w:val="20"/>
                <w:lang w:eastAsia="en-AU"/>
              </w:rPr>
            </w:pPr>
          </w:p>
        </w:tc>
        <w:tc>
          <w:tcPr>
            <w:tcW w:w="594" w:type="dxa"/>
          </w:tcPr>
          <w:p w14:paraId="626A8D3E" w14:textId="77777777" w:rsidR="00F24D53" w:rsidRPr="005309F5" w:rsidRDefault="00F24D53" w:rsidP="005309F5">
            <w:pPr>
              <w:rPr>
                <w:rFonts w:ascii="Arial" w:hAnsi="Arial" w:cs="Arial"/>
                <w:color w:val="000000"/>
                <w:sz w:val="20"/>
                <w:szCs w:val="20"/>
                <w:lang w:eastAsia="en-AU"/>
              </w:rPr>
            </w:pPr>
          </w:p>
        </w:tc>
        <w:tc>
          <w:tcPr>
            <w:tcW w:w="594" w:type="dxa"/>
          </w:tcPr>
          <w:p w14:paraId="2CB962FC" w14:textId="77777777" w:rsidR="00F24D53" w:rsidRPr="005309F5" w:rsidRDefault="00F24D53" w:rsidP="005309F5">
            <w:pPr>
              <w:rPr>
                <w:rFonts w:ascii="Arial" w:hAnsi="Arial" w:cs="Arial"/>
                <w:color w:val="000000"/>
                <w:sz w:val="20"/>
                <w:szCs w:val="20"/>
                <w:lang w:eastAsia="en-AU"/>
              </w:rPr>
            </w:pPr>
          </w:p>
        </w:tc>
        <w:tc>
          <w:tcPr>
            <w:tcW w:w="583" w:type="dxa"/>
          </w:tcPr>
          <w:p w14:paraId="5F1720C2" w14:textId="77777777" w:rsidR="00F24D53" w:rsidRPr="005309F5" w:rsidRDefault="00F24D53" w:rsidP="005309F5">
            <w:pPr>
              <w:rPr>
                <w:rFonts w:ascii="Arial" w:hAnsi="Arial" w:cs="Arial"/>
                <w:color w:val="000000"/>
                <w:sz w:val="20"/>
                <w:szCs w:val="20"/>
                <w:lang w:eastAsia="en-AU"/>
              </w:rPr>
            </w:pPr>
          </w:p>
        </w:tc>
        <w:tc>
          <w:tcPr>
            <w:tcW w:w="595" w:type="dxa"/>
          </w:tcPr>
          <w:p w14:paraId="155089B2" w14:textId="77777777" w:rsidR="00F24D53" w:rsidRPr="005309F5" w:rsidRDefault="00F24D53" w:rsidP="005309F5">
            <w:pPr>
              <w:rPr>
                <w:rFonts w:ascii="Arial" w:hAnsi="Arial" w:cs="Arial"/>
                <w:sz w:val="20"/>
                <w:szCs w:val="20"/>
                <w:lang w:eastAsia="en-AU"/>
              </w:rPr>
            </w:pPr>
          </w:p>
        </w:tc>
        <w:tc>
          <w:tcPr>
            <w:tcW w:w="594" w:type="dxa"/>
          </w:tcPr>
          <w:p w14:paraId="4DBF35A0" w14:textId="77777777" w:rsidR="00F24D53" w:rsidRPr="005309F5" w:rsidRDefault="00F24D53" w:rsidP="005309F5">
            <w:pPr>
              <w:rPr>
                <w:rFonts w:ascii="Arial" w:hAnsi="Arial" w:cs="Arial"/>
                <w:color w:val="000000"/>
                <w:sz w:val="20"/>
                <w:szCs w:val="20"/>
                <w:lang w:eastAsia="en-AU"/>
              </w:rPr>
            </w:pPr>
          </w:p>
        </w:tc>
        <w:tc>
          <w:tcPr>
            <w:tcW w:w="594" w:type="dxa"/>
          </w:tcPr>
          <w:p w14:paraId="3B790B4D" w14:textId="77777777" w:rsidR="00F24D53" w:rsidRPr="005309F5" w:rsidRDefault="00F24D53" w:rsidP="005309F5">
            <w:pPr>
              <w:rPr>
                <w:rFonts w:ascii="Arial" w:hAnsi="Arial" w:cs="Arial"/>
                <w:color w:val="000000"/>
                <w:sz w:val="20"/>
                <w:szCs w:val="20"/>
                <w:lang w:eastAsia="en-AU"/>
              </w:rPr>
            </w:pPr>
          </w:p>
        </w:tc>
        <w:tc>
          <w:tcPr>
            <w:tcW w:w="594" w:type="dxa"/>
          </w:tcPr>
          <w:p w14:paraId="2DB34A16" w14:textId="77777777" w:rsidR="00F24D53" w:rsidRPr="005309F5" w:rsidRDefault="00F24D53" w:rsidP="005309F5">
            <w:pPr>
              <w:rPr>
                <w:rFonts w:ascii="Arial" w:hAnsi="Arial" w:cs="Arial"/>
                <w:color w:val="000000"/>
                <w:sz w:val="20"/>
                <w:szCs w:val="20"/>
                <w:lang w:eastAsia="en-AU"/>
              </w:rPr>
            </w:pPr>
          </w:p>
        </w:tc>
        <w:tc>
          <w:tcPr>
            <w:tcW w:w="584" w:type="dxa"/>
          </w:tcPr>
          <w:p w14:paraId="522E01E9" w14:textId="77777777" w:rsidR="00F24D53" w:rsidRPr="005309F5" w:rsidRDefault="00F24D53" w:rsidP="005309F5">
            <w:pPr>
              <w:rPr>
                <w:rFonts w:ascii="Arial" w:hAnsi="Arial" w:cs="Arial"/>
                <w:color w:val="000000"/>
                <w:sz w:val="20"/>
                <w:szCs w:val="20"/>
                <w:lang w:eastAsia="en-AU"/>
              </w:rPr>
            </w:pPr>
          </w:p>
        </w:tc>
        <w:tc>
          <w:tcPr>
            <w:tcW w:w="547" w:type="dxa"/>
          </w:tcPr>
          <w:p w14:paraId="4A0C3244" w14:textId="77777777" w:rsidR="00F24D53" w:rsidRPr="005309F5" w:rsidRDefault="00F24D53" w:rsidP="005309F5">
            <w:pPr>
              <w:rPr>
                <w:rFonts w:ascii="Arial" w:hAnsi="Arial" w:cs="Arial"/>
                <w:color w:val="000000"/>
                <w:sz w:val="20"/>
                <w:szCs w:val="20"/>
                <w:lang w:eastAsia="en-AU"/>
              </w:rPr>
            </w:pPr>
          </w:p>
        </w:tc>
        <w:tc>
          <w:tcPr>
            <w:tcW w:w="584" w:type="dxa"/>
          </w:tcPr>
          <w:p w14:paraId="50F146C0" w14:textId="77777777" w:rsidR="00F24D53" w:rsidRPr="005309F5" w:rsidRDefault="00F24D53" w:rsidP="005309F5">
            <w:pPr>
              <w:rPr>
                <w:rFonts w:ascii="Arial" w:hAnsi="Arial" w:cs="Arial"/>
                <w:color w:val="000000"/>
                <w:sz w:val="20"/>
                <w:szCs w:val="20"/>
                <w:lang w:eastAsia="en-AU"/>
              </w:rPr>
            </w:pPr>
          </w:p>
        </w:tc>
        <w:tc>
          <w:tcPr>
            <w:tcW w:w="547" w:type="dxa"/>
          </w:tcPr>
          <w:p w14:paraId="53340ABE" w14:textId="77777777" w:rsidR="00F24D53" w:rsidRPr="005309F5" w:rsidRDefault="00F24D53" w:rsidP="005309F5">
            <w:pPr>
              <w:rPr>
                <w:rFonts w:ascii="Arial" w:hAnsi="Arial" w:cs="Arial"/>
                <w:color w:val="000000"/>
                <w:sz w:val="20"/>
                <w:szCs w:val="20"/>
                <w:lang w:eastAsia="en-AU"/>
              </w:rPr>
            </w:pPr>
          </w:p>
        </w:tc>
        <w:tc>
          <w:tcPr>
            <w:tcW w:w="594" w:type="dxa"/>
          </w:tcPr>
          <w:p w14:paraId="0E8CF072" w14:textId="77777777" w:rsidR="00F24D53" w:rsidRPr="005309F5" w:rsidRDefault="00F24D53" w:rsidP="005309F5">
            <w:pPr>
              <w:rPr>
                <w:rFonts w:ascii="Arial" w:hAnsi="Arial" w:cs="Arial"/>
                <w:color w:val="000000"/>
                <w:sz w:val="20"/>
                <w:szCs w:val="20"/>
                <w:lang w:eastAsia="en-AU"/>
              </w:rPr>
            </w:pPr>
          </w:p>
        </w:tc>
        <w:tc>
          <w:tcPr>
            <w:tcW w:w="594" w:type="dxa"/>
          </w:tcPr>
          <w:p w14:paraId="4FF0FB96" w14:textId="77777777" w:rsidR="00F24D53" w:rsidRPr="005309F5" w:rsidRDefault="00F24D53" w:rsidP="005309F5">
            <w:pPr>
              <w:rPr>
                <w:rFonts w:ascii="Arial" w:hAnsi="Arial" w:cs="Arial"/>
                <w:color w:val="000000"/>
                <w:sz w:val="20"/>
                <w:szCs w:val="20"/>
                <w:lang w:eastAsia="en-AU"/>
              </w:rPr>
            </w:pPr>
          </w:p>
        </w:tc>
        <w:tc>
          <w:tcPr>
            <w:tcW w:w="547" w:type="dxa"/>
          </w:tcPr>
          <w:p w14:paraId="6AF08FD8" w14:textId="77777777" w:rsidR="00F24D53" w:rsidRPr="005309F5" w:rsidRDefault="00F24D53" w:rsidP="005309F5">
            <w:pPr>
              <w:rPr>
                <w:rFonts w:ascii="Arial" w:hAnsi="Arial" w:cs="Arial"/>
                <w:color w:val="000000"/>
                <w:sz w:val="20"/>
                <w:szCs w:val="20"/>
                <w:lang w:eastAsia="en-AU"/>
              </w:rPr>
            </w:pPr>
          </w:p>
        </w:tc>
        <w:tc>
          <w:tcPr>
            <w:tcW w:w="594" w:type="dxa"/>
          </w:tcPr>
          <w:p w14:paraId="29CB2FF4" w14:textId="77777777" w:rsidR="00F24D53" w:rsidRPr="005309F5" w:rsidRDefault="00F24D53" w:rsidP="005309F5">
            <w:pPr>
              <w:rPr>
                <w:rFonts w:ascii="Arial" w:hAnsi="Arial" w:cs="Arial"/>
                <w:color w:val="000000"/>
                <w:sz w:val="20"/>
                <w:szCs w:val="20"/>
                <w:lang w:eastAsia="en-AU"/>
              </w:rPr>
            </w:pPr>
          </w:p>
        </w:tc>
      </w:tr>
      <w:tr w:rsidR="00F24D53" w:rsidRPr="005309F5" w14:paraId="50C8A9C1" w14:textId="77777777" w:rsidTr="005309F5">
        <w:trPr>
          <w:gridAfter w:val="1"/>
          <w:wAfter w:w="11" w:type="dxa"/>
        </w:trPr>
        <w:tc>
          <w:tcPr>
            <w:tcW w:w="3415" w:type="dxa"/>
            <w:vAlign w:val="bottom"/>
          </w:tcPr>
          <w:p w14:paraId="355465FE"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106-Vic State Gov-Slow Stream Pharmacotherapy</w:t>
            </w:r>
          </w:p>
        </w:tc>
        <w:tc>
          <w:tcPr>
            <w:tcW w:w="594" w:type="dxa"/>
          </w:tcPr>
          <w:p w14:paraId="01D9A29C" w14:textId="77777777" w:rsidR="00F24D53" w:rsidRPr="005309F5" w:rsidRDefault="00F24D53" w:rsidP="005309F5">
            <w:pPr>
              <w:rPr>
                <w:rFonts w:ascii="Arial" w:hAnsi="Arial" w:cs="Arial"/>
                <w:strike/>
                <w:color w:val="000000"/>
                <w:sz w:val="20"/>
                <w:szCs w:val="20"/>
                <w:lang w:eastAsia="en-AU"/>
              </w:rPr>
            </w:pPr>
          </w:p>
        </w:tc>
        <w:tc>
          <w:tcPr>
            <w:tcW w:w="594" w:type="dxa"/>
          </w:tcPr>
          <w:p w14:paraId="153FEC47" w14:textId="77777777" w:rsidR="00F24D53" w:rsidRPr="005309F5" w:rsidRDefault="00F24D53" w:rsidP="005309F5">
            <w:pPr>
              <w:rPr>
                <w:rFonts w:ascii="Arial" w:hAnsi="Arial" w:cs="Arial"/>
                <w:strike/>
                <w:color w:val="000000"/>
                <w:sz w:val="20"/>
                <w:szCs w:val="20"/>
                <w:lang w:eastAsia="en-AU"/>
              </w:rPr>
            </w:pPr>
          </w:p>
        </w:tc>
        <w:tc>
          <w:tcPr>
            <w:tcW w:w="594" w:type="dxa"/>
          </w:tcPr>
          <w:p w14:paraId="50581CB6" w14:textId="77777777" w:rsidR="00F24D53" w:rsidRPr="005309F5" w:rsidRDefault="00F24D53" w:rsidP="005309F5">
            <w:pPr>
              <w:rPr>
                <w:rFonts w:ascii="Arial" w:hAnsi="Arial" w:cs="Arial"/>
                <w:strike/>
                <w:color w:val="000000"/>
                <w:sz w:val="20"/>
                <w:szCs w:val="20"/>
                <w:lang w:eastAsia="en-AU"/>
              </w:rPr>
            </w:pPr>
          </w:p>
        </w:tc>
        <w:tc>
          <w:tcPr>
            <w:tcW w:w="546" w:type="dxa"/>
          </w:tcPr>
          <w:p w14:paraId="5F525672" w14:textId="77777777" w:rsidR="00F24D53" w:rsidRPr="005309F5" w:rsidRDefault="00F24D53" w:rsidP="005309F5">
            <w:pPr>
              <w:rPr>
                <w:rFonts w:ascii="Arial" w:hAnsi="Arial" w:cs="Arial"/>
                <w:strike/>
                <w:color w:val="000000"/>
                <w:sz w:val="20"/>
                <w:szCs w:val="20"/>
                <w:lang w:eastAsia="en-AU"/>
              </w:rPr>
            </w:pPr>
          </w:p>
        </w:tc>
        <w:tc>
          <w:tcPr>
            <w:tcW w:w="594" w:type="dxa"/>
          </w:tcPr>
          <w:p w14:paraId="74CB3591" w14:textId="77777777" w:rsidR="00F24D53" w:rsidRPr="005309F5" w:rsidRDefault="00F24D53" w:rsidP="005309F5">
            <w:pPr>
              <w:rPr>
                <w:rFonts w:ascii="Arial" w:hAnsi="Arial" w:cs="Arial"/>
                <w:strike/>
                <w:color w:val="000000"/>
                <w:sz w:val="20"/>
                <w:szCs w:val="20"/>
                <w:lang w:eastAsia="en-AU"/>
              </w:rPr>
            </w:pPr>
          </w:p>
        </w:tc>
        <w:tc>
          <w:tcPr>
            <w:tcW w:w="594" w:type="dxa"/>
          </w:tcPr>
          <w:p w14:paraId="32D2F9EE"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83" w:type="dxa"/>
          </w:tcPr>
          <w:p w14:paraId="62CAFBD9" w14:textId="77777777" w:rsidR="00F24D53" w:rsidRPr="005309F5" w:rsidRDefault="00F24D53" w:rsidP="005309F5">
            <w:pPr>
              <w:rPr>
                <w:rFonts w:ascii="Arial" w:hAnsi="Arial" w:cs="Arial"/>
                <w:strike/>
                <w:color w:val="000000"/>
                <w:sz w:val="20"/>
                <w:szCs w:val="20"/>
                <w:lang w:eastAsia="en-AU"/>
              </w:rPr>
            </w:pPr>
          </w:p>
        </w:tc>
        <w:tc>
          <w:tcPr>
            <w:tcW w:w="595" w:type="dxa"/>
          </w:tcPr>
          <w:p w14:paraId="202C8C40"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680D339C"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5D81E8FF" w14:textId="77777777" w:rsidR="00F24D53" w:rsidRPr="005309F5" w:rsidRDefault="00F24D53" w:rsidP="005309F5">
            <w:pPr>
              <w:rPr>
                <w:rFonts w:ascii="Arial" w:hAnsi="Arial" w:cs="Arial"/>
                <w:strike/>
                <w:color w:val="000000"/>
                <w:sz w:val="20"/>
                <w:szCs w:val="20"/>
                <w:lang w:eastAsia="en-AU"/>
              </w:rPr>
            </w:pPr>
          </w:p>
        </w:tc>
        <w:tc>
          <w:tcPr>
            <w:tcW w:w="594" w:type="dxa"/>
          </w:tcPr>
          <w:p w14:paraId="5BD46C1B" w14:textId="77777777" w:rsidR="00F24D53" w:rsidRPr="005309F5" w:rsidRDefault="00F24D53" w:rsidP="005309F5">
            <w:pPr>
              <w:rPr>
                <w:rFonts w:ascii="Arial" w:hAnsi="Arial" w:cs="Arial"/>
                <w:strike/>
                <w:color w:val="000000"/>
                <w:sz w:val="20"/>
                <w:szCs w:val="20"/>
                <w:lang w:eastAsia="en-AU"/>
              </w:rPr>
            </w:pPr>
          </w:p>
        </w:tc>
        <w:tc>
          <w:tcPr>
            <w:tcW w:w="584" w:type="dxa"/>
          </w:tcPr>
          <w:p w14:paraId="7F44301B" w14:textId="77777777" w:rsidR="00F24D53" w:rsidRPr="005309F5" w:rsidRDefault="00F24D53" w:rsidP="005309F5">
            <w:pPr>
              <w:rPr>
                <w:rFonts w:ascii="Arial" w:hAnsi="Arial" w:cs="Arial"/>
                <w:strike/>
                <w:color w:val="000000"/>
                <w:sz w:val="20"/>
                <w:szCs w:val="20"/>
                <w:lang w:eastAsia="en-AU"/>
              </w:rPr>
            </w:pPr>
          </w:p>
        </w:tc>
        <w:tc>
          <w:tcPr>
            <w:tcW w:w="547" w:type="dxa"/>
          </w:tcPr>
          <w:p w14:paraId="75F67604" w14:textId="77777777" w:rsidR="00F24D53" w:rsidRPr="005309F5" w:rsidRDefault="00F24D53" w:rsidP="005309F5">
            <w:pPr>
              <w:rPr>
                <w:rFonts w:ascii="Arial" w:hAnsi="Arial" w:cs="Arial"/>
                <w:strike/>
                <w:color w:val="000000"/>
                <w:sz w:val="20"/>
                <w:szCs w:val="20"/>
                <w:lang w:eastAsia="en-AU"/>
              </w:rPr>
            </w:pPr>
          </w:p>
        </w:tc>
        <w:tc>
          <w:tcPr>
            <w:tcW w:w="584" w:type="dxa"/>
          </w:tcPr>
          <w:p w14:paraId="0B1A5B30" w14:textId="77777777" w:rsidR="00F24D53" w:rsidRPr="005309F5" w:rsidRDefault="00F24D53" w:rsidP="005309F5">
            <w:pPr>
              <w:rPr>
                <w:rFonts w:ascii="Arial" w:hAnsi="Arial" w:cs="Arial"/>
                <w:strike/>
                <w:color w:val="000000"/>
                <w:sz w:val="20"/>
                <w:szCs w:val="20"/>
                <w:lang w:eastAsia="en-AU"/>
              </w:rPr>
            </w:pPr>
          </w:p>
        </w:tc>
        <w:tc>
          <w:tcPr>
            <w:tcW w:w="547" w:type="dxa"/>
          </w:tcPr>
          <w:p w14:paraId="0D28EAED" w14:textId="77777777" w:rsidR="00F24D53" w:rsidRPr="005309F5" w:rsidRDefault="00F24D53" w:rsidP="005309F5">
            <w:pPr>
              <w:rPr>
                <w:rFonts w:ascii="Arial" w:hAnsi="Arial" w:cs="Arial"/>
                <w:color w:val="000000"/>
                <w:sz w:val="20"/>
                <w:szCs w:val="20"/>
                <w:lang w:eastAsia="en-AU"/>
              </w:rPr>
            </w:pPr>
          </w:p>
        </w:tc>
        <w:tc>
          <w:tcPr>
            <w:tcW w:w="594" w:type="dxa"/>
          </w:tcPr>
          <w:p w14:paraId="75C93932" w14:textId="77777777" w:rsidR="00F24D53" w:rsidRPr="005309F5" w:rsidRDefault="00F24D53" w:rsidP="005309F5">
            <w:pPr>
              <w:rPr>
                <w:rFonts w:ascii="Arial" w:hAnsi="Arial" w:cs="Arial"/>
                <w:color w:val="000000"/>
                <w:sz w:val="20"/>
                <w:szCs w:val="20"/>
                <w:lang w:eastAsia="en-AU"/>
              </w:rPr>
            </w:pPr>
          </w:p>
        </w:tc>
        <w:tc>
          <w:tcPr>
            <w:tcW w:w="594" w:type="dxa"/>
          </w:tcPr>
          <w:p w14:paraId="43A42EB9" w14:textId="77777777" w:rsidR="00F24D53" w:rsidRPr="005309F5" w:rsidRDefault="00F24D53" w:rsidP="005309F5">
            <w:pPr>
              <w:rPr>
                <w:rFonts w:ascii="Arial" w:hAnsi="Arial" w:cs="Arial"/>
                <w:color w:val="000000"/>
                <w:sz w:val="20"/>
                <w:szCs w:val="20"/>
                <w:lang w:eastAsia="en-AU"/>
              </w:rPr>
            </w:pPr>
          </w:p>
        </w:tc>
        <w:tc>
          <w:tcPr>
            <w:tcW w:w="547" w:type="dxa"/>
          </w:tcPr>
          <w:p w14:paraId="0CA136EB" w14:textId="77777777" w:rsidR="00F24D53" w:rsidRPr="005309F5" w:rsidRDefault="00F24D53" w:rsidP="005309F5">
            <w:pPr>
              <w:rPr>
                <w:rFonts w:ascii="Arial" w:hAnsi="Arial" w:cs="Arial"/>
                <w:color w:val="000000"/>
                <w:sz w:val="20"/>
                <w:szCs w:val="20"/>
                <w:lang w:eastAsia="en-AU"/>
              </w:rPr>
            </w:pPr>
          </w:p>
        </w:tc>
        <w:tc>
          <w:tcPr>
            <w:tcW w:w="594" w:type="dxa"/>
          </w:tcPr>
          <w:p w14:paraId="1FC48255" w14:textId="77777777" w:rsidR="00F24D53" w:rsidRPr="005309F5" w:rsidRDefault="00F24D53" w:rsidP="005309F5">
            <w:pPr>
              <w:rPr>
                <w:rFonts w:ascii="Arial" w:hAnsi="Arial" w:cs="Arial"/>
                <w:color w:val="000000"/>
                <w:sz w:val="20"/>
                <w:szCs w:val="20"/>
                <w:lang w:eastAsia="en-AU"/>
              </w:rPr>
            </w:pPr>
          </w:p>
        </w:tc>
      </w:tr>
      <w:tr w:rsidR="00F24D53" w:rsidRPr="005309F5" w14:paraId="2D319714" w14:textId="77777777" w:rsidTr="005309F5">
        <w:trPr>
          <w:gridAfter w:val="1"/>
          <w:wAfter w:w="11" w:type="dxa"/>
        </w:trPr>
        <w:tc>
          <w:tcPr>
            <w:tcW w:w="3415" w:type="dxa"/>
            <w:vAlign w:val="bottom"/>
          </w:tcPr>
          <w:p w14:paraId="3D2537C4"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107-Vic State Gov-ACCHO Services-Drug Services</w:t>
            </w:r>
          </w:p>
        </w:tc>
        <w:tc>
          <w:tcPr>
            <w:tcW w:w="594" w:type="dxa"/>
          </w:tcPr>
          <w:p w14:paraId="57D92E32" w14:textId="77777777" w:rsidR="00F24D53" w:rsidRPr="005309F5" w:rsidRDefault="00F24D53" w:rsidP="005309F5">
            <w:pPr>
              <w:rPr>
                <w:rFonts w:ascii="Arial" w:hAnsi="Arial" w:cs="Arial"/>
                <w:color w:val="000000"/>
                <w:sz w:val="20"/>
                <w:szCs w:val="20"/>
                <w:lang w:eastAsia="en-AU"/>
              </w:rPr>
            </w:pPr>
          </w:p>
        </w:tc>
        <w:tc>
          <w:tcPr>
            <w:tcW w:w="594" w:type="dxa"/>
          </w:tcPr>
          <w:p w14:paraId="41CE25C1" w14:textId="77777777" w:rsidR="00F24D53" w:rsidRPr="005309F5" w:rsidRDefault="00F24D53" w:rsidP="005309F5">
            <w:pPr>
              <w:rPr>
                <w:rFonts w:ascii="Arial" w:hAnsi="Arial" w:cs="Arial"/>
                <w:color w:val="000000"/>
                <w:sz w:val="20"/>
                <w:szCs w:val="20"/>
                <w:lang w:eastAsia="en-AU"/>
              </w:rPr>
            </w:pPr>
          </w:p>
        </w:tc>
        <w:tc>
          <w:tcPr>
            <w:tcW w:w="594" w:type="dxa"/>
          </w:tcPr>
          <w:p w14:paraId="1C8B450B"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6" w:type="dxa"/>
          </w:tcPr>
          <w:p w14:paraId="25E4680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w:t>
            </w:r>
          </w:p>
        </w:tc>
        <w:tc>
          <w:tcPr>
            <w:tcW w:w="594" w:type="dxa"/>
          </w:tcPr>
          <w:p w14:paraId="467699E6" w14:textId="77777777" w:rsidR="00F24D53" w:rsidRPr="005309F5" w:rsidRDefault="00F24D53" w:rsidP="005309F5">
            <w:pPr>
              <w:rPr>
                <w:rFonts w:ascii="Arial" w:hAnsi="Arial" w:cs="Arial"/>
                <w:color w:val="000000"/>
                <w:sz w:val="20"/>
                <w:szCs w:val="20"/>
                <w:lang w:eastAsia="en-AU"/>
              </w:rPr>
            </w:pPr>
          </w:p>
        </w:tc>
        <w:tc>
          <w:tcPr>
            <w:tcW w:w="594" w:type="dxa"/>
          </w:tcPr>
          <w:p w14:paraId="4EFAD47C" w14:textId="77777777" w:rsidR="00F24D53" w:rsidRPr="005309F5" w:rsidRDefault="00F24D53" w:rsidP="005309F5">
            <w:pPr>
              <w:rPr>
                <w:rFonts w:ascii="Arial" w:hAnsi="Arial" w:cs="Arial"/>
                <w:color w:val="000000"/>
                <w:sz w:val="20"/>
                <w:szCs w:val="20"/>
                <w:lang w:eastAsia="en-AU"/>
              </w:rPr>
            </w:pPr>
          </w:p>
        </w:tc>
        <w:tc>
          <w:tcPr>
            <w:tcW w:w="583" w:type="dxa"/>
          </w:tcPr>
          <w:p w14:paraId="07B68147" w14:textId="77777777" w:rsidR="00F24D53" w:rsidRPr="005309F5" w:rsidRDefault="00F24D53" w:rsidP="005309F5">
            <w:pPr>
              <w:rPr>
                <w:rFonts w:ascii="Arial" w:hAnsi="Arial" w:cs="Arial"/>
                <w:color w:val="000000"/>
                <w:sz w:val="20"/>
                <w:szCs w:val="20"/>
                <w:lang w:eastAsia="en-AU"/>
              </w:rPr>
            </w:pPr>
          </w:p>
        </w:tc>
        <w:tc>
          <w:tcPr>
            <w:tcW w:w="595" w:type="dxa"/>
          </w:tcPr>
          <w:p w14:paraId="7F8A274D" w14:textId="77777777" w:rsidR="00F24D53" w:rsidRPr="005309F5" w:rsidRDefault="00F24D53" w:rsidP="005309F5">
            <w:pPr>
              <w:rPr>
                <w:rFonts w:ascii="Arial" w:hAnsi="Arial" w:cs="Arial"/>
                <w:sz w:val="20"/>
                <w:szCs w:val="20"/>
                <w:lang w:eastAsia="en-AU"/>
              </w:rPr>
            </w:pPr>
          </w:p>
        </w:tc>
        <w:tc>
          <w:tcPr>
            <w:tcW w:w="594" w:type="dxa"/>
          </w:tcPr>
          <w:p w14:paraId="7212C31C" w14:textId="77777777" w:rsidR="00F24D53" w:rsidRPr="005309F5" w:rsidRDefault="00F24D53" w:rsidP="005309F5">
            <w:pPr>
              <w:rPr>
                <w:rFonts w:ascii="Arial" w:hAnsi="Arial" w:cs="Arial"/>
                <w:color w:val="000000"/>
                <w:sz w:val="20"/>
                <w:szCs w:val="20"/>
                <w:lang w:eastAsia="en-AU"/>
              </w:rPr>
            </w:pPr>
          </w:p>
        </w:tc>
        <w:tc>
          <w:tcPr>
            <w:tcW w:w="594" w:type="dxa"/>
          </w:tcPr>
          <w:p w14:paraId="54D3F90A"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6305D5D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4" w:type="dxa"/>
          </w:tcPr>
          <w:p w14:paraId="71E87CF4" w14:textId="77777777" w:rsidR="00F24D53" w:rsidRPr="005309F5" w:rsidRDefault="00F24D53" w:rsidP="005309F5">
            <w:pPr>
              <w:rPr>
                <w:rFonts w:ascii="Arial" w:hAnsi="Arial" w:cs="Arial"/>
                <w:color w:val="000000"/>
                <w:sz w:val="20"/>
                <w:szCs w:val="20"/>
                <w:lang w:eastAsia="en-AU"/>
              </w:rPr>
            </w:pPr>
          </w:p>
        </w:tc>
        <w:tc>
          <w:tcPr>
            <w:tcW w:w="547" w:type="dxa"/>
          </w:tcPr>
          <w:p w14:paraId="7F0E8829" w14:textId="77777777" w:rsidR="00F24D53" w:rsidRPr="005309F5" w:rsidRDefault="00F24D53" w:rsidP="005309F5">
            <w:pPr>
              <w:rPr>
                <w:rFonts w:ascii="Arial" w:hAnsi="Arial" w:cs="Arial"/>
                <w:color w:val="000000"/>
                <w:sz w:val="20"/>
                <w:szCs w:val="20"/>
                <w:lang w:eastAsia="en-AU"/>
              </w:rPr>
            </w:pPr>
          </w:p>
        </w:tc>
        <w:tc>
          <w:tcPr>
            <w:tcW w:w="584" w:type="dxa"/>
          </w:tcPr>
          <w:p w14:paraId="6B8A7FE8"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w:t>
            </w:r>
          </w:p>
        </w:tc>
        <w:tc>
          <w:tcPr>
            <w:tcW w:w="547" w:type="dxa"/>
          </w:tcPr>
          <w:p w14:paraId="3B59E097" w14:textId="77777777" w:rsidR="00F24D53" w:rsidRPr="005309F5" w:rsidRDefault="00F24D53" w:rsidP="005309F5">
            <w:pPr>
              <w:rPr>
                <w:rFonts w:ascii="Arial" w:hAnsi="Arial" w:cs="Arial"/>
                <w:strike/>
                <w:color w:val="000000"/>
                <w:sz w:val="20"/>
                <w:szCs w:val="20"/>
                <w:lang w:eastAsia="en-AU"/>
              </w:rPr>
            </w:pPr>
          </w:p>
        </w:tc>
        <w:tc>
          <w:tcPr>
            <w:tcW w:w="594" w:type="dxa"/>
          </w:tcPr>
          <w:p w14:paraId="0209DDB2" w14:textId="77777777" w:rsidR="00F24D53" w:rsidRPr="005309F5" w:rsidRDefault="00F24D53" w:rsidP="005309F5">
            <w:pPr>
              <w:rPr>
                <w:rFonts w:ascii="Arial" w:hAnsi="Arial" w:cs="Arial"/>
                <w:strike/>
                <w:color w:val="000000"/>
                <w:sz w:val="20"/>
                <w:szCs w:val="20"/>
                <w:lang w:eastAsia="en-AU"/>
              </w:rPr>
            </w:pPr>
          </w:p>
        </w:tc>
        <w:tc>
          <w:tcPr>
            <w:tcW w:w="594" w:type="dxa"/>
          </w:tcPr>
          <w:p w14:paraId="4F8AAB2A" w14:textId="77777777" w:rsidR="00F24D53" w:rsidRPr="005309F5" w:rsidRDefault="00F24D53" w:rsidP="005309F5">
            <w:pPr>
              <w:rPr>
                <w:rFonts w:ascii="Arial" w:hAnsi="Arial" w:cs="Arial"/>
                <w:strike/>
                <w:color w:val="000000"/>
                <w:sz w:val="20"/>
                <w:szCs w:val="20"/>
                <w:lang w:eastAsia="en-AU"/>
              </w:rPr>
            </w:pPr>
          </w:p>
        </w:tc>
        <w:tc>
          <w:tcPr>
            <w:tcW w:w="547" w:type="dxa"/>
          </w:tcPr>
          <w:p w14:paraId="15D53843" w14:textId="77777777" w:rsidR="00F24D53" w:rsidRPr="005309F5" w:rsidRDefault="00F24D53" w:rsidP="005309F5">
            <w:pPr>
              <w:rPr>
                <w:rFonts w:ascii="Arial" w:hAnsi="Arial" w:cs="Arial"/>
                <w:strike/>
                <w:color w:val="000000"/>
                <w:sz w:val="20"/>
                <w:szCs w:val="20"/>
                <w:lang w:eastAsia="en-AU"/>
              </w:rPr>
            </w:pPr>
          </w:p>
        </w:tc>
        <w:tc>
          <w:tcPr>
            <w:tcW w:w="594" w:type="dxa"/>
          </w:tcPr>
          <w:p w14:paraId="2FDC3031" w14:textId="77777777" w:rsidR="00F24D53" w:rsidRPr="005309F5" w:rsidRDefault="00F24D53" w:rsidP="005309F5">
            <w:pPr>
              <w:rPr>
                <w:rFonts w:ascii="Arial" w:hAnsi="Arial" w:cs="Arial"/>
                <w:strike/>
                <w:color w:val="000000"/>
                <w:sz w:val="20"/>
                <w:szCs w:val="20"/>
                <w:lang w:eastAsia="en-AU"/>
              </w:rPr>
            </w:pPr>
          </w:p>
        </w:tc>
      </w:tr>
      <w:tr w:rsidR="00F24D53" w:rsidRPr="005309F5" w14:paraId="125F544B" w14:textId="77777777" w:rsidTr="005309F5">
        <w:trPr>
          <w:gridAfter w:val="1"/>
          <w:wAfter w:w="11" w:type="dxa"/>
        </w:trPr>
        <w:tc>
          <w:tcPr>
            <w:tcW w:w="3415" w:type="dxa"/>
            <w:vAlign w:val="bottom"/>
          </w:tcPr>
          <w:p w14:paraId="627D947C"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108-Vic State Gov-ACCHO-AOD Nurse Program</w:t>
            </w:r>
          </w:p>
        </w:tc>
        <w:tc>
          <w:tcPr>
            <w:tcW w:w="594" w:type="dxa"/>
          </w:tcPr>
          <w:p w14:paraId="06B6380F" w14:textId="77777777" w:rsidR="00F24D53" w:rsidRPr="005309F5" w:rsidRDefault="00F24D53" w:rsidP="005309F5">
            <w:pPr>
              <w:rPr>
                <w:rFonts w:ascii="Arial" w:hAnsi="Arial" w:cs="Arial"/>
                <w:color w:val="000000"/>
                <w:sz w:val="20"/>
                <w:szCs w:val="20"/>
                <w:lang w:eastAsia="en-AU"/>
              </w:rPr>
            </w:pPr>
          </w:p>
        </w:tc>
        <w:tc>
          <w:tcPr>
            <w:tcW w:w="594" w:type="dxa"/>
          </w:tcPr>
          <w:p w14:paraId="1791573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3DCBA28F"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6" w:type="dxa"/>
          </w:tcPr>
          <w:p w14:paraId="4828300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w:t>
            </w:r>
          </w:p>
        </w:tc>
        <w:tc>
          <w:tcPr>
            <w:tcW w:w="594" w:type="dxa"/>
          </w:tcPr>
          <w:p w14:paraId="48C73B7C" w14:textId="77777777" w:rsidR="00F24D53" w:rsidRPr="005309F5" w:rsidRDefault="00F24D53" w:rsidP="005309F5">
            <w:pPr>
              <w:rPr>
                <w:rFonts w:ascii="Arial" w:hAnsi="Arial" w:cs="Arial"/>
                <w:color w:val="000000"/>
                <w:sz w:val="20"/>
                <w:szCs w:val="20"/>
                <w:lang w:eastAsia="en-AU"/>
              </w:rPr>
            </w:pPr>
          </w:p>
        </w:tc>
        <w:tc>
          <w:tcPr>
            <w:tcW w:w="594" w:type="dxa"/>
          </w:tcPr>
          <w:p w14:paraId="1E41CDB4" w14:textId="77777777" w:rsidR="00F24D53" w:rsidRPr="005309F5" w:rsidRDefault="00F24D53" w:rsidP="005309F5">
            <w:pPr>
              <w:rPr>
                <w:rFonts w:ascii="Arial" w:hAnsi="Arial" w:cs="Arial"/>
                <w:color w:val="000000"/>
                <w:sz w:val="20"/>
                <w:szCs w:val="20"/>
                <w:lang w:eastAsia="en-AU"/>
              </w:rPr>
            </w:pPr>
          </w:p>
        </w:tc>
        <w:tc>
          <w:tcPr>
            <w:tcW w:w="583" w:type="dxa"/>
          </w:tcPr>
          <w:p w14:paraId="5D7D3B12" w14:textId="77777777" w:rsidR="00F24D53" w:rsidRPr="005309F5" w:rsidRDefault="00F24D53" w:rsidP="005309F5">
            <w:pPr>
              <w:rPr>
                <w:rFonts w:ascii="Arial" w:hAnsi="Arial" w:cs="Arial"/>
                <w:color w:val="000000"/>
                <w:sz w:val="20"/>
                <w:szCs w:val="20"/>
                <w:lang w:eastAsia="en-AU"/>
              </w:rPr>
            </w:pPr>
          </w:p>
        </w:tc>
        <w:tc>
          <w:tcPr>
            <w:tcW w:w="595" w:type="dxa"/>
          </w:tcPr>
          <w:p w14:paraId="285002B9" w14:textId="77777777" w:rsidR="00F24D53" w:rsidRPr="005309F5" w:rsidRDefault="00F24D53" w:rsidP="005309F5">
            <w:pPr>
              <w:rPr>
                <w:rFonts w:ascii="Arial" w:hAnsi="Arial" w:cs="Arial"/>
                <w:sz w:val="20"/>
                <w:szCs w:val="20"/>
                <w:lang w:eastAsia="en-AU"/>
              </w:rPr>
            </w:pPr>
          </w:p>
        </w:tc>
        <w:tc>
          <w:tcPr>
            <w:tcW w:w="594" w:type="dxa"/>
          </w:tcPr>
          <w:p w14:paraId="20853D3D" w14:textId="77777777" w:rsidR="00F24D53" w:rsidRPr="005309F5" w:rsidRDefault="00F24D53" w:rsidP="005309F5">
            <w:pPr>
              <w:rPr>
                <w:rFonts w:ascii="Arial" w:hAnsi="Arial" w:cs="Arial"/>
                <w:color w:val="000000"/>
                <w:sz w:val="20"/>
                <w:szCs w:val="20"/>
                <w:lang w:eastAsia="en-AU"/>
              </w:rPr>
            </w:pPr>
          </w:p>
        </w:tc>
        <w:tc>
          <w:tcPr>
            <w:tcW w:w="594" w:type="dxa"/>
          </w:tcPr>
          <w:p w14:paraId="328B125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1C4AA05E"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4" w:type="dxa"/>
          </w:tcPr>
          <w:p w14:paraId="75F7020C" w14:textId="77777777" w:rsidR="00F24D53" w:rsidRPr="005309F5" w:rsidRDefault="00F24D53" w:rsidP="005309F5">
            <w:pPr>
              <w:rPr>
                <w:rFonts w:ascii="Arial" w:hAnsi="Arial" w:cs="Arial"/>
                <w:color w:val="000000"/>
                <w:sz w:val="20"/>
                <w:szCs w:val="20"/>
                <w:lang w:eastAsia="en-AU"/>
              </w:rPr>
            </w:pPr>
          </w:p>
        </w:tc>
        <w:tc>
          <w:tcPr>
            <w:tcW w:w="547" w:type="dxa"/>
          </w:tcPr>
          <w:p w14:paraId="201686A4" w14:textId="77777777" w:rsidR="00F24D53" w:rsidRPr="005309F5" w:rsidRDefault="00F24D53" w:rsidP="005309F5">
            <w:pPr>
              <w:rPr>
                <w:rFonts w:ascii="Arial" w:hAnsi="Arial" w:cs="Arial"/>
                <w:color w:val="000000"/>
                <w:sz w:val="20"/>
                <w:szCs w:val="20"/>
                <w:lang w:eastAsia="en-AU"/>
              </w:rPr>
            </w:pPr>
          </w:p>
        </w:tc>
        <w:tc>
          <w:tcPr>
            <w:tcW w:w="584" w:type="dxa"/>
          </w:tcPr>
          <w:p w14:paraId="1B37F3D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w:t>
            </w:r>
          </w:p>
        </w:tc>
        <w:tc>
          <w:tcPr>
            <w:tcW w:w="547" w:type="dxa"/>
          </w:tcPr>
          <w:p w14:paraId="4C92EDD4" w14:textId="77777777" w:rsidR="00F24D53" w:rsidRPr="005309F5" w:rsidRDefault="00F24D53" w:rsidP="005309F5">
            <w:pPr>
              <w:rPr>
                <w:rFonts w:ascii="Arial" w:hAnsi="Arial" w:cs="Arial"/>
                <w:color w:val="000000"/>
                <w:sz w:val="20"/>
                <w:szCs w:val="20"/>
                <w:lang w:eastAsia="en-AU"/>
              </w:rPr>
            </w:pPr>
          </w:p>
        </w:tc>
        <w:tc>
          <w:tcPr>
            <w:tcW w:w="594" w:type="dxa"/>
          </w:tcPr>
          <w:p w14:paraId="3BBAAC9E" w14:textId="77777777" w:rsidR="00F24D53" w:rsidRPr="005309F5" w:rsidRDefault="00F24D53" w:rsidP="005309F5">
            <w:pPr>
              <w:rPr>
                <w:rFonts w:ascii="Arial" w:hAnsi="Arial" w:cs="Arial"/>
                <w:color w:val="000000"/>
                <w:sz w:val="20"/>
                <w:szCs w:val="20"/>
                <w:lang w:eastAsia="en-AU"/>
              </w:rPr>
            </w:pPr>
          </w:p>
        </w:tc>
        <w:tc>
          <w:tcPr>
            <w:tcW w:w="594" w:type="dxa"/>
          </w:tcPr>
          <w:p w14:paraId="037CF1A2" w14:textId="77777777" w:rsidR="00F24D53" w:rsidRPr="005309F5" w:rsidRDefault="00F24D53" w:rsidP="005309F5">
            <w:pPr>
              <w:rPr>
                <w:rFonts w:ascii="Arial" w:hAnsi="Arial" w:cs="Arial"/>
                <w:color w:val="000000"/>
                <w:sz w:val="20"/>
                <w:szCs w:val="20"/>
                <w:lang w:eastAsia="en-AU"/>
              </w:rPr>
            </w:pPr>
          </w:p>
        </w:tc>
        <w:tc>
          <w:tcPr>
            <w:tcW w:w="547" w:type="dxa"/>
          </w:tcPr>
          <w:p w14:paraId="6B4E8B39" w14:textId="77777777" w:rsidR="00F24D53" w:rsidRPr="005309F5" w:rsidRDefault="00F24D53" w:rsidP="005309F5">
            <w:pPr>
              <w:rPr>
                <w:rFonts w:ascii="Arial" w:hAnsi="Arial" w:cs="Arial"/>
                <w:color w:val="000000"/>
                <w:sz w:val="20"/>
                <w:szCs w:val="20"/>
                <w:lang w:eastAsia="en-AU"/>
              </w:rPr>
            </w:pPr>
          </w:p>
        </w:tc>
        <w:tc>
          <w:tcPr>
            <w:tcW w:w="594" w:type="dxa"/>
          </w:tcPr>
          <w:p w14:paraId="3F3FEC77" w14:textId="77777777" w:rsidR="00F24D53" w:rsidRPr="005309F5" w:rsidRDefault="00F24D53" w:rsidP="005309F5">
            <w:pPr>
              <w:rPr>
                <w:rFonts w:ascii="Arial" w:hAnsi="Arial" w:cs="Arial"/>
                <w:color w:val="000000"/>
                <w:sz w:val="20"/>
                <w:szCs w:val="20"/>
                <w:lang w:eastAsia="en-AU"/>
              </w:rPr>
            </w:pPr>
          </w:p>
        </w:tc>
      </w:tr>
      <w:tr w:rsidR="00F24D53" w:rsidRPr="005309F5" w14:paraId="1B0140D0" w14:textId="77777777" w:rsidTr="005309F5">
        <w:trPr>
          <w:gridAfter w:val="1"/>
          <w:wAfter w:w="11" w:type="dxa"/>
        </w:trPr>
        <w:tc>
          <w:tcPr>
            <w:tcW w:w="3415" w:type="dxa"/>
            <w:vAlign w:val="bottom"/>
          </w:tcPr>
          <w:p w14:paraId="6E318A86"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109-Vic State Gov-Low Risk Offender Program</w:t>
            </w:r>
          </w:p>
        </w:tc>
        <w:tc>
          <w:tcPr>
            <w:tcW w:w="594" w:type="dxa"/>
          </w:tcPr>
          <w:p w14:paraId="7D9C293E" w14:textId="77777777" w:rsidR="00F24D53" w:rsidRPr="005309F5" w:rsidRDefault="00F24D53" w:rsidP="005309F5">
            <w:pPr>
              <w:rPr>
                <w:rFonts w:ascii="Arial" w:hAnsi="Arial" w:cs="Arial"/>
                <w:color w:val="000000"/>
                <w:sz w:val="20"/>
                <w:szCs w:val="20"/>
                <w:lang w:eastAsia="en-AU"/>
              </w:rPr>
            </w:pPr>
          </w:p>
        </w:tc>
        <w:tc>
          <w:tcPr>
            <w:tcW w:w="594" w:type="dxa"/>
          </w:tcPr>
          <w:p w14:paraId="6AE72562" w14:textId="77777777" w:rsidR="00F24D53" w:rsidRPr="005309F5" w:rsidRDefault="00F24D53" w:rsidP="005309F5">
            <w:pPr>
              <w:rPr>
                <w:rFonts w:ascii="Arial" w:hAnsi="Arial" w:cs="Arial"/>
                <w:color w:val="000000"/>
                <w:sz w:val="20"/>
                <w:szCs w:val="20"/>
                <w:lang w:eastAsia="en-AU"/>
              </w:rPr>
            </w:pPr>
          </w:p>
        </w:tc>
        <w:tc>
          <w:tcPr>
            <w:tcW w:w="594" w:type="dxa"/>
          </w:tcPr>
          <w:p w14:paraId="4092162A" w14:textId="77777777" w:rsidR="00F24D53" w:rsidRPr="005309F5" w:rsidRDefault="00F24D53" w:rsidP="005309F5">
            <w:pPr>
              <w:rPr>
                <w:rFonts w:ascii="Arial" w:hAnsi="Arial" w:cs="Arial"/>
                <w:color w:val="000000"/>
                <w:sz w:val="20"/>
                <w:szCs w:val="20"/>
                <w:lang w:eastAsia="en-AU"/>
              </w:rPr>
            </w:pPr>
          </w:p>
        </w:tc>
        <w:tc>
          <w:tcPr>
            <w:tcW w:w="546" w:type="dxa"/>
          </w:tcPr>
          <w:p w14:paraId="3F6922F3" w14:textId="77777777" w:rsidR="00F24D53" w:rsidRPr="005309F5" w:rsidRDefault="00F24D53" w:rsidP="005309F5">
            <w:pPr>
              <w:rPr>
                <w:rFonts w:ascii="Arial" w:hAnsi="Arial" w:cs="Arial"/>
                <w:color w:val="000000"/>
                <w:sz w:val="20"/>
                <w:szCs w:val="20"/>
                <w:lang w:eastAsia="en-AU"/>
              </w:rPr>
            </w:pPr>
          </w:p>
        </w:tc>
        <w:tc>
          <w:tcPr>
            <w:tcW w:w="594" w:type="dxa"/>
          </w:tcPr>
          <w:p w14:paraId="3F6E8803" w14:textId="77777777" w:rsidR="00F24D53" w:rsidRPr="005309F5" w:rsidRDefault="00F24D53" w:rsidP="005309F5">
            <w:pPr>
              <w:rPr>
                <w:rFonts w:ascii="Arial" w:hAnsi="Arial" w:cs="Arial"/>
                <w:color w:val="000000"/>
                <w:sz w:val="20"/>
                <w:szCs w:val="20"/>
                <w:lang w:eastAsia="en-AU"/>
              </w:rPr>
            </w:pPr>
          </w:p>
        </w:tc>
        <w:tc>
          <w:tcPr>
            <w:tcW w:w="594" w:type="dxa"/>
          </w:tcPr>
          <w:p w14:paraId="0E64BCBA" w14:textId="77777777" w:rsidR="00F24D53" w:rsidRPr="005309F5" w:rsidRDefault="00F24D53" w:rsidP="005309F5">
            <w:pPr>
              <w:rPr>
                <w:rFonts w:ascii="Arial" w:hAnsi="Arial" w:cs="Arial"/>
                <w:color w:val="000000"/>
                <w:sz w:val="20"/>
                <w:szCs w:val="20"/>
                <w:lang w:eastAsia="en-AU"/>
              </w:rPr>
            </w:pPr>
          </w:p>
        </w:tc>
        <w:tc>
          <w:tcPr>
            <w:tcW w:w="583" w:type="dxa"/>
          </w:tcPr>
          <w:p w14:paraId="49A8D2AF" w14:textId="77777777" w:rsidR="00F24D53" w:rsidRPr="005309F5" w:rsidRDefault="00F24D53" w:rsidP="005309F5">
            <w:pPr>
              <w:rPr>
                <w:rFonts w:ascii="Arial" w:hAnsi="Arial" w:cs="Arial"/>
                <w:color w:val="000000"/>
                <w:sz w:val="20"/>
                <w:szCs w:val="20"/>
                <w:lang w:eastAsia="en-AU"/>
              </w:rPr>
            </w:pPr>
          </w:p>
        </w:tc>
        <w:tc>
          <w:tcPr>
            <w:tcW w:w="595" w:type="dxa"/>
          </w:tcPr>
          <w:p w14:paraId="6CA7565E" w14:textId="77777777" w:rsidR="00F24D53" w:rsidRPr="005309F5" w:rsidRDefault="00F24D53" w:rsidP="005309F5">
            <w:pPr>
              <w:rPr>
                <w:rFonts w:ascii="Arial" w:hAnsi="Arial" w:cs="Arial"/>
                <w:sz w:val="20"/>
                <w:szCs w:val="20"/>
                <w:lang w:eastAsia="en-AU"/>
              </w:rPr>
            </w:pPr>
          </w:p>
        </w:tc>
        <w:tc>
          <w:tcPr>
            <w:tcW w:w="594" w:type="dxa"/>
          </w:tcPr>
          <w:p w14:paraId="6AA94956" w14:textId="77777777" w:rsidR="00F24D53" w:rsidRPr="005309F5" w:rsidRDefault="00F24D53" w:rsidP="005309F5">
            <w:pPr>
              <w:rPr>
                <w:rFonts w:ascii="Arial" w:hAnsi="Arial" w:cs="Arial"/>
                <w:color w:val="000000"/>
                <w:sz w:val="20"/>
                <w:szCs w:val="20"/>
                <w:lang w:eastAsia="en-AU"/>
              </w:rPr>
            </w:pPr>
          </w:p>
        </w:tc>
        <w:tc>
          <w:tcPr>
            <w:tcW w:w="594" w:type="dxa"/>
          </w:tcPr>
          <w:p w14:paraId="7B6F4560" w14:textId="77777777" w:rsidR="00F24D53" w:rsidRPr="005309F5" w:rsidRDefault="00F24D53" w:rsidP="005309F5">
            <w:pPr>
              <w:rPr>
                <w:rFonts w:ascii="Arial" w:hAnsi="Arial" w:cs="Arial"/>
                <w:color w:val="000000"/>
                <w:sz w:val="20"/>
                <w:szCs w:val="20"/>
                <w:lang w:eastAsia="en-AU"/>
              </w:rPr>
            </w:pPr>
          </w:p>
        </w:tc>
        <w:tc>
          <w:tcPr>
            <w:tcW w:w="594" w:type="dxa"/>
          </w:tcPr>
          <w:p w14:paraId="76C56B9B" w14:textId="77777777" w:rsidR="00F24D53" w:rsidRPr="005309F5" w:rsidRDefault="00F24D53" w:rsidP="005309F5">
            <w:pPr>
              <w:rPr>
                <w:rFonts w:ascii="Arial" w:hAnsi="Arial" w:cs="Arial"/>
                <w:color w:val="000000"/>
                <w:sz w:val="20"/>
                <w:szCs w:val="20"/>
                <w:lang w:eastAsia="en-AU"/>
              </w:rPr>
            </w:pPr>
          </w:p>
        </w:tc>
        <w:tc>
          <w:tcPr>
            <w:tcW w:w="584" w:type="dxa"/>
          </w:tcPr>
          <w:p w14:paraId="0EBE23B4" w14:textId="77777777" w:rsidR="00F24D53" w:rsidRPr="005309F5" w:rsidRDefault="00F24D53" w:rsidP="005309F5">
            <w:pPr>
              <w:rPr>
                <w:rFonts w:ascii="Arial" w:hAnsi="Arial" w:cs="Arial"/>
                <w:color w:val="000000"/>
                <w:sz w:val="20"/>
                <w:szCs w:val="20"/>
                <w:lang w:eastAsia="en-AU"/>
              </w:rPr>
            </w:pPr>
          </w:p>
        </w:tc>
        <w:tc>
          <w:tcPr>
            <w:tcW w:w="547" w:type="dxa"/>
          </w:tcPr>
          <w:p w14:paraId="2F6C76C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C</w:t>
            </w:r>
          </w:p>
        </w:tc>
        <w:tc>
          <w:tcPr>
            <w:tcW w:w="584" w:type="dxa"/>
          </w:tcPr>
          <w:p w14:paraId="6F146CBA" w14:textId="77777777" w:rsidR="00F24D53" w:rsidRPr="005309F5" w:rsidRDefault="00F24D53" w:rsidP="005309F5">
            <w:pPr>
              <w:rPr>
                <w:rFonts w:ascii="Arial" w:hAnsi="Arial" w:cs="Arial"/>
                <w:color w:val="000000"/>
                <w:sz w:val="20"/>
                <w:szCs w:val="20"/>
                <w:lang w:eastAsia="en-AU"/>
              </w:rPr>
            </w:pPr>
          </w:p>
        </w:tc>
        <w:tc>
          <w:tcPr>
            <w:tcW w:w="547" w:type="dxa"/>
          </w:tcPr>
          <w:p w14:paraId="7D9C189F" w14:textId="77777777" w:rsidR="00F24D53" w:rsidRPr="005309F5" w:rsidRDefault="00F24D53" w:rsidP="005309F5">
            <w:pPr>
              <w:rPr>
                <w:rFonts w:ascii="Arial" w:hAnsi="Arial" w:cs="Arial"/>
                <w:color w:val="000000"/>
                <w:sz w:val="20"/>
                <w:szCs w:val="20"/>
                <w:lang w:eastAsia="en-AU"/>
              </w:rPr>
            </w:pPr>
          </w:p>
        </w:tc>
        <w:tc>
          <w:tcPr>
            <w:tcW w:w="594" w:type="dxa"/>
          </w:tcPr>
          <w:p w14:paraId="6869921B" w14:textId="77777777" w:rsidR="00F24D53" w:rsidRPr="005309F5" w:rsidRDefault="00F24D53" w:rsidP="005309F5">
            <w:pPr>
              <w:rPr>
                <w:rFonts w:ascii="Arial" w:hAnsi="Arial" w:cs="Arial"/>
                <w:color w:val="000000"/>
                <w:sz w:val="20"/>
                <w:szCs w:val="20"/>
                <w:lang w:eastAsia="en-AU"/>
              </w:rPr>
            </w:pPr>
          </w:p>
        </w:tc>
        <w:tc>
          <w:tcPr>
            <w:tcW w:w="594" w:type="dxa"/>
          </w:tcPr>
          <w:p w14:paraId="351709E0" w14:textId="77777777" w:rsidR="00F24D53" w:rsidRPr="005309F5" w:rsidRDefault="00F24D53" w:rsidP="005309F5">
            <w:pPr>
              <w:rPr>
                <w:rFonts w:ascii="Arial" w:hAnsi="Arial" w:cs="Arial"/>
                <w:color w:val="000000"/>
                <w:sz w:val="20"/>
                <w:szCs w:val="20"/>
                <w:lang w:eastAsia="en-AU"/>
              </w:rPr>
            </w:pPr>
          </w:p>
        </w:tc>
        <w:tc>
          <w:tcPr>
            <w:tcW w:w="547" w:type="dxa"/>
          </w:tcPr>
          <w:p w14:paraId="4FE297B6" w14:textId="77777777" w:rsidR="00F24D53" w:rsidRPr="005309F5" w:rsidRDefault="00F24D53" w:rsidP="005309F5">
            <w:pPr>
              <w:rPr>
                <w:rFonts w:ascii="Arial" w:hAnsi="Arial" w:cs="Arial"/>
                <w:color w:val="000000"/>
                <w:sz w:val="20"/>
                <w:szCs w:val="20"/>
                <w:lang w:eastAsia="en-AU"/>
              </w:rPr>
            </w:pPr>
          </w:p>
        </w:tc>
        <w:tc>
          <w:tcPr>
            <w:tcW w:w="594" w:type="dxa"/>
          </w:tcPr>
          <w:p w14:paraId="42E309F1" w14:textId="77777777" w:rsidR="00F24D53" w:rsidRPr="005309F5" w:rsidRDefault="00F24D53" w:rsidP="005309F5">
            <w:pPr>
              <w:rPr>
                <w:rFonts w:ascii="Arial" w:hAnsi="Arial" w:cs="Arial"/>
                <w:color w:val="000000"/>
                <w:sz w:val="20"/>
                <w:szCs w:val="20"/>
                <w:lang w:eastAsia="en-AU"/>
              </w:rPr>
            </w:pPr>
          </w:p>
        </w:tc>
      </w:tr>
      <w:tr w:rsidR="00F24D53" w:rsidRPr="005309F5" w14:paraId="4354B2C7" w14:textId="77777777" w:rsidTr="005309F5">
        <w:trPr>
          <w:gridAfter w:val="1"/>
          <w:wAfter w:w="11" w:type="dxa"/>
        </w:trPr>
        <w:tc>
          <w:tcPr>
            <w:tcW w:w="3415" w:type="dxa"/>
            <w:vAlign w:val="bottom"/>
          </w:tcPr>
          <w:p w14:paraId="1A20325F"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 xml:space="preserve">111-Vic State Gov-Residential dual diagnosis </w:t>
            </w:r>
          </w:p>
        </w:tc>
        <w:tc>
          <w:tcPr>
            <w:tcW w:w="594" w:type="dxa"/>
          </w:tcPr>
          <w:p w14:paraId="603932F0" w14:textId="77777777" w:rsidR="00F24D53" w:rsidRPr="005309F5" w:rsidRDefault="00F24D53" w:rsidP="005309F5">
            <w:pPr>
              <w:rPr>
                <w:rFonts w:ascii="Arial" w:hAnsi="Arial" w:cs="Arial"/>
                <w:color w:val="000000"/>
                <w:sz w:val="20"/>
                <w:szCs w:val="20"/>
                <w:lang w:eastAsia="en-AU"/>
              </w:rPr>
            </w:pPr>
          </w:p>
        </w:tc>
        <w:tc>
          <w:tcPr>
            <w:tcW w:w="594" w:type="dxa"/>
          </w:tcPr>
          <w:p w14:paraId="0D640585" w14:textId="77777777" w:rsidR="00F24D53" w:rsidRPr="005309F5" w:rsidRDefault="00F24D53" w:rsidP="005309F5">
            <w:pPr>
              <w:rPr>
                <w:rFonts w:ascii="Arial" w:hAnsi="Arial" w:cs="Arial"/>
                <w:color w:val="000000"/>
                <w:sz w:val="20"/>
                <w:szCs w:val="20"/>
                <w:lang w:eastAsia="en-AU"/>
              </w:rPr>
            </w:pPr>
          </w:p>
        </w:tc>
        <w:tc>
          <w:tcPr>
            <w:tcW w:w="594" w:type="dxa"/>
          </w:tcPr>
          <w:p w14:paraId="51347B1C" w14:textId="77777777" w:rsidR="00F24D53" w:rsidRPr="005309F5" w:rsidRDefault="00F24D53" w:rsidP="005309F5">
            <w:pPr>
              <w:rPr>
                <w:rFonts w:ascii="Arial" w:hAnsi="Arial" w:cs="Arial"/>
                <w:color w:val="000000"/>
                <w:sz w:val="20"/>
                <w:szCs w:val="20"/>
                <w:lang w:eastAsia="en-AU"/>
              </w:rPr>
            </w:pPr>
          </w:p>
        </w:tc>
        <w:tc>
          <w:tcPr>
            <w:tcW w:w="546" w:type="dxa"/>
          </w:tcPr>
          <w:p w14:paraId="6563B910" w14:textId="77777777" w:rsidR="00F24D53" w:rsidRPr="005309F5" w:rsidRDefault="00F24D53" w:rsidP="005309F5">
            <w:pPr>
              <w:rPr>
                <w:rFonts w:ascii="Arial" w:hAnsi="Arial" w:cs="Arial"/>
                <w:color w:val="000000"/>
                <w:sz w:val="20"/>
                <w:szCs w:val="20"/>
                <w:lang w:eastAsia="en-AU"/>
              </w:rPr>
            </w:pPr>
          </w:p>
        </w:tc>
        <w:tc>
          <w:tcPr>
            <w:tcW w:w="594" w:type="dxa"/>
          </w:tcPr>
          <w:p w14:paraId="3DBF7720" w14:textId="77777777" w:rsidR="00F24D53" w:rsidRPr="005309F5" w:rsidRDefault="00F24D53" w:rsidP="005309F5">
            <w:pPr>
              <w:rPr>
                <w:rFonts w:ascii="Arial" w:hAnsi="Arial" w:cs="Arial"/>
                <w:color w:val="000000"/>
                <w:sz w:val="20"/>
                <w:szCs w:val="20"/>
                <w:lang w:eastAsia="en-AU"/>
              </w:rPr>
            </w:pPr>
          </w:p>
        </w:tc>
        <w:tc>
          <w:tcPr>
            <w:tcW w:w="594" w:type="dxa"/>
          </w:tcPr>
          <w:p w14:paraId="7549D81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83" w:type="dxa"/>
          </w:tcPr>
          <w:p w14:paraId="2CF31563" w14:textId="77777777" w:rsidR="00F24D53" w:rsidRPr="005309F5" w:rsidRDefault="00F24D53" w:rsidP="005309F5">
            <w:pPr>
              <w:rPr>
                <w:rFonts w:ascii="Arial" w:hAnsi="Arial" w:cs="Arial"/>
                <w:color w:val="000000"/>
                <w:sz w:val="20"/>
                <w:szCs w:val="20"/>
                <w:lang w:eastAsia="en-AU"/>
              </w:rPr>
            </w:pPr>
          </w:p>
        </w:tc>
        <w:tc>
          <w:tcPr>
            <w:tcW w:w="595" w:type="dxa"/>
          </w:tcPr>
          <w:p w14:paraId="048851B5" w14:textId="77777777" w:rsidR="00F24D53" w:rsidRPr="005309F5" w:rsidRDefault="00F24D53" w:rsidP="005309F5">
            <w:pPr>
              <w:rPr>
                <w:rFonts w:ascii="Arial" w:hAnsi="Arial" w:cs="Arial"/>
                <w:sz w:val="20"/>
                <w:szCs w:val="20"/>
                <w:lang w:eastAsia="en-AU"/>
              </w:rPr>
            </w:pPr>
            <w:r w:rsidRPr="005309F5">
              <w:rPr>
                <w:rFonts w:ascii="Arial" w:hAnsi="Arial" w:cs="Arial"/>
                <w:sz w:val="20"/>
                <w:szCs w:val="20"/>
                <w:lang w:eastAsia="en-AU"/>
              </w:rPr>
              <w:t>D</w:t>
            </w:r>
          </w:p>
        </w:tc>
        <w:tc>
          <w:tcPr>
            <w:tcW w:w="594" w:type="dxa"/>
          </w:tcPr>
          <w:p w14:paraId="7CB33EF4"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94" w:type="dxa"/>
          </w:tcPr>
          <w:p w14:paraId="03830B4F" w14:textId="77777777" w:rsidR="00F24D53" w:rsidRPr="005309F5" w:rsidRDefault="00F24D53" w:rsidP="005309F5">
            <w:pPr>
              <w:rPr>
                <w:rFonts w:ascii="Arial" w:hAnsi="Arial" w:cs="Arial"/>
                <w:color w:val="000000"/>
                <w:sz w:val="20"/>
                <w:szCs w:val="20"/>
                <w:lang w:eastAsia="en-AU"/>
              </w:rPr>
            </w:pPr>
          </w:p>
        </w:tc>
        <w:tc>
          <w:tcPr>
            <w:tcW w:w="594" w:type="dxa"/>
          </w:tcPr>
          <w:p w14:paraId="55558221" w14:textId="77777777" w:rsidR="00F24D53" w:rsidRPr="005309F5" w:rsidRDefault="00F24D53" w:rsidP="005309F5">
            <w:pPr>
              <w:rPr>
                <w:rFonts w:ascii="Arial" w:hAnsi="Arial" w:cs="Arial"/>
                <w:color w:val="000000"/>
                <w:sz w:val="20"/>
                <w:szCs w:val="20"/>
                <w:lang w:eastAsia="en-AU"/>
              </w:rPr>
            </w:pPr>
          </w:p>
        </w:tc>
        <w:tc>
          <w:tcPr>
            <w:tcW w:w="584" w:type="dxa"/>
          </w:tcPr>
          <w:p w14:paraId="4C6E212D" w14:textId="77777777" w:rsidR="00F24D53" w:rsidRPr="005309F5" w:rsidRDefault="00F24D53" w:rsidP="005309F5">
            <w:pPr>
              <w:rPr>
                <w:rFonts w:ascii="Arial" w:hAnsi="Arial" w:cs="Arial"/>
                <w:color w:val="000000"/>
                <w:sz w:val="20"/>
                <w:szCs w:val="20"/>
                <w:lang w:eastAsia="en-AU"/>
              </w:rPr>
            </w:pPr>
          </w:p>
        </w:tc>
        <w:tc>
          <w:tcPr>
            <w:tcW w:w="547" w:type="dxa"/>
          </w:tcPr>
          <w:p w14:paraId="37FB987C" w14:textId="77777777" w:rsidR="00F24D53" w:rsidRPr="005309F5" w:rsidRDefault="00F24D53" w:rsidP="005309F5">
            <w:pPr>
              <w:rPr>
                <w:rFonts w:ascii="Arial" w:hAnsi="Arial" w:cs="Arial"/>
                <w:color w:val="000000"/>
                <w:sz w:val="20"/>
                <w:szCs w:val="20"/>
                <w:lang w:eastAsia="en-AU"/>
              </w:rPr>
            </w:pPr>
          </w:p>
        </w:tc>
        <w:tc>
          <w:tcPr>
            <w:tcW w:w="584" w:type="dxa"/>
          </w:tcPr>
          <w:p w14:paraId="4A159E6B" w14:textId="77777777" w:rsidR="00F24D53" w:rsidRPr="005309F5" w:rsidRDefault="00F24D53" w:rsidP="005309F5">
            <w:pPr>
              <w:rPr>
                <w:rFonts w:ascii="Arial" w:hAnsi="Arial" w:cs="Arial"/>
                <w:color w:val="000000"/>
                <w:sz w:val="20"/>
                <w:szCs w:val="20"/>
                <w:lang w:eastAsia="en-AU"/>
              </w:rPr>
            </w:pPr>
          </w:p>
        </w:tc>
        <w:tc>
          <w:tcPr>
            <w:tcW w:w="547" w:type="dxa"/>
          </w:tcPr>
          <w:p w14:paraId="3A6B52C0" w14:textId="77777777" w:rsidR="00F24D53" w:rsidRPr="005309F5" w:rsidRDefault="00F24D53" w:rsidP="005309F5">
            <w:pPr>
              <w:rPr>
                <w:rFonts w:ascii="Arial" w:hAnsi="Arial" w:cs="Arial"/>
                <w:color w:val="000000"/>
                <w:sz w:val="20"/>
                <w:szCs w:val="20"/>
                <w:lang w:eastAsia="en-AU"/>
              </w:rPr>
            </w:pPr>
          </w:p>
        </w:tc>
        <w:tc>
          <w:tcPr>
            <w:tcW w:w="594" w:type="dxa"/>
          </w:tcPr>
          <w:p w14:paraId="42526E76" w14:textId="77777777" w:rsidR="00F24D53" w:rsidRPr="005309F5" w:rsidRDefault="00F24D53" w:rsidP="005309F5">
            <w:pPr>
              <w:rPr>
                <w:rFonts w:ascii="Arial" w:hAnsi="Arial" w:cs="Arial"/>
                <w:color w:val="000000"/>
                <w:sz w:val="20"/>
                <w:szCs w:val="20"/>
                <w:lang w:eastAsia="en-AU"/>
              </w:rPr>
            </w:pPr>
          </w:p>
        </w:tc>
        <w:tc>
          <w:tcPr>
            <w:tcW w:w="594" w:type="dxa"/>
          </w:tcPr>
          <w:p w14:paraId="6F646F1E" w14:textId="77777777" w:rsidR="00F24D53" w:rsidRPr="005309F5" w:rsidRDefault="00F24D53" w:rsidP="005309F5">
            <w:pPr>
              <w:rPr>
                <w:rFonts w:ascii="Arial" w:hAnsi="Arial" w:cs="Arial"/>
                <w:color w:val="000000"/>
                <w:sz w:val="20"/>
                <w:szCs w:val="20"/>
                <w:lang w:eastAsia="en-AU"/>
              </w:rPr>
            </w:pPr>
          </w:p>
        </w:tc>
        <w:tc>
          <w:tcPr>
            <w:tcW w:w="547" w:type="dxa"/>
          </w:tcPr>
          <w:p w14:paraId="7B07D252" w14:textId="77777777" w:rsidR="00F24D53" w:rsidRPr="005309F5" w:rsidRDefault="00F24D53" w:rsidP="005309F5">
            <w:pPr>
              <w:rPr>
                <w:rFonts w:ascii="Arial" w:hAnsi="Arial" w:cs="Arial"/>
                <w:color w:val="000000"/>
                <w:sz w:val="20"/>
                <w:szCs w:val="20"/>
                <w:lang w:eastAsia="en-AU"/>
              </w:rPr>
            </w:pPr>
          </w:p>
        </w:tc>
        <w:tc>
          <w:tcPr>
            <w:tcW w:w="594" w:type="dxa"/>
          </w:tcPr>
          <w:p w14:paraId="761CA0E0" w14:textId="77777777" w:rsidR="00F24D53" w:rsidRPr="005309F5" w:rsidRDefault="00F24D53" w:rsidP="005309F5">
            <w:pPr>
              <w:rPr>
                <w:rFonts w:ascii="Arial" w:hAnsi="Arial" w:cs="Arial"/>
                <w:color w:val="000000"/>
                <w:sz w:val="20"/>
                <w:szCs w:val="20"/>
                <w:lang w:eastAsia="en-AU"/>
              </w:rPr>
            </w:pPr>
          </w:p>
        </w:tc>
      </w:tr>
      <w:tr w:rsidR="00F24D53" w:rsidRPr="005309F5" w14:paraId="70A0A3B7" w14:textId="77777777" w:rsidTr="005309F5">
        <w:trPr>
          <w:gridAfter w:val="1"/>
          <w:wAfter w:w="11" w:type="dxa"/>
        </w:trPr>
        <w:tc>
          <w:tcPr>
            <w:tcW w:w="3415" w:type="dxa"/>
            <w:vAlign w:val="bottom"/>
          </w:tcPr>
          <w:p w14:paraId="235B4A72"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112-Vic State Gov-</w:t>
            </w:r>
            <w:proofErr w:type="gramStart"/>
            <w:r w:rsidRPr="005309F5">
              <w:rPr>
                <w:rFonts w:ascii="Arial" w:hAnsi="Arial" w:cs="Arial"/>
                <w:color w:val="000000"/>
                <w:sz w:val="20"/>
                <w:szCs w:val="20"/>
              </w:rPr>
              <w:t>8 hour</w:t>
            </w:r>
            <w:proofErr w:type="gramEnd"/>
            <w:r w:rsidRPr="005309F5">
              <w:rPr>
                <w:rFonts w:ascii="Arial" w:hAnsi="Arial" w:cs="Arial"/>
                <w:color w:val="000000"/>
                <w:sz w:val="20"/>
                <w:szCs w:val="20"/>
              </w:rPr>
              <w:t xml:space="preserve"> individual offender </w:t>
            </w:r>
          </w:p>
        </w:tc>
        <w:tc>
          <w:tcPr>
            <w:tcW w:w="594" w:type="dxa"/>
          </w:tcPr>
          <w:p w14:paraId="0043BC34" w14:textId="77777777" w:rsidR="00F24D53" w:rsidRPr="005309F5" w:rsidRDefault="00F24D53" w:rsidP="005309F5">
            <w:pPr>
              <w:rPr>
                <w:rFonts w:ascii="Arial" w:hAnsi="Arial" w:cs="Arial"/>
                <w:color w:val="000000"/>
                <w:sz w:val="20"/>
                <w:szCs w:val="20"/>
                <w:lang w:eastAsia="en-AU"/>
              </w:rPr>
            </w:pPr>
          </w:p>
        </w:tc>
        <w:tc>
          <w:tcPr>
            <w:tcW w:w="594" w:type="dxa"/>
          </w:tcPr>
          <w:p w14:paraId="4197C0A0" w14:textId="77777777" w:rsidR="00F24D53" w:rsidRPr="005309F5" w:rsidRDefault="00F24D53" w:rsidP="005309F5">
            <w:pPr>
              <w:rPr>
                <w:rFonts w:ascii="Arial" w:hAnsi="Arial" w:cs="Arial"/>
                <w:color w:val="000000"/>
                <w:sz w:val="20"/>
                <w:szCs w:val="20"/>
                <w:lang w:eastAsia="en-AU"/>
              </w:rPr>
            </w:pPr>
          </w:p>
        </w:tc>
        <w:tc>
          <w:tcPr>
            <w:tcW w:w="594" w:type="dxa"/>
          </w:tcPr>
          <w:p w14:paraId="75C59AA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6" w:type="dxa"/>
          </w:tcPr>
          <w:p w14:paraId="38CA1F48" w14:textId="77777777" w:rsidR="00F24D53" w:rsidRPr="005309F5" w:rsidRDefault="00F24D53" w:rsidP="005309F5">
            <w:pPr>
              <w:rPr>
                <w:rFonts w:ascii="Arial" w:hAnsi="Arial" w:cs="Arial"/>
                <w:color w:val="000000"/>
                <w:sz w:val="20"/>
                <w:szCs w:val="20"/>
                <w:lang w:eastAsia="en-AU"/>
              </w:rPr>
            </w:pPr>
          </w:p>
        </w:tc>
        <w:tc>
          <w:tcPr>
            <w:tcW w:w="594" w:type="dxa"/>
          </w:tcPr>
          <w:p w14:paraId="3D1ECC52" w14:textId="77777777" w:rsidR="00F24D53" w:rsidRPr="005309F5" w:rsidRDefault="00F24D53" w:rsidP="005309F5">
            <w:pPr>
              <w:rPr>
                <w:rFonts w:ascii="Arial" w:hAnsi="Arial" w:cs="Arial"/>
                <w:color w:val="000000"/>
                <w:sz w:val="20"/>
                <w:szCs w:val="20"/>
                <w:lang w:eastAsia="en-AU"/>
              </w:rPr>
            </w:pPr>
          </w:p>
        </w:tc>
        <w:tc>
          <w:tcPr>
            <w:tcW w:w="594" w:type="dxa"/>
          </w:tcPr>
          <w:p w14:paraId="61914459" w14:textId="77777777" w:rsidR="00F24D53" w:rsidRPr="005309F5" w:rsidRDefault="00F24D53" w:rsidP="005309F5">
            <w:pPr>
              <w:rPr>
                <w:rFonts w:ascii="Arial" w:hAnsi="Arial" w:cs="Arial"/>
                <w:color w:val="000000"/>
                <w:sz w:val="20"/>
                <w:szCs w:val="20"/>
                <w:lang w:eastAsia="en-AU"/>
              </w:rPr>
            </w:pPr>
          </w:p>
        </w:tc>
        <w:tc>
          <w:tcPr>
            <w:tcW w:w="583" w:type="dxa"/>
          </w:tcPr>
          <w:p w14:paraId="1CF7ED04" w14:textId="77777777" w:rsidR="00F24D53" w:rsidRPr="005309F5" w:rsidRDefault="00F24D53" w:rsidP="005309F5">
            <w:pPr>
              <w:rPr>
                <w:rFonts w:ascii="Arial" w:hAnsi="Arial" w:cs="Arial"/>
                <w:color w:val="000000"/>
                <w:sz w:val="20"/>
                <w:szCs w:val="20"/>
                <w:lang w:eastAsia="en-AU"/>
              </w:rPr>
            </w:pPr>
          </w:p>
        </w:tc>
        <w:tc>
          <w:tcPr>
            <w:tcW w:w="595" w:type="dxa"/>
          </w:tcPr>
          <w:p w14:paraId="6E4C6E65" w14:textId="77777777" w:rsidR="00F24D53" w:rsidRPr="005309F5" w:rsidRDefault="00F24D53" w:rsidP="005309F5">
            <w:pPr>
              <w:rPr>
                <w:rFonts w:ascii="Arial" w:hAnsi="Arial" w:cs="Arial"/>
                <w:sz w:val="20"/>
                <w:szCs w:val="20"/>
                <w:lang w:eastAsia="en-AU"/>
              </w:rPr>
            </w:pPr>
          </w:p>
        </w:tc>
        <w:tc>
          <w:tcPr>
            <w:tcW w:w="594" w:type="dxa"/>
          </w:tcPr>
          <w:p w14:paraId="0533FE86" w14:textId="77777777" w:rsidR="00F24D53" w:rsidRPr="005309F5" w:rsidRDefault="00F24D53" w:rsidP="005309F5">
            <w:pPr>
              <w:rPr>
                <w:rFonts w:ascii="Arial" w:hAnsi="Arial" w:cs="Arial"/>
                <w:color w:val="000000"/>
                <w:sz w:val="20"/>
                <w:szCs w:val="20"/>
                <w:lang w:eastAsia="en-AU"/>
              </w:rPr>
            </w:pPr>
          </w:p>
        </w:tc>
        <w:tc>
          <w:tcPr>
            <w:tcW w:w="594" w:type="dxa"/>
          </w:tcPr>
          <w:p w14:paraId="36B80876" w14:textId="77777777" w:rsidR="00F24D53" w:rsidRPr="005309F5" w:rsidRDefault="00F24D53" w:rsidP="005309F5">
            <w:pPr>
              <w:rPr>
                <w:rFonts w:ascii="Arial" w:hAnsi="Arial" w:cs="Arial"/>
                <w:color w:val="000000"/>
                <w:sz w:val="20"/>
                <w:szCs w:val="20"/>
                <w:lang w:eastAsia="en-AU"/>
              </w:rPr>
            </w:pPr>
          </w:p>
        </w:tc>
        <w:tc>
          <w:tcPr>
            <w:tcW w:w="594" w:type="dxa"/>
          </w:tcPr>
          <w:p w14:paraId="4D297008" w14:textId="77777777" w:rsidR="00F24D53" w:rsidRPr="005309F5" w:rsidRDefault="00F24D53" w:rsidP="005309F5">
            <w:pPr>
              <w:rPr>
                <w:rFonts w:ascii="Arial" w:hAnsi="Arial" w:cs="Arial"/>
                <w:color w:val="000000"/>
                <w:sz w:val="20"/>
                <w:szCs w:val="20"/>
                <w:lang w:eastAsia="en-AU"/>
              </w:rPr>
            </w:pPr>
          </w:p>
        </w:tc>
        <w:tc>
          <w:tcPr>
            <w:tcW w:w="584" w:type="dxa"/>
          </w:tcPr>
          <w:p w14:paraId="49BBC297" w14:textId="77777777" w:rsidR="00F24D53" w:rsidRPr="005309F5" w:rsidRDefault="00F24D53" w:rsidP="005309F5">
            <w:pPr>
              <w:rPr>
                <w:rFonts w:ascii="Arial" w:hAnsi="Arial" w:cs="Arial"/>
                <w:color w:val="000000"/>
                <w:sz w:val="20"/>
                <w:szCs w:val="20"/>
                <w:lang w:eastAsia="en-AU"/>
              </w:rPr>
            </w:pPr>
          </w:p>
        </w:tc>
        <w:tc>
          <w:tcPr>
            <w:tcW w:w="547" w:type="dxa"/>
          </w:tcPr>
          <w:p w14:paraId="4324F2F9" w14:textId="77777777" w:rsidR="00F24D53" w:rsidRPr="005309F5" w:rsidRDefault="00F24D53" w:rsidP="005309F5">
            <w:pPr>
              <w:rPr>
                <w:rFonts w:ascii="Arial" w:hAnsi="Arial" w:cs="Arial"/>
                <w:color w:val="000000"/>
                <w:sz w:val="20"/>
                <w:szCs w:val="20"/>
                <w:lang w:eastAsia="en-AU"/>
              </w:rPr>
            </w:pPr>
          </w:p>
        </w:tc>
        <w:tc>
          <w:tcPr>
            <w:tcW w:w="584" w:type="dxa"/>
          </w:tcPr>
          <w:p w14:paraId="7B8A054F" w14:textId="77777777" w:rsidR="00F24D53" w:rsidRPr="005309F5" w:rsidRDefault="00F24D53" w:rsidP="005309F5">
            <w:pPr>
              <w:rPr>
                <w:rFonts w:ascii="Arial" w:hAnsi="Arial" w:cs="Arial"/>
                <w:color w:val="000000"/>
                <w:sz w:val="20"/>
                <w:szCs w:val="20"/>
                <w:lang w:eastAsia="en-AU"/>
              </w:rPr>
            </w:pPr>
          </w:p>
        </w:tc>
        <w:tc>
          <w:tcPr>
            <w:tcW w:w="547" w:type="dxa"/>
          </w:tcPr>
          <w:p w14:paraId="78FA9325" w14:textId="77777777" w:rsidR="00F24D53" w:rsidRPr="005309F5" w:rsidRDefault="00F24D53" w:rsidP="005309F5">
            <w:pPr>
              <w:rPr>
                <w:rFonts w:ascii="Arial" w:hAnsi="Arial" w:cs="Arial"/>
                <w:color w:val="000000"/>
                <w:sz w:val="20"/>
                <w:szCs w:val="20"/>
                <w:lang w:eastAsia="en-AU"/>
              </w:rPr>
            </w:pPr>
          </w:p>
        </w:tc>
        <w:tc>
          <w:tcPr>
            <w:tcW w:w="594" w:type="dxa"/>
          </w:tcPr>
          <w:p w14:paraId="3FEBDE90" w14:textId="77777777" w:rsidR="00F24D53" w:rsidRPr="005309F5" w:rsidRDefault="00F24D53" w:rsidP="005309F5">
            <w:pPr>
              <w:rPr>
                <w:rFonts w:ascii="Arial" w:hAnsi="Arial" w:cs="Arial"/>
                <w:color w:val="000000"/>
                <w:sz w:val="20"/>
                <w:szCs w:val="20"/>
                <w:lang w:eastAsia="en-AU"/>
              </w:rPr>
            </w:pPr>
          </w:p>
        </w:tc>
        <w:tc>
          <w:tcPr>
            <w:tcW w:w="594" w:type="dxa"/>
          </w:tcPr>
          <w:p w14:paraId="56C61859" w14:textId="77777777" w:rsidR="00F24D53" w:rsidRPr="005309F5" w:rsidRDefault="00F24D53" w:rsidP="005309F5">
            <w:pPr>
              <w:rPr>
                <w:rFonts w:ascii="Arial" w:hAnsi="Arial" w:cs="Arial"/>
                <w:color w:val="000000"/>
                <w:sz w:val="20"/>
                <w:szCs w:val="20"/>
                <w:lang w:eastAsia="en-AU"/>
              </w:rPr>
            </w:pPr>
          </w:p>
        </w:tc>
        <w:tc>
          <w:tcPr>
            <w:tcW w:w="547" w:type="dxa"/>
          </w:tcPr>
          <w:p w14:paraId="08A0E69A" w14:textId="77777777" w:rsidR="00F24D53" w:rsidRPr="005309F5" w:rsidRDefault="00F24D53" w:rsidP="005309F5">
            <w:pPr>
              <w:rPr>
                <w:rFonts w:ascii="Arial" w:hAnsi="Arial" w:cs="Arial"/>
                <w:color w:val="000000"/>
                <w:sz w:val="20"/>
                <w:szCs w:val="20"/>
                <w:lang w:eastAsia="en-AU"/>
              </w:rPr>
            </w:pPr>
          </w:p>
        </w:tc>
        <w:tc>
          <w:tcPr>
            <w:tcW w:w="594" w:type="dxa"/>
          </w:tcPr>
          <w:p w14:paraId="1FBB5460" w14:textId="77777777" w:rsidR="00F24D53" w:rsidRPr="005309F5" w:rsidRDefault="00F24D53" w:rsidP="005309F5">
            <w:pPr>
              <w:rPr>
                <w:rFonts w:ascii="Arial" w:hAnsi="Arial" w:cs="Arial"/>
                <w:color w:val="000000"/>
                <w:sz w:val="20"/>
                <w:szCs w:val="20"/>
                <w:lang w:eastAsia="en-AU"/>
              </w:rPr>
            </w:pPr>
          </w:p>
        </w:tc>
      </w:tr>
      <w:tr w:rsidR="00F24D53" w:rsidRPr="005309F5" w14:paraId="5AFC86AE" w14:textId="77777777" w:rsidTr="005309F5">
        <w:trPr>
          <w:gridAfter w:val="1"/>
          <w:wAfter w:w="11" w:type="dxa"/>
        </w:trPr>
        <w:tc>
          <w:tcPr>
            <w:tcW w:w="3415" w:type="dxa"/>
            <w:vAlign w:val="bottom"/>
          </w:tcPr>
          <w:p w14:paraId="5DB59033"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 xml:space="preserve">113-Vic State Gov </w:t>
            </w:r>
            <w:proofErr w:type="gramStart"/>
            <w:r w:rsidRPr="005309F5">
              <w:rPr>
                <w:rFonts w:ascii="Arial" w:hAnsi="Arial" w:cs="Arial"/>
                <w:color w:val="000000"/>
                <w:sz w:val="20"/>
                <w:szCs w:val="20"/>
              </w:rPr>
              <w:t>-15 hour</w:t>
            </w:r>
            <w:proofErr w:type="gramEnd"/>
            <w:r w:rsidRPr="005309F5">
              <w:rPr>
                <w:rFonts w:ascii="Arial" w:hAnsi="Arial" w:cs="Arial"/>
                <w:color w:val="000000"/>
                <w:sz w:val="20"/>
                <w:szCs w:val="20"/>
              </w:rPr>
              <w:t xml:space="preserve"> individual offender </w:t>
            </w:r>
          </w:p>
        </w:tc>
        <w:tc>
          <w:tcPr>
            <w:tcW w:w="594" w:type="dxa"/>
          </w:tcPr>
          <w:p w14:paraId="1969E3F3" w14:textId="77777777" w:rsidR="00F24D53" w:rsidRPr="005309F5" w:rsidRDefault="00F24D53" w:rsidP="005309F5">
            <w:pPr>
              <w:rPr>
                <w:rFonts w:ascii="Arial" w:hAnsi="Arial" w:cs="Arial"/>
                <w:color w:val="000000"/>
                <w:sz w:val="20"/>
                <w:szCs w:val="20"/>
                <w:lang w:eastAsia="en-AU"/>
              </w:rPr>
            </w:pPr>
          </w:p>
        </w:tc>
        <w:tc>
          <w:tcPr>
            <w:tcW w:w="594" w:type="dxa"/>
          </w:tcPr>
          <w:p w14:paraId="0E5A9894" w14:textId="77777777" w:rsidR="00F24D53" w:rsidRPr="005309F5" w:rsidRDefault="00F24D53" w:rsidP="005309F5">
            <w:pPr>
              <w:rPr>
                <w:rFonts w:ascii="Arial" w:hAnsi="Arial" w:cs="Arial"/>
                <w:color w:val="000000"/>
                <w:sz w:val="20"/>
                <w:szCs w:val="20"/>
                <w:lang w:eastAsia="en-AU"/>
              </w:rPr>
            </w:pPr>
          </w:p>
        </w:tc>
        <w:tc>
          <w:tcPr>
            <w:tcW w:w="594" w:type="dxa"/>
          </w:tcPr>
          <w:p w14:paraId="449C1B3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6" w:type="dxa"/>
          </w:tcPr>
          <w:p w14:paraId="33CBEDD5" w14:textId="77777777" w:rsidR="00F24D53" w:rsidRPr="005309F5" w:rsidRDefault="00F24D53" w:rsidP="005309F5">
            <w:pPr>
              <w:rPr>
                <w:rFonts w:ascii="Arial" w:hAnsi="Arial" w:cs="Arial"/>
                <w:color w:val="000000"/>
                <w:sz w:val="20"/>
                <w:szCs w:val="20"/>
                <w:lang w:eastAsia="en-AU"/>
              </w:rPr>
            </w:pPr>
          </w:p>
        </w:tc>
        <w:tc>
          <w:tcPr>
            <w:tcW w:w="594" w:type="dxa"/>
          </w:tcPr>
          <w:p w14:paraId="316FE5B6" w14:textId="77777777" w:rsidR="00F24D53" w:rsidRPr="005309F5" w:rsidRDefault="00F24D53" w:rsidP="005309F5">
            <w:pPr>
              <w:rPr>
                <w:rFonts w:ascii="Arial" w:hAnsi="Arial" w:cs="Arial"/>
                <w:color w:val="000000"/>
                <w:sz w:val="20"/>
                <w:szCs w:val="20"/>
                <w:lang w:eastAsia="en-AU"/>
              </w:rPr>
            </w:pPr>
          </w:p>
        </w:tc>
        <w:tc>
          <w:tcPr>
            <w:tcW w:w="594" w:type="dxa"/>
          </w:tcPr>
          <w:p w14:paraId="2CCC4F16" w14:textId="77777777" w:rsidR="00F24D53" w:rsidRPr="005309F5" w:rsidRDefault="00F24D53" w:rsidP="005309F5">
            <w:pPr>
              <w:rPr>
                <w:rFonts w:ascii="Arial" w:hAnsi="Arial" w:cs="Arial"/>
                <w:color w:val="000000"/>
                <w:sz w:val="20"/>
                <w:szCs w:val="20"/>
                <w:lang w:eastAsia="en-AU"/>
              </w:rPr>
            </w:pPr>
          </w:p>
        </w:tc>
        <w:tc>
          <w:tcPr>
            <w:tcW w:w="583" w:type="dxa"/>
          </w:tcPr>
          <w:p w14:paraId="3502BBE9" w14:textId="77777777" w:rsidR="00F24D53" w:rsidRPr="005309F5" w:rsidRDefault="00F24D53" w:rsidP="005309F5">
            <w:pPr>
              <w:rPr>
                <w:rFonts w:ascii="Arial" w:hAnsi="Arial" w:cs="Arial"/>
                <w:color w:val="000000"/>
                <w:sz w:val="20"/>
                <w:szCs w:val="20"/>
                <w:lang w:eastAsia="en-AU"/>
              </w:rPr>
            </w:pPr>
          </w:p>
        </w:tc>
        <w:tc>
          <w:tcPr>
            <w:tcW w:w="595" w:type="dxa"/>
          </w:tcPr>
          <w:p w14:paraId="44EFA6F8" w14:textId="77777777" w:rsidR="00F24D53" w:rsidRPr="005309F5" w:rsidRDefault="00F24D53" w:rsidP="005309F5">
            <w:pPr>
              <w:rPr>
                <w:rFonts w:ascii="Arial" w:hAnsi="Arial" w:cs="Arial"/>
                <w:sz w:val="20"/>
                <w:szCs w:val="20"/>
                <w:lang w:eastAsia="en-AU"/>
              </w:rPr>
            </w:pPr>
          </w:p>
        </w:tc>
        <w:tc>
          <w:tcPr>
            <w:tcW w:w="594" w:type="dxa"/>
          </w:tcPr>
          <w:p w14:paraId="38E56351" w14:textId="77777777" w:rsidR="00F24D53" w:rsidRPr="005309F5" w:rsidRDefault="00F24D53" w:rsidP="005309F5">
            <w:pPr>
              <w:rPr>
                <w:rFonts w:ascii="Arial" w:hAnsi="Arial" w:cs="Arial"/>
                <w:color w:val="000000"/>
                <w:sz w:val="20"/>
                <w:szCs w:val="20"/>
                <w:lang w:eastAsia="en-AU"/>
              </w:rPr>
            </w:pPr>
          </w:p>
        </w:tc>
        <w:tc>
          <w:tcPr>
            <w:tcW w:w="594" w:type="dxa"/>
          </w:tcPr>
          <w:p w14:paraId="531FF17E" w14:textId="77777777" w:rsidR="00F24D53" w:rsidRPr="005309F5" w:rsidRDefault="00F24D53" w:rsidP="005309F5">
            <w:pPr>
              <w:rPr>
                <w:rFonts w:ascii="Arial" w:hAnsi="Arial" w:cs="Arial"/>
                <w:color w:val="000000"/>
                <w:sz w:val="20"/>
                <w:szCs w:val="20"/>
                <w:lang w:eastAsia="en-AU"/>
              </w:rPr>
            </w:pPr>
          </w:p>
        </w:tc>
        <w:tc>
          <w:tcPr>
            <w:tcW w:w="594" w:type="dxa"/>
          </w:tcPr>
          <w:p w14:paraId="0B804B2A" w14:textId="77777777" w:rsidR="00F24D53" w:rsidRPr="005309F5" w:rsidRDefault="00F24D53" w:rsidP="005309F5">
            <w:pPr>
              <w:rPr>
                <w:rFonts w:ascii="Arial" w:hAnsi="Arial" w:cs="Arial"/>
                <w:color w:val="000000"/>
                <w:sz w:val="20"/>
                <w:szCs w:val="20"/>
                <w:lang w:eastAsia="en-AU"/>
              </w:rPr>
            </w:pPr>
          </w:p>
        </w:tc>
        <w:tc>
          <w:tcPr>
            <w:tcW w:w="584" w:type="dxa"/>
          </w:tcPr>
          <w:p w14:paraId="53D03C4F" w14:textId="77777777" w:rsidR="00F24D53" w:rsidRPr="005309F5" w:rsidRDefault="00F24D53" w:rsidP="005309F5">
            <w:pPr>
              <w:rPr>
                <w:rFonts w:ascii="Arial" w:hAnsi="Arial" w:cs="Arial"/>
                <w:color w:val="000000"/>
                <w:sz w:val="20"/>
                <w:szCs w:val="20"/>
                <w:lang w:eastAsia="en-AU"/>
              </w:rPr>
            </w:pPr>
          </w:p>
        </w:tc>
        <w:tc>
          <w:tcPr>
            <w:tcW w:w="547" w:type="dxa"/>
          </w:tcPr>
          <w:p w14:paraId="76A6896C" w14:textId="77777777" w:rsidR="00F24D53" w:rsidRPr="005309F5" w:rsidRDefault="00F24D53" w:rsidP="005309F5">
            <w:pPr>
              <w:rPr>
                <w:rFonts w:ascii="Arial" w:hAnsi="Arial" w:cs="Arial"/>
                <w:color w:val="000000"/>
                <w:sz w:val="20"/>
                <w:szCs w:val="20"/>
                <w:lang w:eastAsia="en-AU"/>
              </w:rPr>
            </w:pPr>
          </w:p>
        </w:tc>
        <w:tc>
          <w:tcPr>
            <w:tcW w:w="584" w:type="dxa"/>
          </w:tcPr>
          <w:p w14:paraId="6DF2F58F" w14:textId="77777777" w:rsidR="00F24D53" w:rsidRPr="005309F5" w:rsidRDefault="00F24D53" w:rsidP="005309F5">
            <w:pPr>
              <w:rPr>
                <w:rFonts w:ascii="Arial" w:hAnsi="Arial" w:cs="Arial"/>
                <w:color w:val="000000"/>
                <w:sz w:val="20"/>
                <w:szCs w:val="20"/>
                <w:lang w:eastAsia="en-AU"/>
              </w:rPr>
            </w:pPr>
          </w:p>
        </w:tc>
        <w:tc>
          <w:tcPr>
            <w:tcW w:w="547" w:type="dxa"/>
          </w:tcPr>
          <w:p w14:paraId="1CC35C92" w14:textId="77777777" w:rsidR="00F24D53" w:rsidRPr="005309F5" w:rsidRDefault="00F24D53" w:rsidP="005309F5">
            <w:pPr>
              <w:rPr>
                <w:rFonts w:ascii="Arial" w:hAnsi="Arial" w:cs="Arial"/>
                <w:color w:val="000000"/>
                <w:sz w:val="20"/>
                <w:szCs w:val="20"/>
                <w:lang w:eastAsia="en-AU"/>
              </w:rPr>
            </w:pPr>
          </w:p>
        </w:tc>
        <w:tc>
          <w:tcPr>
            <w:tcW w:w="594" w:type="dxa"/>
          </w:tcPr>
          <w:p w14:paraId="0DC31CFE" w14:textId="77777777" w:rsidR="00F24D53" w:rsidRPr="005309F5" w:rsidRDefault="00F24D53" w:rsidP="005309F5">
            <w:pPr>
              <w:rPr>
                <w:rFonts w:ascii="Arial" w:hAnsi="Arial" w:cs="Arial"/>
                <w:color w:val="000000"/>
                <w:sz w:val="20"/>
                <w:szCs w:val="20"/>
                <w:lang w:eastAsia="en-AU"/>
              </w:rPr>
            </w:pPr>
          </w:p>
        </w:tc>
        <w:tc>
          <w:tcPr>
            <w:tcW w:w="594" w:type="dxa"/>
          </w:tcPr>
          <w:p w14:paraId="113BE87C" w14:textId="77777777" w:rsidR="00F24D53" w:rsidRPr="005309F5" w:rsidRDefault="00F24D53" w:rsidP="005309F5">
            <w:pPr>
              <w:rPr>
                <w:rFonts w:ascii="Arial" w:hAnsi="Arial" w:cs="Arial"/>
                <w:color w:val="000000"/>
                <w:sz w:val="20"/>
                <w:szCs w:val="20"/>
                <w:lang w:eastAsia="en-AU"/>
              </w:rPr>
            </w:pPr>
          </w:p>
        </w:tc>
        <w:tc>
          <w:tcPr>
            <w:tcW w:w="547" w:type="dxa"/>
          </w:tcPr>
          <w:p w14:paraId="425296F7" w14:textId="77777777" w:rsidR="00F24D53" w:rsidRPr="005309F5" w:rsidRDefault="00F24D53" w:rsidP="005309F5">
            <w:pPr>
              <w:rPr>
                <w:rFonts w:ascii="Arial" w:hAnsi="Arial" w:cs="Arial"/>
                <w:color w:val="000000"/>
                <w:sz w:val="20"/>
                <w:szCs w:val="20"/>
                <w:lang w:eastAsia="en-AU"/>
              </w:rPr>
            </w:pPr>
          </w:p>
        </w:tc>
        <w:tc>
          <w:tcPr>
            <w:tcW w:w="594" w:type="dxa"/>
          </w:tcPr>
          <w:p w14:paraId="75766B3A" w14:textId="77777777" w:rsidR="00F24D53" w:rsidRPr="005309F5" w:rsidRDefault="00F24D53" w:rsidP="005309F5">
            <w:pPr>
              <w:rPr>
                <w:rFonts w:ascii="Arial" w:hAnsi="Arial" w:cs="Arial"/>
                <w:color w:val="000000"/>
                <w:sz w:val="20"/>
                <w:szCs w:val="20"/>
                <w:lang w:eastAsia="en-AU"/>
              </w:rPr>
            </w:pPr>
          </w:p>
        </w:tc>
      </w:tr>
      <w:tr w:rsidR="00F24D53" w:rsidRPr="005309F5" w14:paraId="29780D74" w14:textId="77777777" w:rsidTr="005309F5">
        <w:trPr>
          <w:gridAfter w:val="1"/>
          <w:wAfter w:w="11" w:type="dxa"/>
        </w:trPr>
        <w:tc>
          <w:tcPr>
            <w:tcW w:w="3415" w:type="dxa"/>
            <w:vAlign w:val="bottom"/>
          </w:tcPr>
          <w:p w14:paraId="24C7AFBB"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 xml:space="preserve">114-Vic State Gov </w:t>
            </w:r>
            <w:proofErr w:type="gramStart"/>
            <w:r w:rsidRPr="005309F5">
              <w:rPr>
                <w:rFonts w:ascii="Arial" w:hAnsi="Arial" w:cs="Arial"/>
                <w:color w:val="000000"/>
                <w:sz w:val="20"/>
                <w:szCs w:val="20"/>
              </w:rPr>
              <w:t>-24 hour</w:t>
            </w:r>
            <w:proofErr w:type="gramEnd"/>
            <w:r w:rsidRPr="005309F5">
              <w:rPr>
                <w:rFonts w:ascii="Arial" w:hAnsi="Arial" w:cs="Arial"/>
                <w:color w:val="000000"/>
                <w:sz w:val="20"/>
                <w:szCs w:val="20"/>
              </w:rPr>
              <w:t xml:space="preserve"> group offender </w:t>
            </w:r>
          </w:p>
        </w:tc>
        <w:tc>
          <w:tcPr>
            <w:tcW w:w="594" w:type="dxa"/>
          </w:tcPr>
          <w:p w14:paraId="1BAD6FB4" w14:textId="77777777" w:rsidR="00F24D53" w:rsidRPr="005309F5" w:rsidRDefault="00F24D53" w:rsidP="005309F5">
            <w:pPr>
              <w:rPr>
                <w:rFonts w:ascii="Arial" w:hAnsi="Arial" w:cs="Arial"/>
                <w:color w:val="000000"/>
                <w:sz w:val="20"/>
                <w:szCs w:val="20"/>
                <w:lang w:eastAsia="en-AU"/>
              </w:rPr>
            </w:pPr>
          </w:p>
        </w:tc>
        <w:tc>
          <w:tcPr>
            <w:tcW w:w="594" w:type="dxa"/>
          </w:tcPr>
          <w:p w14:paraId="67A30CE7" w14:textId="77777777" w:rsidR="00F24D53" w:rsidRPr="005309F5" w:rsidRDefault="00F24D53" w:rsidP="005309F5">
            <w:pPr>
              <w:rPr>
                <w:rFonts w:ascii="Arial" w:hAnsi="Arial" w:cs="Arial"/>
                <w:color w:val="000000"/>
                <w:sz w:val="20"/>
                <w:szCs w:val="20"/>
                <w:lang w:eastAsia="en-AU"/>
              </w:rPr>
            </w:pPr>
          </w:p>
        </w:tc>
        <w:tc>
          <w:tcPr>
            <w:tcW w:w="594" w:type="dxa"/>
          </w:tcPr>
          <w:p w14:paraId="7532E2D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6" w:type="dxa"/>
          </w:tcPr>
          <w:p w14:paraId="3C345128" w14:textId="77777777" w:rsidR="00F24D53" w:rsidRPr="005309F5" w:rsidRDefault="00F24D53" w:rsidP="005309F5">
            <w:pPr>
              <w:rPr>
                <w:rFonts w:ascii="Arial" w:hAnsi="Arial" w:cs="Arial"/>
                <w:color w:val="000000"/>
                <w:sz w:val="20"/>
                <w:szCs w:val="20"/>
                <w:lang w:eastAsia="en-AU"/>
              </w:rPr>
            </w:pPr>
          </w:p>
        </w:tc>
        <w:tc>
          <w:tcPr>
            <w:tcW w:w="594" w:type="dxa"/>
          </w:tcPr>
          <w:p w14:paraId="3E1A2E4B" w14:textId="77777777" w:rsidR="00F24D53" w:rsidRPr="005309F5" w:rsidRDefault="00F24D53" w:rsidP="005309F5">
            <w:pPr>
              <w:rPr>
                <w:rFonts w:ascii="Arial" w:hAnsi="Arial" w:cs="Arial"/>
                <w:color w:val="000000"/>
                <w:sz w:val="20"/>
                <w:szCs w:val="20"/>
                <w:lang w:eastAsia="en-AU"/>
              </w:rPr>
            </w:pPr>
          </w:p>
        </w:tc>
        <w:tc>
          <w:tcPr>
            <w:tcW w:w="594" w:type="dxa"/>
          </w:tcPr>
          <w:p w14:paraId="0D6EC705" w14:textId="77777777" w:rsidR="00F24D53" w:rsidRPr="005309F5" w:rsidRDefault="00F24D53" w:rsidP="005309F5">
            <w:pPr>
              <w:rPr>
                <w:rFonts w:ascii="Arial" w:hAnsi="Arial" w:cs="Arial"/>
                <w:color w:val="000000"/>
                <w:sz w:val="20"/>
                <w:szCs w:val="20"/>
                <w:lang w:eastAsia="en-AU"/>
              </w:rPr>
            </w:pPr>
          </w:p>
        </w:tc>
        <w:tc>
          <w:tcPr>
            <w:tcW w:w="583" w:type="dxa"/>
          </w:tcPr>
          <w:p w14:paraId="6DD5C123" w14:textId="77777777" w:rsidR="00F24D53" w:rsidRPr="005309F5" w:rsidRDefault="00F24D53" w:rsidP="005309F5">
            <w:pPr>
              <w:rPr>
                <w:rFonts w:ascii="Arial" w:hAnsi="Arial" w:cs="Arial"/>
                <w:color w:val="000000"/>
                <w:sz w:val="20"/>
                <w:szCs w:val="20"/>
                <w:lang w:eastAsia="en-AU"/>
              </w:rPr>
            </w:pPr>
          </w:p>
        </w:tc>
        <w:tc>
          <w:tcPr>
            <w:tcW w:w="595" w:type="dxa"/>
          </w:tcPr>
          <w:p w14:paraId="3C5F5001" w14:textId="77777777" w:rsidR="00F24D53" w:rsidRPr="005309F5" w:rsidRDefault="00F24D53" w:rsidP="005309F5">
            <w:pPr>
              <w:rPr>
                <w:rFonts w:ascii="Arial" w:hAnsi="Arial" w:cs="Arial"/>
                <w:sz w:val="20"/>
                <w:szCs w:val="20"/>
                <w:lang w:eastAsia="en-AU"/>
              </w:rPr>
            </w:pPr>
          </w:p>
        </w:tc>
        <w:tc>
          <w:tcPr>
            <w:tcW w:w="594" w:type="dxa"/>
          </w:tcPr>
          <w:p w14:paraId="2F8D0C9B" w14:textId="77777777" w:rsidR="00F24D53" w:rsidRPr="005309F5" w:rsidRDefault="00F24D53" w:rsidP="005309F5">
            <w:pPr>
              <w:rPr>
                <w:rFonts w:ascii="Arial" w:hAnsi="Arial" w:cs="Arial"/>
                <w:color w:val="000000"/>
                <w:sz w:val="20"/>
                <w:szCs w:val="20"/>
                <w:lang w:eastAsia="en-AU"/>
              </w:rPr>
            </w:pPr>
          </w:p>
        </w:tc>
        <w:tc>
          <w:tcPr>
            <w:tcW w:w="594" w:type="dxa"/>
          </w:tcPr>
          <w:p w14:paraId="512972C5" w14:textId="77777777" w:rsidR="00F24D53" w:rsidRPr="005309F5" w:rsidRDefault="00F24D53" w:rsidP="005309F5">
            <w:pPr>
              <w:rPr>
                <w:rFonts w:ascii="Arial" w:hAnsi="Arial" w:cs="Arial"/>
                <w:color w:val="000000"/>
                <w:sz w:val="20"/>
                <w:szCs w:val="20"/>
                <w:lang w:eastAsia="en-AU"/>
              </w:rPr>
            </w:pPr>
          </w:p>
        </w:tc>
        <w:tc>
          <w:tcPr>
            <w:tcW w:w="594" w:type="dxa"/>
          </w:tcPr>
          <w:p w14:paraId="3E24CEF3" w14:textId="77777777" w:rsidR="00F24D53" w:rsidRPr="005309F5" w:rsidRDefault="00F24D53" w:rsidP="005309F5">
            <w:pPr>
              <w:rPr>
                <w:rFonts w:ascii="Arial" w:hAnsi="Arial" w:cs="Arial"/>
                <w:color w:val="000000"/>
                <w:sz w:val="20"/>
                <w:szCs w:val="20"/>
                <w:lang w:eastAsia="en-AU"/>
              </w:rPr>
            </w:pPr>
          </w:p>
        </w:tc>
        <w:tc>
          <w:tcPr>
            <w:tcW w:w="584" w:type="dxa"/>
          </w:tcPr>
          <w:p w14:paraId="252422E3" w14:textId="77777777" w:rsidR="00F24D53" w:rsidRPr="005309F5" w:rsidRDefault="00F24D53" w:rsidP="005309F5">
            <w:pPr>
              <w:rPr>
                <w:rFonts w:ascii="Arial" w:hAnsi="Arial" w:cs="Arial"/>
                <w:color w:val="000000"/>
                <w:sz w:val="20"/>
                <w:szCs w:val="20"/>
                <w:lang w:eastAsia="en-AU"/>
              </w:rPr>
            </w:pPr>
          </w:p>
        </w:tc>
        <w:tc>
          <w:tcPr>
            <w:tcW w:w="547" w:type="dxa"/>
          </w:tcPr>
          <w:p w14:paraId="765B1370" w14:textId="77777777" w:rsidR="00F24D53" w:rsidRPr="005309F5" w:rsidRDefault="00F24D53" w:rsidP="005309F5">
            <w:pPr>
              <w:rPr>
                <w:rFonts w:ascii="Arial" w:hAnsi="Arial" w:cs="Arial"/>
                <w:color w:val="000000"/>
                <w:sz w:val="20"/>
                <w:szCs w:val="20"/>
                <w:lang w:eastAsia="en-AU"/>
              </w:rPr>
            </w:pPr>
          </w:p>
        </w:tc>
        <w:tc>
          <w:tcPr>
            <w:tcW w:w="584" w:type="dxa"/>
          </w:tcPr>
          <w:p w14:paraId="1F0599A3" w14:textId="77777777" w:rsidR="00F24D53" w:rsidRPr="005309F5" w:rsidRDefault="00F24D53" w:rsidP="005309F5">
            <w:pPr>
              <w:rPr>
                <w:rFonts w:ascii="Arial" w:hAnsi="Arial" w:cs="Arial"/>
                <w:color w:val="000000"/>
                <w:sz w:val="20"/>
                <w:szCs w:val="20"/>
                <w:lang w:eastAsia="en-AU"/>
              </w:rPr>
            </w:pPr>
          </w:p>
        </w:tc>
        <w:tc>
          <w:tcPr>
            <w:tcW w:w="547" w:type="dxa"/>
          </w:tcPr>
          <w:p w14:paraId="34E3D610" w14:textId="77777777" w:rsidR="00F24D53" w:rsidRPr="005309F5" w:rsidRDefault="00F24D53" w:rsidP="005309F5">
            <w:pPr>
              <w:rPr>
                <w:rFonts w:ascii="Arial" w:hAnsi="Arial" w:cs="Arial"/>
                <w:color w:val="000000"/>
                <w:sz w:val="20"/>
                <w:szCs w:val="20"/>
                <w:lang w:eastAsia="en-AU"/>
              </w:rPr>
            </w:pPr>
          </w:p>
        </w:tc>
        <w:tc>
          <w:tcPr>
            <w:tcW w:w="594" w:type="dxa"/>
          </w:tcPr>
          <w:p w14:paraId="2397E11B" w14:textId="77777777" w:rsidR="00F24D53" w:rsidRPr="005309F5" w:rsidRDefault="00F24D53" w:rsidP="005309F5">
            <w:pPr>
              <w:rPr>
                <w:rFonts w:ascii="Arial" w:hAnsi="Arial" w:cs="Arial"/>
                <w:color w:val="000000"/>
                <w:sz w:val="20"/>
                <w:szCs w:val="20"/>
                <w:lang w:eastAsia="en-AU"/>
              </w:rPr>
            </w:pPr>
          </w:p>
        </w:tc>
        <w:tc>
          <w:tcPr>
            <w:tcW w:w="594" w:type="dxa"/>
          </w:tcPr>
          <w:p w14:paraId="14A3929E" w14:textId="77777777" w:rsidR="00F24D53" w:rsidRPr="005309F5" w:rsidRDefault="00F24D53" w:rsidP="005309F5">
            <w:pPr>
              <w:rPr>
                <w:rFonts w:ascii="Arial" w:hAnsi="Arial" w:cs="Arial"/>
                <w:color w:val="000000"/>
                <w:sz w:val="20"/>
                <w:szCs w:val="20"/>
                <w:lang w:eastAsia="en-AU"/>
              </w:rPr>
            </w:pPr>
          </w:p>
        </w:tc>
        <w:tc>
          <w:tcPr>
            <w:tcW w:w="547" w:type="dxa"/>
          </w:tcPr>
          <w:p w14:paraId="623C67A7" w14:textId="77777777" w:rsidR="00F24D53" w:rsidRPr="005309F5" w:rsidRDefault="00F24D53" w:rsidP="005309F5">
            <w:pPr>
              <w:rPr>
                <w:rFonts w:ascii="Arial" w:hAnsi="Arial" w:cs="Arial"/>
                <w:color w:val="000000"/>
                <w:sz w:val="20"/>
                <w:szCs w:val="20"/>
                <w:lang w:eastAsia="en-AU"/>
              </w:rPr>
            </w:pPr>
          </w:p>
        </w:tc>
        <w:tc>
          <w:tcPr>
            <w:tcW w:w="594" w:type="dxa"/>
          </w:tcPr>
          <w:p w14:paraId="42614A9C" w14:textId="77777777" w:rsidR="00F24D53" w:rsidRPr="005309F5" w:rsidRDefault="00F24D53" w:rsidP="005309F5">
            <w:pPr>
              <w:rPr>
                <w:rFonts w:ascii="Arial" w:hAnsi="Arial" w:cs="Arial"/>
                <w:color w:val="000000"/>
                <w:sz w:val="20"/>
                <w:szCs w:val="20"/>
                <w:lang w:eastAsia="en-AU"/>
              </w:rPr>
            </w:pPr>
          </w:p>
        </w:tc>
      </w:tr>
      <w:tr w:rsidR="00F24D53" w:rsidRPr="005309F5" w14:paraId="321A957C" w14:textId="77777777" w:rsidTr="005309F5">
        <w:trPr>
          <w:gridAfter w:val="1"/>
          <w:wAfter w:w="11" w:type="dxa"/>
        </w:trPr>
        <w:tc>
          <w:tcPr>
            <w:tcW w:w="3415" w:type="dxa"/>
            <w:vAlign w:val="bottom"/>
          </w:tcPr>
          <w:p w14:paraId="7DA8D941"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 xml:space="preserve">115-Vic State Gov </w:t>
            </w:r>
            <w:proofErr w:type="gramStart"/>
            <w:r w:rsidRPr="005309F5">
              <w:rPr>
                <w:rFonts w:ascii="Arial" w:hAnsi="Arial" w:cs="Arial"/>
                <w:color w:val="000000"/>
                <w:sz w:val="20"/>
                <w:szCs w:val="20"/>
              </w:rPr>
              <w:t>-42 hour</w:t>
            </w:r>
            <w:proofErr w:type="gramEnd"/>
            <w:r w:rsidRPr="005309F5">
              <w:rPr>
                <w:rFonts w:ascii="Arial" w:hAnsi="Arial" w:cs="Arial"/>
                <w:color w:val="000000"/>
                <w:sz w:val="20"/>
                <w:szCs w:val="20"/>
              </w:rPr>
              <w:t xml:space="preserve"> group offender </w:t>
            </w:r>
          </w:p>
        </w:tc>
        <w:tc>
          <w:tcPr>
            <w:tcW w:w="594" w:type="dxa"/>
          </w:tcPr>
          <w:p w14:paraId="51A382B5" w14:textId="77777777" w:rsidR="00F24D53" w:rsidRPr="005309F5" w:rsidRDefault="00F24D53" w:rsidP="005309F5">
            <w:pPr>
              <w:rPr>
                <w:rFonts w:ascii="Arial" w:hAnsi="Arial" w:cs="Arial"/>
                <w:color w:val="000000"/>
                <w:sz w:val="20"/>
                <w:szCs w:val="20"/>
                <w:lang w:eastAsia="en-AU"/>
              </w:rPr>
            </w:pPr>
          </w:p>
        </w:tc>
        <w:tc>
          <w:tcPr>
            <w:tcW w:w="594" w:type="dxa"/>
          </w:tcPr>
          <w:p w14:paraId="08DA2968" w14:textId="77777777" w:rsidR="00F24D53" w:rsidRPr="005309F5" w:rsidRDefault="00F24D53" w:rsidP="005309F5">
            <w:pPr>
              <w:rPr>
                <w:rFonts w:ascii="Arial" w:hAnsi="Arial" w:cs="Arial"/>
                <w:color w:val="000000"/>
                <w:sz w:val="20"/>
                <w:szCs w:val="20"/>
                <w:lang w:eastAsia="en-AU"/>
              </w:rPr>
            </w:pPr>
          </w:p>
        </w:tc>
        <w:tc>
          <w:tcPr>
            <w:tcW w:w="594" w:type="dxa"/>
          </w:tcPr>
          <w:p w14:paraId="3473317B"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6" w:type="dxa"/>
          </w:tcPr>
          <w:p w14:paraId="423E0616" w14:textId="77777777" w:rsidR="00F24D53" w:rsidRPr="005309F5" w:rsidRDefault="00F24D53" w:rsidP="005309F5">
            <w:pPr>
              <w:rPr>
                <w:rFonts w:ascii="Arial" w:hAnsi="Arial" w:cs="Arial"/>
                <w:color w:val="000000"/>
                <w:sz w:val="20"/>
                <w:szCs w:val="20"/>
                <w:lang w:eastAsia="en-AU"/>
              </w:rPr>
            </w:pPr>
          </w:p>
        </w:tc>
        <w:tc>
          <w:tcPr>
            <w:tcW w:w="594" w:type="dxa"/>
          </w:tcPr>
          <w:p w14:paraId="607C61FE" w14:textId="77777777" w:rsidR="00F24D53" w:rsidRPr="005309F5" w:rsidRDefault="00F24D53" w:rsidP="005309F5">
            <w:pPr>
              <w:rPr>
                <w:rFonts w:ascii="Arial" w:hAnsi="Arial" w:cs="Arial"/>
                <w:color w:val="000000"/>
                <w:sz w:val="20"/>
                <w:szCs w:val="20"/>
                <w:lang w:eastAsia="en-AU"/>
              </w:rPr>
            </w:pPr>
          </w:p>
        </w:tc>
        <w:tc>
          <w:tcPr>
            <w:tcW w:w="594" w:type="dxa"/>
          </w:tcPr>
          <w:p w14:paraId="1EC82B9C" w14:textId="77777777" w:rsidR="00F24D53" w:rsidRPr="005309F5" w:rsidRDefault="00F24D53" w:rsidP="005309F5">
            <w:pPr>
              <w:rPr>
                <w:rFonts w:ascii="Arial" w:hAnsi="Arial" w:cs="Arial"/>
                <w:color w:val="000000"/>
                <w:sz w:val="20"/>
                <w:szCs w:val="20"/>
                <w:lang w:eastAsia="en-AU"/>
              </w:rPr>
            </w:pPr>
          </w:p>
        </w:tc>
        <w:tc>
          <w:tcPr>
            <w:tcW w:w="583" w:type="dxa"/>
          </w:tcPr>
          <w:p w14:paraId="003DCD74" w14:textId="77777777" w:rsidR="00F24D53" w:rsidRPr="005309F5" w:rsidRDefault="00F24D53" w:rsidP="005309F5">
            <w:pPr>
              <w:rPr>
                <w:rFonts w:ascii="Arial" w:hAnsi="Arial" w:cs="Arial"/>
                <w:color w:val="000000"/>
                <w:sz w:val="20"/>
                <w:szCs w:val="20"/>
                <w:lang w:eastAsia="en-AU"/>
              </w:rPr>
            </w:pPr>
          </w:p>
        </w:tc>
        <w:tc>
          <w:tcPr>
            <w:tcW w:w="595" w:type="dxa"/>
          </w:tcPr>
          <w:p w14:paraId="5DFF7D15" w14:textId="77777777" w:rsidR="00F24D53" w:rsidRPr="005309F5" w:rsidRDefault="00F24D53" w:rsidP="005309F5">
            <w:pPr>
              <w:rPr>
                <w:rFonts w:ascii="Arial" w:hAnsi="Arial" w:cs="Arial"/>
                <w:sz w:val="20"/>
                <w:szCs w:val="20"/>
                <w:lang w:eastAsia="en-AU"/>
              </w:rPr>
            </w:pPr>
          </w:p>
        </w:tc>
        <w:tc>
          <w:tcPr>
            <w:tcW w:w="594" w:type="dxa"/>
          </w:tcPr>
          <w:p w14:paraId="2D6E7356" w14:textId="77777777" w:rsidR="00F24D53" w:rsidRPr="005309F5" w:rsidRDefault="00F24D53" w:rsidP="005309F5">
            <w:pPr>
              <w:rPr>
                <w:rFonts w:ascii="Arial" w:hAnsi="Arial" w:cs="Arial"/>
                <w:color w:val="000000"/>
                <w:sz w:val="20"/>
                <w:szCs w:val="20"/>
                <w:lang w:eastAsia="en-AU"/>
              </w:rPr>
            </w:pPr>
          </w:p>
        </w:tc>
        <w:tc>
          <w:tcPr>
            <w:tcW w:w="594" w:type="dxa"/>
          </w:tcPr>
          <w:p w14:paraId="014B70E7" w14:textId="77777777" w:rsidR="00F24D53" w:rsidRPr="005309F5" w:rsidRDefault="00F24D53" w:rsidP="005309F5">
            <w:pPr>
              <w:rPr>
                <w:rFonts w:ascii="Arial" w:hAnsi="Arial" w:cs="Arial"/>
                <w:color w:val="000000"/>
                <w:sz w:val="20"/>
                <w:szCs w:val="20"/>
                <w:lang w:eastAsia="en-AU"/>
              </w:rPr>
            </w:pPr>
          </w:p>
        </w:tc>
        <w:tc>
          <w:tcPr>
            <w:tcW w:w="594" w:type="dxa"/>
          </w:tcPr>
          <w:p w14:paraId="46370C68" w14:textId="77777777" w:rsidR="00F24D53" w:rsidRPr="005309F5" w:rsidRDefault="00F24D53" w:rsidP="005309F5">
            <w:pPr>
              <w:rPr>
                <w:rFonts w:ascii="Arial" w:hAnsi="Arial" w:cs="Arial"/>
                <w:color w:val="000000"/>
                <w:sz w:val="20"/>
                <w:szCs w:val="20"/>
                <w:lang w:eastAsia="en-AU"/>
              </w:rPr>
            </w:pPr>
          </w:p>
        </w:tc>
        <w:tc>
          <w:tcPr>
            <w:tcW w:w="584" w:type="dxa"/>
          </w:tcPr>
          <w:p w14:paraId="48E3DE5A" w14:textId="77777777" w:rsidR="00F24D53" w:rsidRPr="005309F5" w:rsidRDefault="00F24D53" w:rsidP="005309F5">
            <w:pPr>
              <w:rPr>
                <w:rFonts w:ascii="Arial" w:hAnsi="Arial" w:cs="Arial"/>
                <w:color w:val="000000"/>
                <w:sz w:val="20"/>
                <w:szCs w:val="20"/>
                <w:lang w:eastAsia="en-AU"/>
              </w:rPr>
            </w:pPr>
          </w:p>
        </w:tc>
        <w:tc>
          <w:tcPr>
            <w:tcW w:w="547" w:type="dxa"/>
          </w:tcPr>
          <w:p w14:paraId="68D60F90" w14:textId="77777777" w:rsidR="00F24D53" w:rsidRPr="005309F5" w:rsidRDefault="00F24D53" w:rsidP="005309F5">
            <w:pPr>
              <w:rPr>
                <w:rFonts w:ascii="Arial" w:hAnsi="Arial" w:cs="Arial"/>
                <w:color w:val="000000"/>
                <w:sz w:val="20"/>
                <w:szCs w:val="20"/>
                <w:lang w:eastAsia="en-AU"/>
              </w:rPr>
            </w:pPr>
          </w:p>
        </w:tc>
        <w:tc>
          <w:tcPr>
            <w:tcW w:w="584" w:type="dxa"/>
          </w:tcPr>
          <w:p w14:paraId="77200497" w14:textId="77777777" w:rsidR="00F24D53" w:rsidRPr="005309F5" w:rsidRDefault="00F24D53" w:rsidP="005309F5">
            <w:pPr>
              <w:rPr>
                <w:rFonts w:ascii="Arial" w:hAnsi="Arial" w:cs="Arial"/>
                <w:color w:val="000000"/>
                <w:sz w:val="20"/>
                <w:szCs w:val="20"/>
                <w:lang w:eastAsia="en-AU"/>
              </w:rPr>
            </w:pPr>
          </w:p>
        </w:tc>
        <w:tc>
          <w:tcPr>
            <w:tcW w:w="547" w:type="dxa"/>
          </w:tcPr>
          <w:p w14:paraId="225D09AC" w14:textId="77777777" w:rsidR="00F24D53" w:rsidRPr="005309F5" w:rsidRDefault="00F24D53" w:rsidP="005309F5">
            <w:pPr>
              <w:rPr>
                <w:rFonts w:ascii="Arial" w:hAnsi="Arial" w:cs="Arial"/>
                <w:color w:val="000000"/>
                <w:sz w:val="20"/>
                <w:szCs w:val="20"/>
                <w:lang w:eastAsia="en-AU"/>
              </w:rPr>
            </w:pPr>
          </w:p>
        </w:tc>
        <w:tc>
          <w:tcPr>
            <w:tcW w:w="594" w:type="dxa"/>
          </w:tcPr>
          <w:p w14:paraId="6648C5DA" w14:textId="77777777" w:rsidR="00F24D53" w:rsidRPr="005309F5" w:rsidRDefault="00F24D53" w:rsidP="005309F5">
            <w:pPr>
              <w:rPr>
                <w:rFonts w:ascii="Arial" w:hAnsi="Arial" w:cs="Arial"/>
                <w:color w:val="000000"/>
                <w:sz w:val="20"/>
                <w:szCs w:val="20"/>
                <w:lang w:eastAsia="en-AU"/>
              </w:rPr>
            </w:pPr>
          </w:p>
        </w:tc>
        <w:tc>
          <w:tcPr>
            <w:tcW w:w="594" w:type="dxa"/>
          </w:tcPr>
          <w:p w14:paraId="10DB2925" w14:textId="77777777" w:rsidR="00F24D53" w:rsidRPr="005309F5" w:rsidRDefault="00F24D53" w:rsidP="005309F5">
            <w:pPr>
              <w:rPr>
                <w:rFonts w:ascii="Arial" w:hAnsi="Arial" w:cs="Arial"/>
                <w:color w:val="000000"/>
                <w:sz w:val="20"/>
                <w:szCs w:val="20"/>
                <w:lang w:eastAsia="en-AU"/>
              </w:rPr>
            </w:pPr>
          </w:p>
        </w:tc>
        <w:tc>
          <w:tcPr>
            <w:tcW w:w="547" w:type="dxa"/>
          </w:tcPr>
          <w:p w14:paraId="42C627F7" w14:textId="77777777" w:rsidR="00F24D53" w:rsidRPr="005309F5" w:rsidRDefault="00F24D53" w:rsidP="005309F5">
            <w:pPr>
              <w:rPr>
                <w:rFonts w:ascii="Arial" w:hAnsi="Arial" w:cs="Arial"/>
                <w:color w:val="000000"/>
                <w:sz w:val="20"/>
                <w:szCs w:val="20"/>
                <w:lang w:eastAsia="en-AU"/>
              </w:rPr>
            </w:pPr>
          </w:p>
        </w:tc>
        <w:tc>
          <w:tcPr>
            <w:tcW w:w="594" w:type="dxa"/>
          </w:tcPr>
          <w:p w14:paraId="46F7F90F" w14:textId="77777777" w:rsidR="00F24D53" w:rsidRPr="005309F5" w:rsidRDefault="00F24D53" w:rsidP="005309F5">
            <w:pPr>
              <w:rPr>
                <w:rFonts w:ascii="Arial" w:hAnsi="Arial" w:cs="Arial"/>
                <w:color w:val="000000"/>
                <w:sz w:val="20"/>
                <w:szCs w:val="20"/>
                <w:lang w:eastAsia="en-AU"/>
              </w:rPr>
            </w:pPr>
          </w:p>
        </w:tc>
      </w:tr>
      <w:tr w:rsidR="00F24D53" w:rsidRPr="005309F5" w14:paraId="3E17415B" w14:textId="77777777" w:rsidTr="005309F5">
        <w:trPr>
          <w:gridAfter w:val="1"/>
          <w:wAfter w:w="11" w:type="dxa"/>
        </w:trPr>
        <w:tc>
          <w:tcPr>
            <w:tcW w:w="3415" w:type="dxa"/>
          </w:tcPr>
          <w:p w14:paraId="40E57224" w14:textId="77777777" w:rsidR="00F24D53" w:rsidRPr="005309F5" w:rsidRDefault="00F24D53" w:rsidP="005309F5">
            <w:pPr>
              <w:rPr>
                <w:rFonts w:ascii="Arial" w:hAnsi="Arial" w:cs="Arial"/>
                <w:sz w:val="20"/>
                <w:szCs w:val="20"/>
              </w:rPr>
            </w:pPr>
            <w:r w:rsidRPr="005309F5">
              <w:rPr>
                <w:rFonts w:ascii="Arial" w:hAnsi="Arial" w:cs="Arial"/>
                <w:sz w:val="20"/>
                <w:szCs w:val="20"/>
              </w:rPr>
              <w:lastRenderedPageBreak/>
              <w:t>116</w:t>
            </w:r>
            <w:r w:rsidRPr="005309F5">
              <w:rPr>
                <w:rFonts w:ascii="Arial" w:hAnsi="Arial" w:cs="Arial"/>
                <w:color w:val="000000"/>
                <w:sz w:val="20"/>
                <w:szCs w:val="20"/>
              </w:rPr>
              <w:t>-Vic State Gov-</w:t>
            </w:r>
            <w:r w:rsidRPr="005309F5">
              <w:rPr>
                <w:rFonts w:ascii="Arial" w:hAnsi="Arial" w:cs="Arial"/>
                <w:sz w:val="20"/>
                <w:szCs w:val="20"/>
              </w:rPr>
              <w:t>Small Rural Health funding</w:t>
            </w:r>
          </w:p>
        </w:tc>
        <w:tc>
          <w:tcPr>
            <w:tcW w:w="594" w:type="dxa"/>
          </w:tcPr>
          <w:p w14:paraId="3D589C7B" w14:textId="77777777" w:rsidR="00F24D53" w:rsidRPr="005309F5" w:rsidRDefault="00F24D53" w:rsidP="005309F5">
            <w:pPr>
              <w:rPr>
                <w:rFonts w:ascii="Arial" w:hAnsi="Arial" w:cs="Arial"/>
                <w:color w:val="000000"/>
                <w:sz w:val="20"/>
                <w:szCs w:val="20"/>
                <w:lang w:eastAsia="en-AU"/>
              </w:rPr>
            </w:pPr>
          </w:p>
        </w:tc>
        <w:tc>
          <w:tcPr>
            <w:tcW w:w="594" w:type="dxa"/>
          </w:tcPr>
          <w:p w14:paraId="0B77E684"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94" w:type="dxa"/>
          </w:tcPr>
          <w:p w14:paraId="11D3028A"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46" w:type="dxa"/>
          </w:tcPr>
          <w:p w14:paraId="67151E8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94" w:type="dxa"/>
          </w:tcPr>
          <w:p w14:paraId="30411C4D" w14:textId="77777777" w:rsidR="00F24D53" w:rsidRPr="005309F5" w:rsidRDefault="00F24D53" w:rsidP="005309F5">
            <w:pPr>
              <w:rPr>
                <w:rFonts w:ascii="Arial" w:hAnsi="Arial" w:cs="Arial"/>
                <w:color w:val="000000"/>
                <w:sz w:val="20"/>
                <w:szCs w:val="20"/>
                <w:lang w:eastAsia="en-AU"/>
              </w:rPr>
            </w:pPr>
          </w:p>
        </w:tc>
        <w:tc>
          <w:tcPr>
            <w:tcW w:w="594" w:type="dxa"/>
          </w:tcPr>
          <w:p w14:paraId="4CE78818" w14:textId="77777777" w:rsidR="00F24D53" w:rsidRPr="005309F5" w:rsidRDefault="00F24D53" w:rsidP="005309F5">
            <w:pPr>
              <w:rPr>
                <w:rFonts w:ascii="Arial" w:hAnsi="Arial" w:cs="Arial"/>
                <w:color w:val="000000"/>
                <w:sz w:val="20"/>
                <w:szCs w:val="20"/>
                <w:lang w:eastAsia="en-AU"/>
              </w:rPr>
            </w:pPr>
          </w:p>
        </w:tc>
        <w:tc>
          <w:tcPr>
            <w:tcW w:w="583" w:type="dxa"/>
          </w:tcPr>
          <w:p w14:paraId="695CDD8D"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95" w:type="dxa"/>
          </w:tcPr>
          <w:p w14:paraId="2AAC6C73" w14:textId="77777777" w:rsidR="00F24D53" w:rsidRPr="005309F5" w:rsidRDefault="00F24D53" w:rsidP="005309F5">
            <w:pPr>
              <w:rPr>
                <w:rFonts w:ascii="Arial" w:hAnsi="Arial" w:cs="Arial"/>
                <w:sz w:val="20"/>
                <w:szCs w:val="20"/>
                <w:lang w:eastAsia="en-AU"/>
              </w:rPr>
            </w:pPr>
          </w:p>
        </w:tc>
        <w:tc>
          <w:tcPr>
            <w:tcW w:w="594" w:type="dxa"/>
          </w:tcPr>
          <w:p w14:paraId="33C945C7" w14:textId="77777777" w:rsidR="00F24D53" w:rsidRPr="005309F5" w:rsidRDefault="00F24D53" w:rsidP="005309F5">
            <w:pPr>
              <w:rPr>
                <w:rFonts w:ascii="Arial" w:hAnsi="Arial" w:cs="Arial"/>
                <w:color w:val="000000"/>
                <w:sz w:val="20"/>
                <w:szCs w:val="20"/>
                <w:lang w:eastAsia="en-AU"/>
              </w:rPr>
            </w:pPr>
          </w:p>
        </w:tc>
        <w:tc>
          <w:tcPr>
            <w:tcW w:w="594" w:type="dxa"/>
          </w:tcPr>
          <w:p w14:paraId="4B86C08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D[L]</w:t>
            </w:r>
          </w:p>
        </w:tc>
        <w:tc>
          <w:tcPr>
            <w:tcW w:w="594" w:type="dxa"/>
          </w:tcPr>
          <w:p w14:paraId="0B93ED3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4" w:type="dxa"/>
          </w:tcPr>
          <w:p w14:paraId="44FFC3A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7" w:type="dxa"/>
          </w:tcPr>
          <w:p w14:paraId="23019664" w14:textId="77777777" w:rsidR="00F24D53" w:rsidRPr="005309F5" w:rsidRDefault="00F24D53" w:rsidP="005309F5">
            <w:pPr>
              <w:rPr>
                <w:rFonts w:ascii="Arial" w:hAnsi="Arial" w:cs="Arial"/>
                <w:color w:val="000000"/>
                <w:sz w:val="20"/>
                <w:szCs w:val="20"/>
                <w:lang w:eastAsia="en-AU"/>
              </w:rPr>
            </w:pPr>
          </w:p>
        </w:tc>
        <w:tc>
          <w:tcPr>
            <w:tcW w:w="584" w:type="dxa"/>
          </w:tcPr>
          <w:p w14:paraId="0EF3411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7" w:type="dxa"/>
          </w:tcPr>
          <w:p w14:paraId="2513C846" w14:textId="77777777" w:rsidR="00F24D53" w:rsidRPr="005309F5" w:rsidRDefault="00F24D53" w:rsidP="005309F5">
            <w:pPr>
              <w:rPr>
                <w:rFonts w:ascii="Arial" w:hAnsi="Arial" w:cs="Arial"/>
                <w:color w:val="000000"/>
                <w:sz w:val="20"/>
                <w:szCs w:val="20"/>
                <w:lang w:eastAsia="en-AU"/>
              </w:rPr>
            </w:pPr>
          </w:p>
        </w:tc>
        <w:tc>
          <w:tcPr>
            <w:tcW w:w="594" w:type="dxa"/>
          </w:tcPr>
          <w:p w14:paraId="02F6E785" w14:textId="77777777" w:rsidR="00F24D53" w:rsidRPr="005309F5" w:rsidRDefault="00F24D53" w:rsidP="005309F5">
            <w:pPr>
              <w:rPr>
                <w:rFonts w:ascii="Arial" w:hAnsi="Arial" w:cs="Arial"/>
                <w:color w:val="000000"/>
                <w:sz w:val="20"/>
                <w:szCs w:val="20"/>
                <w:lang w:eastAsia="en-AU"/>
              </w:rPr>
            </w:pPr>
          </w:p>
        </w:tc>
        <w:tc>
          <w:tcPr>
            <w:tcW w:w="594" w:type="dxa"/>
          </w:tcPr>
          <w:p w14:paraId="551C94B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7" w:type="dxa"/>
          </w:tcPr>
          <w:p w14:paraId="4482CBB6" w14:textId="77777777" w:rsidR="00F24D53" w:rsidRPr="005309F5" w:rsidRDefault="00F24D53" w:rsidP="005309F5">
            <w:pPr>
              <w:rPr>
                <w:rFonts w:ascii="Arial" w:hAnsi="Arial" w:cs="Arial"/>
                <w:color w:val="000000"/>
                <w:sz w:val="20"/>
                <w:szCs w:val="20"/>
                <w:lang w:eastAsia="en-AU"/>
              </w:rPr>
            </w:pPr>
          </w:p>
        </w:tc>
        <w:tc>
          <w:tcPr>
            <w:tcW w:w="594" w:type="dxa"/>
          </w:tcPr>
          <w:p w14:paraId="68CDE6AC" w14:textId="77777777" w:rsidR="00F24D53" w:rsidRPr="005309F5" w:rsidRDefault="00F24D53" w:rsidP="005309F5">
            <w:pPr>
              <w:rPr>
                <w:rFonts w:ascii="Arial" w:hAnsi="Arial" w:cs="Arial"/>
                <w:color w:val="000000"/>
                <w:sz w:val="20"/>
                <w:szCs w:val="20"/>
                <w:lang w:eastAsia="en-AU"/>
              </w:rPr>
            </w:pPr>
          </w:p>
        </w:tc>
      </w:tr>
      <w:tr w:rsidR="00F24D53" w:rsidRPr="005309F5" w14:paraId="7A06BF14" w14:textId="77777777" w:rsidTr="005309F5">
        <w:trPr>
          <w:gridAfter w:val="1"/>
          <w:wAfter w:w="11" w:type="dxa"/>
        </w:trPr>
        <w:tc>
          <w:tcPr>
            <w:tcW w:w="3415" w:type="dxa"/>
          </w:tcPr>
          <w:p w14:paraId="1D3316FA" w14:textId="77777777" w:rsidR="00F24D53" w:rsidRPr="005309F5" w:rsidRDefault="00F24D53" w:rsidP="005309F5">
            <w:pPr>
              <w:rPr>
                <w:rFonts w:ascii="Arial" w:hAnsi="Arial" w:cs="Arial"/>
                <w:sz w:val="20"/>
                <w:szCs w:val="20"/>
              </w:rPr>
            </w:pPr>
            <w:bookmarkStart w:id="29" w:name="_Hlk535408503"/>
            <w:r w:rsidRPr="005309F5">
              <w:rPr>
                <w:rFonts w:ascii="Arial" w:hAnsi="Arial" w:cs="Arial"/>
                <w:sz w:val="20"/>
                <w:szCs w:val="20"/>
              </w:rPr>
              <w:t>117</w:t>
            </w:r>
            <w:r w:rsidRPr="005309F5">
              <w:rPr>
                <w:rFonts w:ascii="Arial" w:hAnsi="Arial" w:cs="Arial"/>
                <w:color w:val="000000"/>
                <w:sz w:val="20"/>
                <w:szCs w:val="20"/>
              </w:rPr>
              <w:t>-Vic State Gov-</w:t>
            </w:r>
            <w:r w:rsidRPr="005309F5">
              <w:rPr>
                <w:rFonts w:ascii="Arial" w:hAnsi="Arial" w:cs="Arial"/>
                <w:sz w:val="20"/>
                <w:szCs w:val="20"/>
              </w:rPr>
              <w:t xml:space="preserve">Sub-acute withdrawal </w:t>
            </w:r>
          </w:p>
        </w:tc>
        <w:tc>
          <w:tcPr>
            <w:tcW w:w="594" w:type="dxa"/>
          </w:tcPr>
          <w:p w14:paraId="4C054345"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00F28EBA" w14:textId="77777777" w:rsidR="00F24D53" w:rsidRPr="005309F5" w:rsidRDefault="00F24D53" w:rsidP="005309F5">
            <w:pPr>
              <w:rPr>
                <w:rFonts w:ascii="Arial" w:hAnsi="Arial" w:cs="Arial"/>
                <w:strike/>
                <w:color w:val="000000"/>
                <w:sz w:val="20"/>
                <w:szCs w:val="20"/>
                <w:lang w:eastAsia="en-AU"/>
              </w:rPr>
            </w:pPr>
          </w:p>
        </w:tc>
        <w:tc>
          <w:tcPr>
            <w:tcW w:w="594" w:type="dxa"/>
          </w:tcPr>
          <w:p w14:paraId="745A352E" w14:textId="77777777" w:rsidR="00F24D53" w:rsidRPr="005309F5" w:rsidRDefault="00F24D53" w:rsidP="005309F5">
            <w:pPr>
              <w:rPr>
                <w:rFonts w:ascii="Arial" w:hAnsi="Arial" w:cs="Arial"/>
                <w:strike/>
                <w:color w:val="000000"/>
                <w:sz w:val="20"/>
                <w:szCs w:val="20"/>
                <w:lang w:eastAsia="en-AU"/>
              </w:rPr>
            </w:pPr>
          </w:p>
        </w:tc>
        <w:tc>
          <w:tcPr>
            <w:tcW w:w="546" w:type="dxa"/>
          </w:tcPr>
          <w:p w14:paraId="43B72E15" w14:textId="77777777" w:rsidR="00F24D53" w:rsidRPr="005309F5" w:rsidRDefault="00F24D53" w:rsidP="005309F5">
            <w:pPr>
              <w:rPr>
                <w:rFonts w:ascii="Arial" w:hAnsi="Arial" w:cs="Arial"/>
                <w:strike/>
                <w:color w:val="000000"/>
                <w:sz w:val="20"/>
                <w:szCs w:val="20"/>
                <w:lang w:eastAsia="en-AU"/>
              </w:rPr>
            </w:pPr>
          </w:p>
        </w:tc>
        <w:tc>
          <w:tcPr>
            <w:tcW w:w="594" w:type="dxa"/>
          </w:tcPr>
          <w:p w14:paraId="656FB11F" w14:textId="77777777" w:rsidR="00F24D53" w:rsidRPr="005309F5" w:rsidRDefault="00F24D53" w:rsidP="005309F5">
            <w:pPr>
              <w:rPr>
                <w:rFonts w:ascii="Arial" w:hAnsi="Arial" w:cs="Arial"/>
                <w:strike/>
                <w:color w:val="000000"/>
                <w:sz w:val="20"/>
                <w:szCs w:val="20"/>
                <w:lang w:eastAsia="en-AU"/>
              </w:rPr>
            </w:pPr>
          </w:p>
        </w:tc>
        <w:tc>
          <w:tcPr>
            <w:tcW w:w="594" w:type="dxa"/>
          </w:tcPr>
          <w:p w14:paraId="08EAD5C5" w14:textId="77777777" w:rsidR="00F24D53" w:rsidRPr="005309F5" w:rsidRDefault="00F24D53" w:rsidP="005309F5">
            <w:pPr>
              <w:rPr>
                <w:rFonts w:ascii="Arial" w:hAnsi="Arial" w:cs="Arial"/>
                <w:strike/>
                <w:color w:val="000000"/>
                <w:sz w:val="20"/>
                <w:szCs w:val="20"/>
                <w:lang w:eastAsia="en-AU"/>
              </w:rPr>
            </w:pPr>
          </w:p>
        </w:tc>
        <w:tc>
          <w:tcPr>
            <w:tcW w:w="583" w:type="dxa"/>
          </w:tcPr>
          <w:p w14:paraId="3417A26F" w14:textId="77777777" w:rsidR="00F24D53" w:rsidRPr="005309F5" w:rsidRDefault="00F24D53" w:rsidP="005309F5">
            <w:pPr>
              <w:rPr>
                <w:rFonts w:ascii="Arial" w:hAnsi="Arial" w:cs="Arial"/>
                <w:strike/>
                <w:color w:val="000000"/>
                <w:sz w:val="20"/>
                <w:szCs w:val="20"/>
                <w:lang w:eastAsia="en-AU"/>
              </w:rPr>
            </w:pPr>
          </w:p>
        </w:tc>
        <w:tc>
          <w:tcPr>
            <w:tcW w:w="595" w:type="dxa"/>
          </w:tcPr>
          <w:p w14:paraId="09BF5B30"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0D19F245"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376FEC87" w14:textId="77777777" w:rsidR="00F24D53" w:rsidRPr="005309F5" w:rsidRDefault="00F24D53" w:rsidP="005309F5">
            <w:pPr>
              <w:rPr>
                <w:rFonts w:ascii="Arial" w:hAnsi="Arial" w:cs="Arial"/>
                <w:strike/>
                <w:color w:val="000000"/>
                <w:sz w:val="20"/>
                <w:szCs w:val="20"/>
                <w:lang w:eastAsia="en-AU"/>
              </w:rPr>
            </w:pPr>
          </w:p>
        </w:tc>
        <w:tc>
          <w:tcPr>
            <w:tcW w:w="594" w:type="dxa"/>
          </w:tcPr>
          <w:p w14:paraId="5BD1B801" w14:textId="77777777" w:rsidR="00F24D53" w:rsidRPr="005309F5" w:rsidRDefault="00F24D53" w:rsidP="005309F5">
            <w:pPr>
              <w:rPr>
                <w:rFonts w:ascii="Arial" w:hAnsi="Arial" w:cs="Arial"/>
                <w:strike/>
                <w:color w:val="000000"/>
                <w:sz w:val="20"/>
                <w:szCs w:val="20"/>
                <w:lang w:eastAsia="en-AU"/>
              </w:rPr>
            </w:pPr>
          </w:p>
        </w:tc>
        <w:tc>
          <w:tcPr>
            <w:tcW w:w="584" w:type="dxa"/>
          </w:tcPr>
          <w:p w14:paraId="178CEAB6" w14:textId="77777777" w:rsidR="00F24D53" w:rsidRPr="005309F5" w:rsidRDefault="00F24D53" w:rsidP="005309F5">
            <w:pPr>
              <w:rPr>
                <w:rFonts w:ascii="Arial" w:hAnsi="Arial" w:cs="Arial"/>
                <w:strike/>
                <w:color w:val="000000"/>
                <w:sz w:val="20"/>
                <w:szCs w:val="20"/>
                <w:lang w:eastAsia="en-AU"/>
              </w:rPr>
            </w:pPr>
          </w:p>
        </w:tc>
        <w:tc>
          <w:tcPr>
            <w:tcW w:w="547" w:type="dxa"/>
          </w:tcPr>
          <w:p w14:paraId="1415149F" w14:textId="77777777" w:rsidR="00F24D53" w:rsidRPr="005309F5" w:rsidRDefault="00F24D53" w:rsidP="005309F5">
            <w:pPr>
              <w:rPr>
                <w:rFonts w:ascii="Arial" w:hAnsi="Arial" w:cs="Arial"/>
                <w:strike/>
                <w:color w:val="000000"/>
                <w:sz w:val="20"/>
                <w:szCs w:val="20"/>
                <w:lang w:eastAsia="en-AU"/>
              </w:rPr>
            </w:pPr>
          </w:p>
        </w:tc>
        <w:tc>
          <w:tcPr>
            <w:tcW w:w="584" w:type="dxa"/>
          </w:tcPr>
          <w:p w14:paraId="07C4DCB3" w14:textId="77777777" w:rsidR="00F24D53" w:rsidRPr="005309F5" w:rsidRDefault="00F24D53" w:rsidP="005309F5">
            <w:pPr>
              <w:rPr>
                <w:rFonts w:ascii="Arial" w:hAnsi="Arial" w:cs="Arial"/>
                <w:strike/>
                <w:color w:val="000000"/>
                <w:sz w:val="20"/>
                <w:szCs w:val="20"/>
                <w:lang w:eastAsia="en-AU"/>
              </w:rPr>
            </w:pPr>
          </w:p>
        </w:tc>
        <w:tc>
          <w:tcPr>
            <w:tcW w:w="547" w:type="dxa"/>
          </w:tcPr>
          <w:p w14:paraId="265376B3" w14:textId="77777777" w:rsidR="00F24D53" w:rsidRPr="005309F5" w:rsidRDefault="00F24D53" w:rsidP="005309F5">
            <w:pPr>
              <w:rPr>
                <w:rFonts w:ascii="Arial" w:hAnsi="Arial" w:cs="Arial"/>
                <w:color w:val="000000"/>
                <w:sz w:val="20"/>
                <w:szCs w:val="20"/>
                <w:lang w:eastAsia="en-AU"/>
              </w:rPr>
            </w:pPr>
          </w:p>
        </w:tc>
        <w:tc>
          <w:tcPr>
            <w:tcW w:w="594" w:type="dxa"/>
          </w:tcPr>
          <w:p w14:paraId="6AFD894A" w14:textId="77777777" w:rsidR="00F24D53" w:rsidRPr="005309F5" w:rsidRDefault="00F24D53" w:rsidP="005309F5">
            <w:pPr>
              <w:rPr>
                <w:rFonts w:ascii="Arial" w:hAnsi="Arial" w:cs="Arial"/>
                <w:color w:val="000000"/>
                <w:sz w:val="20"/>
                <w:szCs w:val="20"/>
                <w:lang w:eastAsia="en-AU"/>
              </w:rPr>
            </w:pPr>
          </w:p>
        </w:tc>
        <w:tc>
          <w:tcPr>
            <w:tcW w:w="594" w:type="dxa"/>
          </w:tcPr>
          <w:p w14:paraId="1B88DB0A" w14:textId="77777777" w:rsidR="00F24D53" w:rsidRPr="005309F5" w:rsidRDefault="00F24D53" w:rsidP="005309F5">
            <w:pPr>
              <w:rPr>
                <w:rFonts w:ascii="Arial" w:hAnsi="Arial" w:cs="Arial"/>
                <w:color w:val="000000"/>
                <w:sz w:val="20"/>
                <w:szCs w:val="20"/>
                <w:lang w:eastAsia="en-AU"/>
              </w:rPr>
            </w:pPr>
          </w:p>
        </w:tc>
        <w:tc>
          <w:tcPr>
            <w:tcW w:w="547" w:type="dxa"/>
          </w:tcPr>
          <w:p w14:paraId="6C47CB8C" w14:textId="77777777" w:rsidR="00F24D53" w:rsidRPr="005309F5" w:rsidRDefault="00F24D53" w:rsidP="005309F5">
            <w:pPr>
              <w:rPr>
                <w:rFonts w:ascii="Arial" w:hAnsi="Arial" w:cs="Arial"/>
                <w:color w:val="000000"/>
                <w:sz w:val="20"/>
                <w:szCs w:val="20"/>
                <w:lang w:eastAsia="en-AU"/>
              </w:rPr>
            </w:pPr>
          </w:p>
        </w:tc>
        <w:tc>
          <w:tcPr>
            <w:tcW w:w="594" w:type="dxa"/>
          </w:tcPr>
          <w:p w14:paraId="1958AD8D" w14:textId="77777777" w:rsidR="00F24D53" w:rsidRPr="005309F5" w:rsidRDefault="00F24D53" w:rsidP="005309F5">
            <w:pPr>
              <w:rPr>
                <w:rFonts w:ascii="Arial" w:hAnsi="Arial" w:cs="Arial"/>
                <w:color w:val="000000"/>
                <w:sz w:val="20"/>
                <w:szCs w:val="20"/>
                <w:lang w:eastAsia="en-AU"/>
              </w:rPr>
            </w:pPr>
          </w:p>
        </w:tc>
      </w:tr>
      <w:tr w:rsidR="00F24D53" w:rsidRPr="005309F5" w14:paraId="6D7E4365" w14:textId="77777777" w:rsidTr="005309F5">
        <w:trPr>
          <w:gridAfter w:val="1"/>
          <w:wAfter w:w="11" w:type="dxa"/>
        </w:trPr>
        <w:tc>
          <w:tcPr>
            <w:tcW w:w="3415" w:type="dxa"/>
          </w:tcPr>
          <w:p w14:paraId="6FDD5FB1" w14:textId="77777777" w:rsidR="00F24D53" w:rsidRPr="005309F5" w:rsidRDefault="00F24D53" w:rsidP="005309F5">
            <w:pPr>
              <w:rPr>
                <w:rFonts w:ascii="Arial" w:hAnsi="Arial" w:cs="Arial"/>
                <w:sz w:val="20"/>
                <w:szCs w:val="20"/>
              </w:rPr>
            </w:pPr>
            <w:r w:rsidRPr="005309F5">
              <w:rPr>
                <w:rFonts w:ascii="Arial" w:hAnsi="Arial" w:cs="Arial"/>
                <w:sz w:val="20"/>
                <w:szCs w:val="20"/>
              </w:rPr>
              <w:t>118</w:t>
            </w:r>
            <w:r w:rsidRPr="005309F5">
              <w:rPr>
                <w:rFonts w:ascii="Arial" w:hAnsi="Arial" w:cs="Arial"/>
                <w:color w:val="000000"/>
                <w:sz w:val="20"/>
                <w:szCs w:val="20"/>
              </w:rPr>
              <w:t>-Vic State Gov-</w:t>
            </w:r>
            <w:r w:rsidRPr="005309F5">
              <w:rPr>
                <w:rFonts w:ascii="Arial" w:hAnsi="Arial" w:cs="Arial"/>
                <w:sz w:val="20"/>
                <w:szCs w:val="20"/>
              </w:rPr>
              <w:t xml:space="preserve">Three-stage withdrawal stabilisation program </w:t>
            </w:r>
          </w:p>
        </w:tc>
        <w:tc>
          <w:tcPr>
            <w:tcW w:w="594" w:type="dxa"/>
          </w:tcPr>
          <w:p w14:paraId="1AAD0C34"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7BB9E6F3" w14:textId="77777777" w:rsidR="00F24D53" w:rsidRPr="005309F5" w:rsidRDefault="00F24D53" w:rsidP="005309F5">
            <w:pPr>
              <w:rPr>
                <w:rFonts w:ascii="Arial" w:hAnsi="Arial" w:cs="Arial"/>
                <w:strike/>
                <w:color w:val="000000"/>
                <w:sz w:val="20"/>
                <w:szCs w:val="20"/>
                <w:lang w:eastAsia="en-AU"/>
              </w:rPr>
            </w:pPr>
          </w:p>
        </w:tc>
        <w:tc>
          <w:tcPr>
            <w:tcW w:w="594" w:type="dxa"/>
          </w:tcPr>
          <w:p w14:paraId="25DE0418" w14:textId="77777777" w:rsidR="00F24D53" w:rsidRPr="005309F5" w:rsidRDefault="00F24D53" w:rsidP="005309F5">
            <w:pPr>
              <w:rPr>
                <w:rFonts w:ascii="Arial" w:hAnsi="Arial" w:cs="Arial"/>
                <w:strike/>
                <w:color w:val="000000"/>
                <w:sz w:val="20"/>
                <w:szCs w:val="20"/>
                <w:lang w:eastAsia="en-AU"/>
              </w:rPr>
            </w:pPr>
          </w:p>
        </w:tc>
        <w:tc>
          <w:tcPr>
            <w:tcW w:w="546" w:type="dxa"/>
          </w:tcPr>
          <w:p w14:paraId="514FE476" w14:textId="77777777" w:rsidR="00F24D53" w:rsidRPr="005309F5" w:rsidRDefault="00F24D53" w:rsidP="005309F5">
            <w:pPr>
              <w:rPr>
                <w:rFonts w:ascii="Arial" w:hAnsi="Arial" w:cs="Arial"/>
                <w:strike/>
                <w:color w:val="000000"/>
                <w:sz w:val="20"/>
                <w:szCs w:val="20"/>
                <w:lang w:eastAsia="en-AU"/>
              </w:rPr>
            </w:pPr>
          </w:p>
        </w:tc>
        <w:tc>
          <w:tcPr>
            <w:tcW w:w="594" w:type="dxa"/>
          </w:tcPr>
          <w:p w14:paraId="00FC513F" w14:textId="77777777" w:rsidR="00F24D53" w:rsidRPr="005309F5" w:rsidRDefault="00F24D53" w:rsidP="005309F5">
            <w:pPr>
              <w:rPr>
                <w:rFonts w:ascii="Arial" w:hAnsi="Arial" w:cs="Arial"/>
                <w:strike/>
                <w:color w:val="000000"/>
                <w:sz w:val="20"/>
                <w:szCs w:val="20"/>
                <w:lang w:eastAsia="en-AU"/>
              </w:rPr>
            </w:pPr>
          </w:p>
        </w:tc>
        <w:tc>
          <w:tcPr>
            <w:tcW w:w="594" w:type="dxa"/>
          </w:tcPr>
          <w:p w14:paraId="6AC59136" w14:textId="77777777" w:rsidR="00F24D53" w:rsidRPr="005309F5" w:rsidRDefault="00F24D53" w:rsidP="005309F5">
            <w:pPr>
              <w:rPr>
                <w:rFonts w:ascii="Arial" w:hAnsi="Arial" w:cs="Arial"/>
                <w:strike/>
                <w:color w:val="000000"/>
                <w:sz w:val="20"/>
                <w:szCs w:val="20"/>
                <w:lang w:eastAsia="en-AU"/>
              </w:rPr>
            </w:pPr>
          </w:p>
        </w:tc>
        <w:tc>
          <w:tcPr>
            <w:tcW w:w="583" w:type="dxa"/>
          </w:tcPr>
          <w:p w14:paraId="3860AEB8" w14:textId="77777777" w:rsidR="00F24D53" w:rsidRPr="005309F5" w:rsidRDefault="00F24D53" w:rsidP="005309F5">
            <w:pPr>
              <w:rPr>
                <w:rFonts w:ascii="Arial" w:hAnsi="Arial" w:cs="Arial"/>
                <w:strike/>
                <w:color w:val="000000"/>
                <w:sz w:val="20"/>
                <w:szCs w:val="20"/>
                <w:lang w:eastAsia="en-AU"/>
              </w:rPr>
            </w:pPr>
          </w:p>
        </w:tc>
        <w:tc>
          <w:tcPr>
            <w:tcW w:w="595" w:type="dxa"/>
          </w:tcPr>
          <w:p w14:paraId="701B8FA6"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6C62C618"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24566B0D" w14:textId="77777777" w:rsidR="00F24D53" w:rsidRPr="005309F5" w:rsidRDefault="00F24D53" w:rsidP="005309F5">
            <w:pPr>
              <w:rPr>
                <w:rFonts w:ascii="Arial" w:hAnsi="Arial" w:cs="Arial"/>
                <w:strike/>
                <w:color w:val="000000"/>
                <w:sz w:val="20"/>
                <w:szCs w:val="20"/>
                <w:lang w:eastAsia="en-AU"/>
              </w:rPr>
            </w:pPr>
          </w:p>
        </w:tc>
        <w:tc>
          <w:tcPr>
            <w:tcW w:w="594" w:type="dxa"/>
          </w:tcPr>
          <w:p w14:paraId="22558D98" w14:textId="77777777" w:rsidR="00F24D53" w:rsidRPr="005309F5" w:rsidRDefault="00F24D53" w:rsidP="005309F5">
            <w:pPr>
              <w:rPr>
                <w:rFonts w:ascii="Arial" w:hAnsi="Arial" w:cs="Arial"/>
                <w:strike/>
                <w:color w:val="000000"/>
                <w:sz w:val="20"/>
                <w:szCs w:val="20"/>
                <w:lang w:eastAsia="en-AU"/>
              </w:rPr>
            </w:pPr>
          </w:p>
        </w:tc>
        <w:tc>
          <w:tcPr>
            <w:tcW w:w="584" w:type="dxa"/>
          </w:tcPr>
          <w:p w14:paraId="4725B8B7" w14:textId="77777777" w:rsidR="00F24D53" w:rsidRPr="005309F5" w:rsidRDefault="00F24D53" w:rsidP="005309F5">
            <w:pPr>
              <w:rPr>
                <w:rFonts w:ascii="Arial" w:hAnsi="Arial" w:cs="Arial"/>
                <w:strike/>
                <w:color w:val="000000"/>
                <w:sz w:val="20"/>
                <w:szCs w:val="20"/>
                <w:lang w:eastAsia="en-AU"/>
              </w:rPr>
            </w:pPr>
          </w:p>
        </w:tc>
        <w:tc>
          <w:tcPr>
            <w:tcW w:w="547" w:type="dxa"/>
          </w:tcPr>
          <w:p w14:paraId="0D2C1CAD" w14:textId="77777777" w:rsidR="00F24D53" w:rsidRPr="005309F5" w:rsidRDefault="00F24D53" w:rsidP="005309F5">
            <w:pPr>
              <w:rPr>
                <w:rFonts w:ascii="Arial" w:hAnsi="Arial" w:cs="Arial"/>
                <w:strike/>
                <w:color w:val="000000"/>
                <w:sz w:val="20"/>
                <w:szCs w:val="20"/>
                <w:lang w:eastAsia="en-AU"/>
              </w:rPr>
            </w:pPr>
          </w:p>
        </w:tc>
        <w:tc>
          <w:tcPr>
            <w:tcW w:w="584" w:type="dxa"/>
          </w:tcPr>
          <w:p w14:paraId="7054C44E" w14:textId="77777777" w:rsidR="00F24D53" w:rsidRPr="005309F5" w:rsidRDefault="00F24D53" w:rsidP="005309F5">
            <w:pPr>
              <w:rPr>
                <w:rFonts w:ascii="Arial" w:hAnsi="Arial" w:cs="Arial"/>
                <w:strike/>
                <w:color w:val="000000"/>
                <w:sz w:val="20"/>
                <w:szCs w:val="20"/>
                <w:lang w:eastAsia="en-AU"/>
              </w:rPr>
            </w:pPr>
          </w:p>
        </w:tc>
        <w:tc>
          <w:tcPr>
            <w:tcW w:w="547" w:type="dxa"/>
          </w:tcPr>
          <w:p w14:paraId="7EFBCBA9" w14:textId="77777777" w:rsidR="00F24D53" w:rsidRPr="005309F5" w:rsidRDefault="00F24D53" w:rsidP="005309F5">
            <w:pPr>
              <w:rPr>
                <w:rFonts w:ascii="Arial" w:hAnsi="Arial" w:cs="Arial"/>
                <w:color w:val="000000"/>
                <w:sz w:val="20"/>
                <w:szCs w:val="20"/>
                <w:lang w:eastAsia="en-AU"/>
              </w:rPr>
            </w:pPr>
          </w:p>
        </w:tc>
        <w:tc>
          <w:tcPr>
            <w:tcW w:w="594" w:type="dxa"/>
          </w:tcPr>
          <w:p w14:paraId="1CC0FED1" w14:textId="77777777" w:rsidR="00F24D53" w:rsidRPr="005309F5" w:rsidRDefault="00F24D53" w:rsidP="005309F5">
            <w:pPr>
              <w:rPr>
                <w:rFonts w:ascii="Arial" w:hAnsi="Arial" w:cs="Arial"/>
                <w:color w:val="000000"/>
                <w:sz w:val="20"/>
                <w:szCs w:val="20"/>
                <w:lang w:eastAsia="en-AU"/>
              </w:rPr>
            </w:pPr>
          </w:p>
        </w:tc>
        <w:tc>
          <w:tcPr>
            <w:tcW w:w="594" w:type="dxa"/>
          </w:tcPr>
          <w:p w14:paraId="32FC6B79" w14:textId="77777777" w:rsidR="00F24D53" w:rsidRPr="005309F5" w:rsidRDefault="00F24D53" w:rsidP="005309F5">
            <w:pPr>
              <w:rPr>
                <w:rFonts w:ascii="Arial" w:hAnsi="Arial" w:cs="Arial"/>
                <w:color w:val="000000"/>
                <w:sz w:val="20"/>
                <w:szCs w:val="20"/>
                <w:lang w:eastAsia="en-AU"/>
              </w:rPr>
            </w:pPr>
          </w:p>
        </w:tc>
        <w:tc>
          <w:tcPr>
            <w:tcW w:w="547" w:type="dxa"/>
          </w:tcPr>
          <w:p w14:paraId="18B3C8BE" w14:textId="77777777" w:rsidR="00F24D53" w:rsidRPr="005309F5" w:rsidRDefault="00F24D53" w:rsidP="005309F5">
            <w:pPr>
              <w:rPr>
                <w:rFonts w:ascii="Arial" w:hAnsi="Arial" w:cs="Arial"/>
                <w:color w:val="000000"/>
                <w:sz w:val="20"/>
                <w:szCs w:val="20"/>
                <w:lang w:eastAsia="en-AU"/>
              </w:rPr>
            </w:pPr>
          </w:p>
        </w:tc>
        <w:tc>
          <w:tcPr>
            <w:tcW w:w="594" w:type="dxa"/>
          </w:tcPr>
          <w:p w14:paraId="4428D4F3" w14:textId="77777777" w:rsidR="00F24D53" w:rsidRPr="005309F5" w:rsidRDefault="00F24D53" w:rsidP="005309F5">
            <w:pPr>
              <w:rPr>
                <w:rFonts w:ascii="Arial" w:hAnsi="Arial" w:cs="Arial"/>
                <w:color w:val="000000"/>
                <w:sz w:val="20"/>
                <w:szCs w:val="20"/>
                <w:lang w:eastAsia="en-AU"/>
              </w:rPr>
            </w:pPr>
          </w:p>
        </w:tc>
      </w:tr>
      <w:tr w:rsidR="00F24D53" w:rsidRPr="005309F5" w14:paraId="6C240FF7" w14:textId="77777777" w:rsidTr="005309F5">
        <w:trPr>
          <w:gridAfter w:val="1"/>
          <w:wAfter w:w="11" w:type="dxa"/>
        </w:trPr>
        <w:tc>
          <w:tcPr>
            <w:tcW w:w="3415" w:type="dxa"/>
          </w:tcPr>
          <w:p w14:paraId="1FEC60B8" w14:textId="77777777" w:rsidR="00F24D53" w:rsidRPr="005309F5" w:rsidRDefault="00F24D53" w:rsidP="005309F5">
            <w:pPr>
              <w:rPr>
                <w:rFonts w:ascii="Arial" w:hAnsi="Arial" w:cs="Arial"/>
                <w:sz w:val="20"/>
                <w:szCs w:val="20"/>
              </w:rPr>
            </w:pPr>
            <w:r w:rsidRPr="005309F5">
              <w:rPr>
                <w:rFonts w:ascii="Arial" w:hAnsi="Arial" w:cs="Arial"/>
                <w:sz w:val="20"/>
                <w:szCs w:val="20"/>
              </w:rPr>
              <w:t>119</w:t>
            </w:r>
            <w:r w:rsidRPr="005309F5">
              <w:rPr>
                <w:rFonts w:ascii="Arial" w:hAnsi="Arial" w:cs="Arial"/>
                <w:color w:val="000000"/>
                <w:sz w:val="20"/>
                <w:szCs w:val="20"/>
              </w:rPr>
              <w:t>-Vic State Gov-</w:t>
            </w:r>
            <w:r w:rsidRPr="005309F5">
              <w:rPr>
                <w:rFonts w:ascii="Arial" w:hAnsi="Arial" w:cs="Arial"/>
                <w:sz w:val="20"/>
                <w:szCs w:val="20"/>
              </w:rPr>
              <w:t xml:space="preserve">Mother/baby withdrawal program </w:t>
            </w:r>
          </w:p>
        </w:tc>
        <w:tc>
          <w:tcPr>
            <w:tcW w:w="594" w:type="dxa"/>
          </w:tcPr>
          <w:p w14:paraId="4A474364"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94" w:type="dxa"/>
          </w:tcPr>
          <w:p w14:paraId="2AF13749" w14:textId="77777777" w:rsidR="00F24D53" w:rsidRPr="005309F5" w:rsidRDefault="00F24D53" w:rsidP="005309F5">
            <w:pPr>
              <w:rPr>
                <w:rFonts w:ascii="Arial" w:hAnsi="Arial" w:cs="Arial"/>
                <w:strike/>
                <w:color w:val="000000"/>
                <w:sz w:val="20"/>
                <w:szCs w:val="20"/>
                <w:lang w:eastAsia="en-AU"/>
              </w:rPr>
            </w:pPr>
          </w:p>
        </w:tc>
        <w:tc>
          <w:tcPr>
            <w:tcW w:w="594" w:type="dxa"/>
          </w:tcPr>
          <w:p w14:paraId="02E2AAD7" w14:textId="77777777" w:rsidR="00F24D53" w:rsidRPr="005309F5" w:rsidRDefault="00F24D53" w:rsidP="005309F5">
            <w:pPr>
              <w:rPr>
                <w:rFonts w:ascii="Arial" w:hAnsi="Arial" w:cs="Arial"/>
                <w:strike/>
                <w:color w:val="000000"/>
                <w:sz w:val="20"/>
                <w:szCs w:val="20"/>
                <w:lang w:eastAsia="en-AU"/>
              </w:rPr>
            </w:pPr>
          </w:p>
        </w:tc>
        <w:tc>
          <w:tcPr>
            <w:tcW w:w="546" w:type="dxa"/>
          </w:tcPr>
          <w:p w14:paraId="4CC099E0" w14:textId="77777777" w:rsidR="00F24D53" w:rsidRPr="005309F5" w:rsidRDefault="00F24D53" w:rsidP="005309F5">
            <w:pPr>
              <w:rPr>
                <w:rFonts w:ascii="Arial" w:hAnsi="Arial" w:cs="Arial"/>
                <w:strike/>
                <w:color w:val="000000"/>
                <w:sz w:val="20"/>
                <w:szCs w:val="20"/>
                <w:lang w:eastAsia="en-AU"/>
              </w:rPr>
            </w:pPr>
          </w:p>
        </w:tc>
        <w:tc>
          <w:tcPr>
            <w:tcW w:w="594" w:type="dxa"/>
          </w:tcPr>
          <w:p w14:paraId="13DC00D2" w14:textId="77777777" w:rsidR="00F24D53" w:rsidRPr="005309F5" w:rsidRDefault="00F24D53" w:rsidP="005309F5">
            <w:pPr>
              <w:rPr>
                <w:rFonts w:ascii="Arial" w:hAnsi="Arial" w:cs="Arial"/>
                <w:strike/>
                <w:color w:val="000000"/>
                <w:sz w:val="20"/>
                <w:szCs w:val="20"/>
                <w:lang w:eastAsia="en-AU"/>
              </w:rPr>
            </w:pPr>
          </w:p>
        </w:tc>
        <w:tc>
          <w:tcPr>
            <w:tcW w:w="594" w:type="dxa"/>
          </w:tcPr>
          <w:p w14:paraId="7A18259E" w14:textId="77777777" w:rsidR="00F24D53" w:rsidRPr="005309F5" w:rsidRDefault="00F24D53" w:rsidP="005309F5">
            <w:pPr>
              <w:rPr>
                <w:rFonts w:ascii="Arial" w:hAnsi="Arial" w:cs="Arial"/>
                <w:strike/>
                <w:color w:val="000000"/>
                <w:sz w:val="20"/>
                <w:szCs w:val="20"/>
                <w:lang w:eastAsia="en-AU"/>
              </w:rPr>
            </w:pPr>
          </w:p>
        </w:tc>
        <w:tc>
          <w:tcPr>
            <w:tcW w:w="583" w:type="dxa"/>
          </w:tcPr>
          <w:p w14:paraId="0B681A7C" w14:textId="77777777" w:rsidR="00F24D53" w:rsidRPr="005309F5" w:rsidRDefault="00F24D53" w:rsidP="005309F5">
            <w:pPr>
              <w:rPr>
                <w:rFonts w:ascii="Arial" w:hAnsi="Arial" w:cs="Arial"/>
                <w:strike/>
                <w:color w:val="000000"/>
                <w:sz w:val="20"/>
                <w:szCs w:val="20"/>
                <w:lang w:eastAsia="en-AU"/>
              </w:rPr>
            </w:pPr>
          </w:p>
        </w:tc>
        <w:tc>
          <w:tcPr>
            <w:tcW w:w="595" w:type="dxa"/>
          </w:tcPr>
          <w:p w14:paraId="33CCB2BB"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4EF185CD"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22A6E975" w14:textId="77777777" w:rsidR="00F24D53" w:rsidRPr="005309F5" w:rsidRDefault="00F24D53" w:rsidP="005309F5">
            <w:pPr>
              <w:rPr>
                <w:rFonts w:ascii="Arial" w:hAnsi="Arial" w:cs="Arial"/>
                <w:strike/>
                <w:color w:val="000000"/>
                <w:sz w:val="20"/>
                <w:szCs w:val="20"/>
                <w:lang w:eastAsia="en-AU"/>
              </w:rPr>
            </w:pPr>
          </w:p>
        </w:tc>
        <w:tc>
          <w:tcPr>
            <w:tcW w:w="594" w:type="dxa"/>
          </w:tcPr>
          <w:p w14:paraId="7856FB20" w14:textId="77777777" w:rsidR="00F24D53" w:rsidRPr="005309F5" w:rsidRDefault="00F24D53" w:rsidP="005309F5">
            <w:pPr>
              <w:rPr>
                <w:rFonts w:ascii="Arial" w:hAnsi="Arial" w:cs="Arial"/>
                <w:strike/>
                <w:color w:val="000000"/>
                <w:sz w:val="20"/>
                <w:szCs w:val="20"/>
                <w:lang w:eastAsia="en-AU"/>
              </w:rPr>
            </w:pPr>
          </w:p>
        </w:tc>
        <w:tc>
          <w:tcPr>
            <w:tcW w:w="584" w:type="dxa"/>
          </w:tcPr>
          <w:p w14:paraId="3BED01B9" w14:textId="77777777" w:rsidR="00F24D53" w:rsidRPr="005309F5" w:rsidRDefault="00F24D53" w:rsidP="005309F5">
            <w:pPr>
              <w:rPr>
                <w:rFonts w:ascii="Arial" w:hAnsi="Arial" w:cs="Arial"/>
                <w:strike/>
                <w:color w:val="000000"/>
                <w:sz w:val="20"/>
                <w:szCs w:val="20"/>
                <w:lang w:eastAsia="en-AU"/>
              </w:rPr>
            </w:pPr>
          </w:p>
        </w:tc>
        <w:tc>
          <w:tcPr>
            <w:tcW w:w="547" w:type="dxa"/>
          </w:tcPr>
          <w:p w14:paraId="0E67DCDE" w14:textId="77777777" w:rsidR="00F24D53" w:rsidRPr="005309F5" w:rsidRDefault="00F24D53" w:rsidP="005309F5">
            <w:pPr>
              <w:rPr>
                <w:rFonts w:ascii="Arial" w:hAnsi="Arial" w:cs="Arial"/>
                <w:strike/>
                <w:color w:val="000000"/>
                <w:sz w:val="20"/>
                <w:szCs w:val="20"/>
                <w:lang w:eastAsia="en-AU"/>
              </w:rPr>
            </w:pPr>
          </w:p>
        </w:tc>
        <w:tc>
          <w:tcPr>
            <w:tcW w:w="584" w:type="dxa"/>
          </w:tcPr>
          <w:p w14:paraId="4190EF24" w14:textId="77777777" w:rsidR="00F24D53" w:rsidRPr="005309F5" w:rsidRDefault="00F24D53" w:rsidP="005309F5">
            <w:pPr>
              <w:rPr>
                <w:rFonts w:ascii="Arial" w:hAnsi="Arial" w:cs="Arial"/>
                <w:strike/>
                <w:color w:val="000000"/>
                <w:sz w:val="20"/>
                <w:szCs w:val="20"/>
                <w:lang w:eastAsia="en-AU"/>
              </w:rPr>
            </w:pPr>
          </w:p>
        </w:tc>
        <w:tc>
          <w:tcPr>
            <w:tcW w:w="547" w:type="dxa"/>
          </w:tcPr>
          <w:p w14:paraId="7032FE49" w14:textId="77777777" w:rsidR="00F24D53" w:rsidRPr="005309F5" w:rsidRDefault="00F24D53" w:rsidP="005309F5">
            <w:pPr>
              <w:rPr>
                <w:rFonts w:ascii="Arial" w:hAnsi="Arial" w:cs="Arial"/>
                <w:color w:val="000000"/>
                <w:sz w:val="20"/>
                <w:szCs w:val="20"/>
                <w:lang w:eastAsia="en-AU"/>
              </w:rPr>
            </w:pPr>
          </w:p>
        </w:tc>
        <w:tc>
          <w:tcPr>
            <w:tcW w:w="594" w:type="dxa"/>
          </w:tcPr>
          <w:p w14:paraId="6F5217EC" w14:textId="77777777" w:rsidR="00F24D53" w:rsidRPr="005309F5" w:rsidRDefault="00F24D53" w:rsidP="005309F5">
            <w:pPr>
              <w:rPr>
                <w:rFonts w:ascii="Arial" w:hAnsi="Arial" w:cs="Arial"/>
                <w:color w:val="000000"/>
                <w:sz w:val="20"/>
                <w:szCs w:val="20"/>
                <w:lang w:eastAsia="en-AU"/>
              </w:rPr>
            </w:pPr>
          </w:p>
        </w:tc>
        <w:tc>
          <w:tcPr>
            <w:tcW w:w="594" w:type="dxa"/>
          </w:tcPr>
          <w:p w14:paraId="3B6CBE08" w14:textId="77777777" w:rsidR="00F24D53" w:rsidRPr="005309F5" w:rsidRDefault="00F24D53" w:rsidP="005309F5">
            <w:pPr>
              <w:rPr>
                <w:rFonts w:ascii="Arial" w:hAnsi="Arial" w:cs="Arial"/>
                <w:color w:val="000000"/>
                <w:sz w:val="20"/>
                <w:szCs w:val="20"/>
                <w:lang w:eastAsia="en-AU"/>
              </w:rPr>
            </w:pPr>
          </w:p>
        </w:tc>
        <w:tc>
          <w:tcPr>
            <w:tcW w:w="547" w:type="dxa"/>
          </w:tcPr>
          <w:p w14:paraId="55C31824" w14:textId="77777777" w:rsidR="00F24D53" w:rsidRPr="005309F5" w:rsidRDefault="00F24D53" w:rsidP="005309F5">
            <w:pPr>
              <w:rPr>
                <w:rFonts w:ascii="Arial" w:hAnsi="Arial" w:cs="Arial"/>
                <w:color w:val="000000"/>
                <w:sz w:val="20"/>
                <w:szCs w:val="20"/>
                <w:lang w:eastAsia="en-AU"/>
              </w:rPr>
            </w:pPr>
          </w:p>
        </w:tc>
        <w:tc>
          <w:tcPr>
            <w:tcW w:w="594" w:type="dxa"/>
          </w:tcPr>
          <w:p w14:paraId="3881F1BF" w14:textId="77777777" w:rsidR="00F24D53" w:rsidRPr="005309F5" w:rsidRDefault="00F24D53" w:rsidP="005309F5">
            <w:pPr>
              <w:rPr>
                <w:rFonts w:ascii="Arial" w:hAnsi="Arial" w:cs="Arial"/>
                <w:color w:val="000000"/>
                <w:sz w:val="20"/>
                <w:szCs w:val="20"/>
                <w:lang w:eastAsia="en-AU"/>
              </w:rPr>
            </w:pPr>
          </w:p>
        </w:tc>
      </w:tr>
      <w:bookmarkEnd w:id="29"/>
      <w:tr w:rsidR="00F24D53" w:rsidRPr="005309F5" w14:paraId="67108142" w14:textId="77777777" w:rsidTr="005309F5">
        <w:trPr>
          <w:gridAfter w:val="1"/>
          <w:wAfter w:w="11" w:type="dxa"/>
        </w:trPr>
        <w:tc>
          <w:tcPr>
            <w:tcW w:w="3415" w:type="dxa"/>
          </w:tcPr>
          <w:p w14:paraId="3E855FEE" w14:textId="77777777" w:rsidR="00F24D53" w:rsidRPr="005309F5" w:rsidRDefault="00F24D53" w:rsidP="005309F5">
            <w:pPr>
              <w:rPr>
                <w:rFonts w:ascii="Arial" w:hAnsi="Arial" w:cs="Arial"/>
                <w:sz w:val="20"/>
                <w:szCs w:val="20"/>
              </w:rPr>
            </w:pPr>
            <w:r w:rsidRPr="005309F5">
              <w:rPr>
                <w:rFonts w:ascii="Arial" w:hAnsi="Arial" w:cs="Arial"/>
                <w:sz w:val="20"/>
                <w:szCs w:val="20"/>
              </w:rPr>
              <w:t>120</w:t>
            </w:r>
            <w:r w:rsidRPr="005309F5">
              <w:rPr>
                <w:rFonts w:ascii="Arial" w:hAnsi="Arial" w:cs="Arial"/>
                <w:color w:val="000000"/>
                <w:sz w:val="20"/>
                <w:szCs w:val="20"/>
              </w:rPr>
              <w:t>-Vic State Gov-</w:t>
            </w:r>
            <w:r w:rsidRPr="005309F5">
              <w:rPr>
                <w:rFonts w:ascii="Arial" w:hAnsi="Arial" w:cs="Arial"/>
                <w:sz w:val="20"/>
                <w:szCs w:val="20"/>
              </w:rPr>
              <w:t>Youth-specific facility withdrawal</w:t>
            </w:r>
          </w:p>
        </w:tc>
        <w:tc>
          <w:tcPr>
            <w:tcW w:w="594" w:type="dxa"/>
          </w:tcPr>
          <w:p w14:paraId="1DBE0834"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94" w:type="dxa"/>
          </w:tcPr>
          <w:p w14:paraId="1E4D6518" w14:textId="77777777" w:rsidR="00F24D53" w:rsidRPr="005309F5" w:rsidRDefault="00F24D53" w:rsidP="005309F5">
            <w:pPr>
              <w:rPr>
                <w:rFonts w:ascii="Arial" w:hAnsi="Arial" w:cs="Arial"/>
                <w:strike/>
                <w:color w:val="000000"/>
                <w:sz w:val="20"/>
                <w:szCs w:val="20"/>
                <w:lang w:eastAsia="en-AU"/>
              </w:rPr>
            </w:pPr>
          </w:p>
        </w:tc>
        <w:tc>
          <w:tcPr>
            <w:tcW w:w="594" w:type="dxa"/>
          </w:tcPr>
          <w:p w14:paraId="1A2C1805" w14:textId="77777777" w:rsidR="00F24D53" w:rsidRPr="005309F5" w:rsidRDefault="00F24D53" w:rsidP="005309F5">
            <w:pPr>
              <w:rPr>
                <w:rFonts w:ascii="Arial" w:hAnsi="Arial" w:cs="Arial"/>
                <w:strike/>
                <w:color w:val="000000"/>
                <w:sz w:val="20"/>
                <w:szCs w:val="20"/>
                <w:lang w:eastAsia="en-AU"/>
              </w:rPr>
            </w:pPr>
          </w:p>
        </w:tc>
        <w:tc>
          <w:tcPr>
            <w:tcW w:w="546" w:type="dxa"/>
          </w:tcPr>
          <w:p w14:paraId="28A24A8A" w14:textId="77777777" w:rsidR="00F24D53" w:rsidRPr="005309F5" w:rsidRDefault="00F24D53" w:rsidP="005309F5">
            <w:pPr>
              <w:rPr>
                <w:rFonts w:ascii="Arial" w:hAnsi="Arial" w:cs="Arial"/>
                <w:strike/>
                <w:color w:val="000000"/>
                <w:sz w:val="20"/>
                <w:szCs w:val="20"/>
                <w:lang w:eastAsia="en-AU"/>
              </w:rPr>
            </w:pPr>
          </w:p>
        </w:tc>
        <w:tc>
          <w:tcPr>
            <w:tcW w:w="594" w:type="dxa"/>
          </w:tcPr>
          <w:p w14:paraId="751257FC" w14:textId="77777777" w:rsidR="00F24D53" w:rsidRPr="005309F5" w:rsidRDefault="00F24D53" w:rsidP="005309F5">
            <w:pPr>
              <w:rPr>
                <w:rFonts w:ascii="Arial" w:hAnsi="Arial" w:cs="Arial"/>
                <w:strike/>
                <w:color w:val="000000"/>
                <w:sz w:val="20"/>
                <w:szCs w:val="20"/>
                <w:lang w:eastAsia="en-AU"/>
              </w:rPr>
            </w:pPr>
          </w:p>
        </w:tc>
        <w:tc>
          <w:tcPr>
            <w:tcW w:w="594" w:type="dxa"/>
          </w:tcPr>
          <w:p w14:paraId="5BC6662A" w14:textId="77777777" w:rsidR="00F24D53" w:rsidRPr="005309F5" w:rsidRDefault="00F24D53" w:rsidP="005309F5">
            <w:pPr>
              <w:rPr>
                <w:rFonts w:ascii="Arial" w:hAnsi="Arial" w:cs="Arial"/>
                <w:strike/>
                <w:color w:val="000000"/>
                <w:sz w:val="20"/>
                <w:szCs w:val="20"/>
                <w:lang w:eastAsia="en-AU"/>
              </w:rPr>
            </w:pPr>
          </w:p>
        </w:tc>
        <w:tc>
          <w:tcPr>
            <w:tcW w:w="583" w:type="dxa"/>
          </w:tcPr>
          <w:p w14:paraId="654A50C4" w14:textId="77777777" w:rsidR="00F24D53" w:rsidRPr="005309F5" w:rsidRDefault="00F24D53" w:rsidP="005309F5">
            <w:pPr>
              <w:rPr>
                <w:rFonts w:ascii="Arial" w:hAnsi="Arial" w:cs="Arial"/>
                <w:strike/>
                <w:color w:val="000000"/>
                <w:sz w:val="20"/>
                <w:szCs w:val="20"/>
                <w:lang w:eastAsia="en-AU"/>
              </w:rPr>
            </w:pPr>
          </w:p>
        </w:tc>
        <w:tc>
          <w:tcPr>
            <w:tcW w:w="595" w:type="dxa"/>
          </w:tcPr>
          <w:p w14:paraId="6F09648A"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5662ED34"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2C32D376" w14:textId="77777777" w:rsidR="00F24D53" w:rsidRPr="005309F5" w:rsidRDefault="00F24D53" w:rsidP="005309F5">
            <w:pPr>
              <w:rPr>
                <w:rFonts w:ascii="Arial" w:hAnsi="Arial" w:cs="Arial"/>
                <w:strike/>
                <w:color w:val="000000"/>
                <w:sz w:val="20"/>
                <w:szCs w:val="20"/>
                <w:lang w:eastAsia="en-AU"/>
              </w:rPr>
            </w:pPr>
          </w:p>
        </w:tc>
        <w:tc>
          <w:tcPr>
            <w:tcW w:w="594" w:type="dxa"/>
          </w:tcPr>
          <w:p w14:paraId="34E71B1A" w14:textId="77777777" w:rsidR="00F24D53" w:rsidRPr="005309F5" w:rsidRDefault="00F24D53" w:rsidP="005309F5">
            <w:pPr>
              <w:rPr>
                <w:rFonts w:ascii="Arial" w:hAnsi="Arial" w:cs="Arial"/>
                <w:strike/>
                <w:color w:val="000000"/>
                <w:sz w:val="20"/>
                <w:szCs w:val="20"/>
                <w:lang w:eastAsia="en-AU"/>
              </w:rPr>
            </w:pPr>
          </w:p>
        </w:tc>
        <w:tc>
          <w:tcPr>
            <w:tcW w:w="584" w:type="dxa"/>
          </w:tcPr>
          <w:p w14:paraId="210787FE" w14:textId="77777777" w:rsidR="00F24D53" w:rsidRPr="005309F5" w:rsidRDefault="00F24D53" w:rsidP="005309F5">
            <w:pPr>
              <w:rPr>
                <w:rFonts w:ascii="Arial" w:hAnsi="Arial" w:cs="Arial"/>
                <w:strike/>
                <w:color w:val="000000"/>
                <w:sz w:val="20"/>
                <w:szCs w:val="20"/>
                <w:lang w:eastAsia="en-AU"/>
              </w:rPr>
            </w:pPr>
          </w:p>
        </w:tc>
        <w:tc>
          <w:tcPr>
            <w:tcW w:w="547" w:type="dxa"/>
          </w:tcPr>
          <w:p w14:paraId="38F8E30E" w14:textId="77777777" w:rsidR="00F24D53" w:rsidRPr="005309F5" w:rsidRDefault="00F24D53" w:rsidP="005309F5">
            <w:pPr>
              <w:rPr>
                <w:rFonts w:ascii="Arial" w:hAnsi="Arial" w:cs="Arial"/>
                <w:strike/>
                <w:color w:val="000000"/>
                <w:sz w:val="20"/>
                <w:szCs w:val="20"/>
                <w:lang w:eastAsia="en-AU"/>
              </w:rPr>
            </w:pPr>
          </w:p>
        </w:tc>
        <w:tc>
          <w:tcPr>
            <w:tcW w:w="584" w:type="dxa"/>
          </w:tcPr>
          <w:p w14:paraId="3F2B6A60" w14:textId="77777777" w:rsidR="00F24D53" w:rsidRPr="005309F5" w:rsidRDefault="00F24D53" w:rsidP="005309F5">
            <w:pPr>
              <w:rPr>
                <w:rFonts w:ascii="Arial" w:hAnsi="Arial" w:cs="Arial"/>
                <w:strike/>
                <w:color w:val="000000"/>
                <w:sz w:val="20"/>
                <w:szCs w:val="20"/>
                <w:lang w:eastAsia="en-AU"/>
              </w:rPr>
            </w:pPr>
          </w:p>
        </w:tc>
        <w:tc>
          <w:tcPr>
            <w:tcW w:w="547" w:type="dxa"/>
          </w:tcPr>
          <w:p w14:paraId="7F9CB9FD" w14:textId="77777777" w:rsidR="00F24D53" w:rsidRPr="005309F5" w:rsidRDefault="00F24D53" w:rsidP="005309F5">
            <w:pPr>
              <w:rPr>
                <w:rFonts w:ascii="Arial" w:hAnsi="Arial" w:cs="Arial"/>
                <w:color w:val="000000"/>
                <w:sz w:val="20"/>
                <w:szCs w:val="20"/>
                <w:lang w:eastAsia="en-AU"/>
              </w:rPr>
            </w:pPr>
          </w:p>
        </w:tc>
        <w:tc>
          <w:tcPr>
            <w:tcW w:w="594" w:type="dxa"/>
          </w:tcPr>
          <w:p w14:paraId="3A982C4D" w14:textId="77777777" w:rsidR="00F24D53" w:rsidRPr="005309F5" w:rsidRDefault="00F24D53" w:rsidP="005309F5">
            <w:pPr>
              <w:rPr>
                <w:rFonts w:ascii="Arial" w:hAnsi="Arial" w:cs="Arial"/>
                <w:color w:val="000000"/>
                <w:sz w:val="20"/>
                <w:szCs w:val="20"/>
                <w:lang w:eastAsia="en-AU"/>
              </w:rPr>
            </w:pPr>
          </w:p>
        </w:tc>
        <w:tc>
          <w:tcPr>
            <w:tcW w:w="594" w:type="dxa"/>
          </w:tcPr>
          <w:p w14:paraId="7AE85684" w14:textId="77777777" w:rsidR="00F24D53" w:rsidRPr="005309F5" w:rsidRDefault="00F24D53" w:rsidP="005309F5">
            <w:pPr>
              <w:rPr>
                <w:rFonts w:ascii="Arial" w:hAnsi="Arial" w:cs="Arial"/>
                <w:color w:val="000000"/>
                <w:sz w:val="20"/>
                <w:szCs w:val="20"/>
                <w:lang w:eastAsia="en-AU"/>
              </w:rPr>
            </w:pPr>
          </w:p>
        </w:tc>
        <w:tc>
          <w:tcPr>
            <w:tcW w:w="547" w:type="dxa"/>
          </w:tcPr>
          <w:p w14:paraId="3E4C1045" w14:textId="77777777" w:rsidR="00F24D53" w:rsidRPr="005309F5" w:rsidRDefault="00F24D53" w:rsidP="005309F5">
            <w:pPr>
              <w:rPr>
                <w:rFonts w:ascii="Arial" w:hAnsi="Arial" w:cs="Arial"/>
                <w:color w:val="000000"/>
                <w:sz w:val="20"/>
                <w:szCs w:val="20"/>
                <w:lang w:eastAsia="en-AU"/>
              </w:rPr>
            </w:pPr>
          </w:p>
        </w:tc>
        <w:tc>
          <w:tcPr>
            <w:tcW w:w="594" w:type="dxa"/>
          </w:tcPr>
          <w:p w14:paraId="07190CE6" w14:textId="77777777" w:rsidR="00F24D53" w:rsidRPr="005309F5" w:rsidRDefault="00F24D53" w:rsidP="005309F5">
            <w:pPr>
              <w:rPr>
                <w:rFonts w:ascii="Arial" w:hAnsi="Arial" w:cs="Arial"/>
                <w:color w:val="000000"/>
                <w:sz w:val="20"/>
                <w:szCs w:val="20"/>
                <w:lang w:eastAsia="en-AU"/>
              </w:rPr>
            </w:pPr>
          </w:p>
        </w:tc>
      </w:tr>
      <w:tr w:rsidR="00F24D53" w:rsidRPr="005309F5" w14:paraId="54294AF3" w14:textId="77777777" w:rsidTr="005309F5">
        <w:trPr>
          <w:gridAfter w:val="1"/>
          <w:wAfter w:w="11" w:type="dxa"/>
        </w:trPr>
        <w:tc>
          <w:tcPr>
            <w:tcW w:w="3415" w:type="dxa"/>
          </w:tcPr>
          <w:p w14:paraId="7F3BB988" w14:textId="77777777" w:rsidR="00F24D53" w:rsidRPr="005309F5" w:rsidRDefault="00F24D53" w:rsidP="005309F5">
            <w:pPr>
              <w:rPr>
                <w:rFonts w:ascii="Arial" w:hAnsi="Arial" w:cs="Arial"/>
                <w:sz w:val="20"/>
                <w:szCs w:val="20"/>
              </w:rPr>
            </w:pPr>
            <w:r w:rsidRPr="005309F5">
              <w:rPr>
                <w:rFonts w:ascii="Arial" w:hAnsi="Arial" w:cs="Arial"/>
                <w:sz w:val="20"/>
                <w:szCs w:val="20"/>
              </w:rPr>
              <w:t>121-Vic State Gov-Residential Withdrawal (general)</w:t>
            </w:r>
          </w:p>
        </w:tc>
        <w:tc>
          <w:tcPr>
            <w:tcW w:w="594" w:type="dxa"/>
          </w:tcPr>
          <w:p w14:paraId="3149A093"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94" w:type="dxa"/>
          </w:tcPr>
          <w:p w14:paraId="70A1FF24" w14:textId="77777777" w:rsidR="00F24D53" w:rsidRPr="005309F5" w:rsidRDefault="00F24D53" w:rsidP="005309F5">
            <w:pPr>
              <w:rPr>
                <w:rFonts w:ascii="Arial" w:hAnsi="Arial" w:cs="Arial"/>
                <w:strike/>
                <w:color w:val="000000"/>
                <w:sz w:val="20"/>
                <w:szCs w:val="20"/>
                <w:lang w:eastAsia="en-AU"/>
              </w:rPr>
            </w:pPr>
          </w:p>
        </w:tc>
        <w:tc>
          <w:tcPr>
            <w:tcW w:w="594" w:type="dxa"/>
          </w:tcPr>
          <w:p w14:paraId="11C5FCD2" w14:textId="77777777" w:rsidR="00F24D53" w:rsidRPr="005309F5" w:rsidRDefault="00F24D53" w:rsidP="005309F5">
            <w:pPr>
              <w:rPr>
                <w:rFonts w:ascii="Arial" w:hAnsi="Arial" w:cs="Arial"/>
                <w:strike/>
                <w:color w:val="000000"/>
                <w:sz w:val="20"/>
                <w:szCs w:val="20"/>
                <w:lang w:eastAsia="en-AU"/>
              </w:rPr>
            </w:pPr>
          </w:p>
        </w:tc>
        <w:tc>
          <w:tcPr>
            <w:tcW w:w="546" w:type="dxa"/>
          </w:tcPr>
          <w:p w14:paraId="7380B7C3" w14:textId="77777777" w:rsidR="00F24D53" w:rsidRPr="005309F5" w:rsidRDefault="00F24D53" w:rsidP="005309F5">
            <w:pPr>
              <w:rPr>
                <w:rFonts w:ascii="Arial" w:hAnsi="Arial" w:cs="Arial"/>
                <w:strike/>
                <w:color w:val="000000"/>
                <w:sz w:val="20"/>
                <w:szCs w:val="20"/>
                <w:lang w:eastAsia="en-AU"/>
              </w:rPr>
            </w:pPr>
          </w:p>
        </w:tc>
        <w:tc>
          <w:tcPr>
            <w:tcW w:w="594" w:type="dxa"/>
          </w:tcPr>
          <w:p w14:paraId="2C16ABE0" w14:textId="77777777" w:rsidR="00F24D53" w:rsidRPr="005309F5" w:rsidRDefault="00F24D53" w:rsidP="005309F5">
            <w:pPr>
              <w:rPr>
                <w:rFonts w:ascii="Arial" w:hAnsi="Arial" w:cs="Arial"/>
                <w:strike/>
                <w:color w:val="000000"/>
                <w:sz w:val="20"/>
                <w:szCs w:val="20"/>
                <w:lang w:eastAsia="en-AU"/>
              </w:rPr>
            </w:pPr>
          </w:p>
        </w:tc>
        <w:tc>
          <w:tcPr>
            <w:tcW w:w="594" w:type="dxa"/>
          </w:tcPr>
          <w:p w14:paraId="7CCC89E9" w14:textId="77777777" w:rsidR="00F24D53" w:rsidRPr="005309F5" w:rsidRDefault="00F24D53" w:rsidP="005309F5">
            <w:pPr>
              <w:rPr>
                <w:rFonts w:ascii="Arial" w:hAnsi="Arial" w:cs="Arial"/>
                <w:strike/>
                <w:color w:val="000000"/>
                <w:sz w:val="20"/>
                <w:szCs w:val="20"/>
                <w:lang w:eastAsia="en-AU"/>
              </w:rPr>
            </w:pPr>
          </w:p>
        </w:tc>
        <w:tc>
          <w:tcPr>
            <w:tcW w:w="583" w:type="dxa"/>
          </w:tcPr>
          <w:p w14:paraId="4DD3B22B" w14:textId="77777777" w:rsidR="00F24D53" w:rsidRPr="005309F5" w:rsidRDefault="00F24D53" w:rsidP="005309F5">
            <w:pPr>
              <w:rPr>
                <w:rFonts w:ascii="Arial" w:hAnsi="Arial" w:cs="Arial"/>
                <w:strike/>
                <w:color w:val="000000"/>
                <w:sz w:val="20"/>
                <w:szCs w:val="20"/>
                <w:lang w:eastAsia="en-AU"/>
              </w:rPr>
            </w:pPr>
          </w:p>
        </w:tc>
        <w:tc>
          <w:tcPr>
            <w:tcW w:w="595" w:type="dxa"/>
          </w:tcPr>
          <w:p w14:paraId="4D6705A5"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0450659C"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1B56BCE8" w14:textId="77777777" w:rsidR="00F24D53" w:rsidRPr="005309F5" w:rsidRDefault="00F24D53" w:rsidP="005309F5">
            <w:pPr>
              <w:rPr>
                <w:rFonts w:ascii="Arial" w:hAnsi="Arial" w:cs="Arial"/>
                <w:strike/>
                <w:color w:val="000000"/>
                <w:sz w:val="20"/>
                <w:szCs w:val="20"/>
                <w:lang w:eastAsia="en-AU"/>
              </w:rPr>
            </w:pPr>
          </w:p>
        </w:tc>
        <w:tc>
          <w:tcPr>
            <w:tcW w:w="594" w:type="dxa"/>
          </w:tcPr>
          <w:p w14:paraId="6999E2B3" w14:textId="77777777" w:rsidR="00F24D53" w:rsidRPr="005309F5" w:rsidRDefault="00F24D53" w:rsidP="005309F5">
            <w:pPr>
              <w:rPr>
                <w:rFonts w:ascii="Arial" w:hAnsi="Arial" w:cs="Arial"/>
                <w:strike/>
                <w:color w:val="000000"/>
                <w:sz w:val="20"/>
                <w:szCs w:val="20"/>
                <w:lang w:eastAsia="en-AU"/>
              </w:rPr>
            </w:pPr>
          </w:p>
        </w:tc>
        <w:tc>
          <w:tcPr>
            <w:tcW w:w="584" w:type="dxa"/>
          </w:tcPr>
          <w:p w14:paraId="4F9AE5BC" w14:textId="77777777" w:rsidR="00F24D53" w:rsidRPr="005309F5" w:rsidRDefault="00F24D53" w:rsidP="005309F5">
            <w:pPr>
              <w:rPr>
                <w:rFonts w:ascii="Arial" w:hAnsi="Arial" w:cs="Arial"/>
                <w:strike/>
                <w:color w:val="000000"/>
                <w:sz w:val="20"/>
                <w:szCs w:val="20"/>
                <w:lang w:eastAsia="en-AU"/>
              </w:rPr>
            </w:pPr>
          </w:p>
        </w:tc>
        <w:tc>
          <w:tcPr>
            <w:tcW w:w="547" w:type="dxa"/>
          </w:tcPr>
          <w:p w14:paraId="046C4F0B" w14:textId="77777777" w:rsidR="00F24D53" w:rsidRPr="005309F5" w:rsidRDefault="00F24D53" w:rsidP="005309F5">
            <w:pPr>
              <w:rPr>
                <w:rFonts w:ascii="Arial" w:hAnsi="Arial" w:cs="Arial"/>
                <w:strike/>
                <w:color w:val="000000"/>
                <w:sz w:val="20"/>
                <w:szCs w:val="20"/>
                <w:lang w:eastAsia="en-AU"/>
              </w:rPr>
            </w:pPr>
          </w:p>
        </w:tc>
        <w:tc>
          <w:tcPr>
            <w:tcW w:w="584" w:type="dxa"/>
          </w:tcPr>
          <w:p w14:paraId="4A210222" w14:textId="77777777" w:rsidR="00F24D53" w:rsidRPr="005309F5" w:rsidRDefault="00F24D53" w:rsidP="005309F5">
            <w:pPr>
              <w:rPr>
                <w:rFonts w:ascii="Arial" w:hAnsi="Arial" w:cs="Arial"/>
                <w:strike/>
                <w:color w:val="000000"/>
                <w:sz w:val="20"/>
                <w:szCs w:val="20"/>
                <w:lang w:eastAsia="en-AU"/>
              </w:rPr>
            </w:pPr>
          </w:p>
        </w:tc>
        <w:tc>
          <w:tcPr>
            <w:tcW w:w="547" w:type="dxa"/>
          </w:tcPr>
          <w:p w14:paraId="6F5BA179" w14:textId="77777777" w:rsidR="00F24D53" w:rsidRPr="005309F5" w:rsidRDefault="00F24D53" w:rsidP="005309F5">
            <w:pPr>
              <w:rPr>
                <w:rFonts w:ascii="Arial" w:hAnsi="Arial" w:cs="Arial"/>
                <w:color w:val="000000"/>
                <w:sz w:val="20"/>
                <w:szCs w:val="20"/>
                <w:lang w:eastAsia="en-AU"/>
              </w:rPr>
            </w:pPr>
          </w:p>
        </w:tc>
        <w:tc>
          <w:tcPr>
            <w:tcW w:w="594" w:type="dxa"/>
          </w:tcPr>
          <w:p w14:paraId="294E97F8" w14:textId="77777777" w:rsidR="00F24D53" w:rsidRPr="005309F5" w:rsidRDefault="00F24D53" w:rsidP="005309F5">
            <w:pPr>
              <w:rPr>
                <w:rFonts w:ascii="Arial" w:hAnsi="Arial" w:cs="Arial"/>
                <w:color w:val="000000"/>
                <w:sz w:val="20"/>
                <w:szCs w:val="20"/>
                <w:lang w:eastAsia="en-AU"/>
              </w:rPr>
            </w:pPr>
          </w:p>
        </w:tc>
        <w:tc>
          <w:tcPr>
            <w:tcW w:w="594" w:type="dxa"/>
          </w:tcPr>
          <w:p w14:paraId="4728C60E" w14:textId="77777777" w:rsidR="00F24D53" w:rsidRPr="005309F5" w:rsidRDefault="00F24D53" w:rsidP="005309F5">
            <w:pPr>
              <w:rPr>
                <w:rFonts w:ascii="Arial" w:hAnsi="Arial" w:cs="Arial"/>
                <w:color w:val="000000"/>
                <w:sz w:val="20"/>
                <w:szCs w:val="20"/>
                <w:lang w:eastAsia="en-AU"/>
              </w:rPr>
            </w:pPr>
          </w:p>
        </w:tc>
        <w:tc>
          <w:tcPr>
            <w:tcW w:w="547" w:type="dxa"/>
          </w:tcPr>
          <w:p w14:paraId="0242F370" w14:textId="77777777" w:rsidR="00F24D53" w:rsidRPr="005309F5" w:rsidRDefault="00F24D53" w:rsidP="005309F5">
            <w:pPr>
              <w:rPr>
                <w:rFonts w:ascii="Arial" w:hAnsi="Arial" w:cs="Arial"/>
                <w:color w:val="000000"/>
                <w:sz w:val="20"/>
                <w:szCs w:val="20"/>
                <w:lang w:eastAsia="en-AU"/>
              </w:rPr>
            </w:pPr>
          </w:p>
        </w:tc>
        <w:tc>
          <w:tcPr>
            <w:tcW w:w="594" w:type="dxa"/>
          </w:tcPr>
          <w:p w14:paraId="5D81B5D3" w14:textId="77777777" w:rsidR="00F24D53" w:rsidRPr="005309F5" w:rsidRDefault="00F24D53" w:rsidP="005309F5">
            <w:pPr>
              <w:rPr>
                <w:rFonts w:ascii="Arial" w:hAnsi="Arial" w:cs="Arial"/>
                <w:color w:val="000000"/>
                <w:sz w:val="20"/>
                <w:szCs w:val="20"/>
                <w:lang w:eastAsia="en-AU"/>
              </w:rPr>
            </w:pPr>
          </w:p>
        </w:tc>
      </w:tr>
      <w:tr w:rsidR="00F24D53" w:rsidRPr="005309F5" w14:paraId="072BD3DC" w14:textId="77777777" w:rsidTr="005309F5">
        <w:trPr>
          <w:gridAfter w:val="1"/>
          <w:wAfter w:w="11" w:type="dxa"/>
        </w:trPr>
        <w:tc>
          <w:tcPr>
            <w:tcW w:w="3415" w:type="dxa"/>
          </w:tcPr>
          <w:p w14:paraId="4F2D4151" w14:textId="77777777" w:rsidR="00F24D53" w:rsidRPr="005309F5" w:rsidRDefault="00F24D53" w:rsidP="005309F5">
            <w:pPr>
              <w:rPr>
                <w:rFonts w:ascii="Arial" w:hAnsi="Arial" w:cs="Arial"/>
                <w:sz w:val="20"/>
                <w:szCs w:val="20"/>
              </w:rPr>
            </w:pPr>
            <w:r w:rsidRPr="005309F5">
              <w:rPr>
                <w:rFonts w:ascii="Arial" w:hAnsi="Arial" w:cs="Arial"/>
                <w:sz w:val="20"/>
                <w:szCs w:val="20"/>
              </w:rPr>
              <w:t>123-Vic State Gov-6-week rehabilitation program</w:t>
            </w:r>
          </w:p>
        </w:tc>
        <w:tc>
          <w:tcPr>
            <w:tcW w:w="594" w:type="dxa"/>
          </w:tcPr>
          <w:p w14:paraId="162F8FA1" w14:textId="77777777" w:rsidR="00F24D53" w:rsidRPr="005309F5" w:rsidRDefault="00F24D53" w:rsidP="005309F5">
            <w:pPr>
              <w:rPr>
                <w:rFonts w:ascii="Arial" w:hAnsi="Arial" w:cs="Arial"/>
                <w:strike/>
                <w:color w:val="000000"/>
                <w:sz w:val="20"/>
                <w:szCs w:val="20"/>
                <w:lang w:eastAsia="en-AU"/>
              </w:rPr>
            </w:pPr>
          </w:p>
        </w:tc>
        <w:tc>
          <w:tcPr>
            <w:tcW w:w="594" w:type="dxa"/>
          </w:tcPr>
          <w:p w14:paraId="39A5C6BD" w14:textId="77777777" w:rsidR="00F24D53" w:rsidRPr="005309F5" w:rsidRDefault="00F24D53" w:rsidP="005309F5">
            <w:pPr>
              <w:rPr>
                <w:rFonts w:ascii="Arial" w:hAnsi="Arial" w:cs="Arial"/>
                <w:strike/>
                <w:color w:val="000000"/>
                <w:sz w:val="20"/>
                <w:szCs w:val="20"/>
                <w:lang w:eastAsia="en-AU"/>
              </w:rPr>
            </w:pPr>
          </w:p>
        </w:tc>
        <w:tc>
          <w:tcPr>
            <w:tcW w:w="594" w:type="dxa"/>
          </w:tcPr>
          <w:p w14:paraId="27C623CB" w14:textId="77777777" w:rsidR="00F24D53" w:rsidRPr="005309F5" w:rsidRDefault="00F24D53" w:rsidP="005309F5">
            <w:pPr>
              <w:rPr>
                <w:rFonts w:ascii="Arial" w:hAnsi="Arial" w:cs="Arial"/>
                <w:strike/>
                <w:color w:val="000000"/>
                <w:sz w:val="20"/>
                <w:szCs w:val="20"/>
                <w:lang w:eastAsia="en-AU"/>
              </w:rPr>
            </w:pPr>
          </w:p>
        </w:tc>
        <w:tc>
          <w:tcPr>
            <w:tcW w:w="546" w:type="dxa"/>
          </w:tcPr>
          <w:p w14:paraId="7757E222" w14:textId="77777777" w:rsidR="00F24D53" w:rsidRPr="005309F5" w:rsidRDefault="00F24D53" w:rsidP="005309F5">
            <w:pPr>
              <w:rPr>
                <w:rFonts w:ascii="Arial" w:hAnsi="Arial" w:cs="Arial"/>
                <w:strike/>
                <w:color w:val="000000"/>
                <w:sz w:val="20"/>
                <w:szCs w:val="20"/>
                <w:lang w:eastAsia="en-AU"/>
              </w:rPr>
            </w:pPr>
          </w:p>
        </w:tc>
        <w:tc>
          <w:tcPr>
            <w:tcW w:w="594" w:type="dxa"/>
          </w:tcPr>
          <w:p w14:paraId="018B25D2" w14:textId="77777777" w:rsidR="00F24D53" w:rsidRPr="005309F5" w:rsidRDefault="00F24D53" w:rsidP="005309F5">
            <w:pPr>
              <w:rPr>
                <w:rFonts w:ascii="Arial" w:hAnsi="Arial" w:cs="Arial"/>
                <w:strike/>
                <w:color w:val="000000"/>
                <w:sz w:val="20"/>
                <w:szCs w:val="20"/>
                <w:lang w:eastAsia="en-AU"/>
              </w:rPr>
            </w:pPr>
          </w:p>
        </w:tc>
        <w:tc>
          <w:tcPr>
            <w:tcW w:w="594" w:type="dxa"/>
          </w:tcPr>
          <w:p w14:paraId="52369951"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83" w:type="dxa"/>
          </w:tcPr>
          <w:p w14:paraId="13A4A2D4" w14:textId="77777777" w:rsidR="00F24D53" w:rsidRPr="005309F5" w:rsidRDefault="00F24D53" w:rsidP="005309F5">
            <w:pPr>
              <w:rPr>
                <w:rFonts w:ascii="Arial" w:hAnsi="Arial" w:cs="Arial"/>
                <w:strike/>
                <w:color w:val="000000"/>
                <w:sz w:val="20"/>
                <w:szCs w:val="20"/>
                <w:lang w:eastAsia="en-AU"/>
              </w:rPr>
            </w:pPr>
          </w:p>
        </w:tc>
        <w:tc>
          <w:tcPr>
            <w:tcW w:w="595" w:type="dxa"/>
          </w:tcPr>
          <w:p w14:paraId="2E075B42"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6B44CE50"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49ABBD03" w14:textId="77777777" w:rsidR="00F24D53" w:rsidRPr="005309F5" w:rsidRDefault="00F24D53" w:rsidP="005309F5">
            <w:pPr>
              <w:rPr>
                <w:rFonts w:ascii="Arial" w:hAnsi="Arial" w:cs="Arial"/>
                <w:strike/>
                <w:color w:val="000000"/>
                <w:sz w:val="20"/>
                <w:szCs w:val="20"/>
                <w:lang w:eastAsia="en-AU"/>
              </w:rPr>
            </w:pPr>
          </w:p>
        </w:tc>
        <w:tc>
          <w:tcPr>
            <w:tcW w:w="594" w:type="dxa"/>
          </w:tcPr>
          <w:p w14:paraId="5C7EEFEF" w14:textId="77777777" w:rsidR="00F24D53" w:rsidRPr="005309F5" w:rsidRDefault="00F24D53" w:rsidP="005309F5">
            <w:pPr>
              <w:rPr>
                <w:rFonts w:ascii="Arial" w:hAnsi="Arial" w:cs="Arial"/>
                <w:strike/>
                <w:color w:val="000000"/>
                <w:sz w:val="20"/>
                <w:szCs w:val="20"/>
                <w:lang w:eastAsia="en-AU"/>
              </w:rPr>
            </w:pPr>
          </w:p>
        </w:tc>
        <w:tc>
          <w:tcPr>
            <w:tcW w:w="584" w:type="dxa"/>
          </w:tcPr>
          <w:p w14:paraId="0CC7877B" w14:textId="77777777" w:rsidR="00F24D53" w:rsidRPr="005309F5" w:rsidRDefault="00F24D53" w:rsidP="005309F5">
            <w:pPr>
              <w:rPr>
                <w:rFonts w:ascii="Arial" w:hAnsi="Arial" w:cs="Arial"/>
                <w:strike/>
                <w:color w:val="000000"/>
                <w:sz w:val="20"/>
                <w:szCs w:val="20"/>
                <w:lang w:eastAsia="en-AU"/>
              </w:rPr>
            </w:pPr>
          </w:p>
        </w:tc>
        <w:tc>
          <w:tcPr>
            <w:tcW w:w="547" w:type="dxa"/>
          </w:tcPr>
          <w:p w14:paraId="5DA5437D" w14:textId="77777777" w:rsidR="00F24D53" w:rsidRPr="005309F5" w:rsidRDefault="00F24D53" w:rsidP="005309F5">
            <w:pPr>
              <w:rPr>
                <w:rFonts w:ascii="Arial" w:hAnsi="Arial" w:cs="Arial"/>
                <w:strike/>
                <w:color w:val="000000"/>
                <w:sz w:val="20"/>
                <w:szCs w:val="20"/>
                <w:lang w:eastAsia="en-AU"/>
              </w:rPr>
            </w:pPr>
          </w:p>
        </w:tc>
        <w:tc>
          <w:tcPr>
            <w:tcW w:w="584" w:type="dxa"/>
          </w:tcPr>
          <w:p w14:paraId="281AE907" w14:textId="77777777" w:rsidR="00F24D53" w:rsidRPr="005309F5" w:rsidRDefault="00F24D53" w:rsidP="005309F5">
            <w:pPr>
              <w:rPr>
                <w:rFonts w:ascii="Arial" w:hAnsi="Arial" w:cs="Arial"/>
                <w:strike/>
                <w:color w:val="000000"/>
                <w:sz w:val="20"/>
                <w:szCs w:val="20"/>
                <w:lang w:eastAsia="en-AU"/>
              </w:rPr>
            </w:pPr>
          </w:p>
        </w:tc>
        <w:tc>
          <w:tcPr>
            <w:tcW w:w="547" w:type="dxa"/>
          </w:tcPr>
          <w:p w14:paraId="2B6A8A7C" w14:textId="77777777" w:rsidR="00F24D53" w:rsidRPr="005309F5" w:rsidRDefault="00F24D53" w:rsidP="005309F5">
            <w:pPr>
              <w:rPr>
                <w:rFonts w:ascii="Arial" w:hAnsi="Arial" w:cs="Arial"/>
                <w:color w:val="000000"/>
                <w:sz w:val="20"/>
                <w:szCs w:val="20"/>
                <w:lang w:eastAsia="en-AU"/>
              </w:rPr>
            </w:pPr>
          </w:p>
        </w:tc>
        <w:tc>
          <w:tcPr>
            <w:tcW w:w="594" w:type="dxa"/>
          </w:tcPr>
          <w:p w14:paraId="314F81D4" w14:textId="77777777" w:rsidR="00F24D53" w:rsidRPr="005309F5" w:rsidRDefault="00F24D53" w:rsidP="005309F5">
            <w:pPr>
              <w:rPr>
                <w:rFonts w:ascii="Arial" w:hAnsi="Arial" w:cs="Arial"/>
                <w:color w:val="000000"/>
                <w:sz w:val="20"/>
                <w:szCs w:val="20"/>
                <w:lang w:eastAsia="en-AU"/>
              </w:rPr>
            </w:pPr>
          </w:p>
        </w:tc>
        <w:tc>
          <w:tcPr>
            <w:tcW w:w="594" w:type="dxa"/>
          </w:tcPr>
          <w:p w14:paraId="52346021" w14:textId="77777777" w:rsidR="00F24D53" w:rsidRPr="005309F5" w:rsidRDefault="00F24D53" w:rsidP="005309F5">
            <w:pPr>
              <w:rPr>
                <w:rFonts w:ascii="Arial" w:hAnsi="Arial" w:cs="Arial"/>
                <w:color w:val="000000"/>
                <w:sz w:val="20"/>
                <w:szCs w:val="20"/>
                <w:lang w:eastAsia="en-AU"/>
              </w:rPr>
            </w:pPr>
          </w:p>
        </w:tc>
        <w:tc>
          <w:tcPr>
            <w:tcW w:w="547" w:type="dxa"/>
          </w:tcPr>
          <w:p w14:paraId="3E58C215" w14:textId="77777777" w:rsidR="00F24D53" w:rsidRPr="005309F5" w:rsidRDefault="00F24D53" w:rsidP="005309F5">
            <w:pPr>
              <w:rPr>
                <w:rFonts w:ascii="Arial" w:hAnsi="Arial" w:cs="Arial"/>
                <w:color w:val="000000"/>
                <w:sz w:val="20"/>
                <w:szCs w:val="20"/>
                <w:lang w:eastAsia="en-AU"/>
              </w:rPr>
            </w:pPr>
          </w:p>
        </w:tc>
        <w:tc>
          <w:tcPr>
            <w:tcW w:w="594" w:type="dxa"/>
          </w:tcPr>
          <w:p w14:paraId="6E1A6F46" w14:textId="77777777" w:rsidR="00F24D53" w:rsidRPr="005309F5" w:rsidRDefault="00F24D53" w:rsidP="005309F5">
            <w:pPr>
              <w:rPr>
                <w:rFonts w:ascii="Arial" w:hAnsi="Arial" w:cs="Arial"/>
                <w:color w:val="000000"/>
                <w:sz w:val="20"/>
                <w:szCs w:val="20"/>
                <w:lang w:eastAsia="en-AU"/>
              </w:rPr>
            </w:pPr>
          </w:p>
        </w:tc>
      </w:tr>
      <w:tr w:rsidR="00F24D53" w:rsidRPr="005309F5" w14:paraId="32D718CC" w14:textId="77777777" w:rsidTr="005309F5">
        <w:trPr>
          <w:gridAfter w:val="1"/>
          <w:wAfter w:w="11" w:type="dxa"/>
        </w:trPr>
        <w:tc>
          <w:tcPr>
            <w:tcW w:w="3415" w:type="dxa"/>
          </w:tcPr>
          <w:p w14:paraId="376B431D" w14:textId="77777777" w:rsidR="00F24D53" w:rsidRPr="005309F5" w:rsidRDefault="00F24D53" w:rsidP="005309F5">
            <w:pPr>
              <w:rPr>
                <w:rFonts w:ascii="Arial" w:hAnsi="Arial" w:cs="Arial"/>
                <w:sz w:val="20"/>
                <w:szCs w:val="20"/>
              </w:rPr>
            </w:pPr>
            <w:r w:rsidRPr="005309F5">
              <w:rPr>
                <w:rFonts w:ascii="Arial" w:hAnsi="Arial" w:cs="Arial"/>
                <w:sz w:val="20"/>
                <w:szCs w:val="20"/>
              </w:rPr>
              <w:t>125-Vic State Gov-Family beds program</w:t>
            </w:r>
          </w:p>
        </w:tc>
        <w:tc>
          <w:tcPr>
            <w:tcW w:w="594" w:type="dxa"/>
          </w:tcPr>
          <w:p w14:paraId="28FA7F1C" w14:textId="77777777" w:rsidR="00F24D53" w:rsidRPr="005309F5" w:rsidRDefault="00F24D53" w:rsidP="005309F5">
            <w:pPr>
              <w:rPr>
                <w:rFonts w:ascii="Arial" w:hAnsi="Arial" w:cs="Arial"/>
                <w:strike/>
                <w:color w:val="000000"/>
                <w:sz w:val="20"/>
                <w:szCs w:val="20"/>
                <w:lang w:eastAsia="en-AU"/>
              </w:rPr>
            </w:pPr>
          </w:p>
        </w:tc>
        <w:tc>
          <w:tcPr>
            <w:tcW w:w="594" w:type="dxa"/>
          </w:tcPr>
          <w:p w14:paraId="2CEB2B44" w14:textId="77777777" w:rsidR="00F24D53" w:rsidRPr="005309F5" w:rsidRDefault="00F24D53" w:rsidP="005309F5">
            <w:pPr>
              <w:rPr>
                <w:rFonts w:ascii="Arial" w:hAnsi="Arial" w:cs="Arial"/>
                <w:strike/>
                <w:color w:val="000000"/>
                <w:sz w:val="20"/>
                <w:szCs w:val="20"/>
                <w:lang w:eastAsia="en-AU"/>
              </w:rPr>
            </w:pPr>
          </w:p>
        </w:tc>
        <w:tc>
          <w:tcPr>
            <w:tcW w:w="594" w:type="dxa"/>
          </w:tcPr>
          <w:p w14:paraId="54E79E3A" w14:textId="77777777" w:rsidR="00F24D53" w:rsidRPr="005309F5" w:rsidRDefault="00F24D53" w:rsidP="005309F5">
            <w:pPr>
              <w:rPr>
                <w:rFonts w:ascii="Arial" w:hAnsi="Arial" w:cs="Arial"/>
                <w:strike/>
                <w:color w:val="000000"/>
                <w:sz w:val="20"/>
                <w:szCs w:val="20"/>
                <w:lang w:eastAsia="en-AU"/>
              </w:rPr>
            </w:pPr>
          </w:p>
        </w:tc>
        <w:tc>
          <w:tcPr>
            <w:tcW w:w="546" w:type="dxa"/>
          </w:tcPr>
          <w:p w14:paraId="54ADFEB2" w14:textId="77777777" w:rsidR="00F24D53" w:rsidRPr="005309F5" w:rsidRDefault="00F24D53" w:rsidP="005309F5">
            <w:pPr>
              <w:rPr>
                <w:rFonts w:ascii="Arial" w:hAnsi="Arial" w:cs="Arial"/>
                <w:strike/>
                <w:color w:val="000000"/>
                <w:sz w:val="20"/>
                <w:szCs w:val="20"/>
                <w:lang w:eastAsia="en-AU"/>
              </w:rPr>
            </w:pPr>
          </w:p>
        </w:tc>
        <w:tc>
          <w:tcPr>
            <w:tcW w:w="594" w:type="dxa"/>
          </w:tcPr>
          <w:p w14:paraId="3210D486" w14:textId="77777777" w:rsidR="00F24D53" w:rsidRPr="005309F5" w:rsidRDefault="00F24D53" w:rsidP="005309F5">
            <w:pPr>
              <w:rPr>
                <w:rFonts w:ascii="Arial" w:hAnsi="Arial" w:cs="Arial"/>
                <w:strike/>
                <w:color w:val="000000"/>
                <w:sz w:val="20"/>
                <w:szCs w:val="20"/>
                <w:lang w:eastAsia="en-AU"/>
              </w:rPr>
            </w:pPr>
          </w:p>
        </w:tc>
        <w:tc>
          <w:tcPr>
            <w:tcW w:w="594" w:type="dxa"/>
          </w:tcPr>
          <w:p w14:paraId="4AB5D4B2"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83" w:type="dxa"/>
          </w:tcPr>
          <w:p w14:paraId="3CAD9D76" w14:textId="77777777" w:rsidR="00F24D53" w:rsidRPr="005309F5" w:rsidRDefault="00F24D53" w:rsidP="005309F5">
            <w:pPr>
              <w:rPr>
                <w:rFonts w:ascii="Arial" w:hAnsi="Arial" w:cs="Arial"/>
                <w:strike/>
                <w:color w:val="000000"/>
                <w:sz w:val="20"/>
                <w:szCs w:val="20"/>
                <w:lang w:eastAsia="en-AU"/>
              </w:rPr>
            </w:pPr>
          </w:p>
        </w:tc>
        <w:tc>
          <w:tcPr>
            <w:tcW w:w="595" w:type="dxa"/>
          </w:tcPr>
          <w:p w14:paraId="6B7E87D0"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702D2F7F"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1083FB93" w14:textId="77777777" w:rsidR="00F24D53" w:rsidRPr="005309F5" w:rsidRDefault="00F24D53" w:rsidP="005309F5">
            <w:pPr>
              <w:rPr>
                <w:rFonts w:ascii="Arial" w:hAnsi="Arial" w:cs="Arial"/>
                <w:strike/>
                <w:color w:val="000000"/>
                <w:sz w:val="20"/>
                <w:szCs w:val="20"/>
                <w:lang w:eastAsia="en-AU"/>
              </w:rPr>
            </w:pPr>
          </w:p>
        </w:tc>
        <w:tc>
          <w:tcPr>
            <w:tcW w:w="594" w:type="dxa"/>
          </w:tcPr>
          <w:p w14:paraId="3256E130" w14:textId="77777777" w:rsidR="00F24D53" w:rsidRPr="005309F5" w:rsidRDefault="00F24D53" w:rsidP="005309F5">
            <w:pPr>
              <w:rPr>
                <w:rFonts w:ascii="Arial" w:hAnsi="Arial" w:cs="Arial"/>
                <w:strike/>
                <w:color w:val="000000"/>
                <w:sz w:val="20"/>
                <w:szCs w:val="20"/>
                <w:lang w:eastAsia="en-AU"/>
              </w:rPr>
            </w:pPr>
          </w:p>
        </w:tc>
        <w:tc>
          <w:tcPr>
            <w:tcW w:w="584" w:type="dxa"/>
          </w:tcPr>
          <w:p w14:paraId="4A09BD69" w14:textId="77777777" w:rsidR="00F24D53" w:rsidRPr="005309F5" w:rsidRDefault="00F24D53" w:rsidP="005309F5">
            <w:pPr>
              <w:rPr>
                <w:rFonts w:ascii="Arial" w:hAnsi="Arial" w:cs="Arial"/>
                <w:strike/>
                <w:color w:val="000000"/>
                <w:sz w:val="20"/>
                <w:szCs w:val="20"/>
                <w:lang w:eastAsia="en-AU"/>
              </w:rPr>
            </w:pPr>
          </w:p>
        </w:tc>
        <w:tc>
          <w:tcPr>
            <w:tcW w:w="547" w:type="dxa"/>
          </w:tcPr>
          <w:p w14:paraId="72B45037" w14:textId="77777777" w:rsidR="00F24D53" w:rsidRPr="005309F5" w:rsidRDefault="00F24D53" w:rsidP="005309F5">
            <w:pPr>
              <w:rPr>
                <w:rFonts w:ascii="Arial" w:hAnsi="Arial" w:cs="Arial"/>
                <w:strike/>
                <w:color w:val="000000"/>
                <w:sz w:val="20"/>
                <w:szCs w:val="20"/>
                <w:lang w:eastAsia="en-AU"/>
              </w:rPr>
            </w:pPr>
          </w:p>
        </w:tc>
        <w:tc>
          <w:tcPr>
            <w:tcW w:w="584" w:type="dxa"/>
          </w:tcPr>
          <w:p w14:paraId="0A763D7A" w14:textId="77777777" w:rsidR="00F24D53" w:rsidRPr="005309F5" w:rsidRDefault="00F24D53" w:rsidP="005309F5">
            <w:pPr>
              <w:rPr>
                <w:rFonts w:ascii="Arial" w:hAnsi="Arial" w:cs="Arial"/>
                <w:strike/>
                <w:color w:val="000000"/>
                <w:sz w:val="20"/>
                <w:szCs w:val="20"/>
                <w:lang w:eastAsia="en-AU"/>
              </w:rPr>
            </w:pPr>
          </w:p>
        </w:tc>
        <w:tc>
          <w:tcPr>
            <w:tcW w:w="547" w:type="dxa"/>
          </w:tcPr>
          <w:p w14:paraId="75212F95" w14:textId="77777777" w:rsidR="00F24D53" w:rsidRPr="005309F5" w:rsidRDefault="00F24D53" w:rsidP="005309F5">
            <w:pPr>
              <w:rPr>
                <w:rFonts w:ascii="Arial" w:hAnsi="Arial" w:cs="Arial"/>
                <w:color w:val="000000"/>
                <w:sz w:val="20"/>
                <w:szCs w:val="20"/>
                <w:lang w:eastAsia="en-AU"/>
              </w:rPr>
            </w:pPr>
          </w:p>
        </w:tc>
        <w:tc>
          <w:tcPr>
            <w:tcW w:w="594" w:type="dxa"/>
          </w:tcPr>
          <w:p w14:paraId="152B6529" w14:textId="77777777" w:rsidR="00F24D53" w:rsidRPr="005309F5" w:rsidRDefault="00F24D53" w:rsidP="005309F5">
            <w:pPr>
              <w:rPr>
                <w:rFonts w:ascii="Arial" w:hAnsi="Arial" w:cs="Arial"/>
                <w:color w:val="000000"/>
                <w:sz w:val="20"/>
                <w:szCs w:val="20"/>
                <w:lang w:eastAsia="en-AU"/>
              </w:rPr>
            </w:pPr>
          </w:p>
        </w:tc>
        <w:tc>
          <w:tcPr>
            <w:tcW w:w="594" w:type="dxa"/>
          </w:tcPr>
          <w:p w14:paraId="3CD49D74" w14:textId="77777777" w:rsidR="00F24D53" w:rsidRPr="005309F5" w:rsidRDefault="00F24D53" w:rsidP="005309F5">
            <w:pPr>
              <w:rPr>
                <w:rFonts w:ascii="Arial" w:hAnsi="Arial" w:cs="Arial"/>
                <w:color w:val="000000"/>
                <w:sz w:val="20"/>
                <w:szCs w:val="20"/>
                <w:lang w:eastAsia="en-AU"/>
              </w:rPr>
            </w:pPr>
          </w:p>
        </w:tc>
        <w:tc>
          <w:tcPr>
            <w:tcW w:w="547" w:type="dxa"/>
          </w:tcPr>
          <w:p w14:paraId="43A93086" w14:textId="77777777" w:rsidR="00F24D53" w:rsidRPr="005309F5" w:rsidRDefault="00F24D53" w:rsidP="005309F5">
            <w:pPr>
              <w:rPr>
                <w:rFonts w:ascii="Arial" w:hAnsi="Arial" w:cs="Arial"/>
                <w:color w:val="000000"/>
                <w:sz w:val="20"/>
                <w:szCs w:val="20"/>
                <w:lang w:eastAsia="en-AU"/>
              </w:rPr>
            </w:pPr>
          </w:p>
        </w:tc>
        <w:tc>
          <w:tcPr>
            <w:tcW w:w="594" w:type="dxa"/>
          </w:tcPr>
          <w:p w14:paraId="4CB76629" w14:textId="77777777" w:rsidR="00F24D53" w:rsidRPr="005309F5" w:rsidRDefault="00F24D53" w:rsidP="005309F5">
            <w:pPr>
              <w:rPr>
                <w:rFonts w:ascii="Arial" w:hAnsi="Arial" w:cs="Arial"/>
                <w:color w:val="000000"/>
                <w:sz w:val="20"/>
                <w:szCs w:val="20"/>
                <w:lang w:eastAsia="en-AU"/>
              </w:rPr>
            </w:pPr>
          </w:p>
        </w:tc>
      </w:tr>
      <w:tr w:rsidR="00F24D53" w:rsidRPr="005309F5" w14:paraId="6FC45941" w14:textId="77777777" w:rsidTr="005309F5">
        <w:trPr>
          <w:gridAfter w:val="1"/>
          <w:wAfter w:w="11" w:type="dxa"/>
        </w:trPr>
        <w:tc>
          <w:tcPr>
            <w:tcW w:w="3415" w:type="dxa"/>
          </w:tcPr>
          <w:p w14:paraId="00DF2527" w14:textId="77777777" w:rsidR="00F24D53" w:rsidRPr="005309F5" w:rsidRDefault="00F24D53" w:rsidP="005309F5">
            <w:pPr>
              <w:rPr>
                <w:rFonts w:ascii="Arial" w:hAnsi="Arial" w:cs="Arial"/>
                <w:sz w:val="20"/>
                <w:szCs w:val="20"/>
              </w:rPr>
            </w:pPr>
            <w:r w:rsidRPr="005309F5">
              <w:rPr>
                <w:rFonts w:ascii="Arial" w:hAnsi="Arial" w:cs="Arial"/>
                <w:sz w:val="20"/>
                <w:szCs w:val="20"/>
              </w:rPr>
              <w:t>126-Vic State Gov-Youth-specific facility rehabilitation</w:t>
            </w:r>
          </w:p>
        </w:tc>
        <w:tc>
          <w:tcPr>
            <w:tcW w:w="594" w:type="dxa"/>
          </w:tcPr>
          <w:p w14:paraId="0BA0F0E2" w14:textId="77777777" w:rsidR="00F24D53" w:rsidRPr="005309F5" w:rsidRDefault="00F24D53" w:rsidP="005309F5">
            <w:pPr>
              <w:rPr>
                <w:rFonts w:ascii="Arial" w:hAnsi="Arial" w:cs="Arial"/>
                <w:strike/>
                <w:color w:val="000000"/>
                <w:sz w:val="20"/>
                <w:szCs w:val="20"/>
                <w:lang w:eastAsia="en-AU"/>
              </w:rPr>
            </w:pPr>
          </w:p>
        </w:tc>
        <w:tc>
          <w:tcPr>
            <w:tcW w:w="594" w:type="dxa"/>
          </w:tcPr>
          <w:p w14:paraId="3845CBEB" w14:textId="77777777" w:rsidR="00F24D53" w:rsidRPr="005309F5" w:rsidRDefault="00F24D53" w:rsidP="005309F5">
            <w:pPr>
              <w:rPr>
                <w:rFonts w:ascii="Arial" w:hAnsi="Arial" w:cs="Arial"/>
                <w:strike/>
                <w:color w:val="000000"/>
                <w:sz w:val="20"/>
                <w:szCs w:val="20"/>
                <w:lang w:eastAsia="en-AU"/>
              </w:rPr>
            </w:pPr>
          </w:p>
        </w:tc>
        <w:tc>
          <w:tcPr>
            <w:tcW w:w="594" w:type="dxa"/>
          </w:tcPr>
          <w:p w14:paraId="68ACD617" w14:textId="77777777" w:rsidR="00F24D53" w:rsidRPr="005309F5" w:rsidRDefault="00F24D53" w:rsidP="005309F5">
            <w:pPr>
              <w:rPr>
                <w:rFonts w:ascii="Arial" w:hAnsi="Arial" w:cs="Arial"/>
                <w:strike/>
                <w:color w:val="000000"/>
                <w:sz w:val="20"/>
                <w:szCs w:val="20"/>
                <w:lang w:eastAsia="en-AU"/>
              </w:rPr>
            </w:pPr>
          </w:p>
        </w:tc>
        <w:tc>
          <w:tcPr>
            <w:tcW w:w="546" w:type="dxa"/>
          </w:tcPr>
          <w:p w14:paraId="499E1F19" w14:textId="77777777" w:rsidR="00F24D53" w:rsidRPr="005309F5" w:rsidRDefault="00F24D53" w:rsidP="005309F5">
            <w:pPr>
              <w:rPr>
                <w:rFonts w:ascii="Arial" w:hAnsi="Arial" w:cs="Arial"/>
                <w:strike/>
                <w:color w:val="000000"/>
                <w:sz w:val="20"/>
                <w:szCs w:val="20"/>
                <w:lang w:eastAsia="en-AU"/>
              </w:rPr>
            </w:pPr>
          </w:p>
        </w:tc>
        <w:tc>
          <w:tcPr>
            <w:tcW w:w="594" w:type="dxa"/>
          </w:tcPr>
          <w:p w14:paraId="521BEDC1" w14:textId="77777777" w:rsidR="00F24D53" w:rsidRPr="005309F5" w:rsidRDefault="00F24D53" w:rsidP="005309F5">
            <w:pPr>
              <w:rPr>
                <w:rFonts w:ascii="Arial" w:hAnsi="Arial" w:cs="Arial"/>
                <w:strike/>
                <w:color w:val="000000"/>
                <w:sz w:val="20"/>
                <w:szCs w:val="20"/>
                <w:lang w:eastAsia="en-AU"/>
              </w:rPr>
            </w:pPr>
          </w:p>
        </w:tc>
        <w:tc>
          <w:tcPr>
            <w:tcW w:w="594" w:type="dxa"/>
          </w:tcPr>
          <w:p w14:paraId="147CDFA1"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83" w:type="dxa"/>
          </w:tcPr>
          <w:p w14:paraId="159BE727" w14:textId="77777777" w:rsidR="00F24D53" w:rsidRPr="005309F5" w:rsidRDefault="00F24D53" w:rsidP="005309F5">
            <w:pPr>
              <w:rPr>
                <w:rFonts w:ascii="Arial" w:hAnsi="Arial" w:cs="Arial"/>
                <w:strike/>
                <w:color w:val="000000"/>
                <w:sz w:val="20"/>
                <w:szCs w:val="20"/>
                <w:lang w:eastAsia="en-AU"/>
              </w:rPr>
            </w:pPr>
          </w:p>
        </w:tc>
        <w:tc>
          <w:tcPr>
            <w:tcW w:w="595" w:type="dxa"/>
          </w:tcPr>
          <w:p w14:paraId="18FF7778"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1B970831"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0C22123A" w14:textId="77777777" w:rsidR="00F24D53" w:rsidRPr="005309F5" w:rsidRDefault="00F24D53" w:rsidP="005309F5">
            <w:pPr>
              <w:rPr>
                <w:rFonts w:ascii="Arial" w:hAnsi="Arial" w:cs="Arial"/>
                <w:strike/>
                <w:color w:val="000000"/>
                <w:sz w:val="20"/>
                <w:szCs w:val="20"/>
                <w:lang w:eastAsia="en-AU"/>
              </w:rPr>
            </w:pPr>
          </w:p>
        </w:tc>
        <w:tc>
          <w:tcPr>
            <w:tcW w:w="594" w:type="dxa"/>
          </w:tcPr>
          <w:p w14:paraId="1221E70E" w14:textId="77777777" w:rsidR="00F24D53" w:rsidRPr="005309F5" w:rsidRDefault="00F24D53" w:rsidP="005309F5">
            <w:pPr>
              <w:rPr>
                <w:rFonts w:ascii="Arial" w:hAnsi="Arial" w:cs="Arial"/>
                <w:strike/>
                <w:color w:val="000000"/>
                <w:sz w:val="20"/>
                <w:szCs w:val="20"/>
                <w:lang w:eastAsia="en-AU"/>
              </w:rPr>
            </w:pPr>
          </w:p>
        </w:tc>
        <w:tc>
          <w:tcPr>
            <w:tcW w:w="584" w:type="dxa"/>
          </w:tcPr>
          <w:p w14:paraId="39A9CF77" w14:textId="77777777" w:rsidR="00F24D53" w:rsidRPr="005309F5" w:rsidRDefault="00F24D53" w:rsidP="005309F5">
            <w:pPr>
              <w:rPr>
                <w:rFonts w:ascii="Arial" w:hAnsi="Arial" w:cs="Arial"/>
                <w:strike/>
                <w:color w:val="000000"/>
                <w:sz w:val="20"/>
                <w:szCs w:val="20"/>
                <w:lang w:eastAsia="en-AU"/>
              </w:rPr>
            </w:pPr>
          </w:p>
        </w:tc>
        <w:tc>
          <w:tcPr>
            <w:tcW w:w="547" w:type="dxa"/>
          </w:tcPr>
          <w:p w14:paraId="4288D7BB" w14:textId="77777777" w:rsidR="00F24D53" w:rsidRPr="005309F5" w:rsidRDefault="00F24D53" w:rsidP="005309F5">
            <w:pPr>
              <w:rPr>
                <w:rFonts w:ascii="Arial" w:hAnsi="Arial" w:cs="Arial"/>
                <w:strike/>
                <w:color w:val="000000"/>
                <w:sz w:val="20"/>
                <w:szCs w:val="20"/>
                <w:lang w:eastAsia="en-AU"/>
              </w:rPr>
            </w:pPr>
          </w:p>
        </w:tc>
        <w:tc>
          <w:tcPr>
            <w:tcW w:w="584" w:type="dxa"/>
          </w:tcPr>
          <w:p w14:paraId="16C8F010" w14:textId="77777777" w:rsidR="00F24D53" w:rsidRPr="005309F5" w:rsidRDefault="00F24D53" w:rsidP="005309F5">
            <w:pPr>
              <w:rPr>
                <w:rFonts w:ascii="Arial" w:hAnsi="Arial" w:cs="Arial"/>
                <w:strike/>
                <w:color w:val="000000"/>
                <w:sz w:val="20"/>
                <w:szCs w:val="20"/>
                <w:lang w:eastAsia="en-AU"/>
              </w:rPr>
            </w:pPr>
          </w:p>
        </w:tc>
        <w:tc>
          <w:tcPr>
            <w:tcW w:w="547" w:type="dxa"/>
          </w:tcPr>
          <w:p w14:paraId="35AE4219" w14:textId="77777777" w:rsidR="00F24D53" w:rsidRPr="005309F5" w:rsidRDefault="00F24D53" w:rsidP="005309F5">
            <w:pPr>
              <w:rPr>
                <w:rFonts w:ascii="Arial" w:hAnsi="Arial" w:cs="Arial"/>
                <w:color w:val="000000"/>
                <w:sz w:val="20"/>
                <w:szCs w:val="20"/>
                <w:lang w:eastAsia="en-AU"/>
              </w:rPr>
            </w:pPr>
          </w:p>
        </w:tc>
        <w:tc>
          <w:tcPr>
            <w:tcW w:w="594" w:type="dxa"/>
          </w:tcPr>
          <w:p w14:paraId="792A79F7" w14:textId="77777777" w:rsidR="00F24D53" w:rsidRPr="005309F5" w:rsidRDefault="00F24D53" w:rsidP="005309F5">
            <w:pPr>
              <w:rPr>
                <w:rFonts w:ascii="Arial" w:hAnsi="Arial" w:cs="Arial"/>
                <w:color w:val="000000"/>
                <w:sz w:val="20"/>
                <w:szCs w:val="20"/>
                <w:lang w:eastAsia="en-AU"/>
              </w:rPr>
            </w:pPr>
          </w:p>
        </w:tc>
        <w:tc>
          <w:tcPr>
            <w:tcW w:w="594" w:type="dxa"/>
          </w:tcPr>
          <w:p w14:paraId="6D960478" w14:textId="77777777" w:rsidR="00F24D53" w:rsidRPr="005309F5" w:rsidRDefault="00F24D53" w:rsidP="005309F5">
            <w:pPr>
              <w:rPr>
                <w:rFonts w:ascii="Arial" w:hAnsi="Arial" w:cs="Arial"/>
                <w:color w:val="000000"/>
                <w:sz w:val="20"/>
                <w:szCs w:val="20"/>
                <w:lang w:eastAsia="en-AU"/>
              </w:rPr>
            </w:pPr>
          </w:p>
        </w:tc>
        <w:tc>
          <w:tcPr>
            <w:tcW w:w="547" w:type="dxa"/>
          </w:tcPr>
          <w:p w14:paraId="2F3666A8" w14:textId="77777777" w:rsidR="00F24D53" w:rsidRPr="005309F5" w:rsidRDefault="00F24D53" w:rsidP="005309F5">
            <w:pPr>
              <w:rPr>
                <w:rFonts w:ascii="Arial" w:hAnsi="Arial" w:cs="Arial"/>
                <w:color w:val="000000"/>
                <w:sz w:val="20"/>
                <w:szCs w:val="20"/>
                <w:lang w:eastAsia="en-AU"/>
              </w:rPr>
            </w:pPr>
          </w:p>
        </w:tc>
        <w:tc>
          <w:tcPr>
            <w:tcW w:w="594" w:type="dxa"/>
          </w:tcPr>
          <w:p w14:paraId="550D06A2" w14:textId="77777777" w:rsidR="00F24D53" w:rsidRPr="005309F5" w:rsidRDefault="00F24D53" w:rsidP="005309F5">
            <w:pPr>
              <w:rPr>
                <w:rFonts w:ascii="Arial" w:hAnsi="Arial" w:cs="Arial"/>
                <w:color w:val="000000"/>
                <w:sz w:val="20"/>
                <w:szCs w:val="20"/>
                <w:lang w:eastAsia="en-AU"/>
              </w:rPr>
            </w:pPr>
          </w:p>
        </w:tc>
      </w:tr>
      <w:tr w:rsidR="00F24D53" w:rsidRPr="005309F5" w14:paraId="1FCDC5AA" w14:textId="77777777" w:rsidTr="005309F5">
        <w:trPr>
          <w:gridAfter w:val="1"/>
          <w:wAfter w:w="11" w:type="dxa"/>
        </w:trPr>
        <w:tc>
          <w:tcPr>
            <w:tcW w:w="3415" w:type="dxa"/>
          </w:tcPr>
          <w:p w14:paraId="5AA0FBBD" w14:textId="77777777" w:rsidR="00F24D53" w:rsidRPr="005309F5" w:rsidRDefault="00F24D53" w:rsidP="005309F5">
            <w:pPr>
              <w:rPr>
                <w:rFonts w:ascii="Arial" w:hAnsi="Arial" w:cs="Arial"/>
                <w:sz w:val="20"/>
                <w:szCs w:val="20"/>
              </w:rPr>
            </w:pPr>
            <w:r w:rsidRPr="005309F5">
              <w:rPr>
                <w:rFonts w:ascii="Arial" w:hAnsi="Arial" w:cs="Arial"/>
                <w:sz w:val="20"/>
                <w:szCs w:val="20"/>
              </w:rPr>
              <w:t>127-Vic State Gov-Aboriginal-specific facility rehabilitation</w:t>
            </w:r>
          </w:p>
        </w:tc>
        <w:tc>
          <w:tcPr>
            <w:tcW w:w="594" w:type="dxa"/>
          </w:tcPr>
          <w:p w14:paraId="6CE65581" w14:textId="77777777" w:rsidR="00F24D53" w:rsidRPr="005309F5" w:rsidRDefault="00F24D53" w:rsidP="005309F5">
            <w:pPr>
              <w:rPr>
                <w:rFonts w:ascii="Arial" w:hAnsi="Arial" w:cs="Arial"/>
                <w:strike/>
                <w:color w:val="000000"/>
                <w:sz w:val="20"/>
                <w:szCs w:val="20"/>
                <w:lang w:eastAsia="en-AU"/>
              </w:rPr>
            </w:pPr>
          </w:p>
        </w:tc>
        <w:tc>
          <w:tcPr>
            <w:tcW w:w="594" w:type="dxa"/>
          </w:tcPr>
          <w:p w14:paraId="5B6B1984" w14:textId="77777777" w:rsidR="00F24D53" w:rsidRPr="005309F5" w:rsidRDefault="00F24D53" w:rsidP="005309F5">
            <w:pPr>
              <w:rPr>
                <w:rFonts w:ascii="Arial" w:hAnsi="Arial" w:cs="Arial"/>
                <w:strike/>
                <w:color w:val="000000"/>
                <w:sz w:val="20"/>
                <w:szCs w:val="20"/>
                <w:lang w:eastAsia="en-AU"/>
              </w:rPr>
            </w:pPr>
          </w:p>
        </w:tc>
        <w:tc>
          <w:tcPr>
            <w:tcW w:w="594" w:type="dxa"/>
          </w:tcPr>
          <w:p w14:paraId="36BECD46" w14:textId="77777777" w:rsidR="00F24D53" w:rsidRPr="005309F5" w:rsidRDefault="00F24D53" w:rsidP="005309F5">
            <w:pPr>
              <w:rPr>
                <w:rFonts w:ascii="Arial" w:hAnsi="Arial" w:cs="Arial"/>
                <w:strike/>
                <w:color w:val="000000"/>
                <w:sz w:val="20"/>
                <w:szCs w:val="20"/>
                <w:lang w:eastAsia="en-AU"/>
              </w:rPr>
            </w:pPr>
          </w:p>
        </w:tc>
        <w:tc>
          <w:tcPr>
            <w:tcW w:w="546" w:type="dxa"/>
          </w:tcPr>
          <w:p w14:paraId="50D5B49F" w14:textId="77777777" w:rsidR="00F24D53" w:rsidRPr="005309F5" w:rsidRDefault="00F24D53" w:rsidP="005309F5">
            <w:pPr>
              <w:rPr>
                <w:rFonts w:ascii="Arial" w:hAnsi="Arial" w:cs="Arial"/>
                <w:strike/>
                <w:color w:val="000000"/>
                <w:sz w:val="20"/>
                <w:szCs w:val="20"/>
                <w:lang w:eastAsia="en-AU"/>
              </w:rPr>
            </w:pPr>
          </w:p>
        </w:tc>
        <w:tc>
          <w:tcPr>
            <w:tcW w:w="594" w:type="dxa"/>
          </w:tcPr>
          <w:p w14:paraId="317F0876" w14:textId="77777777" w:rsidR="00F24D53" w:rsidRPr="005309F5" w:rsidRDefault="00F24D53" w:rsidP="005309F5">
            <w:pPr>
              <w:rPr>
                <w:rFonts w:ascii="Arial" w:hAnsi="Arial" w:cs="Arial"/>
                <w:strike/>
                <w:color w:val="000000"/>
                <w:sz w:val="20"/>
                <w:szCs w:val="20"/>
                <w:lang w:eastAsia="en-AU"/>
              </w:rPr>
            </w:pPr>
          </w:p>
        </w:tc>
        <w:tc>
          <w:tcPr>
            <w:tcW w:w="594" w:type="dxa"/>
          </w:tcPr>
          <w:p w14:paraId="71746264"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83" w:type="dxa"/>
          </w:tcPr>
          <w:p w14:paraId="18EF9A21" w14:textId="77777777" w:rsidR="00F24D53" w:rsidRPr="005309F5" w:rsidRDefault="00F24D53" w:rsidP="005309F5">
            <w:pPr>
              <w:rPr>
                <w:rFonts w:ascii="Arial" w:hAnsi="Arial" w:cs="Arial"/>
                <w:strike/>
                <w:color w:val="000000"/>
                <w:sz w:val="20"/>
                <w:szCs w:val="20"/>
                <w:lang w:eastAsia="en-AU"/>
              </w:rPr>
            </w:pPr>
          </w:p>
        </w:tc>
        <w:tc>
          <w:tcPr>
            <w:tcW w:w="595" w:type="dxa"/>
          </w:tcPr>
          <w:p w14:paraId="3AF8AAF2"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70C2E046"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7F22DFE0" w14:textId="77777777" w:rsidR="00F24D53" w:rsidRPr="005309F5" w:rsidRDefault="00F24D53" w:rsidP="005309F5">
            <w:pPr>
              <w:rPr>
                <w:rFonts w:ascii="Arial" w:hAnsi="Arial" w:cs="Arial"/>
                <w:strike/>
                <w:color w:val="000000"/>
                <w:sz w:val="20"/>
                <w:szCs w:val="20"/>
                <w:lang w:eastAsia="en-AU"/>
              </w:rPr>
            </w:pPr>
          </w:p>
        </w:tc>
        <w:tc>
          <w:tcPr>
            <w:tcW w:w="594" w:type="dxa"/>
          </w:tcPr>
          <w:p w14:paraId="77F39DB7" w14:textId="77777777" w:rsidR="00F24D53" w:rsidRPr="005309F5" w:rsidRDefault="00F24D53" w:rsidP="005309F5">
            <w:pPr>
              <w:rPr>
                <w:rFonts w:ascii="Arial" w:hAnsi="Arial" w:cs="Arial"/>
                <w:strike/>
                <w:color w:val="000000"/>
                <w:sz w:val="20"/>
                <w:szCs w:val="20"/>
                <w:lang w:eastAsia="en-AU"/>
              </w:rPr>
            </w:pPr>
          </w:p>
        </w:tc>
        <w:tc>
          <w:tcPr>
            <w:tcW w:w="584" w:type="dxa"/>
          </w:tcPr>
          <w:p w14:paraId="57F673BC" w14:textId="77777777" w:rsidR="00F24D53" w:rsidRPr="005309F5" w:rsidRDefault="00F24D53" w:rsidP="005309F5">
            <w:pPr>
              <w:rPr>
                <w:rFonts w:ascii="Arial" w:hAnsi="Arial" w:cs="Arial"/>
                <w:strike/>
                <w:color w:val="000000"/>
                <w:sz w:val="20"/>
                <w:szCs w:val="20"/>
                <w:lang w:eastAsia="en-AU"/>
              </w:rPr>
            </w:pPr>
          </w:p>
        </w:tc>
        <w:tc>
          <w:tcPr>
            <w:tcW w:w="547" w:type="dxa"/>
          </w:tcPr>
          <w:p w14:paraId="24C2CFAF" w14:textId="77777777" w:rsidR="00F24D53" w:rsidRPr="005309F5" w:rsidRDefault="00F24D53" w:rsidP="005309F5">
            <w:pPr>
              <w:rPr>
                <w:rFonts w:ascii="Arial" w:hAnsi="Arial" w:cs="Arial"/>
                <w:strike/>
                <w:color w:val="000000"/>
                <w:sz w:val="20"/>
                <w:szCs w:val="20"/>
                <w:lang w:eastAsia="en-AU"/>
              </w:rPr>
            </w:pPr>
          </w:p>
        </w:tc>
        <w:tc>
          <w:tcPr>
            <w:tcW w:w="584" w:type="dxa"/>
          </w:tcPr>
          <w:p w14:paraId="60A644FD" w14:textId="77777777" w:rsidR="00F24D53" w:rsidRPr="005309F5" w:rsidRDefault="00F24D53" w:rsidP="005309F5">
            <w:pPr>
              <w:rPr>
                <w:rFonts w:ascii="Arial" w:hAnsi="Arial" w:cs="Arial"/>
                <w:strike/>
                <w:color w:val="000000"/>
                <w:sz w:val="20"/>
                <w:szCs w:val="20"/>
                <w:lang w:eastAsia="en-AU"/>
              </w:rPr>
            </w:pPr>
          </w:p>
        </w:tc>
        <w:tc>
          <w:tcPr>
            <w:tcW w:w="547" w:type="dxa"/>
          </w:tcPr>
          <w:p w14:paraId="65B184A3" w14:textId="77777777" w:rsidR="00F24D53" w:rsidRPr="005309F5" w:rsidRDefault="00F24D53" w:rsidP="005309F5">
            <w:pPr>
              <w:rPr>
                <w:rFonts w:ascii="Arial" w:hAnsi="Arial" w:cs="Arial"/>
                <w:color w:val="000000"/>
                <w:sz w:val="20"/>
                <w:szCs w:val="20"/>
                <w:lang w:eastAsia="en-AU"/>
              </w:rPr>
            </w:pPr>
          </w:p>
        </w:tc>
        <w:tc>
          <w:tcPr>
            <w:tcW w:w="594" w:type="dxa"/>
          </w:tcPr>
          <w:p w14:paraId="663A3C2D" w14:textId="77777777" w:rsidR="00F24D53" w:rsidRPr="005309F5" w:rsidRDefault="00F24D53" w:rsidP="005309F5">
            <w:pPr>
              <w:rPr>
                <w:rFonts w:ascii="Arial" w:hAnsi="Arial" w:cs="Arial"/>
                <w:color w:val="000000"/>
                <w:sz w:val="20"/>
                <w:szCs w:val="20"/>
                <w:lang w:eastAsia="en-AU"/>
              </w:rPr>
            </w:pPr>
          </w:p>
        </w:tc>
        <w:tc>
          <w:tcPr>
            <w:tcW w:w="594" w:type="dxa"/>
          </w:tcPr>
          <w:p w14:paraId="632377D1" w14:textId="77777777" w:rsidR="00F24D53" w:rsidRPr="005309F5" w:rsidRDefault="00F24D53" w:rsidP="005309F5">
            <w:pPr>
              <w:rPr>
                <w:rFonts w:ascii="Arial" w:hAnsi="Arial" w:cs="Arial"/>
                <w:color w:val="000000"/>
                <w:sz w:val="20"/>
                <w:szCs w:val="20"/>
                <w:lang w:eastAsia="en-AU"/>
              </w:rPr>
            </w:pPr>
          </w:p>
        </w:tc>
        <w:tc>
          <w:tcPr>
            <w:tcW w:w="547" w:type="dxa"/>
          </w:tcPr>
          <w:p w14:paraId="62B87539" w14:textId="77777777" w:rsidR="00F24D53" w:rsidRPr="005309F5" w:rsidRDefault="00F24D53" w:rsidP="005309F5">
            <w:pPr>
              <w:rPr>
                <w:rFonts w:ascii="Arial" w:hAnsi="Arial" w:cs="Arial"/>
                <w:color w:val="000000"/>
                <w:sz w:val="20"/>
                <w:szCs w:val="20"/>
                <w:lang w:eastAsia="en-AU"/>
              </w:rPr>
            </w:pPr>
          </w:p>
        </w:tc>
        <w:tc>
          <w:tcPr>
            <w:tcW w:w="594" w:type="dxa"/>
          </w:tcPr>
          <w:p w14:paraId="597605EA" w14:textId="77777777" w:rsidR="00F24D53" w:rsidRPr="005309F5" w:rsidRDefault="00F24D53" w:rsidP="005309F5">
            <w:pPr>
              <w:rPr>
                <w:rFonts w:ascii="Arial" w:hAnsi="Arial" w:cs="Arial"/>
                <w:color w:val="000000"/>
                <w:sz w:val="20"/>
                <w:szCs w:val="20"/>
                <w:lang w:eastAsia="en-AU"/>
              </w:rPr>
            </w:pPr>
          </w:p>
        </w:tc>
      </w:tr>
      <w:tr w:rsidR="00F24D53" w:rsidRPr="005309F5" w14:paraId="75C7D509" w14:textId="77777777" w:rsidTr="005309F5">
        <w:trPr>
          <w:gridAfter w:val="1"/>
          <w:wAfter w:w="11" w:type="dxa"/>
        </w:trPr>
        <w:tc>
          <w:tcPr>
            <w:tcW w:w="3415" w:type="dxa"/>
          </w:tcPr>
          <w:p w14:paraId="3424D490" w14:textId="77777777" w:rsidR="00F24D53" w:rsidRPr="005309F5" w:rsidRDefault="00F24D53" w:rsidP="005309F5">
            <w:pPr>
              <w:rPr>
                <w:rFonts w:ascii="Arial" w:hAnsi="Arial" w:cs="Arial"/>
                <w:sz w:val="20"/>
                <w:szCs w:val="20"/>
              </w:rPr>
            </w:pPr>
            <w:r w:rsidRPr="005309F5">
              <w:rPr>
                <w:rFonts w:ascii="Arial" w:hAnsi="Arial" w:cs="Arial"/>
                <w:sz w:val="20"/>
                <w:szCs w:val="20"/>
              </w:rPr>
              <w:t>128-Vic State Gov-Residential Rehabilitation (general)</w:t>
            </w:r>
          </w:p>
        </w:tc>
        <w:tc>
          <w:tcPr>
            <w:tcW w:w="594" w:type="dxa"/>
          </w:tcPr>
          <w:p w14:paraId="03FB6EEF" w14:textId="77777777" w:rsidR="00F24D53" w:rsidRPr="005309F5" w:rsidRDefault="00F24D53" w:rsidP="005309F5">
            <w:pPr>
              <w:rPr>
                <w:rFonts w:ascii="Arial" w:hAnsi="Arial" w:cs="Arial"/>
                <w:strike/>
                <w:color w:val="000000"/>
                <w:sz w:val="20"/>
                <w:szCs w:val="20"/>
                <w:lang w:eastAsia="en-AU"/>
              </w:rPr>
            </w:pPr>
          </w:p>
        </w:tc>
        <w:tc>
          <w:tcPr>
            <w:tcW w:w="594" w:type="dxa"/>
          </w:tcPr>
          <w:p w14:paraId="5FDB7966" w14:textId="77777777" w:rsidR="00F24D53" w:rsidRPr="005309F5" w:rsidRDefault="00F24D53" w:rsidP="005309F5">
            <w:pPr>
              <w:rPr>
                <w:rFonts w:ascii="Arial" w:hAnsi="Arial" w:cs="Arial"/>
                <w:strike/>
                <w:color w:val="000000"/>
                <w:sz w:val="20"/>
                <w:szCs w:val="20"/>
                <w:lang w:eastAsia="en-AU"/>
              </w:rPr>
            </w:pPr>
          </w:p>
        </w:tc>
        <w:tc>
          <w:tcPr>
            <w:tcW w:w="594" w:type="dxa"/>
          </w:tcPr>
          <w:p w14:paraId="01CD2F33" w14:textId="77777777" w:rsidR="00F24D53" w:rsidRPr="005309F5" w:rsidRDefault="00F24D53" w:rsidP="005309F5">
            <w:pPr>
              <w:rPr>
                <w:rFonts w:ascii="Arial" w:hAnsi="Arial" w:cs="Arial"/>
                <w:strike/>
                <w:color w:val="000000"/>
                <w:sz w:val="20"/>
                <w:szCs w:val="20"/>
                <w:lang w:eastAsia="en-AU"/>
              </w:rPr>
            </w:pPr>
          </w:p>
        </w:tc>
        <w:tc>
          <w:tcPr>
            <w:tcW w:w="546" w:type="dxa"/>
          </w:tcPr>
          <w:p w14:paraId="379875A5" w14:textId="77777777" w:rsidR="00F24D53" w:rsidRPr="005309F5" w:rsidRDefault="00F24D53" w:rsidP="005309F5">
            <w:pPr>
              <w:rPr>
                <w:rFonts w:ascii="Arial" w:hAnsi="Arial" w:cs="Arial"/>
                <w:strike/>
                <w:color w:val="000000"/>
                <w:sz w:val="20"/>
                <w:szCs w:val="20"/>
                <w:lang w:eastAsia="en-AU"/>
              </w:rPr>
            </w:pPr>
          </w:p>
        </w:tc>
        <w:tc>
          <w:tcPr>
            <w:tcW w:w="594" w:type="dxa"/>
          </w:tcPr>
          <w:p w14:paraId="6EE604AC" w14:textId="77777777" w:rsidR="00F24D53" w:rsidRPr="005309F5" w:rsidRDefault="00F24D53" w:rsidP="005309F5">
            <w:pPr>
              <w:rPr>
                <w:rFonts w:ascii="Arial" w:hAnsi="Arial" w:cs="Arial"/>
                <w:strike/>
                <w:color w:val="000000"/>
                <w:sz w:val="20"/>
                <w:szCs w:val="20"/>
                <w:lang w:eastAsia="en-AU"/>
              </w:rPr>
            </w:pPr>
          </w:p>
        </w:tc>
        <w:tc>
          <w:tcPr>
            <w:tcW w:w="594" w:type="dxa"/>
          </w:tcPr>
          <w:p w14:paraId="094E2124"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D[L]</w:t>
            </w:r>
          </w:p>
        </w:tc>
        <w:tc>
          <w:tcPr>
            <w:tcW w:w="583" w:type="dxa"/>
          </w:tcPr>
          <w:p w14:paraId="155A0FDD" w14:textId="77777777" w:rsidR="00F24D53" w:rsidRPr="005309F5" w:rsidRDefault="00F24D53" w:rsidP="005309F5">
            <w:pPr>
              <w:rPr>
                <w:rFonts w:ascii="Arial" w:hAnsi="Arial" w:cs="Arial"/>
                <w:strike/>
                <w:color w:val="000000"/>
                <w:sz w:val="20"/>
                <w:szCs w:val="20"/>
                <w:lang w:eastAsia="en-AU"/>
              </w:rPr>
            </w:pPr>
          </w:p>
        </w:tc>
        <w:tc>
          <w:tcPr>
            <w:tcW w:w="595" w:type="dxa"/>
          </w:tcPr>
          <w:p w14:paraId="3B1F4416" w14:textId="77777777" w:rsidR="00F24D53" w:rsidRPr="005309F5" w:rsidRDefault="00F24D53" w:rsidP="005309F5">
            <w:pPr>
              <w:rPr>
                <w:rFonts w:ascii="Arial" w:hAnsi="Arial" w:cs="Arial"/>
                <w:strike/>
                <w:sz w:val="20"/>
                <w:szCs w:val="20"/>
                <w:lang w:eastAsia="en-AU"/>
              </w:rPr>
            </w:pPr>
            <w:r w:rsidRPr="005309F5">
              <w:rPr>
                <w:rFonts w:ascii="Arial" w:hAnsi="Arial" w:cs="Arial"/>
                <w:sz w:val="20"/>
                <w:szCs w:val="20"/>
                <w:lang w:eastAsia="en-AU"/>
              </w:rPr>
              <w:t>D</w:t>
            </w:r>
          </w:p>
        </w:tc>
        <w:tc>
          <w:tcPr>
            <w:tcW w:w="594" w:type="dxa"/>
          </w:tcPr>
          <w:p w14:paraId="3983DFAD"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1328C7F7" w14:textId="77777777" w:rsidR="00F24D53" w:rsidRPr="005309F5" w:rsidRDefault="00F24D53" w:rsidP="005309F5">
            <w:pPr>
              <w:rPr>
                <w:rFonts w:ascii="Arial" w:hAnsi="Arial" w:cs="Arial"/>
                <w:strike/>
                <w:color w:val="000000"/>
                <w:sz w:val="20"/>
                <w:szCs w:val="20"/>
                <w:lang w:eastAsia="en-AU"/>
              </w:rPr>
            </w:pPr>
          </w:p>
        </w:tc>
        <w:tc>
          <w:tcPr>
            <w:tcW w:w="594" w:type="dxa"/>
          </w:tcPr>
          <w:p w14:paraId="1E8C1996" w14:textId="77777777" w:rsidR="00F24D53" w:rsidRPr="005309F5" w:rsidRDefault="00F24D53" w:rsidP="005309F5">
            <w:pPr>
              <w:rPr>
                <w:rFonts w:ascii="Arial" w:hAnsi="Arial" w:cs="Arial"/>
                <w:strike/>
                <w:color w:val="000000"/>
                <w:sz w:val="20"/>
                <w:szCs w:val="20"/>
                <w:lang w:eastAsia="en-AU"/>
              </w:rPr>
            </w:pPr>
          </w:p>
        </w:tc>
        <w:tc>
          <w:tcPr>
            <w:tcW w:w="584" w:type="dxa"/>
          </w:tcPr>
          <w:p w14:paraId="7FBE5493" w14:textId="77777777" w:rsidR="00F24D53" w:rsidRPr="005309F5" w:rsidRDefault="00F24D53" w:rsidP="005309F5">
            <w:pPr>
              <w:rPr>
                <w:rFonts w:ascii="Arial" w:hAnsi="Arial" w:cs="Arial"/>
                <w:strike/>
                <w:color w:val="000000"/>
                <w:sz w:val="20"/>
                <w:szCs w:val="20"/>
                <w:lang w:eastAsia="en-AU"/>
              </w:rPr>
            </w:pPr>
          </w:p>
        </w:tc>
        <w:tc>
          <w:tcPr>
            <w:tcW w:w="547" w:type="dxa"/>
          </w:tcPr>
          <w:p w14:paraId="43BF7760" w14:textId="77777777" w:rsidR="00F24D53" w:rsidRPr="005309F5" w:rsidRDefault="00F24D53" w:rsidP="005309F5">
            <w:pPr>
              <w:rPr>
                <w:rFonts w:ascii="Arial" w:hAnsi="Arial" w:cs="Arial"/>
                <w:strike/>
                <w:color w:val="000000"/>
                <w:sz w:val="20"/>
                <w:szCs w:val="20"/>
                <w:lang w:eastAsia="en-AU"/>
              </w:rPr>
            </w:pPr>
          </w:p>
        </w:tc>
        <w:tc>
          <w:tcPr>
            <w:tcW w:w="584" w:type="dxa"/>
          </w:tcPr>
          <w:p w14:paraId="23536DFA" w14:textId="77777777" w:rsidR="00F24D53" w:rsidRPr="005309F5" w:rsidRDefault="00F24D53" w:rsidP="005309F5">
            <w:pPr>
              <w:rPr>
                <w:rFonts w:ascii="Arial" w:hAnsi="Arial" w:cs="Arial"/>
                <w:strike/>
                <w:color w:val="000000"/>
                <w:sz w:val="20"/>
                <w:szCs w:val="20"/>
                <w:lang w:eastAsia="en-AU"/>
              </w:rPr>
            </w:pPr>
          </w:p>
        </w:tc>
        <w:tc>
          <w:tcPr>
            <w:tcW w:w="547" w:type="dxa"/>
          </w:tcPr>
          <w:p w14:paraId="52AEC9F7" w14:textId="77777777" w:rsidR="00F24D53" w:rsidRPr="005309F5" w:rsidRDefault="00F24D53" w:rsidP="005309F5">
            <w:pPr>
              <w:rPr>
                <w:rFonts w:ascii="Arial" w:hAnsi="Arial" w:cs="Arial"/>
                <w:color w:val="000000"/>
                <w:sz w:val="20"/>
                <w:szCs w:val="20"/>
                <w:lang w:eastAsia="en-AU"/>
              </w:rPr>
            </w:pPr>
          </w:p>
        </w:tc>
        <w:tc>
          <w:tcPr>
            <w:tcW w:w="594" w:type="dxa"/>
          </w:tcPr>
          <w:p w14:paraId="1686E0C6" w14:textId="77777777" w:rsidR="00F24D53" w:rsidRPr="005309F5" w:rsidRDefault="00F24D53" w:rsidP="005309F5">
            <w:pPr>
              <w:rPr>
                <w:rFonts w:ascii="Arial" w:hAnsi="Arial" w:cs="Arial"/>
                <w:color w:val="000000"/>
                <w:sz w:val="20"/>
                <w:szCs w:val="20"/>
                <w:lang w:eastAsia="en-AU"/>
              </w:rPr>
            </w:pPr>
          </w:p>
        </w:tc>
        <w:tc>
          <w:tcPr>
            <w:tcW w:w="594" w:type="dxa"/>
          </w:tcPr>
          <w:p w14:paraId="4F69CFD0" w14:textId="77777777" w:rsidR="00F24D53" w:rsidRPr="005309F5" w:rsidRDefault="00F24D53" w:rsidP="005309F5">
            <w:pPr>
              <w:rPr>
                <w:rFonts w:ascii="Arial" w:hAnsi="Arial" w:cs="Arial"/>
                <w:color w:val="000000"/>
                <w:sz w:val="20"/>
                <w:szCs w:val="20"/>
                <w:lang w:eastAsia="en-AU"/>
              </w:rPr>
            </w:pPr>
          </w:p>
        </w:tc>
        <w:tc>
          <w:tcPr>
            <w:tcW w:w="547" w:type="dxa"/>
          </w:tcPr>
          <w:p w14:paraId="29564E22" w14:textId="77777777" w:rsidR="00F24D53" w:rsidRPr="005309F5" w:rsidRDefault="00F24D53" w:rsidP="005309F5">
            <w:pPr>
              <w:rPr>
                <w:rFonts w:ascii="Arial" w:hAnsi="Arial" w:cs="Arial"/>
                <w:color w:val="000000"/>
                <w:sz w:val="20"/>
                <w:szCs w:val="20"/>
                <w:lang w:eastAsia="en-AU"/>
              </w:rPr>
            </w:pPr>
          </w:p>
        </w:tc>
        <w:tc>
          <w:tcPr>
            <w:tcW w:w="594" w:type="dxa"/>
          </w:tcPr>
          <w:p w14:paraId="6F003395" w14:textId="77777777" w:rsidR="00F24D53" w:rsidRPr="005309F5" w:rsidRDefault="00F24D53" w:rsidP="005309F5">
            <w:pPr>
              <w:rPr>
                <w:rFonts w:ascii="Arial" w:hAnsi="Arial" w:cs="Arial"/>
                <w:color w:val="000000"/>
                <w:sz w:val="20"/>
                <w:szCs w:val="20"/>
                <w:lang w:eastAsia="en-AU"/>
              </w:rPr>
            </w:pPr>
          </w:p>
        </w:tc>
      </w:tr>
      <w:tr w:rsidR="00F24D53" w:rsidRPr="005309F5" w14:paraId="4C416F6D" w14:textId="77777777" w:rsidTr="005309F5">
        <w:trPr>
          <w:gridAfter w:val="1"/>
          <w:wAfter w:w="11" w:type="dxa"/>
        </w:trPr>
        <w:tc>
          <w:tcPr>
            <w:tcW w:w="3415" w:type="dxa"/>
          </w:tcPr>
          <w:p w14:paraId="0E44A87E" w14:textId="77777777" w:rsidR="00F24D53" w:rsidRPr="005309F5" w:rsidRDefault="00F24D53" w:rsidP="005309F5">
            <w:pPr>
              <w:rPr>
                <w:rFonts w:ascii="Arial" w:hAnsi="Arial" w:cs="Arial"/>
                <w:color w:val="000000"/>
                <w:sz w:val="20"/>
                <w:szCs w:val="20"/>
              </w:rPr>
            </w:pPr>
            <w:r w:rsidRPr="005309F5">
              <w:rPr>
                <w:rFonts w:ascii="Arial" w:hAnsi="Arial" w:cs="Arial"/>
                <w:sz w:val="20"/>
                <w:szCs w:val="20"/>
              </w:rPr>
              <w:t>129-Vic State Gov-</w:t>
            </w:r>
            <w:r w:rsidRPr="005309F5">
              <w:rPr>
                <w:rFonts w:ascii="Arial" w:hAnsi="Arial" w:cs="Arial"/>
                <w:color w:val="000000"/>
                <w:sz w:val="20"/>
                <w:szCs w:val="20"/>
              </w:rPr>
              <w:t>Stabilisation model</w:t>
            </w:r>
          </w:p>
          <w:p w14:paraId="7B00A4BD" w14:textId="77777777" w:rsidR="00F24D53" w:rsidRPr="005309F5" w:rsidRDefault="00F24D53" w:rsidP="005309F5">
            <w:pPr>
              <w:rPr>
                <w:rFonts w:ascii="Arial" w:hAnsi="Arial" w:cs="Arial"/>
                <w:sz w:val="20"/>
                <w:szCs w:val="20"/>
              </w:rPr>
            </w:pPr>
          </w:p>
        </w:tc>
        <w:tc>
          <w:tcPr>
            <w:tcW w:w="594" w:type="dxa"/>
          </w:tcPr>
          <w:p w14:paraId="62BCE4FD" w14:textId="77777777" w:rsidR="00F24D53" w:rsidRPr="005309F5" w:rsidRDefault="00F24D53" w:rsidP="005309F5">
            <w:pPr>
              <w:rPr>
                <w:rFonts w:ascii="Arial" w:hAnsi="Arial" w:cs="Arial"/>
                <w:strike/>
                <w:color w:val="000000"/>
                <w:sz w:val="20"/>
                <w:szCs w:val="20"/>
                <w:lang w:eastAsia="en-AU"/>
              </w:rPr>
            </w:pPr>
          </w:p>
        </w:tc>
        <w:tc>
          <w:tcPr>
            <w:tcW w:w="594" w:type="dxa"/>
          </w:tcPr>
          <w:p w14:paraId="03A9A158" w14:textId="77777777" w:rsidR="00F24D53" w:rsidRPr="005309F5" w:rsidRDefault="00F24D53" w:rsidP="005309F5">
            <w:pPr>
              <w:rPr>
                <w:rFonts w:ascii="Arial" w:hAnsi="Arial" w:cs="Arial"/>
                <w:strike/>
                <w:color w:val="000000"/>
                <w:sz w:val="20"/>
                <w:szCs w:val="20"/>
                <w:lang w:eastAsia="en-AU"/>
              </w:rPr>
            </w:pPr>
          </w:p>
        </w:tc>
        <w:tc>
          <w:tcPr>
            <w:tcW w:w="594" w:type="dxa"/>
          </w:tcPr>
          <w:p w14:paraId="1D9F61DF" w14:textId="77777777" w:rsidR="00F24D53" w:rsidRPr="005309F5" w:rsidRDefault="00F24D53" w:rsidP="005309F5">
            <w:pPr>
              <w:rPr>
                <w:rFonts w:ascii="Arial" w:hAnsi="Arial" w:cs="Arial"/>
                <w:strike/>
                <w:color w:val="000000"/>
                <w:sz w:val="20"/>
                <w:szCs w:val="20"/>
                <w:lang w:eastAsia="en-AU"/>
              </w:rPr>
            </w:pPr>
          </w:p>
        </w:tc>
        <w:tc>
          <w:tcPr>
            <w:tcW w:w="546" w:type="dxa"/>
          </w:tcPr>
          <w:p w14:paraId="067A64A2" w14:textId="77777777" w:rsidR="00F24D53" w:rsidRPr="005309F5" w:rsidRDefault="00F24D53" w:rsidP="005309F5">
            <w:pPr>
              <w:rPr>
                <w:rFonts w:ascii="Arial" w:hAnsi="Arial" w:cs="Arial"/>
                <w:strike/>
                <w:color w:val="000000"/>
                <w:sz w:val="20"/>
                <w:szCs w:val="20"/>
                <w:lang w:eastAsia="en-AU"/>
              </w:rPr>
            </w:pPr>
          </w:p>
        </w:tc>
        <w:tc>
          <w:tcPr>
            <w:tcW w:w="594" w:type="dxa"/>
          </w:tcPr>
          <w:p w14:paraId="20734C4E" w14:textId="77777777" w:rsidR="00F24D53" w:rsidRPr="005309F5" w:rsidRDefault="00F24D53" w:rsidP="005309F5">
            <w:pPr>
              <w:rPr>
                <w:rFonts w:ascii="Arial" w:hAnsi="Arial" w:cs="Arial"/>
                <w:strike/>
                <w:color w:val="000000"/>
                <w:sz w:val="20"/>
                <w:szCs w:val="20"/>
                <w:lang w:eastAsia="en-AU"/>
              </w:rPr>
            </w:pPr>
          </w:p>
        </w:tc>
        <w:tc>
          <w:tcPr>
            <w:tcW w:w="594" w:type="dxa"/>
          </w:tcPr>
          <w:p w14:paraId="024321AF"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83" w:type="dxa"/>
          </w:tcPr>
          <w:p w14:paraId="646FE5C7" w14:textId="77777777" w:rsidR="00F24D53" w:rsidRPr="005309F5" w:rsidRDefault="00F24D53" w:rsidP="005309F5">
            <w:pPr>
              <w:rPr>
                <w:rFonts w:ascii="Arial" w:hAnsi="Arial" w:cs="Arial"/>
                <w:strike/>
                <w:color w:val="000000"/>
                <w:sz w:val="20"/>
                <w:szCs w:val="20"/>
                <w:lang w:eastAsia="en-AU"/>
              </w:rPr>
            </w:pPr>
          </w:p>
        </w:tc>
        <w:tc>
          <w:tcPr>
            <w:tcW w:w="595" w:type="dxa"/>
          </w:tcPr>
          <w:p w14:paraId="33CEEDC5" w14:textId="77777777" w:rsidR="00F24D53" w:rsidRPr="005309F5" w:rsidRDefault="00F24D53" w:rsidP="005309F5">
            <w:pPr>
              <w:rPr>
                <w:rFonts w:ascii="Arial" w:hAnsi="Arial" w:cs="Arial"/>
                <w:sz w:val="20"/>
                <w:szCs w:val="20"/>
                <w:lang w:eastAsia="en-AU"/>
              </w:rPr>
            </w:pPr>
            <w:r w:rsidRPr="005309F5">
              <w:rPr>
                <w:rFonts w:ascii="Arial" w:hAnsi="Arial" w:cs="Arial"/>
                <w:sz w:val="20"/>
                <w:szCs w:val="20"/>
                <w:lang w:eastAsia="en-AU"/>
              </w:rPr>
              <w:t>D</w:t>
            </w:r>
          </w:p>
        </w:tc>
        <w:tc>
          <w:tcPr>
            <w:tcW w:w="594" w:type="dxa"/>
          </w:tcPr>
          <w:p w14:paraId="24846D51"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D</w:t>
            </w:r>
          </w:p>
        </w:tc>
        <w:tc>
          <w:tcPr>
            <w:tcW w:w="594" w:type="dxa"/>
          </w:tcPr>
          <w:p w14:paraId="07629299" w14:textId="77777777" w:rsidR="00F24D53" w:rsidRPr="005309F5" w:rsidRDefault="00F24D53" w:rsidP="005309F5">
            <w:pPr>
              <w:rPr>
                <w:rFonts w:ascii="Arial" w:hAnsi="Arial" w:cs="Arial"/>
                <w:strike/>
                <w:color w:val="000000"/>
                <w:sz w:val="20"/>
                <w:szCs w:val="20"/>
                <w:lang w:eastAsia="en-AU"/>
              </w:rPr>
            </w:pPr>
          </w:p>
        </w:tc>
        <w:tc>
          <w:tcPr>
            <w:tcW w:w="594" w:type="dxa"/>
          </w:tcPr>
          <w:p w14:paraId="6B9EA6B6" w14:textId="77777777" w:rsidR="00F24D53" w:rsidRPr="005309F5" w:rsidRDefault="00F24D53" w:rsidP="005309F5">
            <w:pPr>
              <w:rPr>
                <w:rFonts w:ascii="Arial" w:hAnsi="Arial" w:cs="Arial"/>
                <w:strike/>
                <w:color w:val="000000"/>
                <w:sz w:val="20"/>
                <w:szCs w:val="20"/>
                <w:lang w:eastAsia="en-AU"/>
              </w:rPr>
            </w:pPr>
          </w:p>
        </w:tc>
        <w:tc>
          <w:tcPr>
            <w:tcW w:w="584" w:type="dxa"/>
          </w:tcPr>
          <w:p w14:paraId="406E779F" w14:textId="77777777" w:rsidR="00F24D53" w:rsidRPr="005309F5" w:rsidRDefault="00F24D53" w:rsidP="005309F5">
            <w:pPr>
              <w:rPr>
                <w:rFonts w:ascii="Arial" w:hAnsi="Arial" w:cs="Arial"/>
                <w:strike/>
                <w:color w:val="000000"/>
                <w:sz w:val="20"/>
                <w:szCs w:val="20"/>
                <w:lang w:eastAsia="en-AU"/>
              </w:rPr>
            </w:pPr>
          </w:p>
        </w:tc>
        <w:tc>
          <w:tcPr>
            <w:tcW w:w="547" w:type="dxa"/>
          </w:tcPr>
          <w:p w14:paraId="68EFF0FE" w14:textId="77777777" w:rsidR="00F24D53" w:rsidRPr="005309F5" w:rsidRDefault="00F24D53" w:rsidP="005309F5">
            <w:pPr>
              <w:rPr>
                <w:rFonts w:ascii="Arial" w:hAnsi="Arial" w:cs="Arial"/>
                <w:strike/>
                <w:color w:val="000000"/>
                <w:sz w:val="20"/>
                <w:szCs w:val="20"/>
                <w:lang w:eastAsia="en-AU"/>
              </w:rPr>
            </w:pPr>
          </w:p>
        </w:tc>
        <w:tc>
          <w:tcPr>
            <w:tcW w:w="584" w:type="dxa"/>
          </w:tcPr>
          <w:p w14:paraId="57FD1F22" w14:textId="77777777" w:rsidR="00F24D53" w:rsidRPr="005309F5" w:rsidRDefault="00F24D53" w:rsidP="005309F5">
            <w:pPr>
              <w:rPr>
                <w:rFonts w:ascii="Arial" w:hAnsi="Arial" w:cs="Arial"/>
                <w:strike/>
                <w:color w:val="000000"/>
                <w:sz w:val="20"/>
                <w:szCs w:val="20"/>
                <w:lang w:eastAsia="en-AU"/>
              </w:rPr>
            </w:pPr>
          </w:p>
        </w:tc>
        <w:tc>
          <w:tcPr>
            <w:tcW w:w="547" w:type="dxa"/>
          </w:tcPr>
          <w:p w14:paraId="24A0338B" w14:textId="77777777" w:rsidR="00F24D53" w:rsidRPr="005309F5" w:rsidRDefault="00F24D53" w:rsidP="005309F5">
            <w:pPr>
              <w:rPr>
                <w:rFonts w:ascii="Arial" w:hAnsi="Arial" w:cs="Arial"/>
                <w:color w:val="000000"/>
                <w:sz w:val="20"/>
                <w:szCs w:val="20"/>
                <w:lang w:eastAsia="en-AU"/>
              </w:rPr>
            </w:pPr>
          </w:p>
        </w:tc>
        <w:tc>
          <w:tcPr>
            <w:tcW w:w="594" w:type="dxa"/>
          </w:tcPr>
          <w:p w14:paraId="30E62D52" w14:textId="77777777" w:rsidR="00F24D53" w:rsidRPr="005309F5" w:rsidRDefault="00F24D53" w:rsidP="005309F5">
            <w:pPr>
              <w:rPr>
                <w:rFonts w:ascii="Arial" w:hAnsi="Arial" w:cs="Arial"/>
                <w:color w:val="000000"/>
                <w:sz w:val="20"/>
                <w:szCs w:val="20"/>
                <w:lang w:eastAsia="en-AU"/>
              </w:rPr>
            </w:pPr>
          </w:p>
        </w:tc>
        <w:tc>
          <w:tcPr>
            <w:tcW w:w="594" w:type="dxa"/>
          </w:tcPr>
          <w:p w14:paraId="096563C1" w14:textId="77777777" w:rsidR="00F24D53" w:rsidRPr="005309F5" w:rsidRDefault="00F24D53" w:rsidP="005309F5">
            <w:pPr>
              <w:rPr>
                <w:rFonts w:ascii="Arial" w:hAnsi="Arial" w:cs="Arial"/>
                <w:color w:val="000000"/>
                <w:sz w:val="20"/>
                <w:szCs w:val="20"/>
                <w:lang w:eastAsia="en-AU"/>
              </w:rPr>
            </w:pPr>
          </w:p>
        </w:tc>
        <w:tc>
          <w:tcPr>
            <w:tcW w:w="547" w:type="dxa"/>
          </w:tcPr>
          <w:p w14:paraId="11B0A919" w14:textId="77777777" w:rsidR="00F24D53" w:rsidRPr="005309F5" w:rsidRDefault="00F24D53" w:rsidP="005309F5">
            <w:pPr>
              <w:rPr>
                <w:rFonts w:ascii="Arial" w:hAnsi="Arial" w:cs="Arial"/>
                <w:color w:val="000000"/>
                <w:sz w:val="20"/>
                <w:szCs w:val="20"/>
                <w:lang w:eastAsia="en-AU"/>
              </w:rPr>
            </w:pPr>
          </w:p>
        </w:tc>
        <w:tc>
          <w:tcPr>
            <w:tcW w:w="594" w:type="dxa"/>
          </w:tcPr>
          <w:p w14:paraId="4153F096" w14:textId="77777777" w:rsidR="00F24D53" w:rsidRPr="005309F5" w:rsidRDefault="00F24D53" w:rsidP="005309F5">
            <w:pPr>
              <w:rPr>
                <w:rFonts w:ascii="Arial" w:hAnsi="Arial" w:cs="Arial"/>
                <w:color w:val="000000"/>
                <w:sz w:val="20"/>
                <w:szCs w:val="20"/>
                <w:lang w:eastAsia="en-AU"/>
              </w:rPr>
            </w:pPr>
          </w:p>
        </w:tc>
      </w:tr>
      <w:tr w:rsidR="00F24D53" w:rsidRPr="005309F5" w14:paraId="100B3740" w14:textId="77777777" w:rsidTr="005309F5">
        <w:trPr>
          <w:gridAfter w:val="1"/>
          <w:wAfter w:w="11" w:type="dxa"/>
        </w:trPr>
        <w:tc>
          <w:tcPr>
            <w:tcW w:w="3415" w:type="dxa"/>
          </w:tcPr>
          <w:p w14:paraId="055C86A3" w14:textId="77777777" w:rsidR="00F24D53" w:rsidRPr="005309F5" w:rsidRDefault="00F24D53" w:rsidP="005309F5">
            <w:pPr>
              <w:rPr>
                <w:rFonts w:ascii="Arial" w:hAnsi="Arial" w:cs="Arial"/>
                <w:sz w:val="20"/>
                <w:szCs w:val="20"/>
              </w:rPr>
            </w:pPr>
            <w:r w:rsidRPr="005309F5">
              <w:rPr>
                <w:rFonts w:ascii="Arial" w:hAnsi="Arial" w:cs="Arial"/>
                <w:sz w:val="20"/>
                <w:szCs w:val="20"/>
              </w:rPr>
              <w:t xml:space="preserve">130-Vic State Gov-Bridging support- Post-residential withdrawal </w:t>
            </w:r>
          </w:p>
        </w:tc>
        <w:tc>
          <w:tcPr>
            <w:tcW w:w="594" w:type="dxa"/>
          </w:tcPr>
          <w:p w14:paraId="49A5CD1E" w14:textId="77777777" w:rsidR="00F24D53" w:rsidRPr="005309F5" w:rsidRDefault="00F24D53" w:rsidP="005309F5">
            <w:pPr>
              <w:rPr>
                <w:rFonts w:ascii="Arial" w:hAnsi="Arial" w:cs="Arial"/>
                <w:color w:val="000000"/>
                <w:sz w:val="20"/>
                <w:szCs w:val="20"/>
                <w:lang w:eastAsia="en-AU"/>
              </w:rPr>
            </w:pPr>
          </w:p>
        </w:tc>
        <w:tc>
          <w:tcPr>
            <w:tcW w:w="594" w:type="dxa"/>
          </w:tcPr>
          <w:p w14:paraId="78BAD0AF" w14:textId="77777777" w:rsidR="00F24D53" w:rsidRPr="005309F5" w:rsidRDefault="00F24D53" w:rsidP="005309F5">
            <w:pPr>
              <w:rPr>
                <w:rFonts w:ascii="Arial" w:hAnsi="Arial" w:cs="Arial"/>
                <w:color w:val="000000"/>
                <w:sz w:val="20"/>
                <w:szCs w:val="20"/>
                <w:lang w:eastAsia="en-AU"/>
              </w:rPr>
            </w:pPr>
          </w:p>
        </w:tc>
        <w:tc>
          <w:tcPr>
            <w:tcW w:w="594" w:type="dxa"/>
          </w:tcPr>
          <w:p w14:paraId="31E4D325" w14:textId="77777777" w:rsidR="00F24D53" w:rsidRPr="005309F5" w:rsidRDefault="00F24D53" w:rsidP="005309F5">
            <w:pPr>
              <w:rPr>
                <w:rFonts w:ascii="Arial" w:hAnsi="Arial" w:cs="Arial"/>
                <w:color w:val="000000"/>
                <w:sz w:val="20"/>
                <w:szCs w:val="20"/>
                <w:lang w:eastAsia="en-AU"/>
              </w:rPr>
            </w:pPr>
          </w:p>
        </w:tc>
        <w:tc>
          <w:tcPr>
            <w:tcW w:w="546" w:type="dxa"/>
          </w:tcPr>
          <w:p w14:paraId="3284F8CD" w14:textId="77777777" w:rsidR="00F24D53" w:rsidRPr="005309F5" w:rsidRDefault="00F24D53" w:rsidP="005309F5">
            <w:pPr>
              <w:rPr>
                <w:rFonts w:ascii="Arial" w:hAnsi="Arial" w:cs="Arial"/>
                <w:color w:val="000000"/>
                <w:sz w:val="20"/>
                <w:szCs w:val="20"/>
                <w:lang w:eastAsia="en-AU"/>
              </w:rPr>
            </w:pPr>
          </w:p>
        </w:tc>
        <w:tc>
          <w:tcPr>
            <w:tcW w:w="594" w:type="dxa"/>
          </w:tcPr>
          <w:p w14:paraId="32499974" w14:textId="77777777" w:rsidR="00F24D53" w:rsidRPr="005309F5" w:rsidRDefault="00F24D53" w:rsidP="005309F5">
            <w:pPr>
              <w:rPr>
                <w:rFonts w:ascii="Arial" w:hAnsi="Arial" w:cs="Arial"/>
                <w:color w:val="000000"/>
                <w:sz w:val="20"/>
                <w:szCs w:val="20"/>
                <w:lang w:eastAsia="en-AU"/>
              </w:rPr>
            </w:pPr>
          </w:p>
        </w:tc>
        <w:tc>
          <w:tcPr>
            <w:tcW w:w="594" w:type="dxa"/>
          </w:tcPr>
          <w:p w14:paraId="4C90CDD5" w14:textId="77777777" w:rsidR="00F24D53" w:rsidRPr="005309F5" w:rsidRDefault="00F24D53" w:rsidP="005309F5">
            <w:pPr>
              <w:rPr>
                <w:rFonts w:ascii="Arial" w:hAnsi="Arial" w:cs="Arial"/>
                <w:color w:val="000000"/>
                <w:sz w:val="20"/>
                <w:szCs w:val="20"/>
                <w:lang w:eastAsia="en-AU"/>
              </w:rPr>
            </w:pPr>
          </w:p>
        </w:tc>
        <w:tc>
          <w:tcPr>
            <w:tcW w:w="583" w:type="dxa"/>
          </w:tcPr>
          <w:p w14:paraId="6A354449" w14:textId="77777777" w:rsidR="00F24D53" w:rsidRPr="005309F5" w:rsidRDefault="00F24D53" w:rsidP="005309F5">
            <w:pPr>
              <w:rPr>
                <w:rFonts w:ascii="Arial" w:hAnsi="Arial" w:cs="Arial"/>
                <w:color w:val="000000"/>
                <w:sz w:val="20"/>
                <w:szCs w:val="20"/>
                <w:lang w:eastAsia="en-AU"/>
              </w:rPr>
            </w:pPr>
          </w:p>
        </w:tc>
        <w:tc>
          <w:tcPr>
            <w:tcW w:w="595" w:type="dxa"/>
          </w:tcPr>
          <w:p w14:paraId="1889918B" w14:textId="77777777" w:rsidR="00F24D53" w:rsidRPr="005309F5" w:rsidRDefault="00F24D53" w:rsidP="005309F5">
            <w:pPr>
              <w:rPr>
                <w:rFonts w:ascii="Arial" w:hAnsi="Arial" w:cs="Arial"/>
                <w:sz w:val="20"/>
                <w:szCs w:val="20"/>
                <w:lang w:eastAsia="en-AU"/>
              </w:rPr>
            </w:pPr>
          </w:p>
        </w:tc>
        <w:tc>
          <w:tcPr>
            <w:tcW w:w="594" w:type="dxa"/>
          </w:tcPr>
          <w:p w14:paraId="70A13FFC" w14:textId="77777777" w:rsidR="00F24D53" w:rsidRPr="005309F5" w:rsidRDefault="00F24D53" w:rsidP="005309F5">
            <w:pPr>
              <w:rPr>
                <w:rFonts w:ascii="Arial" w:hAnsi="Arial" w:cs="Arial"/>
                <w:color w:val="000000"/>
                <w:sz w:val="20"/>
                <w:szCs w:val="20"/>
                <w:lang w:eastAsia="en-AU"/>
              </w:rPr>
            </w:pPr>
          </w:p>
        </w:tc>
        <w:tc>
          <w:tcPr>
            <w:tcW w:w="594" w:type="dxa"/>
          </w:tcPr>
          <w:p w14:paraId="7520931D" w14:textId="77777777" w:rsidR="00F24D53" w:rsidRPr="005309F5" w:rsidRDefault="00F24D53" w:rsidP="005309F5">
            <w:pPr>
              <w:rPr>
                <w:rFonts w:ascii="Arial" w:hAnsi="Arial" w:cs="Arial"/>
                <w:color w:val="000000"/>
                <w:sz w:val="20"/>
                <w:szCs w:val="20"/>
                <w:lang w:eastAsia="en-AU"/>
              </w:rPr>
            </w:pPr>
          </w:p>
        </w:tc>
        <w:tc>
          <w:tcPr>
            <w:tcW w:w="594" w:type="dxa"/>
          </w:tcPr>
          <w:p w14:paraId="7DB8C760" w14:textId="77777777" w:rsidR="00F24D53" w:rsidRPr="005309F5" w:rsidRDefault="00F24D53" w:rsidP="005309F5">
            <w:pPr>
              <w:rPr>
                <w:rFonts w:ascii="Arial" w:hAnsi="Arial" w:cs="Arial"/>
                <w:color w:val="000000"/>
                <w:sz w:val="20"/>
                <w:szCs w:val="20"/>
                <w:lang w:eastAsia="en-AU"/>
              </w:rPr>
            </w:pPr>
          </w:p>
        </w:tc>
        <w:tc>
          <w:tcPr>
            <w:tcW w:w="584" w:type="dxa"/>
          </w:tcPr>
          <w:p w14:paraId="34C5BA37" w14:textId="77777777" w:rsidR="00F24D53" w:rsidRPr="005309F5" w:rsidRDefault="00F24D53" w:rsidP="005309F5">
            <w:pPr>
              <w:rPr>
                <w:rFonts w:ascii="Arial" w:hAnsi="Arial" w:cs="Arial"/>
                <w:sz w:val="20"/>
                <w:szCs w:val="20"/>
              </w:rPr>
            </w:pPr>
            <w:r w:rsidRPr="005309F5">
              <w:rPr>
                <w:rFonts w:ascii="Arial" w:hAnsi="Arial" w:cs="Arial"/>
                <w:color w:val="000000"/>
                <w:sz w:val="20"/>
                <w:szCs w:val="20"/>
                <w:lang w:eastAsia="en-AU"/>
              </w:rPr>
              <w:t>D</w:t>
            </w:r>
          </w:p>
        </w:tc>
        <w:tc>
          <w:tcPr>
            <w:tcW w:w="547" w:type="dxa"/>
          </w:tcPr>
          <w:p w14:paraId="2085B210" w14:textId="77777777" w:rsidR="00F24D53" w:rsidRPr="005309F5" w:rsidRDefault="00F24D53" w:rsidP="005309F5">
            <w:pPr>
              <w:rPr>
                <w:rFonts w:ascii="Arial" w:hAnsi="Arial" w:cs="Arial"/>
                <w:color w:val="000000"/>
                <w:sz w:val="20"/>
                <w:szCs w:val="20"/>
                <w:lang w:eastAsia="en-AU"/>
              </w:rPr>
            </w:pPr>
          </w:p>
        </w:tc>
        <w:tc>
          <w:tcPr>
            <w:tcW w:w="584" w:type="dxa"/>
          </w:tcPr>
          <w:p w14:paraId="440CE0BC" w14:textId="77777777" w:rsidR="00F24D53" w:rsidRPr="005309F5" w:rsidRDefault="00F24D53" w:rsidP="005309F5">
            <w:pPr>
              <w:rPr>
                <w:rFonts w:ascii="Arial" w:hAnsi="Arial" w:cs="Arial"/>
                <w:color w:val="000000"/>
                <w:sz w:val="20"/>
                <w:szCs w:val="20"/>
                <w:lang w:eastAsia="en-AU"/>
              </w:rPr>
            </w:pPr>
          </w:p>
        </w:tc>
        <w:tc>
          <w:tcPr>
            <w:tcW w:w="547" w:type="dxa"/>
          </w:tcPr>
          <w:p w14:paraId="3D166CBB" w14:textId="77777777" w:rsidR="00F24D53" w:rsidRPr="005309F5" w:rsidRDefault="00F24D53" w:rsidP="005309F5">
            <w:pPr>
              <w:rPr>
                <w:rFonts w:ascii="Arial" w:hAnsi="Arial" w:cs="Arial"/>
                <w:color w:val="000000"/>
                <w:sz w:val="20"/>
                <w:szCs w:val="20"/>
                <w:lang w:eastAsia="en-AU"/>
              </w:rPr>
            </w:pPr>
          </w:p>
        </w:tc>
        <w:tc>
          <w:tcPr>
            <w:tcW w:w="594" w:type="dxa"/>
          </w:tcPr>
          <w:p w14:paraId="20561302" w14:textId="77777777" w:rsidR="00F24D53" w:rsidRPr="005309F5" w:rsidRDefault="00F24D53" w:rsidP="005309F5">
            <w:pPr>
              <w:rPr>
                <w:rFonts w:ascii="Arial" w:hAnsi="Arial" w:cs="Arial"/>
                <w:color w:val="000000"/>
                <w:sz w:val="20"/>
                <w:szCs w:val="20"/>
                <w:lang w:eastAsia="en-AU"/>
              </w:rPr>
            </w:pPr>
          </w:p>
        </w:tc>
        <w:tc>
          <w:tcPr>
            <w:tcW w:w="594" w:type="dxa"/>
          </w:tcPr>
          <w:p w14:paraId="2123FBBC" w14:textId="77777777" w:rsidR="00F24D53" w:rsidRPr="005309F5" w:rsidRDefault="00F24D53" w:rsidP="005309F5">
            <w:pPr>
              <w:rPr>
                <w:rFonts w:ascii="Arial" w:hAnsi="Arial" w:cs="Arial"/>
                <w:color w:val="000000"/>
                <w:sz w:val="20"/>
                <w:szCs w:val="20"/>
                <w:lang w:eastAsia="en-AU"/>
              </w:rPr>
            </w:pPr>
          </w:p>
        </w:tc>
        <w:tc>
          <w:tcPr>
            <w:tcW w:w="547" w:type="dxa"/>
          </w:tcPr>
          <w:p w14:paraId="7C7D2420" w14:textId="77777777" w:rsidR="00F24D53" w:rsidRPr="005309F5" w:rsidRDefault="00F24D53" w:rsidP="005309F5">
            <w:pPr>
              <w:rPr>
                <w:rFonts w:ascii="Arial" w:hAnsi="Arial" w:cs="Arial"/>
                <w:color w:val="000000"/>
                <w:sz w:val="20"/>
                <w:szCs w:val="20"/>
                <w:lang w:eastAsia="en-AU"/>
              </w:rPr>
            </w:pPr>
          </w:p>
        </w:tc>
        <w:tc>
          <w:tcPr>
            <w:tcW w:w="594" w:type="dxa"/>
          </w:tcPr>
          <w:p w14:paraId="67DFCEBE" w14:textId="77777777" w:rsidR="00F24D53" w:rsidRPr="005309F5" w:rsidRDefault="00F24D53" w:rsidP="005309F5">
            <w:pPr>
              <w:rPr>
                <w:rFonts w:ascii="Arial" w:hAnsi="Arial" w:cs="Arial"/>
                <w:color w:val="000000"/>
                <w:sz w:val="20"/>
                <w:szCs w:val="20"/>
                <w:lang w:eastAsia="en-AU"/>
              </w:rPr>
            </w:pPr>
          </w:p>
        </w:tc>
      </w:tr>
      <w:tr w:rsidR="00F24D53" w:rsidRPr="005309F5" w14:paraId="14282AFC" w14:textId="77777777" w:rsidTr="005309F5">
        <w:trPr>
          <w:gridAfter w:val="1"/>
          <w:wAfter w:w="11" w:type="dxa"/>
        </w:trPr>
        <w:tc>
          <w:tcPr>
            <w:tcW w:w="3415" w:type="dxa"/>
          </w:tcPr>
          <w:p w14:paraId="19535F21" w14:textId="77777777" w:rsidR="00F24D53" w:rsidRPr="005309F5" w:rsidRDefault="00F24D53" w:rsidP="005309F5">
            <w:pPr>
              <w:rPr>
                <w:rFonts w:ascii="Arial" w:hAnsi="Arial" w:cs="Arial"/>
                <w:sz w:val="20"/>
                <w:szCs w:val="20"/>
              </w:rPr>
            </w:pPr>
            <w:r w:rsidRPr="005309F5">
              <w:rPr>
                <w:rFonts w:ascii="Arial" w:hAnsi="Arial" w:cs="Arial"/>
                <w:sz w:val="20"/>
                <w:szCs w:val="20"/>
              </w:rPr>
              <w:t xml:space="preserve">131-Vic State Gov-Bridging support- Post-residential rehabilitation </w:t>
            </w:r>
          </w:p>
        </w:tc>
        <w:tc>
          <w:tcPr>
            <w:tcW w:w="594" w:type="dxa"/>
          </w:tcPr>
          <w:p w14:paraId="2E753667" w14:textId="77777777" w:rsidR="00F24D53" w:rsidRPr="005309F5" w:rsidRDefault="00F24D53" w:rsidP="005309F5">
            <w:pPr>
              <w:rPr>
                <w:rFonts w:ascii="Arial" w:hAnsi="Arial" w:cs="Arial"/>
                <w:color w:val="000000"/>
                <w:sz w:val="20"/>
                <w:szCs w:val="20"/>
                <w:lang w:eastAsia="en-AU"/>
              </w:rPr>
            </w:pPr>
          </w:p>
        </w:tc>
        <w:tc>
          <w:tcPr>
            <w:tcW w:w="594" w:type="dxa"/>
          </w:tcPr>
          <w:p w14:paraId="61B4D6D9" w14:textId="77777777" w:rsidR="00F24D53" w:rsidRPr="005309F5" w:rsidRDefault="00F24D53" w:rsidP="005309F5">
            <w:pPr>
              <w:rPr>
                <w:rFonts w:ascii="Arial" w:hAnsi="Arial" w:cs="Arial"/>
                <w:color w:val="000000"/>
                <w:sz w:val="20"/>
                <w:szCs w:val="20"/>
                <w:lang w:eastAsia="en-AU"/>
              </w:rPr>
            </w:pPr>
          </w:p>
        </w:tc>
        <w:tc>
          <w:tcPr>
            <w:tcW w:w="594" w:type="dxa"/>
          </w:tcPr>
          <w:p w14:paraId="71A31CF8" w14:textId="77777777" w:rsidR="00F24D53" w:rsidRPr="005309F5" w:rsidRDefault="00F24D53" w:rsidP="005309F5">
            <w:pPr>
              <w:rPr>
                <w:rFonts w:ascii="Arial" w:hAnsi="Arial" w:cs="Arial"/>
                <w:color w:val="000000"/>
                <w:sz w:val="20"/>
                <w:szCs w:val="20"/>
                <w:lang w:eastAsia="en-AU"/>
              </w:rPr>
            </w:pPr>
          </w:p>
        </w:tc>
        <w:tc>
          <w:tcPr>
            <w:tcW w:w="546" w:type="dxa"/>
          </w:tcPr>
          <w:p w14:paraId="199B43A4" w14:textId="77777777" w:rsidR="00F24D53" w:rsidRPr="005309F5" w:rsidRDefault="00F24D53" w:rsidP="005309F5">
            <w:pPr>
              <w:rPr>
                <w:rFonts w:ascii="Arial" w:hAnsi="Arial" w:cs="Arial"/>
                <w:color w:val="000000"/>
                <w:sz w:val="20"/>
                <w:szCs w:val="20"/>
                <w:lang w:eastAsia="en-AU"/>
              </w:rPr>
            </w:pPr>
          </w:p>
        </w:tc>
        <w:tc>
          <w:tcPr>
            <w:tcW w:w="594" w:type="dxa"/>
          </w:tcPr>
          <w:p w14:paraId="747EB3A1" w14:textId="77777777" w:rsidR="00F24D53" w:rsidRPr="005309F5" w:rsidRDefault="00F24D53" w:rsidP="005309F5">
            <w:pPr>
              <w:rPr>
                <w:rFonts w:ascii="Arial" w:hAnsi="Arial" w:cs="Arial"/>
                <w:color w:val="000000"/>
                <w:sz w:val="20"/>
                <w:szCs w:val="20"/>
                <w:lang w:eastAsia="en-AU"/>
              </w:rPr>
            </w:pPr>
          </w:p>
        </w:tc>
        <w:tc>
          <w:tcPr>
            <w:tcW w:w="594" w:type="dxa"/>
          </w:tcPr>
          <w:p w14:paraId="3BBE2B83" w14:textId="77777777" w:rsidR="00F24D53" w:rsidRPr="005309F5" w:rsidRDefault="00F24D53" w:rsidP="005309F5">
            <w:pPr>
              <w:rPr>
                <w:rFonts w:ascii="Arial" w:hAnsi="Arial" w:cs="Arial"/>
                <w:color w:val="000000"/>
                <w:sz w:val="20"/>
                <w:szCs w:val="20"/>
                <w:lang w:eastAsia="en-AU"/>
              </w:rPr>
            </w:pPr>
          </w:p>
        </w:tc>
        <w:tc>
          <w:tcPr>
            <w:tcW w:w="583" w:type="dxa"/>
          </w:tcPr>
          <w:p w14:paraId="09981C88" w14:textId="77777777" w:rsidR="00F24D53" w:rsidRPr="005309F5" w:rsidRDefault="00F24D53" w:rsidP="005309F5">
            <w:pPr>
              <w:rPr>
                <w:rFonts w:ascii="Arial" w:hAnsi="Arial" w:cs="Arial"/>
                <w:color w:val="000000"/>
                <w:sz w:val="20"/>
                <w:szCs w:val="20"/>
                <w:lang w:eastAsia="en-AU"/>
              </w:rPr>
            </w:pPr>
          </w:p>
        </w:tc>
        <w:tc>
          <w:tcPr>
            <w:tcW w:w="595" w:type="dxa"/>
          </w:tcPr>
          <w:p w14:paraId="2B8B3C03" w14:textId="77777777" w:rsidR="00F24D53" w:rsidRPr="005309F5" w:rsidRDefault="00F24D53" w:rsidP="005309F5">
            <w:pPr>
              <w:rPr>
                <w:rFonts w:ascii="Arial" w:hAnsi="Arial" w:cs="Arial"/>
                <w:sz w:val="20"/>
                <w:szCs w:val="20"/>
                <w:lang w:eastAsia="en-AU"/>
              </w:rPr>
            </w:pPr>
          </w:p>
        </w:tc>
        <w:tc>
          <w:tcPr>
            <w:tcW w:w="594" w:type="dxa"/>
          </w:tcPr>
          <w:p w14:paraId="178A182F" w14:textId="77777777" w:rsidR="00F24D53" w:rsidRPr="005309F5" w:rsidRDefault="00F24D53" w:rsidP="005309F5">
            <w:pPr>
              <w:rPr>
                <w:rFonts w:ascii="Arial" w:hAnsi="Arial" w:cs="Arial"/>
                <w:color w:val="000000"/>
                <w:sz w:val="20"/>
                <w:szCs w:val="20"/>
                <w:lang w:eastAsia="en-AU"/>
              </w:rPr>
            </w:pPr>
          </w:p>
        </w:tc>
        <w:tc>
          <w:tcPr>
            <w:tcW w:w="594" w:type="dxa"/>
          </w:tcPr>
          <w:p w14:paraId="27CE756E" w14:textId="77777777" w:rsidR="00F24D53" w:rsidRPr="005309F5" w:rsidRDefault="00F24D53" w:rsidP="005309F5">
            <w:pPr>
              <w:rPr>
                <w:rFonts w:ascii="Arial" w:hAnsi="Arial" w:cs="Arial"/>
                <w:color w:val="000000"/>
                <w:sz w:val="20"/>
                <w:szCs w:val="20"/>
                <w:lang w:eastAsia="en-AU"/>
              </w:rPr>
            </w:pPr>
          </w:p>
        </w:tc>
        <w:tc>
          <w:tcPr>
            <w:tcW w:w="594" w:type="dxa"/>
          </w:tcPr>
          <w:p w14:paraId="367BB2D6" w14:textId="77777777" w:rsidR="00F24D53" w:rsidRPr="005309F5" w:rsidRDefault="00F24D53" w:rsidP="005309F5">
            <w:pPr>
              <w:rPr>
                <w:rFonts w:ascii="Arial" w:hAnsi="Arial" w:cs="Arial"/>
                <w:color w:val="000000"/>
                <w:sz w:val="20"/>
                <w:szCs w:val="20"/>
                <w:lang w:eastAsia="en-AU"/>
              </w:rPr>
            </w:pPr>
          </w:p>
        </w:tc>
        <w:tc>
          <w:tcPr>
            <w:tcW w:w="584" w:type="dxa"/>
          </w:tcPr>
          <w:p w14:paraId="42888639" w14:textId="77777777" w:rsidR="00F24D53" w:rsidRPr="005309F5" w:rsidRDefault="00F24D53" w:rsidP="005309F5">
            <w:pPr>
              <w:rPr>
                <w:rFonts w:ascii="Arial" w:hAnsi="Arial" w:cs="Arial"/>
                <w:sz w:val="20"/>
                <w:szCs w:val="20"/>
              </w:rPr>
            </w:pPr>
            <w:r w:rsidRPr="005309F5">
              <w:rPr>
                <w:rFonts w:ascii="Arial" w:hAnsi="Arial" w:cs="Arial"/>
                <w:color w:val="000000"/>
                <w:sz w:val="20"/>
                <w:szCs w:val="20"/>
                <w:lang w:eastAsia="en-AU"/>
              </w:rPr>
              <w:t>D</w:t>
            </w:r>
          </w:p>
        </w:tc>
        <w:tc>
          <w:tcPr>
            <w:tcW w:w="547" w:type="dxa"/>
          </w:tcPr>
          <w:p w14:paraId="0A920151" w14:textId="77777777" w:rsidR="00F24D53" w:rsidRPr="005309F5" w:rsidRDefault="00F24D53" w:rsidP="005309F5">
            <w:pPr>
              <w:rPr>
                <w:rFonts w:ascii="Arial" w:hAnsi="Arial" w:cs="Arial"/>
                <w:color w:val="000000"/>
                <w:sz w:val="20"/>
                <w:szCs w:val="20"/>
                <w:lang w:eastAsia="en-AU"/>
              </w:rPr>
            </w:pPr>
          </w:p>
        </w:tc>
        <w:tc>
          <w:tcPr>
            <w:tcW w:w="584" w:type="dxa"/>
          </w:tcPr>
          <w:p w14:paraId="1E493447" w14:textId="77777777" w:rsidR="00F24D53" w:rsidRPr="005309F5" w:rsidRDefault="00F24D53" w:rsidP="005309F5">
            <w:pPr>
              <w:rPr>
                <w:rFonts w:ascii="Arial" w:hAnsi="Arial" w:cs="Arial"/>
                <w:color w:val="000000"/>
                <w:sz w:val="20"/>
                <w:szCs w:val="20"/>
                <w:lang w:eastAsia="en-AU"/>
              </w:rPr>
            </w:pPr>
          </w:p>
        </w:tc>
        <w:tc>
          <w:tcPr>
            <w:tcW w:w="547" w:type="dxa"/>
          </w:tcPr>
          <w:p w14:paraId="796755F1" w14:textId="77777777" w:rsidR="00F24D53" w:rsidRPr="005309F5" w:rsidRDefault="00F24D53" w:rsidP="005309F5">
            <w:pPr>
              <w:rPr>
                <w:rFonts w:ascii="Arial" w:hAnsi="Arial" w:cs="Arial"/>
                <w:color w:val="000000"/>
                <w:sz w:val="20"/>
                <w:szCs w:val="20"/>
                <w:lang w:eastAsia="en-AU"/>
              </w:rPr>
            </w:pPr>
          </w:p>
        </w:tc>
        <w:tc>
          <w:tcPr>
            <w:tcW w:w="594" w:type="dxa"/>
          </w:tcPr>
          <w:p w14:paraId="0C58E9B4" w14:textId="77777777" w:rsidR="00F24D53" w:rsidRPr="005309F5" w:rsidRDefault="00F24D53" w:rsidP="005309F5">
            <w:pPr>
              <w:rPr>
                <w:rFonts w:ascii="Arial" w:hAnsi="Arial" w:cs="Arial"/>
                <w:color w:val="000000"/>
                <w:sz w:val="20"/>
                <w:szCs w:val="20"/>
                <w:lang w:eastAsia="en-AU"/>
              </w:rPr>
            </w:pPr>
          </w:p>
        </w:tc>
        <w:tc>
          <w:tcPr>
            <w:tcW w:w="594" w:type="dxa"/>
          </w:tcPr>
          <w:p w14:paraId="4A0A4846" w14:textId="77777777" w:rsidR="00F24D53" w:rsidRPr="005309F5" w:rsidRDefault="00F24D53" w:rsidP="005309F5">
            <w:pPr>
              <w:rPr>
                <w:rFonts w:ascii="Arial" w:hAnsi="Arial" w:cs="Arial"/>
                <w:color w:val="000000"/>
                <w:sz w:val="20"/>
                <w:szCs w:val="20"/>
                <w:lang w:eastAsia="en-AU"/>
              </w:rPr>
            </w:pPr>
          </w:p>
        </w:tc>
        <w:tc>
          <w:tcPr>
            <w:tcW w:w="547" w:type="dxa"/>
          </w:tcPr>
          <w:p w14:paraId="078393E1" w14:textId="77777777" w:rsidR="00F24D53" w:rsidRPr="005309F5" w:rsidRDefault="00F24D53" w:rsidP="005309F5">
            <w:pPr>
              <w:rPr>
                <w:rFonts w:ascii="Arial" w:hAnsi="Arial" w:cs="Arial"/>
                <w:color w:val="000000"/>
                <w:sz w:val="20"/>
                <w:szCs w:val="20"/>
                <w:lang w:eastAsia="en-AU"/>
              </w:rPr>
            </w:pPr>
          </w:p>
        </w:tc>
        <w:tc>
          <w:tcPr>
            <w:tcW w:w="594" w:type="dxa"/>
          </w:tcPr>
          <w:p w14:paraId="5DCCC82C" w14:textId="77777777" w:rsidR="00F24D53" w:rsidRPr="005309F5" w:rsidRDefault="00F24D53" w:rsidP="005309F5">
            <w:pPr>
              <w:rPr>
                <w:rFonts w:ascii="Arial" w:hAnsi="Arial" w:cs="Arial"/>
                <w:color w:val="000000"/>
                <w:sz w:val="20"/>
                <w:szCs w:val="20"/>
                <w:lang w:eastAsia="en-AU"/>
              </w:rPr>
            </w:pPr>
          </w:p>
        </w:tc>
      </w:tr>
      <w:tr w:rsidR="00F24D53" w:rsidRPr="005309F5" w14:paraId="182D66F9" w14:textId="77777777" w:rsidTr="005309F5">
        <w:trPr>
          <w:gridAfter w:val="1"/>
          <w:wAfter w:w="11" w:type="dxa"/>
        </w:trPr>
        <w:tc>
          <w:tcPr>
            <w:tcW w:w="3415" w:type="dxa"/>
          </w:tcPr>
          <w:p w14:paraId="6405C7B5" w14:textId="77777777" w:rsidR="00F24D53" w:rsidRPr="005309F5" w:rsidRDefault="00F24D53" w:rsidP="005309F5">
            <w:pPr>
              <w:rPr>
                <w:rFonts w:ascii="Arial" w:hAnsi="Arial" w:cs="Arial"/>
                <w:sz w:val="20"/>
                <w:szCs w:val="20"/>
              </w:rPr>
            </w:pPr>
            <w:r w:rsidRPr="005309F5">
              <w:rPr>
                <w:rFonts w:ascii="Arial" w:hAnsi="Arial" w:cs="Arial"/>
                <w:sz w:val="20"/>
                <w:szCs w:val="20"/>
              </w:rPr>
              <w:lastRenderedPageBreak/>
              <w:t>132-Vic State Gov-Bridging support -intake</w:t>
            </w:r>
          </w:p>
        </w:tc>
        <w:tc>
          <w:tcPr>
            <w:tcW w:w="594" w:type="dxa"/>
          </w:tcPr>
          <w:p w14:paraId="4CCB5381" w14:textId="77777777" w:rsidR="00F24D53" w:rsidRPr="005309F5" w:rsidRDefault="00F24D53" w:rsidP="005309F5">
            <w:pPr>
              <w:rPr>
                <w:rFonts w:ascii="Arial" w:hAnsi="Arial" w:cs="Arial"/>
                <w:color w:val="000000"/>
                <w:sz w:val="20"/>
                <w:szCs w:val="20"/>
                <w:lang w:eastAsia="en-AU"/>
              </w:rPr>
            </w:pPr>
          </w:p>
        </w:tc>
        <w:tc>
          <w:tcPr>
            <w:tcW w:w="594" w:type="dxa"/>
          </w:tcPr>
          <w:p w14:paraId="2F4F5328" w14:textId="77777777" w:rsidR="00F24D53" w:rsidRPr="005309F5" w:rsidRDefault="00F24D53" w:rsidP="005309F5">
            <w:pPr>
              <w:rPr>
                <w:rFonts w:ascii="Arial" w:hAnsi="Arial" w:cs="Arial"/>
                <w:color w:val="000000"/>
                <w:sz w:val="20"/>
                <w:szCs w:val="20"/>
                <w:lang w:eastAsia="en-AU"/>
              </w:rPr>
            </w:pPr>
          </w:p>
        </w:tc>
        <w:tc>
          <w:tcPr>
            <w:tcW w:w="594" w:type="dxa"/>
          </w:tcPr>
          <w:p w14:paraId="1135F076" w14:textId="77777777" w:rsidR="00F24D53" w:rsidRPr="005309F5" w:rsidRDefault="00F24D53" w:rsidP="005309F5">
            <w:pPr>
              <w:rPr>
                <w:rFonts w:ascii="Arial" w:hAnsi="Arial" w:cs="Arial"/>
                <w:color w:val="000000"/>
                <w:sz w:val="20"/>
                <w:szCs w:val="20"/>
                <w:lang w:eastAsia="en-AU"/>
              </w:rPr>
            </w:pPr>
          </w:p>
        </w:tc>
        <w:tc>
          <w:tcPr>
            <w:tcW w:w="546" w:type="dxa"/>
          </w:tcPr>
          <w:p w14:paraId="5D56AAEB" w14:textId="77777777" w:rsidR="00F24D53" w:rsidRPr="005309F5" w:rsidRDefault="00F24D53" w:rsidP="005309F5">
            <w:pPr>
              <w:rPr>
                <w:rFonts w:ascii="Arial" w:hAnsi="Arial" w:cs="Arial"/>
                <w:color w:val="000000"/>
                <w:sz w:val="20"/>
                <w:szCs w:val="20"/>
                <w:lang w:eastAsia="en-AU"/>
              </w:rPr>
            </w:pPr>
          </w:p>
        </w:tc>
        <w:tc>
          <w:tcPr>
            <w:tcW w:w="594" w:type="dxa"/>
          </w:tcPr>
          <w:p w14:paraId="60E7E138" w14:textId="77777777" w:rsidR="00F24D53" w:rsidRPr="005309F5" w:rsidRDefault="00F24D53" w:rsidP="005309F5">
            <w:pPr>
              <w:rPr>
                <w:rFonts w:ascii="Arial" w:hAnsi="Arial" w:cs="Arial"/>
                <w:color w:val="000000"/>
                <w:sz w:val="20"/>
                <w:szCs w:val="20"/>
                <w:lang w:eastAsia="en-AU"/>
              </w:rPr>
            </w:pPr>
          </w:p>
        </w:tc>
        <w:tc>
          <w:tcPr>
            <w:tcW w:w="594" w:type="dxa"/>
          </w:tcPr>
          <w:p w14:paraId="3AB8181B" w14:textId="77777777" w:rsidR="00F24D53" w:rsidRPr="005309F5" w:rsidRDefault="00F24D53" w:rsidP="005309F5">
            <w:pPr>
              <w:rPr>
                <w:rFonts w:ascii="Arial" w:hAnsi="Arial" w:cs="Arial"/>
                <w:color w:val="000000"/>
                <w:sz w:val="20"/>
                <w:szCs w:val="20"/>
                <w:lang w:eastAsia="en-AU"/>
              </w:rPr>
            </w:pPr>
          </w:p>
        </w:tc>
        <w:tc>
          <w:tcPr>
            <w:tcW w:w="583" w:type="dxa"/>
          </w:tcPr>
          <w:p w14:paraId="438199D4" w14:textId="77777777" w:rsidR="00F24D53" w:rsidRPr="005309F5" w:rsidRDefault="00F24D53" w:rsidP="005309F5">
            <w:pPr>
              <w:rPr>
                <w:rFonts w:ascii="Arial" w:hAnsi="Arial" w:cs="Arial"/>
                <w:color w:val="000000"/>
                <w:sz w:val="20"/>
                <w:szCs w:val="20"/>
                <w:lang w:eastAsia="en-AU"/>
              </w:rPr>
            </w:pPr>
          </w:p>
        </w:tc>
        <w:tc>
          <w:tcPr>
            <w:tcW w:w="595" w:type="dxa"/>
          </w:tcPr>
          <w:p w14:paraId="5DF72192" w14:textId="77777777" w:rsidR="00F24D53" w:rsidRPr="005309F5" w:rsidRDefault="00F24D53" w:rsidP="005309F5">
            <w:pPr>
              <w:rPr>
                <w:rFonts w:ascii="Arial" w:hAnsi="Arial" w:cs="Arial"/>
                <w:sz w:val="20"/>
                <w:szCs w:val="20"/>
                <w:lang w:eastAsia="en-AU"/>
              </w:rPr>
            </w:pPr>
          </w:p>
        </w:tc>
        <w:tc>
          <w:tcPr>
            <w:tcW w:w="594" w:type="dxa"/>
          </w:tcPr>
          <w:p w14:paraId="6CCFC9C9" w14:textId="77777777" w:rsidR="00F24D53" w:rsidRPr="005309F5" w:rsidRDefault="00F24D53" w:rsidP="005309F5">
            <w:pPr>
              <w:rPr>
                <w:rFonts w:ascii="Arial" w:hAnsi="Arial" w:cs="Arial"/>
                <w:color w:val="000000"/>
                <w:sz w:val="20"/>
                <w:szCs w:val="20"/>
                <w:lang w:eastAsia="en-AU"/>
              </w:rPr>
            </w:pPr>
          </w:p>
        </w:tc>
        <w:tc>
          <w:tcPr>
            <w:tcW w:w="594" w:type="dxa"/>
          </w:tcPr>
          <w:p w14:paraId="7A7D057F" w14:textId="77777777" w:rsidR="00F24D53" w:rsidRPr="005309F5" w:rsidRDefault="00F24D53" w:rsidP="005309F5">
            <w:pPr>
              <w:rPr>
                <w:rFonts w:ascii="Arial" w:hAnsi="Arial" w:cs="Arial"/>
                <w:color w:val="000000"/>
                <w:sz w:val="20"/>
                <w:szCs w:val="20"/>
                <w:lang w:eastAsia="en-AU"/>
              </w:rPr>
            </w:pPr>
          </w:p>
        </w:tc>
        <w:tc>
          <w:tcPr>
            <w:tcW w:w="594" w:type="dxa"/>
          </w:tcPr>
          <w:p w14:paraId="2948E57B" w14:textId="77777777" w:rsidR="00F24D53" w:rsidRPr="005309F5" w:rsidRDefault="00F24D53" w:rsidP="005309F5">
            <w:pPr>
              <w:rPr>
                <w:rFonts w:ascii="Arial" w:hAnsi="Arial" w:cs="Arial"/>
                <w:color w:val="000000"/>
                <w:sz w:val="20"/>
                <w:szCs w:val="20"/>
                <w:lang w:eastAsia="en-AU"/>
              </w:rPr>
            </w:pPr>
          </w:p>
        </w:tc>
        <w:tc>
          <w:tcPr>
            <w:tcW w:w="584" w:type="dxa"/>
          </w:tcPr>
          <w:p w14:paraId="6C985B66" w14:textId="77777777" w:rsidR="00F24D53" w:rsidRPr="005309F5" w:rsidRDefault="00F24D53" w:rsidP="005309F5">
            <w:pPr>
              <w:rPr>
                <w:rFonts w:ascii="Arial" w:hAnsi="Arial" w:cs="Arial"/>
                <w:sz w:val="20"/>
                <w:szCs w:val="20"/>
              </w:rPr>
            </w:pPr>
            <w:r w:rsidRPr="005309F5">
              <w:rPr>
                <w:rFonts w:ascii="Arial" w:hAnsi="Arial" w:cs="Arial"/>
                <w:color w:val="000000"/>
                <w:sz w:val="20"/>
                <w:szCs w:val="20"/>
                <w:lang w:eastAsia="en-AU"/>
              </w:rPr>
              <w:t>D</w:t>
            </w:r>
          </w:p>
        </w:tc>
        <w:tc>
          <w:tcPr>
            <w:tcW w:w="547" w:type="dxa"/>
          </w:tcPr>
          <w:p w14:paraId="2BF74F58" w14:textId="77777777" w:rsidR="00F24D53" w:rsidRPr="005309F5" w:rsidRDefault="00F24D53" w:rsidP="005309F5">
            <w:pPr>
              <w:rPr>
                <w:rFonts w:ascii="Arial" w:hAnsi="Arial" w:cs="Arial"/>
                <w:color w:val="000000"/>
                <w:sz w:val="20"/>
                <w:szCs w:val="20"/>
                <w:lang w:eastAsia="en-AU"/>
              </w:rPr>
            </w:pPr>
          </w:p>
        </w:tc>
        <w:tc>
          <w:tcPr>
            <w:tcW w:w="584" w:type="dxa"/>
          </w:tcPr>
          <w:p w14:paraId="49AB9D0A" w14:textId="77777777" w:rsidR="00F24D53" w:rsidRPr="005309F5" w:rsidRDefault="00F24D53" w:rsidP="005309F5">
            <w:pPr>
              <w:rPr>
                <w:rFonts w:ascii="Arial" w:hAnsi="Arial" w:cs="Arial"/>
                <w:color w:val="000000"/>
                <w:sz w:val="20"/>
                <w:szCs w:val="20"/>
                <w:lang w:eastAsia="en-AU"/>
              </w:rPr>
            </w:pPr>
          </w:p>
        </w:tc>
        <w:tc>
          <w:tcPr>
            <w:tcW w:w="547" w:type="dxa"/>
          </w:tcPr>
          <w:p w14:paraId="57B459B4" w14:textId="77777777" w:rsidR="00F24D53" w:rsidRPr="005309F5" w:rsidRDefault="00F24D53" w:rsidP="005309F5">
            <w:pPr>
              <w:rPr>
                <w:rFonts w:ascii="Arial" w:hAnsi="Arial" w:cs="Arial"/>
                <w:color w:val="000000"/>
                <w:sz w:val="20"/>
                <w:szCs w:val="20"/>
                <w:lang w:eastAsia="en-AU"/>
              </w:rPr>
            </w:pPr>
          </w:p>
        </w:tc>
        <w:tc>
          <w:tcPr>
            <w:tcW w:w="594" w:type="dxa"/>
          </w:tcPr>
          <w:p w14:paraId="3CE23CC3" w14:textId="77777777" w:rsidR="00F24D53" w:rsidRPr="005309F5" w:rsidRDefault="00F24D53" w:rsidP="005309F5">
            <w:pPr>
              <w:rPr>
                <w:rFonts w:ascii="Arial" w:hAnsi="Arial" w:cs="Arial"/>
                <w:color w:val="000000"/>
                <w:sz w:val="20"/>
                <w:szCs w:val="20"/>
                <w:lang w:eastAsia="en-AU"/>
              </w:rPr>
            </w:pPr>
          </w:p>
        </w:tc>
        <w:tc>
          <w:tcPr>
            <w:tcW w:w="594" w:type="dxa"/>
          </w:tcPr>
          <w:p w14:paraId="4E41CDAB" w14:textId="77777777" w:rsidR="00F24D53" w:rsidRPr="005309F5" w:rsidRDefault="00F24D53" w:rsidP="005309F5">
            <w:pPr>
              <w:rPr>
                <w:rFonts w:ascii="Arial" w:hAnsi="Arial" w:cs="Arial"/>
                <w:color w:val="000000"/>
                <w:sz w:val="20"/>
                <w:szCs w:val="20"/>
                <w:lang w:eastAsia="en-AU"/>
              </w:rPr>
            </w:pPr>
          </w:p>
        </w:tc>
        <w:tc>
          <w:tcPr>
            <w:tcW w:w="547" w:type="dxa"/>
          </w:tcPr>
          <w:p w14:paraId="4D7C083D" w14:textId="77777777" w:rsidR="00F24D53" w:rsidRPr="005309F5" w:rsidRDefault="00F24D53" w:rsidP="005309F5">
            <w:pPr>
              <w:rPr>
                <w:rFonts w:ascii="Arial" w:hAnsi="Arial" w:cs="Arial"/>
                <w:color w:val="000000"/>
                <w:sz w:val="20"/>
                <w:szCs w:val="20"/>
                <w:lang w:eastAsia="en-AU"/>
              </w:rPr>
            </w:pPr>
          </w:p>
        </w:tc>
        <w:tc>
          <w:tcPr>
            <w:tcW w:w="594" w:type="dxa"/>
          </w:tcPr>
          <w:p w14:paraId="2A54F450" w14:textId="77777777" w:rsidR="00F24D53" w:rsidRPr="005309F5" w:rsidRDefault="00F24D53" w:rsidP="005309F5">
            <w:pPr>
              <w:rPr>
                <w:rFonts w:ascii="Arial" w:hAnsi="Arial" w:cs="Arial"/>
                <w:color w:val="000000"/>
                <w:sz w:val="20"/>
                <w:szCs w:val="20"/>
                <w:lang w:eastAsia="en-AU"/>
              </w:rPr>
            </w:pPr>
          </w:p>
        </w:tc>
      </w:tr>
      <w:tr w:rsidR="00F24D53" w:rsidRPr="005309F5" w14:paraId="49648411" w14:textId="77777777" w:rsidTr="005309F5">
        <w:trPr>
          <w:gridAfter w:val="1"/>
          <w:wAfter w:w="11" w:type="dxa"/>
        </w:trPr>
        <w:tc>
          <w:tcPr>
            <w:tcW w:w="3415" w:type="dxa"/>
          </w:tcPr>
          <w:p w14:paraId="20D423FE" w14:textId="77777777" w:rsidR="00F24D53" w:rsidRPr="005309F5" w:rsidRDefault="00F24D53" w:rsidP="005309F5">
            <w:pPr>
              <w:rPr>
                <w:rFonts w:ascii="Arial" w:hAnsi="Arial" w:cs="Arial"/>
                <w:sz w:val="20"/>
                <w:szCs w:val="20"/>
              </w:rPr>
            </w:pPr>
            <w:r w:rsidRPr="005309F5">
              <w:rPr>
                <w:rFonts w:ascii="Arial" w:hAnsi="Arial" w:cs="Arial"/>
                <w:sz w:val="20"/>
                <w:szCs w:val="20"/>
              </w:rPr>
              <w:t>133-Vic State Gov-Bridging support- assessment</w:t>
            </w:r>
          </w:p>
        </w:tc>
        <w:tc>
          <w:tcPr>
            <w:tcW w:w="594" w:type="dxa"/>
          </w:tcPr>
          <w:p w14:paraId="05759055" w14:textId="77777777" w:rsidR="00F24D53" w:rsidRPr="005309F5" w:rsidRDefault="00F24D53" w:rsidP="005309F5">
            <w:pPr>
              <w:rPr>
                <w:rFonts w:ascii="Arial" w:hAnsi="Arial" w:cs="Arial"/>
                <w:color w:val="000000"/>
                <w:sz w:val="20"/>
                <w:szCs w:val="20"/>
                <w:lang w:eastAsia="en-AU"/>
              </w:rPr>
            </w:pPr>
          </w:p>
        </w:tc>
        <w:tc>
          <w:tcPr>
            <w:tcW w:w="594" w:type="dxa"/>
          </w:tcPr>
          <w:p w14:paraId="0A2EC42E" w14:textId="77777777" w:rsidR="00F24D53" w:rsidRPr="005309F5" w:rsidRDefault="00F24D53" w:rsidP="005309F5">
            <w:pPr>
              <w:rPr>
                <w:rFonts w:ascii="Arial" w:hAnsi="Arial" w:cs="Arial"/>
                <w:color w:val="000000"/>
                <w:sz w:val="20"/>
                <w:szCs w:val="20"/>
                <w:lang w:eastAsia="en-AU"/>
              </w:rPr>
            </w:pPr>
          </w:p>
        </w:tc>
        <w:tc>
          <w:tcPr>
            <w:tcW w:w="594" w:type="dxa"/>
          </w:tcPr>
          <w:p w14:paraId="3F28CE23" w14:textId="77777777" w:rsidR="00F24D53" w:rsidRPr="005309F5" w:rsidRDefault="00F24D53" w:rsidP="005309F5">
            <w:pPr>
              <w:rPr>
                <w:rFonts w:ascii="Arial" w:hAnsi="Arial" w:cs="Arial"/>
                <w:color w:val="000000"/>
                <w:sz w:val="20"/>
                <w:szCs w:val="20"/>
                <w:lang w:eastAsia="en-AU"/>
              </w:rPr>
            </w:pPr>
          </w:p>
        </w:tc>
        <w:tc>
          <w:tcPr>
            <w:tcW w:w="546" w:type="dxa"/>
          </w:tcPr>
          <w:p w14:paraId="1B78DBC0" w14:textId="77777777" w:rsidR="00F24D53" w:rsidRPr="005309F5" w:rsidRDefault="00F24D53" w:rsidP="005309F5">
            <w:pPr>
              <w:rPr>
                <w:rFonts w:ascii="Arial" w:hAnsi="Arial" w:cs="Arial"/>
                <w:color w:val="000000"/>
                <w:sz w:val="20"/>
                <w:szCs w:val="20"/>
                <w:lang w:eastAsia="en-AU"/>
              </w:rPr>
            </w:pPr>
          </w:p>
        </w:tc>
        <w:tc>
          <w:tcPr>
            <w:tcW w:w="594" w:type="dxa"/>
          </w:tcPr>
          <w:p w14:paraId="06930FB9" w14:textId="77777777" w:rsidR="00F24D53" w:rsidRPr="005309F5" w:rsidRDefault="00F24D53" w:rsidP="005309F5">
            <w:pPr>
              <w:rPr>
                <w:rFonts w:ascii="Arial" w:hAnsi="Arial" w:cs="Arial"/>
                <w:color w:val="000000"/>
                <w:sz w:val="20"/>
                <w:szCs w:val="20"/>
                <w:lang w:eastAsia="en-AU"/>
              </w:rPr>
            </w:pPr>
          </w:p>
        </w:tc>
        <w:tc>
          <w:tcPr>
            <w:tcW w:w="594" w:type="dxa"/>
          </w:tcPr>
          <w:p w14:paraId="52CEDDCF" w14:textId="77777777" w:rsidR="00F24D53" w:rsidRPr="005309F5" w:rsidRDefault="00F24D53" w:rsidP="005309F5">
            <w:pPr>
              <w:rPr>
                <w:rFonts w:ascii="Arial" w:hAnsi="Arial" w:cs="Arial"/>
                <w:color w:val="000000"/>
                <w:sz w:val="20"/>
                <w:szCs w:val="20"/>
                <w:lang w:eastAsia="en-AU"/>
              </w:rPr>
            </w:pPr>
          </w:p>
        </w:tc>
        <w:tc>
          <w:tcPr>
            <w:tcW w:w="583" w:type="dxa"/>
          </w:tcPr>
          <w:p w14:paraId="6520317A" w14:textId="77777777" w:rsidR="00F24D53" w:rsidRPr="005309F5" w:rsidRDefault="00F24D53" w:rsidP="005309F5">
            <w:pPr>
              <w:rPr>
                <w:rFonts w:ascii="Arial" w:hAnsi="Arial" w:cs="Arial"/>
                <w:color w:val="000000"/>
                <w:sz w:val="20"/>
                <w:szCs w:val="20"/>
                <w:lang w:eastAsia="en-AU"/>
              </w:rPr>
            </w:pPr>
          </w:p>
        </w:tc>
        <w:tc>
          <w:tcPr>
            <w:tcW w:w="595" w:type="dxa"/>
          </w:tcPr>
          <w:p w14:paraId="1F170903" w14:textId="77777777" w:rsidR="00F24D53" w:rsidRPr="005309F5" w:rsidRDefault="00F24D53" w:rsidP="005309F5">
            <w:pPr>
              <w:rPr>
                <w:rFonts w:ascii="Arial" w:hAnsi="Arial" w:cs="Arial"/>
                <w:sz w:val="20"/>
                <w:szCs w:val="20"/>
                <w:lang w:eastAsia="en-AU"/>
              </w:rPr>
            </w:pPr>
          </w:p>
        </w:tc>
        <w:tc>
          <w:tcPr>
            <w:tcW w:w="594" w:type="dxa"/>
          </w:tcPr>
          <w:p w14:paraId="51C17CF3" w14:textId="77777777" w:rsidR="00F24D53" w:rsidRPr="005309F5" w:rsidRDefault="00F24D53" w:rsidP="005309F5">
            <w:pPr>
              <w:rPr>
                <w:rFonts w:ascii="Arial" w:hAnsi="Arial" w:cs="Arial"/>
                <w:color w:val="000000"/>
                <w:sz w:val="20"/>
                <w:szCs w:val="20"/>
                <w:lang w:eastAsia="en-AU"/>
              </w:rPr>
            </w:pPr>
          </w:p>
        </w:tc>
        <w:tc>
          <w:tcPr>
            <w:tcW w:w="594" w:type="dxa"/>
          </w:tcPr>
          <w:p w14:paraId="06E34D59" w14:textId="77777777" w:rsidR="00F24D53" w:rsidRPr="005309F5" w:rsidRDefault="00F24D53" w:rsidP="005309F5">
            <w:pPr>
              <w:rPr>
                <w:rFonts w:ascii="Arial" w:hAnsi="Arial" w:cs="Arial"/>
                <w:color w:val="000000"/>
                <w:sz w:val="20"/>
                <w:szCs w:val="20"/>
                <w:lang w:eastAsia="en-AU"/>
              </w:rPr>
            </w:pPr>
          </w:p>
        </w:tc>
        <w:tc>
          <w:tcPr>
            <w:tcW w:w="594" w:type="dxa"/>
          </w:tcPr>
          <w:p w14:paraId="591B055B" w14:textId="77777777" w:rsidR="00F24D53" w:rsidRPr="005309F5" w:rsidRDefault="00F24D53" w:rsidP="005309F5">
            <w:pPr>
              <w:rPr>
                <w:rFonts w:ascii="Arial" w:hAnsi="Arial" w:cs="Arial"/>
                <w:color w:val="000000"/>
                <w:sz w:val="20"/>
                <w:szCs w:val="20"/>
                <w:lang w:eastAsia="en-AU"/>
              </w:rPr>
            </w:pPr>
          </w:p>
        </w:tc>
        <w:tc>
          <w:tcPr>
            <w:tcW w:w="584" w:type="dxa"/>
          </w:tcPr>
          <w:p w14:paraId="7CA94C78"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D</w:t>
            </w:r>
          </w:p>
        </w:tc>
        <w:tc>
          <w:tcPr>
            <w:tcW w:w="547" w:type="dxa"/>
          </w:tcPr>
          <w:p w14:paraId="05E7A4B0" w14:textId="77777777" w:rsidR="00F24D53" w:rsidRPr="005309F5" w:rsidRDefault="00F24D53" w:rsidP="005309F5">
            <w:pPr>
              <w:rPr>
                <w:rFonts w:ascii="Arial" w:hAnsi="Arial" w:cs="Arial"/>
                <w:color w:val="000000"/>
                <w:sz w:val="20"/>
                <w:szCs w:val="20"/>
                <w:lang w:eastAsia="en-AU"/>
              </w:rPr>
            </w:pPr>
          </w:p>
        </w:tc>
        <w:tc>
          <w:tcPr>
            <w:tcW w:w="584" w:type="dxa"/>
          </w:tcPr>
          <w:p w14:paraId="22A5A89D" w14:textId="77777777" w:rsidR="00F24D53" w:rsidRPr="005309F5" w:rsidRDefault="00F24D53" w:rsidP="005309F5">
            <w:pPr>
              <w:rPr>
                <w:rFonts w:ascii="Arial" w:hAnsi="Arial" w:cs="Arial"/>
                <w:color w:val="000000"/>
                <w:sz w:val="20"/>
                <w:szCs w:val="20"/>
                <w:lang w:eastAsia="en-AU"/>
              </w:rPr>
            </w:pPr>
          </w:p>
        </w:tc>
        <w:tc>
          <w:tcPr>
            <w:tcW w:w="547" w:type="dxa"/>
          </w:tcPr>
          <w:p w14:paraId="48425D1C" w14:textId="77777777" w:rsidR="00F24D53" w:rsidRPr="005309F5" w:rsidRDefault="00F24D53" w:rsidP="005309F5">
            <w:pPr>
              <w:rPr>
                <w:rFonts w:ascii="Arial" w:hAnsi="Arial" w:cs="Arial"/>
                <w:color w:val="000000"/>
                <w:sz w:val="20"/>
                <w:szCs w:val="20"/>
                <w:lang w:eastAsia="en-AU"/>
              </w:rPr>
            </w:pPr>
          </w:p>
        </w:tc>
        <w:tc>
          <w:tcPr>
            <w:tcW w:w="594" w:type="dxa"/>
          </w:tcPr>
          <w:p w14:paraId="34FADF5A" w14:textId="77777777" w:rsidR="00F24D53" w:rsidRPr="005309F5" w:rsidRDefault="00F24D53" w:rsidP="005309F5">
            <w:pPr>
              <w:rPr>
                <w:rFonts w:ascii="Arial" w:hAnsi="Arial" w:cs="Arial"/>
                <w:color w:val="000000"/>
                <w:sz w:val="20"/>
                <w:szCs w:val="20"/>
                <w:lang w:eastAsia="en-AU"/>
              </w:rPr>
            </w:pPr>
          </w:p>
        </w:tc>
        <w:tc>
          <w:tcPr>
            <w:tcW w:w="594" w:type="dxa"/>
          </w:tcPr>
          <w:p w14:paraId="175753EB" w14:textId="77777777" w:rsidR="00F24D53" w:rsidRPr="005309F5" w:rsidRDefault="00F24D53" w:rsidP="005309F5">
            <w:pPr>
              <w:rPr>
                <w:rFonts w:ascii="Arial" w:hAnsi="Arial" w:cs="Arial"/>
                <w:color w:val="000000"/>
                <w:sz w:val="20"/>
                <w:szCs w:val="20"/>
                <w:lang w:eastAsia="en-AU"/>
              </w:rPr>
            </w:pPr>
          </w:p>
        </w:tc>
        <w:tc>
          <w:tcPr>
            <w:tcW w:w="547" w:type="dxa"/>
          </w:tcPr>
          <w:p w14:paraId="0C3B1825" w14:textId="77777777" w:rsidR="00F24D53" w:rsidRPr="005309F5" w:rsidRDefault="00F24D53" w:rsidP="005309F5">
            <w:pPr>
              <w:rPr>
                <w:rFonts w:ascii="Arial" w:hAnsi="Arial" w:cs="Arial"/>
                <w:color w:val="000000"/>
                <w:sz w:val="20"/>
                <w:szCs w:val="20"/>
                <w:lang w:eastAsia="en-AU"/>
              </w:rPr>
            </w:pPr>
          </w:p>
        </w:tc>
        <w:tc>
          <w:tcPr>
            <w:tcW w:w="594" w:type="dxa"/>
          </w:tcPr>
          <w:p w14:paraId="5219F8A4" w14:textId="77777777" w:rsidR="00F24D53" w:rsidRPr="005309F5" w:rsidRDefault="00F24D53" w:rsidP="005309F5">
            <w:pPr>
              <w:rPr>
                <w:rFonts w:ascii="Arial" w:hAnsi="Arial" w:cs="Arial"/>
                <w:color w:val="000000"/>
                <w:sz w:val="20"/>
                <w:szCs w:val="20"/>
                <w:lang w:eastAsia="en-AU"/>
              </w:rPr>
            </w:pPr>
          </w:p>
        </w:tc>
      </w:tr>
      <w:tr w:rsidR="00F24D53" w:rsidRPr="005309F5" w14:paraId="607F3BD6" w14:textId="77777777" w:rsidTr="005309F5">
        <w:trPr>
          <w:gridAfter w:val="1"/>
          <w:wAfter w:w="11" w:type="dxa"/>
        </w:trPr>
        <w:tc>
          <w:tcPr>
            <w:tcW w:w="3415" w:type="dxa"/>
          </w:tcPr>
          <w:p w14:paraId="302B6DDF" w14:textId="77777777" w:rsidR="00F24D53" w:rsidRPr="005309F5" w:rsidRDefault="00F24D53" w:rsidP="005309F5">
            <w:pPr>
              <w:rPr>
                <w:rFonts w:ascii="Arial" w:hAnsi="Arial" w:cs="Arial"/>
                <w:sz w:val="20"/>
                <w:szCs w:val="20"/>
              </w:rPr>
            </w:pPr>
            <w:r w:rsidRPr="005309F5">
              <w:rPr>
                <w:rFonts w:ascii="Arial" w:hAnsi="Arial" w:cs="Arial"/>
                <w:sz w:val="20"/>
                <w:szCs w:val="20"/>
              </w:rPr>
              <w:t>134-Vic State Gov-Brief intervention- intake</w:t>
            </w:r>
          </w:p>
        </w:tc>
        <w:tc>
          <w:tcPr>
            <w:tcW w:w="594" w:type="dxa"/>
          </w:tcPr>
          <w:p w14:paraId="0D22DADB" w14:textId="77777777" w:rsidR="00F24D53" w:rsidRPr="005309F5" w:rsidRDefault="00F24D53" w:rsidP="005309F5">
            <w:pPr>
              <w:rPr>
                <w:rFonts w:ascii="Arial" w:hAnsi="Arial" w:cs="Arial"/>
                <w:color w:val="000000"/>
                <w:sz w:val="20"/>
                <w:szCs w:val="20"/>
                <w:lang w:eastAsia="en-AU"/>
              </w:rPr>
            </w:pPr>
          </w:p>
        </w:tc>
        <w:tc>
          <w:tcPr>
            <w:tcW w:w="594" w:type="dxa"/>
          </w:tcPr>
          <w:p w14:paraId="0D32CB0B" w14:textId="77777777" w:rsidR="00F24D53" w:rsidRPr="005309F5" w:rsidRDefault="00F24D53" w:rsidP="005309F5">
            <w:pPr>
              <w:rPr>
                <w:rFonts w:ascii="Arial" w:hAnsi="Arial" w:cs="Arial"/>
                <w:color w:val="000000"/>
                <w:sz w:val="20"/>
                <w:szCs w:val="20"/>
                <w:lang w:eastAsia="en-AU"/>
              </w:rPr>
            </w:pPr>
          </w:p>
        </w:tc>
        <w:tc>
          <w:tcPr>
            <w:tcW w:w="594" w:type="dxa"/>
          </w:tcPr>
          <w:p w14:paraId="70A42369" w14:textId="77777777" w:rsidR="00F24D53" w:rsidRPr="005309F5" w:rsidRDefault="00F24D53" w:rsidP="005309F5">
            <w:pPr>
              <w:rPr>
                <w:rFonts w:ascii="Arial" w:hAnsi="Arial" w:cs="Arial"/>
                <w:color w:val="000000"/>
                <w:sz w:val="20"/>
                <w:szCs w:val="20"/>
                <w:lang w:eastAsia="en-AU"/>
              </w:rPr>
            </w:pPr>
          </w:p>
        </w:tc>
        <w:tc>
          <w:tcPr>
            <w:tcW w:w="546" w:type="dxa"/>
          </w:tcPr>
          <w:p w14:paraId="63EF58BF" w14:textId="77777777" w:rsidR="00F24D53" w:rsidRPr="005309F5" w:rsidRDefault="00F24D53" w:rsidP="005309F5">
            <w:pPr>
              <w:rPr>
                <w:rFonts w:ascii="Arial" w:hAnsi="Arial" w:cs="Arial"/>
                <w:sz w:val="20"/>
                <w:szCs w:val="20"/>
              </w:rPr>
            </w:pPr>
            <w:r w:rsidRPr="005309F5">
              <w:rPr>
                <w:rFonts w:ascii="Arial" w:hAnsi="Arial" w:cs="Arial"/>
                <w:color w:val="000000"/>
                <w:sz w:val="20"/>
                <w:szCs w:val="20"/>
                <w:lang w:eastAsia="en-AU"/>
              </w:rPr>
              <w:t>D</w:t>
            </w:r>
          </w:p>
        </w:tc>
        <w:tc>
          <w:tcPr>
            <w:tcW w:w="594" w:type="dxa"/>
          </w:tcPr>
          <w:p w14:paraId="702C7CE9" w14:textId="77777777" w:rsidR="00F24D53" w:rsidRPr="005309F5" w:rsidRDefault="00F24D53" w:rsidP="005309F5">
            <w:pPr>
              <w:rPr>
                <w:rFonts w:ascii="Arial" w:hAnsi="Arial" w:cs="Arial"/>
                <w:color w:val="000000"/>
                <w:sz w:val="20"/>
                <w:szCs w:val="20"/>
                <w:lang w:eastAsia="en-AU"/>
              </w:rPr>
            </w:pPr>
          </w:p>
        </w:tc>
        <w:tc>
          <w:tcPr>
            <w:tcW w:w="594" w:type="dxa"/>
          </w:tcPr>
          <w:p w14:paraId="75C0FB90" w14:textId="77777777" w:rsidR="00F24D53" w:rsidRPr="005309F5" w:rsidRDefault="00F24D53" w:rsidP="005309F5">
            <w:pPr>
              <w:rPr>
                <w:rFonts w:ascii="Arial" w:hAnsi="Arial" w:cs="Arial"/>
                <w:color w:val="000000"/>
                <w:sz w:val="20"/>
                <w:szCs w:val="20"/>
                <w:lang w:eastAsia="en-AU"/>
              </w:rPr>
            </w:pPr>
          </w:p>
        </w:tc>
        <w:tc>
          <w:tcPr>
            <w:tcW w:w="583" w:type="dxa"/>
          </w:tcPr>
          <w:p w14:paraId="077FCC83" w14:textId="77777777" w:rsidR="00F24D53" w:rsidRPr="005309F5" w:rsidRDefault="00F24D53" w:rsidP="005309F5">
            <w:pPr>
              <w:rPr>
                <w:rFonts w:ascii="Arial" w:hAnsi="Arial" w:cs="Arial"/>
                <w:color w:val="000000"/>
                <w:sz w:val="20"/>
                <w:szCs w:val="20"/>
                <w:lang w:eastAsia="en-AU"/>
              </w:rPr>
            </w:pPr>
          </w:p>
        </w:tc>
        <w:tc>
          <w:tcPr>
            <w:tcW w:w="595" w:type="dxa"/>
          </w:tcPr>
          <w:p w14:paraId="4CD5612E" w14:textId="77777777" w:rsidR="00F24D53" w:rsidRPr="005309F5" w:rsidRDefault="00F24D53" w:rsidP="005309F5">
            <w:pPr>
              <w:rPr>
                <w:rFonts w:ascii="Arial" w:hAnsi="Arial" w:cs="Arial"/>
                <w:sz w:val="20"/>
                <w:szCs w:val="20"/>
                <w:lang w:eastAsia="en-AU"/>
              </w:rPr>
            </w:pPr>
          </w:p>
        </w:tc>
        <w:tc>
          <w:tcPr>
            <w:tcW w:w="594" w:type="dxa"/>
          </w:tcPr>
          <w:p w14:paraId="30FE0644" w14:textId="77777777" w:rsidR="00F24D53" w:rsidRPr="005309F5" w:rsidRDefault="00F24D53" w:rsidP="005309F5">
            <w:pPr>
              <w:rPr>
                <w:rFonts w:ascii="Arial" w:hAnsi="Arial" w:cs="Arial"/>
                <w:color w:val="000000"/>
                <w:sz w:val="20"/>
                <w:szCs w:val="20"/>
                <w:lang w:eastAsia="en-AU"/>
              </w:rPr>
            </w:pPr>
          </w:p>
        </w:tc>
        <w:tc>
          <w:tcPr>
            <w:tcW w:w="594" w:type="dxa"/>
          </w:tcPr>
          <w:p w14:paraId="1C432F67" w14:textId="77777777" w:rsidR="00F24D53" w:rsidRPr="005309F5" w:rsidRDefault="00F24D53" w:rsidP="005309F5">
            <w:pPr>
              <w:rPr>
                <w:rFonts w:ascii="Arial" w:hAnsi="Arial" w:cs="Arial"/>
                <w:color w:val="000000"/>
                <w:sz w:val="20"/>
                <w:szCs w:val="20"/>
                <w:lang w:eastAsia="en-AU"/>
              </w:rPr>
            </w:pPr>
          </w:p>
        </w:tc>
        <w:tc>
          <w:tcPr>
            <w:tcW w:w="594" w:type="dxa"/>
          </w:tcPr>
          <w:p w14:paraId="587E4DF2" w14:textId="77777777" w:rsidR="00F24D53" w:rsidRPr="005309F5" w:rsidRDefault="00F24D53" w:rsidP="005309F5">
            <w:pPr>
              <w:rPr>
                <w:rFonts w:ascii="Arial" w:hAnsi="Arial" w:cs="Arial"/>
                <w:color w:val="000000"/>
                <w:sz w:val="20"/>
                <w:szCs w:val="20"/>
                <w:lang w:eastAsia="en-AU"/>
              </w:rPr>
            </w:pPr>
          </w:p>
        </w:tc>
        <w:tc>
          <w:tcPr>
            <w:tcW w:w="584" w:type="dxa"/>
          </w:tcPr>
          <w:p w14:paraId="00811A5B" w14:textId="77777777" w:rsidR="00F24D53" w:rsidRPr="005309F5" w:rsidRDefault="00F24D53" w:rsidP="005309F5">
            <w:pPr>
              <w:rPr>
                <w:rFonts w:ascii="Arial" w:hAnsi="Arial" w:cs="Arial"/>
                <w:color w:val="000000"/>
                <w:sz w:val="20"/>
                <w:szCs w:val="20"/>
                <w:lang w:eastAsia="en-AU"/>
              </w:rPr>
            </w:pPr>
          </w:p>
        </w:tc>
        <w:tc>
          <w:tcPr>
            <w:tcW w:w="547" w:type="dxa"/>
          </w:tcPr>
          <w:p w14:paraId="73DCB593" w14:textId="77777777" w:rsidR="00F24D53" w:rsidRPr="005309F5" w:rsidRDefault="00F24D53" w:rsidP="005309F5">
            <w:pPr>
              <w:rPr>
                <w:rFonts w:ascii="Arial" w:hAnsi="Arial" w:cs="Arial"/>
                <w:color w:val="000000"/>
                <w:sz w:val="20"/>
                <w:szCs w:val="20"/>
                <w:lang w:eastAsia="en-AU"/>
              </w:rPr>
            </w:pPr>
          </w:p>
        </w:tc>
        <w:tc>
          <w:tcPr>
            <w:tcW w:w="584" w:type="dxa"/>
          </w:tcPr>
          <w:p w14:paraId="752EC229" w14:textId="77777777" w:rsidR="00F24D53" w:rsidRPr="005309F5" w:rsidRDefault="00F24D53" w:rsidP="005309F5">
            <w:pPr>
              <w:rPr>
                <w:rFonts w:ascii="Arial" w:hAnsi="Arial" w:cs="Arial"/>
                <w:color w:val="000000"/>
                <w:sz w:val="20"/>
                <w:szCs w:val="20"/>
                <w:lang w:eastAsia="en-AU"/>
              </w:rPr>
            </w:pPr>
          </w:p>
        </w:tc>
        <w:tc>
          <w:tcPr>
            <w:tcW w:w="547" w:type="dxa"/>
          </w:tcPr>
          <w:p w14:paraId="1DDB8AB8" w14:textId="77777777" w:rsidR="00F24D53" w:rsidRPr="005309F5" w:rsidRDefault="00F24D53" w:rsidP="005309F5">
            <w:pPr>
              <w:rPr>
                <w:rFonts w:ascii="Arial" w:hAnsi="Arial" w:cs="Arial"/>
                <w:color w:val="000000"/>
                <w:sz w:val="20"/>
                <w:szCs w:val="20"/>
                <w:lang w:eastAsia="en-AU"/>
              </w:rPr>
            </w:pPr>
          </w:p>
        </w:tc>
        <w:tc>
          <w:tcPr>
            <w:tcW w:w="594" w:type="dxa"/>
          </w:tcPr>
          <w:p w14:paraId="0A657702" w14:textId="77777777" w:rsidR="00F24D53" w:rsidRPr="005309F5" w:rsidRDefault="00F24D53" w:rsidP="005309F5">
            <w:pPr>
              <w:rPr>
                <w:rFonts w:ascii="Arial" w:hAnsi="Arial" w:cs="Arial"/>
                <w:color w:val="000000"/>
                <w:sz w:val="20"/>
                <w:szCs w:val="20"/>
                <w:lang w:eastAsia="en-AU"/>
              </w:rPr>
            </w:pPr>
          </w:p>
        </w:tc>
        <w:tc>
          <w:tcPr>
            <w:tcW w:w="594" w:type="dxa"/>
          </w:tcPr>
          <w:p w14:paraId="71934A1C" w14:textId="77777777" w:rsidR="00F24D53" w:rsidRPr="005309F5" w:rsidRDefault="00F24D53" w:rsidP="005309F5">
            <w:pPr>
              <w:rPr>
                <w:rFonts w:ascii="Arial" w:hAnsi="Arial" w:cs="Arial"/>
                <w:color w:val="000000"/>
                <w:sz w:val="20"/>
                <w:szCs w:val="20"/>
                <w:lang w:eastAsia="en-AU"/>
              </w:rPr>
            </w:pPr>
          </w:p>
        </w:tc>
        <w:tc>
          <w:tcPr>
            <w:tcW w:w="547" w:type="dxa"/>
          </w:tcPr>
          <w:p w14:paraId="3A8F11D4" w14:textId="77777777" w:rsidR="00F24D53" w:rsidRPr="005309F5" w:rsidRDefault="00F24D53" w:rsidP="005309F5">
            <w:pPr>
              <w:rPr>
                <w:rFonts w:ascii="Arial" w:hAnsi="Arial" w:cs="Arial"/>
                <w:color w:val="000000"/>
                <w:sz w:val="20"/>
                <w:szCs w:val="20"/>
                <w:lang w:eastAsia="en-AU"/>
              </w:rPr>
            </w:pPr>
          </w:p>
        </w:tc>
        <w:tc>
          <w:tcPr>
            <w:tcW w:w="594" w:type="dxa"/>
          </w:tcPr>
          <w:p w14:paraId="1DABBD05" w14:textId="77777777" w:rsidR="00F24D53" w:rsidRPr="005309F5" w:rsidRDefault="00F24D53" w:rsidP="005309F5">
            <w:pPr>
              <w:rPr>
                <w:rFonts w:ascii="Arial" w:hAnsi="Arial" w:cs="Arial"/>
                <w:color w:val="000000"/>
                <w:sz w:val="20"/>
                <w:szCs w:val="20"/>
                <w:lang w:eastAsia="en-AU"/>
              </w:rPr>
            </w:pPr>
          </w:p>
        </w:tc>
      </w:tr>
      <w:tr w:rsidR="00F24D53" w:rsidRPr="005309F5" w14:paraId="79238517" w14:textId="77777777" w:rsidTr="005309F5">
        <w:trPr>
          <w:gridAfter w:val="1"/>
          <w:wAfter w:w="11" w:type="dxa"/>
        </w:trPr>
        <w:tc>
          <w:tcPr>
            <w:tcW w:w="3415" w:type="dxa"/>
          </w:tcPr>
          <w:p w14:paraId="0C27647A" w14:textId="77777777" w:rsidR="00F24D53" w:rsidRPr="005309F5" w:rsidRDefault="00F24D53" w:rsidP="005309F5">
            <w:pPr>
              <w:rPr>
                <w:rFonts w:ascii="Arial" w:hAnsi="Arial" w:cs="Arial"/>
                <w:sz w:val="20"/>
                <w:szCs w:val="20"/>
              </w:rPr>
            </w:pPr>
            <w:r w:rsidRPr="005309F5">
              <w:rPr>
                <w:rFonts w:ascii="Arial" w:hAnsi="Arial" w:cs="Arial"/>
                <w:sz w:val="20"/>
                <w:szCs w:val="20"/>
              </w:rPr>
              <w:t>135-Vic State Gov-Brief intervention- assessment</w:t>
            </w:r>
          </w:p>
        </w:tc>
        <w:tc>
          <w:tcPr>
            <w:tcW w:w="594" w:type="dxa"/>
          </w:tcPr>
          <w:p w14:paraId="5E4646BA" w14:textId="77777777" w:rsidR="00F24D53" w:rsidRPr="005309F5" w:rsidRDefault="00F24D53" w:rsidP="005309F5">
            <w:pPr>
              <w:rPr>
                <w:rFonts w:ascii="Arial" w:hAnsi="Arial" w:cs="Arial"/>
                <w:color w:val="000000"/>
                <w:sz w:val="20"/>
                <w:szCs w:val="20"/>
                <w:lang w:eastAsia="en-AU"/>
              </w:rPr>
            </w:pPr>
          </w:p>
        </w:tc>
        <w:tc>
          <w:tcPr>
            <w:tcW w:w="594" w:type="dxa"/>
          </w:tcPr>
          <w:p w14:paraId="4914466E" w14:textId="77777777" w:rsidR="00F24D53" w:rsidRPr="005309F5" w:rsidRDefault="00F24D53" w:rsidP="005309F5">
            <w:pPr>
              <w:rPr>
                <w:rFonts w:ascii="Arial" w:hAnsi="Arial" w:cs="Arial"/>
                <w:color w:val="000000"/>
                <w:sz w:val="20"/>
                <w:szCs w:val="20"/>
                <w:lang w:eastAsia="en-AU"/>
              </w:rPr>
            </w:pPr>
          </w:p>
        </w:tc>
        <w:tc>
          <w:tcPr>
            <w:tcW w:w="594" w:type="dxa"/>
          </w:tcPr>
          <w:p w14:paraId="29DEC347" w14:textId="77777777" w:rsidR="00F24D53" w:rsidRPr="005309F5" w:rsidRDefault="00F24D53" w:rsidP="005309F5">
            <w:pPr>
              <w:rPr>
                <w:rFonts w:ascii="Arial" w:hAnsi="Arial" w:cs="Arial"/>
                <w:color w:val="000000"/>
                <w:sz w:val="20"/>
                <w:szCs w:val="20"/>
                <w:lang w:eastAsia="en-AU"/>
              </w:rPr>
            </w:pPr>
          </w:p>
        </w:tc>
        <w:tc>
          <w:tcPr>
            <w:tcW w:w="546" w:type="dxa"/>
          </w:tcPr>
          <w:p w14:paraId="61F6420C" w14:textId="77777777" w:rsidR="00F24D53" w:rsidRPr="005309F5" w:rsidRDefault="00F24D53" w:rsidP="005309F5">
            <w:pPr>
              <w:rPr>
                <w:rFonts w:ascii="Arial" w:hAnsi="Arial" w:cs="Arial"/>
                <w:sz w:val="20"/>
                <w:szCs w:val="20"/>
              </w:rPr>
            </w:pPr>
            <w:r w:rsidRPr="005309F5">
              <w:rPr>
                <w:rFonts w:ascii="Arial" w:hAnsi="Arial" w:cs="Arial"/>
                <w:color w:val="000000"/>
                <w:sz w:val="20"/>
                <w:szCs w:val="20"/>
                <w:lang w:eastAsia="en-AU"/>
              </w:rPr>
              <w:t>D</w:t>
            </w:r>
          </w:p>
        </w:tc>
        <w:tc>
          <w:tcPr>
            <w:tcW w:w="594" w:type="dxa"/>
          </w:tcPr>
          <w:p w14:paraId="3F50BC99" w14:textId="77777777" w:rsidR="00F24D53" w:rsidRPr="005309F5" w:rsidRDefault="00F24D53" w:rsidP="005309F5">
            <w:pPr>
              <w:rPr>
                <w:rFonts w:ascii="Arial" w:hAnsi="Arial" w:cs="Arial"/>
                <w:color w:val="000000"/>
                <w:sz w:val="20"/>
                <w:szCs w:val="20"/>
                <w:lang w:eastAsia="en-AU"/>
              </w:rPr>
            </w:pPr>
          </w:p>
        </w:tc>
        <w:tc>
          <w:tcPr>
            <w:tcW w:w="594" w:type="dxa"/>
          </w:tcPr>
          <w:p w14:paraId="17600530" w14:textId="77777777" w:rsidR="00F24D53" w:rsidRPr="005309F5" w:rsidRDefault="00F24D53" w:rsidP="005309F5">
            <w:pPr>
              <w:rPr>
                <w:rFonts w:ascii="Arial" w:hAnsi="Arial" w:cs="Arial"/>
                <w:color w:val="000000"/>
                <w:sz w:val="20"/>
                <w:szCs w:val="20"/>
                <w:lang w:eastAsia="en-AU"/>
              </w:rPr>
            </w:pPr>
          </w:p>
        </w:tc>
        <w:tc>
          <w:tcPr>
            <w:tcW w:w="583" w:type="dxa"/>
          </w:tcPr>
          <w:p w14:paraId="59B3C07A" w14:textId="77777777" w:rsidR="00F24D53" w:rsidRPr="005309F5" w:rsidRDefault="00F24D53" w:rsidP="005309F5">
            <w:pPr>
              <w:rPr>
                <w:rFonts w:ascii="Arial" w:hAnsi="Arial" w:cs="Arial"/>
                <w:color w:val="000000"/>
                <w:sz w:val="20"/>
                <w:szCs w:val="20"/>
                <w:lang w:eastAsia="en-AU"/>
              </w:rPr>
            </w:pPr>
          </w:p>
        </w:tc>
        <w:tc>
          <w:tcPr>
            <w:tcW w:w="595" w:type="dxa"/>
          </w:tcPr>
          <w:p w14:paraId="5FEBF171" w14:textId="77777777" w:rsidR="00F24D53" w:rsidRPr="005309F5" w:rsidRDefault="00F24D53" w:rsidP="005309F5">
            <w:pPr>
              <w:rPr>
                <w:rFonts w:ascii="Arial" w:hAnsi="Arial" w:cs="Arial"/>
                <w:sz w:val="20"/>
                <w:szCs w:val="20"/>
                <w:lang w:eastAsia="en-AU"/>
              </w:rPr>
            </w:pPr>
          </w:p>
        </w:tc>
        <w:tc>
          <w:tcPr>
            <w:tcW w:w="594" w:type="dxa"/>
          </w:tcPr>
          <w:p w14:paraId="799A762E" w14:textId="77777777" w:rsidR="00F24D53" w:rsidRPr="005309F5" w:rsidRDefault="00F24D53" w:rsidP="005309F5">
            <w:pPr>
              <w:rPr>
                <w:rFonts w:ascii="Arial" w:hAnsi="Arial" w:cs="Arial"/>
                <w:color w:val="000000"/>
                <w:sz w:val="20"/>
                <w:szCs w:val="20"/>
                <w:lang w:eastAsia="en-AU"/>
              </w:rPr>
            </w:pPr>
          </w:p>
        </w:tc>
        <w:tc>
          <w:tcPr>
            <w:tcW w:w="594" w:type="dxa"/>
          </w:tcPr>
          <w:p w14:paraId="35B4C5C3" w14:textId="77777777" w:rsidR="00F24D53" w:rsidRPr="005309F5" w:rsidRDefault="00F24D53" w:rsidP="005309F5">
            <w:pPr>
              <w:rPr>
                <w:rFonts w:ascii="Arial" w:hAnsi="Arial" w:cs="Arial"/>
                <w:color w:val="000000"/>
                <w:sz w:val="20"/>
                <w:szCs w:val="20"/>
                <w:lang w:eastAsia="en-AU"/>
              </w:rPr>
            </w:pPr>
          </w:p>
        </w:tc>
        <w:tc>
          <w:tcPr>
            <w:tcW w:w="594" w:type="dxa"/>
          </w:tcPr>
          <w:p w14:paraId="731397D6" w14:textId="77777777" w:rsidR="00F24D53" w:rsidRPr="005309F5" w:rsidRDefault="00F24D53" w:rsidP="005309F5">
            <w:pPr>
              <w:rPr>
                <w:rFonts w:ascii="Arial" w:hAnsi="Arial" w:cs="Arial"/>
                <w:color w:val="000000"/>
                <w:sz w:val="20"/>
                <w:szCs w:val="20"/>
                <w:lang w:eastAsia="en-AU"/>
              </w:rPr>
            </w:pPr>
          </w:p>
        </w:tc>
        <w:tc>
          <w:tcPr>
            <w:tcW w:w="584" w:type="dxa"/>
          </w:tcPr>
          <w:p w14:paraId="51B4F051" w14:textId="77777777" w:rsidR="00F24D53" w:rsidRPr="005309F5" w:rsidRDefault="00F24D53" w:rsidP="005309F5">
            <w:pPr>
              <w:rPr>
                <w:rFonts w:ascii="Arial" w:hAnsi="Arial" w:cs="Arial"/>
                <w:color w:val="000000"/>
                <w:sz w:val="20"/>
                <w:szCs w:val="20"/>
                <w:lang w:eastAsia="en-AU"/>
              </w:rPr>
            </w:pPr>
          </w:p>
        </w:tc>
        <w:tc>
          <w:tcPr>
            <w:tcW w:w="547" w:type="dxa"/>
          </w:tcPr>
          <w:p w14:paraId="25742BC5" w14:textId="77777777" w:rsidR="00F24D53" w:rsidRPr="005309F5" w:rsidRDefault="00F24D53" w:rsidP="005309F5">
            <w:pPr>
              <w:rPr>
                <w:rFonts w:ascii="Arial" w:hAnsi="Arial" w:cs="Arial"/>
                <w:color w:val="000000"/>
                <w:sz w:val="20"/>
                <w:szCs w:val="20"/>
                <w:lang w:eastAsia="en-AU"/>
              </w:rPr>
            </w:pPr>
          </w:p>
        </w:tc>
        <w:tc>
          <w:tcPr>
            <w:tcW w:w="584" w:type="dxa"/>
          </w:tcPr>
          <w:p w14:paraId="74BFDDF5" w14:textId="77777777" w:rsidR="00F24D53" w:rsidRPr="005309F5" w:rsidRDefault="00F24D53" w:rsidP="005309F5">
            <w:pPr>
              <w:rPr>
                <w:rFonts w:ascii="Arial" w:hAnsi="Arial" w:cs="Arial"/>
                <w:color w:val="000000"/>
                <w:sz w:val="20"/>
                <w:szCs w:val="20"/>
                <w:lang w:eastAsia="en-AU"/>
              </w:rPr>
            </w:pPr>
          </w:p>
        </w:tc>
        <w:tc>
          <w:tcPr>
            <w:tcW w:w="547" w:type="dxa"/>
          </w:tcPr>
          <w:p w14:paraId="7FB30573" w14:textId="77777777" w:rsidR="00F24D53" w:rsidRPr="005309F5" w:rsidRDefault="00F24D53" w:rsidP="005309F5">
            <w:pPr>
              <w:rPr>
                <w:rFonts w:ascii="Arial" w:hAnsi="Arial" w:cs="Arial"/>
                <w:color w:val="000000"/>
                <w:sz w:val="20"/>
                <w:szCs w:val="20"/>
                <w:lang w:eastAsia="en-AU"/>
              </w:rPr>
            </w:pPr>
          </w:p>
        </w:tc>
        <w:tc>
          <w:tcPr>
            <w:tcW w:w="594" w:type="dxa"/>
          </w:tcPr>
          <w:p w14:paraId="11E4F9F3" w14:textId="77777777" w:rsidR="00F24D53" w:rsidRPr="005309F5" w:rsidRDefault="00F24D53" w:rsidP="005309F5">
            <w:pPr>
              <w:rPr>
                <w:rFonts w:ascii="Arial" w:hAnsi="Arial" w:cs="Arial"/>
                <w:color w:val="000000"/>
                <w:sz w:val="20"/>
                <w:szCs w:val="20"/>
                <w:lang w:eastAsia="en-AU"/>
              </w:rPr>
            </w:pPr>
          </w:p>
        </w:tc>
        <w:tc>
          <w:tcPr>
            <w:tcW w:w="594" w:type="dxa"/>
          </w:tcPr>
          <w:p w14:paraId="1855ABC8" w14:textId="77777777" w:rsidR="00F24D53" w:rsidRPr="005309F5" w:rsidRDefault="00F24D53" w:rsidP="005309F5">
            <w:pPr>
              <w:rPr>
                <w:rFonts w:ascii="Arial" w:hAnsi="Arial" w:cs="Arial"/>
                <w:color w:val="000000"/>
                <w:sz w:val="20"/>
                <w:szCs w:val="20"/>
                <w:lang w:eastAsia="en-AU"/>
              </w:rPr>
            </w:pPr>
          </w:p>
        </w:tc>
        <w:tc>
          <w:tcPr>
            <w:tcW w:w="547" w:type="dxa"/>
          </w:tcPr>
          <w:p w14:paraId="29ABDC98" w14:textId="77777777" w:rsidR="00F24D53" w:rsidRPr="005309F5" w:rsidRDefault="00F24D53" w:rsidP="005309F5">
            <w:pPr>
              <w:rPr>
                <w:rFonts w:ascii="Arial" w:hAnsi="Arial" w:cs="Arial"/>
                <w:color w:val="000000"/>
                <w:sz w:val="20"/>
                <w:szCs w:val="20"/>
                <w:lang w:eastAsia="en-AU"/>
              </w:rPr>
            </w:pPr>
          </w:p>
        </w:tc>
        <w:tc>
          <w:tcPr>
            <w:tcW w:w="594" w:type="dxa"/>
          </w:tcPr>
          <w:p w14:paraId="413A6AE4" w14:textId="77777777" w:rsidR="00F24D53" w:rsidRPr="005309F5" w:rsidRDefault="00F24D53" w:rsidP="005309F5">
            <w:pPr>
              <w:rPr>
                <w:rFonts w:ascii="Arial" w:hAnsi="Arial" w:cs="Arial"/>
                <w:color w:val="000000"/>
                <w:sz w:val="20"/>
                <w:szCs w:val="20"/>
                <w:lang w:eastAsia="en-AU"/>
              </w:rPr>
            </w:pPr>
          </w:p>
        </w:tc>
      </w:tr>
      <w:tr w:rsidR="00F24D53" w:rsidRPr="005309F5" w14:paraId="119CBDF1" w14:textId="77777777" w:rsidTr="005309F5">
        <w:trPr>
          <w:gridAfter w:val="1"/>
          <w:wAfter w:w="11" w:type="dxa"/>
        </w:trPr>
        <w:tc>
          <w:tcPr>
            <w:tcW w:w="3415" w:type="dxa"/>
          </w:tcPr>
          <w:p w14:paraId="62B5C282" w14:textId="77777777" w:rsidR="00F24D53" w:rsidRPr="005309F5" w:rsidRDefault="00F24D53" w:rsidP="005309F5">
            <w:pPr>
              <w:rPr>
                <w:rFonts w:ascii="Arial" w:hAnsi="Arial" w:cs="Arial"/>
                <w:sz w:val="20"/>
                <w:szCs w:val="20"/>
              </w:rPr>
            </w:pPr>
            <w:r w:rsidRPr="005309F5">
              <w:rPr>
                <w:rFonts w:ascii="Arial" w:hAnsi="Arial" w:cs="Arial"/>
                <w:sz w:val="20"/>
                <w:szCs w:val="20"/>
              </w:rPr>
              <w:t>136-Vic State Gov-Brief intervention-counselling</w:t>
            </w:r>
          </w:p>
        </w:tc>
        <w:tc>
          <w:tcPr>
            <w:tcW w:w="594" w:type="dxa"/>
          </w:tcPr>
          <w:p w14:paraId="71F3D881" w14:textId="77777777" w:rsidR="00F24D53" w:rsidRPr="005309F5" w:rsidRDefault="00F24D53" w:rsidP="005309F5">
            <w:pPr>
              <w:rPr>
                <w:rFonts w:ascii="Arial" w:hAnsi="Arial" w:cs="Arial"/>
                <w:color w:val="000000"/>
                <w:sz w:val="20"/>
                <w:szCs w:val="20"/>
                <w:lang w:eastAsia="en-AU"/>
              </w:rPr>
            </w:pPr>
          </w:p>
        </w:tc>
        <w:tc>
          <w:tcPr>
            <w:tcW w:w="594" w:type="dxa"/>
          </w:tcPr>
          <w:p w14:paraId="32C5C08E" w14:textId="77777777" w:rsidR="00F24D53" w:rsidRPr="005309F5" w:rsidRDefault="00F24D53" w:rsidP="005309F5">
            <w:pPr>
              <w:rPr>
                <w:rFonts w:ascii="Arial" w:hAnsi="Arial" w:cs="Arial"/>
                <w:color w:val="000000"/>
                <w:sz w:val="20"/>
                <w:szCs w:val="20"/>
                <w:lang w:eastAsia="en-AU"/>
              </w:rPr>
            </w:pPr>
          </w:p>
        </w:tc>
        <w:tc>
          <w:tcPr>
            <w:tcW w:w="594" w:type="dxa"/>
          </w:tcPr>
          <w:p w14:paraId="6778CC71" w14:textId="77777777" w:rsidR="00F24D53" w:rsidRPr="005309F5" w:rsidRDefault="00F24D53" w:rsidP="005309F5">
            <w:pPr>
              <w:rPr>
                <w:rFonts w:ascii="Arial" w:hAnsi="Arial" w:cs="Arial"/>
                <w:color w:val="000000"/>
                <w:sz w:val="20"/>
                <w:szCs w:val="20"/>
                <w:lang w:eastAsia="en-AU"/>
              </w:rPr>
            </w:pPr>
          </w:p>
        </w:tc>
        <w:tc>
          <w:tcPr>
            <w:tcW w:w="546" w:type="dxa"/>
          </w:tcPr>
          <w:p w14:paraId="2048087C" w14:textId="77777777" w:rsidR="00F24D53" w:rsidRPr="005309F5" w:rsidRDefault="00F24D53" w:rsidP="005309F5">
            <w:pPr>
              <w:rPr>
                <w:rFonts w:ascii="Arial" w:hAnsi="Arial" w:cs="Arial"/>
                <w:sz w:val="20"/>
                <w:szCs w:val="20"/>
              </w:rPr>
            </w:pPr>
            <w:r w:rsidRPr="005309F5">
              <w:rPr>
                <w:rFonts w:ascii="Arial" w:hAnsi="Arial" w:cs="Arial"/>
                <w:color w:val="000000"/>
                <w:sz w:val="20"/>
                <w:szCs w:val="20"/>
                <w:lang w:eastAsia="en-AU"/>
              </w:rPr>
              <w:t>D</w:t>
            </w:r>
          </w:p>
        </w:tc>
        <w:tc>
          <w:tcPr>
            <w:tcW w:w="594" w:type="dxa"/>
          </w:tcPr>
          <w:p w14:paraId="067A3313" w14:textId="77777777" w:rsidR="00F24D53" w:rsidRPr="005309F5" w:rsidRDefault="00F24D53" w:rsidP="005309F5">
            <w:pPr>
              <w:rPr>
                <w:rFonts w:ascii="Arial" w:hAnsi="Arial" w:cs="Arial"/>
                <w:color w:val="000000"/>
                <w:sz w:val="20"/>
                <w:szCs w:val="20"/>
                <w:lang w:eastAsia="en-AU"/>
              </w:rPr>
            </w:pPr>
          </w:p>
        </w:tc>
        <w:tc>
          <w:tcPr>
            <w:tcW w:w="594" w:type="dxa"/>
          </w:tcPr>
          <w:p w14:paraId="190611F5" w14:textId="77777777" w:rsidR="00F24D53" w:rsidRPr="005309F5" w:rsidRDefault="00F24D53" w:rsidP="005309F5">
            <w:pPr>
              <w:rPr>
                <w:rFonts w:ascii="Arial" w:hAnsi="Arial" w:cs="Arial"/>
                <w:color w:val="000000"/>
                <w:sz w:val="20"/>
                <w:szCs w:val="20"/>
                <w:lang w:eastAsia="en-AU"/>
              </w:rPr>
            </w:pPr>
          </w:p>
        </w:tc>
        <w:tc>
          <w:tcPr>
            <w:tcW w:w="583" w:type="dxa"/>
          </w:tcPr>
          <w:p w14:paraId="18EBA45F" w14:textId="77777777" w:rsidR="00F24D53" w:rsidRPr="005309F5" w:rsidRDefault="00F24D53" w:rsidP="005309F5">
            <w:pPr>
              <w:rPr>
                <w:rFonts w:ascii="Arial" w:hAnsi="Arial" w:cs="Arial"/>
                <w:color w:val="000000"/>
                <w:sz w:val="20"/>
                <w:szCs w:val="20"/>
                <w:lang w:eastAsia="en-AU"/>
              </w:rPr>
            </w:pPr>
          </w:p>
        </w:tc>
        <w:tc>
          <w:tcPr>
            <w:tcW w:w="595" w:type="dxa"/>
          </w:tcPr>
          <w:p w14:paraId="230D851D" w14:textId="77777777" w:rsidR="00F24D53" w:rsidRPr="005309F5" w:rsidRDefault="00F24D53" w:rsidP="005309F5">
            <w:pPr>
              <w:rPr>
                <w:rFonts w:ascii="Arial" w:hAnsi="Arial" w:cs="Arial"/>
                <w:sz w:val="20"/>
                <w:szCs w:val="20"/>
                <w:lang w:eastAsia="en-AU"/>
              </w:rPr>
            </w:pPr>
          </w:p>
        </w:tc>
        <w:tc>
          <w:tcPr>
            <w:tcW w:w="594" w:type="dxa"/>
          </w:tcPr>
          <w:p w14:paraId="58B870A4" w14:textId="77777777" w:rsidR="00F24D53" w:rsidRPr="005309F5" w:rsidRDefault="00F24D53" w:rsidP="005309F5">
            <w:pPr>
              <w:rPr>
                <w:rFonts w:ascii="Arial" w:hAnsi="Arial" w:cs="Arial"/>
                <w:color w:val="000000"/>
                <w:sz w:val="20"/>
                <w:szCs w:val="20"/>
                <w:lang w:eastAsia="en-AU"/>
              </w:rPr>
            </w:pPr>
          </w:p>
        </w:tc>
        <w:tc>
          <w:tcPr>
            <w:tcW w:w="594" w:type="dxa"/>
          </w:tcPr>
          <w:p w14:paraId="36C62BE1" w14:textId="77777777" w:rsidR="00F24D53" w:rsidRPr="005309F5" w:rsidRDefault="00F24D53" w:rsidP="005309F5">
            <w:pPr>
              <w:rPr>
                <w:rFonts w:ascii="Arial" w:hAnsi="Arial" w:cs="Arial"/>
                <w:color w:val="000000"/>
                <w:sz w:val="20"/>
                <w:szCs w:val="20"/>
                <w:lang w:eastAsia="en-AU"/>
              </w:rPr>
            </w:pPr>
          </w:p>
        </w:tc>
        <w:tc>
          <w:tcPr>
            <w:tcW w:w="594" w:type="dxa"/>
          </w:tcPr>
          <w:p w14:paraId="6B8E2A95" w14:textId="77777777" w:rsidR="00F24D53" w:rsidRPr="005309F5" w:rsidRDefault="00F24D53" w:rsidP="005309F5">
            <w:pPr>
              <w:rPr>
                <w:rFonts w:ascii="Arial" w:hAnsi="Arial" w:cs="Arial"/>
                <w:color w:val="000000"/>
                <w:sz w:val="20"/>
                <w:szCs w:val="20"/>
                <w:lang w:eastAsia="en-AU"/>
              </w:rPr>
            </w:pPr>
          </w:p>
        </w:tc>
        <w:tc>
          <w:tcPr>
            <w:tcW w:w="584" w:type="dxa"/>
          </w:tcPr>
          <w:p w14:paraId="480479C9" w14:textId="77777777" w:rsidR="00F24D53" w:rsidRPr="005309F5" w:rsidRDefault="00F24D53" w:rsidP="005309F5">
            <w:pPr>
              <w:rPr>
                <w:rFonts w:ascii="Arial" w:hAnsi="Arial" w:cs="Arial"/>
                <w:color w:val="000000"/>
                <w:sz w:val="20"/>
                <w:szCs w:val="20"/>
                <w:lang w:eastAsia="en-AU"/>
              </w:rPr>
            </w:pPr>
          </w:p>
        </w:tc>
        <w:tc>
          <w:tcPr>
            <w:tcW w:w="547" w:type="dxa"/>
          </w:tcPr>
          <w:p w14:paraId="6EC0DDF9" w14:textId="77777777" w:rsidR="00F24D53" w:rsidRPr="005309F5" w:rsidRDefault="00F24D53" w:rsidP="005309F5">
            <w:pPr>
              <w:rPr>
                <w:rFonts w:ascii="Arial" w:hAnsi="Arial" w:cs="Arial"/>
                <w:color w:val="000000"/>
                <w:sz w:val="20"/>
                <w:szCs w:val="20"/>
                <w:lang w:eastAsia="en-AU"/>
              </w:rPr>
            </w:pPr>
          </w:p>
        </w:tc>
        <w:tc>
          <w:tcPr>
            <w:tcW w:w="584" w:type="dxa"/>
          </w:tcPr>
          <w:p w14:paraId="78107E02" w14:textId="77777777" w:rsidR="00F24D53" w:rsidRPr="005309F5" w:rsidRDefault="00F24D53" w:rsidP="005309F5">
            <w:pPr>
              <w:rPr>
                <w:rFonts w:ascii="Arial" w:hAnsi="Arial" w:cs="Arial"/>
                <w:color w:val="000000"/>
                <w:sz w:val="20"/>
                <w:szCs w:val="20"/>
                <w:lang w:eastAsia="en-AU"/>
              </w:rPr>
            </w:pPr>
          </w:p>
        </w:tc>
        <w:tc>
          <w:tcPr>
            <w:tcW w:w="547" w:type="dxa"/>
          </w:tcPr>
          <w:p w14:paraId="2BBF09F0" w14:textId="77777777" w:rsidR="00F24D53" w:rsidRPr="005309F5" w:rsidRDefault="00F24D53" w:rsidP="005309F5">
            <w:pPr>
              <w:rPr>
                <w:rFonts w:ascii="Arial" w:hAnsi="Arial" w:cs="Arial"/>
                <w:color w:val="000000"/>
                <w:sz w:val="20"/>
                <w:szCs w:val="20"/>
                <w:lang w:eastAsia="en-AU"/>
              </w:rPr>
            </w:pPr>
          </w:p>
        </w:tc>
        <w:tc>
          <w:tcPr>
            <w:tcW w:w="594" w:type="dxa"/>
          </w:tcPr>
          <w:p w14:paraId="5AED15BA" w14:textId="77777777" w:rsidR="00F24D53" w:rsidRPr="005309F5" w:rsidRDefault="00F24D53" w:rsidP="005309F5">
            <w:pPr>
              <w:rPr>
                <w:rFonts w:ascii="Arial" w:hAnsi="Arial" w:cs="Arial"/>
                <w:color w:val="000000"/>
                <w:sz w:val="20"/>
                <w:szCs w:val="20"/>
                <w:lang w:eastAsia="en-AU"/>
              </w:rPr>
            </w:pPr>
          </w:p>
        </w:tc>
        <w:tc>
          <w:tcPr>
            <w:tcW w:w="594" w:type="dxa"/>
          </w:tcPr>
          <w:p w14:paraId="54675CBB" w14:textId="77777777" w:rsidR="00F24D53" w:rsidRPr="005309F5" w:rsidRDefault="00F24D53" w:rsidP="005309F5">
            <w:pPr>
              <w:rPr>
                <w:rFonts w:ascii="Arial" w:hAnsi="Arial" w:cs="Arial"/>
                <w:color w:val="000000"/>
                <w:sz w:val="20"/>
                <w:szCs w:val="20"/>
                <w:lang w:eastAsia="en-AU"/>
              </w:rPr>
            </w:pPr>
          </w:p>
        </w:tc>
        <w:tc>
          <w:tcPr>
            <w:tcW w:w="547" w:type="dxa"/>
          </w:tcPr>
          <w:p w14:paraId="1C5D5BCF" w14:textId="77777777" w:rsidR="00F24D53" w:rsidRPr="005309F5" w:rsidRDefault="00F24D53" w:rsidP="005309F5">
            <w:pPr>
              <w:rPr>
                <w:rFonts w:ascii="Arial" w:hAnsi="Arial" w:cs="Arial"/>
                <w:color w:val="000000"/>
                <w:sz w:val="20"/>
                <w:szCs w:val="20"/>
                <w:lang w:eastAsia="en-AU"/>
              </w:rPr>
            </w:pPr>
          </w:p>
        </w:tc>
        <w:tc>
          <w:tcPr>
            <w:tcW w:w="594" w:type="dxa"/>
          </w:tcPr>
          <w:p w14:paraId="4497E0ED" w14:textId="77777777" w:rsidR="00F24D53" w:rsidRPr="005309F5" w:rsidRDefault="00F24D53" w:rsidP="005309F5">
            <w:pPr>
              <w:rPr>
                <w:rFonts w:ascii="Arial" w:hAnsi="Arial" w:cs="Arial"/>
                <w:color w:val="000000"/>
                <w:sz w:val="20"/>
                <w:szCs w:val="20"/>
                <w:lang w:eastAsia="en-AU"/>
              </w:rPr>
            </w:pPr>
          </w:p>
        </w:tc>
      </w:tr>
      <w:tr w:rsidR="00F24D53" w:rsidRPr="005309F5" w14:paraId="66BD0214" w14:textId="77777777" w:rsidTr="005309F5">
        <w:trPr>
          <w:gridAfter w:val="1"/>
          <w:wAfter w:w="11" w:type="dxa"/>
        </w:trPr>
        <w:tc>
          <w:tcPr>
            <w:tcW w:w="3415" w:type="dxa"/>
            <w:vAlign w:val="bottom"/>
          </w:tcPr>
          <w:p w14:paraId="452F71DC"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500-Commonwealth (non PHN)</w:t>
            </w:r>
          </w:p>
        </w:tc>
        <w:tc>
          <w:tcPr>
            <w:tcW w:w="594" w:type="dxa"/>
          </w:tcPr>
          <w:p w14:paraId="482FDE5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6F70714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47B6EFA3"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6" w:type="dxa"/>
          </w:tcPr>
          <w:p w14:paraId="50140C44"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2C27748E"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00AF3BFD"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3" w:type="dxa"/>
          </w:tcPr>
          <w:p w14:paraId="5D9D089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5" w:type="dxa"/>
          </w:tcPr>
          <w:p w14:paraId="6C5E6A3B" w14:textId="77777777" w:rsidR="00F24D53" w:rsidRPr="005309F5" w:rsidRDefault="00F24D53" w:rsidP="005309F5">
            <w:pPr>
              <w:rPr>
                <w:rFonts w:ascii="Arial" w:hAnsi="Arial" w:cs="Arial"/>
                <w:sz w:val="20"/>
                <w:szCs w:val="20"/>
                <w:lang w:eastAsia="en-AU"/>
              </w:rPr>
            </w:pPr>
            <w:r w:rsidRPr="005309F5">
              <w:rPr>
                <w:rFonts w:ascii="Arial" w:hAnsi="Arial" w:cs="Arial"/>
                <w:sz w:val="20"/>
                <w:szCs w:val="20"/>
                <w:lang w:eastAsia="en-AU"/>
              </w:rPr>
              <w:t>NA</w:t>
            </w:r>
          </w:p>
        </w:tc>
        <w:tc>
          <w:tcPr>
            <w:tcW w:w="594" w:type="dxa"/>
          </w:tcPr>
          <w:p w14:paraId="7D1E50A4"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0F08A37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597481EB"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4" w:type="dxa"/>
          </w:tcPr>
          <w:p w14:paraId="65A9053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2039D79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4" w:type="dxa"/>
          </w:tcPr>
          <w:p w14:paraId="66106FB4"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1F9A40E8"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7BB8C91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7B06614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3ECE9B03"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171DA12D"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r>
      <w:tr w:rsidR="00F24D53" w:rsidRPr="005309F5" w14:paraId="129CD556" w14:textId="77777777" w:rsidTr="005309F5">
        <w:trPr>
          <w:gridAfter w:val="1"/>
          <w:wAfter w:w="11" w:type="dxa"/>
        </w:trPr>
        <w:tc>
          <w:tcPr>
            <w:tcW w:w="3415" w:type="dxa"/>
            <w:vAlign w:val="bottom"/>
          </w:tcPr>
          <w:p w14:paraId="7C05A516"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501 – Commonwealth PHN</w:t>
            </w:r>
          </w:p>
        </w:tc>
        <w:tc>
          <w:tcPr>
            <w:tcW w:w="594" w:type="dxa"/>
          </w:tcPr>
          <w:p w14:paraId="7F9B257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94" w:type="dxa"/>
          </w:tcPr>
          <w:p w14:paraId="7DF841FB" w14:textId="77777777" w:rsidR="00F24D53" w:rsidRPr="005309F5" w:rsidRDefault="00F24D53" w:rsidP="005309F5">
            <w:pPr>
              <w:rPr>
                <w:rFonts w:ascii="Arial" w:hAnsi="Arial" w:cs="Arial"/>
                <w:strike/>
                <w:color w:val="000000"/>
                <w:sz w:val="20"/>
                <w:szCs w:val="20"/>
                <w:lang w:eastAsia="en-AU"/>
              </w:rPr>
            </w:pPr>
            <w:r w:rsidRPr="005309F5">
              <w:rPr>
                <w:rFonts w:ascii="Arial" w:hAnsi="Arial" w:cs="Arial"/>
                <w:color w:val="000000"/>
                <w:sz w:val="20"/>
                <w:szCs w:val="20"/>
                <w:lang w:eastAsia="en-AU"/>
              </w:rPr>
              <w:t>E[S]</w:t>
            </w:r>
          </w:p>
        </w:tc>
        <w:tc>
          <w:tcPr>
            <w:tcW w:w="594" w:type="dxa"/>
          </w:tcPr>
          <w:p w14:paraId="3808239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6" w:type="dxa"/>
          </w:tcPr>
          <w:p w14:paraId="2B4AE10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72A79CB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2333E3C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3" w:type="dxa"/>
          </w:tcPr>
          <w:p w14:paraId="18B65EA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5" w:type="dxa"/>
          </w:tcPr>
          <w:p w14:paraId="2758FA57" w14:textId="77777777" w:rsidR="00F24D53" w:rsidRPr="005309F5" w:rsidRDefault="00F24D53" w:rsidP="005309F5">
            <w:pPr>
              <w:rPr>
                <w:rFonts w:ascii="Arial" w:hAnsi="Arial" w:cs="Arial"/>
                <w:sz w:val="20"/>
                <w:szCs w:val="20"/>
                <w:lang w:eastAsia="en-AU"/>
              </w:rPr>
            </w:pPr>
            <w:r w:rsidRPr="005309F5">
              <w:rPr>
                <w:rFonts w:ascii="Arial" w:hAnsi="Arial" w:cs="Arial"/>
                <w:sz w:val="20"/>
                <w:szCs w:val="20"/>
                <w:lang w:eastAsia="en-AU"/>
              </w:rPr>
              <w:t>NA</w:t>
            </w:r>
          </w:p>
        </w:tc>
        <w:tc>
          <w:tcPr>
            <w:tcW w:w="594" w:type="dxa"/>
          </w:tcPr>
          <w:p w14:paraId="1B88A9C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64E53C4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4945A670"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84" w:type="dxa"/>
          </w:tcPr>
          <w:p w14:paraId="100EF733"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292E113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4" w:type="dxa"/>
          </w:tcPr>
          <w:p w14:paraId="6756E223"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0B2E484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0997DDC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222308A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c>
          <w:tcPr>
            <w:tcW w:w="547" w:type="dxa"/>
          </w:tcPr>
          <w:p w14:paraId="3510032D"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4256AFA3"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E[S]</w:t>
            </w:r>
          </w:p>
        </w:tc>
      </w:tr>
      <w:tr w:rsidR="00F24D53" w:rsidRPr="005309F5" w14:paraId="675CD4E8" w14:textId="77777777" w:rsidTr="005309F5">
        <w:trPr>
          <w:gridAfter w:val="1"/>
          <w:wAfter w:w="11" w:type="dxa"/>
        </w:trPr>
        <w:tc>
          <w:tcPr>
            <w:tcW w:w="3415" w:type="dxa"/>
            <w:vAlign w:val="bottom"/>
          </w:tcPr>
          <w:p w14:paraId="25B104E8" w14:textId="77777777" w:rsidR="00F24D53" w:rsidRPr="005309F5" w:rsidRDefault="00F24D53" w:rsidP="005309F5">
            <w:pPr>
              <w:rPr>
                <w:rFonts w:ascii="Arial" w:hAnsi="Arial" w:cs="Arial"/>
                <w:color w:val="000000"/>
                <w:sz w:val="20"/>
                <w:szCs w:val="20"/>
              </w:rPr>
            </w:pPr>
            <w:r w:rsidRPr="005309F5">
              <w:rPr>
                <w:rFonts w:ascii="Arial" w:hAnsi="Arial" w:cs="Arial"/>
                <w:color w:val="000000"/>
                <w:sz w:val="20"/>
                <w:szCs w:val="20"/>
              </w:rPr>
              <w:t>999-Unknown</w:t>
            </w:r>
          </w:p>
        </w:tc>
        <w:tc>
          <w:tcPr>
            <w:tcW w:w="594" w:type="dxa"/>
          </w:tcPr>
          <w:p w14:paraId="131608C2"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4F5AB11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6548F5E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6" w:type="dxa"/>
          </w:tcPr>
          <w:p w14:paraId="3B0DA4D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157A69E3"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143CD467"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3" w:type="dxa"/>
          </w:tcPr>
          <w:p w14:paraId="7CAD29F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5" w:type="dxa"/>
          </w:tcPr>
          <w:p w14:paraId="1A2FCB90" w14:textId="77777777" w:rsidR="00F24D53" w:rsidRPr="005309F5" w:rsidRDefault="00F24D53" w:rsidP="005309F5">
            <w:pPr>
              <w:rPr>
                <w:rFonts w:ascii="Arial" w:hAnsi="Arial" w:cs="Arial"/>
                <w:sz w:val="20"/>
                <w:szCs w:val="20"/>
                <w:lang w:eastAsia="en-AU"/>
              </w:rPr>
            </w:pPr>
            <w:r w:rsidRPr="005309F5">
              <w:rPr>
                <w:rFonts w:ascii="Arial" w:hAnsi="Arial" w:cs="Arial"/>
                <w:sz w:val="20"/>
                <w:szCs w:val="20"/>
                <w:lang w:eastAsia="en-AU"/>
              </w:rPr>
              <w:t>NA</w:t>
            </w:r>
          </w:p>
        </w:tc>
        <w:tc>
          <w:tcPr>
            <w:tcW w:w="594" w:type="dxa"/>
          </w:tcPr>
          <w:p w14:paraId="36A11D45"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5DEC9E4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59801AAC"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4" w:type="dxa"/>
          </w:tcPr>
          <w:p w14:paraId="228C2A6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7642824F"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84" w:type="dxa"/>
          </w:tcPr>
          <w:p w14:paraId="708DFDF1"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1254007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3BA276B9"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62B17876"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47" w:type="dxa"/>
          </w:tcPr>
          <w:p w14:paraId="4D673E3A"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c>
          <w:tcPr>
            <w:tcW w:w="594" w:type="dxa"/>
          </w:tcPr>
          <w:p w14:paraId="0CCB1E7A" w14:textId="77777777" w:rsidR="00F24D53" w:rsidRPr="005309F5" w:rsidRDefault="00F24D53" w:rsidP="005309F5">
            <w:pPr>
              <w:rPr>
                <w:rFonts w:ascii="Arial" w:hAnsi="Arial" w:cs="Arial"/>
                <w:color w:val="000000"/>
                <w:sz w:val="20"/>
                <w:szCs w:val="20"/>
                <w:lang w:eastAsia="en-AU"/>
              </w:rPr>
            </w:pPr>
            <w:r w:rsidRPr="005309F5">
              <w:rPr>
                <w:rFonts w:ascii="Arial" w:hAnsi="Arial" w:cs="Arial"/>
                <w:color w:val="000000"/>
                <w:sz w:val="20"/>
                <w:szCs w:val="20"/>
                <w:lang w:eastAsia="en-AU"/>
              </w:rPr>
              <w:t>NA</w:t>
            </w:r>
          </w:p>
        </w:tc>
      </w:tr>
      <w:bookmarkEnd w:id="27"/>
    </w:tbl>
    <w:p w14:paraId="27CCE1DD" w14:textId="77777777" w:rsidR="00A50FBC" w:rsidRPr="005309F5" w:rsidRDefault="00A50FBC" w:rsidP="00FF6D9D">
      <w:pPr>
        <w:pStyle w:val="DHHSbody"/>
        <w:rPr>
          <w:rFonts w:cs="Arial"/>
        </w:rPr>
      </w:pPr>
    </w:p>
    <w:sectPr w:rsidR="00A50FBC" w:rsidRPr="005309F5" w:rsidSect="00F24D53">
      <w:pgSz w:w="16838" w:h="11906" w:orient="landscape" w:code="9"/>
      <w:pgMar w:top="851" w:right="1418" w:bottom="851"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A7AC" w14:textId="77777777" w:rsidR="003342C4" w:rsidRDefault="003342C4">
      <w:r>
        <w:separator/>
      </w:r>
    </w:p>
  </w:endnote>
  <w:endnote w:type="continuationSeparator" w:id="0">
    <w:p w14:paraId="70B0258D" w14:textId="77777777" w:rsidR="003342C4" w:rsidRDefault="003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E3A6" w14:textId="77777777" w:rsidR="009924C3" w:rsidRDefault="00992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BB84" w14:textId="43DB823F" w:rsidR="005B0CD9" w:rsidRDefault="005B0CD9">
    <w:pPr>
      <w:pStyle w:val="Footer"/>
      <w:jc w:val="center"/>
    </w:pPr>
    <w:r>
      <w:rPr>
        <w:noProof/>
      </w:rPr>
      <w:drawing>
        <wp:anchor distT="0" distB="0" distL="114300" distR="114300" simplePos="0" relativeHeight="251657216" behindDoc="0" locked="0" layoutInCell="0" allowOverlap="1" wp14:anchorId="17907C98" wp14:editId="0F233C8F">
          <wp:simplePos x="0" y="0"/>
          <wp:positionH relativeFrom="page">
            <wp:posOffset>-2540</wp:posOffset>
          </wp:positionH>
          <wp:positionV relativeFrom="page">
            <wp:posOffset>9836785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E37D2" w14:textId="6CDBB5D4" w:rsidR="005B0CD9" w:rsidRPr="00F65AA9" w:rsidRDefault="005B0CD9" w:rsidP="0051568D">
    <w:pPr>
      <w:pStyle w:val="DHHSfooter"/>
    </w:pPr>
    <w:r>
      <w:t>VADC 2018/19 Bulletin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3286" w14:textId="77777777" w:rsidR="009924C3" w:rsidRDefault="009924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9178" w14:textId="73443707" w:rsidR="005B0CD9" w:rsidRPr="00A11421" w:rsidRDefault="005B0CD9" w:rsidP="0051568D">
    <w:pPr>
      <w:pStyle w:val="DHHSfooter"/>
    </w:pPr>
    <w:bookmarkStart w:id="14" w:name="_Hlk38534591"/>
    <w:r w:rsidRPr="006E6442">
      <w:t xml:space="preserve">VADC Bulletin 10, </w:t>
    </w:r>
    <w:r w:rsidR="006E6442" w:rsidRPr="006E6442">
      <w:t>16</w:t>
    </w:r>
    <w:r w:rsidRPr="006E6442">
      <w:t xml:space="preserve"> July 2020</w:t>
    </w:r>
    <w:bookmarkEnd w:id="14"/>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5AC76" w14:textId="77777777" w:rsidR="003342C4" w:rsidRDefault="003342C4" w:rsidP="002862F1">
      <w:pPr>
        <w:spacing w:before="120"/>
      </w:pPr>
      <w:r>
        <w:separator/>
      </w:r>
    </w:p>
  </w:footnote>
  <w:footnote w:type="continuationSeparator" w:id="0">
    <w:p w14:paraId="5F7B71D7" w14:textId="77777777" w:rsidR="003342C4" w:rsidRDefault="0033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ADE8" w14:textId="77777777" w:rsidR="009924C3" w:rsidRDefault="00992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288958"/>
      <w:docPartObj>
        <w:docPartGallery w:val="Page Numbers (Top of Page)"/>
        <w:docPartUnique/>
      </w:docPartObj>
    </w:sdtPr>
    <w:sdtEndPr>
      <w:rPr>
        <w:noProof/>
      </w:rPr>
    </w:sdtEndPr>
    <w:sdtContent>
      <w:p w14:paraId="23E95D51" w14:textId="0499930A" w:rsidR="005B0CD9" w:rsidRDefault="005B0C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B6255F" w14:textId="77777777" w:rsidR="005B0CD9" w:rsidRDefault="005B0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DB6D" w14:textId="77777777" w:rsidR="009924C3" w:rsidRDefault="00992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7640" w14:textId="4E7959B3" w:rsidR="005B0CD9" w:rsidRPr="0051568D" w:rsidRDefault="005B0CD9"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2D2116"/>
    <w:multiLevelType w:val="hybridMultilevel"/>
    <w:tmpl w:val="69E87C7C"/>
    <w:lvl w:ilvl="0" w:tplc="3A6CBDF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54A5D"/>
    <w:multiLevelType w:val="hybridMultilevel"/>
    <w:tmpl w:val="CDC8FE9C"/>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0B7EDB"/>
    <w:multiLevelType w:val="hybridMultilevel"/>
    <w:tmpl w:val="F1CA9D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F74DC3"/>
    <w:multiLevelType w:val="hybridMultilevel"/>
    <w:tmpl w:val="F308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341BA"/>
    <w:multiLevelType w:val="hybridMultilevel"/>
    <w:tmpl w:val="18781B12"/>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7B6AF9"/>
    <w:multiLevelType w:val="hybridMultilevel"/>
    <w:tmpl w:val="D3642EEC"/>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8D43DB"/>
    <w:multiLevelType w:val="multilevel"/>
    <w:tmpl w:val="4B4E7622"/>
    <w:numStyleLink w:val="ZZNumbers"/>
  </w:abstractNum>
  <w:abstractNum w:abstractNumId="9" w15:restartNumberingAfterBreak="0">
    <w:nsid w:val="1AE279EA"/>
    <w:multiLevelType w:val="hybridMultilevel"/>
    <w:tmpl w:val="1506DFE6"/>
    <w:lvl w:ilvl="0" w:tplc="0C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A59C8"/>
    <w:multiLevelType w:val="hybridMultilevel"/>
    <w:tmpl w:val="1506DFE6"/>
    <w:lvl w:ilvl="0" w:tplc="0C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F25F08"/>
    <w:multiLevelType w:val="hybridMultilevel"/>
    <w:tmpl w:val="18781B12"/>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4E7AA7"/>
    <w:multiLevelType w:val="hybridMultilevel"/>
    <w:tmpl w:val="D7C8D6D8"/>
    <w:lvl w:ilvl="0" w:tplc="0C09000F">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4F6D05"/>
    <w:multiLevelType w:val="hybridMultilevel"/>
    <w:tmpl w:val="C0EC97A6"/>
    <w:lvl w:ilvl="0" w:tplc="0C09000F">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A649E9"/>
    <w:multiLevelType w:val="hybridMultilevel"/>
    <w:tmpl w:val="2A8E1204"/>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EB0AEB"/>
    <w:multiLevelType w:val="hybridMultilevel"/>
    <w:tmpl w:val="C7F8141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2DA24BA5"/>
    <w:multiLevelType w:val="hybridMultilevel"/>
    <w:tmpl w:val="64A69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43B74"/>
    <w:multiLevelType w:val="hybridMultilevel"/>
    <w:tmpl w:val="7CC88996"/>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C6680"/>
    <w:multiLevelType w:val="hybridMultilevel"/>
    <w:tmpl w:val="3F40E070"/>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193697B"/>
    <w:multiLevelType w:val="hybridMultilevel"/>
    <w:tmpl w:val="E15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C92E64"/>
    <w:multiLevelType w:val="hybridMultilevel"/>
    <w:tmpl w:val="A80EBA02"/>
    <w:lvl w:ilvl="0" w:tplc="9DD68E1E">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D23B09"/>
    <w:multiLevelType w:val="hybridMultilevel"/>
    <w:tmpl w:val="1300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A24FFB"/>
    <w:multiLevelType w:val="hybridMultilevel"/>
    <w:tmpl w:val="47563A1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F47283F"/>
    <w:multiLevelType w:val="hybridMultilevel"/>
    <w:tmpl w:val="5CF244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257249B"/>
    <w:multiLevelType w:val="multilevel"/>
    <w:tmpl w:val="04BCE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CF7766"/>
    <w:multiLevelType w:val="hybridMultilevel"/>
    <w:tmpl w:val="FCDE6E3A"/>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31137"/>
    <w:multiLevelType w:val="hybridMultilevel"/>
    <w:tmpl w:val="1D6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105190"/>
    <w:multiLevelType w:val="hybridMultilevel"/>
    <w:tmpl w:val="879AA1C2"/>
    <w:lvl w:ilvl="0" w:tplc="C530748C">
      <w:start w:val="3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974F22"/>
    <w:multiLevelType w:val="hybridMultilevel"/>
    <w:tmpl w:val="E084EBC8"/>
    <w:lvl w:ilvl="0" w:tplc="E5A8EA9C">
      <w:numFmt w:val="bullet"/>
      <w:lvlText w:val="-"/>
      <w:lvlJc w:val="left"/>
      <w:pPr>
        <w:ind w:left="720" w:hanging="360"/>
      </w:pPr>
      <w:rPr>
        <w:rFonts w:ascii="Arial" w:eastAsiaTheme="minorHAnsi" w:hAnsi="Arial" w:cs="Arial" w:hint="default"/>
        <w:color w:val="3366FF"/>
        <w:u w:val="dotte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512557"/>
    <w:multiLevelType w:val="hybridMultilevel"/>
    <w:tmpl w:val="84BA739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70ED743F"/>
    <w:multiLevelType w:val="hybridMultilevel"/>
    <w:tmpl w:val="CDC8FE9C"/>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CD08B8"/>
    <w:multiLevelType w:val="hybridMultilevel"/>
    <w:tmpl w:val="578C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9A1ED9"/>
    <w:multiLevelType w:val="hybridMultilevel"/>
    <w:tmpl w:val="3410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AA5BF5"/>
    <w:multiLevelType w:val="hybridMultilevel"/>
    <w:tmpl w:val="2542B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D740E72"/>
    <w:multiLevelType w:val="hybridMultilevel"/>
    <w:tmpl w:val="A38A5C4A"/>
    <w:lvl w:ilvl="0" w:tplc="0C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E5F4890"/>
    <w:multiLevelType w:val="hybridMultilevel"/>
    <w:tmpl w:val="9F26EBA8"/>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E26644"/>
    <w:multiLevelType w:val="hybridMultilevel"/>
    <w:tmpl w:val="1E9CA7F0"/>
    <w:lvl w:ilvl="0" w:tplc="E662C5F4">
      <w:start w:val="1"/>
      <w:numFmt w:val="decimal"/>
      <w:lvlText w:val="1.%1"/>
      <w:lvlJc w:val="righ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7"/>
  </w:num>
  <w:num w:numId="10">
    <w:abstractNumId w:val="38"/>
  </w:num>
  <w:num w:numId="11">
    <w:abstractNumId w:val="6"/>
  </w:num>
  <w:num w:numId="12">
    <w:abstractNumId w:val="11"/>
  </w:num>
  <w:num w:numId="13">
    <w:abstractNumId w:val="22"/>
  </w:num>
  <w:num w:numId="14">
    <w:abstractNumId w:val="37"/>
  </w:num>
  <w:num w:numId="15">
    <w:abstractNumId w:val="27"/>
  </w:num>
  <w:num w:numId="16">
    <w:abstractNumId w:val="3"/>
  </w:num>
  <w:num w:numId="17">
    <w:abstractNumId w:val="21"/>
  </w:num>
  <w:num w:numId="18">
    <w:abstractNumId w:val="32"/>
  </w:num>
  <w:num w:numId="19">
    <w:abstractNumId w:val="14"/>
  </w:num>
  <w:num w:numId="20">
    <w:abstractNumId w:val="2"/>
  </w:num>
  <w:num w:numId="21">
    <w:abstractNumId w:val="17"/>
  </w:num>
  <w:num w:numId="22">
    <w:abstractNumId w:val="18"/>
  </w:num>
  <w:num w:numId="23">
    <w:abstractNumId w:val="5"/>
  </w:num>
  <w:num w:numId="24">
    <w:abstractNumId w:val="12"/>
  </w:num>
  <w:num w:numId="25">
    <w:abstractNumId w:val="20"/>
  </w:num>
  <w:num w:numId="26">
    <w:abstractNumId w:val="23"/>
  </w:num>
  <w:num w:numId="27">
    <w:abstractNumId w:val="15"/>
  </w:num>
  <w:num w:numId="28">
    <w:abstractNumId w:val="28"/>
  </w:num>
  <w:num w:numId="29">
    <w:abstractNumId w:val="35"/>
  </w:num>
  <w:num w:numId="30">
    <w:abstractNumId w:val="10"/>
  </w:num>
  <w:num w:numId="31">
    <w:abstractNumId w:val="9"/>
  </w:num>
  <w:num w:numId="32">
    <w:abstractNumId w:val="13"/>
  </w:num>
  <w:num w:numId="33">
    <w:abstractNumId w:val="25"/>
  </w:num>
  <w:num w:numId="34">
    <w:abstractNumId w:val="30"/>
  </w:num>
  <w:num w:numId="35">
    <w:abstractNumId w:val="34"/>
  </w:num>
  <w:num w:numId="36">
    <w:abstractNumId w:val="16"/>
  </w:num>
  <w:num w:numId="37">
    <w:abstractNumId w:val="33"/>
  </w:num>
  <w:num w:numId="38">
    <w:abstractNumId w:val="24"/>
  </w:num>
  <w:num w:numId="39">
    <w:abstractNumId w:val="31"/>
  </w:num>
  <w:num w:numId="40">
    <w:abstractNumId w:val="4"/>
  </w:num>
  <w:num w:numId="41">
    <w:abstractNumId w:val="36"/>
  </w:num>
  <w:num w:numId="4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F3"/>
    <w:rsid w:val="00001DE0"/>
    <w:rsid w:val="00003E30"/>
    <w:rsid w:val="000072B6"/>
    <w:rsid w:val="00007AD9"/>
    <w:rsid w:val="0001021B"/>
    <w:rsid w:val="000106AB"/>
    <w:rsid w:val="0001093C"/>
    <w:rsid w:val="00011D89"/>
    <w:rsid w:val="00011FB0"/>
    <w:rsid w:val="0001534A"/>
    <w:rsid w:val="00016432"/>
    <w:rsid w:val="00020D6A"/>
    <w:rsid w:val="00021802"/>
    <w:rsid w:val="000244CE"/>
    <w:rsid w:val="00024D89"/>
    <w:rsid w:val="000250B6"/>
    <w:rsid w:val="00027F04"/>
    <w:rsid w:val="00033D81"/>
    <w:rsid w:val="00041BF0"/>
    <w:rsid w:val="0004536B"/>
    <w:rsid w:val="00046B68"/>
    <w:rsid w:val="00051C66"/>
    <w:rsid w:val="000527DD"/>
    <w:rsid w:val="00053342"/>
    <w:rsid w:val="0005345F"/>
    <w:rsid w:val="000578B2"/>
    <w:rsid w:val="00060959"/>
    <w:rsid w:val="000663CD"/>
    <w:rsid w:val="00070A74"/>
    <w:rsid w:val="000733FE"/>
    <w:rsid w:val="00074219"/>
    <w:rsid w:val="00074ED5"/>
    <w:rsid w:val="0008020E"/>
    <w:rsid w:val="0008034C"/>
    <w:rsid w:val="00087119"/>
    <w:rsid w:val="0009113B"/>
    <w:rsid w:val="00094DA3"/>
    <w:rsid w:val="00096CD1"/>
    <w:rsid w:val="000A012C"/>
    <w:rsid w:val="000A0EB9"/>
    <w:rsid w:val="000A186C"/>
    <w:rsid w:val="000A6F5F"/>
    <w:rsid w:val="000A7507"/>
    <w:rsid w:val="000B23FD"/>
    <w:rsid w:val="000B543D"/>
    <w:rsid w:val="000B5BF7"/>
    <w:rsid w:val="000B6BC8"/>
    <w:rsid w:val="000C11CF"/>
    <w:rsid w:val="000C29D8"/>
    <w:rsid w:val="000C42EA"/>
    <w:rsid w:val="000C4546"/>
    <w:rsid w:val="000D1242"/>
    <w:rsid w:val="000D2C56"/>
    <w:rsid w:val="000D4795"/>
    <w:rsid w:val="000E3CC7"/>
    <w:rsid w:val="000E6090"/>
    <w:rsid w:val="000E6BD4"/>
    <w:rsid w:val="000F1F1E"/>
    <w:rsid w:val="000F2259"/>
    <w:rsid w:val="0010112B"/>
    <w:rsid w:val="0010392D"/>
    <w:rsid w:val="0010447F"/>
    <w:rsid w:val="00104FE3"/>
    <w:rsid w:val="001110CA"/>
    <w:rsid w:val="001146B7"/>
    <w:rsid w:val="00116BCC"/>
    <w:rsid w:val="0012072C"/>
    <w:rsid w:val="00120BD3"/>
    <w:rsid w:val="0012177C"/>
    <w:rsid w:val="00122FEA"/>
    <w:rsid w:val="001232BD"/>
    <w:rsid w:val="00124523"/>
    <w:rsid w:val="00124ED5"/>
    <w:rsid w:val="00126F2C"/>
    <w:rsid w:val="00127719"/>
    <w:rsid w:val="001340E1"/>
    <w:rsid w:val="00134D0B"/>
    <w:rsid w:val="00135AC2"/>
    <w:rsid w:val="00143F9A"/>
    <w:rsid w:val="001447B3"/>
    <w:rsid w:val="00145C9C"/>
    <w:rsid w:val="001500A9"/>
    <w:rsid w:val="00152073"/>
    <w:rsid w:val="00153AB4"/>
    <w:rsid w:val="00161939"/>
    <w:rsid w:val="00161AA0"/>
    <w:rsid w:val="00161BEF"/>
    <w:rsid w:val="00162093"/>
    <w:rsid w:val="00166FC2"/>
    <w:rsid w:val="001753DC"/>
    <w:rsid w:val="001771DD"/>
    <w:rsid w:val="00177995"/>
    <w:rsid w:val="00177A8C"/>
    <w:rsid w:val="0018434B"/>
    <w:rsid w:val="00186B33"/>
    <w:rsid w:val="00192F9D"/>
    <w:rsid w:val="00196EB8"/>
    <w:rsid w:val="001979FF"/>
    <w:rsid w:val="00197B17"/>
    <w:rsid w:val="001A3ACE"/>
    <w:rsid w:val="001C277E"/>
    <w:rsid w:val="001C2A72"/>
    <w:rsid w:val="001C7A15"/>
    <w:rsid w:val="001D0B75"/>
    <w:rsid w:val="001D0FC7"/>
    <w:rsid w:val="001D3C09"/>
    <w:rsid w:val="001D44E8"/>
    <w:rsid w:val="001D519C"/>
    <w:rsid w:val="001D60EC"/>
    <w:rsid w:val="001D6CD8"/>
    <w:rsid w:val="001D7308"/>
    <w:rsid w:val="001E1BA8"/>
    <w:rsid w:val="001E206E"/>
    <w:rsid w:val="001E24BD"/>
    <w:rsid w:val="001E44DF"/>
    <w:rsid w:val="001E68A5"/>
    <w:rsid w:val="001E6BB0"/>
    <w:rsid w:val="001F286D"/>
    <w:rsid w:val="001F3826"/>
    <w:rsid w:val="001F6E46"/>
    <w:rsid w:val="001F7C91"/>
    <w:rsid w:val="0020026A"/>
    <w:rsid w:val="00206463"/>
    <w:rsid w:val="00206F2F"/>
    <w:rsid w:val="0021053D"/>
    <w:rsid w:val="00210A92"/>
    <w:rsid w:val="00213A1A"/>
    <w:rsid w:val="00216C03"/>
    <w:rsid w:val="00220C04"/>
    <w:rsid w:val="00220E2D"/>
    <w:rsid w:val="0022278D"/>
    <w:rsid w:val="00222B70"/>
    <w:rsid w:val="0022701F"/>
    <w:rsid w:val="002333F5"/>
    <w:rsid w:val="00233724"/>
    <w:rsid w:val="00241689"/>
    <w:rsid w:val="002432E1"/>
    <w:rsid w:val="00246207"/>
    <w:rsid w:val="00246C5E"/>
    <w:rsid w:val="00251343"/>
    <w:rsid w:val="00254F58"/>
    <w:rsid w:val="00255570"/>
    <w:rsid w:val="0025629A"/>
    <w:rsid w:val="002611F7"/>
    <w:rsid w:val="00261938"/>
    <w:rsid w:val="002620BC"/>
    <w:rsid w:val="00262802"/>
    <w:rsid w:val="00263A90"/>
    <w:rsid w:val="0026408B"/>
    <w:rsid w:val="0026799A"/>
    <w:rsid w:val="00267C3E"/>
    <w:rsid w:val="002709BB"/>
    <w:rsid w:val="002763B3"/>
    <w:rsid w:val="002802E3"/>
    <w:rsid w:val="00281F38"/>
    <w:rsid w:val="0028213D"/>
    <w:rsid w:val="002862F1"/>
    <w:rsid w:val="00291127"/>
    <w:rsid w:val="00291373"/>
    <w:rsid w:val="002920BE"/>
    <w:rsid w:val="0029347E"/>
    <w:rsid w:val="0029363F"/>
    <w:rsid w:val="0029597D"/>
    <w:rsid w:val="002962C3"/>
    <w:rsid w:val="0029752B"/>
    <w:rsid w:val="002A483C"/>
    <w:rsid w:val="002B1729"/>
    <w:rsid w:val="002B4DD4"/>
    <w:rsid w:val="002B5277"/>
    <w:rsid w:val="002B5375"/>
    <w:rsid w:val="002B5BF4"/>
    <w:rsid w:val="002B77C1"/>
    <w:rsid w:val="002C2728"/>
    <w:rsid w:val="002C376A"/>
    <w:rsid w:val="002C7B65"/>
    <w:rsid w:val="002D5006"/>
    <w:rsid w:val="002D53DA"/>
    <w:rsid w:val="002D7B38"/>
    <w:rsid w:val="002E0106"/>
    <w:rsid w:val="002E01D0"/>
    <w:rsid w:val="002E161D"/>
    <w:rsid w:val="002E3100"/>
    <w:rsid w:val="002E6C95"/>
    <w:rsid w:val="002E7C36"/>
    <w:rsid w:val="002F5F31"/>
    <w:rsid w:val="002F5F46"/>
    <w:rsid w:val="00302216"/>
    <w:rsid w:val="00303E53"/>
    <w:rsid w:val="00306E5F"/>
    <w:rsid w:val="003071CF"/>
    <w:rsid w:val="00307E14"/>
    <w:rsid w:val="00314054"/>
    <w:rsid w:val="003147AE"/>
    <w:rsid w:val="00316928"/>
    <w:rsid w:val="00316F27"/>
    <w:rsid w:val="00320401"/>
    <w:rsid w:val="00325239"/>
    <w:rsid w:val="003260F9"/>
    <w:rsid w:val="00327870"/>
    <w:rsid w:val="0033259D"/>
    <w:rsid w:val="003342C4"/>
    <w:rsid w:val="00337963"/>
    <w:rsid w:val="003406C6"/>
    <w:rsid w:val="003418CC"/>
    <w:rsid w:val="003430C5"/>
    <w:rsid w:val="003459BD"/>
    <w:rsid w:val="00350D38"/>
    <w:rsid w:val="00351B36"/>
    <w:rsid w:val="00357B4E"/>
    <w:rsid w:val="00373CA8"/>
    <w:rsid w:val="003744CF"/>
    <w:rsid w:val="00374717"/>
    <w:rsid w:val="00374A33"/>
    <w:rsid w:val="0037676C"/>
    <w:rsid w:val="00377C54"/>
    <w:rsid w:val="003829E5"/>
    <w:rsid w:val="00393DE5"/>
    <w:rsid w:val="003956CC"/>
    <w:rsid w:val="00395C9A"/>
    <w:rsid w:val="003A6B67"/>
    <w:rsid w:val="003B15E6"/>
    <w:rsid w:val="003C2045"/>
    <w:rsid w:val="003C43A1"/>
    <w:rsid w:val="003C4D61"/>
    <w:rsid w:val="003C4FC0"/>
    <w:rsid w:val="003C55F4"/>
    <w:rsid w:val="003C7A3F"/>
    <w:rsid w:val="003D2766"/>
    <w:rsid w:val="003D3E8F"/>
    <w:rsid w:val="003D6475"/>
    <w:rsid w:val="003E2D6B"/>
    <w:rsid w:val="003E4768"/>
    <w:rsid w:val="003F0445"/>
    <w:rsid w:val="003F0CF0"/>
    <w:rsid w:val="003F14B1"/>
    <w:rsid w:val="003F2871"/>
    <w:rsid w:val="003F3289"/>
    <w:rsid w:val="00401FCF"/>
    <w:rsid w:val="004020E8"/>
    <w:rsid w:val="00402CD4"/>
    <w:rsid w:val="00405E26"/>
    <w:rsid w:val="00406285"/>
    <w:rsid w:val="004118F3"/>
    <w:rsid w:val="004121C1"/>
    <w:rsid w:val="00413CF5"/>
    <w:rsid w:val="004148F9"/>
    <w:rsid w:val="00415E1F"/>
    <w:rsid w:val="00417743"/>
    <w:rsid w:val="0042084E"/>
    <w:rsid w:val="00421EEF"/>
    <w:rsid w:val="00424D65"/>
    <w:rsid w:val="00425ABB"/>
    <w:rsid w:val="0043327F"/>
    <w:rsid w:val="0044050E"/>
    <w:rsid w:val="00440EF8"/>
    <w:rsid w:val="00442891"/>
    <w:rsid w:val="00442C6C"/>
    <w:rsid w:val="00443CBE"/>
    <w:rsid w:val="00443E8A"/>
    <w:rsid w:val="004441BC"/>
    <w:rsid w:val="004468B4"/>
    <w:rsid w:val="004512BF"/>
    <w:rsid w:val="0045230A"/>
    <w:rsid w:val="00452BE2"/>
    <w:rsid w:val="00457337"/>
    <w:rsid w:val="00473363"/>
    <w:rsid w:val="0047372D"/>
    <w:rsid w:val="004743DD"/>
    <w:rsid w:val="00474CEA"/>
    <w:rsid w:val="00482D59"/>
    <w:rsid w:val="00483968"/>
    <w:rsid w:val="00484F86"/>
    <w:rsid w:val="00490746"/>
    <w:rsid w:val="00490852"/>
    <w:rsid w:val="00491193"/>
    <w:rsid w:val="00492F30"/>
    <w:rsid w:val="004946F4"/>
    <w:rsid w:val="0049487E"/>
    <w:rsid w:val="00494D09"/>
    <w:rsid w:val="00496F15"/>
    <w:rsid w:val="004A14C9"/>
    <w:rsid w:val="004A160D"/>
    <w:rsid w:val="004A2E18"/>
    <w:rsid w:val="004A304A"/>
    <w:rsid w:val="004A3249"/>
    <w:rsid w:val="004A3E81"/>
    <w:rsid w:val="004A5C62"/>
    <w:rsid w:val="004A6B6D"/>
    <w:rsid w:val="004A707D"/>
    <w:rsid w:val="004B5DA6"/>
    <w:rsid w:val="004B6557"/>
    <w:rsid w:val="004C023E"/>
    <w:rsid w:val="004C6EEE"/>
    <w:rsid w:val="004C702B"/>
    <w:rsid w:val="004D016B"/>
    <w:rsid w:val="004D1B22"/>
    <w:rsid w:val="004D36F2"/>
    <w:rsid w:val="004E138F"/>
    <w:rsid w:val="004E4649"/>
    <w:rsid w:val="004E5C2B"/>
    <w:rsid w:val="004F00DD"/>
    <w:rsid w:val="004F2133"/>
    <w:rsid w:val="004F3702"/>
    <w:rsid w:val="004F55F1"/>
    <w:rsid w:val="004F6936"/>
    <w:rsid w:val="00503DC6"/>
    <w:rsid w:val="00506F5D"/>
    <w:rsid w:val="005126D0"/>
    <w:rsid w:val="0051568D"/>
    <w:rsid w:val="00521FBB"/>
    <w:rsid w:val="0052531D"/>
    <w:rsid w:val="0052601B"/>
    <w:rsid w:val="00526C15"/>
    <w:rsid w:val="005309F5"/>
    <w:rsid w:val="00536499"/>
    <w:rsid w:val="00543903"/>
    <w:rsid w:val="00543F11"/>
    <w:rsid w:val="00544093"/>
    <w:rsid w:val="0054785E"/>
    <w:rsid w:val="00547A95"/>
    <w:rsid w:val="00563A0C"/>
    <w:rsid w:val="00566A14"/>
    <w:rsid w:val="00567154"/>
    <w:rsid w:val="00572031"/>
    <w:rsid w:val="005744DB"/>
    <w:rsid w:val="005748AF"/>
    <w:rsid w:val="00574A9A"/>
    <w:rsid w:val="00576E84"/>
    <w:rsid w:val="005828E8"/>
    <w:rsid w:val="00582B8C"/>
    <w:rsid w:val="0058757E"/>
    <w:rsid w:val="00595117"/>
    <w:rsid w:val="00596A4B"/>
    <w:rsid w:val="00597507"/>
    <w:rsid w:val="005A3229"/>
    <w:rsid w:val="005B0CD9"/>
    <w:rsid w:val="005B21B6"/>
    <w:rsid w:val="005B3A08"/>
    <w:rsid w:val="005B4340"/>
    <w:rsid w:val="005B7A63"/>
    <w:rsid w:val="005C0955"/>
    <w:rsid w:val="005C09A1"/>
    <w:rsid w:val="005C49DA"/>
    <w:rsid w:val="005C50F3"/>
    <w:rsid w:val="005C5D91"/>
    <w:rsid w:val="005C6413"/>
    <w:rsid w:val="005D07B8"/>
    <w:rsid w:val="005D2FA5"/>
    <w:rsid w:val="005D6597"/>
    <w:rsid w:val="005D7365"/>
    <w:rsid w:val="005E14E7"/>
    <w:rsid w:val="005E26A3"/>
    <w:rsid w:val="005E447E"/>
    <w:rsid w:val="005E65AB"/>
    <w:rsid w:val="005E7917"/>
    <w:rsid w:val="005F0775"/>
    <w:rsid w:val="005F0CF5"/>
    <w:rsid w:val="005F0F3D"/>
    <w:rsid w:val="005F21EB"/>
    <w:rsid w:val="005F5AA5"/>
    <w:rsid w:val="006037A1"/>
    <w:rsid w:val="00605908"/>
    <w:rsid w:val="00606F34"/>
    <w:rsid w:val="00610D7C"/>
    <w:rsid w:val="00612A3B"/>
    <w:rsid w:val="00613414"/>
    <w:rsid w:val="00615E1E"/>
    <w:rsid w:val="00617102"/>
    <w:rsid w:val="0062408D"/>
    <w:rsid w:val="006240CC"/>
    <w:rsid w:val="00627DA7"/>
    <w:rsid w:val="00631025"/>
    <w:rsid w:val="006358B4"/>
    <w:rsid w:val="006403EF"/>
    <w:rsid w:val="006419AA"/>
    <w:rsid w:val="00644B7E"/>
    <w:rsid w:val="006454E6"/>
    <w:rsid w:val="00645BA0"/>
    <w:rsid w:val="00646A68"/>
    <w:rsid w:val="0065092E"/>
    <w:rsid w:val="00653421"/>
    <w:rsid w:val="0065445C"/>
    <w:rsid w:val="006553BD"/>
    <w:rsid w:val="006557A7"/>
    <w:rsid w:val="00656290"/>
    <w:rsid w:val="006621D7"/>
    <w:rsid w:val="0066302A"/>
    <w:rsid w:val="00663CC6"/>
    <w:rsid w:val="00667DB3"/>
    <w:rsid w:val="00667E00"/>
    <w:rsid w:val="00670597"/>
    <w:rsid w:val="006706D0"/>
    <w:rsid w:val="006729B6"/>
    <w:rsid w:val="0067607D"/>
    <w:rsid w:val="00677574"/>
    <w:rsid w:val="00682641"/>
    <w:rsid w:val="00684199"/>
    <w:rsid w:val="0068454C"/>
    <w:rsid w:val="00686B80"/>
    <w:rsid w:val="00691B62"/>
    <w:rsid w:val="00693D14"/>
    <w:rsid w:val="0069726F"/>
    <w:rsid w:val="006A18C2"/>
    <w:rsid w:val="006A33BC"/>
    <w:rsid w:val="006B077C"/>
    <w:rsid w:val="006B147A"/>
    <w:rsid w:val="006B6803"/>
    <w:rsid w:val="006C7457"/>
    <w:rsid w:val="006D18FB"/>
    <w:rsid w:val="006D1A09"/>
    <w:rsid w:val="006D1CD1"/>
    <w:rsid w:val="006D2A3F"/>
    <w:rsid w:val="006D2FBC"/>
    <w:rsid w:val="006D59BA"/>
    <w:rsid w:val="006E138B"/>
    <w:rsid w:val="006E5E1F"/>
    <w:rsid w:val="006E6442"/>
    <w:rsid w:val="006F1FDC"/>
    <w:rsid w:val="006F4584"/>
    <w:rsid w:val="006F5266"/>
    <w:rsid w:val="007013EF"/>
    <w:rsid w:val="007035EC"/>
    <w:rsid w:val="007173CA"/>
    <w:rsid w:val="007216AA"/>
    <w:rsid w:val="00721AB5"/>
    <w:rsid w:val="00721DEF"/>
    <w:rsid w:val="00723549"/>
    <w:rsid w:val="00723F6D"/>
    <w:rsid w:val="00724A43"/>
    <w:rsid w:val="00733F79"/>
    <w:rsid w:val="007346E4"/>
    <w:rsid w:val="0073730D"/>
    <w:rsid w:val="00737459"/>
    <w:rsid w:val="00740F22"/>
    <w:rsid w:val="00741F1A"/>
    <w:rsid w:val="00744682"/>
    <w:rsid w:val="007450F8"/>
    <w:rsid w:val="0074533A"/>
    <w:rsid w:val="0074689B"/>
    <w:rsid w:val="0074696E"/>
    <w:rsid w:val="00746C30"/>
    <w:rsid w:val="00750135"/>
    <w:rsid w:val="00750EC2"/>
    <w:rsid w:val="00751E7A"/>
    <w:rsid w:val="00752B28"/>
    <w:rsid w:val="007533F7"/>
    <w:rsid w:val="00754E36"/>
    <w:rsid w:val="007554F6"/>
    <w:rsid w:val="00757898"/>
    <w:rsid w:val="00763139"/>
    <w:rsid w:val="00770F37"/>
    <w:rsid w:val="007711A0"/>
    <w:rsid w:val="007724E4"/>
    <w:rsid w:val="00772D5E"/>
    <w:rsid w:val="00776928"/>
    <w:rsid w:val="00780712"/>
    <w:rsid w:val="00783446"/>
    <w:rsid w:val="00784508"/>
    <w:rsid w:val="0078550D"/>
    <w:rsid w:val="00785677"/>
    <w:rsid w:val="00786F16"/>
    <w:rsid w:val="00796E20"/>
    <w:rsid w:val="00797C32"/>
    <w:rsid w:val="007A5103"/>
    <w:rsid w:val="007A5ADD"/>
    <w:rsid w:val="007A6E6E"/>
    <w:rsid w:val="007B0914"/>
    <w:rsid w:val="007B1374"/>
    <w:rsid w:val="007B40B7"/>
    <w:rsid w:val="007B589F"/>
    <w:rsid w:val="007B6186"/>
    <w:rsid w:val="007B73BC"/>
    <w:rsid w:val="007C1B9B"/>
    <w:rsid w:val="007C20B9"/>
    <w:rsid w:val="007C40AF"/>
    <w:rsid w:val="007C7301"/>
    <w:rsid w:val="007C7859"/>
    <w:rsid w:val="007C7A54"/>
    <w:rsid w:val="007D0102"/>
    <w:rsid w:val="007D2BDE"/>
    <w:rsid w:val="007D2E00"/>
    <w:rsid w:val="007D2FB6"/>
    <w:rsid w:val="007D66C0"/>
    <w:rsid w:val="007D6B2A"/>
    <w:rsid w:val="007D6F70"/>
    <w:rsid w:val="007E08EF"/>
    <w:rsid w:val="007E0DE2"/>
    <w:rsid w:val="007E3B98"/>
    <w:rsid w:val="007E47C8"/>
    <w:rsid w:val="007F31B6"/>
    <w:rsid w:val="007F546C"/>
    <w:rsid w:val="007F625F"/>
    <w:rsid w:val="007F665E"/>
    <w:rsid w:val="00800412"/>
    <w:rsid w:val="0080118E"/>
    <w:rsid w:val="00802DFF"/>
    <w:rsid w:val="0080587B"/>
    <w:rsid w:val="00806468"/>
    <w:rsid w:val="00812536"/>
    <w:rsid w:val="00814D51"/>
    <w:rsid w:val="008155F0"/>
    <w:rsid w:val="00816735"/>
    <w:rsid w:val="00820112"/>
    <w:rsid w:val="00820141"/>
    <w:rsid w:val="00820E0C"/>
    <w:rsid w:val="00823592"/>
    <w:rsid w:val="00824021"/>
    <w:rsid w:val="00824D1E"/>
    <w:rsid w:val="0082615D"/>
    <w:rsid w:val="008338A2"/>
    <w:rsid w:val="00833B9E"/>
    <w:rsid w:val="00841AA9"/>
    <w:rsid w:val="00852BBD"/>
    <w:rsid w:val="00853EE4"/>
    <w:rsid w:val="00854B0C"/>
    <w:rsid w:val="008553BF"/>
    <w:rsid w:val="00855535"/>
    <w:rsid w:val="00860A96"/>
    <w:rsid w:val="0086255E"/>
    <w:rsid w:val="00862C02"/>
    <w:rsid w:val="008633F0"/>
    <w:rsid w:val="008658AE"/>
    <w:rsid w:val="00867D9D"/>
    <w:rsid w:val="00867F16"/>
    <w:rsid w:val="00872E0A"/>
    <w:rsid w:val="00875285"/>
    <w:rsid w:val="00882D19"/>
    <w:rsid w:val="00884B62"/>
    <w:rsid w:val="00884FE7"/>
    <w:rsid w:val="008850A3"/>
    <w:rsid w:val="0088529C"/>
    <w:rsid w:val="00886432"/>
    <w:rsid w:val="00887903"/>
    <w:rsid w:val="008910FC"/>
    <w:rsid w:val="0089251C"/>
    <w:rsid w:val="0089270A"/>
    <w:rsid w:val="00893AF6"/>
    <w:rsid w:val="00894BC4"/>
    <w:rsid w:val="008A4B5D"/>
    <w:rsid w:val="008A5B32"/>
    <w:rsid w:val="008A66CA"/>
    <w:rsid w:val="008B2EE4"/>
    <w:rsid w:val="008B4D3D"/>
    <w:rsid w:val="008B57C7"/>
    <w:rsid w:val="008C2F92"/>
    <w:rsid w:val="008C472F"/>
    <w:rsid w:val="008D1F3D"/>
    <w:rsid w:val="008D2846"/>
    <w:rsid w:val="008D3179"/>
    <w:rsid w:val="008D4236"/>
    <w:rsid w:val="008D462F"/>
    <w:rsid w:val="008D6701"/>
    <w:rsid w:val="008D6DCF"/>
    <w:rsid w:val="008E4376"/>
    <w:rsid w:val="008E7A0A"/>
    <w:rsid w:val="00900719"/>
    <w:rsid w:val="009017AC"/>
    <w:rsid w:val="00901D8B"/>
    <w:rsid w:val="00904A1C"/>
    <w:rsid w:val="00905030"/>
    <w:rsid w:val="00906490"/>
    <w:rsid w:val="00906D25"/>
    <w:rsid w:val="009111B2"/>
    <w:rsid w:val="009173E9"/>
    <w:rsid w:val="009205FA"/>
    <w:rsid w:val="00924AE1"/>
    <w:rsid w:val="009269B1"/>
    <w:rsid w:val="0092724D"/>
    <w:rsid w:val="009365FB"/>
    <w:rsid w:val="00937B6D"/>
    <w:rsid w:val="00937BD9"/>
    <w:rsid w:val="00940DE3"/>
    <w:rsid w:val="00946F51"/>
    <w:rsid w:val="00950E2C"/>
    <w:rsid w:val="00951D50"/>
    <w:rsid w:val="009525EB"/>
    <w:rsid w:val="00954874"/>
    <w:rsid w:val="009571BD"/>
    <w:rsid w:val="00961400"/>
    <w:rsid w:val="00963646"/>
    <w:rsid w:val="00976013"/>
    <w:rsid w:val="009810AB"/>
    <w:rsid w:val="009853E1"/>
    <w:rsid w:val="00986065"/>
    <w:rsid w:val="00986E6B"/>
    <w:rsid w:val="00991769"/>
    <w:rsid w:val="009919DE"/>
    <w:rsid w:val="009924C3"/>
    <w:rsid w:val="00994386"/>
    <w:rsid w:val="00996AA6"/>
    <w:rsid w:val="009A13D8"/>
    <w:rsid w:val="009A279E"/>
    <w:rsid w:val="009B0A6F"/>
    <w:rsid w:val="009B0A94"/>
    <w:rsid w:val="009B59E9"/>
    <w:rsid w:val="009B70AA"/>
    <w:rsid w:val="009C76DE"/>
    <w:rsid w:val="009C7A7E"/>
    <w:rsid w:val="009D02E8"/>
    <w:rsid w:val="009D0AD4"/>
    <w:rsid w:val="009D51D0"/>
    <w:rsid w:val="009D70A4"/>
    <w:rsid w:val="009E07B6"/>
    <w:rsid w:val="009E08D1"/>
    <w:rsid w:val="009E1B95"/>
    <w:rsid w:val="009E1C8A"/>
    <w:rsid w:val="009E496F"/>
    <w:rsid w:val="009E4B0D"/>
    <w:rsid w:val="009E7F92"/>
    <w:rsid w:val="009F02A3"/>
    <w:rsid w:val="009F2F27"/>
    <w:rsid w:val="009F34AA"/>
    <w:rsid w:val="009F5DC6"/>
    <w:rsid w:val="009F6BCB"/>
    <w:rsid w:val="009F7B78"/>
    <w:rsid w:val="00A00017"/>
    <w:rsid w:val="00A0057A"/>
    <w:rsid w:val="00A11421"/>
    <w:rsid w:val="00A1256E"/>
    <w:rsid w:val="00A130DB"/>
    <w:rsid w:val="00A157B1"/>
    <w:rsid w:val="00A177FD"/>
    <w:rsid w:val="00A179F3"/>
    <w:rsid w:val="00A22229"/>
    <w:rsid w:val="00A268D5"/>
    <w:rsid w:val="00A32EE4"/>
    <w:rsid w:val="00A44882"/>
    <w:rsid w:val="00A502DA"/>
    <w:rsid w:val="00A50FBC"/>
    <w:rsid w:val="00A52A96"/>
    <w:rsid w:val="00A54715"/>
    <w:rsid w:val="00A54D81"/>
    <w:rsid w:val="00A6061C"/>
    <w:rsid w:val="00A62D44"/>
    <w:rsid w:val="00A64E22"/>
    <w:rsid w:val="00A65118"/>
    <w:rsid w:val="00A67263"/>
    <w:rsid w:val="00A7161C"/>
    <w:rsid w:val="00A77AA3"/>
    <w:rsid w:val="00A854EB"/>
    <w:rsid w:val="00A872E5"/>
    <w:rsid w:val="00A877D1"/>
    <w:rsid w:val="00A9083A"/>
    <w:rsid w:val="00A91406"/>
    <w:rsid w:val="00A94C46"/>
    <w:rsid w:val="00A96E65"/>
    <w:rsid w:val="00A97C72"/>
    <w:rsid w:val="00AA05B7"/>
    <w:rsid w:val="00AA46D4"/>
    <w:rsid w:val="00AA55B8"/>
    <w:rsid w:val="00AA63D4"/>
    <w:rsid w:val="00AB06E8"/>
    <w:rsid w:val="00AB1CD3"/>
    <w:rsid w:val="00AB352F"/>
    <w:rsid w:val="00AB5C5D"/>
    <w:rsid w:val="00AC274B"/>
    <w:rsid w:val="00AC337A"/>
    <w:rsid w:val="00AC4764"/>
    <w:rsid w:val="00AC6D36"/>
    <w:rsid w:val="00AC7788"/>
    <w:rsid w:val="00AD0C97"/>
    <w:rsid w:val="00AD0CBA"/>
    <w:rsid w:val="00AD26E2"/>
    <w:rsid w:val="00AD6135"/>
    <w:rsid w:val="00AD784C"/>
    <w:rsid w:val="00AE126A"/>
    <w:rsid w:val="00AE3005"/>
    <w:rsid w:val="00AE3BD5"/>
    <w:rsid w:val="00AE59A0"/>
    <w:rsid w:val="00AE608A"/>
    <w:rsid w:val="00AF01D9"/>
    <w:rsid w:val="00AF0C57"/>
    <w:rsid w:val="00AF26F3"/>
    <w:rsid w:val="00AF5B50"/>
    <w:rsid w:val="00AF5E1F"/>
    <w:rsid w:val="00AF5F04"/>
    <w:rsid w:val="00B00672"/>
    <w:rsid w:val="00B01B4D"/>
    <w:rsid w:val="00B06571"/>
    <w:rsid w:val="00B068BA"/>
    <w:rsid w:val="00B13851"/>
    <w:rsid w:val="00B13B1C"/>
    <w:rsid w:val="00B144CD"/>
    <w:rsid w:val="00B15D0A"/>
    <w:rsid w:val="00B22291"/>
    <w:rsid w:val="00B2305F"/>
    <w:rsid w:val="00B23F9A"/>
    <w:rsid w:val="00B2417B"/>
    <w:rsid w:val="00B24E6F"/>
    <w:rsid w:val="00B26CB5"/>
    <w:rsid w:val="00B2752E"/>
    <w:rsid w:val="00B3005D"/>
    <w:rsid w:val="00B307CC"/>
    <w:rsid w:val="00B326B7"/>
    <w:rsid w:val="00B34728"/>
    <w:rsid w:val="00B431E8"/>
    <w:rsid w:val="00B45141"/>
    <w:rsid w:val="00B46EED"/>
    <w:rsid w:val="00B5273A"/>
    <w:rsid w:val="00B56C85"/>
    <w:rsid w:val="00B628F3"/>
    <w:rsid w:val="00B62B50"/>
    <w:rsid w:val="00B635B7"/>
    <w:rsid w:val="00B63AE8"/>
    <w:rsid w:val="00B65950"/>
    <w:rsid w:val="00B66D83"/>
    <w:rsid w:val="00B672C0"/>
    <w:rsid w:val="00B75646"/>
    <w:rsid w:val="00B8387E"/>
    <w:rsid w:val="00B8497A"/>
    <w:rsid w:val="00B90198"/>
    <w:rsid w:val="00B90729"/>
    <w:rsid w:val="00B907DA"/>
    <w:rsid w:val="00B90DC0"/>
    <w:rsid w:val="00B95080"/>
    <w:rsid w:val="00B950BC"/>
    <w:rsid w:val="00B958A9"/>
    <w:rsid w:val="00B9714C"/>
    <w:rsid w:val="00BA212E"/>
    <w:rsid w:val="00BA3F8D"/>
    <w:rsid w:val="00BA5592"/>
    <w:rsid w:val="00BB30C8"/>
    <w:rsid w:val="00BB7A10"/>
    <w:rsid w:val="00BC56B9"/>
    <w:rsid w:val="00BC7468"/>
    <w:rsid w:val="00BC7D4F"/>
    <w:rsid w:val="00BC7ED7"/>
    <w:rsid w:val="00BD2850"/>
    <w:rsid w:val="00BE0D55"/>
    <w:rsid w:val="00BE1D2F"/>
    <w:rsid w:val="00BE28D2"/>
    <w:rsid w:val="00BE2AA0"/>
    <w:rsid w:val="00BE4A64"/>
    <w:rsid w:val="00BE6503"/>
    <w:rsid w:val="00BF7F58"/>
    <w:rsid w:val="00C01381"/>
    <w:rsid w:val="00C01F25"/>
    <w:rsid w:val="00C079B8"/>
    <w:rsid w:val="00C123EA"/>
    <w:rsid w:val="00C12A49"/>
    <w:rsid w:val="00C133EE"/>
    <w:rsid w:val="00C151CE"/>
    <w:rsid w:val="00C21D2F"/>
    <w:rsid w:val="00C2349C"/>
    <w:rsid w:val="00C27BAD"/>
    <w:rsid w:val="00C27DE9"/>
    <w:rsid w:val="00C33388"/>
    <w:rsid w:val="00C35484"/>
    <w:rsid w:val="00C37A8E"/>
    <w:rsid w:val="00C37DA4"/>
    <w:rsid w:val="00C4173A"/>
    <w:rsid w:val="00C42C8C"/>
    <w:rsid w:val="00C44EC4"/>
    <w:rsid w:val="00C57BAA"/>
    <w:rsid w:val="00C602FF"/>
    <w:rsid w:val="00C61174"/>
    <w:rsid w:val="00C6148F"/>
    <w:rsid w:val="00C62F54"/>
    <w:rsid w:val="00C62F7A"/>
    <w:rsid w:val="00C63B9C"/>
    <w:rsid w:val="00C6682F"/>
    <w:rsid w:val="00C7275E"/>
    <w:rsid w:val="00C74C5D"/>
    <w:rsid w:val="00C76F90"/>
    <w:rsid w:val="00C77A7D"/>
    <w:rsid w:val="00C82347"/>
    <w:rsid w:val="00C845A3"/>
    <w:rsid w:val="00C84696"/>
    <w:rsid w:val="00C863C4"/>
    <w:rsid w:val="00C86931"/>
    <w:rsid w:val="00C93C3E"/>
    <w:rsid w:val="00CA12E3"/>
    <w:rsid w:val="00CA3F17"/>
    <w:rsid w:val="00CA6611"/>
    <w:rsid w:val="00CA6AE6"/>
    <w:rsid w:val="00CA782F"/>
    <w:rsid w:val="00CB7BA0"/>
    <w:rsid w:val="00CC0C72"/>
    <w:rsid w:val="00CC2BFD"/>
    <w:rsid w:val="00CC377E"/>
    <w:rsid w:val="00CC58B8"/>
    <w:rsid w:val="00CC5C2C"/>
    <w:rsid w:val="00CD3476"/>
    <w:rsid w:val="00CD50A2"/>
    <w:rsid w:val="00CD64DF"/>
    <w:rsid w:val="00CF174D"/>
    <w:rsid w:val="00CF2F50"/>
    <w:rsid w:val="00D0269B"/>
    <w:rsid w:val="00D02919"/>
    <w:rsid w:val="00D0364D"/>
    <w:rsid w:val="00D04C61"/>
    <w:rsid w:val="00D05B8D"/>
    <w:rsid w:val="00D065A2"/>
    <w:rsid w:val="00D06A43"/>
    <w:rsid w:val="00D07F00"/>
    <w:rsid w:val="00D13289"/>
    <w:rsid w:val="00D17B72"/>
    <w:rsid w:val="00D26BDB"/>
    <w:rsid w:val="00D3185C"/>
    <w:rsid w:val="00D31CF4"/>
    <w:rsid w:val="00D33E72"/>
    <w:rsid w:val="00D35393"/>
    <w:rsid w:val="00D35BD6"/>
    <w:rsid w:val="00D361B5"/>
    <w:rsid w:val="00D3755D"/>
    <w:rsid w:val="00D37C21"/>
    <w:rsid w:val="00D411A2"/>
    <w:rsid w:val="00D434FB"/>
    <w:rsid w:val="00D4606D"/>
    <w:rsid w:val="00D47008"/>
    <w:rsid w:val="00D50B9C"/>
    <w:rsid w:val="00D52D73"/>
    <w:rsid w:val="00D52E58"/>
    <w:rsid w:val="00D54E64"/>
    <w:rsid w:val="00D607A6"/>
    <w:rsid w:val="00D63A4F"/>
    <w:rsid w:val="00D649A0"/>
    <w:rsid w:val="00D714CC"/>
    <w:rsid w:val="00D75EA7"/>
    <w:rsid w:val="00D774B8"/>
    <w:rsid w:val="00D81F21"/>
    <w:rsid w:val="00D85AC1"/>
    <w:rsid w:val="00D85BD4"/>
    <w:rsid w:val="00D95470"/>
    <w:rsid w:val="00DA2619"/>
    <w:rsid w:val="00DA4239"/>
    <w:rsid w:val="00DA5046"/>
    <w:rsid w:val="00DA6F21"/>
    <w:rsid w:val="00DB0B61"/>
    <w:rsid w:val="00DB68F3"/>
    <w:rsid w:val="00DC090B"/>
    <w:rsid w:val="00DC1679"/>
    <w:rsid w:val="00DC2CF1"/>
    <w:rsid w:val="00DC49F9"/>
    <w:rsid w:val="00DC4FCF"/>
    <w:rsid w:val="00DC50E0"/>
    <w:rsid w:val="00DC6386"/>
    <w:rsid w:val="00DC6866"/>
    <w:rsid w:val="00DD1130"/>
    <w:rsid w:val="00DD1951"/>
    <w:rsid w:val="00DD32B1"/>
    <w:rsid w:val="00DD617A"/>
    <w:rsid w:val="00DD6628"/>
    <w:rsid w:val="00DE3250"/>
    <w:rsid w:val="00DE35C9"/>
    <w:rsid w:val="00DE6028"/>
    <w:rsid w:val="00DE6BF7"/>
    <w:rsid w:val="00DE78A3"/>
    <w:rsid w:val="00DF1A71"/>
    <w:rsid w:val="00DF68C7"/>
    <w:rsid w:val="00DF731A"/>
    <w:rsid w:val="00E02CBC"/>
    <w:rsid w:val="00E15D97"/>
    <w:rsid w:val="00E170DC"/>
    <w:rsid w:val="00E22799"/>
    <w:rsid w:val="00E24CC0"/>
    <w:rsid w:val="00E26818"/>
    <w:rsid w:val="00E27173"/>
    <w:rsid w:val="00E27FFC"/>
    <w:rsid w:val="00E30B15"/>
    <w:rsid w:val="00E3492E"/>
    <w:rsid w:val="00E40181"/>
    <w:rsid w:val="00E55237"/>
    <w:rsid w:val="00E56A01"/>
    <w:rsid w:val="00E629A1"/>
    <w:rsid w:val="00E63296"/>
    <w:rsid w:val="00E71591"/>
    <w:rsid w:val="00E75BDB"/>
    <w:rsid w:val="00E82C55"/>
    <w:rsid w:val="00E84D5F"/>
    <w:rsid w:val="00E86282"/>
    <w:rsid w:val="00E91DF9"/>
    <w:rsid w:val="00E92AC3"/>
    <w:rsid w:val="00E954C2"/>
    <w:rsid w:val="00EA33EF"/>
    <w:rsid w:val="00EA5DA7"/>
    <w:rsid w:val="00EB00E0"/>
    <w:rsid w:val="00EB1B4B"/>
    <w:rsid w:val="00EC059F"/>
    <w:rsid w:val="00EC1F24"/>
    <w:rsid w:val="00EC22F6"/>
    <w:rsid w:val="00ED5B9B"/>
    <w:rsid w:val="00ED6BAD"/>
    <w:rsid w:val="00ED7447"/>
    <w:rsid w:val="00EE1488"/>
    <w:rsid w:val="00EE4D5D"/>
    <w:rsid w:val="00EE5131"/>
    <w:rsid w:val="00EF109B"/>
    <w:rsid w:val="00EF36AF"/>
    <w:rsid w:val="00F005AF"/>
    <w:rsid w:val="00F00CC1"/>
    <w:rsid w:val="00F00F9C"/>
    <w:rsid w:val="00F01E5F"/>
    <w:rsid w:val="00F02ABA"/>
    <w:rsid w:val="00F0437A"/>
    <w:rsid w:val="00F04680"/>
    <w:rsid w:val="00F11037"/>
    <w:rsid w:val="00F14B51"/>
    <w:rsid w:val="00F1579E"/>
    <w:rsid w:val="00F16F1B"/>
    <w:rsid w:val="00F24D53"/>
    <w:rsid w:val="00F250A9"/>
    <w:rsid w:val="00F266B5"/>
    <w:rsid w:val="00F30FF4"/>
    <w:rsid w:val="00F3122E"/>
    <w:rsid w:val="00F331AD"/>
    <w:rsid w:val="00F35287"/>
    <w:rsid w:val="00F35909"/>
    <w:rsid w:val="00F36CC0"/>
    <w:rsid w:val="00F36D18"/>
    <w:rsid w:val="00F37BCE"/>
    <w:rsid w:val="00F43A37"/>
    <w:rsid w:val="00F4641B"/>
    <w:rsid w:val="00F46E7C"/>
    <w:rsid w:val="00F46EB8"/>
    <w:rsid w:val="00F511E4"/>
    <w:rsid w:val="00F52D09"/>
    <w:rsid w:val="00F52E08"/>
    <w:rsid w:val="00F53B32"/>
    <w:rsid w:val="00F55B21"/>
    <w:rsid w:val="00F56EF6"/>
    <w:rsid w:val="00F61A9F"/>
    <w:rsid w:val="00F62082"/>
    <w:rsid w:val="00F62B49"/>
    <w:rsid w:val="00F64264"/>
    <w:rsid w:val="00F64696"/>
    <w:rsid w:val="00F65AA9"/>
    <w:rsid w:val="00F6768F"/>
    <w:rsid w:val="00F72C2C"/>
    <w:rsid w:val="00F73F6A"/>
    <w:rsid w:val="00F76CAB"/>
    <w:rsid w:val="00F772C6"/>
    <w:rsid w:val="00F815B5"/>
    <w:rsid w:val="00F85195"/>
    <w:rsid w:val="00F85F62"/>
    <w:rsid w:val="00F938BA"/>
    <w:rsid w:val="00FA2C46"/>
    <w:rsid w:val="00FA3525"/>
    <w:rsid w:val="00FB2ADE"/>
    <w:rsid w:val="00FB4CDA"/>
    <w:rsid w:val="00FB7595"/>
    <w:rsid w:val="00FC0F81"/>
    <w:rsid w:val="00FC1943"/>
    <w:rsid w:val="00FC395C"/>
    <w:rsid w:val="00FC5FBF"/>
    <w:rsid w:val="00FD3766"/>
    <w:rsid w:val="00FD3DDD"/>
    <w:rsid w:val="00FD47C4"/>
    <w:rsid w:val="00FE0E52"/>
    <w:rsid w:val="00FE2DCF"/>
    <w:rsid w:val="00FF02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5AC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62082"/>
    <w:rPr>
      <w:rFonts w:ascii="Calibri" w:eastAsiaTheme="minorHAnsi" w:hAnsi="Calibri" w:cs="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1053D"/>
    <w:pPr>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D26BDB"/>
    <w:rPr>
      <w:color w:val="605E5C"/>
      <w:shd w:val="clear" w:color="auto" w:fill="E1DFDD"/>
    </w:rPr>
  </w:style>
  <w:style w:type="paragraph" w:styleId="ListParagraph">
    <w:name w:val="List Paragraph"/>
    <w:basedOn w:val="Normal"/>
    <w:uiPriority w:val="34"/>
    <w:qFormat/>
    <w:rsid w:val="00405E26"/>
    <w:pPr>
      <w:ind w:left="720"/>
      <w:contextualSpacing/>
    </w:pPr>
  </w:style>
  <w:style w:type="paragraph" w:styleId="BalloonText">
    <w:name w:val="Balloon Text"/>
    <w:basedOn w:val="Normal"/>
    <w:link w:val="BalloonTextChar"/>
    <w:uiPriority w:val="99"/>
    <w:semiHidden/>
    <w:unhideWhenUsed/>
    <w:rsid w:val="00654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5C"/>
    <w:rPr>
      <w:rFonts w:ascii="Segoe UI" w:eastAsiaTheme="minorHAnsi" w:hAnsi="Segoe UI" w:cs="Segoe UI"/>
      <w:sz w:val="18"/>
      <w:szCs w:val="18"/>
      <w:lang w:eastAsia="en-US"/>
    </w:rPr>
  </w:style>
  <w:style w:type="paragraph" w:customStyle="1" w:styleId="Default">
    <w:name w:val="Default"/>
    <w:basedOn w:val="Normal"/>
    <w:rsid w:val="0074689B"/>
    <w:pPr>
      <w:autoSpaceDE w:val="0"/>
      <w:autoSpaceDN w:val="0"/>
    </w:pPr>
    <w:rPr>
      <w:rFonts w:ascii="Arial" w:hAnsi="Arial" w:cs="Arial"/>
      <w:color w:val="000000"/>
      <w:sz w:val="24"/>
      <w:szCs w:val="24"/>
      <w:lang w:eastAsia="en-AU"/>
    </w:rPr>
  </w:style>
  <w:style w:type="character" w:customStyle="1" w:styleId="FooterChar">
    <w:name w:val="Footer Char"/>
    <w:basedOn w:val="DefaultParagraphFont"/>
    <w:link w:val="Footer"/>
    <w:uiPriority w:val="99"/>
    <w:rsid w:val="00AA05B7"/>
    <w:rPr>
      <w:rFonts w:ascii="Arial" w:hAnsi="Arial" w:cs="Arial"/>
      <w:sz w:val="18"/>
      <w:szCs w:val="18"/>
      <w:lang w:eastAsia="en-US"/>
    </w:rPr>
  </w:style>
  <w:style w:type="character" w:customStyle="1" w:styleId="HeaderChar">
    <w:name w:val="Header Char"/>
    <w:basedOn w:val="DefaultParagraphFont"/>
    <w:link w:val="Header"/>
    <w:uiPriority w:val="99"/>
    <w:rsid w:val="00AA05B7"/>
    <w:rPr>
      <w:rFonts w:ascii="Arial" w:hAnsi="Arial" w:cs="Arial"/>
      <w:sz w:val="18"/>
      <w:szCs w:val="18"/>
      <w:lang w:eastAsia="en-US"/>
    </w:rPr>
  </w:style>
  <w:style w:type="character" w:customStyle="1" w:styleId="DHHSbodyChar">
    <w:name w:val="DHHS body Char"/>
    <w:link w:val="DHHSbody"/>
    <w:locked/>
    <w:rsid w:val="00D13289"/>
    <w:rPr>
      <w:rFonts w:ascii="Arial" w:eastAsia="Times" w:hAnsi="Arial"/>
      <w:lang w:eastAsia="en-US"/>
    </w:rPr>
  </w:style>
  <w:style w:type="character" w:styleId="CommentReference">
    <w:name w:val="annotation reference"/>
    <w:basedOn w:val="DefaultParagraphFont"/>
    <w:uiPriority w:val="99"/>
    <w:semiHidden/>
    <w:unhideWhenUsed/>
    <w:rsid w:val="00CC377E"/>
    <w:rPr>
      <w:sz w:val="16"/>
      <w:szCs w:val="16"/>
    </w:rPr>
  </w:style>
  <w:style w:type="paragraph" w:styleId="CommentText">
    <w:name w:val="annotation text"/>
    <w:basedOn w:val="Normal"/>
    <w:link w:val="CommentTextChar"/>
    <w:uiPriority w:val="99"/>
    <w:semiHidden/>
    <w:unhideWhenUsed/>
    <w:rsid w:val="00CC377E"/>
    <w:rPr>
      <w:sz w:val="20"/>
      <w:szCs w:val="20"/>
    </w:rPr>
  </w:style>
  <w:style w:type="character" w:customStyle="1" w:styleId="CommentTextChar">
    <w:name w:val="Comment Text Char"/>
    <w:basedOn w:val="DefaultParagraphFont"/>
    <w:link w:val="CommentText"/>
    <w:uiPriority w:val="99"/>
    <w:semiHidden/>
    <w:rsid w:val="00CC377E"/>
    <w:rPr>
      <w:rFonts w:ascii="Calibri" w:eastAsiaTheme="minorHAnsi" w:hAnsi="Calibri" w:cs="Calibri"/>
      <w:lang w:eastAsia="en-US"/>
    </w:rPr>
  </w:style>
  <w:style w:type="paragraph" w:styleId="CommentSubject">
    <w:name w:val="annotation subject"/>
    <w:basedOn w:val="CommentText"/>
    <w:next w:val="CommentText"/>
    <w:link w:val="CommentSubjectChar"/>
    <w:uiPriority w:val="99"/>
    <w:semiHidden/>
    <w:unhideWhenUsed/>
    <w:rsid w:val="00CC377E"/>
    <w:rPr>
      <w:b/>
      <w:bCs/>
    </w:rPr>
  </w:style>
  <w:style w:type="character" w:customStyle="1" w:styleId="CommentSubjectChar">
    <w:name w:val="Comment Subject Char"/>
    <w:basedOn w:val="CommentTextChar"/>
    <w:link w:val="CommentSubject"/>
    <w:uiPriority w:val="99"/>
    <w:semiHidden/>
    <w:rsid w:val="00CC377E"/>
    <w:rPr>
      <w:rFonts w:ascii="Calibri" w:eastAsiaTheme="minorHAnsi" w:hAnsi="Calibri" w:cs="Calibri"/>
      <w:b/>
      <w:bCs/>
      <w:lang w:eastAsia="en-US"/>
    </w:rPr>
  </w:style>
  <w:style w:type="paragraph" w:styleId="Revision">
    <w:name w:val="Revision"/>
    <w:hidden/>
    <w:uiPriority w:val="71"/>
    <w:rsid w:val="005828E8"/>
    <w:rPr>
      <w:rFonts w:ascii="Calibri" w:eastAsiaTheme="minorHAnsi" w:hAnsi="Calibri" w:cs="Calibri"/>
      <w:sz w:val="22"/>
      <w:szCs w:val="22"/>
      <w:lang w:eastAsia="en-US"/>
    </w:rPr>
  </w:style>
  <w:style w:type="paragraph" w:customStyle="1" w:styleId="xmsonormal">
    <w:name w:val="x_msonormal"/>
    <w:basedOn w:val="Normal"/>
    <w:rsid w:val="00051C66"/>
    <w:rPr>
      <w:lang w:eastAsia="en-AU"/>
    </w:rPr>
  </w:style>
  <w:style w:type="character" w:customStyle="1" w:styleId="xnormaltextrun">
    <w:name w:val="x_normaltextrun"/>
    <w:basedOn w:val="DefaultParagraphFont"/>
    <w:rsid w:val="00051C66"/>
  </w:style>
  <w:style w:type="paragraph" w:customStyle="1" w:styleId="xdhhsbody">
    <w:name w:val="x_dhhsbody"/>
    <w:basedOn w:val="Normal"/>
    <w:rsid w:val="00051C66"/>
    <w:pPr>
      <w:spacing w:after="120" w:line="270" w:lineRule="atLeast"/>
    </w:pPr>
    <w:rPr>
      <w:rFonts w:ascii="Arial" w:hAnsi="Arial" w:cs="Arial"/>
      <w:sz w:val="20"/>
      <w:szCs w:val="20"/>
      <w:lang w:eastAsia="en-AU"/>
    </w:rPr>
  </w:style>
  <w:style w:type="character" w:customStyle="1" w:styleId="IMSTemplatecontentChar1">
    <w:name w:val="IMS Template content Char1"/>
    <w:basedOn w:val="DefaultParagraphFont"/>
    <w:link w:val="IMSTemplatecontent"/>
    <w:locked/>
    <w:rsid w:val="004F3702"/>
    <w:rPr>
      <w:rFonts w:ascii="Verdana" w:hAnsi="Verdana"/>
    </w:rPr>
  </w:style>
  <w:style w:type="paragraph" w:customStyle="1" w:styleId="IMSTemplatecontent">
    <w:name w:val="IMS Template content"/>
    <w:basedOn w:val="Normal"/>
    <w:link w:val="IMSTemplatecontentChar1"/>
    <w:rsid w:val="004F3702"/>
    <w:pPr>
      <w:spacing w:before="40" w:after="40"/>
    </w:pPr>
    <w:rPr>
      <w:rFonts w:ascii="Verdana" w:eastAsia="Times New Roman" w:hAnsi="Verdana" w:cs="Times New Roman"/>
      <w:sz w:val="20"/>
      <w:szCs w:val="20"/>
      <w:lang w:eastAsia="en-AU"/>
    </w:rPr>
  </w:style>
  <w:style w:type="character" w:customStyle="1" w:styleId="normaltextrun">
    <w:name w:val="normaltextrun"/>
    <w:basedOn w:val="DefaultParagraphFont"/>
    <w:rsid w:val="0078550D"/>
  </w:style>
  <w:style w:type="paragraph" w:styleId="Caption">
    <w:name w:val="caption"/>
    <w:basedOn w:val="Normal"/>
    <w:next w:val="Normal"/>
    <w:uiPriority w:val="35"/>
    <w:unhideWhenUsed/>
    <w:qFormat/>
    <w:rsid w:val="00F24D53"/>
    <w:pPr>
      <w:spacing w:after="200"/>
    </w:pPr>
    <w:rPr>
      <w:rFonts w:ascii="Cambria" w:eastAsia="Times New Roman" w:hAnsi="Cambria"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1602">
      <w:bodyDiv w:val="1"/>
      <w:marLeft w:val="0"/>
      <w:marRight w:val="0"/>
      <w:marTop w:val="0"/>
      <w:marBottom w:val="0"/>
      <w:divBdr>
        <w:top w:val="none" w:sz="0" w:space="0" w:color="auto"/>
        <w:left w:val="none" w:sz="0" w:space="0" w:color="auto"/>
        <w:bottom w:val="none" w:sz="0" w:space="0" w:color="auto"/>
        <w:right w:val="none" w:sz="0" w:space="0" w:color="auto"/>
      </w:divBdr>
    </w:div>
    <w:div w:id="169226271">
      <w:bodyDiv w:val="1"/>
      <w:marLeft w:val="0"/>
      <w:marRight w:val="0"/>
      <w:marTop w:val="0"/>
      <w:marBottom w:val="0"/>
      <w:divBdr>
        <w:top w:val="none" w:sz="0" w:space="0" w:color="auto"/>
        <w:left w:val="none" w:sz="0" w:space="0" w:color="auto"/>
        <w:bottom w:val="none" w:sz="0" w:space="0" w:color="auto"/>
        <w:right w:val="none" w:sz="0" w:space="0" w:color="auto"/>
      </w:divBdr>
    </w:div>
    <w:div w:id="549927343">
      <w:bodyDiv w:val="1"/>
      <w:marLeft w:val="0"/>
      <w:marRight w:val="0"/>
      <w:marTop w:val="0"/>
      <w:marBottom w:val="0"/>
      <w:divBdr>
        <w:top w:val="none" w:sz="0" w:space="0" w:color="auto"/>
        <w:left w:val="none" w:sz="0" w:space="0" w:color="auto"/>
        <w:bottom w:val="none" w:sz="0" w:space="0" w:color="auto"/>
        <w:right w:val="none" w:sz="0" w:space="0" w:color="auto"/>
      </w:divBdr>
    </w:div>
    <w:div w:id="591090118">
      <w:bodyDiv w:val="1"/>
      <w:marLeft w:val="0"/>
      <w:marRight w:val="0"/>
      <w:marTop w:val="0"/>
      <w:marBottom w:val="0"/>
      <w:divBdr>
        <w:top w:val="none" w:sz="0" w:space="0" w:color="auto"/>
        <w:left w:val="none" w:sz="0" w:space="0" w:color="auto"/>
        <w:bottom w:val="none" w:sz="0" w:space="0" w:color="auto"/>
        <w:right w:val="none" w:sz="0" w:space="0" w:color="auto"/>
      </w:divBdr>
    </w:div>
    <w:div w:id="771248261">
      <w:bodyDiv w:val="1"/>
      <w:marLeft w:val="0"/>
      <w:marRight w:val="0"/>
      <w:marTop w:val="0"/>
      <w:marBottom w:val="0"/>
      <w:divBdr>
        <w:top w:val="none" w:sz="0" w:space="0" w:color="auto"/>
        <w:left w:val="none" w:sz="0" w:space="0" w:color="auto"/>
        <w:bottom w:val="none" w:sz="0" w:space="0" w:color="auto"/>
        <w:right w:val="none" w:sz="0" w:space="0" w:color="auto"/>
      </w:divBdr>
    </w:div>
    <w:div w:id="852837364">
      <w:bodyDiv w:val="1"/>
      <w:marLeft w:val="0"/>
      <w:marRight w:val="0"/>
      <w:marTop w:val="0"/>
      <w:marBottom w:val="0"/>
      <w:divBdr>
        <w:top w:val="none" w:sz="0" w:space="0" w:color="auto"/>
        <w:left w:val="none" w:sz="0" w:space="0" w:color="auto"/>
        <w:bottom w:val="none" w:sz="0" w:space="0" w:color="auto"/>
        <w:right w:val="none" w:sz="0" w:space="0" w:color="auto"/>
      </w:divBdr>
    </w:div>
    <w:div w:id="993727178">
      <w:bodyDiv w:val="1"/>
      <w:marLeft w:val="0"/>
      <w:marRight w:val="0"/>
      <w:marTop w:val="0"/>
      <w:marBottom w:val="0"/>
      <w:divBdr>
        <w:top w:val="none" w:sz="0" w:space="0" w:color="auto"/>
        <w:left w:val="none" w:sz="0" w:space="0" w:color="auto"/>
        <w:bottom w:val="none" w:sz="0" w:space="0" w:color="auto"/>
        <w:right w:val="none" w:sz="0" w:space="0" w:color="auto"/>
      </w:divBdr>
    </w:div>
    <w:div w:id="107728244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166435208">
      <w:bodyDiv w:val="1"/>
      <w:marLeft w:val="0"/>
      <w:marRight w:val="0"/>
      <w:marTop w:val="0"/>
      <w:marBottom w:val="0"/>
      <w:divBdr>
        <w:top w:val="none" w:sz="0" w:space="0" w:color="auto"/>
        <w:left w:val="none" w:sz="0" w:space="0" w:color="auto"/>
        <w:bottom w:val="none" w:sz="0" w:space="0" w:color="auto"/>
        <w:right w:val="none" w:sz="0" w:space="0" w:color="auto"/>
      </w:divBdr>
    </w:div>
    <w:div w:id="1181772934">
      <w:bodyDiv w:val="1"/>
      <w:marLeft w:val="0"/>
      <w:marRight w:val="0"/>
      <w:marTop w:val="0"/>
      <w:marBottom w:val="0"/>
      <w:divBdr>
        <w:top w:val="none" w:sz="0" w:space="0" w:color="auto"/>
        <w:left w:val="none" w:sz="0" w:space="0" w:color="auto"/>
        <w:bottom w:val="none" w:sz="0" w:space="0" w:color="auto"/>
        <w:right w:val="none" w:sz="0" w:space="0" w:color="auto"/>
      </w:divBdr>
    </w:div>
    <w:div w:id="1352956868">
      <w:bodyDiv w:val="1"/>
      <w:marLeft w:val="0"/>
      <w:marRight w:val="0"/>
      <w:marTop w:val="0"/>
      <w:marBottom w:val="0"/>
      <w:divBdr>
        <w:top w:val="none" w:sz="0" w:space="0" w:color="auto"/>
        <w:left w:val="none" w:sz="0" w:space="0" w:color="auto"/>
        <w:bottom w:val="none" w:sz="0" w:space="0" w:color="auto"/>
        <w:right w:val="none" w:sz="0" w:space="0" w:color="auto"/>
      </w:divBdr>
    </w:div>
    <w:div w:id="136459873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615265">
      <w:bodyDiv w:val="1"/>
      <w:marLeft w:val="0"/>
      <w:marRight w:val="0"/>
      <w:marTop w:val="0"/>
      <w:marBottom w:val="0"/>
      <w:divBdr>
        <w:top w:val="none" w:sz="0" w:space="0" w:color="auto"/>
        <w:left w:val="none" w:sz="0" w:space="0" w:color="auto"/>
        <w:bottom w:val="none" w:sz="0" w:space="0" w:color="auto"/>
        <w:right w:val="none" w:sz="0" w:space="0" w:color="auto"/>
      </w:divBdr>
    </w:div>
    <w:div w:id="1427263077">
      <w:bodyDiv w:val="1"/>
      <w:marLeft w:val="0"/>
      <w:marRight w:val="0"/>
      <w:marTop w:val="0"/>
      <w:marBottom w:val="0"/>
      <w:divBdr>
        <w:top w:val="none" w:sz="0" w:space="0" w:color="auto"/>
        <w:left w:val="none" w:sz="0" w:space="0" w:color="auto"/>
        <w:bottom w:val="none" w:sz="0" w:space="0" w:color="auto"/>
        <w:right w:val="none" w:sz="0" w:space="0" w:color="auto"/>
      </w:divBdr>
    </w:div>
    <w:div w:id="1692684126">
      <w:bodyDiv w:val="1"/>
      <w:marLeft w:val="0"/>
      <w:marRight w:val="0"/>
      <w:marTop w:val="0"/>
      <w:marBottom w:val="0"/>
      <w:divBdr>
        <w:top w:val="none" w:sz="0" w:space="0" w:color="auto"/>
        <w:left w:val="none" w:sz="0" w:space="0" w:color="auto"/>
        <w:bottom w:val="none" w:sz="0" w:space="0" w:color="auto"/>
        <w:right w:val="none" w:sz="0" w:space="0" w:color="auto"/>
      </w:divBdr>
    </w:div>
    <w:div w:id="1697266675">
      <w:bodyDiv w:val="1"/>
      <w:marLeft w:val="0"/>
      <w:marRight w:val="0"/>
      <w:marTop w:val="0"/>
      <w:marBottom w:val="0"/>
      <w:divBdr>
        <w:top w:val="none" w:sz="0" w:space="0" w:color="auto"/>
        <w:left w:val="none" w:sz="0" w:space="0" w:color="auto"/>
        <w:bottom w:val="none" w:sz="0" w:space="0" w:color="auto"/>
        <w:right w:val="none" w:sz="0" w:space="0" w:color="auto"/>
      </w:divBdr>
    </w:div>
    <w:div w:id="1806966820">
      <w:bodyDiv w:val="1"/>
      <w:marLeft w:val="0"/>
      <w:marRight w:val="0"/>
      <w:marTop w:val="0"/>
      <w:marBottom w:val="0"/>
      <w:divBdr>
        <w:top w:val="none" w:sz="0" w:space="0" w:color="auto"/>
        <w:left w:val="none" w:sz="0" w:space="0" w:color="auto"/>
        <w:bottom w:val="none" w:sz="0" w:space="0" w:color="auto"/>
        <w:right w:val="none" w:sz="0" w:space="0" w:color="auto"/>
      </w:divBdr>
    </w:div>
    <w:div w:id="1818453154">
      <w:bodyDiv w:val="1"/>
      <w:marLeft w:val="0"/>
      <w:marRight w:val="0"/>
      <w:marTop w:val="0"/>
      <w:marBottom w:val="0"/>
      <w:divBdr>
        <w:top w:val="none" w:sz="0" w:space="0" w:color="auto"/>
        <w:left w:val="none" w:sz="0" w:space="0" w:color="auto"/>
        <w:bottom w:val="none" w:sz="0" w:space="0" w:color="auto"/>
        <w:right w:val="none" w:sz="0" w:space="0" w:color="auto"/>
      </w:divBdr>
    </w:div>
    <w:div w:id="185213973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alcohol-and-drugs/funding-and-reporting-aod-services/reporting-for-aod-services/data-collection/2019-20-vadc-documentatio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vahi.freshdesk.com/support/ho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alcohol-and-drugs/funding-and-reporting-aod-services/data-collectio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AOD.Enquiries@dhhs.vic.gov.au" TargetMode="External"/><Relationship Id="rId20" Type="http://schemas.openxmlformats.org/officeDocument/2006/relationships/hyperlink" Target="mailto:VADC_data@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2.health.vic.gov.au/alcohol-and-drugs/funding-and-reporting-aod-services/data-collection" TargetMode="External"/><Relationship Id="rId5" Type="http://schemas.openxmlformats.org/officeDocument/2006/relationships/webSettings" Target="webSettings.xml"/><Relationship Id="rId15" Type="http://schemas.openxmlformats.org/officeDocument/2006/relationships/hyperlink" Target="mailto:VADC_data@dhhs.vic.gov.au" TargetMode="External"/><Relationship Id="rId23" Type="http://schemas.openxmlformats.org/officeDocument/2006/relationships/hyperlink" Target="mailto:vadc_data@dhhs.vic.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2.health.vic.gov.au/alcohol-and-drugs/funding-and-reporting-aod-services/reporting-for-aod-services/data-collection/annual-chan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od.enquiries@dhhs.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802F-9D70-489C-87E1-B107368C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VADC 1819 Bulletin- Edition 8</vt:lpstr>
    </vt:vector>
  </TitlesOfParts>
  <Manager/>
  <Company/>
  <LinksUpToDate>false</LinksUpToDate>
  <CharactersWithSpaces>11946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1819 Bulletin- Edition 8</dc:title>
  <dc:subject>VADC 1819 Bulletin- Edition 8</dc:subject>
  <dc:creator/>
  <cp:keywords>Bulletin, VADC, 2018-19</cp:keywords>
  <cp:lastModifiedBy/>
  <cp:revision>1</cp:revision>
  <dcterms:created xsi:type="dcterms:W3CDTF">2020-07-25T01:14:00Z</dcterms:created>
  <dcterms:modified xsi:type="dcterms:W3CDTF">2020-07-25T01:14:00Z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iteId">
    <vt:lpwstr>c0e0601f-0fac-449c-9c88-a104c4eb9f28</vt:lpwstr>
  </property>
  <property fmtid="{D5CDD505-2E9C-101B-9397-08002B2CF9AE}" pid="4" name="MSIP_Label_3d6aa9fe-4ab7-4a7c-8e39-ccc0b3ffed53_Owner">
    <vt:lpwstr>Yelena.OSullivan@dhhs.vic.gov.au</vt:lpwstr>
  </property>
  <property fmtid="{D5CDD505-2E9C-101B-9397-08002B2CF9AE}" pid="5" name="MSIP_Label_3d6aa9fe-4ab7-4a7c-8e39-ccc0b3ffed53_SetDate">
    <vt:lpwstr>2020-03-24T01:43:24.1995378Z</vt:lpwstr>
  </property>
  <property fmtid="{D5CDD505-2E9C-101B-9397-08002B2CF9AE}" pid="6" name="MSIP_Label_3d6aa9fe-4ab7-4a7c-8e39-ccc0b3ffed53_Name">
    <vt:lpwstr>UNOFFICIAL</vt:lpwstr>
  </property>
  <property fmtid="{D5CDD505-2E9C-101B-9397-08002B2CF9AE}" pid="7" name="MSIP_Label_3d6aa9fe-4ab7-4a7c-8e39-ccc0b3ffed53_Application">
    <vt:lpwstr>Microsoft Azure Information Protection</vt:lpwstr>
  </property>
  <property fmtid="{D5CDD505-2E9C-101B-9397-08002B2CF9AE}" pid="8" name="MSIP_Label_3d6aa9fe-4ab7-4a7c-8e39-ccc0b3ffed53_ActionId">
    <vt:lpwstr>72a3dfb6-62e2-4172-8408-f3538a922721</vt:lpwstr>
  </property>
  <property fmtid="{D5CDD505-2E9C-101B-9397-08002B2CF9AE}" pid="9" name="MSIP_Label_3d6aa9fe-4ab7-4a7c-8e39-ccc0b3ffed53_Extended_MSFT_Method">
    <vt:lpwstr>Manual</vt:lpwstr>
  </property>
  <property fmtid="{D5CDD505-2E9C-101B-9397-08002B2CF9AE}" pid="10" name="Sensitivity">
    <vt:lpwstr>UNOFFICIAL</vt:lpwstr>
  </property>
</Properties>
</file>