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6AFC" w14:textId="77777777" w:rsidR="0074696E" w:rsidRPr="004C6EEE" w:rsidRDefault="00367D8D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17CE40E1" wp14:editId="5E9BB3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D0DA1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even" r:id="rId9"/>
          <w:footerReference w:type="default" r:id="rId10"/>
          <w:footerReference w:type="first" r:id="rId11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056B4085" w14:textId="77777777" w:rsidTr="001C277E">
        <w:trPr>
          <w:trHeight w:val="1247"/>
        </w:trPr>
        <w:tc>
          <w:tcPr>
            <w:tcW w:w="8046" w:type="dxa"/>
            <w:vAlign w:val="bottom"/>
          </w:tcPr>
          <w:p w14:paraId="0500A94A" w14:textId="77777777" w:rsidR="00AD784C" w:rsidRPr="00161AA0" w:rsidRDefault="00255C73" w:rsidP="00255C73">
            <w:pPr>
              <w:pStyle w:val="DHHSmainheading"/>
            </w:pPr>
            <w:r w:rsidRPr="00255C73">
              <w:rPr>
                <w:sz w:val="44"/>
              </w:rPr>
              <w:t>A s</w:t>
            </w:r>
            <w:r w:rsidR="00932DD3" w:rsidRPr="00255C73">
              <w:rPr>
                <w:sz w:val="44"/>
              </w:rPr>
              <w:t xml:space="preserve">ummary of the </w:t>
            </w:r>
            <w:r w:rsidR="00512602" w:rsidRPr="00255C73">
              <w:rPr>
                <w:sz w:val="44"/>
              </w:rPr>
              <w:t>Medical Treatment Planning and Decisions Act 2016</w:t>
            </w:r>
          </w:p>
        </w:tc>
      </w:tr>
      <w:tr w:rsidR="00AD784C" w14:paraId="7F946111" w14:textId="77777777" w:rsidTr="00357B4E">
        <w:trPr>
          <w:trHeight w:hRule="exact" w:val="1162"/>
        </w:trPr>
        <w:tc>
          <w:tcPr>
            <w:tcW w:w="8046" w:type="dxa"/>
            <w:tcMar>
              <w:top w:w="170" w:type="dxa"/>
              <w:bottom w:w="510" w:type="dxa"/>
            </w:tcMar>
          </w:tcPr>
          <w:p w14:paraId="7E96F079" w14:textId="72FF9D72" w:rsidR="00357B4E" w:rsidRPr="00AD784C" w:rsidRDefault="00932DD3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For health practitioners</w:t>
            </w:r>
            <w:r w:rsidR="00393D9A">
              <w:rPr>
                <w:szCs w:val="28"/>
              </w:rPr>
              <w:t xml:space="preserve"> (</w:t>
            </w:r>
            <w:r w:rsidR="00F25283">
              <w:rPr>
                <w:szCs w:val="28"/>
              </w:rPr>
              <w:t>2n</w:t>
            </w:r>
            <w:r w:rsidR="00393D9A">
              <w:rPr>
                <w:szCs w:val="28"/>
              </w:rPr>
              <w:t>d</w:t>
            </w:r>
            <w:r w:rsidR="00825B04">
              <w:rPr>
                <w:szCs w:val="28"/>
              </w:rPr>
              <w:t xml:space="preserve"> edition</w:t>
            </w:r>
            <w:r w:rsidR="00F25283">
              <w:rPr>
                <w:szCs w:val="28"/>
              </w:rPr>
              <w:t>, revised</w:t>
            </w:r>
            <w:r w:rsidR="00825B04">
              <w:rPr>
                <w:szCs w:val="28"/>
              </w:rPr>
              <w:t>)</w:t>
            </w:r>
          </w:p>
        </w:tc>
      </w:tr>
    </w:tbl>
    <w:p w14:paraId="7A5CC6FA" w14:textId="77777777" w:rsidR="007173CA" w:rsidRPr="00E80673" w:rsidRDefault="007173CA" w:rsidP="007173CA">
      <w:pPr>
        <w:pStyle w:val="DHHSbody"/>
        <w:rPr>
          <w:sz w:val="16"/>
        </w:rPr>
        <w:sectPr w:rsidR="007173CA" w:rsidRPr="00E80673" w:rsidSect="00F01E5F">
          <w:headerReference w:type="default" r:id="rId12"/>
          <w:footerReference w:type="default" r:id="rId13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544A641F" w14:textId="77777777" w:rsidR="00512602" w:rsidRPr="00404F06" w:rsidRDefault="00512602" w:rsidP="00512602">
      <w:pPr>
        <w:pStyle w:val="DHHSbody"/>
        <w:rPr>
          <w:szCs w:val="28"/>
        </w:rPr>
      </w:pPr>
      <w:r w:rsidRPr="00404F06">
        <w:rPr>
          <w:szCs w:val="28"/>
        </w:rPr>
        <w:t xml:space="preserve">The </w:t>
      </w:r>
      <w:r w:rsidRPr="00404F06">
        <w:rPr>
          <w:b/>
          <w:i/>
          <w:szCs w:val="28"/>
        </w:rPr>
        <w:t>Medical Treatment Planning and Decisions Act 2016</w:t>
      </w:r>
      <w:r w:rsidRPr="00404F06">
        <w:rPr>
          <w:szCs w:val="28"/>
        </w:rPr>
        <w:t xml:space="preserve"> provides a framework for making</w:t>
      </w:r>
      <w:r w:rsidR="00B72301">
        <w:rPr>
          <w:szCs w:val="28"/>
        </w:rPr>
        <w:t xml:space="preserve"> medical treatment</w:t>
      </w:r>
      <w:r w:rsidRPr="00404F06">
        <w:rPr>
          <w:szCs w:val="28"/>
        </w:rPr>
        <w:t xml:space="preserve"> decisions when people do not have capacity to make their own decisions. </w:t>
      </w:r>
    </w:p>
    <w:p w14:paraId="44EFEA7A" w14:textId="77777777" w:rsidR="00512602" w:rsidRDefault="00512602" w:rsidP="00512602">
      <w:pPr>
        <w:pStyle w:val="DHHSbody"/>
      </w:pPr>
      <w:r>
        <w:t xml:space="preserve">The Act is part of a broader shift towards empowering </w:t>
      </w:r>
      <w:r w:rsidR="002A07A9">
        <w:t xml:space="preserve">and supporting </w:t>
      </w:r>
      <w:r>
        <w:t xml:space="preserve">people to make their own treatment decisions. </w:t>
      </w:r>
    </w:p>
    <w:p w14:paraId="430335C5" w14:textId="77777777" w:rsidR="00512602" w:rsidRDefault="00512602" w:rsidP="00AC20E1">
      <w:pPr>
        <w:pStyle w:val="Heading1"/>
      </w:pPr>
      <w:r>
        <w:t>Decision-</w:t>
      </w:r>
      <w:r w:rsidRPr="00AC20E1">
        <w:t>making</w:t>
      </w:r>
      <w:r>
        <w:t xml:space="preserve"> capacity</w:t>
      </w:r>
    </w:p>
    <w:p w14:paraId="6D328C2C" w14:textId="77777777" w:rsidR="00512602" w:rsidRDefault="00512602" w:rsidP="00512602">
      <w:pPr>
        <w:pStyle w:val="DHHSbody"/>
      </w:pPr>
      <w:r>
        <w:t>An adult is presumed to have decision-making capacity. To have decision-making capacity a person must be able t</w:t>
      </w:r>
      <w:r w:rsidR="005E7A74">
        <w:t xml:space="preserve">o do </w:t>
      </w:r>
      <w:proofErr w:type="gramStart"/>
      <w:r w:rsidR="005E7A74">
        <w:t>all of</w:t>
      </w:r>
      <w:proofErr w:type="gramEnd"/>
      <w:r w:rsidR="005E7A74">
        <w:t xml:space="preserve"> the following:</w:t>
      </w:r>
    </w:p>
    <w:p w14:paraId="47386A5F" w14:textId="77777777" w:rsidR="00512602" w:rsidRDefault="00512602" w:rsidP="00512602">
      <w:pPr>
        <w:pStyle w:val="DHHSbullet1"/>
        <w:numPr>
          <w:ilvl w:val="0"/>
          <w:numId w:val="1"/>
        </w:numPr>
      </w:pPr>
      <w:r>
        <w:t>understand the information relevant to the decision and the effect of the decision</w:t>
      </w:r>
    </w:p>
    <w:p w14:paraId="5A55980D" w14:textId="77777777" w:rsidR="00512602" w:rsidRDefault="00512602" w:rsidP="00512602">
      <w:pPr>
        <w:pStyle w:val="DHHSbullet1"/>
        <w:numPr>
          <w:ilvl w:val="0"/>
          <w:numId w:val="1"/>
        </w:numPr>
      </w:pPr>
      <w:r>
        <w:t>retain that information to the extent necessary to make the decision</w:t>
      </w:r>
    </w:p>
    <w:p w14:paraId="20B706E3" w14:textId="77777777" w:rsidR="00512602" w:rsidRDefault="00512602" w:rsidP="00512602">
      <w:pPr>
        <w:pStyle w:val="DHHSbullet1"/>
        <w:numPr>
          <w:ilvl w:val="0"/>
          <w:numId w:val="1"/>
        </w:numPr>
      </w:pPr>
      <w:r>
        <w:t>use or weigh that information as part of the process of making the decision</w:t>
      </w:r>
    </w:p>
    <w:p w14:paraId="288FF5FA" w14:textId="77777777" w:rsidR="00512602" w:rsidRDefault="00512602" w:rsidP="00512602">
      <w:pPr>
        <w:pStyle w:val="DHHSbullet1"/>
        <w:numPr>
          <w:ilvl w:val="0"/>
          <w:numId w:val="1"/>
        </w:numPr>
      </w:pPr>
      <w:r>
        <w:t xml:space="preserve">communicate the decision and the person’s views and needs as to the decision in some way, including by speech, gestures or other means. </w:t>
      </w:r>
    </w:p>
    <w:p w14:paraId="35DC448C" w14:textId="77777777" w:rsidR="00512602" w:rsidRDefault="00512602" w:rsidP="00512602">
      <w:pPr>
        <w:pStyle w:val="Heading1"/>
      </w:pPr>
      <w:r>
        <w:t>Advance care directive</w:t>
      </w:r>
    </w:p>
    <w:p w14:paraId="5E3E88B2" w14:textId="77777777" w:rsidR="00FD6087" w:rsidRDefault="00512602" w:rsidP="00FD6087">
      <w:pPr>
        <w:pStyle w:val="DHHSbody"/>
      </w:pPr>
      <w:r>
        <w:t xml:space="preserve">A person may only create an advance care directive if they have decision-making capacity in relation to each statement in their advance care directive. </w:t>
      </w:r>
      <w:r w:rsidR="00FD6087">
        <w:t>An advance care directive must be witnessed by two adults, one of whom is a medical practitioner.</w:t>
      </w:r>
    </w:p>
    <w:p w14:paraId="200F0CB4" w14:textId="77777777" w:rsidR="00512602" w:rsidRDefault="00512602" w:rsidP="00512602">
      <w:pPr>
        <w:pStyle w:val="DHHSbody"/>
      </w:pPr>
      <w:r>
        <w:t>There are two forms of statement a person may include in their advance care directive:</w:t>
      </w:r>
    </w:p>
    <w:p w14:paraId="7C67086A" w14:textId="77777777" w:rsidR="00512602" w:rsidRDefault="00512602" w:rsidP="00FD6087">
      <w:pPr>
        <w:pStyle w:val="DHHSbullet1"/>
      </w:pPr>
      <w:r>
        <w:t>an instructional directive</w:t>
      </w:r>
    </w:p>
    <w:p w14:paraId="17BABF19" w14:textId="77777777" w:rsidR="0029154D" w:rsidRDefault="00512602" w:rsidP="00F84EA9">
      <w:pPr>
        <w:pStyle w:val="DHHSbullet1"/>
      </w:pPr>
      <w:r>
        <w:t xml:space="preserve">a values directive. </w:t>
      </w:r>
    </w:p>
    <w:p w14:paraId="7241EDD5" w14:textId="77777777" w:rsidR="00512602" w:rsidRDefault="00512602" w:rsidP="00FD6087">
      <w:pPr>
        <w:pStyle w:val="Heading2"/>
      </w:pPr>
      <w:r>
        <w:t>I</w:t>
      </w:r>
      <w:r w:rsidRPr="00512602">
        <w:t>nstructional directive</w:t>
      </w:r>
    </w:p>
    <w:p w14:paraId="664DF6B8" w14:textId="77777777" w:rsidR="00512602" w:rsidRDefault="00512602" w:rsidP="00824E55">
      <w:pPr>
        <w:pStyle w:val="DHHSbody"/>
      </w:pPr>
      <w:r>
        <w:t xml:space="preserve">In an </w:t>
      </w:r>
      <w:r w:rsidRPr="00824E55">
        <w:rPr>
          <w:b/>
        </w:rPr>
        <w:t>instructional directive</w:t>
      </w:r>
      <w:r>
        <w:t xml:space="preserve"> a person may either consent to or refuse a particular medical treatment. </w:t>
      </w:r>
    </w:p>
    <w:p w14:paraId="57FED1E0" w14:textId="77777777" w:rsidR="00512602" w:rsidRDefault="00512602" w:rsidP="00824E55">
      <w:pPr>
        <w:pStyle w:val="DHHSbody"/>
      </w:pPr>
      <w:r>
        <w:t xml:space="preserve">If the person subsequently does not have the capacity to </w:t>
      </w:r>
      <w:proofErr w:type="gramStart"/>
      <w:r>
        <w:t>make a decision</w:t>
      </w:r>
      <w:proofErr w:type="gramEnd"/>
      <w:r>
        <w:t xml:space="preserve"> about that treatment, the </w:t>
      </w:r>
      <w:r>
        <w:t>instructional directive will apply as though the person has consented to or refused the treatment. Any statement not explicitly identified as an instructional directive</w:t>
      </w:r>
      <w:r w:rsidR="0063006D">
        <w:t xml:space="preserve">, </w:t>
      </w:r>
      <w:proofErr w:type="gramStart"/>
      <w:r w:rsidR="0063006D">
        <w:t>through the use of</w:t>
      </w:r>
      <w:proofErr w:type="gramEnd"/>
      <w:r w:rsidR="0063006D">
        <w:t xml:space="preserve"> these words,</w:t>
      </w:r>
      <w:r>
        <w:t xml:space="preserve"> will be </w:t>
      </w:r>
      <w:r w:rsidR="00824E55">
        <w:t xml:space="preserve">considered </w:t>
      </w:r>
      <w:r>
        <w:t xml:space="preserve">a values directive. </w:t>
      </w:r>
    </w:p>
    <w:p w14:paraId="65C660D4" w14:textId="77777777" w:rsidR="00E95638" w:rsidRDefault="00E95638" w:rsidP="00824E55">
      <w:pPr>
        <w:pStyle w:val="DHHSbody"/>
      </w:pPr>
      <w:r>
        <w:t>Refusal of treatment certificates made prior to the commencement of the Act on 12 March 2018 will be treated as instructional directives.</w:t>
      </w:r>
    </w:p>
    <w:p w14:paraId="067D98C9" w14:textId="77777777" w:rsidR="00512602" w:rsidRDefault="00512602" w:rsidP="00824E55">
      <w:pPr>
        <w:pStyle w:val="Heading2"/>
      </w:pPr>
      <w:r w:rsidRPr="00512602">
        <w:t>V</w:t>
      </w:r>
      <w:r w:rsidRPr="00367D8D">
        <w:t>alues</w:t>
      </w:r>
      <w:r w:rsidRPr="00512602">
        <w:t xml:space="preserve"> directive</w:t>
      </w:r>
    </w:p>
    <w:p w14:paraId="1B5AFC7C" w14:textId="77777777" w:rsidR="00512602" w:rsidRDefault="00512602" w:rsidP="00824E55">
      <w:pPr>
        <w:pStyle w:val="DHHSbody"/>
      </w:pPr>
      <w:r>
        <w:t xml:space="preserve">In a </w:t>
      </w:r>
      <w:r w:rsidRPr="00824E55">
        <w:rPr>
          <w:b/>
        </w:rPr>
        <w:t>values directive</w:t>
      </w:r>
      <w:r>
        <w:t xml:space="preserve"> a person may make more general statements about their preferences and values and what matters to them. </w:t>
      </w:r>
    </w:p>
    <w:p w14:paraId="0C94F3FF" w14:textId="77777777" w:rsidR="00512602" w:rsidRPr="00B72301" w:rsidRDefault="00512602" w:rsidP="00824E55">
      <w:pPr>
        <w:pStyle w:val="DHHSbody"/>
        <w:rPr>
          <w:b/>
        </w:rPr>
      </w:pPr>
      <w:r>
        <w:t xml:space="preserve">If </w:t>
      </w:r>
      <w:r w:rsidR="00B72301">
        <w:t xml:space="preserve">the </w:t>
      </w:r>
      <w:r w:rsidR="00824E55">
        <w:t>person has not included</w:t>
      </w:r>
      <w:r>
        <w:t xml:space="preserve"> a</w:t>
      </w:r>
      <w:r w:rsidR="000C4FC1">
        <w:t xml:space="preserve"> relevant</w:t>
      </w:r>
      <w:r>
        <w:t xml:space="preserve"> instructional directive</w:t>
      </w:r>
      <w:r w:rsidR="002A07A9">
        <w:t>,</w:t>
      </w:r>
      <w:r>
        <w:t xml:space="preserve"> then the health practitioner will need to obtain consent from a medical treatment decision maker to provide treatment. </w:t>
      </w:r>
      <w:r w:rsidRPr="00B72301">
        <w:rPr>
          <w:b/>
        </w:rPr>
        <w:t xml:space="preserve">The medical treatment decision maker must consider </w:t>
      </w:r>
      <w:r w:rsidR="00807872" w:rsidRPr="00B72301">
        <w:rPr>
          <w:b/>
        </w:rPr>
        <w:t>the</w:t>
      </w:r>
      <w:r w:rsidRPr="00B72301">
        <w:rPr>
          <w:b/>
        </w:rPr>
        <w:t xml:space="preserve"> values directive.</w:t>
      </w:r>
    </w:p>
    <w:p w14:paraId="49613409" w14:textId="30E24C05" w:rsidR="00E95638" w:rsidRDefault="00E95638" w:rsidP="00824E55">
      <w:pPr>
        <w:pStyle w:val="DHHSbody"/>
      </w:pPr>
      <w:r>
        <w:t xml:space="preserve">Any advance care plan made prior to the commencement of the Act on 12 March 2018 </w:t>
      </w:r>
      <w:r w:rsidR="005E2A11">
        <w:t>should be considered in the decision</w:t>
      </w:r>
      <w:r w:rsidR="00BF0C1D">
        <w:t>-</w:t>
      </w:r>
      <w:r w:rsidR="005E2A11">
        <w:t>making process</w:t>
      </w:r>
      <w:r>
        <w:t>.</w:t>
      </w:r>
    </w:p>
    <w:p w14:paraId="3116122A" w14:textId="77777777" w:rsidR="00512602" w:rsidRDefault="00512602" w:rsidP="00512602">
      <w:pPr>
        <w:pStyle w:val="Heading1"/>
      </w:pPr>
      <w:r>
        <w:t>Medical treatment decision makers</w:t>
      </w:r>
    </w:p>
    <w:p w14:paraId="36C3A761" w14:textId="77777777" w:rsidR="00512602" w:rsidRDefault="00512602" w:rsidP="00512602">
      <w:pPr>
        <w:pStyle w:val="DHHSbody"/>
      </w:pPr>
      <w:r>
        <w:t>If medical treatment is clinically indicated and a person does not have decision-making capacity, a health practitioner must obtain consent through an instructional directive</w:t>
      </w:r>
      <w:r w:rsidR="002A07A9">
        <w:t>,</w:t>
      </w:r>
      <w:r>
        <w:t xml:space="preserve"> or</w:t>
      </w:r>
      <w:r w:rsidR="00473929">
        <w:t xml:space="preserve"> </w:t>
      </w:r>
      <w:r>
        <w:t xml:space="preserve">if there is </w:t>
      </w:r>
      <w:r w:rsidR="002A07A9">
        <w:t>none</w:t>
      </w:r>
      <w:r>
        <w:t xml:space="preserve">, </w:t>
      </w:r>
      <w:r w:rsidR="0063006D">
        <w:t xml:space="preserve">obtain </w:t>
      </w:r>
      <w:r w:rsidR="002A07A9">
        <w:t xml:space="preserve">consent from </w:t>
      </w:r>
      <w:r>
        <w:t xml:space="preserve">a medical treatment decision maker. </w:t>
      </w:r>
    </w:p>
    <w:p w14:paraId="0AF91114" w14:textId="77777777" w:rsidR="00D02457" w:rsidRDefault="00512602" w:rsidP="00512602">
      <w:pPr>
        <w:pStyle w:val="DHHSbody"/>
      </w:pPr>
      <w:r>
        <w:t xml:space="preserve">An adult may appoint a medical treatment decision maker when they have decision-making capacity. </w:t>
      </w:r>
    </w:p>
    <w:p w14:paraId="1010E1C5" w14:textId="77777777" w:rsidR="00512602" w:rsidRDefault="00512602" w:rsidP="00512602">
      <w:pPr>
        <w:pStyle w:val="DHHSbody"/>
      </w:pPr>
      <w:r>
        <w:t>If an adult does not have decision-making capacity, the medical treatment decision maker will be the first</w:t>
      </w:r>
      <w:r w:rsidR="00BA2309">
        <w:t xml:space="preserve"> willing and available</w:t>
      </w:r>
      <w:r>
        <w:t xml:space="preserve"> person </w:t>
      </w:r>
      <w:r w:rsidR="00BA2309">
        <w:t>from</w:t>
      </w:r>
      <w:r>
        <w:t xml:space="preserve"> the list below (there can only be one medical treatment decision maker at a time):</w:t>
      </w:r>
    </w:p>
    <w:p w14:paraId="72B1EA33" w14:textId="77777777" w:rsidR="00512602" w:rsidRDefault="00512602" w:rsidP="00512602">
      <w:pPr>
        <w:pStyle w:val="DHHSbullet1"/>
        <w:numPr>
          <w:ilvl w:val="0"/>
          <w:numId w:val="1"/>
        </w:numPr>
      </w:pPr>
      <w:r>
        <w:t>an appointed medical treatment decision maker</w:t>
      </w:r>
    </w:p>
    <w:p w14:paraId="2E72AA1A" w14:textId="77777777" w:rsidR="00512602" w:rsidRDefault="00512602" w:rsidP="00512602">
      <w:pPr>
        <w:pStyle w:val="DHHSbullet1"/>
        <w:numPr>
          <w:ilvl w:val="0"/>
          <w:numId w:val="1"/>
        </w:numPr>
      </w:pPr>
      <w:r>
        <w:t xml:space="preserve">a guardian appointed by the </w:t>
      </w:r>
      <w:r w:rsidRPr="009631D6">
        <w:t>Victorian Civil and Administrative Tribuna</w:t>
      </w:r>
      <w:r>
        <w:t>l (VCAT)</w:t>
      </w:r>
    </w:p>
    <w:p w14:paraId="7FF47FC8" w14:textId="77777777" w:rsidR="00512602" w:rsidRDefault="00512602" w:rsidP="00512602">
      <w:pPr>
        <w:pStyle w:val="DHHSbullet1"/>
        <w:numPr>
          <w:ilvl w:val="0"/>
          <w:numId w:val="1"/>
        </w:numPr>
      </w:pPr>
      <w:r>
        <w:lastRenderedPageBreak/>
        <w:t>the first of the following with a close and continuing relationship with the person:</w:t>
      </w:r>
    </w:p>
    <w:p w14:paraId="61D721C7" w14:textId="77777777" w:rsidR="00512602" w:rsidRDefault="00512602" w:rsidP="0029154D">
      <w:pPr>
        <w:pStyle w:val="DHHSbullet2"/>
        <w:numPr>
          <w:ilvl w:val="2"/>
          <w:numId w:val="1"/>
        </w:numPr>
      </w:pPr>
      <w:r>
        <w:t>the spouse or domestic partner</w:t>
      </w:r>
    </w:p>
    <w:p w14:paraId="1537AE88" w14:textId="77777777" w:rsidR="00512602" w:rsidRDefault="00512602" w:rsidP="00512602">
      <w:pPr>
        <w:pStyle w:val="DHHSbullet2"/>
        <w:numPr>
          <w:ilvl w:val="2"/>
          <w:numId w:val="1"/>
        </w:numPr>
      </w:pPr>
      <w:r>
        <w:t>the primary carer of the person</w:t>
      </w:r>
    </w:p>
    <w:p w14:paraId="142F45B7" w14:textId="77777777" w:rsidR="0029154D" w:rsidRDefault="0029154D" w:rsidP="00512602">
      <w:pPr>
        <w:pStyle w:val="DHHSbullet2"/>
        <w:numPr>
          <w:ilvl w:val="2"/>
          <w:numId w:val="1"/>
        </w:numPr>
      </w:pPr>
      <w:r>
        <w:t>the first of the following and, if more than one person fits the description</w:t>
      </w:r>
      <w:r w:rsidR="00562CDD">
        <w:t xml:space="preserve"> in the subparagraph</w:t>
      </w:r>
      <w:r>
        <w:t>, the oldest of those persons:</w:t>
      </w:r>
    </w:p>
    <w:p w14:paraId="74923AB2" w14:textId="77777777" w:rsidR="00512602" w:rsidRPr="00825B04" w:rsidRDefault="0029154D" w:rsidP="00825B04">
      <w:pPr>
        <w:pStyle w:val="DHHSnumberlowerromanindent"/>
        <w:tabs>
          <w:tab w:val="clear" w:pos="794"/>
          <w:tab w:val="num" w:pos="993"/>
        </w:tabs>
        <w:ind w:left="993"/>
      </w:pPr>
      <w:r w:rsidRPr="00825B04">
        <w:t>an</w:t>
      </w:r>
      <w:r w:rsidR="00512602" w:rsidRPr="00825B04">
        <w:t xml:space="preserve"> adult child of the person</w:t>
      </w:r>
    </w:p>
    <w:p w14:paraId="28E2A7DD" w14:textId="77777777" w:rsidR="00512602" w:rsidRPr="00825B04" w:rsidRDefault="0029154D" w:rsidP="00825B04">
      <w:pPr>
        <w:pStyle w:val="DHHSnumberlowerromanindent"/>
        <w:tabs>
          <w:tab w:val="clear" w:pos="794"/>
          <w:tab w:val="num" w:pos="993"/>
        </w:tabs>
        <w:ind w:left="993"/>
      </w:pPr>
      <w:r w:rsidRPr="00825B04">
        <w:t>a</w:t>
      </w:r>
      <w:r w:rsidR="00512602" w:rsidRPr="00825B04">
        <w:t xml:space="preserve"> parent of the person</w:t>
      </w:r>
    </w:p>
    <w:p w14:paraId="1A4EA407" w14:textId="77777777" w:rsidR="00512602" w:rsidRDefault="0029154D" w:rsidP="00825B04">
      <w:pPr>
        <w:pStyle w:val="DHHSnumberlowerromanindent"/>
        <w:tabs>
          <w:tab w:val="clear" w:pos="794"/>
          <w:tab w:val="num" w:pos="993"/>
        </w:tabs>
        <w:ind w:left="993"/>
      </w:pPr>
      <w:r w:rsidRPr="00825B04">
        <w:t>an</w:t>
      </w:r>
      <w:r w:rsidR="00512602" w:rsidRPr="00825B04">
        <w:t xml:space="preserve"> adult sibling of the person</w:t>
      </w:r>
      <w:r w:rsidR="00512602">
        <w:t xml:space="preserve">. </w:t>
      </w:r>
    </w:p>
    <w:p w14:paraId="55F752BE" w14:textId="77777777" w:rsidR="00DB3C5E" w:rsidRDefault="00512602" w:rsidP="00512602">
      <w:pPr>
        <w:pStyle w:val="DHHSbody"/>
      </w:pPr>
      <w:r>
        <w:t>If a child does not have decision-making capacity, the</w:t>
      </w:r>
      <w:r w:rsidR="000A6281">
        <w:t>ir</w:t>
      </w:r>
      <w:r>
        <w:t xml:space="preserve"> medical treatment decision maker will be </w:t>
      </w:r>
      <w:r w:rsidR="002A07A9">
        <w:t xml:space="preserve">a </w:t>
      </w:r>
      <w:r>
        <w:t xml:space="preserve">parent, guardian or other person with parental responsibility. </w:t>
      </w:r>
      <w:r w:rsidR="00DB3C5E">
        <w:t xml:space="preserve">Previous enduring power of attorney and guardianship appointments </w:t>
      </w:r>
      <w:r w:rsidR="0029154D">
        <w:t>will remain</w:t>
      </w:r>
      <w:r w:rsidR="00DB3C5E">
        <w:t xml:space="preserve"> valid under the Act.</w:t>
      </w:r>
    </w:p>
    <w:p w14:paraId="0C2E37B1" w14:textId="77777777" w:rsidR="00512602" w:rsidRDefault="00512602" w:rsidP="00512602">
      <w:pPr>
        <w:pStyle w:val="Heading1"/>
      </w:pPr>
      <w:r>
        <w:t>Making medical treatment decisions</w:t>
      </w:r>
    </w:p>
    <w:p w14:paraId="641B2DA8" w14:textId="77777777" w:rsidR="00512602" w:rsidRPr="008048C4" w:rsidRDefault="00512602" w:rsidP="00512602">
      <w:pPr>
        <w:pStyle w:val="DHHSbody"/>
        <w:rPr>
          <w:b/>
        </w:rPr>
      </w:pPr>
      <w:r>
        <w:t xml:space="preserve">If medical treatment is required in an emergency to prevent death, serious damage or significant pain or distress, it may be provided </w:t>
      </w:r>
      <w:r w:rsidR="002A07A9">
        <w:t xml:space="preserve">without consent </w:t>
      </w:r>
      <w:r>
        <w:t xml:space="preserve">to a person </w:t>
      </w:r>
      <w:r w:rsidR="002A07A9">
        <w:t xml:space="preserve">lacking </w:t>
      </w:r>
      <w:r>
        <w:t xml:space="preserve">decision-making capacity. </w:t>
      </w:r>
      <w:r w:rsidRPr="008048C4">
        <w:rPr>
          <w:b/>
        </w:rPr>
        <w:t xml:space="preserve">But not in contravention of an instructional directive </w:t>
      </w:r>
      <w:r w:rsidR="002A07A9" w:rsidRPr="008048C4">
        <w:rPr>
          <w:b/>
        </w:rPr>
        <w:t xml:space="preserve">of which </w:t>
      </w:r>
      <w:r w:rsidRPr="008048C4">
        <w:rPr>
          <w:b/>
        </w:rPr>
        <w:t>the health practitioner is already aware.</w:t>
      </w:r>
    </w:p>
    <w:p w14:paraId="01B37441" w14:textId="77777777" w:rsidR="00512602" w:rsidRDefault="00512602" w:rsidP="00512602">
      <w:pPr>
        <w:pStyle w:val="DHHSbody"/>
      </w:pPr>
      <w:r>
        <w:t>When providing medical treatment to a person without decision-making capacity</w:t>
      </w:r>
      <w:r w:rsidR="000C4FC1">
        <w:t xml:space="preserve"> (other than in an emergency)</w:t>
      </w:r>
      <w:r>
        <w:t xml:space="preserve">, a health practitioner must make reasonable efforts in the circumstances to locate an advance care directive and a medical treatment decision maker. </w:t>
      </w:r>
      <w:r w:rsidR="00992D9D">
        <w:t>T</w:t>
      </w:r>
      <w:r>
        <w:t xml:space="preserve">his </w:t>
      </w:r>
      <w:r w:rsidR="00992D9D">
        <w:t xml:space="preserve">requirement </w:t>
      </w:r>
      <w:r>
        <w:t>will vary depending</w:t>
      </w:r>
      <w:r w:rsidR="004876FB">
        <w:t xml:space="preserve"> on the urgency of the treatment</w:t>
      </w:r>
      <w:r>
        <w:t xml:space="preserve"> and what is known about the person. </w:t>
      </w:r>
    </w:p>
    <w:p w14:paraId="5C7F9C81" w14:textId="77777777" w:rsidR="00512602" w:rsidRDefault="00512602" w:rsidP="00512602">
      <w:pPr>
        <w:pStyle w:val="DHHSbody"/>
      </w:pPr>
      <w:r>
        <w:t xml:space="preserve">If there is a relevant instructional directive, a health practitioner must comply with </w:t>
      </w:r>
      <w:r w:rsidR="00992D9D">
        <w:t xml:space="preserve">it just as if </w:t>
      </w:r>
      <w:r>
        <w:t>the person has consented to</w:t>
      </w:r>
      <w:r w:rsidR="00992D9D">
        <w:t>,</w:t>
      </w:r>
      <w:r>
        <w:t xml:space="preserve"> or refused</w:t>
      </w:r>
      <w:r w:rsidR="00992D9D">
        <w:t>,</w:t>
      </w:r>
      <w:r>
        <w:t xml:space="preserve"> the treatment. </w:t>
      </w:r>
      <w:r w:rsidR="00992D9D">
        <w:t xml:space="preserve">A </w:t>
      </w:r>
      <w:r>
        <w:t xml:space="preserve">health practitioner does not have to provide </w:t>
      </w:r>
      <w:r w:rsidR="00992D9D">
        <w:t xml:space="preserve">a </w:t>
      </w:r>
      <w:r>
        <w:t xml:space="preserve">treatment </w:t>
      </w:r>
      <w:r w:rsidR="008650D2">
        <w:t>that i</w:t>
      </w:r>
      <w:r>
        <w:t>s not clinically indicated</w:t>
      </w:r>
      <w:r w:rsidR="00992D9D">
        <w:t xml:space="preserve"> just because a person has consented to that treatment in advance</w:t>
      </w:r>
      <w:r>
        <w:t xml:space="preserve">. If there is no relevant instructional directive, the decision must be made by the medical treatment decision maker. </w:t>
      </w:r>
    </w:p>
    <w:p w14:paraId="26A3F83A" w14:textId="77777777" w:rsidR="00512602" w:rsidRDefault="00512602" w:rsidP="00512602">
      <w:pPr>
        <w:pStyle w:val="DHHSbody"/>
      </w:pPr>
      <w:r>
        <w:t>The Act requires a medical treatment decision maker to make the decision they reasonably believe the person would have made. The Act includes a process for determining the decision the person would have made. It says that the medical treatment decision maker must:</w:t>
      </w:r>
    </w:p>
    <w:p w14:paraId="7B76A11C" w14:textId="77777777" w:rsidR="00512602" w:rsidRDefault="00512602" w:rsidP="00512602">
      <w:pPr>
        <w:pStyle w:val="DHHSbullet1"/>
        <w:numPr>
          <w:ilvl w:val="0"/>
          <w:numId w:val="1"/>
        </w:numPr>
      </w:pPr>
      <w:r>
        <w:t xml:space="preserve">first consider any valid and relevant values directive </w:t>
      </w:r>
    </w:p>
    <w:p w14:paraId="110F996C" w14:textId="77777777" w:rsidR="00512602" w:rsidRDefault="00512602" w:rsidP="00512602">
      <w:pPr>
        <w:pStyle w:val="DHHSbullet1"/>
        <w:numPr>
          <w:ilvl w:val="0"/>
          <w:numId w:val="1"/>
        </w:numPr>
      </w:pPr>
      <w:r>
        <w:t>next consider any other relevant preferences that the person has expressed and the circumstances in which the preferences were expressed</w:t>
      </w:r>
    </w:p>
    <w:p w14:paraId="1E7D8D97" w14:textId="77777777" w:rsidR="00512602" w:rsidRDefault="00512602" w:rsidP="00512602">
      <w:pPr>
        <w:pStyle w:val="DHHSbullet1lastline"/>
        <w:numPr>
          <w:ilvl w:val="1"/>
          <w:numId w:val="1"/>
        </w:numPr>
      </w:pPr>
      <w:r>
        <w:t xml:space="preserve">if the medical treatment decision maker is unable to identify any relevant preferences, they must </w:t>
      </w:r>
      <w:r>
        <w:t xml:space="preserve">consider the person’s values, whether these are expressed by way of a values directive or otherwise, or inferred from the person’s life. </w:t>
      </w:r>
    </w:p>
    <w:p w14:paraId="51ADAD06" w14:textId="77777777" w:rsidR="00512602" w:rsidRDefault="00512602" w:rsidP="00512602">
      <w:pPr>
        <w:pStyle w:val="DHHSbody"/>
      </w:pPr>
      <w:r>
        <w:t xml:space="preserve">In </w:t>
      </w:r>
      <w:proofErr w:type="gramStart"/>
      <w:r>
        <w:t>making a decision</w:t>
      </w:r>
      <w:proofErr w:type="gramEnd"/>
      <w:r>
        <w:t>, the medical treatment decision maker must also consider the likely effects and consequences of the medical treatment, including:</w:t>
      </w:r>
    </w:p>
    <w:p w14:paraId="0ED3B0D9" w14:textId="77777777" w:rsidR="00512602" w:rsidRDefault="00512602" w:rsidP="00F43C1E">
      <w:pPr>
        <w:pStyle w:val="DHHSbullet1"/>
      </w:pPr>
      <w:r>
        <w:t>its likely effectiveness</w:t>
      </w:r>
    </w:p>
    <w:p w14:paraId="6A343D5C" w14:textId="77777777" w:rsidR="00512602" w:rsidRDefault="00512602" w:rsidP="00AC472B">
      <w:pPr>
        <w:pStyle w:val="DHHSbullet1lastline"/>
      </w:pPr>
      <w:r>
        <w:t xml:space="preserve">whether these are consistent with the person’s preferences and values. </w:t>
      </w:r>
    </w:p>
    <w:p w14:paraId="7122EC07" w14:textId="77777777" w:rsidR="00512602" w:rsidRDefault="00512602" w:rsidP="00512602">
      <w:pPr>
        <w:pStyle w:val="DHHSbody"/>
      </w:pPr>
      <w:r>
        <w:t>The medical treatment decision maker must also consider alternative treatment options</w:t>
      </w:r>
      <w:r w:rsidR="000C4FC1">
        <w:t>,</w:t>
      </w:r>
      <w:r>
        <w:t xml:space="preserve"> including not providing treatment.</w:t>
      </w:r>
      <w:r w:rsidR="00B72301">
        <w:t xml:space="preserve"> </w:t>
      </w:r>
      <w:r>
        <w:t>If the person’s preferences and values cannot be ascertained, the medical treatment decision maker must make a decision that promotes the person’s personal and social wellbeing, having regard to the need to respect the person’s individuality.</w:t>
      </w:r>
    </w:p>
    <w:p w14:paraId="63C5C12D" w14:textId="77777777" w:rsidR="00DB3C5E" w:rsidRPr="007C5CA7" w:rsidRDefault="00912479" w:rsidP="00DB3C5E">
      <w:pPr>
        <w:pStyle w:val="DHHSbody"/>
        <w:rPr>
          <w:b/>
        </w:rPr>
      </w:pPr>
      <w:r w:rsidRPr="007C5CA7">
        <w:rPr>
          <w:b/>
        </w:rPr>
        <w:t xml:space="preserve">A health practitioner </w:t>
      </w:r>
      <w:r w:rsidR="008650D2">
        <w:rPr>
          <w:b/>
        </w:rPr>
        <w:t>may</w:t>
      </w:r>
      <w:r w:rsidRPr="007C5CA7">
        <w:rPr>
          <w:b/>
        </w:rPr>
        <w:t xml:space="preserve"> administer palliative care to a patient </w:t>
      </w:r>
      <w:r w:rsidR="008650D2">
        <w:rPr>
          <w:b/>
        </w:rPr>
        <w:t>without</w:t>
      </w:r>
      <w:r w:rsidRPr="007C5CA7">
        <w:rPr>
          <w:b/>
        </w:rPr>
        <w:t xml:space="preserve"> decision-making capacity </w:t>
      </w:r>
      <w:r w:rsidR="008650D2">
        <w:rPr>
          <w:b/>
        </w:rPr>
        <w:t>regardless of</w:t>
      </w:r>
      <w:r w:rsidRPr="007C5CA7">
        <w:rPr>
          <w:b/>
          <w:bCs/>
        </w:rPr>
        <w:t xml:space="preserve"> </w:t>
      </w:r>
      <w:r w:rsidRPr="007C5CA7">
        <w:rPr>
          <w:b/>
        </w:rPr>
        <w:t>any</w:t>
      </w:r>
      <w:r w:rsidR="00DB3C5E" w:rsidRPr="007C5CA7">
        <w:rPr>
          <w:b/>
        </w:rPr>
        <w:t xml:space="preserve"> </w:t>
      </w:r>
      <w:r w:rsidR="00E80673" w:rsidRPr="007C5CA7">
        <w:rPr>
          <w:b/>
        </w:rPr>
        <w:t xml:space="preserve">decision </w:t>
      </w:r>
      <w:r w:rsidR="008650D2">
        <w:rPr>
          <w:b/>
        </w:rPr>
        <w:t>by</w:t>
      </w:r>
      <w:r w:rsidR="00E80673" w:rsidRPr="007C5CA7">
        <w:rPr>
          <w:b/>
        </w:rPr>
        <w:t xml:space="preserve"> their medical treatment decision maker</w:t>
      </w:r>
      <w:r w:rsidR="00DB3C5E" w:rsidRPr="007C5CA7">
        <w:rPr>
          <w:b/>
        </w:rPr>
        <w:t xml:space="preserve"> or </w:t>
      </w:r>
      <w:r w:rsidR="00E80673" w:rsidRPr="007C5CA7">
        <w:rPr>
          <w:b/>
        </w:rPr>
        <w:t xml:space="preserve">statement in an advance care </w:t>
      </w:r>
      <w:r w:rsidR="00DB3C5E" w:rsidRPr="007C5CA7">
        <w:rPr>
          <w:b/>
        </w:rPr>
        <w:t>directive.</w:t>
      </w:r>
    </w:p>
    <w:p w14:paraId="3490C645" w14:textId="77777777" w:rsidR="000C4FC1" w:rsidRDefault="000C4FC1" w:rsidP="000C4FC1">
      <w:pPr>
        <w:pStyle w:val="Heading1"/>
      </w:pPr>
      <w:r>
        <w:t>No medical treatment decision maker</w:t>
      </w:r>
    </w:p>
    <w:p w14:paraId="311326A0" w14:textId="77777777" w:rsidR="00932DD3" w:rsidRDefault="00512602" w:rsidP="00512602">
      <w:pPr>
        <w:pStyle w:val="DHHSbody"/>
      </w:pPr>
      <w:r>
        <w:t xml:space="preserve">If there is no instructional directive </w:t>
      </w:r>
      <w:r w:rsidR="008650D2">
        <w:t>and no</w:t>
      </w:r>
      <w:r>
        <w:t xml:space="preserve"> medical treatment decision maker, a health practitioner must </w:t>
      </w:r>
      <w:r w:rsidR="00595A0F">
        <w:t>seek a decision</w:t>
      </w:r>
      <w:r>
        <w:t xml:space="preserve"> from the Public Advocate </w:t>
      </w:r>
      <w:r w:rsidR="008650D2">
        <w:t xml:space="preserve">for significant </w:t>
      </w:r>
      <w:r>
        <w:t xml:space="preserve">treatment. </w:t>
      </w:r>
      <w:r w:rsidR="00502E06">
        <w:t>For routine treatment</w:t>
      </w:r>
      <w:r>
        <w:t>, the health practitioner may proceed without consent</w:t>
      </w:r>
      <w:r w:rsidR="004265D6">
        <w:t>,</w:t>
      </w:r>
      <w:r>
        <w:t xml:space="preserve"> but must </w:t>
      </w:r>
      <w:r w:rsidR="008650D2">
        <w:t xml:space="preserve">document this in the </w:t>
      </w:r>
      <w:r>
        <w:t>person’s clinical record.</w:t>
      </w:r>
    </w:p>
    <w:p w14:paraId="46BD8EA2" w14:textId="77777777" w:rsidR="00DB0F95" w:rsidRDefault="00DB0F95" w:rsidP="00DB0F95">
      <w:pPr>
        <w:pStyle w:val="Heading1"/>
      </w:pPr>
      <w:r>
        <w:t>More information</w:t>
      </w:r>
    </w:p>
    <w:p w14:paraId="7115B3C4" w14:textId="29A09EBF" w:rsidR="00825B04" w:rsidRDefault="00B72301" w:rsidP="00DD2876">
      <w:pPr>
        <w:pStyle w:val="DHHSbody"/>
      </w:pPr>
      <w:r w:rsidRPr="00825B04">
        <w:t xml:space="preserve">Standard forms under the Act, a guide to significant treatment and a detailed guide to the Act, are available on the </w:t>
      </w:r>
      <w:hyperlink r:id="rId14" w:history="1">
        <w:r w:rsidR="00F84EA9" w:rsidRPr="00825B04">
          <w:rPr>
            <w:rStyle w:val="Hyperlink"/>
          </w:rPr>
          <w:t>health.vic website</w:t>
        </w:r>
      </w:hyperlink>
      <w:r w:rsidR="00F84EA9" w:rsidRPr="00825B04">
        <w:t xml:space="preserve"> &lt;</w:t>
      </w:r>
      <w:r w:rsidR="00137C4D" w:rsidRPr="00137C4D">
        <w:t>https://www.health.vic.gov.au/end-of-life-care/advance-care-planning</w:t>
      </w:r>
      <w:r w:rsidR="00137C4D" w:rsidRPr="00137C4D">
        <w:t xml:space="preserve"> </w:t>
      </w:r>
      <w:r w:rsidR="00F84EA9" w:rsidRPr="00825B04">
        <w:t>&gt;</w:t>
      </w:r>
      <w:r w:rsidR="008743EE" w:rsidRPr="00825B04">
        <w:t>.</w:t>
      </w:r>
    </w:p>
    <w:p w14:paraId="6199BD05" w14:textId="3BB1C8C3" w:rsidR="005556F1" w:rsidRDefault="00DB0F95" w:rsidP="00825B04">
      <w:pPr>
        <w:pStyle w:val="DHHSbody"/>
      </w:pPr>
      <w:r w:rsidRPr="00825B04">
        <w:t>A</w:t>
      </w:r>
      <w:r w:rsidR="00825B04">
        <w:t xml:space="preserve"> </w:t>
      </w:r>
      <w:r w:rsidRPr="00825B04">
        <w:t xml:space="preserve">copy of the Act is available on </w:t>
      </w:r>
      <w:hyperlink r:id="rId15" w:history="1">
        <w:r w:rsidRPr="00825B04">
          <w:rPr>
            <w:rStyle w:val="Hyperlink"/>
          </w:rPr>
          <w:t>the Victorian Legislation and Parliamentary Documents website</w:t>
        </w:r>
      </w:hyperlink>
      <w:r w:rsidRPr="00825B04">
        <w:t xml:space="preserve"> &lt;http</w:t>
      </w:r>
      <w:r w:rsidR="00BF74C6">
        <w:t>s</w:t>
      </w:r>
      <w:r w:rsidRPr="00825B04">
        <w:t>://www.legislation.vic.gov.au/&gt;.</w:t>
      </w:r>
    </w:p>
    <w:p w14:paraId="61F546B3" w14:textId="21C89426" w:rsidR="00825B04" w:rsidRPr="00C65D9C" w:rsidRDefault="00825B04" w:rsidP="00825B04">
      <w:pPr>
        <w:pStyle w:val="DHHSaccessibilitypara"/>
        <w:pBdr>
          <w:top w:val="single" w:sz="4" w:space="1" w:color="C5511A"/>
        </w:pBdr>
      </w:pPr>
      <w:r w:rsidRPr="00C65D9C">
        <w:t xml:space="preserve">To receive this publication in an accessible format </w:t>
      </w:r>
      <w:hyperlink r:id="rId16" w:history="1">
        <w:r w:rsidRPr="00384F04">
          <w:rPr>
            <w:rStyle w:val="Hyperlink"/>
          </w:rPr>
          <w:t>email Advance care planning</w:t>
        </w:r>
      </w:hyperlink>
      <w:r w:rsidRPr="00C65D9C">
        <w:t xml:space="preserve"> &lt;acp@</w:t>
      </w:r>
      <w:r w:rsidR="00A872B9">
        <w:t>health</w:t>
      </w:r>
      <w:r w:rsidRPr="00C65D9C">
        <w:t>.vic.gov.au&gt;.</w:t>
      </w:r>
    </w:p>
    <w:p w14:paraId="19A631B9" w14:textId="22A046AB" w:rsidR="002D16D3" w:rsidRPr="00825B04" w:rsidRDefault="00825B04" w:rsidP="00F25283">
      <w:pPr>
        <w:pStyle w:val="DHHSbody"/>
        <w:spacing w:line="220" w:lineRule="atLeast"/>
        <w:rPr>
          <w:sz w:val="16"/>
          <w:szCs w:val="16"/>
        </w:rPr>
      </w:pPr>
      <w:r w:rsidRPr="00825B04">
        <w:rPr>
          <w:sz w:val="16"/>
          <w:szCs w:val="16"/>
        </w:rPr>
        <w:t>Authorised and published by the Victorian Government, 1 Treasury Place, Melbourne. © State of Victoria, Department of Health and Human Services</w:t>
      </w:r>
      <w:r w:rsidRPr="00D71F75">
        <w:rPr>
          <w:sz w:val="16"/>
          <w:szCs w:val="16"/>
        </w:rPr>
        <w:t xml:space="preserve">, September 2017, 2nd edition issued </w:t>
      </w:r>
      <w:r w:rsidR="006F5C8A" w:rsidRPr="00D71F75">
        <w:rPr>
          <w:sz w:val="16"/>
          <w:szCs w:val="16"/>
        </w:rPr>
        <w:t>October</w:t>
      </w:r>
      <w:r w:rsidRPr="00D71F75">
        <w:rPr>
          <w:sz w:val="16"/>
          <w:szCs w:val="16"/>
        </w:rPr>
        <w:t xml:space="preserve"> 2018</w:t>
      </w:r>
      <w:r w:rsidR="00F25283" w:rsidRPr="00D71F75">
        <w:rPr>
          <w:sz w:val="16"/>
          <w:szCs w:val="16"/>
        </w:rPr>
        <w:t xml:space="preserve"> and revised</w:t>
      </w:r>
      <w:r w:rsidR="00393D9A" w:rsidRPr="00D71F75">
        <w:rPr>
          <w:sz w:val="16"/>
          <w:szCs w:val="16"/>
        </w:rPr>
        <w:t xml:space="preserve"> </w:t>
      </w:r>
      <w:r w:rsidR="00D71F75" w:rsidRPr="00D71F75">
        <w:rPr>
          <w:sz w:val="16"/>
          <w:szCs w:val="16"/>
        </w:rPr>
        <w:t>January</w:t>
      </w:r>
      <w:r w:rsidR="00393D9A" w:rsidRPr="00D71F75">
        <w:rPr>
          <w:sz w:val="16"/>
          <w:szCs w:val="16"/>
        </w:rPr>
        <w:t xml:space="preserve"> 201</w:t>
      </w:r>
      <w:r w:rsidR="00D71F75" w:rsidRPr="00D71F75">
        <w:rPr>
          <w:sz w:val="16"/>
          <w:szCs w:val="16"/>
        </w:rPr>
        <w:t>9</w:t>
      </w:r>
      <w:r w:rsidR="00F25283" w:rsidRPr="00D71F75">
        <w:rPr>
          <w:sz w:val="16"/>
          <w:szCs w:val="16"/>
        </w:rPr>
        <w:t>. ISBN 978-1-76069-544-6 (Print)</w:t>
      </w:r>
      <w:r w:rsidR="00F25283" w:rsidRPr="00D71F75">
        <w:t xml:space="preserve"> </w:t>
      </w:r>
      <w:r w:rsidR="00F25283" w:rsidRPr="00D71F75">
        <w:rPr>
          <w:sz w:val="16"/>
          <w:szCs w:val="16"/>
        </w:rPr>
        <w:t>978-1-76069-741-9</w:t>
      </w:r>
      <w:r w:rsidR="0019334B" w:rsidRPr="00D71F75">
        <w:rPr>
          <w:sz w:val="16"/>
          <w:szCs w:val="16"/>
        </w:rPr>
        <w:t xml:space="preserve"> </w:t>
      </w:r>
      <w:r w:rsidR="00F25283" w:rsidRPr="00D71F75">
        <w:rPr>
          <w:sz w:val="16"/>
          <w:szCs w:val="16"/>
        </w:rPr>
        <w:t>(pdf/online/MS word).</w:t>
      </w:r>
      <w:r w:rsidRPr="00825B04">
        <w:rPr>
          <w:sz w:val="16"/>
          <w:szCs w:val="16"/>
        </w:rPr>
        <w:t xml:space="preserve"> Available at </w:t>
      </w:r>
      <w:hyperlink r:id="rId17" w:history="1">
        <w:r w:rsidRPr="00825B04">
          <w:rPr>
            <w:rStyle w:val="Hyperlink"/>
            <w:sz w:val="16"/>
            <w:szCs w:val="16"/>
          </w:rPr>
          <w:t>Advance care planning</w:t>
        </w:r>
      </w:hyperlink>
      <w:r w:rsidRPr="00825B04">
        <w:rPr>
          <w:sz w:val="16"/>
          <w:szCs w:val="16"/>
        </w:rPr>
        <w:t xml:space="preserve"> &lt;</w:t>
      </w:r>
      <w:r w:rsidR="00137C4D" w:rsidRPr="00137C4D">
        <w:rPr>
          <w:sz w:val="16"/>
          <w:szCs w:val="16"/>
        </w:rPr>
        <w:t>https://www.health.vic.gov.au/end-of-life-care/advance-care-planning</w:t>
      </w:r>
      <w:r w:rsidRPr="00825B04">
        <w:rPr>
          <w:sz w:val="16"/>
          <w:szCs w:val="16"/>
        </w:rPr>
        <w:t>&gt;</w:t>
      </w:r>
      <w:r w:rsidR="005E7A74">
        <w:rPr>
          <w:sz w:val="16"/>
          <w:szCs w:val="16"/>
        </w:rPr>
        <w:t>.</w:t>
      </w:r>
      <w:r w:rsidR="00D71F75">
        <w:rPr>
          <w:sz w:val="16"/>
          <w:szCs w:val="16"/>
        </w:rPr>
        <w:t xml:space="preserve"> Printed by </w:t>
      </w:r>
      <w:r w:rsidR="00D71F75" w:rsidRPr="00D71F75">
        <w:rPr>
          <w:sz w:val="16"/>
          <w:szCs w:val="16"/>
        </w:rPr>
        <w:t xml:space="preserve">Dynamite </w:t>
      </w:r>
      <w:r w:rsidR="00D71F75">
        <w:rPr>
          <w:sz w:val="16"/>
          <w:szCs w:val="16"/>
        </w:rPr>
        <w:t>P</w:t>
      </w:r>
      <w:r w:rsidR="00D71F75" w:rsidRPr="00D71F75">
        <w:rPr>
          <w:sz w:val="16"/>
          <w:szCs w:val="16"/>
        </w:rPr>
        <w:t>rinting</w:t>
      </w:r>
      <w:r w:rsidR="00D71F75">
        <w:rPr>
          <w:sz w:val="16"/>
          <w:szCs w:val="16"/>
        </w:rPr>
        <w:t xml:space="preserve">, </w:t>
      </w:r>
      <w:r w:rsidR="00D71F75" w:rsidRPr="00D71F75">
        <w:rPr>
          <w:sz w:val="16"/>
          <w:szCs w:val="16"/>
        </w:rPr>
        <w:t>Dandenong South</w:t>
      </w:r>
      <w:r w:rsidR="00D71F75">
        <w:rPr>
          <w:sz w:val="16"/>
          <w:szCs w:val="16"/>
        </w:rPr>
        <w:t>.</w:t>
      </w:r>
    </w:p>
    <w:sectPr w:rsidR="002D16D3" w:rsidRPr="00825B04" w:rsidSect="00825B04">
      <w:type w:val="continuous"/>
      <w:pgSz w:w="11906" w:h="16838" w:code="9"/>
      <w:pgMar w:top="851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74C7" w14:textId="77777777" w:rsidR="00075CA1" w:rsidRDefault="00075CA1">
      <w:r>
        <w:separator/>
      </w:r>
    </w:p>
  </w:endnote>
  <w:endnote w:type="continuationSeparator" w:id="0">
    <w:p w14:paraId="4C53C8A7" w14:textId="77777777" w:rsidR="00075CA1" w:rsidRDefault="0007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30F1" w14:textId="503CC772" w:rsidR="00A872B9" w:rsidRDefault="00A872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BC49FD" wp14:editId="40D9E5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3993727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9F174" w14:textId="0C00B042" w:rsidR="00A872B9" w:rsidRPr="00A872B9" w:rsidRDefault="00A872B9" w:rsidP="00A872B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A872B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C49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989F174" w14:textId="0C00B042" w:rsidR="00A872B9" w:rsidRPr="00A872B9" w:rsidRDefault="00A872B9" w:rsidP="00A872B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A872B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2D33" w14:textId="009FB900" w:rsidR="009D70A4" w:rsidRPr="00F65AA9" w:rsidRDefault="00A872B9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88EA5B" wp14:editId="64D88CD3">
              <wp:simplePos x="542925" y="10239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805677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E72BA" w14:textId="25944222" w:rsidR="00A872B9" w:rsidRPr="00A872B9" w:rsidRDefault="00A872B9" w:rsidP="00A872B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A872B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8EA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4E72BA" w14:textId="25944222" w:rsidR="00A872B9" w:rsidRPr="00A872B9" w:rsidRDefault="00A872B9" w:rsidP="00A872B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A872B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7D8D">
      <w:rPr>
        <w:noProof/>
        <w:lang w:eastAsia="en-AU"/>
      </w:rPr>
      <w:drawing>
        <wp:anchor distT="0" distB="0" distL="114300" distR="114300" simplePos="0" relativeHeight="251657216" behindDoc="0" locked="1" layoutInCell="0" allowOverlap="1" wp14:anchorId="148CE21E" wp14:editId="7BCB621A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1479" w14:textId="4CCEAE40" w:rsidR="00A872B9" w:rsidRDefault="00A872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F9DCD" wp14:editId="2806F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008109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39DFB" w14:textId="0CC087AB" w:rsidR="00A872B9" w:rsidRPr="00A872B9" w:rsidRDefault="00A872B9" w:rsidP="00A872B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A872B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F9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3B39DFB" w14:textId="0CC087AB" w:rsidR="00A872B9" w:rsidRPr="00A872B9" w:rsidRDefault="00A872B9" w:rsidP="00A872B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A872B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09A3" w14:textId="195EAA92" w:rsidR="009D70A4" w:rsidRPr="00F43C1E" w:rsidRDefault="00A872B9" w:rsidP="00512602">
    <w:pPr>
      <w:pStyle w:val="DHHSfooter"/>
      <w:rPr>
        <w:b/>
        <w:color w:val="C5511A"/>
      </w:rPr>
    </w:pPr>
    <w:r>
      <w:rPr>
        <w:noProof/>
        <w:color w:val="C5511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C271DD" wp14:editId="3A0DFA4B">
              <wp:simplePos x="541020" y="102374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1365894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A6630" w14:textId="649F1E25" w:rsidR="00A872B9" w:rsidRPr="00A872B9" w:rsidRDefault="00A872B9" w:rsidP="00A872B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A872B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271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2A6630" w14:textId="649F1E25" w:rsidR="00A872B9" w:rsidRPr="00A872B9" w:rsidRDefault="00A872B9" w:rsidP="00A872B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A872B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DD6">
      <w:rPr>
        <w:color w:val="C5511A"/>
      </w:rPr>
      <w:t>A s</w:t>
    </w:r>
    <w:r w:rsidR="00932DD3" w:rsidRPr="00F43C1E">
      <w:rPr>
        <w:color w:val="C5511A"/>
      </w:rPr>
      <w:t xml:space="preserve">ummary of </w:t>
    </w:r>
    <w:r w:rsidR="00827DD6">
      <w:rPr>
        <w:color w:val="C5511A"/>
      </w:rPr>
      <w:t xml:space="preserve">the </w:t>
    </w:r>
    <w:r w:rsidR="00512602" w:rsidRPr="00F43C1E">
      <w:rPr>
        <w:color w:val="C5511A"/>
      </w:rPr>
      <w:t xml:space="preserve">Medical Treatment Planning and Decisions Act 2016: </w:t>
    </w:r>
    <w:r w:rsidR="00932DD3" w:rsidRPr="00F43C1E">
      <w:rPr>
        <w:color w:val="C5511A"/>
      </w:rPr>
      <w:t>for health practitioners</w:t>
    </w:r>
    <w:r w:rsidR="00825B04">
      <w:rPr>
        <w:color w:val="C5511A"/>
      </w:rPr>
      <w:t xml:space="preserve"> (</w:t>
    </w:r>
    <w:r w:rsidR="00876035" w:rsidRPr="00876035">
      <w:rPr>
        <w:color w:val="C5511A"/>
      </w:rPr>
      <w:t>2nd edition, revised</w:t>
    </w:r>
    <w:r w:rsidR="00825B04">
      <w:rPr>
        <w:color w:val="C5511A"/>
      </w:rPr>
      <w:t>)</w:t>
    </w:r>
    <w:r w:rsidR="009D70A4" w:rsidRPr="00F43C1E">
      <w:rPr>
        <w:color w:val="C5511A"/>
      </w:rPr>
      <w:tab/>
    </w:r>
    <w:r w:rsidR="009D70A4" w:rsidRPr="00F43C1E">
      <w:rPr>
        <w:b/>
        <w:color w:val="C5511A"/>
      </w:rPr>
      <w:fldChar w:fldCharType="begin"/>
    </w:r>
    <w:r w:rsidR="009D70A4" w:rsidRPr="00F43C1E">
      <w:rPr>
        <w:b/>
        <w:color w:val="C5511A"/>
      </w:rPr>
      <w:instrText xml:space="preserve"> PAGE </w:instrText>
    </w:r>
    <w:r w:rsidR="009D70A4" w:rsidRPr="00F43C1E">
      <w:rPr>
        <w:b/>
        <w:color w:val="C5511A"/>
      </w:rPr>
      <w:fldChar w:fldCharType="separate"/>
    </w:r>
    <w:r w:rsidR="003B7147">
      <w:rPr>
        <w:b/>
        <w:noProof/>
        <w:color w:val="C5511A"/>
      </w:rPr>
      <w:t>2</w:t>
    </w:r>
    <w:r w:rsidR="009D70A4" w:rsidRPr="00F43C1E">
      <w:rPr>
        <w:b/>
        <w:color w:val="C5511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FFCF" w14:textId="77777777" w:rsidR="00075CA1" w:rsidRDefault="00075CA1" w:rsidP="002862F1">
      <w:pPr>
        <w:spacing w:before="120"/>
      </w:pPr>
      <w:r>
        <w:separator/>
      </w:r>
    </w:p>
  </w:footnote>
  <w:footnote w:type="continuationSeparator" w:id="0">
    <w:p w14:paraId="26384F60" w14:textId="77777777" w:rsidR="00075CA1" w:rsidRDefault="0007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A464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5BC6384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lowerLetter"/>
      <w:lvlRestart w:val="0"/>
      <w:lvlText w:val="%3)"/>
      <w:lvlJc w:val="left"/>
      <w:pPr>
        <w:ind w:left="567" w:hanging="283"/>
      </w:pPr>
      <w:rPr>
        <w:rFonts w:ascii="Arial" w:eastAsia="Times" w:hAnsi="Arial" w:cs="Times New Roman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2815C1"/>
    <w:multiLevelType w:val="hybridMultilevel"/>
    <w:tmpl w:val="5EDA6BEE"/>
    <w:lvl w:ilvl="0" w:tplc="2708B9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0D0920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B769F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F4E5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A278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0A13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7276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1023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3D6D2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96918376">
    <w:abstractNumId w:val="0"/>
  </w:num>
  <w:num w:numId="2" w16cid:durableId="1688755633">
    <w:abstractNumId w:val="1"/>
  </w:num>
  <w:num w:numId="3" w16cid:durableId="1435633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91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853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656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811520">
    <w:abstractNumId w:val="5"/>
  </w:num>
  <w:num w:numId="8" w16cid:durableId="1856263136">
    <w:abstractNumId w:val="4"/>
  </w:num>
  <w:num w:numId="9" w16cid:durableId="140587054">
    <w:abstractNumId w:val="3"/>
  </w:num>
  <w:num w:numId="10" w16cid:durableId="95663931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2"/>
    <w:rsid w:val="0000678B"/>
    <w:rsid w:val="000072B6"/>
    <w:rsid w:val="0001021B"/>
    <w:rsid w:val="00011D89"/>
    <w:rsid w:val="00024D89"/>
    <w:rsid w:val="000250B6"/>
    <w:rsid w:val="000264D7"/>
    <w:rsid w:val="00033D81"/>
    <w:rsid w:val="00041BF0"/>
    <w:rsid w:val="0004536B"/>
    <w:rsid w:val="00046B68"/>
    <w:rsid w:val="000527DD"/>
    <w:rsid w:val="000578B2"/>
    <w:rsid w:val="00060959"/>
    <w:rsid w:val="0006401A"/>
    <w:rsid w:val="000663CD"/>
    <w:rsid w:val="000733FE"/>
    <w:rsid w:val="00074219"/>
    <w:rsid w:val="00074ED5"/>
    <w:rsid w:val="00075CA1"/>
    <w:rsid w:val="0009113B"/>
    <w:rsid w:val="000935CD"/>
    <w:rsid w:val="00094DA3"/>
    <w:rsid w:val="00096CD1"/>
    <w:rsid w:val="000A012C"/>
    <w:rsid w:val="000A0EB9"/>
    <w:rsid w:val="000A186C"/>
    <w:rsid w:val="000A6281"/>
    <w:rsid w:val="000B543D"/>
    <w:rsid w:val="000B5BF7"/>
    <w:rsid w:val="000B6BC8"/>
    <w:rsid w:val="000C42EA"/>
    <w:rsid w:val="000C4546"/>
    <w:rsid w:val="000C4FC1"/>
    <w:rsid w:val="000D1242"/>
    <w:rsid w:val="000E3CC7"/>
    <w:rsid w:val="000E6BD4"/>
    <w:rsid w:val="000F1F1E"/>
    <w:rsid w:val="000F2259"/>
    <w:rsid w:val="000F31C1"/>
    <w:rsid w:val="000F7D07"/>
    <w:rsid w:val="0010392D"/>
    <w:rsid w:val="0010447F"/>
    <w:rsid w:val="00104FE3"/>
    <w:rsid w:val="00111806"/>
    <w:rsid w:val="00120BD3"/>
    <w:rsid w:val="00122FEA"/>
    <w:rsid w:val="001232BD"/>
    <w:rsid w:val="00124ED5"/>
    <w:rsid w:val="00137C4D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334B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0A5D"/>
    <w:rsid w:val="00240E48"/>
    <w:rsid w:val="002432E1"/>
    <w:rsid w:val="00246C5E"/>
    <w:rsid w:val="00251343"/>
    <w:rsid w:val="00254F58"/>
    <w:rsid w:val="00255C73"/>
    <w:rsid w:val="002620BC"/>
    <w:rsid w:val="00262802"/>
    <w:rsid w:val="002636CE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154D"/>
    <w:rsid w:val="0029597D"/>
    <w:rsid w:val="002962C3"/>
    <w:rsid w:val="0029752B"/>
    <w:rsid w:val="002A07A9"/>
    <w:rsid w:val="002A483C"/>
    <w:rsid w:val="002A7CA6"/>
    <w:rsid w:val="002B1729"/>
    <w:rsid w:val="002B4DD4"/>
    <w:rsid w:val="002B5277"/>
    <w:rsid w:val="002B5375"/>
    <w:rsid w:val="002B77C1"/>
    <w:rsid w:val="002C2728"/>
    <w:rsid w:val="002D16D3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4C9B"/>
    <w:rsid w:val="00306E5F"/>
    <w:rsid w:val="00307E14"/>
    <w:rsid w:val="00314054"/>
    <w:rsid w:val="00316F27"/>
    <w:rsid w:val="00327870"/>
    <w:rsid w:val="0033259D"/>
    <w:rsid w:val="003406C6"/>
    <w:rsid w:val="0034083A"/>
    <w:rsid w:val="003418CC"/>
    <w:rsid w:val="003459BD"/>
    <w:rsid w:val="00346159"/>
    <w:rsid w:val="00350D38"/>
    <w:rsid w:val="00351B36"/>
    <w:rsid w:val="00357B4E"/>
    <w:rsid w:val="00367D8D"/>
    <w:rsid w:val="00370CA9"/>
    <w:rsid w:val="003744CF"/>
    <w:rsid w:val="00374717"/>
    <w:rsid w:val="0037676C"/>
    <w:rsid w:val="003829E5"/>
    <w:rsid w:val="00387924"/>
    <w:rsid w:val="00393D9A"/>
    <w:rsid w:val="003956CC"/>
    <w:rsid w:val="00395C9A"/>
    <w:rsid w:val="003A6B67"/>
    <w:rsid w:val="003B15E6"/>
    <w:rsid w:val="003B2B7E"/>
    <w:rsid w:val="003B7147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4F06"/>
    <w:rsid w:val="00406285"/>
    <w:rsid w:val="004148F9"/>
    <w:rsid w:val="0042084E"/>
    <w:rsid w:val="00421EEF"/>
    <w:rsid w:val="00424D65"/>
    <w:rsid w:val="004265D6"/>
    <w:rsid w:val="00442C6C"/>
    <w:rsid w:val="00443CBE"/>
    <w:rsid w:val="00443E8A"/>
    <w:rsid w:val="004441BC"/>
    <w:rsid w:val="004468B4"/>
    <w:rsid w:val="0045230A"/>
    <w:rsid w:val="00457337"/>
    <w:rsid w:val="0047372D"/>
    <w:rsid w:val="00473929"/>
    <w:rsid w:val="004743DD"/>
    <w:rsid w:val="00474CEA"/>
    <w:rsid w:val="00483968"/>
    <w:rsid w:val="00484F86"/>
    <w:rsid w:val="004876FB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0FE0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2E06"/>
    <w:rsid w:val="00503DC6"/>
    <w:rsid w:val="00506B54"/>
    <w:rsid w:val="00506F5D"/>
    <w:rsid w:val="00512602"/>
    <w:rsid w:val="005126D0"/>
    <w:rsid w:val="0051568D"/>
    <w:rsid w:val="00526C15"/>
    <w:rsid w:val="005275A6"/>
    <w:rsid w:val="00527DA9"/>
    <w:rsid w:val="00536499"/>
    <w:rsid w:val="00543903"/>
    <w:rsid w:val="00543F11"/>
    <w:rsid w:val="00547A95"/>
    <w:rsid w:val="0055138D"/>
    <w:rsid w:val="00553332"/>
    <w:rsid w:val="005556F1"/>
    <w:rsid w:val="00562CDD"/>
    <w:rsid w:val="0056548C"/>
    <w:rsid w:val="00572031"/>
    <w:rsid w:val="00576E84"/>
    <w:rsid w:val="00582B8C"/>
    <w:rsid w:val="0058757E"/>
    <w:rsid w:val="005922BE"/>
    <w:rsid w:val="00595A0F"/>
    <w:rsid w:val="00596A4B"/>
    <w:rsid w:val="00597507"/>
    <w:rsid w:val="005B21B6"/>
    <w:rsid w:val="005B3A08"/>
    <w:rsid w:val="005B7A63"/>
    <w:rsid w:val="005C0955"/>
    <w:rsid w:val="005C2170"/>
    <w:rsid w:val="005C49DA"/>
    <w:rsid w:val="005C50F3"/>
    <w:rsid w:val="005C5D91"/>
    <w:rsid w:val="005D07B8"/>
    <w:rsid w:val="005D6597"/>
    <w:rsid w:val="005E14E7"/>
    <w:rsid w:val="005E26A3"/>
    <w:rsid w:val="005E2A11"/>
    <w:rsid w:val="005E447E"/>
    <w:rsid w:val="005E7A74"/>
    <w:rsid w:val="005E7F52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006D"/>
    <w:rsid w:val="006358B4"/>
    <w:rsid w:val="00637D0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6F5C8A"/>
    <w:rsid w:val="0070082C"/>
    <w:rsid w:val="007013EF"/>
    <w:rsid w:val="00703DBB"/>
    <w:rsid w:val="007173CA"/>
    <w:rsid w:val="007216AA"/>
    <w:rsid w:val="00721AB5"/>
    <w:rsid w:val="00721DEF"/>
    <w:rsid w:val="00724A43"/>
    <w:rsid w:val="007346E4"/>
    <w:rsid w:val="00740F22"/>
    <w:rsid w:val="00741F1A"/>
    <w:rsid w:val="00743DA6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5DB8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5CA7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11EF"/>
    <w:rsid w:val="008048C4"/>
    <w:rsid w:val="0080587B"/>
    <w:rsid w:val="00806468"/>
    <w:rsid w:val="00807872"/>
    <w:rsid w:val="008155F0"/>
    <w:rsid w:val="00816735"/>
    <w:rsid w:val="00820141"/>
    <w:rsid w:val="00820E0C"/>
    <w:rsid w:val="00824E55"/>
    <w:rsid w:val="00825B04"/>
    <w:rsid w:val="00827DD6"/>
    <w:rsid w:val="00831529"/>
    <w:rsid w:val="008338A2"/>
    <w:rsid w:val="00841AA9"/>
    <w:rsid w:val="00847048"/>
    <w:rsid w:val="00853EE4"/>
    <w:rsid w:val="00855535"/>
    <w:rsid w:val="0086255E"/>
    <w:rsid w:val="008633F0"/>
    <w:rsid w:val="008650D2"/>
    <w:rsid w:val="00867D9D"/>
    <w:rsid w:val="00872E0A"/>
    <w:rsid w:val="008743EE"/>
    <w:rsid w:val="00875285"/>
    <w:rsid w:val="0087603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3801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12479"/>
    <w:rsid w:val="00920862"/>
    <w:rsid w:val="00924AE1"/>
    <w:rsid w:val="009269B1"/>
    <w:rsid w:val="0092724D"/>
    <w:rsid w:val="00932DD3"/>
    <w:rsid w:val="00934EB9"/>
    <w:rsid w:val="00937BD9"/>
    <w:rsid w:val="00950E2C"/>
    <w:rsid w:val="00951D50"/>
    <w:rsid w:val="009525EB"/>
    <w:rsid w:val="00954874"/>
    <w:rsid w:val="00960263"/>
    <w:rsid w:val="00960792"/>
    <w:rsid w:val="00961400"/>
    <w:rsid w:val="00963646"/>
    <w:rsid w:val="009853E1"/>
    <w:rsid w:val="00986E6B"/>
    <w:rsid w:val="00991769"/>
    <w:rsid w:val="00992D9D"/>
    <w:rsid w:val="00994386"/>
    <w:rsid w:val="009A13D8"/>
    <w:rsid w:val="009A279E"/>
    <w:rsid w:val="009B0A6F"/>
    <w:rsid w:val="009B0A94"/>
    <w:rsid w:val="009B59E9"/>
    <w:rsid w:val="009B70AA"/>
    <w:rsid w:val="009C2699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3A3D"/>
    <w:rsid w:val="00A54715"/>
    <w:rsid w:val="00A6061C"/>
    <w:rsid w:val="00A62D44"/>
    <w:rsid w:val="00A67263"/>
    <w:rsid w:val="00A7161C"/>
    <w:rsid w:val="00A77AA3"/>
    <w:rsid w:val="00A854EB"/>
    <w:rsid w:val="00A872B9"/>
    <w:rsid w:val="00A872E5"/>
    <w:rsid w:val="00A91406"/>
    <w:rsid w:val="00A95503"/>
    <w:rsid w:val="00A96E65"/>
    <w:rsid w:val="00A97C72"/>
    <w:rsid w:val="00AA11B8"/>
    <w:rsid w:val="00AA63D4"/>
    <w:rsid w:val="00AB06E8"/>
    <w:rsid w:val="00AB1CD3"/>
    <w:rsid w:val="00AB352F"/>
    <w:rsid w:val="00AB550E"/>
    <w:rsid w:val="00AC20E1"/>
    <w:rsid w:val="00AC274B"/>
    <w:rsid w:val="00AC46B5"/>
    <w:rsid w:val="00AC472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BAF"/>
    <w:rsid w:val="00B13851"/>
    <w:rsid w:val="00B13B1C"/>
    <w:rsid w:val="00B22291"/>
    <w:rsid w:val="00B23F9A"/>
    <w:rsid w:val="00B2417B"/>
    <w:rsid w:val="00B24E6F"/>
    <w:rsid w:val="00B26B04"/>
    <w:rsid w:val="00B26CB5"/>
    <w:rsid w:val="00B2752E"/>
    <w:rsid w:val="00B307CC"/>
    <w:rsid w:val="00B326B7"/>
    <w:rsid w:val="00B431E8"/>
    <w:rsid w:val="00B45141"/>
    <w:rsid w:val="00B5273A"/>
    <w:rsid w:val="00B54B5B"/>
    <w:rsid w:val="00B62B50"/>
    <w:rsid w:val="00B635B7"/>
    <w:rsid w:val="00B63AE8"/>
    <w:rsid w:val="00B65950"/>
    <w:rsid w:val="00B66D83"/>
    <w:rsid w:val="00B672C0"/>
    <w:rsid w:val="00B72301"/>
    <w:rsid w:val="00B75646"/>
    <w:rsid w:val="00B8409F"/>
    <w:rsid w:val="00B90729"/>
    <w:rsid w:val="00B907DA"/>
    <w:rsid w:val="00B93235"/>
    <w:rsid w:val="00B94E0D"/>
    <w:rsid w:val="00B950BC"/>
    <w:rsid w:val="00B9714C"/>
    <w:rsid w:val="00BA2309"/>
    <w:rsid w:val="00BA3F8D"/>
    <w:rsid w:val="00BA79CA"/>
    <w:rsid w:val="00BB7A10"/>
    <w:rsid w:val="00BC7468"/>
    <w:rsid w:val="00BC7D4F"/>
    <w:rsid w:val="00BC7ED7"/>
    <w:rsid w:val="00BD2850"/>
    <w:rsid w:val="00BE28D2"/>
    <w:rsid w:val="00BE4A64"/>
    <w:rsid w:val="00BF0C1D"/>
    <w:rsid w:val="00BF74C6"/>
    <w:rsid w:val="00BF7F58"/>
    <w:rsid w:val="00C01381"/>
    <w:rsid w:val="00C01B6F"/>
    <w:rsid w:val="00C079B8"/>
    <w:rsid w:val="00C123EA"/>
    <w:rsid w:val="00C12A49"/>
    <w:rsid w:val="00C133EE"/>
    <w:rsid w:val="00C27DE9"/>
    <w:rsid w:val="00C33388"/>
    <w:rsid w:val="00C35484"/>
    <w:rsid w:val="00C4173A"/>
    <w:rsid w:val="00C564E2"/>
    <w:rsid w:val="00C6016E"/>
    <w:rsid w:val="00C602FF"/>
    <w:rsid w:val="00C61174"/>
    <w:rsid w:val="00C6148F"/>
    <w:rsid w:val="00C62F7A"/>
    <w:rsid w:val="00C63B9C"/>
    <w:rsid w:val="00C6682F"/>
    <w:rsid w:val="00C7275E"/>
    <w:rsid w:val="00C74B34"/>
    <w:rsid w:val="00C74C5D"/>
    <w:rsid w:val="00C76CDD"/>
    <w:rsid w:val="00C77E53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53AC"/>
    <w:rsid w:val="00CD64DF"/>
    <w:rsid w:val="00CF1AC6"/>
    <w:rsid w:val="00CF2F50"/>
    <w:rsid w:val="00D02457"/>
    <w:rsid w:val="00D02919"/>
    <w:rsid w:val="00D04C61"/>
    <w:rsid w:val="00D05B8D"/>
    <w:rsid w:val="00D065A2"/>
    <w:rsid w:val="00D07F00"/>
    <w:rsid w:val="00D15F16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1F75"/>
    <w:rsid w:val="00D75EA7"/>
    <w:rsid w:val="00D81F21"/>
    <w:rsid w:val="00D95470"/>
    <w:rsid w:val="00DA2619"/>
    <w:rsid w:val="00DA4239"/>
    <w:rsid w:val="00DB0B61"/>
    <w:rsid w:val="00DB0F95"/>
    <w:rsid w:val="00DB3C5E"/>
    <w:rsid w:val="00DB500A"/>
    <w:rsid w:val="00DC090B"/>
    <w:rsid w:val="00DC1679"/>
    <w:rsid w:val="00DC2CF1"/>
    <w:rsid w:val="00DC4FCF"/>
    <w:rsid w:val="00DC50E0"/>
    <w:rsid w:val="00DC6386"/>
    <w:rsid w:val="00DD1130"/>
    <w:rsid w:val="00DD1951"/>
    <w:rsid w:val="00DD2876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629A1"/>
    <w:rsid w:val="00E71591"/>
    <w:rsid w:val="00E80673"/>
    <w:rsid w:val="00E82C55"/>
    <w:rsid w:val="00E92AC3"/>
    <w:rsid w:val="00E95638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1053"/>
    <w:rsid w:val="00F16F1B"/>
    <w:rsid w:val="00F250A9"/>
    <w:rsid w:val="00F25283"/>
    <w:rsid w:val="00F30FF4"/>
    <w:rsid w:val="00F3122E"/>
    <w:rsid w:val="00F331AD"/>
    <w:rsid w:val="00F35287"/>
    <w:rsid w:val="00F43A37"/>
    <w:rsid w:val="00F43C1E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4EA9"/>
    <w:rsid w:val="00F85195"/>
    <w:rsid w:val="00F938BA"/>
    <w:rsid w:val="00F97F25"/>
    <w:rsid w:val="00FA2C46"/>
    <w:rsid w:val="00FA3525"/>
    <w:rsid w:val="00FB4CDA"/>
    <w:rsid w:val="00FC0F81"/>
    <w:rsid w:val="00FC395C"/>
    <w:rsid w:val="00FD3766"/>
    <w:rsid w:val="00FD47C4"/>
    <w:rsid w:val="00FD6087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73A588A"/>
  <w15:docId w15:val="{3D8655E9-3F1E-41A8-8F12-1B57E922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12602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775DB8"/>
    <w:pPr>
      <w:keepNext/>
      <w:keepLines/>
      <w:spacing w:before="160" w:after="12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825B04"/>
    <w:pPr>
      <w:spacing w:after="10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775DB8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CommentReference">
    <w:name w:val="annotation reference"/>
    <w:uiPriority w:val="99"/>
    <w:semiHidden/>
    <w:unhideWhenUsed/>
    <w:rsid w:val="00512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602"/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CommentTextChar">
    <w:name w:val="Comment Text Char"/>
    <w:basedOn w:val="DefaultParagraphFont"/>
    <w:link w:val="CommentText"/>
    <w:uiPriority w:val="99"/>
    <w:rsid w:val="00512602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602"/>
    <w:rPr>
      <w:rFonts w:ascii="Tahoma" w:hAnsi="Tahoma" w:cs="Tahoma"/>
      <w:sz w:val="16"/>
      <w:szCs w:val="16"/>
    </w:r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DD2876"/>
    <w:rPr>
      <w:color w:val="C5511A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02"/>
    <w:rPr>
      <w:rFonts w:ascii="Tahoma" w:hAnsi="Tahoma" w:cs="Tahoma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602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934EB9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88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60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66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end-of-life-care/advance-care-plan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cp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vic.gov.a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health.vic.gov.au/end-of-life-care/advance-care-planni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B92A-CDD1-42CA-9C65-AE098D64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1163</Words>
  <Characters>6851</Characters>
  <Application>Microsoft Office Word</Application>
  <DocSecurity>0</DocSecurity>
  <Lines>185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Medical Treatment Planning and Decisions Act 2016: for health practitioners (2nd edition revised)</vt:lpstr>
    </vt:vector>
  </TitlesOfParts>
  <Company>Department of Health and Human Services</Company>
  <LinksUpToDate>false</LinksUpToDate>
  <CharactersWithSpaces>7945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Medical Treatment Planning and Decisions Act 2016: for health practitioners (2nd edition revised)</dc:title>
  <dc:subject>Summary of Medical Treatment Planning and Decisions Act 2016: for health practitioners</dc:subject>
  <dc:creator>acp@health.vic.gov.au</dc:creator>
  <cp:keywords>Medical Treatment Planning and Decisions Act, advance care directive, medical treatment decision maker</cp:keywords>
  <cp:lastPrinted>2018-08-30T02:34:00Z</cp:lastPrinted>
  <dcterms:created xsi:type="dcterms:W3CDTF">2019-01-09T06:37:00Z</dcterms:created>
  <dcterms:modified xsi:type="dcterms:W3CDTF">2026-03-12T06:07:00Z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FooterShapeIds">
    <vt:lpwstr>2fbb67ab,17cdf1e0,642b6dee,4856f742</vt:lpwstr>
  </property>
  <property fmtid="{D5CDD505-2E9C-101B-9397-08002B2CF9AE}" pid="4" name="ClassificationContentMarkingFooterFontProps">
    <vt:lpwstr>#000000,10,Arial Black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2026-03-12T06:04:49Z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0de78824-da83-400c-b585-aaa60f1cd46d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SIP_Label_43e64453-338c-4f93-8a4d-0039a0a41f2a_Tag">
    <vt:lpwstr>10, 0, 1, 1</vt:lpwstr>
  </property>
</Properties>
</file>