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8C78" w14:textId="77777777" w:rsidR="00056EC4" w:rsidRDefault="00E9042A" w:rsidP="00056EC4">
      <w:pPr>
        <w:pStyle w:val="Body"/>
      </w:pPr>
      <w:r>
        <w:rPr>
          <w:noProof/>
        </w:rPr>
        <w:drawing>
          <wp:anchor distT="0" distB="0" distL="114300" distR="114300" simplePos="0" relativeHeight="251658242" behindDoc="1" locked="1" layoutInCell="1" allowOverlap="0" wp14:anchorId="2ADD00FD" wp14:editId="66BB849B">
            <wp:simplePos x="0" y="0"/>
            <wp:positionH relativeFrom="page">
              <wp:align>left</wp:align>
            </wp:positionH>
            <wp:positionV relativeFrom="page">
              <wp:posOffset>-219710</wp:posOffset>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Ind w:w="0" w:type="dxa"/>
        <w:tblLook w:val="0600" w:firstRow="0" w:lastRow="0" w:firstColumn="0" w:lastColumn="0" w:noHBand="1" w:noVBand="1"/>
      </w:tblPr>
      <w:tblGrid>
        <w:gridCol w:w="9299"/>
      </w:tblGrid>
      <w:tr w:rsidR="00AD784C" w14:paraId="4A08AA4A" w14:textId="77777777" w:rsidTr="00431F42">
        <w:trPr>
          <w:cantSplit/>
        </w:trPr>
        <w:tc>
          <w:tcPr>
            <w:tcW w:w="0" w:type="auto"/>
            <w:tcMar>
              <w:top w:w="0" w:type="dxa"/>
              <w:left w:w="0" w:type="dxa"/>
              <w:right w:w="0" w:type="dxa"/>
            </w:tcMar>
          </w:tcPr>
          <w:p w14:paraId="69E9D120" w14:textId="704A33E9" w:rsidR="00AD784C" w:rsidRPr="00431F42" w:rsidRDefault="00C0746D" w:rsidP="00CC3BB0">
            <w:pPr>
              <w:pStyle w:val="Documenttitle"/>
            </w:pPr>
            <w:r>
              <w:t>Non-Emergency Patient Transport Regulations 2026</w:t>
            </w:r>
          </w:p>
        </w:tc>
      </w:tr>
      <w:tr w:rsidR="00AD784C" w14:paraId="5FF1F089" w14:textId="77777777" w:rsidTr="00431F42">
        <w:trPr>
          <w:cantSplit/>
        </w:trPr>
        <w:tc>
          <w:tcPr>
            <w:tcW w:w="0" w:type="auto"/>
          </w:tcPr>
          <w:p w14:paraId="4979C7C7" w14:textId="4809D8DD" w:rsidR="00386109" w:rsidRPr="00A1389F" w:rsidRDefault="00990E61" w:rsidP="009315BE">
            <w:pPr>
              <w:pStyle w:val="Documentsubtitle"/>
            </w:pPr>
            <w:r>
              <w:t xml:space="preserve">Regulatory Impact Statement </w:t>
            </w:r>
          </w:p>
        </w:tc>
      </w:tr>
      <w:tr w:rsidR="00430393" w14:paraId="726D4A30" w14:textId="77777777" w:rsidTr="00431F42">
        <w:trPr>
          <w:cantSplit/>
        </w:trPr>
        <w:tc>
          <w:tcPr>
            <w:tcW w:w="0" w:type="auto"/>
          </w:tcPr>
          <w:p w14:paraId="5FA5B067" w14:textId="7F006922" w:rsidR="00990E61" w:rsidRDefault="00010108" w:rsidP="00430393">
            <w:pPr>
              <w:pStyle w:val="Bannermarking"/>
            </w:pPr>
            <w:fldSimple w:instr="FILLIN  &quot;Type the protective marking&quot; \d OFFICIAL \o  \* MERGEFORMAT">
              <w:r>
                <w:t>OFFICIAL</w:t>
              </w:r>
            </w:fldSimple>
          </w:p>
        </w:tc>
      </w:tr>
    </w:tbl>
    <w:p w14:paraId="2D43B6FC" w14:textId="77777777" w:rsidR="00FE4081" w:rsidRPr="00FE4081" w:rsidRDefault="00FE4081" w:rsidP="00FE4081">
      <w:pPr>
        <w:pStyle w:val="Body"/>
        <w:sectPr w:rsidR="00FE4081" w:rsidRPr="00FE4081" w:rsidSect="002C5B7C">
          <w:headerReference w:type="default" r:id="rId12"/>
          <w:footerReference w:type="even" r:id="rId13"/>
          <w:footerReference w:type="default" r:id="rId14"/>
          <w:headerReference w:type="first" r:id="rId15"/>
          <w:footerReference w:type="first" r:id="rId16"/>
          <w:type w:val="continuous"/>
          <w:pgSz w:w="11906" w:h="16838" w:code="9"/>
          <w:pgMar w:top="3969" w:right="1304" w:bottom="1418" w:left="1304" w:header="680" w:footer="851" w:gutter="0"/>
          <w:cols w:space="340"/>
          <w:docGrid w:linePitch="360"/>
        </w:sectPr>
      </w:pPr>
    </w:p>
    <w:tbl>
      <w:tblPr>
        <w:tblStyle w:val="TableGrid"/>
        <w:tblW w:w="0" w:type="auto"/>
        <w:tblInd w:w="0" w:type="dxa"/>
        <w:tblLook w:val="0600" w:firstRow="0" w:lastRow="0" w:firstColumn="0" w:lastColumn="0" w:noHBand="1" w:noVBand="1"/>
      </w:tblPr>
      <w:tblGrid>
        <w:gridCol w:w="9288"/>
      </w:tblGrid>
      <w:tr w:rsidR="009F2182" w14:paraId="31099153" w14:textId="77777777" w:rsidTr="11F67F6E">
        <w:trPr>
          <w:cantSplit/>
          <w:trHeight w:val="7088"/>
        </w:trPr>
        <w:tc>
          <w:tcPr>
            <w:tcW w:w="9288" w:type="dxa"/>
          </w:tcPr>
          <w:p w14:paraId="6137B437" w14:textId="34C5EF9E" w:rsidR="009F2182" w:rsidRPr="00BA26F6" w:rsidRDefault="009F2182" w:rsidP="00BA26F6">
            <w:pPr>
              <w:pStyle w:val="Body"/>
              <w:rPr>
                <w:rFonts w:eastAsia="Times New Roman"/>
                <w:color w:val="87189D"/>
                <w:sz w:val="24"/>
                <w:szCs w:val="24"/>
              </w:rPr>
            </w:pPr>
          </w:p>
        </w:tc>
      </w:tr>
      <w:tr w:rsidR="009F2182" w14:paraId="353399F9" w14:textId="77777777" w:rsidTr="11F67F6E">
        <w:trPr>
          <w:cantSplit/>
          <w:trHeight w:val="5103"/>
        </w:trPr>
        <w:tc>
          <w:tcPr>
            <w:tcW w:w="9288" w:type="dxa"/>
            <w:vAlign w:val="bottom"/>
          </w:tcPr>
          <w:p w14:paraId="1A725460" w14:textId="4C245E88" w:rsidR="00306A45" w:rsidRPr="00A624CA" w:rsidRDefault="00306A45" w:rsidP="00664147">
            <w:pPr>
              <w:pStyle w:val="Body"/>
              <w:rPr>
                <w:sz w:val="24"/>
                <w:szCs w:val="24"/>
              </w:rPr>
            </w:pPr>
            <w:r w:rsidRPr="00A624CA">
              <w:rPr>
                <w:sz w:val="24"/>
                <w:szCs w:val="24"/>
              </w:rPr>
              <w:t xml:space="preserve">To receive this document in another format, phone 03 9456 3838, using the National Relay Service 13 36 77 if required, or </w:t>
            </w:r>
            <w:hyperlink r:id="rId17" w:history="1">
              <w:r w:rsidRPr="00F6105C">
                <w:rPr>
                  <w:rStyle w:val="Hyperlink"/>
                  <w:sz w:val="24"/>
                  <w:szCs w:val="24"/>
                </w:rPr>
                <w:t>email the Department of Health’s Legislative and Regulatory Reform Team</w:t>
              </w:r>
            </w:hyperlink>
            <w:r w:rsidRPr="00A624CA">
              <w:rPr>
                <w:sz w:val="24"/>
                <w:szCs w:val="24"/>
              </w:rPr>
              <w:t xml:space="preserve"> at &lt;legandregreform@health.vic.gov.au&gt;.</w:t>
            </w:r>
          </w:p>
          <w:p w14:paraId="734F8560" w14:textId="7322D5D5" w:rsidR="009F2182" w:rsidRPr="00094BD6" w:rsidRDefault="009F2182" w:rsidP="009F2182">
            <w:pPr>
              <w:pStyle w:val="Imprint"/>
              <w:rPr>
                <w:color w:val="auto"/>
              </w:rPr>
            </w:pPr>
            <w:r w:rsidRPr="00094BD6">
              <w:rPr>
                <w:color w:val="auto"/>
              </w:rPr>
              <w:t>Authorised and published by the Victorian Government, 1 Treasury Place, Melbourne.</w:t>
            </w:r>
          </w:p>
          <w:p w14:paraId="4CBCA0E5" w14:textId="4BFEBF80" w:rsidR="009F2182" w:rsidRPr="00094BD6" w:rsidRDefault="009F2182" w:rsidP="009F2182">
            <w:pPr>
              <w:pStyle w:val="Imprint"/>
              <w:rPr>
                <w:color w:val="auto"/>
              </w:rPr>
            </w:pPr>
            <w:r w:rsidRPr="00094BD6">
              <w:rPr>
                <w:color w:val="auto"/>
              </w:rPr>
              <w:t xml:space="preserve">© State of Victoria, Australia, Department of </w:t>
            </w:r>
            <w:r w:rsidR="00D76ECC" w:rsidRPr="00094BD6">
              <w:rPr>
                <w:color w:val="auto"/>
              </w:rPr>
              <w:t>Health</w:t>
            </w:r>
            <w:r w:rsidRPr="00094BD6">
              <w:rPr>
                <w:color w:val="auto"/>
              </w:rPr>
              <w:t xml:space="preserve">, </w:t>
            </w:r>
            <w:r w:rsidR="5712A647" w:rsidRPr="0098516C">
              <w:rPr>
                <w:color w:val="auto"/>
              </w:rPr>
              <w:t>January</w:t>
            </w:r>
            <w:r w:rsidR="0056586D" w:rsidRPr="0098516C">
              <w:rPr>
                <w:color w:val="auto"/>
              </w:rPr>
              <w:t xml:space="preserve"> 202</w:t>
            </w:r>
            <w:r w:rsidR="784D7049" w:rsidRPr="0098516C">
              <w:rPr>
                <w:color w:val="auto"/>
              </w:rPr>
              <w:t>6</w:t>
            </w:r>
            <w:r w:rsidRPr="0098516C">
              <w:rPr>
                <w:color w:val="auto"/>
              </w:rPr>
              <w:t>.</w:t>
            </w:r>
          </w:p>
          <w:p w14:paraId="40FE9620" w14:textId="73CC21DC" w:rsidR="009F2182" w:rsidRPr="006F01C6" w:rsidRDefault="009F2182" w:rsidP="009F2182">
            <w:pPr>
              <w:pStyle w:val="Imprint"/>
              <w:rPr>
                <w:color w:val="auto"/>
              </w:rPr>
            </w:pPr>
            <w:bookmarkStart w:id="0" w:name="_Hlk62746129"/>
            <w:r w:rsidRPr="006F01C6">
              <w:rPr>
                <w:color w:val="auto"/>
              </w:rPr>
              <w:t xml:space="preserve">ISBN </w:t>
            </w:r>
            <w:r w:rsidR="008D4301" w:rsidRPr="006F01C6">
              <w:rPr>
                <w:color w:val="auto"/>
              </w:rPr>
              <w:t xml:space="preserve">978-1-76131-932-7 </w:t>
            </w:r>
            <w:r w:rsidRPr="006F01C6">
              <w:rPr>
                <w:color w:val="auto"/>
              </w:rPr>
              <w:t>(</w:t>
            </w:r>
            <w:r w:rsidR="002612EE" w:rsidRPr="006F01C6">
              <w:rPr>
                <w:color w:val="auto"/>
              </w:rPr>
              <w:t xml:space="preserve">MS </w:t>
            </w:r>
            <w:r w:rsidRPr="006F01C6">
              <w:rPr>
                <w:color w:val="auto"/>
              </w:rPr>
              <w:t>Word)</w:t>
            </w:r>
          </w:p>
          <w:p w14:paraId="72D01E9E" w14:textId="4B0AE22C" w:rsidR="009F2182" w:rsidRPr="001E6EEA" w:rsidRDefault="009F2182" w:rsidP="001E6EEA">
            <w:pPr>
              <w:pStyle w:val="Imprint"/>
              <w:rPr>
                <w:highlight w:val="yellow"/>
              </w:rPr>
            </w:pPr>
            <w:r w:rsidRPr="006B2566">
              <w:t xml:space="preserve">Available at </w:t>
            </w:r>
            <w:hyperlink r:id="rId18" w:history="1">
              <w:r w:rsidR="00CF7B10" w:rsidRPr="006B2566">
                <w:rPr>
                  <w:rStyle w:val="Hyperlink"/>
                </w:rPr>
                <w:t>NEPT legislation and clinical practice protocols</w:t>
              </w:r>
            </w:hyperlink>
            <w:r w:rsidR="00CF7B10" w:rsidRPr="006B2566">
              <w:t xml:space="preserve"> </w:t>
            </w:r>
            <w:r w:rsidRPr="006B2566">
              <w:t>&lt;</w:t>
            </w:r>
            <w:r w:rsidR="007230FC" w:rsidRPr="006B2566">
              <w:t>www.health.vic.gov.au</w:t>
            </w:r>
            <w:r w:rsidR="006B2566" w:rsidRPr="006B2566">
              <w:t>/patient-care/nept-legislation-and-clinical-practice-protocols</w:t>
            </w:r>
            <w:r w:rsidRPr="006B2566">
              <w:t>&gt;</w:t>
            </w:r>
            <w:bookmarkEnd w:id="0"/>
          </w:p>
        </w:tc>
      </w:tr>
      <w:tr w:rsidR="0008204A" w14:paraId="7208A3A9" w14:textId="77777777" w:rsidTr="11F67F6E">
        <w:trPr>
          <w:cantSplit/>
        </w:trPr>
        <w:tc>
          <w:tcPr>
            <w:tcW w:w="9288" w:type="dxa"/>
          </w:tcPr>
          <w:p w14:paraId="17A6B8B5" w14:textId="77777777" w:rsidR="0008204A" w:rsidRPr="0055119B" w:rsidRDefault="0008204A" w:rsidP="0008204A">
            <w:pPr>
              <w:pStyle w:val="Body"/>
            </w:pPr>
          </w:p>
        </w:tc>
      </w:tr>
    </w:tbl>
    <w:p w14:paraId="507B752B" w14:textId="77777777" w:rsidR="0008204A" w:rsidRPr="0008204A" w:rsidRDefault="0008204A" w:rsidP="0008204A">
      <w:pPr>
        <w:pStyle w:val="Body"/>
      </w:pPr>
      <w:r w:rsidRPr="0008204A">
        <w:br w:type="page"/>
      </w:r>
    </w:p>
    <w:p w14:paraId="2B4AC651" w14:textId="77777777" w:rsidR="00AD784C" w:rsidRPr="00B57329" w:rsidRDefault="00AD784C" w:rsidP="002365B4">
      <w:pPr>
        <w:pStyle w:val="TOCheadingreport"/>
      </w:pPr>
      <w:r w:rsidRPr="00B57329">
        <w:lastRenderedPageBreak/>
        <w:t>Contents</w:t>
      </w:r>
    </w:p>
    <w:p w14:paraId="2EDFC378" w14:textId="550F2F5C" w:rsidR="00A01AF2"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5847497" w:history="1">
        <w:r w:rsidR="00A01AF2" w:rsidRPr="00082A95">
          <w:rPr>
            <w:rStyle w:val="Hyperlink"/>
          </w:rPr>
          <w:t>Summary</w:t>
        </w:r>
        <w:r w:rsidR="00A01AF2">
          <w:rPr>
            <w:webHidden/>
          </w:rPr>
          <w:tab/>
        </w:r>
        <w:r w:rsidR="00A01AF2">
          <w:rPr>
            <w:webHidden/>
          </w:rPr>
          <w:fldChar w:fldCharType="begin"/>
        </w:r>
        <w:r w:rsidR="00A01AF2">
          <w:rPr>
            <w:webHidden/>
          </w:rPr>
          <w:instrText xml:space="preserve"> PAGEREF _Toc215847497 \h </w:instrText>
        </w:r>
        <w:r w:rsidR="00A01AF2">
          <w:rPr>
            <w:webHidden/>
          </w:rPr>
        </w:r>
        <w:r w:rsidR="00A01AF2">
          <w:rPr>
            <w:webHidden/>
          </w:rPr>
          <w:fldChar w:fldCharType="separate"/>
        </w:r>
        <w:r w:rsidR="00A01AF2">
          <w:rPr>
            <w:webHidden/>
          </w:rPr>
          <w:t>6</w:t>
        </w:r>
        <w:r w:rsidR="00A01AF2">
          <w:rPr>
            <w:webHidden/>
          </w:rPr>
          <w:fldChar w:fldCharType="end"/>
        </w:r>
      </w:hyperlink>
    </w:p>
    <w:p w14:paraId="595AA5EA" w14:textId="7972248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498" w:history="1">
        <w:r w:rsidRPr="00082A95">
          <w:rPr>
            <w:rStyle w:val="Hyperlink"/>
            <w:rFonts w:eastAsia="MS Gothic"/>
            <w:bCs/>
          </w:rPr>
          <w:t>Summary of proposed updates to the Regulations</w:t>
        </w:r>
        <w:r>
          <w:rPr>
            <w:webHidden/>
          </w:rPr>
          <w:tab/>
        </w:r>
        <w:r>
          <w:rPr>
            <w:webHidden/>
          </w:rPr>
          <w:fldChar w:fldCharType="begin"/>
        </w:r>
        <w:r>
          <w:rPr>
            <w:webHidden/>
          </w:rPr>
          <w:instrText xml:space="preserve"> PAGEREF _Toc215847498 \h </w:instrText>
        </w:r>
        <w:r>
          <w:rPr>
            <w:webHidden/>
          </w:rPr>
        </w:r>
        <w:r>
          <w:rPr>
            <w:webHidden/>
          </w:rPr>
          <w:fldChar w:fldCharType="separate"/>
        </w:r>
        <w:r>
          <w:rPr>
            <w:webHidden/>
          </w:rPr>
          <w:t>8</w:t>
        </w:r>
        <w:r>
          <w:rPr>
            <w:webHidden/>
          </w:rPr>
          <w:fldChar w:fldCharType="end"/>
        </w:r>
      </w:hyperlink>
    </w:p>
    <w:p w14:paraId="059BDB40" w14:textId="724224A4"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499" w:history="1">
        <w:r w:rsidRPr="00082A95">
          <w:rPr>
            <w:rStyle w:val="Hyperlink"/>
          </w:rPr>
          <w:t>1. Introduction</w:t>
        </w:r>
        <w:r>
          <w:rPr>
            <w:webHidden/>
          </w:rPr>
          <w:tab/>
        </w:r>
        <w:r>
          <w:rPr>
            <w:webHidden/>
          </w:rPr>
          <w:fldChar w:fldCharType="begin"/>
        </w:r>
        <w:r>
          <w:rPr>
            <w:webHidden/>
          </w:rPr>
          <w:instrText xml:space="preserve"> PAGEREF _Toc215847499 \h </w:instrText>
        </w:r>
        <w:r>
          <w:rPr>
            <w:webHidden/>
          </w:rPr>
        </w:r>
        <w:r>
          <w:rPr>
            <w:webHidden/>
          </w:rPr>
          <w:fldChar w:fldCharType="separate"/>
        </w:r>
        <w:r>
          <w:rPr>
            <w:webHidden/>
          </w:rPr>
          <w:t>8</w:t>
        </w:r>
        <w:r>
          <w:rPr>
            <w:webHidden/>
          </w:rPr>
          <w:fldChar w:fldCharType="end"/>
        </w:r>
      </w:hyperlink>
    </w:p>
    <w:p w14:paraId="4736E68A" w14:textId="6FB5B18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0" w:history="1">
        <w:r w:rsidRPr="00082A95">
          <w:rPr>
            <w:rStyle w:val="Hyperlink"/>
            <w:rFonts w:eastAsia="MS Mincho"/>
          </w:rPr>
          <w:t>Purpose of this Regulatory Impact Statement</w:t>
        </w:r>
        <w:r>
          <w:rPr>
            <w:webHidden/>
          </w:rPr>
          <w:tab/>
        </w:r>
        <w:r>
          <w:rPr>
            <w:webHidden/>
          </w:rPr>
          <w:fldChar w:fldCharType="begin"/>
        </w:r>
        <w:r>
          <w:rPr>
            <w:webHidden/>
          </w:rPr>
          <w:instrText xml:space="preserve"> PAGEREF _Toc215847500 \h </w:instrText>
        </w:r>
        <w:r>
          <w:rPr>
            <w:webHidden/>
          </w:rPr>
        </w:r>
        <w:r>
          <w:rPr>
            <w:webHidden/>
          </w:rPr>
          <w:fldChar w:fldCharType="separate"/>
        </w:r>
        <w:r>
          <w:rPr>
            <w:webHidden/>
          </w:rPr>
          <w:t>8</w:t>
        </w:r>
        <w:r>
          <w:rPr>
            <w:webHidden/>
          </w:rPr>
          <w:fldChar w:fldCharType="end"/>
        </w:r>
      </w:hyperlink>
    </w:p>
    <w:p w14:paraId="20371021" w14:textId="5C907A3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1" w:history="1">
        <w:r w:rsidRPr="00082A95">
          <w:rPr>
            <w:rStyle w:val="Hyperlink"/>
          </w:rPr>
          <w:t>Regulation of NEPT in Victoria</w:t>
        </w:r>
        <w:r>
          <w:rPr>
            <w:webHidden/>
          </w:rPr>
          <w:tab/>
        </w:r>
        <w:r>
          <w:rPr>
            <w:webHidden/>
          </w:rPr>
          <w:fldChar w:fldCharType="begin"/>
        </w:r>
        <w:r>
          <w:rPr>
            <w:webHidden/>
          </w:rPr>
          <w:instrText xml:space="preserve"> PAGEREF _Toc215847501 \h </w:instrText>
        </w:r>
        <w:r>
          <w:rPr>
            <w:webHidden/>
          </w:rPr>
        </w:r>
        <w:r>
          <w:rPr>
            <w:webHidden/>
          </w:rPr>
          <w:fldChar w:fldCharType="separate"/>
        </w:r>
        <w:r>
          <w:rPr>
            <w:webHidden/>
          </w:rPr>
          <w:t>9</w:t>
        </w:r>
        <w:r>
          <w:rPr>
            <w:webHidden/>
          </w:rPr>
          <w:fldChar w:fldCharType="end"/>
        </w:r>
      </w:hyperlink>
    </w:p>
    <w:p w14:paraId="7B728D37" w14:textId="0B77DB4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2" w:history="1">
        <w:r w:rsidRPr="00082A95">
          <w:rPr>
            <w:rStyle w:val="Hyperlink"/>
          </w:rPr>
          <w:t>NEPT and its role in the health service system</w:t>
        </w:r>
        <w:r>
          <w:rPr>
            <w:webHidden/>
          </w:rPr>
          <w:tab/>
        </w:r>
        <w:r>
          <w:rPr>
            <w:webHidden/>
          </w:rPr>
          <w:fldChar w:fldCharType="begin"/>
        </w:r>
        <w:r>
          <w:rPr>
            <w:webHidden/>
          </w:rPr>
          <w:instrText xml:space="preserve"> PAGEREF _Toc215847502 \h </w:instrText>
        </w:r>
        <w:r>
          <w:rPr>
            <w:webHidden/>
          </w:rPr>
        </w:r>
        <w:r>
          <w:rPr>
            <w:webHidden/>
          </w:rPr>
          <w:fldChar w:fldCharType="separate"/>
        </w:r>
        <w:r>
          <w:rPr>
            <w:webHidden/>
          </w:rPr>
          <w:t>11</w:t>
        </w:r>
        <w:r>
          <w:rPr>
            <w:webHidden/>
          </w:rPr>
          <w:fldChar w:fldCharType="end"/>
        </w:r>
      </w:hyperlink>
    </w:p>
    <w:p w14:paraId="74A05EE7" w14:textId="6B7FAF15"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3" w:history="1">
        <w:r w:rsidRPr="00082A95">
          <w:rPr>
            <w:rStyle w:val="Hyperlink"/>
          </w:rPr>
          <w:t>The NEPT Review and government response</w:t>
        </w:r>
        <w:r>
          <w:rPr>
            <w:webHidden/>
          </w:rPr>
          <w:tab/>
        </w:r>
        <w:r>
          <w:rPr>
            <w:webHidden/>
          </w:rPr>
          <w:fldChar w:fldCharType="begin"/>
        </w:r>
        <w:r>
          <w:rPr>
            <w:webHidden/>
          </w:rPr>
          <w:instrText xml:space="preserve"> PAGEREF _Toc215847503 \h </w:instrText>
        </w:r>
        <w:r>
          <w:rPr>
            <w:webHidden/>
          </w:rPr>
        </w:r>
        <w:r>
          <w:rPr>
            <w:webHidden/>
          </w:rPr>
          <w:fldChar w:fldCharType="separate"/>
        </w:r>
        <w:r>
          <w:rPr>
            <w:webHidden/>
          </w:rPr>
          <w:t>13</w:t>
        </w:r>
        <w:r>
          <w:rPr>
            <w:webHidden/>
          </w:rPr>
          <w:fldChar w:fldCharType="end"/>
        </w:r>
      </w:hyperlink>
    </w:p>
    <w:p w14:paraId="4765C1B9" w14:textId="0DA8E6F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4" w:history="1">
        <w:r w:rsidRPr="00082A95">
          <w:rPr>
            <w:rStyle w:val="Hyperlink"/>
            <w:rFonts w:eastAsia="MS Mincho"/>
          </w:rPr>
          <w:t>Making the Non-Emergency Patient Transport Regulations 2026</w:t>
        </w:r>
        <w:r>
          <w:rPr>
            <w:webHidden/>
          </w:rPr>
          <w:tab/>
        </w:r>
        <w:r>
          <w:rPr>
            <w:webHidden/>
          </w:rPr>
          <w:fldChar w:fldCharType="begin"/>
        </w:r>
        <w:r>
          <w:rPr>
            <w:webHidden/>
          </w:rPr>
          <w:instrText xml:space="preserve"> PAGEREF _Toc215847504 \h </w:instrText>
        </w:r>
        <w:r>
          <w:rPr>
            <w:webHidden/>
          </w:rPr>
        </w:r>
        <w:r>
          <w:rPr>
            <w:webHidden/>
          </w:rPr>
          <w:fldChar w:fldCharType="separate"/>
        </w:r>
        <w:r>
          <w:rPr>
            <w:webHidden/>
          </w:rPr>
          <w:t>14</w:t>
        </w:r>
        <w:r>
          <w:rPr>
            <w:webHidden/>
          </w:rPr>
          <w:fldChar w:fldCharType="end"/>
        </w:r>
      </w:hyperlink>
    </w:p>
    <w:p w14:paraId="25C5AF26" w14:textId="0F0A757B"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05" w:history="1">
        <w:r w:rsidRPr="00082A95">
          <w:rPr>
            <w:rStyle w:val="Hyperlink"/>
          </w:rPr>
          <w:t>2. Problem analysis</w:t>
        </w:r>
        <w:r>
          <w:rPr>
            <w:webHidden/>
          </w:rPr>
          <w:tab/>
        </w:r>
        <w:r>
          <w:rPr>
            <w:webHidden/>
          </w:rPr>
          <w:fldChar w:fldCharType="begin"/>
        </w:r>
        <w:r>
          <w:rPr>
            <w:webHidden/>
          </w:rPr>
          <w:instrText xml:space="preserve"> PAGEREF _Toc215847505 \h </w:instrText>
        </w:r>
        <w:r>
          <w:rPr>
            <w:webHidden/>
          </w:rPr>
        </w:r>
        <w:r>
          <w:rPr>
            <w:webHidden/>
          </w:rPr>
          <w:fldChar w:fldCharType="separate"/>
        </w:r>
        <w:r>
          <w:rPr>
            <w:webHidden/>
          </w:rPr>
          <w:t>16</w:t>
        </w:r>
        <w:r>
          <w:rPr>
            <w:webHidden/>
          </w:rPr>
          <w:fldChar w:fldCharType="end"/>
        </w:r>
      </w:hyperlink>
    </w:p>
    <w:p w14:paraId="2BDD0F96" w14:textId="66FC8DF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6" w:history="1">
        <w:r w:rsidRPr="00082A95">
          <w:rPr>
            <w:rStyle w:val="Hyperlink"/>
          </w:rPr>
          <w:t>Non-emergency patient transport risks and need for regulatory intervention</w:t>
        </w:r>
        <w:r>
          <w:rPr>
            <w:webHidden/>
          </w:rPr>
          <w:tab/>
        </w:r>
        <w:r>
          <w:rPr>
            <w:webHidden/>
          </w:rPr>
          <w:fldChar w:fldCharType="begin"/>
        </w:r>
        <w:r>
          <w:rPr>
            <w:webHidden/>
          </w:rPr>
          <w:instrText xml:space="preserve"> PAGEREF _Toc215847506 \h </w:instrText>
        </w:r>
        <w:r>
          <w:rPr>
            <w:webHidden/>
          </w:rPr>
        </w:r>
        <w:r>
          <w:rPr>
            <w:webHidden/>
          </w:rPr>
          <w:fldChar w:fldCharType="separate"/>
        </w:r>
        <w:r>
          <w:rPr>
            <w:webHidden/>
          </w:rPr>
          <w:t>16</w:t>
        </w:r>
        <w:r>
          <w:rPr>
            <w:webHidden/>
          </w:rPr>
          <w:fldChar w:fldCharType="end"/>
        </w:r>
      </w:hyperlink>
    </w:p>
    <w:p w14:paraId="5AABAB9B" w14:textId="56FB82C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7" w:history="1">
        <w:r w:rsidRPr="00082A95">
          <w:rPr>
            <w:rStyle w:val="Hyperlink"/>
          </w:rPr>
          <w:t>Patient safety and sector sustainability risks if the Regulations are allowed to sunset</w:t>
        </w:r>
        <w:r>
          <w:rPr>
            <w:webHidden/>
          </w:rPr>
          <w:tab/>
        </w:r>
        <w:r>
          <w:rPr>
            <w:webHidden/>
          </w:rPr>
          <w:fldChar w:fldCharType="begin"/>
        </w:r>
        <w:r>
          <w:rPr>
            <w:webHidden/>
          </w:rPr>
          <w:instrText xml:space="preserve"> PAGEREF _Toc215847507 \h </w:instrText>
        </w:r>
        <w:r>
          <w:rPr>
            <w:webHidden/>
          </w:rPr>
        </w:r>
        <w:r>
          <w:rPr>
            <w:webHidden/>
          </w:rPr>
          <w:fldChar w:fldCharType="separate"/>
        </w:r>
        <w:r>
          <w:rPr>
            <w:webHidden/>
          </w:rPr>
          <w:t>17</w:t>
        </w:r>
        <w:r>
          <w:rPr>
            <w:webHidden/>
          </w:rPr>
          <w:fldChar w:fldCharType="end"/>
        </w:r>
      </w:hyperlink>
    </w:p>
    <w:p w14:paraId="06E34968" w14:textId="5E056C3E"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08" w:history="1">
        <w:r w:rsidRPr="00082A95">
          <w:rPr>
            <w:rStyle w:val="Hyperlink"/>
          </w:rPr>
          <w:t>Patient safety and sector sustainability risks under the current regulatory framework</w:t>
        </w:r>
        <w:r>
          <w:rPr>
            <w:webHidden/>
          </w:rPr>
          <w:tab/>
        </w:r>
        <w:r>
          <w:rPr>
            <w:webHidden/>
          </w:rPr>
          <w:fldChar w:fldCharType="begin"/>
        </w:r>
        <w:r>
          <w:rPr>
            <w:webHidden/>
          </w:rPr>
          <w:instrText xml:space="preserve"> PAGEREF _Toc215847508 \h </w:instrText>
        </w:r>
        <w:r>
          <w:rPr>
            <w:webHidden/>
          </w:rPr>
        </w:r>
        <w:r>
          <w:rPr>
            <w:webHidden/>
          </w:rPr>
          <w:fldChar w:fldCharType="separate"/>
        </w:r>
        <w:r>
          <w:rPr>
            <w:webHidden/>
          </w:rPr>
          <w:t>18</w:t>
        </w:r>
        <w:r>
          <w:rPr>
            <w:webHidden/>
          </w:rPr>
          <w:fldChar w:fldCharType="end"/>
        </w:r>
      </w:hyperlink>
    </w:p>
    <w:p w14:paraId="5883C411" w14:textId="27162C6F"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09" w:history="1">
        <w:r w:rsidRPr="00082A95">
          <w:rPr>
            <w:rStyle w:val="Hyperlink"/>
          </w:rPr>
          <w:t>3. Objectives of action</w:t>
        </w:r>
        <w:r>
          <w:rPr>
            <w:webHidden/>
          </w:rPr>
          <w:tab/>
        </w:r>
        <w:r>
          <w:rPr>
            <w:webHidden/>
          </w:rPr>
          <w:fldChar w:fldCharType="begin"/>
        </w:r>
        <w:r>
          <w:rPr>
            <w:webHidden/>
          </w:rPr>
          <w:instrText xml:space="preserve"> PAGEREF _Toc215847509 \h </w:instrText>
        </w:r>
        <w:r>
          <w:rPr>
            <w:webHidden/>
          </w:rPr>
        </w:r>
        <w:r>
          <w:rPr>
            <w:webHidden/>
          </w:rPr>
          <w:fldChar w:fldCharType="separate"/>
        </w:r>
        <w:r>
          <w:rPr>
            <w:webHidden/>
          </w:rPr>
          <w:t>23</w:t>
        </w:r>
        <w:r>
          <w:rPr>
            <w:webHidden/>
          </w:rPr>
          <w:fldChar w:fldCharType="end"/>
        </w:r>
      </w:hyperlink>
    </w:p>
    <w:p w14:paraId="52059D3C" w14:textId="37C5388D"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10" w:history="1">
        <w:r w:rsidRPr="00082A95">
          <w:rPr>
            <w:rStyle w:val="Hyperlink"/>
          </w:rPr>
          <w:t>4. Identification of options</w:t>
        </w:r>
        <w:r>
          <w:rPr>
            <w:webHidden/>
          </w:rPr>
          <w:tab/>
        </w:r>
        <w:r>
          <w:rPr>
            <w:webHidden/>
          </w:rPr>
          <w:fldChar w:fldCharType="begin"/>
        </w:r>
        <w:r>
          <w:rPr>
            <w:webHidden/>
          </w:rPr>
          <w:instrText xml:space="preserve"> PAGEREF _Toc215847510 \h </w:instrText>
        </w:r>
        <w:r>
          <w:rPr>
            <w:webHidden/>
          </w:rPr>
        </w:r>
        <w:r>
          <w:rPr>
            <w:webHidden/>
          </w:rPr>
          <w:fldChar w:fldCharType="separate"/>
        </w:r>
        <w:r>
          <w:rPr>
            <w:webHidden/>
          </w:rPr>
          <w:t>24</w:t>
        </w:r>
        <w:r>
          <w:rPr>
            <w:webHidden/>
          </w:rPr>
          <w:fldChar w:fldCharType="end"/>
        </w:r>
      </w:hyperlink>
    </w:p>
    <w:p w14:paraId="3C6DF791" w14:textId="2DD49EB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1" w:history="1">
        <w:r w:rsidRPr="00082A95">
          <w:rPr>
            <w:rStyle w:val="Hyperlink"/>
          </w:rPr>
          <w:t>Option identification approach</w:t>
        </w:r>
        <w:r>
          <w:rPr>
            <w:webHidden/>
          </w:rPr>
          <w:tab/>
        </w:r>
        <w:r>
          <w:rPr>
            <w:webHidden/>
          </w:rPr>
          <w:fldChar w:fldCharType="begin"/>
        </w:r>
        <w:r>
          <w:rPr>
            <w:webHidden/>
          </w:rPr>
          <w:instrText xml:space="preserve"> PAGEREF _Toc215847511 \h </w:instrText>
        </w:r>
        <w:r>
          <w:rPr>
            <w:webHidden/>
          </w:rPr>
        </w:r>
        <w:r>
          <w:rPr>
            <w:webHidden/>
          </w:rPr>
          <w:fldChar w:fldCharType="separate"/>
        </w:r>
        <w:r>
          <w:rPr>
            <w:webHidden/>
          </w:rPr>
          <w:t>24</w:t>
        </w:r>
        <w:r>
          <w:rPr>
            <w:webHidden/>
          </w:rPr>
          <w:fldChar w:fldCharType="end"/>
        </w:r>
      </w:hyperlink>
    </w:p>
    <w:p w14:paraId="61BF3750" w14:textId="731DBA81"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2" w:history="1">
        <w:r w:rsidRPr="00082A95">
          <w:rPr>
            <w:rStyle w:val="Hyperlink"/>
          </w:rPr>
          <w:t>Base case – no regulations (sunset without remake)</w:t>
        </w:r>
        <w:r>
          <w:rPr>
            <w:webHidden/>
          </w:rPr>
          <w:tab/>
        </w:r>
        <w:r>
          <w:rPr>
            <w:webHidden/>
          </w:rPr>
          <w:fldChar w:fldCharType="begin"/>
        </w:r>
        <w:r>
          <w:rPr>
            <w:webHidden/>
          </w:rPr>
          <w:instrText xml:space="preserve"> PAGEREF _Toc215847512 \h </w:instrText>
        </w:r>
        <w:r>
          <w:rPr>
            <w:webHidden/>
          </w:rPr>
        </w:r>
        <w:r>
          <w:rPr>
            <w:webHidden/>
          </w:rPr>
          <w:fldChar w:fldCharType="separate"/>
        </w:r>
        <w:r>
          <w:rPr>
            <w:webHidden/>
          </w:rPr>
          <w:t>24</w:t>
        </w:r>
        <w:r>
          <w:rPr>
            <w:webHidden/>
          </w:rPr>
          <w:fldChar w:fldCharType="end"/>
        </w:r>
      </w:hyperlink>
    </w:p>
    <w:p w14:paraId="7FB9D665" w14:textId="5C07151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3" w:history="1">
        <w:r w:rsidRPr="00082A95">
          <w:rPr>
            <w:rStyle w:val="Hyperlink"/>
          </w:rPr>
          <w:t>Option 1 – remake current Regulations unchanged</w:t>
        </w:r>
        <w:r>
          <w:rPr>
            <w:webHidden/>
          </w:rPr>
          <w:tab/>
        </w:r>
        <w:r>
          <w:rPr>
            <w:webHidden/>
          </w:rPr>
          <w:fldChar w:fldCharType="begin"/>
        </w:r>
        <w:r>
          <w:rPr>
            <w:webHidden/>
          </w:rPr>
          <w:instrText xml:space="preserve"> PAGEREF _Toc215847513 \h </w:instrText>
        </w:r>
        <w:r>
          <w:rPr>
            <w:webHidden/>
          </w:rPr>
        </w:r>
        <w:r>
          <w:rPr>
            <w:webHidden/>
          </w:rPr>
          <w:fldChar w:fldCharType="separate"/>
        </w:r>
        <w:r>
          <w:rPr>
            <w:webHidden/>
          </w:rPr>
          <w:t>26</w:t>
        </w:r>
        <w:r>
          <w:rPr>
            <w:webHidden/>
          </w:rPr>
          <w:fldChar w:fldCharType="end"/>
        </w:r>
      </w:hyperlink>
    </w:p>
    <w:p w14:paraId="1762D4D5" w14:textId="72A2FDC3"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4" w:history="1">
        <w:r w:rsidRPr="00082A95">
          <w:rPr>
            <w:rStyle w:val="Hyperlink"/>
          </w:rPr>
          <w:t>Option 2 – targeted amendment to support the role of NEPT in the health service system</w:t>
        </w:r>
        <w:r>
          <w:rPr>
            <w:webHidden/>
          </w:rPr>
          <w:tab/>
        </w:r>
        <w:r>
          <w:rPr>
            <w:webHidden/>
          </w:rPr>
          <w:fldChar w:fldCharType="begin"/>
        </w:r>
        <w:r>
          <w:rPr>
            <w:webHidden/>
          </w:rPr>
          <w:instrText xml:space="preserve"> PAGEREF _Toc215847514 \h </w:instrText>
        </w:r>
        <w:r>
          <w:rPr>
            <w:webHidden/>
          </w:rPr>
        </w:r>
        <w:r>
          <w:rPr>
            <w:webHidden/>
          </w:rPr>
          <w:fldChar w:fldCharType="separate"/>
        </w:r>
        <w:r>
          <w:rPr>
            <w:webHidden/>
          </w:rPr>
          <w:t>26</w:t>
        </w:r>
        <w:r>
          <w:rPr>
            <w:webHidden/>
          </w:rPr>
          <w:fldChar w:fldCharType="end"/>
        </w:r>
      </w:hyperlink>
    </w:p>
    <w:p w14:paraId="458BB7D6" w14:textId="536CA20E"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5" w:history="1">
        <w:r w:rsidRPr="00082A95">
          <w:rPr>
            <w:rStyle w:val="Hyperlink"/>
          </w:rPr>
          <w:t>Comparison of options – proposed amendments</w:t>
        </w:r>
        <w:r>
          <w:rPr>
            <w:webHidden/>
          </w:rPr>
          <w:tab/>
        </w:r>
        <w:r>
          <w:rPr>
            <w:webHidden/>
          </w:rPr>
          <w:fldChar w:fldCharType="begin"/>
        </w:r>
        <w:r>
          <w:rPr>
            <w:webHidden/>
          </w:rPr>
          <w:instrText xml:space="preserve"> PAGEREF _Toc215847515 \h </w:instrText>
        </w:r>
        <w:r>
          <w:rPr>
            <w:webHidden/>
          </w:rPr>
        </w:r>
        <w:r>
          <w:rPr>
            <w:webHidden/>
          </w:rPr>
          <w:fldChar w:fldCharType="separate"/>
        </w:r>
        <w:r>
          <w:rPr>
            <w:webHidden/>
          </w:rPr>
          <w:t>27</w:t>
        </w:r>
        <w:r>
          <w:rPr>
            <w:webHidden/>
          </w:rPr>
          <w:fldChar w:fldCharType="end"/>
        </w:r>
      </w:hyperlink>
    </w:p>
    <w:p w14:paraId="1C185906" w14:textId="3BDC55D6"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16" w:history="1">
        <w:r w:rsidRPr="00082A95">
          <w:rPr>
            <w:rStyle w:val="Hyperlink"/>
          </w:rPr>
          <w:t>5. Impact analysis</w:t>
        </w:r>
        <w:r>
          <w:rPr>
            <w:webHidden/>
          </w:rPr>
          <w:tab/>
        </w:r>
        <w:r>
          <w:rPr>
            <w:webHidden/>
          </w:rPr>
          <w:fldChar w:fldCharType="begin"/>
        </w:r>
        <w:r>
          <w:rPr>
            <w:webHidden/>
          </w:rPr>
          <w:instrText xml:space="preserve"> PAGEREF _Toc215847516 \h </w:instrText>
        </w:r>
        <w:r>
          <w:rPr>
            <w:webHidden/>
          </w:rPr>
        </w:r>
        <w:r>
          <w:rPr>
            <w:webHidden/>
          </w:rPr>
          <w:fldChar w:fldCharType="separate"/>
        </w:r>
        <w:r>
          <w:rPr>
            <w:webHidden/>
          </w:rPr>
          <w:t>29</w:t>
        </w:r>
        <w:r>
          <w:rPr>
            <w:webHidden/>
          </w:rPr>
          <w:fldChar w:fldCharType="end"/>
        </w:r>
      </w:hyperlink>
    </w:p>
    <w:p w14:paraId="6D1BEB35" w14:textId="39DA1007"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7" w:history="1">
        <w:r w:rsidRPr="00082A95">
          <w:rPr>
            <w:rStyle w:val="Hyperlink"/>
          </w:rPr>
          <w:t>Methodology</w:t>
        </w:r>
        <w:r>
          <w:rPr>
            <w:webHidden/>
          </w:rPr>
          <w:tab/>
        </w:r>
        <w:r>
          <w:rPr>
            <w:webHidden/>
          </w:rPr>
          <w:fldChar w:fldCharType="begin"/>
        </w:r>
        <w:r>
          <w:rPr>
            <w:webHidden/>
          </w:rPr>
          <w:instrText xml:space="preserve"> PAGEREF _Toc215847517 \h </w:instrText>
        </w:r>
        <w:r>
          <w:rPr>
            <w:webHidden/>
          </w:rPr>
        </w:r>
        <w:r>
          <w:rPr>
            <w:webHidden/>
          </w:rPr>
          <w:fldChar w:fldCharType="separate"/>
        </w:r>
        <w:r>
          <w:rPr>
            <w:webHidden/>
          </w:rPr>
          <w:t>29</w:t>
        </w:r>
        <w:r>
          <w:rPr>
            <w:webHidden/>
          </w:rPr>
          <w:fldChar w:fldCharType="end"/>
        </w:r>
      </w:hyperlink>
    </w:p>
    <w:p w14:paraId="631B3AA6" w14:textId="58332C34"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8" w:history="1">
        <w:r w:rsidRPr="00082A95">
          <w:rPr>
            <w:rStyle w:val="Hyperlink"/>
          </w:rPr>
          <w:t>The base case</w:t>
        </w:r>
        <w:r>
          <w:rPr>
            <w:webHidden/>
          </w:rPr>
          <w:tab/>
        </w:r>
        <w:r>
          <w:rPr>
            <w:webHidden/>
          </w:rPr>
          <w:fldChar w:fldCharType="begin"/>
        </w:r>
        <w:r>
          <w:rPr>
            <w:webHidden/>
          </w:rPr>
          <w:instrText xml:space="preserve"> PAGEREF _Toc215847518 \h </w:instrText>
        </w:r>
        <w:r>
          <w:rPr>
            <w:webHidden/>
          </w:rPr>
        </w:r>
        <w:r>
          <w:rPr>
            <w:webHidden/>
          </w:rPr>
          <w:fldChar w:fldCharType="separate"/>
        </w:r>
        <w:r>
          <w:rPr>
            <w:webHidden/>
          </w:rPr>
          <w:t>30</w:t>
        </w:r>
        <w:r>
          <w:rPr>
            <w:webHidden/>
          </w:rPr>
          <w:fldChar w:fldCharType="end"/>
        </w:r>
      </w:hyperlink>
    </w:p>
    <w:p w14:paraId="26A5EFD0" w14:textId="61E2C6FA"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19" w:history="1">
        <w:r w:rsidRPr="00082A95">
          <w:rPr>
            <w:rStyle w:val="Hyperlink"/>
          </w:rPr>
          <w:t>Option 1 – Status quo (remake current Regulations)</w:t>
        </w:r>
        <w:r>
          <w:rPr>
            <w:webHidden/>
          </w:rPr>
          <w:tab/>
        </w:r>
        <w:r>
          <w:rPr>
            <w:webHidden/>
          </w:rPr>
          <w:fldChar w:fldCharType="begin"/>
        </w:r>
        <w:r>
          <w:rPr>
            <w:webHidden/>
          </w:rPr>
          <w:instrText xml:space="preserve"> PAGEREF _Toc215847519 \h </w:instrText>
        </w:r>
        <w:r>
          <w:rPr>
            <w:webHidden/>
          </w:rPr>
        </w:r>
        <w:r>
          <w:rPr>
            <w:webHidden/>
          </w:rPr>
          <w:fldChar w:fldCharType="separate"/>
        </w:r>
        <w:r>
          <w:rPr>
            <w:webHidden/>
          </w:rPr>
          <w:t>31</w:t>
        </w:r>
        <w:r>
          <w:rPr>
            <w:webHidden/>
          </w:rPr>
          <w:fldChar w:fldCharType="end"/>
        </w:r>
      </w:hyperlink>
    </w:p>
    <w:p w14:paraId="46EDBB8E" w14:textId="78F8437D"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0" w:history="1">
        <w:r w:rsidRPr="00082A95">
          <w:rPr>
            <w:rStyle w:val="Hyperlink"/>
          </w:rPr>
          <w:t>Option 2 – targeted reform package</w:t>
        </w:r>
        <w:r>
          <w:rPr>
            <w:webHidden/>
          </w:rPr>
          <w:tab/>
        </w:r>
        <w:r>
          <w:rPr>
            <w:webHidden/>
          </w:rPr>
          <w:fldChar w:fldCharType="begin"/>
        </w:r>
        <w:r>
          <w:rPr>
            <w:webHidden/>
          </w:rPr>
          <w:instrText xml:space="preserve"> PAGEREF _Toc215847520 \h </w:instrText>
        </w:r>
        <w:r>
          <w:rPr>
            <w:webHidden/>
          </w:rPr>
        </w:r>
        <w:r>
          <w:rPr>
            <w:webHidden/>
          </w:rPr>
          <w:fldChar w:fldCharType="separate"/>
        </w:r>
        <w:r>
          <w:rPr>
            <w:webHidden/>
          </w:rPr>
          <w:t>33</w:t>
        </w:r>
        <w:r>
          <w:rPr>
            <w:webHidden/>
          </w:rPr>
          <w:fldChar w:fldCharType="end"/>
        </w:r>
      </w:hyperlink>
    </w:p>
    <w:p w14:paraId="29410AE2" w14:textId="6D7D5B05"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1" w:history="1">
        <w:r w:rsidRPr="00082A95">
          <w:rPr>
            <w:rStyle w:val="Hyperlink"/>
          </w:rPr>
          <w:t>Costs</w:t>
        </w:r>
        <w:r>
          <w:rPr>
            <w:webHidden/>
          </w:rPr>
          <w:tab/>
        </w:r>
        <w:r>
          <w:rPr>
            <w:webHidden/>
          </w:rPr>
          <w:fldChar w:fldCharType="begin"/>
        </w:r>
        <w:r>
          <w:rPr>
            <w:webHidden/>
          </w:rPr>
          <w:instrText xml:space="preserve"> PAGEREF _Toc215847521 \h </w:instrText>
        </w:r>
        <w:r>
          <w:rPr>
            <w:webHidden/>
          </w:rPr>
        </w:r>
        <w:r>
          <w:rPr>
            <w:webHidden/>
          </w:rPr>
          <w:fldChar w:fldCharType="separate"/>
        </w:r>
        <w:r>
          <w:rPr>
            <w:webHidden/>
          </w:rPr>
          <w:t>36</w:t>
        </w:r>
        <w:r>
          <w:rPr>
            <w:webHidden/>
          </w:rPr>
          <w:fldChar w:fldCharType="end"/>
        </w:r>
      </w:hyperlink>
    </w:p>
    <w:p w14:paraId="3F4B40D7" w14:textId="609276DF"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2" w:history="1">
        <w:r w:rsidRPr="00082A95">
          <w:rPr>
            <w:rStyle w:val="Hyperlink"/>
            <w:rFonts w:eastAsia="MS Mincho"/>
          </w:rPr>
          <w:t>Identifying the preferred option</w:t>
        </w:r>
        <w:r>
          <w:rPr>
            <w:webHidden/>
          </w:rPr>
          <w:tab/>
        </w:r>
        <w:r>
          <w:rPr>
            <w:webHidden/>
          </w:rPr>
          <w:fldChar w:fldCharType="begin"/>
        </w:r>
        <w:r>
          <w:rPr>
            <w:webHidden/>
          </w:rPr>
          <w:instrText xml:space="preserve"> PAGEREF _Toc215847522 \h </w:instrText>
        </w:r>
        <w:r>
          <w:rPr>
            <w:webHidden/>
          </w:rPr>
        </w:r>
        <w:r>
          <w:rPr>
            <w:webHidden/>
          </w:rPr>
          <w:fldChar w:fldCharType="separate"/>
        </w:r>
        <w:r>
          <w:rPr>
            <w:webHidden/>
          </w:rPr>
          <w:t>38</w:t>
        </w:r>
        <w:r>
          <w:rPr>
            <w:webHidden/>
          </w:rPr>
          <w:fldChar w:fldCharType="end"/>
        </w:r>
      </w:hyperlink>
    </w:p>
    <w:p w14:paraId="45034F8C" w14:textId="5A10B5C2"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3" w:history="1">
        <w:r w:rsidRPr="00082A95">
          <w:rPr>
            <w:rStyle w:val="Hyperlink"/>
          </w:rPr>
          <w:t>6. Summary of preferred option</w:t>
        </w:r>
        <w:r>
          <w:rPr>
            <w:webHidden/>
          </w:rPr>
          <w:tab/>
        </w:r>
        <w:r>
          <w:rPr>
            <w:webHidden/>
          </w:rPr>
          <w:fldChar w:fldCharType="begin"/>
        </w:r>
        <w:r>
          <w:rPr>
            <w:webHidden/>
          </w:rPr>
          <w:instrText xml:space="preserve"> PAGEREF _Toc215847523 \h </w:instrText>
        </w:r>
        <w:r>
          <w:rPr>
            <w:webHidden/>
          </w:rPr>
        </w:r>
        <w:r>
          <w:rPr>
            <w:webHidden/>
          </w:rPr>
          <w:fldChar w:fldCharType="separate"/>
        </w:r>
        <w:r>
          <w:rPr>
            <w:webHidden/>
          </w:rPr>
          <w:t>39</w:t>
        </w:r>
        <w:r>
          <w:rPr>
            <w:webHidden/>
          </w:rPr>
          <w:fldChar w:fldCharType="end"/>
        </w:r>
      </w:hyperlink>
    </w:p>
    <w:p w14:paraId="2B0F86BA" w14:textId="4CEF2D82"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4" w:history="1">
        <w:r w:rsidRPr="00082A95">
          <w:rPr>
            <w:rStyle w:val="Hyperlink"/>
          </w:rPr>
          <w:t>Small business and competition impacts</w:t>
        </w:r>
        <w:r>
          <w:rPr>
            <w:webHidden/>
          </w:rPr>
          <w:tab/>
        </w:r>
        <w:r>
          <w:rPr>
            <w:webHidden/>
          </w:rPr>
          <w:fldChar w:fldCharType="begin"/>
        </w:r>
        <w:r>
          <w:rPr>
            <w:webHidden/>
          </w:rPr>
          <w:instrText xml:space="preserve"> PAGEREF _Toc215847524 \h </w:instrText>
        </w:r>
        <w:r>
          <w:rPr>
            <w:webHidden/>
          </w:rPr>
        </w:r>
        <w:r>
          <w:rPr>
            <w:webHidden/>
          </w:rPr>
          <w:fldChar w:fldCharType="separate"/>
        </w:r>
        <w:r>
          <w:rPr>
            <w:webHidden/>
          </w:rPr>
          <w:t>41</w:t>
        </w:r>
        <w:r>
          <w:rPr>
            <w:webHidden/>
          </w:rPr>
          <w:fldChar w:fldCharType="end"/>
        </w:r>
      </w:hyperlink>
    </w:p>
    <w:p w14:paraId="0DB05162" w14:textId="50F6D947"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5" w:history="1">
        <w:r w:rsidRPr="00082A95">
          <w:rPr>
            <w:rStyle w:val="Hyperlink"/>
          </w:rPr>
          <w:t>7. Implementation and evaluation</w:t>
        </w:r>
        <w:r>
          <w:rPr>
            <w:webHidden/>
          </w:rPr>
          <w:tab/>
        </w:r>
        <w:r>
          <w:rPr>
            <w:webHidden/>
          </w:rPr>
          <w:fldChar w:fldCharType="begin"/>
        </w:r>
        <w:r>
          <w:rPr>
            <w:webHidden/>
          </w:rPr>
          <w:instrText xml:space="preserve"> PAGEREF _Toc215847525 \h </w:instrText>
        </w:r>
        <w:r>
          <w:rPr>
            <w:webHidden/>
          </w:rPr>
        </w:r>
        <w:r>
          <w:rPr>
            <w:webHidden/>
          </w:rPr>
          <w:fldChar w:fldCharType="separate"/>
        </w:r>
        <w:r>
          <w:rPr>
            <w:webHidden/>
          </w:rPr>
          <w:t>43</w:t>
        </w:r>
        <w:r>
          <w:rPr>
            <w:webHidden/>
          </w:rPr>
          <w:fldChar w:fldCharType="end"/>
        </w:r>
      </w:hyperlink>
    </w:p>
    <w:p w14:paraId="402EDED7" w14:textId="2920C16B"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6" w:history="1">
        <w:r w:rsidRPr="00082A95">
          <w:rPr>
            <w:rStyle w:val="Hyperlink"/>
          </w:rPr>
          <w:t>New NEPT Regulations 2026</w:t>
        </w:r>
        <w:r>
          <w:rPr>
            <w:webHidden/>
          </w:rPr>
          <w:tab/>
        </w:r>
        <w:r>
          <w:rPr>
            <w:webHidden/>
          </w:rPr>
          <w:fldChar w:fldCharType="begin"/>
        </w:r>
        <w:r>
          <w:rPr>
            <w:webHidden/>
          </w:rPr>
          <w:instrText xml:space="preserve"> PAGEREF _Toc215847526 \h </w:instrText>
        </w:r>
        <w:r>
          <w:rPr>
            <w:webHidden/>
          </w:rPr>
        </w:r>
        <w:r>
          <w:rPr>
            <w:webHidden/>
          </w:rPr>
          <w:fldChar w:fldCharType="separate"/>
        </w:r>
        <w:r>
          <w:rPr>
            <w:webHidden/>
          </w:rPr>
          <w:t>43</w:t>
        </w:r>
        <w:r>
          <w:rPr>
            <w:webHidden/>
          </w:rPr>
          <w:fldChar w:fldCharType="end"/>
        </w:r>
      </w:hyperlink>
    </w:p>
    <w:p w14:paraId="6127A775" w14:textId="33759CA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7" w:history="1">
        <w:r w:rsidRPr="00082A95">
          <w:rPr>
            <w:rStyle w:val="Hyperlink"/>
          </w:rPr>
          <w:t>Implementation</w:t>
        </w:r>
        <w:r>
          <w:rPr>
            <w:webHidden/>
          </w:rPr>
          <w:tab/>
        </w:r>
        <w:r>
          <w:rPr>
            <w:webHidden/>
          </w:rPr>
          <w:fldChar w:fldCharType="begin"/>
        </w:r>
        <w:r>
          <w:rPr>
            <w:webHidden/>
          </w:rPr>
          <w:instrText xml:space="preserve"> PAGEREF _Toc215847527 \h </w:instrText>
        </w:r>
        <w:r>
          <w:rPr>
            <w:webHidden/>
          </w:rPr>
        </w:r>
        <w:r>
          <w:rPr>
            <w:webHidden/>
          </w:rPr>
          <w:fldChar w:fldCharType="separate"/>
        </w:r>
        <w:r>
          <w:rPr>
            <w:webHidden/>
          </w:rPr>
          <w:t>43</w:t>
        </w:r>
        <w:r>
          <w:rPr>
            <w:webHidden/>
          </w:rPr>
          <w:fldChar w:fldCharType="end"/>
        </w:r>
      </w:hyperlink>
    </w:p>
    <w:p w14:paraId="49502D0A" w14:textId="54285507"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28" w:history="1">
        <w:r w:rsidRPr="00082A95">
          <w:rPr>
            <w:rStyle w:val="Hyperlink"/>
          </w:rPr>
          <w:t>Evaluation</w:t>
        </w:r>
        <w:r>
          <w:rPr>
            <w:webHidden/>
          </w:rPr>
          <w:tab/>
        </w:r>
        <w:r>
          <w:rPr>
            <w:webHidden/>
          </w:rPr>
          <w:fldChar w:fldCharType="begin"/>
        </w:r>
        <w:r>
          <w:rPr>
            <w:webHidden/>
          </w:rPr>
          <w:instrText xml:space="preserve"> PAGEREF _Toc215847528 \h </w:instrText>
        </w:r>
        <w:r>
          <w:rPr>
            <w:webHidden/>
          </w:rPr>
        </w:r>
        <w:r>
          <w:rPr>
            <w:webHidden/>
          </w:rPr>
          <w:fldChar w:fldCharType="separate"/>
        </w:r>
        <w:r>
          <w:rPr>
            <w:webHidden/>
          </w:rPr>
          <w:t>44</w:t>
        </w:r>
        <w:r>
          <w:rPr>
            <w:webHidden/>
          </w:rPr>
          <w:fldChar w:fldCharType="end"/>
        </w:r>
      </w:hyperlink>
    </w:p>
    <w:p w14:paraId="23DCA3F0" w14:textId="48A5DF02" w:rsidR="00A01AF2" w:rsidRDefault="00A01AF2">
      <w:pPr>
        <w:pStyle w:val="TOC1"/>
        <w:rPr>
          <w:rFonts w:asciiTheme="minorHAnsi" w:eastAsiaTheme="minorEastAsia" w:hAnsiTheme="minorHAnsi" w:cstheme="minorBidi"/>
          <w:b w:val="0"/>
          <w:kern w:val="2"/>
          <w:sz w:val="24"/>
          <w:szCs w:val="24"/>
          <w:lang w:eastAsia="en-AU"/>
          <w14:ligatures w14:val="standardContextual"/>
        </w:rPr>
      </w:pPr>
      <w:hyperlink w:anchor="_Toc215847529" w:history="1">
        <w:r w:rsidRPr="00082A95">
          <w:rPr>
            <w:rStyle w:val="Hyperlink"/>
          </w:rPr>
          <w:t>Appendix</w:t>
        </w:r>
        <w:r>
          <w:rPr>
            <w:webHidden/>
          </w:rPr>
          <w:tab/>
        </w:r>
        <w:r>
          <w:rPr>
            <w:webHidden/>
          </w:rPr>
          <w:fldChar w:fldCharType="begin"/>
        </w:r>
        <w:r>
          <w:rPr>
            <w:webHidden/>
          </w:rPr>
          <w:instrText xml:space="preserve"> PAGEREF _Toc215847529 \h </w:instrText>
        </w:r>
        <w:r>
          <w:rPr>
            <w:webHidden/>
          </w:rPr>
        </w:r>
        <w:r>
          <w:rPr>
            <w:webHidden/>
          </w:rPr>
          <w:fldChar w:fldCharType="separate"/>
        </w:r>
        <w:r>
          <w:rPr>
            <w:webHidden/>
          </w:rPr>
          <w:t>45</w:t>
        </w:r>
        <w:r>
          <w:rPr>
            <w:webHidden/>
          </w:rPr>
          <w:fldChar w:fldCharType="end"/>
        </w:r>
      </w:hyperlink>
    </w:p>
    <w:p w14:paraId="6289F6B7" w14:textId="45AB577C" w:rsidR="00A01AF2" w:rsidRDefault="00A01AF2">
      <w:pPr>
        <w:pStyle w:val="TOC2"/>
        <w:rPr>
          <w:rFonts w:asciiTheme="minorHAnsi" w:eastAsiaTheme="minorEastAsia" w:hAnsiTheme="minorHAnsi" w:cstheme="minorBidi"/>
          <w:kern w:val="2"/>
          <w:sz w:val="24"/>
          <w:szCs w:val="24"/>
          <w:lang w:eastAsia="en-AU"/>
          <w14:ligatures w14:val="standardContextual"/>
        </w:rPr>
      </w:pPr>
      <w:hyperlink w:anchor="_Toc215847530" w:history="1">
        <w:r w:rsidRPr="00082A95">
          <w:rPr>
            <w:rStyle w:val="Hyperlink"/>
          </w:rPr>
          <w:t>Assumptions underpinning impact analysis</w:t>
        </w:r>
        <w:r>
          <w:rPr>
            <w:webHidden/>
          </w:rPr>
          <w:tab/>
        </w:r>
        <w:r>
          <w:rPr>
            <w:webHidden/>
          </w:rPr>
          <w:fldChar w:fldCharType="begin"/>
        </w:r>
        <w:r>
          <w:rPr>
            <w:webHidden/>
          </w:rPr>
          <w:instrText xml:space="preserve"> PAGEREF _Toc215847530 \h </w:instrText>
        </w:r>
        <w:r>
          <w:rPr>
            <w:webHidden/>
          </w:rPr>
        </w:r>
        <w:r>
          <w:rPr>
            <w:webHidden/>
          </w:rPr>
          <w:fldChar w:fldCharType="separate"/>
        </w:r>
        <w:r>
          <w:rPr>
            <w:webHidden/>
          </w:rPr>
          <w:t>45</w:t>
        </w:r>
        <w:r>
          <w:rPr>
            <w:webHidden/>
          </w:rPr>
          <w:fldChar w:fldCharType="end"/>
        </w:r>
      </w:hyperlink>
    </w:p>
    <w:p w14:paraId="0435A34F" w14:textId="61CAC416" w:rsidR="00FB1F6E" w:rsidRDefault="00AD784C" w:rsidP="00D079AA">
      <w:pPr>
        <w:pStyle w:val="Body"/>
      </w:pPr>
      <w:r>
        <w:fldChar w:fldCharType="end"/>
      </w:r>
    </w:p>
    <w:p w14:paraId="18C6D0C3" w14:textId="77777777" w:rsidR="00FB1F6E" w:rsidRDefault="00FB1F6E">
      <w:pPr>
        <w:spacing w:after="0" w:line="240" w:lineRule="auto"/>
        <w:rPr>
          <w:rFonts w:eastAsia="Times"/>
        </w:rPr>
      </w:pPr>
      <w:r>
        <w:br w:type="page"/>
      </w:r>
    </w:p>
    <w:p w14:paraId="0C3F07F4" w14:textId="58505057" w:rsidR="001E3D9F" w:rsidRDefault="000E1C60" w:rsidP="00EF1846">
      <w:pPr>
        <w:pStyle w:val="Heading1"/>
      </w:pPr>
      <w:bookmarkStart w:id="1" w:name="_Toc215847497"/>
      <w:r>
        <w:lastRenderedPageBreak/>
        <w:t>S</w:t>
      </w:r>
      <w:r w:rsidR="003031C8">
        <w:t>ummary</w:t>
      </w:r>
      <w:bookmarkEnd w:id="1"/>
      <w:r w:rsidR="003031C8">
        <w:t xml:space="preserve"> </w:t>
      </w:r>
    </w:p>
    <w:p w14:paraId="10C734A8" w14:textId="5CDAA870" w:rsidR="00783AE7" w:rsidRDefault="00783AE7" w:rsidP="00FC67A2">
      <w:pPr>
        <w:pStyle w:val="Body"/>
      </w:pPr>
      <w:r w:rsidRPr="5FEE4781">
        <w:t>This</w:t>
      </w:r>
      <w:r w:rsidRPr="10C08957">
        <w:t xml:space="preserve"> </w:t>
      </w:r>
      <w:r>
        <w:t xml:space="preserve">Regulatory Impact Statement (RIS) </w:t>
      </w:r>
      <w:r w:rsidRPr="10C08957">
        <w:t xml:space="preserve">aims to assess the different options for replacing the </w:t>
      </w:r>
      <w:r>
        <w:t xml:space="preserve">Non-Emergency Patient Transport Regulations 2016 (the Regulations) which </w:t>
      </w:r>
      <w:r w:rsidR="00AD246C">
        <w:t>will</w:t>
      </w:r>
      <w:r w:rsidRPr="10C08957">
        <w:t xml:space="preserve"> expire in April 2026.</w:t>
      </w:r>
      <w:r>
        <w:t xml:space="preserve"> The publication of this </w:t>
      </w:r>
      <w:r w:rsidR="001B1D7E">
        <w:t>RIS</w:t>
      </w:r>
      <w:r>
        <w:t xml:space="preserve"> is intended to ensure that affected stakeholders and members of the Victorian public </w:t>
      </w:r>
      <w:proofErr w:type="gramStart"/>
      <w:r>
        <w:t>have the opportunity to</w:t>
      </w:r>
      <w:proofErr w:type="gramEnd"/>
      <w:r>
        <w:t xml:space="preserve"> consider and provide input on the proposals.</w:t>
      </w:r>
      <w:r w:rsidR="002C3881">
        <w:t xml:space="preserve"> It should be read in conjunction with the </w:t>
      </w:r>
      <w:r w:rsidR="00036DE4">
        <w:t xml:space="preserve">exposure draft of the </w:t>
      </w:r>
      <w:r w:rsidR="00C9568D">
        <w:t xml:space="preserve">proposed </w:t>
      </w:r>
      <w:r w:rsidR="00D6567B">
        <w:t>Non-Emergency Patient Transport Regulations 2026 (the proposed Regulations).</w:t>
      </w:r>
    </w:p>
    <w:p w14:paraId="453BD19F" w14:textId="1897531A" w:rsidR="00783AE7" w:rsidRPr="00C328C1" w:rsidRDefault="00783AE7" w:rsidP="00FC67A2">
      <w:pPr>
        <w:pStyle w:val="Body"/>
      </w:pPr>
      <w:r w:rsidRPr="00C328C1">
        <w:t xml:space="preserve">Non-Emergency Patient Transport (NEPT) is an essential component of Victoria’s health system, providing safe transport for people who require a stretcher vehicle, specialist clinical care or monitoring during transport to or from </w:t>
      </w:r>
      <w:r w:rsidR="00AB5DC4">
        <w:t xml:space="preserve">health </w:t>
      </w:r>
      <w:r w:rsidRPr="00C328C1">
        <w:t xml:space="preserve">services. </w:t>
      </w:r>
      <w:r w:rsidR="00E35D2D" w:rsidRPr="00E35D2D">
        <w:t xml:space="preserve">By safely managing this cohort of patients, NEPT providers support the timely movement of discharged patients and inter-facility transfers, </w:t>
      </w:r>
      <w:r w:rsidR="00F2111E" w:rsidRPr="00E35D2D">
        <w:t>improving patient flow and bed availability</w:t>
      </w:r>
      <w:r w:rsidR="00F2111E">
        <w:t xml:space="preserve"> and</w:t>
      </w:r>
      <w:r w:rsidR="00F2111E" w:rsidRPr="00E35D2D">
        <w:t xml:space="preserve"> </w:t>
      </w:r>
      <w:r w:rsidR="00E35D2D" w:rsidRPr="00E35D2D">
        <w:t xml:space="preserve">freeing up ambulance services to focus on emergencies. </w:t>
      </w:r>
      <w:r w:rsidRPr="00C328C1">
        <w:t xml:space="preserve">The Regulations provide standards and </w:t>
      </w:r>
      <w:r w:rsidRPr="006B63E8">
        <w:t xml:space="preserve">requirements for the provision of non-emergency patient transport services, and in particular, standards for the safety and quality of care of patients using the services. </w:t>
      </w:r>
    </w:p>
    <w:p w14:paraId="22E58A45" w14:textId="0FBDA18F" w:rsidR="00783AE7" w:rsidRPr="00C328C1" w:rsidRDefault="00783AE7" w:rsidP="00FC67A2">
      <w:pPr>
        <w:pStyle w:val="Body"/>
      </w:pPr>
      <w:r w:rsidRPr="00C328C1">
        <w:t xml:space="preserve">The Department </w:t>
      </w:r>
      <w:r w:rsidR="00196955">
        <w:t>of Health</w:t>
      </w:r>
      <w:r w:rsidR="00457730">
        <w:t xml:space="preserve"> (the department)</w:t>
      </w:r>
      <w:r w:rsidR="00196955">
        <w:t xml:space="preserve"> </w:t>
      </w:r>
      <w:r w:rsidRPr="00C328C1">
        <w:t xml:space="preserve">has consulted with </w:t>
      </w:r>
      <w:r w:rsidR="00F6317D">
        <w:t xml:space="preserve">key </w:t>
      </w:r>
      <w:r w:rsidRPr="00C328C1">
        <w:t xml:space="preserve">sector stakeholders to understand the potential operational impacts of </w:t>
      </w:r>
      <w:r w:rsidR="00CB67D9">
        <w:t>remaking</w:t>
      </w:r>
      <w:r w:rsidR="00CB67D9" w:rsidRPr="00C328C1">
        <w:t xml:space="preserve"> </w:t>
      </w:r>
      <w:r w:rsidRPr="00C328C1">
        <w:t xml:space="preserve">the regulations in their current form or </w:t>
      </w:r>
      <w:r w:rsidR="00CB67D9">
        <w:t>re</w:t>
      </w:r>
      <w:r w:rsidRPr="00C328C1">
        <w:t>making the</w:t>
      </w:r>
      <w:r w:rsidR="00CB67D9">
        <w:t>m in an updated form</w:t>
      </w:r>
      <w:r w:rsidRPr="00C328C1">
        <w:t xml:space="preserve">. </w:t>
      </w:r>
    </w:p>
    <w:p w14:paraId="60D54331" w14:textId="742F0991" w:rsidR="003D404B" w:rsidRDefault="00CA675E" w:rsidP="00FC67A2">
      <w:pPr>
        <w:pStyle w:val="Body"/>
      </w:pPr>
      <w:r w:rsidRPr="00C328C1">
        <w:t xml:space="preserve">This RIS </w:t>
      </w:r>
      <w:r w:rsidR="000A7317" w:rsidRPr="00C328C1">
        <w:t xml:space="preserve">outlines the </w:t>
      </w:r>
      <w:r w:rsidR="00CA2DD4" w:rsidRPr="00C328C1">
        <w:t xml:space="preserve">estimated costs and benefits of making targeted amendments to the existing </w:t>
      </w:r>
      <w:r w:rsidR="00775A8F" w:rsidRPr="00C328C1">
        <w:t>R</w:t>
      </w:r>
      <w:r w:rsidR="00CA2DD4" w:rsidRPr="00C328C1">
        <w:t>egulations</w:t>
      </w:r>
      <w:r w:rsidR="00F04106">
        <w:t>,</w:t>
      </w:r>
      <w:r w:rsidR="00CA2DD4" w:rsidRPr="00C328C1">
        <w:t xml:space="preserve"> against the status quo of remaking the </w:t>
      </w:r>
      <w:r w:rsidR="00BD18E3" w:rsidRPr="00C328C1">
        <w:t>R</w:t>
      </w:r>
      <w:r w:rsidR="00CA2DD4" w:rsidRPr="00C328C1">
        <w:t xml:space="preserve">egulations </w:t>
      </w:r>
      <w:r w:rsidR="00F04106">
        <w:t xml:space="preserve">in their current form </w:t>
      </w:r>
      <w:r w:rsidR="00BD18E3" w:rsidRPr="00C328C1">
        <w:t xml:space="preserve">and a base case of allowing the Regulations to expire. </w:t>
      </w:r>
      <w:r w:rsidR="00F40A42" w:rsidRPr="00C328C1">
        <w:t xml:space="preserve">This RIS uses a multi-criteria analysis (MCA) approach to select </w:t>
      </w:r>
      <w:r w:rsidR="00FA7A5C" w:rsidRPr="00C328C1">
        <w:t>a preferred option for making the Regulations. Options are analysed against th</w:t>
      </w:r>
      <w:r w:rsidR="00C328C1" w:rsidRPr="00C328C1">
        <w:t xml:space="preserve">ree </w:t>
      </w:r>
      <w:r w:rsidR="00FA7A5C" w:rsidRPr="00C328C1">
        <w:t xml:space="preserve">criteria with the following weightings: </w:t>
      </w:r>
      <w:r w:rsidR="00C328C1" w:rsidRPr="00C328C1">
        <w:t>p</w:t>
      </w:r>
      <w:r w:rsidR="00B71C0D" w:rsidRPr="00C328C1">
        <w:t>atient safety (40</w:t>
      </w:r>
      <w:r w:rsidR="006E379D">
        <w:t xml:space="preserve"> percent</w:t>
      </w:r>
      <w:r w:rsidR="00B71C0D" w:rsidRPr="00C328C1">
        <w:t>)</w:t>
      </w:r>
      <w:r w:rsidR="00C328C1" w:rsidRPr="00C328C1">
        <w:t>; s</w:t>
      </w:r>
      <w:r w:rsidR="00B47DE0" w:rsidRPr="00C328C1">
        <w:t>upporting the NEPT system</w:t>
      </w:r>
      <w:r w:rsidR="006D59CF" w:rsidRPr="00C328C1">
        <w:t xml:space="preserve"> (10</w:t>
      </w:r>
      <w:r w:rsidR="006E379D">
        <w:t xml:space="preserve"> percent</w:t>
      </w:r>
      <w:r w:rsidR="006D59CF" w:rsidRPr="00C328C1">
        <w:t>)</w:t>
      </w:r>
      <w:r w:rsidR="00C328C1" w:rsidRPr="00C328C1">
        <w:t xml:space="preserve"> and c</w:t>
      </w:r>
      <w:r w:rsidR="006D59CF" w:rsidRPr="00C328C1">
        <w:t>osts to NEPT providers (50</w:t>
      </w:r>
      <w:r w:rsidR="006E379D">
        <w:t xml:space="preserve"> percent</w:t>
      </w:r>
      <w:r w:rsidR="006D59CF" w:rsidRPr="00C328C1">
        <w:t>)</w:t>
      </w:r>
      <w:r w:rsidR="00C328C1" w:rsidRPr="00C328C1">
        <w:t>.</w:t>
      </w:r>
      <w:r w:rsidR="00651D2A">
        <w:t xml:space="preserve"> </w:t>
      </w:r>
      <w:r w:rsidR="007659B8">
        <w:t xml:space="preserve">The analysis identifies that making targeted improvements to the Regulations is the preferred option. </w:t>
      </w:r>
      <w:r w:rsidR="001A2AEC">
        <w:t>It</w:t>
      </w:r>
      <w:r w:rsidR="00241CBB" w:rsidRPr="00C328C1">
        <w:t xml:space="preserve"> makes improvements to patient safety relative to the status quo </w:t>
      </w:r>
      <w:proofErr w:type="gramStart"/>
      <w:r w:rsidR="00241CBB" w:rsidRPr="00C328C1">
        <w:t>and also</w:t>
      </w:r>
      <w:proofErr w:type="gramEnd"/>
      <w:r w:rsidR="00241CBB" w:rsidRPr="00C328C1">
        <w:t xml:space="preserve"> makes a range of targeted improvements that support the NEPT system</w:t>
      </w:r>
      <w:r w:rsidR="00A6761C">
        <w:t>.</w:t>
      </w:r>
      <w:r w:rsidR="00241CBB" w:rsidRPr="00C328C1">
        <w:t xml:space="preserve"> </w:t>
      </w:r>
    </w:p>
    <w:p w14:paraId="1F9EABD6" w14:textId="5A00F077" w:rsidR="00F04106" w:rsidRDefault="00F04106" w:rsidP="00FC67A2">
      <w:pPr>
        <w:pStyle w:val="Body"/>
      </w:pPr>
      <w:r w:rsidRPr="00C328C1">
        <w:t xml:space="preserve">The </w:t>
      </w:r>
      <w:r>
        <w:t>targeted improvements</w:t>
      </w:r>
      <w:r w:rsidRPr="00C328C1">
        <w:t xml:space="preserve"> proposed in this RIS do not represent significant shifts in policy or imposition of substantial regulatory burden. They seek to embed existing best practice, provide further operational clarity and to remove any ambiguity and inconsistency.</w:t>
      </w:r>
      <w:r w:rsidRPr="00F04106">
        <w:t xml:space="preserve"> </w:t>
      </w:r>
      <w:r w:rsidR="003D404B">
        <w:t xml:space="preserve">In doing so they aim </w:t>
      </w:r>
      <w:r w:rsidRPr="00C328C1">
        <w:t>to improve patient safety and to strengthen the operation and sustainability of the NEPT sector to ensure the ongoing efficient delivery of services.</w:t>
      </w:r>
    </w:p>
    <w:p w14:paraId="4490C1D7" w14:textId="67A9E5BB" w:rsidR="00AF777D" w:rsidRDefault="003D404B" w:rsidP="00FC67A2">
      <w:pPr>
        <w:pStyle w:val="Body"/>
        <w:rPr>
          <w:szCs w:val="21"/>
        </w:rPr>
      </w:pPr>
      <w:r w:rsidRPr="008D718A">
        <w:t xml:space="preserve">The proposed Regulations </w:t>
      </w:r>
      <w:r w:rsidR="00B54982">
        <w:t>focus on improving</w:t>
      </w:r>
      <w:r w:rsidRPr="008D718A">
        <w:t xml:space="preserve"> patient safety by embedding best practice clinical governance, adverse event reporting and removing ambiguity around a range of regulatory obligations. They also support the NEPT workforce through improvements such as strengthening skills maintenance and training</w:t>
      </w:r>
      <w:r>
        <w:t>,</w:t>
      </w:r>
      <w:r w:rsidRPr="008D718A">
        <w:t xml:space="preserve"> recognising the qualifications of</w:t>
      </w:r>
      <w:r>
        <w:t xml:space="preserve"> NEPT</w:t>
      </w:r>
      <w:r w:rsidRPr="008D718A">
        <w:t xml:space="preserve"> crew</w:t>
      </w:r>
      <w:r>
        <w:t>, and providing anonymised staff surveys. These amendments will contribute to non-regulatory improvements implemented through the NEPT Review</w:t>
      </w:r>
      <w:r w:rsidRPr="14B08F1D">
        <w:t>, including the NEPT workforce plan.</w:t>
      </w:r>
      <w:r w:rsidR="00597731" w:rsidRPr="14B08F1D">
        <w:rPr>
          <w:rStyle w:val="FootnoteReference"/>
        </w:rPr>
        <w:footnoteReference w:id="1"/>
      </w:r>
      <w:r w:rsidRPr="14B08F1D">
        <w:t xml:space="preserve"> Similarly, it is expected that</w:t>
      </w:r>
      <w:r w:rsidRPr="00C328C1">
        <w:t xml:space="preserve"> amendments to improve clarity </w:t>
      </w:r>
      <w:r>
        <w:t xml:space="preserve">and consistency </w:t>
      </w:r>
      <w:r w:rsidRPr="00C328C1">
        <w:t xml:space="preserve">of </w:t>
      </w:r>
      <w:r>
        <w:t xml:space="preserve">obligations will support the response to the NEPT Review which seeks to </w:t>
      </w:r>
      <w:r w:rsidRPr="14B08F1D">
        <w:t>improve quality and safety, governance and oversight through</w:t>
      </w:r>
      <w:r w:rsidDel="001C1C09">
        <w:rPr>
          <w:szCs w:val="21"/>
        </w:rPr>
        <w:t xml:space="preserve"> </w:t>
      </w:r>
      <w:r w:rsidRPr="14B08F1D">
        <w:t xml:space="preserve">alignment of NEPT with broader health system guidelines and frameworks. </w:t>
      </w:r>
    </w:p>
    <w:p w14:paraId="0EF2CC6C" w14:textId="0CEC81FE" w:rsidR="0009656E" w:rsidRDefault="1EE4CAE7" w:rsidP="00FC67A2">
      <w:pPr>
        <w:pStyle w:val="Body"/>
      </w:pPr>
      <w:r w:rsidRPr="14B08F1D">
        <w:lastRenderedPageBreak/>
        <w:t xml:space="preserve">NEPT service efficiency is improved by making allowances for extended vehicle mileage in recognition of longer trips taken by regional providers and by permitting double loading for some aeromedical transports to support trips from rural areas to health services. Regional providers are expected to benefit most from these reforms, supporting sustainable service provision to these communities. </w:t>
      </w:r>
    </w:p>
    <w:p w14:paraId="73811838" w14:textId="2E4A9A77" w:rsidR="0009656E" w:rsidRDefault="003C1886" w:rsidP="00FC67A2">
      <w:pPr>
        <w:pStyle w:val="Body"/>
      </w:pPr>
      <w:r w:rsidRPr="00C328C1">
        <w:t>The total costs of the preferred option are estimated at $6.4 million over 10 years, compared to total costs of $5.9 million for the existing Regulations.</w:t>
      </w:r>
    </w:p>
    <w:p w14:paraId="47A6FDB2" w14:textId="29DCDC5A" w:rsidR="003D404B" w:rsidRDefault="00B61277" w:rsidP="00B61277">
      <w:pPr>
        <w:pStyle w:val="Body"/>
      </w:pPr>
      <w:r>
        <w:t xml:space="preserve">This </w:t>
      </w:r>
      <w:r w:rsidR="000C732F">
        <w:t>RIS</w:t>
      </w:r>
      <w:r>
        <w:t xml:space="preserve"> and proposed Regulations are released for a minimum 28-day public consultation period so that key stakeholders and members of the public can consider the proposed </w:t>
      </w:r>
      <w:r w:rsidR="003D404B">
        <w:t xml:space="preserve">Regulations </w:t>
      </w:r>
      <w:r>
        <w:t xml:space="preserve">and provide feedback. </w:t>
      </w:r>
    </w:p>
    <w:p w14:paraId="234A12E0" w14:textId="7B6B100C" w:rsidR="00D23AFA" w:rsidRDefault="00B61277" w:rsidP="00B61277">
      <w:pPr>
        <w:pStyle w:val="Body"/>
      </w:pPr>
      <w:r>
        <w:t xml:space="preserve">The </w:t>
      </w:r>
      <w:r w:rsidR="00BF732C">
        <w:t>d</w:t>
      </w:r>
      <w:r>
        <w:t xml:space="preserve">epartment will review and consider each </w:t>
      </w:r>
      <w:r w:rsidR="00671D6C">
        <w:t>submission.</w:t>
      </w:r>
      <w:r>
        <w:t xml:space="preserve"> </w:t>
      </w:r>
      <w:r w:rsidR="00A32498">
        <w:t xml:space="preserve">This will inform final recommendations for Governor in Council to make new NEPT Regulations prior to the sunset of current Regulations on 19 April 2026. </w:t>
      </w:r>
    </w:p>
    <w:p w14:paraId="485ED606" w14:textId="646272B8" w:rsidR="00A32498" w:rsidRDefault="00B61277" w:rsidP="00B61277">
      <w:pPr>
        <w:pStyle w:val="Body"/>
      </w:pPr>
      <w:r>
        <w:t xml:space="preserve">A Statement of Reasons, which explains how this consultation process influenced the final Regulations, will be published by the Minister for Health prior to the making of the final Regulations. </w:t>
      </w:r>
    </w:p>
    <w:p w14:paraId="3B2E10B0" w14:textId="04D224D1" w:rsidR="00CE681F" w:rsidRDefault="00B61277" w:rsidP="008B3310">
      <w:pPr>
        <w:pStyle w:val="Body"/>
      </w:pPr>
      <w:r w:rsidRPr="00A34582">
        <w:t xml:space="preserve">The </w:t>
      </w:r>
      <w:r w:rsidR="00BF732C">
        <w:t>d</w:t>
      </w:r>
      <w:r>
        <w:t>epartment will support implementation</w:t>
      </w:r>
      <w:r w:rsidRPr="00A34582">
        <w:t xml:space="preserve"> to ensure that the amended Regulations are operationalised effectively, with minimal disruption to service delivery</w:t>
      </w:r>
      <w:r>
        <w:t>.</w:t>
      </w:r>
      <w:r w:rsidRPr="00A34582">
        <w:t xml:space="preserve"> </w:t>
      </w:r>
    </w:p>
    <w:bookmarkStart w:id="2" w:name="_Toc213851523"/>
    <w:p w14:paraId="5EAC8041" w14:textId="500DE392" w:rsidR="003222E2" w:rsidRDefault="00CE681F" w:rsidP="00B61277">
      <w:pPr>
        <w:pStyle w:val="Body"/>
      </w:pPr>
      <w:r>
        <w:rPr>
          <w:noProof/>
        </w:rPr>
        <w:lastRenderedPageBreak/>
        <mc:AlternateContent>
          <mc:Choice Requires="wps">
            <w:drawing>
              <wp:inline distT="0" distB="0" distL="0" distR="0" wp14:anchorId="51D0960E" wp14:editId="2F9BF69B">
                <wp:extent cx="5854535" cy="5712031"/>
                <wp:effectExtent l="0" t="0" r="13335" b="22225"/>
                <wp:docPr id="1708999528" name="Text Box 1"/>
                <wp:cNvGraphicFramePr/>
                <a:graphic xmlns:a="http://schemas.openxmlformats.org/drawingml/2006/main">
                  <a:graphicData uri="http://schemas.microsoft.com/office/word/2010/wordprocessingShape">
                    <wps:wsp>
                      <wps:cNvSpPr txBox="1"/>
                      <wps:spPr>
                        <a:xfrm>
                          <a:off x="0" y="0"/>
                          <a:ext cx="5854535" cy="5712031"/>
                        </a:xfrm>
                        <a:prstGeom prst="rect">
                          <a:avLst/>
                        </a:prstGeom>
                        <a:solidFill>
                          <a:schemeClr val="accent5">
                            <a:lumMod val="20000"/>
                            <a:lumOff val="80000"/>
                          </a:schemeClr>
                        </a:solidFill>
                        <a:ln w="6350">
                          <a:solidFill>
                            <a:schemeClr val="accent5">
                              <a:lumMod val="75000"/>
                            </a:schemeClr>
                          </a:solidFill>
                        </a:ln>
                      </wps:spPr>
                      <wps:txbx>
                        <w:txbxContent>
                          <w:p w14:paraId="6633E7EA" w14:textId="68168C15" w:rsidR="00CE681F" w:rsidRPr="009135A0" w:rsidRDefault="00CE681F" w:rsidP="00B87001">
                            <w:pPr>
                              <w:pStyle w:val="Heading3"/>
                              <w:spacing w:before="120"/>
                              <w:rPr>
                                <w:rStyle w:val="Heading2Char"/>
                                <w:b w:val="0"/>
                                <w:sz w:val="30"/>
                                <w:szCs w:val="26"/>
                              </w:rPr>
                            </w:pPr>
                            <w:bookmarkStart w:id="3" w:name="_Toc215847498"/>
                            <w:r w:rsidRPr="009135A0">
                              <w:rPr>
                                <w:rStyle w:val="Heading2Char"/>
                                <w:b w:val="0"/>
                                <w:sz w:val="30"/>
                                <w:szCs w:val="26"/>
                              </w:rPr>
                              <w:t xml:space="preserve">Summary of proposed updates to </w:t>
                            </w:r>
                            <w:r w:rsidR="0084387B">
                              <w:rPr>
                                <w:rStyle w:val="Heading2Char"/>
                                <w:b w:val="0"/>
                                <w:sz w:val="30"/>
                                <w:szCs w:val="26"/>
                              </w:rPr>
                              <w:t xml:space="preserve">the </w:t>
                            </w:r>
                            <w:r w:rsidRPr="009135A0">
                              <w:rPr>
                                <w:rStyle w:val="Heading2Char"/>
                                <w:b w:val="0"/>
                                <w:sz w:val="30"/>
                                <w:szCs w:val="26"/>
                              </w:rPr>
                              <w:t>Regulations</w:t>
                            </w:r>
                            <w:bookmarkEnd w:id="3"/>
                            <w:r w:rsidRPr="009135A0">
                              <w:rPr>
                                <w:rStyle w:val="Heading2Char"/>
                                <w:b w:val="0"/>
                                <w:sz w:val="30"/>
                                <w:szCs w:val="26"/>
                              </w:rPr>
                              <w:t xml:space="preserve"> </w:t>
                            </w:r>
                          </w:p>
                          <w:p w14:paraId="7054E2BB" w14:textId="77777777" w:rsidR="00CE681F" w:rsidRPr="00BB7272" w:rsidRDefault="00CE681F" w:rsidP="00CE681F">
                            <w:pPr>
                              <w:pStyle w:val="Body"/>
                              <w:spacing w:line="260" w:lineRule="atLeast"/>
                            </w:pPr>
                            <w:r>
                              <w:t>This RIS</w:t>
                            </w:r>
                            <w:r w:rsidRPr="00BB7272">
                              <w:t xml:space="preserve"> proposes remaking the </w:t>
                            </w:r>
                            <w:r>
                              <w:t>R</w:t>
                            </w:r>
                            <w:r w:rsidRPr="00BB7272">
                              <w:t xml:space="preserve">egulations with targeted </w:t>
                            </w:r>
                            <w:r>
                              <w:t>improvements</w:t>
                            </w:r>
                            <w:r w:rsidRPr="00BB7272">
                              <w:t xml:space="preserve"> across key areas:</w:t>
                            </w:r>
                          </w:p>
                          <w:p w14:paraId="038B2144" w14:textId="77777777" w:rsidR="00CE681F" w:rsidRPr="00D14CDC" w:rsidRDefault="00CE681F" w:rsidP="00CE681F">
                            <w:pPr>
                              <w:pStyle w:val="Tablecolhead"/>
                            </w:pPr>
                            <w:r w:rsidRPr="00D14CDC">
                              <w:t>Ensuring patient safety</w:t>
                            </w:r>
                          </w:p>
                          <w:p w14:paraId="0B87CE9A" w14:textId="2B6AFCE1" w:rsidR="00CE681F" w:rsidRPr="00BA53C3" w:rsidRDefault="00CE681F" w:rsidP="00CE681F">
                            <w:pPr>
                              <w:pStyle w:val="Bullet1"/>
                              <w:spacing w:line="260" w:lineRule="atLeast"/>
                            </w:pPr>
                            <w:r w:rsidRPr="00BA53C3">
                              <w:t>Clarify transport and crew requirements to ensure high patient safety standards</w:t>
                            </w:r>
                            <w:r w:rsidR="008B3310">
                              <w:t>.</w:t>
                            </w:r>
                          </w:p>
                          <w:p w14:paraId="740D9374" w14:textId="42741962" w:rsidR="00CE681F" w:rsidRPr="00BA53C3" w:rsidRDefault="00CE681F" w:rsidP="00CE681F">
                            <w:pPr>
                              <w:pStyle w:val="Bullet1"/>
                              <w:spacing w:line="260" w:lineRule="atLeast"/>
                            </w:pPr>
                            <w:r w:rsidRPr="00BA53C3">
                              <w:t>Clarify vehicle and equipment maintenance requirements to ensure safe transport</w:t>
                            </w:r>
                            <w:r w:rsidR="008B3310">
                              <w:t>.</w:t>
                            </w:r>
                          </w:p>
                          <w:p w14:paraId="47DEBB1B" w14:textId="7AFE8FAD" w:rsidR="00CE681F" w:rsidRPr="00BA53C3" w:rsidRDefault="00CE681F" w:rsidP="00CE681F">
                            <w:pPr>
                              <w:pStyle w:val="Bullet1"/>
                              <w:spacing w:line="260" w:lineRule="atLeast"/>
                            </w:pPr>
                            <w:r w:rsidRPr="00BA53C3">
                              <w:t>Reporting and oversight of all serious adverse patient safety events</w:t>
                            </w:r>
                            <w:r w:rsidR="008B3310">
                              <w:t>.</w:t>
                            </w:r>
                          </w:p>
                          <w:p w14:paraId="46BCDF4A" w14:textId="12DAE034" w:rsidR="00CE681F" w:rsidRPr="00BA53C3" w:rsidRDefault="00CE681F" w:rsidP="00CE681F">
                            <w:pPr>
                              <w:pStyle w:val="Bullet1"/>
                              <w:spacing w:line="260" w:lineRule="atLeast"/>
                            </w:pPr>
                            <w:r w:rsidRPr="00BA53C3">
                              <w:t>Embed expertise for clinical oversight committee and auditing of patient care records</w:t>
                            </w:r>
                            <w:r w:rsidR="008B3310">
                              <w:t>.</w:t>
                            </w:r>
                          </w:p>
                          <w:p w14:paraId="56CEE39C" w14:textId="77777777" w:rsidR="00CE681F" w:rsidRPr="00BA53C3" w:rsidRDefault="00CE681F" w:rsidP="00CE681F">
                            <w:pPr>
                              <w:pStyle w:val="Tablecolhead"/>
                            </w:pPr>
                            <w:r w:rsidRPr="00BA53C3">
                              <w:t xml:space="preserve">Supporting workforce capability </w:t>
                            </w:r>
                          </w:p>
                          <w:p w14:paraId="59FECDAF" w14:textId="65D87341" w:rsidR="00CE681F" w:rsidRPr="00BA53C3" w:rsidRDefault="00CE681F" w:rsidP="00CE681F">
                            <w:pPr>
                              <w:pStyle w:val="Bullet1"/>
                              <w:spacing w:line="260" w:lineRule="atLeast"/>
                            </w:pPr>
                            <w:r w:rsidRPr="00BA53C3">
                              <w:t>Integrate reference to clinical practice protocols to support crew to operate within scope of practice</w:t>
                            </w:r>
                            <w:r w:rsidR="008B3310">
                              <w:t>.</w:t>
                            </w:r>
                          </w:p>
                          <w:p w14:paraId="1F258FA3" w14:textId="3BCA614D" w:rsidR="00CE681F" w:rsidRPr="00BA53C3" w:rsidRDefault="00CE681F" w:rsidP="00CE681F">
                            <w:pPr>
                              <w:pStyle w:val="Bullet1"/>
                              <w:spacing w:line="260" w:lineRule="atLeast"/>
                            </w:pPr>
                            <w:r w:rsidRPr="00BA53C3">
                              <w:t>Clarify competency and skills maintenance requirements to provide workforce with confidence to perform their duties</w:t>
                            </w:r>
                            <w:r w:rsidR="008B3310">
                              <w:t>.</w:t>
                            </w:r>
                          </w:p>
                          <w:p w14:paraId="7F042A9D" w14:textId="5E0394E6" w:rsidR="00CE681F" w:rsidRPr="00BA53C3" w:rsidRDefault="00CE681F" w:rsidP="00CE681F">
                            <w:pPr>
                              <w:pStyle w:val="Bullet1"/>
                              <w:spacing w:line="260" w:lineRule="atLeast"/>
                            </w:pPr>
                            <w:r w:rsidRPr="00BA53C3">
                              <w:t>Enable flexible competency pathways to strengthen recruitment and retention of workforce into the future</w:t>
                            </w:r>
                            <w:r w:rsidR="008B3310">
                              <w:t>.</w:t>
                            </w:r>
                          </w:p>
                          <w:p w14:paraId="5DE3D766" w14:textId="4A7411CC" w:rsidR="00CE681F" w:rsidRPr="00BA53C3" w:rsidRDefault="00CE681F" w:rsidP="00CE681F">
                            <w:pPr>
                              <w:pStyle w:val="Bullet1"/>
                              <w:spacing w:line="260" w:lineRule="atLeast"/>
                            </w:pPr>
                            <w:r w:rsidRPr="00BA53C3">
                              <w:t>Anonymised staff surveys to support worker satisfaction and inform overall workforce policies</w:t>
                            </w:r>
                            <w:r w:rsidR="008B3310">
                              <w:t>.</w:t>
                            </w:r>
                          </w:p>
                          <w:p w14:paraId="08CB4265" w14:textId="77777777" w:rsidR="00CE681F" w:rsidRPr="00BA53C3" w:rsidRDefault="00CE681F" w:rsidP="00CE681F">
                            <w:pPr>
                              <w:pStyle w:val="Tablecolhead"/>
                            </w:pPr>
                            <w:r w:rsidRPr="00BA53C3">
                              <w:t xml:space="preserve">Delivering services efficiently </w:t>
                            </w:r>
                          </w:p>
                          <w:p w14:paraId="78BEC41A" w14:textId="61DB9B92" w:rsidR="00CE681F" w:rsidRPr="00BA53C3" w:rsidRDefault="00CE681F" w:rsidP="00CE681F">
                            <w:pPr>
                              <w:pStyle w:val="Bullet1"/>
                              <w:spacing w:line="260" w:lineRule="atLeast"/>
                            </w:pPr>
                            <w:r w:rsidRPr="00BA53C3">
                              <w:t>Safeguarding extended vehicle mileage limits to support sustainability and continued regional access</w:t>
                            </w:r>
                            <w:r w:rsidR="008B3310">
                              <w:t>.</w:t>
                            </w:r>
                          </w:p>
                          <w:p w14:paraId="4976081D" w14:textId="40EC0F6C" w:rsidR="00CE681F" w:rsidRPr="00BA53C3" w:rsidRDefault="00CE681F" w:rsidP="00CE681F">
                            <w:pPr>
                              <w:pStyle w:val="Bullet1"/>
                              <w:spacing w:line="260" w:lineRule="atLeast"/>
                            </w:pPr>
                            <w:r w:rsidRPr="00BA53C3">
                              <w:t>Permit double loading of low and medium acuity aeromedical patients to enable efficient use of limited resources</w:t>
                            </w:r>
                            <w:r w:rsidR="008B3310">
                              <w:t>.</w:t>
                            </w:r>
                            <w:r w:rsidRPr="00BA53C3">
                              <w:t xml:space="preserve"> </w:t>
                            </w:r>
                          </w:p>
                          <w:p w14:paraId="50222550" w14:textId="77777777" w:rsidR="00CE681F" w:rsidRPr="00BA53C3" w:rsidRDefault="00CE681F" w:rsidP="00CE681F">
                            <w:pPr>
                              <w:pStyle w:val="Bullet1"/>
                              <w:spacing w:line="260" w:lineRule="atLeast"/>
                            </w:pPr>
                            <w:r w:rsidRPr="00BA53C3">
                              <w:t xml:space="preserve">Clear obligations to facilitate compliance and enforcement and establish best practice within the sector. </w:t>
                            </w:r>
                          </w:p>
                          <w:p w14:paraId="48FE53AA" w14:textId="77777777" w:rsidR="00CE681F" w:rsidRPr="00BA53C3" w:rsidRDefault="00CE681F" w:rsidP="00CE681F">
                            <w:pPr>
                              <w:pStyle w:val="Tablecolhead"/>
                            </w:pPr>
                            <w:r w:rsidRPr="00BA53C3">
                              <w:t>Recognising NEPT as an important health service provider</w:t>
                            </w:r>
                          </w:p>
                          <w:p w14:paraId="5FDC8649" w14:textId="3B1884D7" w:rsidR="00CE681F" w:rsidRPr="00BA53C3" w:rsidRDefault="00CE681F" w:rsidP="00CE681F">
                            <w:pPr>
                              <w:pStyle w:val="Bullet1"/>
                              <w:spacing w:line="260" w:lineRule="atLeast"/>
                            </w:pPr>
                            <w:r w:rsidRPr="00BA53C3">
                              <w:t>Alignment of definitions with NEPT definitions in the Act to clarify scope of service</w:t>
                            </w:r>
                            <w:r w:rsidR="008B3310">
                              <w:t>.</w:t>
                            </w:r>
                            <w:r w:rsidRPr="00BA53C3">
                              <w:t xml:space="preserve"> </w:t>
                            </w:r>
                          </w:p>
                          <w:p w14:paraId="2A187D15" w14:textId="36AD0772" w:rsidR="00CE681F" w:rsidRPr="00BA53C3" w:rsidRDefault="00CE681F" w:rsidP="00CE681F">
                            <w:pPr>
                              <w:pStyle w:val="Bullet1"/>
                              <w:spacing w:line="260" w:lineRule="atLeast"/>
                            </w:pPr>
                            <w:r w:rsidRPr="00BA53C3">
                              <w:t>Update terminology and other definitions to be consistent with health service provision</w:t>
                            </w:r>
                            <w:r w:rsidR="008B3310">
                              <w:t>.</w:t>
                            </w:r>
                          </w:p>
                          <w:p w14:paraId="08834AF3" w14:textId="3D0EAD58" w:rsidR="00CE681F" w:rsidRPr="00BA53C3" w:rsidRDefault="00CE681F" w:rsidP="00CE681F">
                            <w:pPr>
                              <w:pStyle w:val="Bullet1"/>
                              <w:spacing w:line="260" w:lineRule="atLeast"/>
                            </w:pPr>
                            <w:r w:rsidRPr="00BA53C3">
                              <w:t>Highlight the qualifications and skilled roles of P</w:t>
                            </w:r>
                            <w:r w:rsidR="00B9404E">
                              <w:t>atient Transport Officer (P</w:t>
                            </w:r>
                            <w:r w:rsidRPr="00BA53C3">
                              <w:t>TO</w:t>
                            </w:r>
                            <w:r w:rsidR="00B9404E">
                              <w:t>)</w:t>
                            </w:r>
                            <w:r w:rsidRPr="00BA53C3">
                              <w:t>, A</w:t>
                            </w:r>
                            <w:r w:rsidR="00B9404E">
                              <w:t xml:space="preserve">mbulance </w:t>
                            </w:r>
                            <w:r w:rsidRPr="00BA53C3">
                              <w:t>T</w:t>
                            </w:r>
                            <w:r w:rsidR="00B9404E">
                              <w:t xml:space="preserve">ransport </w:t>
                            </w:r>
                            <w:r w:rsidRPr="00BA53C3">
                              <w:t>A</w:t>
                            </w:r>
                            <w:r w:rsidR="00B9404E">
                              <w:t>ttendant (ATA)</w:t>
                            </w:r>
                            <w:r w:rsidRPr="00BA53C3">
                              <w:t xml:space="preserve"> and clinical instructor</w:t>
                            </w:r>
                            <w:r w:rsidR="008B3310">
                              <w:t>.</w:t>
                            </w:r>
                            <w:r w:rsidRPr="00BA53C3">
                              <w:t xml:space="preserve"> </w:t>
                            </w:r>
                          </w:p>
                          <w:p w14:paraId="2FDF0839" w14:textId="12F73EF8" w:rsidR="00CE681F" w:rsidRDefault="00CE681F" w:rsidP="00CE681F">
                            <w:pPr>
                              <w:pStyle w:val="Bullet1"/>
                              <w:spacing w:line="260" w:lineRule="atLeast"/>
                            </w:pPr>
                            <w:r w:rsidRPr="00BA53C3">
                              <w:t>Patient complaints policy to align with health service best practice</w:t>
                            </w:r>
                            <w:r w:rsidR="00406CFD">
                              <w:t>.</w:t>
                            </w:r>
                            <w:r w:rsidRPr="00BA53C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1D0960E" id="_x0000_t202" coordsize="21600,21600" o:spt="202" path="m,l,21600r21600,l21600,xe">
                <v:stroke joinstyle="miter"/>
                <v:path gradientshapeok="t" o:connecttype="rect"/>
              </v:shapetype>
              <v:shape id="Text Box 1" o:spid="_x0000_s1026" type="#_x0000_t202" style="width:461pt;height:4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" fillcolor="#daeef3 [664]" strokecolor="#31849b [2408]" strokeweight=".5pt">
                <v:textbox>
                  <w:txbxContent>
                    <w:p w14:paraId="6633E7EA" w14:textId="68168C15" w:rsidR="00CE681F" w:rsidRPr="009135A0" w:rsidRDefault="00CE681F" w:rsidP="00B87001">
                      <w:pPr>
                        <w:pStyle w:val="Heading3"/>
                        <w:spacing w:before="120"/>
                        <w:rPr>
                          <w:rStyle w:val="Heading2Char"/>
                          <w:b w:val="0"/>
                          <w:sz w:val="30"/>
                          <w:szCs w:val="26"/>
                        </w:rPr>
                      </w:pPr>
                      <w:bookmarkStart w:id="4" w:name="_Toc215847498"/>
                      <w:r w:rsidRPr="009135A0">
                        <w:rPr>
                          <w:rStyle w:val="Heading2Char"/>
                          <w:b w:val="0"/>
                          <w:sz w:val="30"/>
                          <w:szCs w:val="26"/>
                        </w:rPr>
                        <w:t xml:space="preserve">Summary of proposed updates to </w:t>
                      </w:r>
                      <w:r w:rsidR="0084387B">
                        <w:rPr>
                          <w:rStyle w:val="Heading2Char"/>
                          <w:b w:val="0"/>
                          <w:sz w:val="30"/>
                          <w:szCs w:val="26"/>
                        </w:rPr>
                        <w:t xml:space="preserve">the </w:t>
                      </w:r>
                      <w:r w:rsidRPr="009135A0">
                        <w:rPr>
                          <w:rStyle w:val="Heading2Char"/>
                          <w:b w:val="0"/>
                          <w:sz w:val="30"/>
                          <w:szCs w:val="26"/>
                        </w:rPr>
                        <w:t>Regulations</w:t>
                      </w:r>
                      <w:bookmarkEnd w:id="4"/>
                      <w:r w:rsidRPr="009135A0">
                        <w:rPr>
                          <w:rStyle w:val="Heading2Char"/>
                          <w:b w:val="0"/>
                          <w:sz w:val="30"/>
                          <w:szCs w:val="26"/>
                        </w:rPr>
                        <w:t xml:space="preserve"> </w:t>
                      </w:r>
                    </w:p>
                    <w:p w14:paraId="7054E2BB" w14:textId="77777777" w:rsidR="00CE681F" w:rsidRPr="00BB7272" w:rsidRDefault="00CE681F" w:rsidP="00CE681F">
                      <w:pPr>
                        <w:pStyle w:val="Body"/>
                        <w:spacing w:line="260" w:lineRule="atLeast"/>
                      </w:pPr>
                      <w:r>
                        <w:t>This RIS</w:t>
                      </w:r>
                      <w:r w:rsidRPr="00BB7272">
                        <w:t xml:space="preserve"> proposes remaking the </w:t>
                      </w:r>
                      <w:r>
                        <w:t>R</w:t>
                      </w:r>
                      <w:r w:rsidRPr="00BB7272">
                        <w:t xml:space="preserve">egulations with targeted </w:t>
                      </w:r>
                      <w:r>
                        <w:t>improvements</w:t>
                      </w:r>
                      <w:r w:rsidRPr="00BB7272">
                        <w:t xml:space="preserve"> across key areas:</w:t>
                      </w:r>
                    </w:p>
                    <w:p w14:paraId="038B2144" w14:textId="77777777" w:rsidR="00CE681F" w:rsidRPr="00D14CDC" w:rsidRDefault="00CE681F" w:rsidP="00CE681F">
                      <w:pPr>
                        <w:pStyle w:val="Tablecolhead"/>
                      </w:pPr>
                      <w:r w:rsidRPr="00D14CDC">
                        <w:t>Ensuring patient safety</w:t>
                      </w:r>
                    </w:p>
                    <w:p w14:paraId="0B87CE9A" w14:textId="2B6AFCE1" w:rsidR="00CE681F" w:rsidRPr="00BA53C3" w:rsidRDefault="00CE681F" w:rsidP="00CE681F">
                      <w:pPr>
                        <w:pStyle w:val="Bullet1"/>
                        <w:spacing w:line="260" w:lineRule="atLeast"/>
                      </w:pPr>
                      <w:r w:rsidRPr="00BA53C3">
                        <w:t>Clarify transport and crew requirements to ensure high patient safety standards</w:t>
                      </w:r>
                      <w:r w:rsidR="008B3310">
                        <w:t>.</w:t>
                      </w:r>
                    </w:p>
                    <w:p w14:paraId="740D9374" w14:textId="42741962" w:rsidR="00CE681F" w:rsidRPr="00BA53C3" w:rsidRDefault="00CE681F" w:rsidP="00CE681F">
                      <w:pPr>
                        <w:pStyle w:val="Bullet1"/>
                        <w:spacing w:line="260" w:lineRule="atLeast"/>
                      </w:pPr>
                      <w:r w:rsidRPr="00BA53C3">
                        <w:t>Clarify vehicle and equipment maintenance requirements to ensure safe transport</w:t>
                      </w:r>
                      <w:r w:rsidR="008B3310">
                        <w:t>.</w:t>
                      </w:r>
                    </w:p>
                    <w:p w14:paraId="47DEBB1B" w14:textId="7AFE8FAD" w:rsidR="00CE681F" w:rsidRPr="00BA53C3" w:rsidRDefault="00CE681F" w:rsidP="00CE681F">
                      <w:pPr>
                        <w:pStyle w:val="Bullet1"/>
                        <w:spacing w:line="260" w:lineRule="atLeast"/>
                      </w:pPr>
                      <w:r w:rsidRPr="00BA53C3">
                        <w:t>Reporting and oversight of all serious adverse patient safety events</w:t>
                      </w:r>
                      <w:r w:rsidR="008B3310">
                        <w:t>.</w:t>
                      </w:r>
                    </w:p>
                    <w:p w14:paraId="46BCDF4A" w14:textId="12DAE034" w:rsidR="00CE681F" w:rsidRPr="00BA53C3" w:rsidRDefault="00CE681F" w:rsidP="00CE681F">
                      <w:pPr>
                        <w:pStyle w:val="Bullet1"/>
                        <w:spacing w:line="260" w:lineRule="atLeast"/>
                      </w:pPr>
                      <w:r w:rsidRPr="00BA53C3">
                        <w:t>Embed expertise for clinical oversight committee and auditing of patient care records</w:t>
                      </w:r>
                      <w:r w:rsidR="008B3310">
                        <w:t>.</w:t>
                      </w:r>
                    </w:p>
                    <w:p w14:paraId="56CEE39C" w14:textId="77777777" w:rsidR="00CE681F" w:rsidRPr="00BA53C3" w:rsidRDefault="00CE681F" w:rsidP="00CE681F">
                      <w:pPr>
                        <w:pStyle w:val="Tablecolhead"/>
                      </w:pPr>
                      <w:r w:rsidRPr="00BA53C3">
                        <w:t xml:space="preserve">Supporting workforce capability </w:t>
                      </w:r>
                    </w:p>
                    <w:p w14:paraId="59FECDAF" w14:textId="65D87341" w:rsidR="00CE681F" w:rsidRPr="00BA53C3" w:rsidRDefault="00CE681F" w:rsidP="00CE681F">
                      <w:pPr>
                        <w:pStyle w:val="Bullet1"/>
                        <w:spacing w:line="260" w:lineRule="atLeast"/>
                      </w:pPr>
                      <w:r w:rsidRPr="00BA53C3">
                        <w:t>Integrate reference to clinical practice protocols to support crew to operate within scope of practice</w:t>
                      </w:r>
                      <w:r w:rsidR="008B3310">
                        <w:t>.</w:t>
                      </w:r>
                    </w:p>
                    <w:p w14:paraId="1F258FA3" w14:textId="3BCA614D" w:rsidR="00CE681F" w:rsidRPr="00BA53C3" w:rsidRDefault="00CE681F" w:rsidP="00CE681F">
                      <w:pPr>
                        <w:pStyle w:val="Bullet1"/>
                        <w:spacing w:line="260" w:lineRule="atLeast"/>
                      </w:pPr>
                      <w:r w:rsidRPr="00BA53C3">
                        <w:t>Clarify competency and skills maintenance requirements to provide workforce with confidence to perform their duties</w:t>
                      </w:r>
                      <w:r w:rsidR="008B3310">
                        <w:t>.</w:t>
                      </w:r>
                    </w:p>
                    <w:p w14:paraId="7F042A9D" w14:textId="5E0394E6" w:rsidR="00CE681F" w:rsidRPr="00BA53C3" w:rsidRDefault="00CE681F" w:rsidP="00CE681F">
                      <w:pPr>
                        <w:pStyle w:val="Bullet1"/>
                        <w:spacing w:line="260" w:lineRule="atLeast"/>
                      </w:pPr>
                      <w:r w:rsidRPr="00BA53C3">
                        <w:t>Enable flexible competency pathways to strengthen recruitment and retention of workforce into the future</w:t>
                      </w:r>
                      <w:r w:rsidR="008B3310">
                        <w:t>.</w:t>
                      </w:r>
                    </w:p>
                    <w:p w14:paraId="5DE3D766" w14:textId="4A7411CC" w:rsidR="00CE681F" w:rsidRPr="00BA53C3" w:rsidRDefault="00CE681F" w:rsidP="00CE681F">
                      <w:pPr>
                        <w:pStyle w:val="Bullet1"/>
                        <w:spacing w:line="260" w:lineRule="atLeast"/>
                      </w:pPr>
                      <w:r w:rsidRPr="00BA53C3">
                        <w:t>Anonymised staff surveys to support worker satisfaction and inform overall workforce policies</w:t>
                      </w:r>
                      <w:r w:rsidR="008B3310">
                        <w:t>.</w:t>
                      </w:r>
                    </w:p>
                    <w:p w14:paraId="08CB4265" w14:textId="77777777" w:rsidR="00CE681F" w:rsidRPr="00BA53C3" w:rsidRDefault="00CE681F" w:rsidP="00CE681F">
                      <w:pPr>
                        <w:pStyle w:val="Tablecolhead"/>
                      </w:pPr>
                      <w:r w:rsidRPr="00BA53C3">
                        <w:t xml:space="preserve">Delivering services efficiently </w:t>
                      </w:r>
                    </w:p>
                    <w:p w14:paraId="78BEC41A" w14:textId="61DB9B92" w:rsidR="00CE681F" w:rsidRPr="00BA53C3" w:rsidRDefault="00CE681F" w:rsidP="00CE681F">
                      <w:pPr>
                        <w:pStyle w:val="Bullet1"/>
                        <w:spacing w:line="260" w:lineRule="atLeast"/>
                      </w:pPr>
                      <w:r w:rsidRPr="00BA53C3">
                        <w:t>Safeguarding extended vehicle mileage limits to support sustainability and continued regional access</w:t>
                      </w:r>
                      <w:r w:rsidR="008B3310">
                        <w:t>.</w:t>
                      </w:r>
                    </w:p>
                    <w:p w14:paraId="4976081D" w14:textId="40EC0F6C" w:rsidR="00CE681F" w:rsidRPr="00BA53C3" w:rsidRDefault="00CE681F" w:rsidP="00CE681F">
                      <w:pPr>
                        <w:pStyle w:val="Bullet1"/>
                        <w:spacing w:line="260" w:lineRule="atLeast"/>
                      </w:pPr>
                      <w:r w:rsidRPr="00BA53C3">
                        <w:t>Permit double loading of low and medium acuity aeromedical patients to enable efficient use of limited resources</w:t>
                      </w:r>
                      <w:r w:rsidR="008B3310">
                        <w:t>.</w:t>
                      </w:r>
                      <w:r w:rsidRPr="00BA53C3">
                        <w:t xml:space="preserve"> </w:t>
                      </w:r>
                    </w:p>
                    <w:p w14:paraId="50222550" w14:textId="77777777" w:rsidR="00CE681F" w:rsidRPr="00BA53C3" w:rsidRDefault="00CE681F" w:rsidP="00CE681F">
                      <w:pPr>
                        <w:pStyle w:val="Bullet1"/>
                        <w:spacing w:line="260" w:lineRule="atLeast"/>
                      </w:pPr>
                      <w:r w:rsidRPr="00BA53C3">
                        <w:t xml:space="preserve">Clear obligations to facilitate compliance and enforcement and establish best practice within the sector. </w:t>
                      </w:r>
                    </w:p>
                    <w:p w14:paraId="48FE53AA" w14:textId="77777777" w:rsidR="00CE681F" w:rsidRPr="00BA53C3" w:rsidRDefault="00CE681F" w:rsidP="00CE681F">
                      <w:pPr>
                        <w:pStyle w:val="Tablecolhead"/>
                      </w:pPr>
                      <w:r w:rsidRPr="00BA53C3">
                        <w:t>Recognising NEPT as an important health service provider</w:t>
                      </w:r>
                    </w:p>
                    <w:p w14:paraId="5FDC8649" w14:textId="3B1884D7" w:rsidR="00CE681F" w:rsidRPr="00BA53C3" w:rsidRDefault="00CE681F" w:rsidP="00CE681F">
                      <w:pPr>
                        <w:pStyle w:val="Bullet1"/>
                        <w:spacing w:line="260" w:lineRule="atLeast"/>
                      </w:pPr>
                      <w:r w:rsidRPr="00BA53C3">
                        <w:t>Alignment of definitions with NEPT definitions in the Act to clarify scope of service</w:t>
                      </w:r>
                      <w:r w:rsidR="008B3310">
                        <w:t>.</w:t>
                      </w:r>
                      <w:r w:rsidRPr="00BA53C3">
                        <w:t xml:space="preserve"> </w:t>
                      </w:r>
                    </w:p>
                    <w:p w14:paraId="2A187D15" w14:textId="36AD0772" w:rsidR="00CE681F" w:rsidRPr="00BA53C3" w:rsidRDefault="00CE681F" w:rsidP="00CE681F">
                      <w:pPr>
                        <w:pStyle w:val="Bullet1"/>
                        <w:spacing w:line="260" w:lineRule="atLeast"/>
                      </w:pPr>
                      <w:r w:rsidRPr="00BA53C3">
                        <w:t>Update terminology and other definitions to be consistent with health service provision</w:t>
                      </w:r>
                      <w:r w:rsidR="008B3310">
                        <w:t>.</w:t>
                      </w:r>
                    </w:p>
                    <w:p w14:paraId="08834AF3" w14:textId="3D0EAD58" w:rsidR="00CE681F" w:rsidRPr="00BA53C3" w:rsidRDefault="00CE681F" w:rsidP="00CE681F">
                      <w:pPr>
                        <w:pStyle w:val="Bullet1"/>
                        <w:spacing w:line="260" w:lineRule="atLeast"/>
                      </w:pPr>
                      <w:r w:rsidRPr="00BA53C3">
                        <w:t>Highlight the qualifications and skilled roles of P</w:t>
                      </w:r>
                      <w:r w:rsidR="00B9404E">
                        <w:t>atient Transport Officer (P</w:t>
                      </w:r>
                      <w:r w:rsidRPr="00BA53C3">
                        <w:t>TO</w:t>
                      </w:r>
                      <w:r w:rsidR="00B9404E">
                        <w:t>)</w:t>
                      </w:r>
                      <w:r w:rsidRPr="00BA53C3">
                        <w:t>, A</w:t>
                      </w:r>
                      <w:r w:rsidR="00B9404E">
                        <w:t xml:space="preserve">mbulance </w:t>
                      </w:r>
                      <w:r w:rsidRPr="00BA53C3">
                        <w:t>T</w:t>
                      </w:r>
                      <w:r w:rsidR="00B9404E">
                        <w:t xml:space="preserve">ransport </w:t>
                      </w:r>
                      <w:r w:rsidRPr="00BA53C3">
                        <w:t>A</w:t>
                      </w:r>
                      <w:r w:rsidR="00B9404E">
                        <w:t>ttendant (ATA)</w:t>
                      </w:r>
                      <w:r w:rsidRPr="00BA53C3">
                        <w:t xml:space="preserve"> and clinical instructor</w:t>
                      </w:r>
                      <w:r w:rsidR="008B3310">
                        <w:t>.</w:t>
                      </w:r>
                      <w:r w:rsidRPr="00BA53C3">
                        <w:t xml:space="preserve"> </w:t>
                      </w:r>
                    </w:p>
                    <w:p w14:paraId="2FDF0839" w14:textId="12F73EF8" w:rsidR="00CE681F" w:rsidRDefault="00CE681F" w:rsidP="00CE681F">
                      <w:pPr>
                        <w:pStyle w:val="Bullet1"/>
                        <w:spacing w:line="260" w:lineRule="atLeast"/>
                      </w:pPr>
                      <w:r w:rsidRPr="00BA53C3">
                        <w:t>Patient complaints policy to align with health service best practice</w:t>
                      </w:r>
                      <w:r w:rsidR="00406CFD">
                        <w:t>.</w:t>
                      </w:r>
                      <w:r w:rsidRPr="00BA53C3">
                        <w:t xml:space="preserve"> </w:t>
                      </w:r>
                    </w:p>
                  </w:txbxContent>
                </v:textbox>
                <w10:anchorlock/>
              </v:shape>
            </w:pict>
          </mc:Fallback>
        </mc:AlternateContent>
      </w:r>
      <w:bookmarkEnd w:id="2"/>
    </w:p>
    <w:p w14:paraId="5E67377F" w14:textId="566011AA" w:rsidR="00990E61" w:rsidRDefault="003031C8" w:rsidP="00990E61">
      <w:pPr>
        <w:pStyle w:val="Heading1"/>
      </w:pPr>
      <w:bookmarkStart w:id="4" w:name="_Toc215847499"/>
      <w:r>
        <w:t xml:space="preserve">1. </w:t>
      </w:r>
      <w:r w:rsidR="00990E61">
        <w:t>Introduction</w:t>
      </w:r>
      <w:bookmarkEnd w:id="4"/>
    </w:p>
    <w:p w14:paraId="42B722F3" w14:textId="07AC51B1" w:rsidR="36A5189F" w:rsidRPr="00C01D81" w:rsidRDefault="5D4907B0" w:rsidP="00C01D81">
      <w:pPr>
        <w:pStyle w:val="Heading2"/>
        <w:rPr>
          <w:rFonts w:eastAsia="MS Mincho"/>
        </w:rPr>
      </w:pPr>
      <w:bookmarkStart w:id="5" w:name="_Toc215847500"/>
      <w:r w:rsidRPr="00C01D81">
        <w:rPr>
          <w:rFonts w:eastAsia="MS Mincho"/>
        </w:rPr>
        <w:t>Purpose of this Regulatory Impact Statement</w:t>
      </w:r>
      <w:bookmarkEnd w:id="5"/>
    </w:p>
    <w:p w14:paraId="7C64345E" w14:textId="63D01371" w:rsidR="5D4907B0" w:rsidRDefault="5D4907B0" w:rsidP="10C08957">
      <w:pPr>
        <w:pStyle w:val="Body"/>
        <w:rPr>
          <w:rFonts w:cs="Arial"/>
        </w:rPr>
      </w:pPr>
      <w:r w:rsidRPr="10C08957">
        <w:rPr>
          <w:rFonts w:cs="Arial"/>
        </w:rPr>
        <w:t xml:space="preserve">The </w:t>
      </w:r>
      <w:r>
        <w:t xml:space="preserve">Non-Emergency Patient Transport Regulations 2016 (the Regulations) </w:t>
      </w:r>
      <w:r w:rsidRPr="10C08957">
        <w:rPr>
          <w:rFonts w:cs="Arial"/>
        </w:rPr>
        <w:t xml:space="preserve">are due to expire in April 2026. </w:t>
      </w:r>
    </w:p>
    <w:p w14:paraId="04F4EFDA" w14:textId="40E01818" w:rsidR="5D4907B0" w:rsidRDefault="5D4907B0" w:rsidP="00E3008C">
      <w:pPr>
        <w:pStyle w:val="Body"/>
      </w:pPr>
      <w:r w:rsidRPr="5FEE4781">
        <w:t>Th</w:t>
      </w:r>
      <w:r w:rsidR="499E52E1" w:rsidRPr="5FEE4781">
        <w:t>is</w:t>
      </w:r>
      <w:r w:rsidRPr="10C08957">
        <w:t xml:space="preserve"> </w:t>
      </w:r>
      <w:r w:rsidR="001D463E">
        <w:t xml:space="preserve">Regulatory Impact Statement </w:t>
      </w:r>
      <w:r w:rsidRPr="10C08957">
        <w:t xml:space="preserve">aims to assess the different options for replacing the Regulations, </w:t>
      </w:r>
      <w:proofErr w:type="gramStart"/>
      <w:r w:rsidRPr="10C08957">
        <w:t>giving consideration to</w:t>
      </w:r>
      <w:proofErr w:type="gramEnd"/>
      <w:r w:rsidRPr="10C08957">
        <w:t xml:space="preserve"> how they operate in the current environment and to ensuring they are robust and flexible enough to remain effective over the next decade.</w:t>
      </w:r>
      <w:r w:rsidR="000A7858">
        <w:t xml:space="preserve"> The publication of this Regulatory Impact Statement is </w:t>
      </w:r>
      <w:r w:rsidR="00C8484A">
        <w:t>intended</w:t>
      </w:r>
      <w:r w:rsidR="000A7858">
        <w:t xml:space="preserve"> to ensure that</w:t>
      </w:r>
      <w:r w:rsidR="007C23AF">
        <w:t xml:space="preserve"> </w:t>
      </w:r>
      <w:r w:rsidR="00960361">
        <w:t xml:space="preserve">affected </w:t>
      </w:r>
      <w:r w:rsidR="001C1C1D">
        <w:t xml:space="preserve">stakeholders and members of the Victorian public </w:t>
      </w:r>
      <w:proofErr w:type="gramStart"/>
      <w:r w:rsidR="00B76E94">
        <w:t>have the opportunity</w:t>
      </w:r>
      <w:r w:rsidR="001C1C1D">
        <w:t xml:space="preserve"> to</w:t>
      </w:r>
      <w:proofErr w:type="gramEnd"/>
      <w:r w:rsidR="001C1C1D">
        <w:t xml:space="preserve"> consider and provide input on</w:t>
      </w:r>
      <w:r w:rsidR="00C8484A">
        <w:t xml:space="preserve"> the proposals. </w:t>
      </w:r>
    </w:p>
    <w:p w14:paraId="7CB31DEB" w14:textId="64E8D054" w:rsidR="008B6C0A" w:rsidRDefault="00B87001" w:rsidP="00C07CC2">
      <w:pPr>
        <w:pStyle w:val="Heading2"/>
        <w:rPr>
          <w:rFonts w:cs="Arial"/>
          <w:szCs w:val="21"/>
        </w:rPr>
      </w:pPr>
      <w:r>
        <w:rPr>
          <w:noProof/>
        </w:rPr>
        <w:lastRenderedPageBreak/>
        <mc:AlternateContent>
          <mc:Choice Requires="wps">
            <w:drawing>
              <wp:anchor distT="0" distB="0" distL="114300" distR="114300" simplePos="0" relativeHeight="251658244" behindDoc="0" locked="0" layoutInCell="1" allowOverlap="1" wp14:anchorId="0DE1B3D9" wp14:editId="12C5CF9A">
                <wp:simplePos x="0" y="0"/>
                <wp:positionH relativeFrom="column">
                  <wp:posOffset>-1905</wp:posOffset>
                </wp:positionH>
                <wp:positionV relativeFrom="paragraph">
                  <wp:posOffset>2540</wp:posOffset>
                </wp:positionV>
                <wp:extent cx="6048375" cy="3479165"/>
                <wp:effectExtent l="0" t="0" r="28575" b="26035"/>
                <wp:wrapTopAndBottom/>
                <wp:docPr id="1422663341" name="Text Box 1"/>
                <wp:cNvGraphicFramePr/>
                <a:graphic xmlns:a="http://schemas.openxmlformats.org/drawingml/2006/main">
                  <a:graphicData uri="http://schemas.microsoft.com/office/word/2010/wordprocessingShape">
                    <wps:wsp>
                      <wps:cNvSpPr txBox="1"/>
                      <wps:spPr>
                        <a:xfrm>
                          <a:off x="0" y="0"/>
                          <a:ext cx="6048375" cy="3479165"/>
                        </a:xfrm>
                        <a:prstGeom prst="rect">
                          <a:avLst/>
                        </a:prstGeom>
                        <a:solidFill>
                          <a:schemeClr val="accent5">
                            <a:lumMod val="20000"/>
                            <a:lumOff val="80000"/>
                          </a:schemeClr>
                        </a:solidFill>
                        <a:ln w="6350">
                          <a:solidFill>
                            <a:schemeClr val="accent5">
                              <a:lumMod val="75000"/>
                            </a:schemeClr>
                          </a:solidFill>
                        </a:ln>
                      </wps:spPr>
                      <wps:txbx>
                        <w:txbxContent>
                          <w:p w14:paraId="4A71F0FD" w14:textId="77777777" w:rsidR="00C97F8B" w:rsidRDefault="00C97F8B" w:rsidP="00B87001">
                            <w:pPr>
                              <w:pStyle w:val="Heading3"/>
                              <w:spacing w:before="120"/>
                            </w:pPr>
                            <w:r>
                              <w:t xml:space="preserve">What is a </w:t>
                            </w:r>
                            <w:r w:rsidR="00DF073F">
                              <w:t xml:space="preserve">Sunset Review and a </w:t>
                            </w:r>
                            <w:r>
                              <w:t>Regulatory Impact Statement</w:t>
                            </w:r>
                            <w:r w:rsidR="00DF073F">
                              <w:t xml:space="preserve"> (RIS)</w:t>
                            </w:r>
                            <w:r w:rsidR="001A570F">
                              <w:t>?</w:t>
                            </w:r>
                          </w:p>
                          <w:p w14:paraId="10370523" w14:textId="77777777" w:rsidR="00694BE1" w:rsidRDefault="00694BE1" w:rsidP="00694BE1">
                            <w:pPr>
                              <w:pStyle w:val="Body"/>
                              <w:rPr>
                                <w:rFonts w:cs="Arial"/>
                              </w:rPr>
                            </w:pPr>
                            <w:r w:rsidRPr="10C08957">
                              <w:rPr>
                                <w:rFonts w:cs="Arial"/>
                              </w:rPr>
                              <w:t xml:space="preserve">Under the </w:t>
                            </w:r>
                            <w:r w:rsidRPr="10C08957">
                              <w:rPr>
                                <w:rFonts w:cs="Arial"/>
                                <w:i/>
                                <w:iCs/>
                              </w:rPr>
                              <w:t>Subordinate Legislation Act 1994</w:t>
                            </w:r>
                            <w:r w:rsidRPr="10C08957">
                              <w:rPr>
                                <w:rFonts w:cs="Arial"/>
                              </w:rPr>
                              <w:t xml:space="preserve"> (SLA), regulations in Victoria have a fixed maximum life of 10 years. Before regulations expire, they must be subject to a comprehensive review known as a ‘sunset’ review. The review should determine whether the sunsetting regulations should be remade, made in amended form, or allowed to expire. This is intended to ensure that regulations remain fit for purpose. </w:t>
                            </w:r>
                          </w:p>
                          <w:p w14:paraId="29CCC06B" w14:textId="063AE52D" w:rsidR="00694BE1" w:rsidRDefault="00694BE1" w:rsidP="00694BE1">
                            <w:pPr>
                              <w:pStyle w:val="Body"/>
                              <w:rPr>
                                <w:rFonts w:cs="Arial"/>
                              </w:rPr>
                            </w:pPr>
                            <w:r w:rsidRPr="10C08957">
                              <w:rPr>
                                <w:rFonts w:cs="Arial"/>
                              </w:rPr>
                              <w:t>For the preparation of statutory rules, the SLA states a Regulatory Impact Statement (RIS) must be prepared and published for comment, unless an exemption certificate has been issued.</w:t>
                            </w:r>
                            <w:r>
                              <w:rPr>
                                <w:rFonts w:cs="Arial"/>
                              </w:rPr>
                              <w:t xml:space="preserve"> </w:t>
                            </w:r>
                            <w:r w:rsidRPr="10C08957">
                              <w:rPr>
                                <w:rFonts w:cs="Arial"/>
                              </w:rPr>
                              <w:t>A RIS provides the Government and the Victorian community with an evidence-based assessment of the potential impact of proposed regulations, promoting transparent decision-making and offering an opportunity for public input into the design process.</w:t>
                            </w:r>
                          </w:p>
                          <w:p w14:paraId="2EFEA542" w14:textId="442EF3CB" w:rsidR="00694BE1" w:rsidRDefault="00694BE1" w:rsidP="00694BE1">
                            <w:pPr>
                              <w:pStyle w:val="Body"/>
                              <w:rPr>
                                <w:rFonts w:cs="Arial"/>
                              </w:rPr>
                            </w:pPr>
                            <w:r w:rsidRPr="10C08957">
                              <w:rPr>
                                <w:rFonts w:cs="Arial"/>
                              </w:rPr>
                              <w:t xml:space="preserve">This RIS has been developed in accordance with Better Regulation Victoria’s </w:t>
                            </w:r>
                            <w:r w:rsidRPr="20B24423">
                              <w:rPr>
                                <w:rFonts w:cs="Arial"/>
                                <w:i/>
                                <w:iCs/>
                              </w:rPr>
                              <w:t xml:space="preserve">Victorian Guide to Regulation, </w:t>
                            </w:r>
                            <w:r>
                              <w:t>which requires a clear articulation of the problem, objectives of government action, and an assessment of feasible options, including their costs and benefits.</w:t>
                            </w:r>
                            <w:r w:rsidRPr="10C08957">
                              <w:rPr>
                                <w:rFonts w:cs="Arial"/>
                              </w:rPr>
                              <w:t xml:space="preserve"> This RIS examines the regulatory options considered in drafting the proposed </w:t>
                            </w:r>
                            <w:r w:rsidRPr="20B24423">
                              <w:rPr>
                                <w:i/>
                                <w:iCs/>
                              </w:rPr>
                              <w:t>Non-Emergency Patient Transport Regulations 2026</w:t>
                            </w:r>
                            <w:r>
                              <w:t xml:space="preserve"> </w:t>
                            </w:r>
                            <w:r w:rsidRPr="10C08957">
                              <w:rPr>
                                <w:rFonts w:cs="Arial"/>
                              </w:rPr>
                              <w:t>and evaluates the potential impacts of each against the stated reform objectives and by reference to estimated cost impacts.</w:t>
                            </w:r>
                          </w:p>
                          <w:p w14:paraId="7A16AD64" w14:textId="77777777" w:rsidR="00694BE1" w:rsidRDefault="00694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1B3D9" id="_x0000_s1027" type="#_x0000_t202" style="position:absolute;margin-left:-.15pt;margin-top:.2pt;width:476.25pt;height:273.9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" fillcolor="#daeef3 [664]" strokecolor="#31849b [2408]" strokeweight=".5pt">
                <v:textbox>
                  <w:txbxContent>
                    <w:p w14:paraId="4A71F0FD" w14:textId="77777777" w:rsidR="00C97F8B" w:rsidRDefault="00C97F8B" w:rsidP="00B87001">
                      <w:pPr>
                        <w:pStyle w:val="Heading3"/>
                        <w:spacing w:before="120"/>
                      </w:pPr>
                      <w:r>
                        <w:t xml:space="preserve">What is a </w:t>
                      </w:r>
                      <w:r w:rsidR="00DF073F">
                        <w:t xml:space="preserve">Sunset Review and a </w:t>
                      </w:r>
                      <w:r>
                        <w:t>Regulatory Impact Statement</w:t>
                      </w:r>
                      <w:r w:rsidR="00DF073F">
                        <w:t xml:space="preserve"> (RIS)</w:t>
                      </w:r>
                      <w:r w:rsidR="001A570F">
                        <w:t>?</w:t>
                      </w:r>
                    </w:p>
                    <w:p w14:paraId="10370523" w14:textId="77777777" w:rsidR="00694BE1" w:rsidRDefault="00694BE1" w:rsidP="00694BE1">
                      <w:pPr>
                        <w:pStyle w:val="Body"/>
                        <w:rPr>
                          <w:rFonts w:cs="Arial"/>
                        </w:rPr>
                      </w:pPr>
                      <w:r w:rsidRPr="10C08957">
                        <w:rPr>
                          <w:rFonts w:cs="Arial"/>
                        </w:rPr>
                        <w:t xml:space="preserve">Under the </w:t>
                      </w:r>
                      <w:r w:rsidRPr="10C08957">
                        <w:rPr>
                          <w:rFonts w:cs="Arial"/>
                          <w:i/>
                          <w:iCs/>
                        </w:rPr>
                        <w:t>Subordinate Legislation Act 1994</w:t>
                      </w:r>
                      <w:r w:rsidRPr="10C08957">
                        <w:rPr>
                          <w:rFonts w:cs="Arial"/>
                        </w:rPr>
                        <w:t xml:space="preserve"> (SLA), regulations in Victoria have a fixed maximum life of 10 years. Before regulations expire, they must be subject to a comprehensive review known as a ‘sunset’ review. The review should determine whether the sunsetting regulations should be remade, made in amended form, or allowed to expire. This is intended to ensure that regulations remain fit for purpose. </w:t>
                      </w:r>
                    </w:p>
                    <w:p w14:paraId="29CCC06B" w14:textId="063AE52D" w:rsidR="00694BE1" w:rsidRDefault="00694BE1" w:rsidP="00694BE1">
                      <w:pPr>
                        <w:pStyle w:val="Body"/>
                        <w:rPr>
                          <w:rFonts w:cs="Arial"/>
                        </w:rPr>
                      </w:pPr>
                      <w:r w:rsidRPr="10C08957">
                        <w:rPr>
                          <w:rFonts w:cs="Arial"/>
                        </w:rPr>
                        <w:t>For the preparation of statutory rules, the SLA states a Regulatory Impact Statement (RIS) must be prepared and published for comment, unless an exemption certificate has been issued.</w:t>
                      </w:r>
                      <w:r>
                        <w:rPr>
                          <w:rFonts w:cs="Arial"/>
                        </w:rPr>
                        <w:t xml:space="preserve"> </w:t>
                      </w:r>
                      <w:r w:rsidRPr="10C08957">
                        <w:rPr>
                          <w:rFonts w:cs="Arial"/>
                        </w:rPr>
                        <w:t>A RIS provides the Government and the Victorian community with an evidence-based assessment of the potential impact of proposed regulations, promoting transparent decision-making and offering an opportunity for public input into the design process.</w:t>
                      </w:r>
                    </w:p>
                    <w:p w14:paraId="2EFEA542" w14:textId="442EF3CB" w:rsidR="00694BE1" w:rsidRDefault="00694BE1" w:rsidP="00694BE1">
                      <w:pPr>
                        <w:pStyle w:val="Body"/>
                        <w:rPr>
                          <w:rFonts w:cs="Arial"/>
                        </w:rPr>
                      </w:pPr>
                      <w:r w:rsidRPr="10C08957">
                        <w:rPr>
                          <w:rFonts w:cs="Arial"/>
                        </w:rPr>
                        <w:t xml:space="preserve">This RIS has been developed in accordance with Better Regulation Victoria’s </w:t>
                      </w:r>
                      <w:r w:rsidRPr="20B24423">
                        <w:rPr>
                          <w:rFonts w:cs="Arial"/>
                          <w:i/>
                          <w:iCs/>
                        </w:rPr>
                        <w:t xml:space="preserve">Victorian Guide to Regulation, </w:t>
                      </w:r>
                      <w:r>
                        <w:t>which requires a clear articulation of the problem, objectives of government action, and an assessment of feasible options, including their costs and benefits.</w:t>
                      </w:r>
                      <w:r w:rsidRPr="10C08957">
                        <w:rPr>
                          <w:rFonts w:cs="Arial"/>
                        </w:rPr>
                        <w:t xml:space="preserve"> This RIS examines the regulatory options considered in drafting the proposed </w:t>
                      </w:r>
                      <w:r w:rsidRPr="20B24423">
                        <w:rPr>
                          <w:i/>
                          <w:iCs/>
                        </w:rPr>
                        <w:t>Non-Emergency Patient Transport Regulations 2026</w:t>
                      </w:r>
                      <w:r>
                        <w:t xml:space="preserve"> </w:t>
                      </w:r>
                      <w:r w:rsidRPr="10C08957">
                        <w:rPr>
                          <w:rFonts w:cs="Arial"/>
                        </w:rPr>
                        <w:t>and evaluates the potential impacts of each against the stated reform objectives and by reference to estimated cost impacts.</w:t>
                      </w:r>
                    </w:p>
                    <w:p w14:paraId="7A16AD64" w14:textId="77777777" w:rsidR="00694BE1" w:rsidRDefault="00694BE1"/>
                  </w:txbxContent>
                </v:textbox>
                <w10:wrap type="topAndBottom"/>
              </v:shape>
            </w:pict>
          </mc:Fallback>
        </mc:AlternateContent>
      </w:r>
      <w:bookmarkStart w:id="6" w:name="_Toc215847501"/>
      <w:r w:rsidR="008B6C0A">
        <w:t>Regulation of NEPT in Victoria</w:t>
      </w:r>
      <w:bookmarkEnd w:id="6"/>
    </w:p>
    <w:p w14:paraId="7E8FB328" w14:textId="3F518C85" w:rsidR="008B6C0A" w:rsidRDefault="008B6C0A" w:rsidP="00E3008C">
      <w:pPr>
        <w:pStyle w:val="Body"/>
      </w:pPr>
      <w:r w:rsidRPr="4939742C">
        <w:t>The Department</w:t>
      </w:r>
      <w:r w:rsidR="009823B3">
        <w:t xml:space="preserve"> of Health (</w:t>
      </w:r>
      <w:r w:rsidR="00F9251C">
        <w:t>the d</w:t>
      </w:r>
      <w:r w:rsidR="009823B3">
        <w:t>epartment</w:t>
      </w:r>
      <w:r w:rsidR="006F35D0">
        <w:t>)</w:t>
      </w:r>
      <w:r w:rsidRPr="4939742C">
        <w:t xml:space="preserve"> began regulating the NEPT sector in Victoria in 2003. Prior to this, NEPT providers were licensed by the Taxi Directorate as the body responsible for private transport industries. </w:t>
      </w:r>
      <w:r>
        <w:t>The transfer of r</w:t>
      </w:r>
      <w:r w:rsidRPr="4939742C">
        <w:t xml:space="preserve">egulation </w:t>
      </w:r>
      <w:r>
        <w:t>to</w:t>
      </w:r>
      <w:r w:rsidRPr="4939742C">
        <w:t xml:space="preserve"> the </w:t>
      </w:r>
      <w:r w:rsidR="00F9251C">
        <w:t>d</w:t>
      </w:r>
      <w:r w:rsidRPr="4939742C">
        <w:t xml:space="preserve">epartment recognised the need to </w:t>
      </w:r>
      <w:r w:rsidRPr="4E47EB11">
        <w:t xml:space="preserve">assure patients and health </w:t>
      </w:r>
      <w:r w:rsidRPr="2D1541C0">
        <w:t>professionals that</w:t>
      </w:r>
      <w:r w:rsidRPr="3AF546E4">
        <w:t xml:space="preserve"> </w:t>
      </w:r>
      <w:r w:rsidRPr="63C2E866">
        <w:t xml:space="preserve">patients’ health and safety would not </w:t>
      </w:r>
      <w:r w:rsidRPr="1B7591F6">
        <w:t xml:space="preserve">be compromised during </w:t>
      </w:r>
      <w:r w:rsidRPr="62FEDC05">
        <w:t xml:space="preserve">transport. </w:t>
      </w:r>
    </w:p>
    <w:p w14:paraId="69D91039" w14:textId="77777777" w:rsidR="008B6C0A" w:rsidRPr="00C44A19" w:rsidRDefault="008B6C0A" w:rsidP="00E3008C">
      <w:pPr>
        <w:pStyle w:val="Body"/>
        <w:rPr>
          <w:color w:val="262626" w:themeColor="text1" w:themeTint="D9"/>
          <w:szCs w:val="21"/>
        </w:rPr>
      </w:pPr>
      <w:r>
        <w:rPr>
          <w:szCs w:val="21"/>
        </w:rPr>
        <w:t>Licensed</w:t>
      </w:r>
      <w:r w:rsidRPr="007A45F7">
        <w:rPr>
          <w:szCs w:val="21"/>
        </w:rPr>
        <w:t xml:space="preserve"> NEPT providers are subject to a range of regulatory requirements. The Victorian regulatory scheme is set out in:</w:t>
      </w:r>
    </w:p>
    <w:p w14:paraId="47503CF0" w14:textId="77777777" w:rsidR="008B6C0A" w:rsidRPr="00E83D41" w:rsidRDefault="008B6C0A" w:rsidP="00E3008C">
      <w:pPr>
        <w:pStyle w:val="Bullet1"/>
        <w:rPr>
          <w:rFonts w:cs="Arial"/>
          <w:szCs w:val="21"/>
        </w:rPr>
      </w:pPr>
      <w:r w:rsidRPr="00E83D41">
        <w:t>Non-Emergency Patient Transport and First Aid Services Act 2003</w:t>
      </w:r>
      <w:r w:rsidRPr="00E83D41">
        <w:rPr>
          <w:rFonts w:cs="Arial"/>
          <w:szCs w:val="21"/>
        </w:rPr>
        <w:t xml:space="preserve"> (the Act) </w:t>
      </w:r>
    </w:p>
    <w:p w14:paraId="6C3EA20B" w14:textId="7789A018" w:rsidR="008B6C0A" w:rsidRDefault="008B6C0A" w:rsidP="00E3008C">
      <w:pPr>
        <w:pStyle w:val="Bullet1"/>
        <w:rPr>
          <w:rFonts w:cs="Arial"/>
          <w:szCs w:val="21"/>
        </w:rPr>
      </w:pPr>
      <w:r w:rsidRPr="00E83D41">
        <w:t>Non-Emergency Patient Transport Regulations 2016 (the Regulations)</w:t>
      </w:r>
      <w:r w:rsidR="003C508D">
        <w:rPr>
          <w:rFonts w:cs="Arial"/>
          <w:szCs w:val="21"/>
        </w:rPr>
        <w:t>.</w:t>
      </w:r>
    </w:p>
    <w:p w14:paraId="39DB7E8D" w14:textId="75253ED9" w:rsidR="008B6C0A" w:rsidRDefault="008B6C0A" w:rsidP="008B6C0A">
      <w:pPr>
        <w:pStyle w:val="Heading3"/>
      </w:pPr>
      <w:r>
        <w:t xml:space="preserve">The </w:t>
      </w:r>
      <w:r w:rsidRPr="00BE36B0">
        <w:t>Non-Emergency Patient Transport and First Aid Services Act</w:t>
      </w:r>
      <w:r>
        <w:t xml:space="preserve"> 2003</w:t>
      </w:r>
    </w:p>
    <w:p w14:paraId="3492B91F" w14:textId="18594437" w:rsidR="008B6C0A" w:rsidRPr="007A45F7" w:rsidRDefault="008B6C0A" w:rsidP="00591B72">
      <w:pPr>
        <w:pStyle w:val="Body"/>
      </w:pPr>
      <w:r w:rsidRPr="007A45F7">
        <w:t xml:space="preserve">The purpose of the Act is to promote the safe provision of </w:t>
      </w:r>
      <w:r>
        <w:t>NEPT</w:t>
      </w:r>
      <w:r w:rsidRPr="007A45F7">
        <w:t xml:space="preserve"> services and appropriate quality of care of those patients, as well as providing for a licensing system and the regulation of NEPT service providers.</w:t>
      </w:r>
      <w:r w:rsidR="002E5FA3">
        <w:rPr>
          <w:rStyle w:val="FootnoteReference"/>
        </w:rPr>
        <w:footnoteReference w:id="2"/>
      </w:r>
    </w:p>
    <w:p w14:paraId="7BD4A231" w14:textId="32491DC9" w:rsidR="008B6C0A" w:rsidRDefault="008B6C0A" w:rsidP="00591B72">
      <w:pPr>
        <w:pStyle w:val="Body"/>
      </w:pPr>
      <w:r w:rsidRPr="563659AA">
        <w:t xml:space="preserve">Under the Act, providers (other than an ambulance service or public hospital or denominational hospital) must be licensed by the Secretary before operating a NEPT service. In considering whether to grant a licence, the Secretary of the </w:t>
      </w:r>
      <w:r w:rsidR="008834AE">
        <w:t>d</w:t>
      </w:r>
      <w:r w:rsidRPr="563659AA">
        <w:t xml:space="preserve">epartment is required by the Act to take </w:t>
      </w:r>
      <w:proofErr w:type="gramStart"/>
      <w:r w:rsidRPr="563659AA">
        <w:t>a number of</w:t>
      </w:r>
      <w:proofErr w:type="gramEnd"/>
      <w:r w:rsidRPr="563659AA">
        <w:t xml:space="preserve"> factors into consideration. These include whether the applicant is a fit and proper person, the suitability of the equipment and vehicles, the suitability of the clinical governance, management and </w:t>
      </w:r>
      <w:r w:rsidRPr="563659AA">
        <w:lastRenderedPageBreak/>
        <w:t>staffing arrangements and how they are recorded, monitored and reviewed, and whether the arrangements for the care provided to patients will be safe and of an appropriate quality.</w:t>
      </w:r>
    </w:p>
    <w:p w14:paraId="275F1A07" w14:textId="77777777" w:rsidR="008B6C0A" w:rsidRPr="005E7588" w:rsidRDefault="008B6C0A" w:rsidP="00591B72">
      <w:pPr>
        <w:pStyle w:val="Body"/>
        <w:rPr>
          <w:color w:val="262626" w:themeColor="text1" w:themeTint="D9"/>
        </w:rPr>
      </w:pPr>
      <w:r w:rsidRPr="00A11871">
        <w:t>Once licensed, a provider has a statutory duty to ensure the NEPT service it provides is safe, of an appropriate quality, and prioritises the needs of patients</w:t>
      </w:r>
      <w:r>
        <w:t>.</w:t>
      </w:r>
    </w:p>
    <w:p w14:paraId="06764B80" w14:textId="30DB04F8" w:rsidR="008B6C0A" w:rsidRDefault="008B6C0A" w:rsidP="008B6C0A">
      <w:pPr>
        <w:pStyle w:val="Heading3"/>
      </w:pPr>
      <w:r>
        <w:t xml:space="preserve">The </w:t>
      </w:r>
      <w:r w:rsidRPr="00E83D41">
        <w:t>Non-Emergency Patient Transport Regulations 2016</w:t>
      </w:r>
    </w:p>
    <w:p w14:paraId="033B0F86" w14:textId="648D2F16" w:rsidR="008B6C0A" w:rsidRPr="005E7588" w:rsidRDefault="008B6C0A" w:rsidP="00591B72">
      <w:pPr>
        <w:pStyle w:val="Body"/>
        <w:rPr>
          <w:color w:val="262626" w:themeColor="text1" w:themeTint="D9"/>
        </w:rPr>
      </w:pPr>
      <w:r w:rsidRPr="673CB9FF">
        <w:t>The Regulations are made under section 64 of the Act. The objective of the Regulations is to prescribe standards and requirements for the provision of NEPT services, including standards for the safety and quality of care of patients using the services.</w:t>
      </w:r>
      <w:r w:rsidR="00D622BA">
        <w:rPr>
          <w:rStyle w:val="FootnoteReference"/>
        </w:rPr>
        <w:footnoteReference w:id="3"/>
      </w:r>
      <w:r w:rsidRPr="673CB9FF">
        <w:t xml:space="preserve"> The Regulations support this objective by setting requirements for drivers of service quality and patient safety, including in relation to:</w:t>
      </w:r>
    </w:p>
    <w:p w14:paraId="0BCF26A1" w14:textId="77777777" w:rsidR="008B6C0A" w:rsidRPr="00AF3837" w:rsidRDefault="008B6C0A" w:rsidP="00FE339D">
      <w:pPr>
        <w:pStyle w:val="Bullet1"/>
      </w:pPr>
      <w:r w:rsidRPr="00AF3837">
        <w:t>licensing</w:t>
      </w:r>
    </w:p>
    <w:p w14:paraId="2509A2A5" w14:textId="77777777" w:rsidR="008B6C0A" w:rsidRPr="00AF3837" w:rsidRDefault="008B6C0A" w:rsidP="00FE339D">
      <w:pPr>
        <w:pStyle w:val="Bullet1"/>
      </w:pPr>
      <w:r w:rsidRPr="00AF3837">
        <w:t>clinical governance arrangements</w:t>
      </w:r>
    </w:p>
    <w:p w14:paraId="7DB1483B" w14:textId="77777777" w:rsidR="008B6C0A" w:rsidRPr="00E83D41" w:rsidRDefault="008B6C0A" w:rsidP="00FE339D">
      <w:pPr>
        <w:pStyle w:val="Bullet1"/>
      </w:pPr>
      <w:r w:rsidRPr="00E83D41">
        <w:t>qualifications, skills maintenance training and competence of staff</w:t>
      </w:r>
    </w:p>
    <w:p w14:paraId="152CE826" w14:textId="77777777" w:rsidR="008B6C0A" w:rsidRPr="00E83D41" w:rsidRDefault="008B6C0A" w:rsidP="00FE339D">
      <w:pPr>
        <w:pStyle w:val="Bullet1"/>
      </w:pPr>
      <w:r w:rsidRPr="00E83D41">
        <w:t>vehicles and equipment</w:t>
      </w:r>
    </w:p>
    <w:p w14:paraId="76D2BA77" w14:textId="77777777" w:rsidR="008B6C0A" w:rsidRDefault="008B6C0A" w:rsidP="00FE339D">
      <w:pPr>
        <w:pStyle w:val="Bullet1"/>
      </w:pPr>
      <w:r w:rsidRPr="00AF3837">
        <w:t>quality assurance and occupational health and safety plans</w:t>
      </w:r>
    </w:p>
    <w:p w14:paraId="0D485E12" w14:textId="77777777" w:rsidR="008B6C0A" w:rsidRPr="00AF3837" w:rsidRDefault="008B6C0A" w:rsidP="00FE339D">
      <w:pPr>
        <w:pStyle w:val="Bullet1"/>
      </w:pPr>
      <w:r>
        <w:t>records</w:t>
      </w:r>
    </w:p>
    <w:p w14:paraId="2C4D8F50" w14:textId="77777777" w:rsidR="008B6C0A" w:rsidRPr="00064479" w:rsidRDefault="008B6C0A" w:rsidP="00FE339D">
      <w:pPr>
        <w:pStyle w:val="Bullet1"/>
      </w:pPr>
      <w:r w:rsidRPr="00064479">
        <w:t xml:space="preserve">patient rights </w:t>
      </w:r>
    </w:p>
    <w:p w14:paraId="367FC16F" w14:textId="77777777" w:rsidR="008B6C0A" w:rsidRPr="00064479" w:rsidRDefault="008B6C0A" w:rsidP="00FE339D">
      <w:pPr>
        <w:pStyle w:val="Bullet1"/>
      </w:pPr>
      <w:r w:rsidRPr="00064479">
        <w:t>infection control</w:t>
      </w:r>
      <w:r>
        <w:t>.</w:t>
      </w:r>
    </w:p>
    <w:p w14:paraId="5E2CA334" w14:textId="77777777" w:rsidR="008B6C0A" w:rsidRDefault="008B6C0A" w:rsidP="00591B72">
      <w:pPr>
        <w:pStyle w:val="Bodyafterbullets"/>
        <w:rPr>
          <w:szCs w:val="21"/>
        </w:rPr>
      </w:pPr>
      <w:r w:rsidRPr="54B1564F">
        <w:t>Amendments were made to the Regulations in 2021</w:t>
      </w:r>
      <w:r w:rsidRPr="7BFF5265">
        <w:t xml:space="preserve"> </w:t>
      </w:r>
      <w:r w:rsidRPr="244FBE97">
        <w:t xml:space="preserve">to improve </w:t>
      </w:r>
      <w:r w:rsidRPr="7BECA5F6">
        <w:t xml:space="preserve">patient </w:t>
      </w:r>
      <w:r w:rsidRPr="244FBE97">
        <w:t xml:space="preserve">safety and </w:t>
      </w:r>
      <w:r w:rsidRPr="5CDC04A0">
        <w:t>quality of care</w:t>
      </w:r>
      <w:r w:rsidRPr="54B1564F">
        <w:t>.</w:t>
      </w:r>
      <w:r w:rsidRPr="3BF54E64">
        <w:t xml:space="preserve"> The amendments set</w:t>
      </w:r>
      <w:r w:rsidRPr="7BECA5F6">
        <w:t xml:space="preserve"> </w:t>
      </w:r>
      <w:r w:rsidRPr="09C937FB">
        <w:t xml:space="preserve">out </w:t>
      </w:r>
      <w:r w:rsidRPr="6CC800A4">
        <w:t>new</w:t>
      </w:r>
      <w:r w:rsidRPr="09C937FB">
        <w:t xml:space="preserve"> requirements</w:t>
      </w:r>
      <w:r w:rsidRPr="66C46B77">
        <w:t xml:space="preserve"> for </w:t>
      </w:r>
      <w:r w:rsidRPr="6EC288B6">
        <w:t>providers</w:t>
      </w:r>
      <w:r w:rsidRPr="3BF54E64">
        <w:t xml:space="preserve"> in</w:t>
      </w:r>
      <w:r w:rsidRPr="6CC800A4">
        <w:t xml:space="preserve"> relation to </w:t>
      </w:r>
      <w:r w:rsidRPr="0AFBA2D8">
        <w:t>patient</w:t>
      </w:r>
      <w:r w:rsidRPr="2301B154">
        <w:t xml:space="preserve"> loading</w:t>
      </w:r>
      <w:r w:rsidRPr="6049D728">
        <w:t xml:space="preserve"> and crew supervision</w:t>
      </w:r>
      <w:r w:rsidRPr="2301B154">
        <w:t>, equipment</w:t>
      </w:r>
      <w:r w:rsidRPr="5D883B0C">
        <w:t xml:space="preserve">, </w:t>
      </w:r>
      <w:r w:rsidRPr="483401FC">
        <w:t xml:space="preserve">vehicle life </w:t>
      </w:r>
      <w:r w:rsidRPr="69FF4DB4">
        <w:t>limits</w:t>
      </w:r>
      <w:r w:rsidRPr="6049D728">
        <w:t xml:space="preserve">, </w:t>
      </w:r>
      <w:r w:rsidRPr="5DE95D41">
        <w:t xml:space="preserve">clinical governance </w:t>
      </w:r>
      <w:r w:rsidRPr="3B71C08B">
        <w:t>arrangements</w:t>
      </w:r>
      <w:r w:rsidRPr="6049D728">
        <w:t xml:space="preserve"> and </w:t>
      </w:r>
      <w:r w:rsidRPr="5B9740DB">
        <w:t>occupational health and safety plans</w:t>
      </w:r>
      <w:r w:rsidRPr="3B71C08B">
        <w:t>.</w:t>
      </w:r>
    </w:p>
    <w:p w14:paraId="717DE099" w14:textId="6F853378" w:rsidR="008B6C0A" w:rsidRDefault="008B6C0A" w:rsidP="00591B72">
      <w:pPr>
        <w:pStyle w:val="Body"/>
      </w:pPr>
      <w:r w:rsidRPr="54B1564F">
        <w:t>Th</w:t>
      </w:r>
      <w:r w:rsidR="004A736F">
        <w:t>e</w:t>
      </w:r>
      <w:r w:rsidRPr="54B1564F">
        <w:t xml:space="preserve"> regulatory scheme provides the </w:t>
      </w:r>
      <w:r w:rsidR="008834AE">
        <w:t>d</w:t>
      </w:r>
      <w:r w:rsidRPr="54B1564F">
        <w:t xml:space="preserve">epartment with legal powers to monitor and enforce requirements that support patient safety during NEPT transport. </w:t>
      </w:r>
      <w:r w:rsidR="00C97040">
        <w:t>This is undertaken by the Health Regulator</w:t>
      </w:r>
      <w:r w:rsidR="312F9C10" w:rsidRPr="21BF9A7B">
        <w:t>, which</w:t>
      </w:r>
      <w:r w:rsidRPr="54B1564F">
        <w:t>:</w:t>
      </w:r>
    </w:p>
    <w:p w14:paraId="051E3E34" w14:textId="1329A8F1" w:rsidR="008B6C0A" w:rsidRDefault="008B6C0A" w:rsidP="00FE339D">
      <w:pPr>
        <w:pStyle w:val="Bullet1"/>
      </w:pPr>
      <w:r w:rsidRPr="54B1564F">
        <w:t>processes applications for licensing approvals-in-principle, licences and licence renewals</w:t>
      </w:r>
    </w:p>
    <w:p w14:paraId="744504AA" w14:textId="62E84BB1" w:rsidR="008B6C0A" w:rsidRDefault="008B6C0A" w:rsidP="00FE339D">
      <w:pPr>
        <w:pStyle w:val="Bullet1"/>
      </w:pPr>
      <w:r w:rsidRPr="54B1564F">
        <w:t>monitors compliance and conducts regulatory inspections of vehicles and records</w:t>
      </w:r>
    </w:p>
    <w:p w14:paraId="16D0DB4E" w14:textId="1CEE34D3" w:rsidR="008B6C0A" w:rsidRDefault="008B6C0A" w:rsidP="00FE339D">
      <w:pPr>
        <w:pStyle w:val="Bullet1"/>
      </w:pPr>
      <w:r w:rsidRPr="54B1564F">
        <w:t xml:space="preserve">provides advice and information to support NEPT providers to comply with the </w:t>
      </w:r>
      <w:r w:rsidR="00A563DA">
        <w:t>R</w:t>
      </w:r>
      <w:r w:rsidRPr="54B1564F">
        <w:t>egulations</w:t>
      </w:r>
    </w:p>
    <w:p w14:paraId="657A0864" w14:textId="796D32E7" w:rsidR="008B6C0A" w:rsidRDefault="008B6C0A" w:rsidP="00FE339D">
      <w:pPr>
        <w:pStyle w:val="Bullet1"/>
      </w:pPr>
      <w:r w:rsidRPr="54B1564F">
        <w:t>collects and manages performance data from NEPT providers’ annual reports and sentinel event reporting</w:t>
      </w:r>
    </w:p>
    <w:p w14:paraId="15A0C1FE" w14:textId="77777777" w:rsidR="008B6C0A" w:rsidRDefault="008B6C0A" w:rsidP="00FE339D">
      <w:pPr>
        <w:pStyle w:val="Bullet1"/>
      </w:pPr>
      <w:r w:rsidRPr="54B1564F">
        <w:t>uses enforcement tools and sanctions to address non-compliance.</w:t>
      </w:r>
    </w:p>
    <w:p w14:paraId="533EE2B2" w14:textId="77777777" w:rsidR="008B6C0A" w:rsidRPr="00115593" w:rsidRDefault="008B6C0A" w:rsidP="008B6C0A">
      <w:pPr>
        <w:pStyle w:val="Heading3"/>
      </w:pPr>
      <w:r>
        <w:t>Clinical practice protocols supporting the regulatory framework</w:t>
      </w:r>
    </w:p>
    <w:p w14:paraId="2E8BB410" w14:textId="7DAEEEAF" w:rsidR="008B6C0A" w:rsidRPr="00E83D41" w:rsidRDefault="008B6C0A" w:rsidP="00990CB8">
      <w:pPr>
        <w:pStyle w:val="Body"/>
      </w:pPr>
      <w:r w:rsidRPr="4D5B58D3">
        <w:t>Supplementing the current Regulations, the</w:t>
      </w:r>
      <w:r w:rsidRPr="63D3C229">
        <w:t xml:space="preserve"> </w:t>
      </w:r>
      <w:r w:rsidR="008834AE">
        <w:t>d</w:t>
      </w:r>
      <w:r w:rsidRPr="63D3C229">
        <w:t>epartment has published mandatory</w:t>
      </w:r>
      <w:r>
        <w:t xml:space="preserve"> NEPT</w:t>
      </w:r>
      <w:r w:rsidRPr="63D3C229">
        <w:t xml:space="preserve"> </w:t>
      </w:r>
      <w:r w:rsidR="00E0134F">
        <w:t>C</w:t>
      </w:r>
      <w:r w:rsidRPr="63D3C229">
        <w:t xml:space="preserve">linical </w:t>
      </w:r>
      <w:r w:rsidR="00E0134F">
        <w:t>P</w:t>
      </w:r>
      <w:r w:rsidRPr="63D3C229">
        <w:t xml:space="preserve">ractice </w:t>
      </w:r>
      <w:r w:rsidR="00E0134F">
        <w:t>P</w:t>
      </w:r>
      <w:r w:rsidRPr="63D3C229">
        <w:t>rotocols</w:t>
      </w:r>
      <w:r>
        <w:t xml:space="preserve"> (CPPs)</w:t>
      </w:r>
      <w:r w:rsidRPr="63D3C229">
        <w:t xml:space="preserve"> for the sector. </w:t>
      </w:r>
      <w:r w:rsidRPr="51E1FA98">
        <w:t xml:space="preserve">Compliance with the CPPs is a condition of the licence granted to </w:t>
      </w:r>
      <w:r w:rsidRPr="54D87EC2">
        <w:t xml:space="preserve">providers </w:t>
      </w:r>
      <w:r w:rsidRPr="51E1FA98">
        <w:t xml:space="preserve">by the </w:t>
      </w:r>
      <w:r w:rsidRPr="146DB234">
        <w:t>Secretary.</w:t>
      </w:r>
      <w:r w:rsidRPr="51E1FA98">
        <w:t xml:space="preserve"> </w:t>
      </w:r>
    </w:p>
    <w:p w14:paraId="408784C8" w14:textId="451E65B3" w:rsidR="008B6C0A" w:rsidRDefault="008B6C0A" w:rsidP="00990CB8">
      <w:pPr>
        <w:pStyle w:val="Body"/>
      </w:pPr>
      <w:r w:rsidRPr="63D3C229">
        <w:t>The CPPs stipulate practice requirements, treatment recommendations and minimum equipment levels to NEPT providers when assessing, managing and transporting patients.</w:t>
      </w:r>
      <w:r w:rsidRPr="0E6ECE29">
        <w:t xml:space="preserve"> </w:t>
      </w:r>
      <w:r w:rsidRPr="0DA64D4B">
        <w:t>A</w:t>
      </w:r>
      <w:r w:rsidRPr="0297C609">
        <w:t xml:space="preserve"> </w:t>
      </w:r>
      <w:r w:rsidRPr="7B7EE416">
        <w:t xml:space="preserve">scope of </w:t>
      </w:r>
      <w:r w:rsidRPr="07453A69">
        <w:t xml:space="preserve">practice </w:t>
      </w:r>
      <w:r w:rsidRPr="48BA2E6F">
        <w:lastRenderedPageBreak/>
        <w:t xml:space="preserve">lists the protocols or </w:t>
      </w:r>
      <w:r w:rsidRPr="1DF7BAF4">
        <w:t xml:space="preserve">skills </w:t>
      </w:r>
      <w:r w:rsidR="00C01CBD">
        <w:t>for</w:t>
      </w:r>
      <w:r w:rsidRPr="4906F5FB">
        <w:t xml:space="preserve"> the</w:t>
      </w:r>
      <w:r w:rsidRPr="07453A69">
        <w:t xml:space="preserve"> </w:t>
      </w:r>
      <w:r w:rsidRPr="1C8BCD9C">
        <w:t xml:space="preserve">various </w:t>
      </w:r>
      <w:r w:rsidRPr="7854853C">
        <w:t xml:space="preserve">NEPT </w:t>
      </w:r>
      <w:r w:rsidRPr="1C8BCD9C">
        <w:t>crew members</w:t>
      </w:r>
      <w:r w:rsidRPr="203AD4BC">
        <w:t>,</w:t>
      </w:r>
      <w:r w:rsidRPr="1A1D8171">
        <w:t xml:space="preserve"> </w:t>
      </w:r>
      <w:r w:rsidRPr="53E14266">
        <w:t xml:space="preserve">so that </w:t>
      </w:r>
      <w:r w:rsidRPr="66EB503E">
        <w:t>patient care can be delivered</w:t>
      </w:r>
      <w:r w:rsidRPr="10DCFC74">
        <w:t xml:space="preserve"> by the appropriately qualified and </w:t>
      </w:r>
      <w:r w:rsidRPr="361EA918">
        <w:t>trained person.</w:t>
      </w:r>
    </w:p>
    <w:p w14:paraId="35ECC33B" w14:textId="3011E113" w:rsidR="003611BC" w:rsidRPr="003611BC" w:rsidRDefault="008B6C0A" w:rsidP="00990CB8">
      <w:pPr>
        <w:pStyle w:val="Body"/>
      </w:pPr>
      <w:r w:rsidRPr="26252A64">
        <w:t xml:space="preserve">The CPPs are developed by the </w:t>
      </w:r>
      <w:r w:rsidR="008834AE">
        <w:t>d</w:t>
      </w:r>
      <w:r w:rsidRPr="26252A64">
        <w:t>epartment’s Clinical Practice Protocol Assessment Committee, with consultation from</w:t>
      </w:r>
      <w:r w:rsidRPr="5D66EE78">
        <w:t xml:space="preserve"> a wide range </w:t>
      </w:r>
      <w:r w:rsidRPr="219F3E17">
        <w:t xml:space="preserve">of sources </w:t>
      </w:r>
      <w:r w:rsidRPr="441B45AB">
        <w:t xml:space="preserve">including NEPT providers, Safer Care Victoria, Ambulance </w:t>
      </w:r>
      <w:r w:rsidRPr="6F0850A2">
        <w:t>Victoria and industrial relations bodies.</w:t>
      </w:r>
      <w:r w:rsidRPr="02C1DC3A">
        <w:t xml:space="preserve"> </w:t>
      </w:r>
      <w:r w:rsidRPr="71D6778C">
        <w:t xml:space="preserve">Updated CPPs are issued annually to maintain best practice for NEPT </w:t>
      </w:r>
      <w:r w:rsidRPr="4AAA68B5">
        <w:t>service delivery.</w:t>
      </w:r>
    </w:p>
    <w:p w14:paraId="363EF44E" w14:textId="0DC9D0A1" w:rsidR="00990E61" w:rsidRPr="003A22D1" w:rsidRDefault="3A75127D" w:rsidP="005F0E29">
      <w:pPr>
        <w:pStyle w:val="Heading2"/>
      </w:pPr>
      <w:bookmarkStart w:id="7" w:name="_Toc215847502"/>
      <w:r>
        <w:t>N</w:t>
      </w:r>
      <w:r w:rsidR="00990E61">
        <w:t>EPT</w:t>
      </w:r>
      <w:r w:rsidR="00057808">
        <w:t xml:space="preserve"> </w:t>
      </w:r>
      <w:r w:rsidR="62D31402">
        <w:t>and</w:t>
      </w:r>
      <w:r w:rsidR="00057808" w:rsidRPr="003A22D1">
        <w:t xml:space="preserve"> its role in </w:t>
      </w:r>
      <w:r w:rsidR="3D8CD07B">
        <w:t>the</w:t>
      </w:r>
      <w:r w:rsidR="00057808" w:rsidRPr="003A22D1">
        <w:t xml:space="preserve"> </w:t>
      </w:r>
      <w:r w:rsidR="3D8CD07B">
        <w:t>health</w:t>
      </w:r>
      <w:r w:rsidR="00057808" w:rsidRPr="003A22D1">
        <w:t xml:space="preserve"> service system</w:t>
      </w:r>
      <w:bookmarkEnd w:id="7"/>
    </w:p>
    <w:p w14:paraId="24943C58" w14:textId="670465F0" w:rsidR="00082F3A" w:rsidRPr="00FE1D8A" w:rsidRDefault="00082F3A" w:rsidP="00990CB8">
      <w:pPr>
        <w:pStyle w:val="Body"/>
      </w:pPr>
      <w:r w:rsidRPr="735C9256">
        <w:t xml:space="preserve">NEPT is </w:t>
      </w:r>
      <w:r w:rsidR="00500639" w:rsidRPr="735C9256">
        <w:t xml:space="preserve">a </w:t>
      </w:r>
      <w:r w:rsidR="007D0B5B">
        <w:t>s</w:t>
      </w:r>
      <w:r w:rsidR="00500639" w:rsidRPr="735C9256">
        <w:t>ervice that</w:t>
      </w:r>
      <w:r w:rsidRPr="735C9256">
        <w:t xml:space="preserve"> transport</w:t>
      </w:r>
      <w:r w:rsidR="00500639" w:rsidRPr="735C9256">
        <w:t>s</w:t>
      </w:r>
      <w:r w:rsidRPr="735C9256">
        <w:t xml:space="preserve"> </w:t>
      </w:r>
      <w:r w:rsidR="00A87376" w:rsidRPr="735C9256">
        <w:t>people</w:t>
      </w:r>
      <w:r w:rsidRPr="735C9256">
        <w:t xml:space="preserve"> to</w:t>
      </w:r>
      <w:r w:rsidR="00C004FA" w:rsidRPr="735C9256">
        <w:t xml:space="preserve"> or </w:t>
      </w:r>
      <w:r w:rsidRPr="735C9256">
        <w:t>from medical services</w:t>
      </w:r>
      <w:r w:rsidR="31614D70" w:rsidRPr="3669B33F">
        <w:t xml:space="preserve"> </w:t>
      </w:r>
      <w:r w:rsidR="5DE57C26" w:rsidRPr="575793DE">
        <w:t>b</w:t>
      </w:r>
      <w:r w:rsidRPr="575793DE">
        <w:t>y</w:t>
      </w:r>
      <w:r w:rsidR="00511BDA" w:rsidRPr="735C9256">
        <w:t xml:space="preserve"> </w:t>
      </w:r>
      <w:r w:rsidRPr="735C9256">
        <w:t>road</w:t>
      </w:r>
      <w:r w:rsidR="4EA0C220" w:rsidRPr="735C9256">
        <w:t xml:space="preserve"> or air</w:t>
      </w:r>
      <w:r w:rsidR="005E5628" w:rsidRPr="735C9256">
        <w:t>,</w:t>
      </w:r>
      <w:r w:rsidRPr="00FE1D8A">
        <w:t xml:space="preserve"> where the person </w:t>
      </w:r>
      <w:r w:rsidR="00F43CDE" w:rsidRPr="00FE1D8A">
        <w:t>is transported in</w:t>
      </w:r>
      <w:r w:rsidRPr="00FE1D8A">
        <w:t xml:space="preserve"> a stretcher</w:t>
      </w:r>
      <w:r w:rsidR="00F43CDE" w:rsidRPr="00FE1D8A">
        <w:t xml:space="preserve"> vehicle</w:t>
      </w:r>
      <w:r w:rsidRPr="00FE1D8A">
        <w:t xml:space="preserve"> or</w:t>
      </w:r>
      <w:r w:rsidR="00637036" w:rsidRPr="00FE1D8A">
        <w:t xml:space="preserve"> receives</w:t>
      </w:r>
      <w:r w:rsidRPr="00FE1D8A">
        <w:t xml:space="preserve"> </w:t>
      </w:r>
      <w:r w:rsidR="00F13E67" w:rsidRPr="00FE1D8A">
        <w:t xml:space="preserve">specialist </w:t>
      </w:r>
      <w:r w:rsidRPr="00FE1D8A">
        <w:t>clinical care or monitoring while being transported.</w:t>
      </w:r>
    </w:p>
    <w:p w14:paraId="789F52B1" w14:textId="43AF4352" w:rsidR="77197EF7" w:rsidRDefault="77197EF7" w:rsidP="00990CB8">
      <w:pPr>
        <w:pStyle w:val="Body"/>
      </w:pPr>
      <w:r w:rsidRPr="317B4E84">
        <w:t xml:space="preserve">NEPT </w:t>
      </w:r>
      <w:r w:rsidR="00C30F17">
        <w:t>services</w:t>
      </w:r>
      <w:r w:rsidRPr="317B4E84">
        <w:t xml:space="preserve"> are a vital part of Victoria’s health system. In 2024-25, over 34</w:t>
      </w:r>
      <w:r w:rsidR="00581E96">
        <w:t>1</w:t>
      </w:r>
      <w:r w:rsidRPr="317B4E84">
        <w:t>,000</w:t>
      </w:r>
      <w:r w:rsidR="00F9227B">
        <w:rPr>
          <w:rStyle w:val="FootnoteReference"/>
          <w:rFonts w:cs="Arial"/>
        </w:rPr>
        <w:footnoteReference w:id="4"/>
      </w:r>
      <w:r w:rsidRPr="317B4E84">
        <w:t xml:space="preserve"> patients were transported by </w:t>
      </w:r>
      <w:r w:rsidR="00734A55">
        <w:t xml:space="preserve">licensed </w:t>
      </w:r>
      <w:r w:rsidRPr="317B4E84">
        <w:t xml:space="preserve">NEPT providers. By </w:t>
      </w:r>
      <w:r w:rsidR="000B4700">
        <w:t>safely</w:t>
      </w:r>
      <w:r w:rsidR="00C3255F">
        <w:t xml:space="preserve"> managing this </w:t>
      </w:r>
      <w:r w:rsidR="00794702">
        <w:t>cohort</w:t>
      </w:r>
      <w:r w:rsidR="000B4700">
        <w:t xml:space="preserve"> of patients</w:t>
      </w:r>
      <w:r w:rsidRPr="317B4E84">
        <w:t xml:space="preserve">, NEPT providers free up ambulance services to </w:t>
      </w:r>
      <w:r w:rsidR="00C20153">
        <w:t>focus on</w:t>
      </w:r>
      <w:r w:rsidRPr="317B4E84">
        <w:t xml:space="preserve"> emergenc</w:t>
      </w:r>
      <w:r w:rsidR="000C7279">
        <w:t xml:space="preserve">ies </w:t>
      </w:r>
      <w:r w:rsidR="003D0818">
        <w:t>and support</w:t>
      </w:r>
      <w:r w:rsidRPr="317B4E84">
        <w:t xml:space="preserve"> the timely movement of discharged patients</w:t>
      </w:r>
      <w:r w:rsidR="00EB0EDE">
        <w:t xml:space="preserve"> and inter-facility transfers</w:t>
      </w:r>
      <w:r w:rsidRPr="317B4E84">
        <w:t xml:space="preserve">, </w:t>
      </w:r>
      <w:r w:rsidR="00951540">
        <w:t xml:space="preserve">improving </w:t>
      </w:r>
      <w:r w:rsidR="002E4AC9">
        <w:t xml:space="preserve">patient </w:t>
      </w:r>
      <w:r w:rsidR="007D6407">
        <w:t>flow</w:t>
      </w:r>
      <w:r w:rsidR="002E4AC9">
        <w:t xml:space="preserve"> and bed availability.</w:t>
      </w:r>
    </w:p>
    <w:p w14:paraId="148CAC3B" w14:textId="571CB8F1" w:rsidR="00965516" w:rsidRDefault="00965516" w:rsidP="00990CB8">
      <w:pPr>
        <w:pStyle w:val="Body"/>
      </w:pPr>
      <w:r w:rsidRPr="003F3141">
        <w:t>A patient within the he</w:t>
      </w:r>
      <w:r w:rsidRPr="0095326C">
        <w:t xml:space="preserve">alth system in Victoria would reasonably expect continuity in the quality of care they experience between one location and another. This can be enabled by setting standards for </w:t>
      </w:r>
      <w:r w:rsidR="004D6E83">
        <w:t xml:space="preserve">NEPT services transferring </w:t>
      </w:r>
      <w:r w:rsidR="005D0060">
        <w:t>patients from one location to the next</w:t>
      </w:r>
      <w:r w:rsidRPr="0095326C">
        <w:t xml:space="preserve"> </w:t>
      </w:r>
      <w:r w:rsidR="00AF13AD">
        <w:t>- including</w:t>
      </w:r>
      <w:r w:rsidRPr="0095326C">
        <w:t xml:space="preserve"> crew competency, vehicles and equipment, and clinical governance. The regulations underpinning this sector must ensure patient safety, support a skilled and sustainable workforce and provide clarity for service providers and regulators alike. </w:t>
      </w:r>
    </w:p>
    <w:p w14:paraId="629E6CB1" w14:textId="77777777" w:rsidR="00BA61C6" w:rsidRDefault="00BA61C6" w:rsidP="00BA61C6">
      <w:pPr>
        <w:pStyle w:val="Heading3"/>
        <w:rPr>
          <w:rFonts w:cs="Arial"/>
        </w:rPr>
      </w:pPr>
      <w:r>
        <w:t>Eligible patient acuity for NEPT</w:t>
      </w:r>
    </w:p>
    <w:p w14:paraId="72BCB576" w14:textId="61417933" w:rsidR="00BA61C6" w:rsidRPr="0041200A" w:rsidRDefault="00BA61C6" w:rsidP="00990CB8">
      <w:pPr>
        <w:pStyle w:val="Body"/>
      </w:pPr>
      <w:r w:rsidRPr="3F1F930D">
        <w:t>NEPT operates between two ends of the transport spectrum: at one end, time-critical emergency ambulance transport; at the other end, transport of ambulant patients who do not require clinical monitoring, which can be provided by clinic transport vehicles.</w:t>
      </w:r>
      <w:r w:rsidRPr="0087383A">
        <w:t xml:space="preserve"> </w:t>
      </w:r>
      <w:r>
        <w:t xml:space="preserve">Licensed </w:t>
      </w:r>
      <w:r w:rsidRPr="3D7F2089">
        <w:t xml:space="preserve">NEPT providers serve </w:t>
      </w:r>
      <w:r>
        <w:t xml:space="preserve">the intermediate </w:t>
      </w:r>
      <w:r w:rsidRPr="3D7F2089">
        <w:t>cohort of patients who</w:t>
      </w:r>
      <w:r>
        <w:t xml:space="preserve"> need</w:t>
      </w:r>
      <w:r w:rsidR="00C57971">
        <w:t xml:space="preserve"> a stretcher,</w:t>
      </w:r>
      <w:r>
        <w:t xml:space="preserve"> in-transit monitoring, supervision, or</w:t>
      </w:r>
      <w:r w:rsidRPr="3D7F2089">
        <w:t xml:space="preserve"> </w:t>
      </w:r>
      <w:r>
        <w:t xml:space="preserve">active management or intervention but are not assessed </w:t>
      </w:r>
      <w:r w:rsidRPr="5A08FDBC">
        <w:t>as</w:t>
      </w:r>
      <w:r>
        <w:t xml:space="preserve"> requiring </w:t>
      </w:r>
      <w:r w:rsidRPr="3D7F2089">
        <w:t>emergency paramedic intervention.</w:t>
      </w:r>
    </w:p>
    <w:p w14:paraId="4C8A770A" w14:textId="77777777" w:rsidR="00BA61C6" w:rsidRPr="00791774" w:rsidRDefault="00BA61C6" w:rsidP="00990CB8">
      <w:pPr>
        <w:pStyle w:val="Body"/>
      </w:pPr>
      <w:r w:rsidRPr="06EB338D">
        <w:t>NEPT transports are organised according to the acuity of the patient</w:t>
      </w:r>
      <w:r>
        <w:t>, allowing the individual patient’s care needs and risk level to be matched with appropriately skilled crew</w:t>
      </w:r>
      <w:r w:rsidRPr="06EB338D">
        <w:t xml:space="preserve">. Patient acuity is divided into three </w:t>
      </w:r>
      <w:r>
        <w:t>classes</w:t>
      </w:r>
      <w:r w:rsidRPr="06EB338D">
        <w:t xml:space="preserve">: low, medium and high. </w:t>
      </w:r>
      <w:r>
        <w:t>Regardless of their acuity class, to be eligible for transport by a NEPT provider, the</w:t>
      </w:r>
      <w:r w:rsidRPr="712B65E3">
        <w:t xml:space="preserve"> patient</w:t>
      </w:r>
      <w:r>
        <w:t>’s condition</w:t>
      </w:r>
      <w:r w:rsidRPr="712B65E3">
        <w:t xml:space="preserve"> must be stable and not time critical. </w:t>
      </w:r>
      <w:r w:rsidRPr="06EB338D">
        <w:t>Under the current Regulations:</w:t>
      </w:r>
    </w:p>
    <w:p w14:paraId="659DE9C0" w14:textId="77777777" w:rsidR="00B35890" w:rsidRPr="00B35890" w:rsidRDefault="00B35890" w:rsidP="00B35890">
      <w:pPr>
        <w:pStyle w:val="Bullet1"/>
      </w:pPr>
      <w:r w:rsidRPr="00B35890">
        <w:t>A low acuity patient has either impaired cognitive functioning requiring supervision, or chronic diagnosed shortness of breath.</w:t>
      </w:r>
    </w:p>
    <w:p w14:paraId="761D4795" w14:textId="77777777" w:rsidR="00B35890" w:rsidRPr="00B35890" w:rsidRDefault="00B35890" w:rsidP="00B35890">
      <w:pPr>
        <w:pStyle w:val="Bullet1"/>
      </w:pPr>
      <w:r w:rsidRPr="00B35890">
        <w:t>A medium acuity patient is one who requires active management or intervention, specialised equipment requiring monitoring or observation and monitoring of certain intravenous infusions.</w:t>
      </w:r>
    </w:p>
    <w:p w14:paraId="5C50215A" w14:textId="77777777" w:rsidR="00B35890" w:rsidRPr="00B35890" w:rsidRDefault="00B35890" w:rsidP="00B35890">
      <w:pPr>
        <w:pStyle w:val="Bullet1"/>
      </w:pPr>
      <w:r w:rsidRPr="00B35890">
        <w:t>A high acuity patient requires active management or intervention and either cardiorespiratory support, a higher level of care than a medium acuity patient, observation and monitoring of certain intravenous infusions, or transport by Paediatric Infant Perinatal Emergency Retrieval or Adult Retrieval Victoria.</w:t>
      </w:r>
    </w:p>
    <w:p w14:paraId="207660E4" w14:textId="71369FEA" w:rsidR="00BA61C6" w:rsidRPr="0095326C" w:rsidRDefault="00BA61C6" w:rsidP="00990CB8">
      <w:pPr>
        <w:pStyle w:val="Bodyafterbullets"/>
      </w:pPr>
      <w:r w:rsidRPr="5D4CF687">
        <w:lastRenderedPageBreak/>
        <w:t>The</w:t>
      </w:r>
      <w:r w:rsidR="007C25BB">
        <w:t xml:space="preserve"> </w:t>
      </w:r>
      <w:r w:rsidR="00B5646F">
        <w:t>R</w:t>
      </w:r>
      <w:r w:rsidRPr="5D4CF687">
        <w:t xml:space="preserve">egulations </w:t>
      </w:r>
      <w:r w:rsidR="00CC2A57">
        <w:t>specif</w:t>
      </w:r>
      <w:r w:rsidR="006F42BD">
        <w:t xml:space="preserve">y the </w:t>
      </w:r>
      <w:r w:rsidR="001C3A71">
        <w:t>maximum number of patients</w:t>
      </w:r>
      <w:r w:rsidR="0063050E">
        <w:t xml:space="preserve"> that can be transport</w:t>
      </w:r>
      <w:r w:rsidR="00051DEA">
        <w:t>ed</w:t>
      </w:r>
      <w:r w:rsidR="001C3A71">
        <w:t xml:space="preserve"> per vehicle based on acuity level, as well as detailing the</w:t>
      </w:r>
      <w:r w:rsidR="00CC2A57">
        <w:t xml:space="preserve"> minimum staffing </w:t>
      </w:r>
      <w:r w:rsidR="001C3A71">
        <w:t xml:space="preserve">levels </w:t>
      </w:r>
      <w:r w:rsidR="00CC2A57">
        <w:t xml:space="preserve">and equipment </w:t>
      </w:r>
      <w:r w:rsidR="001C3A71">
        <w:t>requirements</w:t>
      </w:r>
      <w:r w:rsidRPr="5D4CF687">
        <w:t xml:space="preserve">. </w:t>
      </w:r>
    </w:p>
    <w:p w14:paraId="4AD1B7F4" w14:textId="2BBB90A6" w:rsidR="00965516" w:rsidRPr="00565220" w:rsidRDefault="00965516" w:rsidP="00965516">
      <w:pPr>
        <w:pStyle w:val="Heading3"/>
      </w:pPr>
      <w:r w:rsidRPr="00565220">
        <w:t xml:space="preserve">NEPT </w:t>
      </w:r>
      <w:r>
        <w:t>service providers</w:t>
      </w:r>
    </w:p>
    <w:p w14:paraId="30DF32D0" w14:textId="3EBBAF38" w:rsidR="00D14F28" w:rsidRDefault="00CA5B12" w:rsidP="00990CB8">
      <w:pPr>
        <w:pStyle w:val="Body"/>
      </w:pPr>
      <w:r>
        <w:t>There are currently</w:t>
      </w:r>
      <w:r w:rsidR="00F62D66" w:rsidRPr="2D1AB5BD">
        <w:t xml:space="preserve"> nine providers licensed to operate </w:t>
      </w:r>
      <w:r w:rsidR="7AFB4966" w:rsidRPr="1EA07950">
        <w:t xml:space="preserve">NEPT services </w:t>
      </w:r>
      <w:r w:rsidR="00F62D66" w:rsidRPr="2D1AB5BD">
        <w:t>in Victoria. NEPT providers are owned and managed by private organisations</w:t>
      </w:r>
      <w:r w:rsidR="00C0401D">
        <w:t xml:space="preserve"> that are</w:t>
      </w:r>
      <w:r w:rsidR="00F62D66" w:rsidRPr="2D1AB5BD">
        <w:t xml:space="preserve"> either for-profit companies or not-for-profit non-government organisations. </w:t>
      </w:r>
      <w:r w:rsidR="0A427608" w:rsidRPr="6589A1A1">
        <w:t xml:space="preserve">The providers vary in size from a </w:t>
      </w:r>
      <w:r w:rsidR="0A427608" w:rsidRPr="6A63EDC7">
        <w:t xml:space="preserve">local </w:t>
      </w:r>
      <w:r w:rsidR="0A427608" w:rsidRPr="064BE60B">
        <w:t xml:space="preserve">interhospital </w:t>
      </w:r>
      <w:r w:rsidR="0A427608" w:rsidRPr="6A63EDC7">
        <w:t>business</w:t>
      </w:r>
      <w:r w:rsidR="0A427608" w:rsidRPr="6589A1A1">
        <w:t xml:space="preserve"> </w:t>
      </w:r>
      <w:r w:rsidR="008B7920">
        <w:t>comprising</w:t>
      </w:r>
      <w:r w:rsidR="008B7920" w:rsidRPr="6589A1A1">
        <w:t xml:space="preserve"> </w:t>
      </w:r>
      <w:r w:rsidR="0A427608" w:rsidRPr="6589A1A1">
        <w:t>two</w:t>
      </w:r>
      <w:r w:rsidR="00943D35">
        <w:t xml:space="preserve"> stretcher</w:t>
      </w:r>
      <w:r w:rsidR="0A427608" w:rsidRPr="6589A1A1">
        <w:t xml:space="preserve"> vehicles</w:t>
      </w:r>
      <w:r w:rsidR="0A427608" w:rsidRPr="064BE60B">
        <w:t xml:space="preserve">, </w:t>
      </w:r>
      <w:r w:rsidR="0A427608" w:rsidRPr="7F2EE0DF">
        <w:t>to</w:t>
      </w:r>
      <w:r w:rsidR="1E61605A" w:rsidRPr="132D82EA">
        <w:t xml:space="preserve"> </w:t>
      </w:r>
      <w:r w:rsidR="19E2EB16" w:rsidRPr="6B12585C">
        <w:t xml:space="preserve">a </w:t>
      </w:r>
      <w:r w:rsidR="1E61605A" w:rsidRPr="6B12585C">
        <w:t>national</w:t>
      </w:r>
      <w:r w:rsidR="1E61605A" w:rsidRPr="39C37845">
        <w:t xml:space="preserve"> </w:t>
      </w:r>
      <w:r w:rsidR="1E61605A" w:rsidRPr="4065091C">
        <w:t>provider</w:t>
      </w:r>
      <w:r w:rsidR="1E61605A" w:rsidRPr="06253182">
        <w:t xml:space="preserve"> with </w:t>
      </w:r>
      <w:r w:rsidR="00017680" w:rsidRPr="6B12585C">
        <w:t xml:space="preserve">over 130 </w:t>
      </w:r>
      <w:r w:rsidR="1E61605A" w:rsidRPr="5E050A81">
        <w:t xml:space="preserve">vehicles </w:t>
      </w:r>
      <w:r w:rsidR="1E61605A" w:rsidRPr="216EF240">
        <w:t>servicing Victoria.</w:t>
      </w:r>
      <w:r w:rsidR="1E61605A" w:rsidRPr="511D46CD">
        <w:t xml:space="preserve"> One provider undertakes </w:t>
      </w:r>
      <w:r w:rsidR="6A206CDE" w:rsidRPr="219F9302">
        <w:t>patient transport by</w:t>
      </w:r>
      <w:r w:rsidR="6A206CDE" w:rsidRPr="2A9AD4CE">
        <w:t xml:space="preserve"> air as well as </w:t>
      </w:r>
      <w:r w:rsidR="6A206CDE" w:rsidRPr="49872BCC">
        <w:t>road vehicles.</w:t>
      </w:r>
      <w:r w:rsidR="001B0A8D">
        <w:t xml:space="preserve"> </w:t>
      </w:r>
    </w:p>
    <w:p w14:paraId="1FA11D12" w14:textId="0C686F14" w:rsidR="30EDE833" w:rsidRDefault="00F62D66" w:rsidP="00990CB8">
      <w:pPr>
        <w:pStyle w:val="Body"/>
      </w:pPr>
      <w:r w:rsidRPr="1252E288">
        <w:t>Victoria’s licensed NEPT providers are contracted by Ambulance Victoria, individual h</w:t>
      </w:r>
      <w:r w:rsidR="00D2523C">
        <w:t>ealth services</w:t>
      </w:r>
      <w:r w:rsidRPr="1252E288">
        <w:t xml:space="preserve"> or both. </w:t>
      </w:r>
      <w:r w:rsidRPr="6F1BBCEE">
        <w:t xml:space="preserve">Approximately </w:t>
      </w:r>
      <w:r w:rsidR="6EA9998D" w:rsidRPr="6F1BBCEE">
        <w:t>half</w:t>
      </w:r>
      <w:r w:rsidRPr="6F1BBCEE">
        <w:t xml:space="preserve"> </w:t>
      </w:r>
      <w:r w:rsidRPr="1252E288">
        <w:t xml:space="preserve">of NEPT transports </w:t>
      </w:r>
      <w:proofErr w:type="gramStart"/>
      <w:r w:rsidRPr="1252E288">
        <w:t>are</w:t>
      </w:r>
      <w:proofErr w:type="gramEnd"/>
      <w:r w:rsidRPr="1252E288">
        <w:t xml:space="preserve"> referred by Ambulance Victoria</w:t>
      </w:r>
      <w:r w:rsidR="00310E78">
        <w:t>;</w:t>
      </w:r>
      <w:r w:rsidRPr="1252E288">
        <w:t xml:space="preserve"> the remainder are via direct contract with </w:t>
      </w:r>
      <w:r w:rsidRPr="30F1F60C">
        <w:t>h</w:t>
      </w:r>
      <w:r w:rsidR="34BAF703" w:rsidRPr="30F1F60C">
        <w:t>ealth services</w:t>
      </w:r>
      <w:r w:rsidRPr="30F1F60C">
        <w:t>.</w:t>
      </w:r>
    </w:p>
    <w:p w14:paraId="444876FC" w14:textId="7D4C707B" w:rsidR="000837B7" w:rsidRDefault="000837B7" w:rsidP="00990CB8">
      <w:pPr>
        <w:pStyle w:val="Body"/>
        <w:rPr>
          <w:rFonts w:eastAsia="Aptos"/>
        </w:rPr>
      </w:pPr>
      <w:r w:rsidRPr="4AE951F9">
        <w:rPr>
          <w:rFonts w:eastAsia="Aptos"/>
          <w:szCs w:val="21"/>
        </w:rPr>
        <w:t>Transports performed under a contract to a health service are typically planned bookings to move a patient between hospitals</w:t>
      </w:r>
      <w:r w:rsidR="00E663D0">
        <w:rPr>
          <w:rFonts w:eastAsia="Aptos"/>
          <w:szCs w:val="21"/>
        </w:rPr>
        <w:t xml:space="preserve"> -</w:t>
      </w:r>
      <w:r w:rsidRPr="4AE951F9">
        <w:rPr>
          <w:rFonts w:eastAsia="Aptos"/>
          <w:szCs w:val="21"/>
        </w:rPr>
        <w:t xml:space="preserve"> for example</w:t>
      </w:r>
      <w:r w:rsidR="00E663D0">
        <w:rPr>
          <w:rFonts w:eastAsia="Aptos"/>
          <w:szCs w:val="21"/>
        </w:rPr>
        <w:t>,</w:t>
      </w:r>
      <w:r w:rsidRPr="4AE951F9">
        <w:rPr>
          <w:rFonts w:eastAsia="Aptos"/>
          <w:szCs w:val="21"/>
        </w:rPr>
        <w:t xml:space="preserve"> to access </w:t>
      </w:r>
      <w:r>
        <w:rPr>
          <w:rFonts w:eastAsia="Aptos"/>
          <w:szCs w:val="21"/>
        </w:rPr>
        <w:t>specialist services</w:t>
      </w:r>
      <w:r w:rsidRPr="4AE951F9">
        <w:rPr>
          <w:rFonts w:eastAsia="Aptos"/>
          <w:szCs w:val="21"/>
        </w:rPr>
        <w:t xml:space="preserve"> or</w:t>
      </w:r>
      <w:r>
        <w:rPr>
          <w:rFonts w:eastAsia="Aptos"/>
          <w:szCs w:val="21"/>
        </w:rPr>
        <w:t xml:space="preserve"> to</w:t>
      </w:r>
      <w:r w:rsidRPr="4AE951F9">
        <w:rPr>
          <w:rFonts w:eastAsia="Aptos"/>
          <w:szCs w:val="21"/>
        </w:rPr>
        <w:t xml:space="preserve"> attend </w:t>
      </w:r>
      <w:r w:rsidRPr="6FC53CBB">
        <w:rPr>
          <w:rFonts w:eastAsia="Aptos"/>
        </w:rPr>
        <w:t>a specialist</w:t>
      </w:r>
      <w:r w:rsidRPr="4AE951F9">
        <w:rPr>
          <w:rFonts w:eastAsia="Aptos"/>
          <w:szCs w:val="21"/>
        </w:rPr>
        <w:t xml:space="preserve"> appointment. </w:t>
      </w:r>
    </w:p>
    <w:p w14:paraId="6B38ED46" w14:textId="07B0E491" w:rsidR="000837B7" w:rsidRPr="008B1543" w:rsidRDefault="000837B7" w:rsidP="00990CB8">
      <w:pPr>
        <w:pStyle w:val="Body"/>
        <w:rPr>
          <w:rFonts w:eastAsia="Aptos"/>
        </w:rPr>
      </w:pPr>
      <w:r w:rsidRPr="6FC53CBB">
        <w:rPr>
          <w:rFonts w:eastAsia="Aptos"/>
        </w:rPr>
        <w:t>In contrast, transports</w:t>
      </w:r>
      <w:r w:rsidRPr="7C29947A">
        <w:rPr>
          <w:rFonts w:eastAsia="Aptos"/>
        </w:rPr>
        <w:t xml:space="preserve"> performed under a contract with Ambulance Victoria may be unplanned. </w:t>
      </w:r>
      <w:r w:rsidRPr="720437AF">
        <w:rPr>
          <w:rFonts w:eastAsia="Aptos"/>
        </w:rPr>
        <w:t>Triple</w:t>
      </w:r>
      <w:r w:rsidRPr="7C29947A">
        <w:rPr>
          <w:rFonts w:eastAsia="Aptos"/>
        </w:rPr>
        <w:t xml:space="preserve"> Zero Victoria </w:t>
      </w:r>
      <w:r w:rsidRPr="2752E21E">
        <w:rPr>
          <w:rFonts w:eastAsia="Aptos"/>
        </w:rPr>
        <w:t xml:space="preserve">can </w:t>
      </w:r>
      <w:r>
        <w:rPr>
          <w:rFonts w:eastAsia="Aptos"/>
        </w:rPr>
        <w:t>a</w:t>
      </w:r>
      <w:r w:rsidRPr="2752E21E">
        <w:rPr>
          <w:rFonts w:eastAsia="Aptos"/>
        </w:rPr>
        <w:t>llocate</w:t>
      </w:r>
      <w:r w:rsidRPr="7C29947A">
        <w:rPr>
          <w:rFonts w:eastAsia="Aptos"/>
        </w:rPr>
        <w:t xml:space="preserve"> a </w:t>
      </w:r>
      <w:r>
        <w:rPr>
          <w:rFonts w:eastAsia="Aptos"/>
        </w:rPr>
        <w:t xml:space="preserve">call </w:t>
      </w:r>
      <w:r w:rsidRPr="7C29947A">
        <w:rPr>
          <w:rFonts w:eastAsia="Aptos"/>
        </w:rPr>
        <w:t>to a NEPT provider</w:t>
      </w:r>
      <w:r>
        <w:rPr>
          <w:rFonts w:eastAsia="Aptos"/>
        </w:rPr>
        <w:t xml:space="preserve"> where</w:t>
      </w:r>
      <w:r w:rsidRPr="7C29947A">
        <w:rPr>
          <w:rFonts w:eastAsia="Aptos"/>
        </w:rPr>
        <w:t xml:space="preserve"> triage </w:t>
      </w:r>
      <w:r w:rsidRPr="47E4A474">
        <w:rPr>
          <w:rFonts w:eastAsia="Aptos"/>
        </w:rPr>
        <w:t>determines</w:t>
      </w:r>
      <w:r w:rsidRPr="7C29947A">
        <w:rPr>
          <w:rFonts w:eastAsia="Aptos"/>
        </w:rPr>
        <w:t xml:space="preserve"> that the patient’s condition is stable but requires monitoring or management that could safely be delivered by a NEPT crew and vehicle, rather than an ambulance crewed by paramedics</w:t>
      </w:r>
      <w:r w:rsidRPr="283DB3B9">
        <w:rPr>
          <w:rFonts w:eastAsia="Aptos"/>
        </w:rPr>
        <w:t>.</w:t>
      </w:r>
    </w:p>
    <w:p w14:paraId="12B8DE2C" w14:textId="2267D009" w:rsidR="008B012B" w:rsidRDefault="00D279E7" w:rsidP="00990CB8">
      <w:pPr>
        <w:pStyle w:val="Body"/>
        <w:rPr>
          <w:szCs w:val="21"/>
        </w:rPr>
      </w:pPr>
      <w:r>
        <w:t xml:space="preserve">Licensed </w:t>
      </w:r>
      <w:r w:rsidR="3B84A483" w:rsidRPr="418CC698">
        <w:t>NEPT providers can</w:t>
      </w:r>
      <w:r w:rsidR="001D7E28">
        <w:t xml:space="preserve"> also</w:t>
      </w:r>
      <w:r w:rsidR="3B84A483" w:rsidRPr="418CC698">
        <w:t xml:space="preserve"> provide surge support to Ambulance Victoria for emergencies, however crew competency</w:t>
      </w:r>
      <w:r w:rsidR="003A5735">
        <w:t xml:space="preserve"> and equipment </w:t>
      </w:r>
      <w:r w:rsidR="00A10B1E">
        <w:t>are</w:t>
      </w:r>
      <w:r w:rsidR="003A5735">
        <w:t xml:space="preserve"> </w:t>
      </w:r>
      <w:r w:rsidR="00A10B1E">
        <w:t>primarily</w:t>
      </w:r>
      <w:r w:rsidR="3B84A483" w:rsidRPr="418CC698">
        <w:t xml:space="preserve"> </w:t>
      </w:r>
      <w:r w:rsidR="00DE23CB">
        <w:t>configured for</w:t>
      </w:r>
      <w:r w:rsidR="3B84A483" w:rsidRPr="418CC698">
        <w:t xml:space="preserve"> responding to non-emergency transport</w:t>
      </w:r>
      <w:r w:rsidR="3B84A483" w:rsidRPr="1CE2C497">
        <w:t>.</w:t>
      </w:r>
    </w:p>
    <w:p w14:paraId="6A8E5AF5" w14:textId="77777777" w:rsidR="00BE7429" w:rsidRPr="00565220" w:rsidRDefault="00BE7429" w:rsidP="00BE7429">
      <w:pPr>
        <w:pStyle w:val="Heading3"/>
      </w:pPr>
      <w:r w:rsidRPr="00565220">
        <w:t xml:space="preserve">NEPT workforce </w:t>
      </w:r>
    </w:p>
    <w:p w14:paraId="72444790" w14:textId="736C7039" w:rsidR="00BE7429" w:rsidRDefault="00BE7429" w:rsidP="00990CB8">
      <w:pPr>
        <w:pStyle w:val="Body"/>
      </w:pPr>
      <w:r>
        <w:t xml:space="preserve">The NEPT workforce is highly casualised, </w:t>
      </w:r>
      <w:r w:rsidR="005E40BF">
        <w:t xml:space="preserve">comprising </w:t>
      </w:r>
      <w:r>
        <w:t>a total of 1,806 vehicle crew members across the state.</w:t>
      </w:r>
      <w:r w:rsidR="009C1CF6">
        <w:rPr>
          <w:rStyle w:val="FootnoteReference"/>
          <w:rFonts w:cs="Arial"/>
        </w:rPr>
        <w:footnoteReference w:id="5"/>
      </w:r>
      <w:r w:rsidR="0071639C">
        <w:t xml:space="preserve"> </w:t>
      </w:r>
      <w:r>
        <w:t>Crew members are a mix of patient transport officers, ambulance transport attendants and enrolled, registered and critical care nurses.</w:t>
      </w:r>
    </w:p>
    <w:p w14:paraId="2D428FA8" w14:textId="1E5CE634" w:rsidR="00BE7429" w:rsidRDefault="00BE7429" w:rsidP="00990CB8">
      <w:pPr>
        <w:pStyle w:val="Body"/>
      </w:pPr>
      <w:r w:rsidRPr="5D4CF687">
        <w:t xml:space="preserve">The </w:t>
      </w:r>
      <w:r w:rsidR="00B5646F">
        <w:t>R</w:t>
      </w:r>
      <w:r w:rsidRPr="5D4CF687">
        <w:t>egulations define two types of crew member</w:t>
      </w:r>
      <w:r w:rsidR="00B43537">
        <w:t xml:space="preserve"> </w:t>
      </w:r>
      <w:r w:rsidR="00B43537" w:rsidRPr="5D4CF687">
        <w:t xml:space="preserve">by </w:t>
      </w:r>
      <w:r w:rsidR="00491DF2">
        <w:t>reference to</w:t>
      </w:r>
      <w:r w:rsidR="00B43537" w:rsidRPr="5D4CF687">
        <w:t xml:space="preserve"> the </w:t>
      </w:r>
      <w:r w:rsidR="002454D6">
        <w:t xml:space="preserve">fact that </w:t>
      </w:r>
      <w:r w:rsidR="00B43537" w:rsidRPr="5D4CF687">
        <w:t xml:space="preserve">they </w:t>
      </w:r>
      <w:r w:rsidR="002454D6">
        <w:t xml:space="preserve">are engaged </w:t>
      </w:r>
      <w:r w:rsidR="00F03DDE">
        <w:t>primarily</w:t>
      </w:r>
      <w:r w:rsidR="002454D6">
        <w:t xml:space="preserve"> to </w:t>
      </w:r>
      <w:r w:rsidR="00B43537" w:rsidRPr="5D4CF687">
        <w:t xml:space="preserve">provide </w:t>
      </w:r>
      <w:r w:rsidR="002454D6">
        <w:t>care for</w:t>
      </w:r>
      <w:r w:rsidR="00B43537" w:rsidRPr="5D4CF687">
        <w:t xml:space="preserve"> low and medium acuity patients</w:t>
      </w:r>
      <w:r w:rsidR="00B43537">
        <w:t>:</w:t>
      </w:r>
      <w:r w:rsidRPr="5D4CF687">
        <w:t xml:space="preserve"> the </w:t>
      </w:r>
      <w:r w:rsidR="2FBCF983" w:rsidRPr="5E626628">
        <w:t>a</w:t>
      </w:r>
      <w:r w:rsidRPr="5E626628">
        <w:t>mbulance</w:t>
      </w:r>
      <w:r w:rsidRPr="5D4CF687">
        <w:t xml:space="preserve"> </w:t>
      </w:r>
      <w:r w:rsidR="20C3BDDB" w:rsidRPr="70B4B03B">
        <w:t>t</w:t>
      </w:r>
      <w:r w:rsidRPr="70B4B03B">
        <w:t xml:space="preserve">ransport </w:t>
      </w:r>
      <w:r w:rsidR="707E9006" w:rsidRPr="70B4B03B">
        <w:t>a</w:t>
      </w:r>
      <w:r w:rsidRPr="70B4B03B">
        <w:t>ttendant</w:t>
      </w:r>
      <w:r w:rsidRPr="5D4CF687">
        <w:t xml:space="preserve"> and the </w:t>
      </w:r>
      <w:r w:rsidR="62414BF9" w:rsidRPr="541184EC">
        <w:t>p</w:t>
      </w:r>
      <w:r w:rsidRPr="541184EC">
        <w:t>atient</w:t>
      </w:r>
      <w:r w:rsidRPr="5D4CF687">
        <w:t xml:space="preserve"> </w:t>
      </w:r>
      <w:r w:rsidR="3B82DDE2" w:rsidRPr="4C7E3F1F">
        <w:t>t</w:t>
      </w:r>
      <w:r w:rsidRPr="4C7E3F1F">
        <w:t xml:space="preserve">ransport </w:t>
      </w:r>
      <w:r w:rsidR="7238FB5F" w:rsidRPr="4C7E3F1F">
        <w:t>o</w:t>
      </w:r>
      <w:r w:rsidRPr="4C7E3F1F">
        <w:t>fficer</w:t>
      </w:r>
      <w:r w:rsidRPr="7E50B921">
        <w:t xml:space="preserve">. </w:t>
      </w:r>
      <w:r w:rsidRPr="38681B08">
        <w:t>High</w:t>
      </w:r>
      <w:r w:rsidRPr="6F7561A5">
        <w:t xml:space="preserve"> acuity </w:t>
      </w:r>
      <w:r w:rsidRPr="5DCC11B8">
        <w:t xml:space="preserve">patients </w:t>
      </w:r>
      <w:r w:rsidRPr="38681B08">
        <w:t>are assigned in the</w:t>
      </w:r>
      <w:r w:rsidRPr="7E50B921">
        <w:t xml:space="preserve"> CPPs </w:t>
      </w:r>
      <w:r w:rsidRPr="5DCC11B8">
        <w:t>to</w:t>
      </w:r>
      <w:r w:rsidRPr="75A0CCA4">
        <w:t xml:space="preserve"> </w:t>
      </w:r>
      <w:r w:rsidRPr="08768741">
        <w:t xml:space="preserve">registered nurses with </w:t>
      </w:r>
      <w:r w:rsidRPr="2C5ED946">
        <w:t xml:space="preserve">an </w:t>
      </w:r>
      <w:r w:rsidRPr="08768741">
        <w:t>endorsed critical care qualification</w:t>
      </w:r>
      <w:r w:rsidRPr="2C5ED946">
        <w:t>.</w:t>
      </w:r>
      <w:r>
        <w:t xml:space="preserve"> As mentioned above, the CPPs contain a scope of practice for NEPT crew members. That document lists the clinical protocols and medications that can be administered by each</w:t>
      </w:r>
      <w:r w:rsidR="00E326FA">
        <w:t xml:space="preserve"> type of</w:t>
      </w:r>
      <w:r>
        <w:t xml:space="preserve"> crew member. It also specifies if additional training and endorsement in a particular skill, medication or procedure is required as part of their credentialling. </w:t>
      </w:r>
    </w:p>
    <w:p w14:paraId="2DE2F76A" w14:textId="14C7DC70" w:rsidR="007E309F" w:rsidRDefault="00BE7429" w:rsidP="00990CB8">
      <w:pPr>
        <w:pStyle w:val="Body"/>
      </w:pPr>
      <w:r>
        <w:t>The CPPs are</w:t>
      </w:r>
      <w:r w:rsidRPr="605C8CE0">
        <w:t xml:space="preserve"> themselves</w:t>
      </w:r>
      <w:r>
        <w:t xml:space="preserve"> supplemented by a guidance document mandating clinical staff qualifications and crew mix.</w:t>
      </w:r>
      <w:r w:rsidR="00245C1A">
        <w:rPr>
          <w:rStyle w:val="FootnoteReference"/>
          <w:rFonts w:cs="Arial"/>
        </w:rPr>
        <w:footnoteReference w:id="6"/>
      </w:r>
      <w:r>
        <w:t xml:space="preserve"> This document links each crew member title to a base qualification, such as Patient Transport Officer to Certificate III Non-Emergency Patient Transport (or equivalent). It also specifies which type of crew member must travel in the patient compartment depending on the acuity of the patient to ensure the patient’s risk level is matched to someone with the appropriate skills.</w:t>
      </w:r>
    </w:p>
    <w:p w14:paraId="0F6D167E" w14:textId="1E627820" w:rsidR="00990E61" w:rsidRDefault="006718CE" w:rsidP="005F0E29">
      <w:pPr>
        <w:pStyle w:val="Heading2"/>
      </w:pPr>
      <w:bookmarkStart w:id="8" w:name="_Toc215847503"/>
      <w:r>
        <w:lastRenderedPageBreak/>
        <w:t>The</w:t>
      </w:r>
      <w:r w:rsidR="008A7019" w:rsidRPr="005B71A4">
        <w:t xml:space="preserve"> NEPT Review and </w:t>
      </w:r>
      <w:r>
        <w:t xml:space="preserve">government </w:t>
      </w:r>
      <w:r w:rsidR="008A7019" w:rsidRPr="005B71A4">
        <w:t>response</w:t>
      </w:r>
      <w:bookmarkEnd w:id="8"/>
    </w:p>
    <w:p w14:paraId="04D081F9" w14:textId="7E077BFE" w:rsidR="67CD0796" w:rsidRPr="009F0174" w:rsidRDefault="00322F43" w:rsidP="009F0174">
      <w:pPr>
        <w:pStyle w:val="Body"/>
      </w:pPr>
      <w:r w:rsidRPr="009F0174">
        <w:t>On 18 November 2022 the Victorian Government made an election commitment to review the existing procurement arrangements for NEPT services.</w:t>
      </w:r>
      <w:r w:rsidR="00944947" w:rsidRPr="009F0174">
        <w:t xml:space="preserve"> The scope of the review </w:t>
      </w:r>
      <w:r w:rsidR="005179C9" w:rsidRPr="009F0174">
        <w:t>was</w:t>
      </w:r>
      <w:r w:rsidR="007A1B03" w:rsidRPr="009F0174">
        <w:t xml:space="preserve"> later</w:t>
      </w:r>
      <w:r w:rsidR="005179C9" w:rsidRPr="009F0174">
        <w:t xml:space="preserve"> widened</w:t>
      </w:r>
      <w:r w:rsidR="00990233" w:rsidRPr="009F0174">
        <w:t xml:space="preserve"> to </w:t>
      </w:r>
      <w:r w:rsidR="00F519DD">
        <w:t>enable</w:t>
      </w:r>
      <w:r w:rsidR="00990233" w:rsidRPr="009F0174">
        <w:t xml:space="preserve"> a more comprehensive </w:t>
      </w:r>
      <w:r w:rsidR="00217A66">
        <w:t>assessment of how</w:t>
      </w:r>
      <w:r w:rsidR="00990233" w:rsidRPr="009F0174">
        <w:t xml:space="preserve"> NEPT services </w:t>
      </w:r>
      <w:r w:rsidR="00217A66">
        <w:t xml:space="preserve">can </w:t>
      </w:r>
      <w:r w:rsidR="00621F63" w:rsidRPr="009F0174">
        <w:t xml:space="preserve">continue to </w:t>
      </w:r>
      <w:r w:rsidR="00990233" w:rsidRPr="009F0174">
        <w:t>meet community needs</w:t>
      </w:r>
      <w:r w:rsidR="00692393" w:rsidRPr="009F0174">
        <w:t xml:space="preserve">, </w:t>
      </w:r>
      <w:r w:rsidR="001C3E8F">
        <w:t>with a focus on</w:t>
      </w:r>
      <w:r w:rsidR="001C3E8F" w:rsidRPr="009F0174">
        <w:t xml:space="preserve"> </w:t>
      </w:r>
      <w:r w:rsidR="008D25F0" w:rsidRPr="009F0174">
        <w:t>service performance and</w:t>
      </w:r>
      <w:r w:rsidR="00BF4D44" w:rsidRPr="009F0174">
        <w:t xml:space="preserve"> further improvement strategies.</w:t>
      </w:r>
    </w:p>
    <w:p w14:paraId="021CE405" w14:textId="0B8C7530" w:rsidR="005B71A4" w:rsidRDefault="004D4468" w:rsidP="00035492">
      <w:pPr>
        <w:pStyle w:val="Body"/>
        <w:rPr>
          <w:szCs w:val="21"/>
        </w:rPr>
      </w:pPr>
      <w:r>
        <w:t>Th</w:t>
      </w:r>
      <w:r w:rsidR="1EC5BA6F">
        <w:t>e</w:t>
      </w:r>
      <w:r>
        <w:t xml:space="preserve"> review </w:t>
      </w:r>
      <w:r w:rsidR="00C32108">
        <w:t>was</w:t>
      </w:r>
      <w:r w:rsidR="00704567">
        <w:t xml:space="preserve"> led </w:t>
      </w:r>
      <w:r w:rsidR="00CB48C8">
        <w:t xml:space="preserve">by </w:t>
      </w:r>
      <w:r w:rsidR="003E3428" w:rsidRPr="00BF6CC7">
        <w:t xml:space="preserve">Member for Melton Steve </w:t>
      </w:r>
      <w:proofErr w:type="gramStart"/>
      <w:r w:rsidR="003E3428" w:rsidRPr="00BF6CC7">
        <w:t>McGhie</w:t>
      </w:r>
      <w:proofErr w:type="gramEnd"/>
      <w:r w:rsidR="001B4478">
        <w:t xml:space="preserve"> and a </w:t>
      </w:r>
      <w:r w:rsidR="00573C8D">
        <w:t xml:space="preserve">final </w:t>
      </w:r>
      <w:r w:rsidR="001B4478">
        <w:t>report</w:t>
      </w:r>
      <w:r w:rsidR="009B621E">
        <w:t xml:space="preserve"> (</w:t>
      </w:r>
      <w:r w:rsidR="128720C9">
        <w:t>t</w:t>
      </w:r>
      <w:r w:rsidR="009323D9">
        <w:t xml:space="preserve">he </w:t>
      </w:r>
      <w:r w:rsidR="009B621E">
        <w:t xml:space="preserve">NEPT </w:t>
      </w:r>
      <w:r w:rsidR="009323D9">
        <w:t>R</w:t>
      </w:r>
      <w:r w:rsidR="009B621E">
        <w:t xml:space="preserve">eview </w:t>
      </w:r>
      <w:r w:rsidR="00EF6838">
        <w:t>R</w:t>
      </w:r>
      <w:r w:rsidR="009B621E">
        <w:t>eport)</w:t>
      </w:r>
      <w:r w:rsidR="001B4478">
        <w:t xml:space="preserve"> </w:t>
      </w:r>
      <w:r w:rsidR="00050B03">
        <w:t xml:space="preserve">and Victorian Government response </w:t>
      </w:r>
      <w:r w:rsidR="001B4478">
        <w:t>w</w:t>
      </w:r>
      <w:r w:rsidR="00050B03">
        <w:t>ere</w:t>
      </w:r>
      <w:r w:rsidR="001B4478">
        <w:t xml:space="preserve"> </w:t>
      </w:r>
      <w:r w:rsidR="00140C3C">
        <w:t xml:space="preserve">released </w:t>
      </w:r>
      <w:r w:rsidR="00050B03">
        <w:t>on</w:t>
      </w:r>
      <w:r w:rsidR="00140C3C">
        <w:t xml:space="preserve"> </w:t>
      </w:r>
      <w:r w:rsidR="00050B03">
        <w:t>10</w:t>
      </w:r>
      <w:r w:rsidR="00140C3C">
        <w:t xml:space="preserve"> </w:t>
      </w:r>
      <w:r w:rsidR="00E4683D">
        <w:t>January 2025.</w:t>
      </w:r>
      <w:r w:rsidR="00692393" w:rsidRPr="00692393">
        <w:rPr>
          <w:rFonts w:cs="Arial"/>
          <w:szCs w:val="21"/>
        </w:rPr>
        <w:t xml:space="preserve"> </w:t>
      </w:r>
      <w:r w:rsidR="76804DC0" w:rsidRPr="5FF7FE18">
        <w:rPr>
          <w:szCs w:val="21"/>
        </w:rPr>
        <w:t xml:space="preserve">The NEPT Review Report </w:t>
      </w:r>
      <w:r w:rsidR="00591D9C">
        <w:rPr>
          <w:szCs w:val="21"/>
        </w:rPr>
        <w:t>found that while the system had many strengths</w:t>
      </w:r>
      <w:r w:rsidR="00540FCB">
        <w:rPr>
          <w:szCs w:val="21"/>
        </w:rPr>
        <w:t>, changes are required to improve access, create efficiencies and better meet patient needs and workforce expectations.</w:t>
      </w:r>
    </w:p>
    <w:p w14:paraId="6C4FD387" w14:textId="000F385E" w:rsidR="003164B9" w:rsidRPr="005D196C" w:rsidRDefault="003164B9" w:rsidP="00481657">
      <w:pPr>
        <w:pStyle w:val="Body"/>
      </w:pPr>
      <w:r w:rsidRPr="009F7FF2">
        <w:t>The NEPT Review found that</w:t>
      </w:r>
      <w:r w:rsidR="009F7FF2" w:rsidRPr="009F7FF2">
        <w:t xml:space="preserve"> whilst the benefits of the 2021 amendments to the Regulations were still to be fully realised, the</w:t>
      </w:r>
      <w:r w:rsidR="009F7FF2">
        <w:t xml:space="preserve"> sector has generally welcomed strengthened quality and safety standards</w:t>
      </w:r>
      <w:r w:rsidR="005D196C">
        <w:t>. The NEPT Review Report also noted that:</w:t>
      </w:r>
    </w:p>
    <w:p w14:paraId="0BBEA09D" w14:textId="5A562EEF" w:rsidR="00A20816" w:rsidRDefault="005C5BD1" w:rsidP="00E65EEA">
      <w:pPr>
        <w:pStyle w:val="Bullet1"/>
      </w:pPr>
      <w:r>
        <w:t>q</w:t>
      </w:r>
      <w:r w:rsidR="00A20816">
        <w:t>uality and safety are improving through regulatory reform</w:t>
      </w:r>
    </w:p>
    <w:p w14:paraId="1356DB57" w14:textId="691103D6" w:rsidR="00A20816" w:rsidRDefault="005C5BD1" w:rsidP="00E65EEA">
      <w:pPr>
        <w:pStyle w:val="Bullet1"/>
      </w:pPr>
      <w:r>
        <w:t>r</w:t>
      </w:r>
      <w:r w:rsidR="00A20816">
        <w:t xml:space="preserve">egulation is the primary </w:t>
      </w:r>
      <w:r w:rsidR="00762842">
        <w:t>le</w:t>
      </w:r>
      <w:r w:rsidR="00A20816">
        <w:t>ver for driving quality and safety of NEPT</w:t>
      </w:r>
    </w:p>
    <w:p w14:paraId="1CC48A7A" w14:textId="73B8C691" w:rsidR="00A20816" w:rsidRPr="00E65EEA" w:rsidRDefault="005C5BD1" w:rsidP="00B33DD4">
      <w:pPr>
        <w:pStyle w:val="Bullet1"/>
      </w:pPr>
      <w:r>
        <w:t>r</w:t>
      </w:r>
      <w:r w:rsidR="008527FF">
        <w:t xml:space="preserve">egulatory compliance is high and adverse events </w:t>
      </w:r>
      <w:r w:rsidR="004E3CA4">
        <w:t>appear rare.</w:t>
      </w:r>
    </w:p>
    <w:p w14:paraId="75135C63" w14:textId="71D3476A" w:rsidR="00DF6900" w:rsidRDefault="00DF6900" w:rsidP="00990CB8">
      <w:pPr>
        <w:pStyle w:val="Bodyafterbullets"/>
      </w:pPr>
      <w:r>
        <w:t>The NEPT Review Report made three key recommendations</w:t>
      </w:r>
      <w:r w:rsidR="002645C8">
        <w:t xml:space="preserve"> relating to</w:t>
      </w:r>
      <w:r>
        <w:t>:</w:t>
      </w:r>
    </w:p>
    <w:p w14:paraId="6C0ED5D7" w14:textId="3E34F360" w:rsidR="00DF6900" w:rsidRDefault="007753A4" w:rsidP="00E65EEA">
      <w:pPr>
        <w:pStyle w:val="Bullet1"/>
      </w:pPr>
      <w:r>
        <w:t>t</w:t>
      </w:r>
      <w:r w:rsidR="002645C8">
        <w:t>he s</w:t>
      </w:r>
      <w:r w:rsidR="00DF6900">
        <w:t>eparation of planned and unplanned NEPT</w:t>
      </w:r>
    </w:p>
    <w:p w14:paraId="1B926991" w14:textId="1EAC884E" w:rsidR="00DF6900" w:rsidRDefault="007753A4" w:rsidP="00E65EEA">
      <w:pPr>
        <w:pStyle w:val="Bullet1"/>
      </w:pPr>
      <w:r>
        <w:t>e</w:t>
      </w:r>
      <w:r w:rsidR="00A36974">
        <w:t>stablishing a c</w:t>
      </w:r>
      <w:r w:rsidR="00DF6900">
        <w:t>entralised booking</w:t>
      </w:r>
      <w:r w:rsidR="00A36974">
        <w:t xml:space="preserve"> and dispatch</w:t>
      </w:r>
      <w:r>
        <w:t xml:space="preserve"> system</w:t>
      </w:r>
    </w:p>
    <w:p w14:paraId="5884506A" w14:textId="779DF23F" w:rsidR="007753A4" w:rsidRDefault="007753A4" w:rsidP="00E65EEA">
      <w:pPr>
        <w:pStyle w:val="Bullet1"/>
      </w:pPr>
      <w:r>
        <w:t>improved system planning and governance</w:t>
      </w:r>
      <w:r w:rsidR="00C447BF">
        <w:t xml:space="preserve"> through better integration of NEPT into</w:t>
      </w:r>
      <w:r w:rsidR="006E1E52">
        <w:t xml:space="preserve"> the broader health system</w:t>
      </w:r>
      <w:r>
        <w:t>.</w:t>
      </w:r>
    </w:p>
    <w:p w14:paraId="2D531150" w14:textId="1244D6A9" w:rsidR="003B0428" w:rsidRDefault="76804DC0" w:rsidP="00990CB8">
      <w:pPr>
        <w:pStyle w:val="Bodyafterbullets"/>
      </w:pPr>
      <w:r w:rsidRPr="5FF7FE18">
        <w:t xml:space="preserve">The </w:t>
      </w:r>
      <w:r w:rsidR="008D3E79">
        <w:t>G</w:t>
      </w:r>
      <w:r w:rsidR="006E3208">
        <w:t xml:space="preserve">overnment’s </w:t>
      </w:r>
      <w:r w:rsidRPr="5FF7FE18">
        <w:t xml:space="preserve">response to the NEPT Review Report </w:t>
      </w:r>
      <w:r w:rsidR="00D227AC">
        <w:t>represents</w:t>
      </w:r>
      <w:r w:rsidR="00D227AC" w:rsidRPr="5FF7FE18">
        <w:t xml:space="preserve"> </w:t>
      </w:r>
      <w:r w:rsidRPr="5FF7FE18">
        <w:t xml:space="preserve">a </w:t>
      </w:r>
      <w:r w:rsidR="00436CFB">
        <w:t>commitment</w:t>
      </w:r>
      <w:r w:rsidR="00F23CB9">
        <w:t xml:space="preserve"> </w:t>
      </w:r>
      <w:r w:rsidR="00EB7004">
        <w:t xml:space="preserve">that </w:t>
      </w:r>
      <w:r w:rsidR="00F23CB9">
        <w:t xml:space="preserve">largely </w:t>
      </w:r>
      <w:r w:rsidR="000119B7">
        <w:t>addresses</w:t>
      </w:r>
      <w:r w:rsidR="009B2A30">
        <w:t xml:space="preserve"> </w:t>
      </w:r>
      <w:r w:rsidR="000119B7">
        <w:t>matters</w:t>
      </w:r>
      <w:r w:rsidR="00F23CB9">
        <w:t xml:space="preserve"> outside</w:t>
      </w:r>
      <w:r w:rsidRPr="5FF7FE18">
        <w:t xml:space="preserve"> the scope of the sunset review</w:t>
      </w:r>
      <w:r w:rsidR="005D6B7B">
        <w:t xml:space="preserve"> and is separate from any </w:t>
      </w:r>
      <w:r w:rsidR="00FB7BCF">
        <w:t>regulatory reforms that might arise from the sunset review</w:t>
      </w:r>
      <w:r w:rsidRPr="5FF7FE18">
        <w:t xml:space="preserve">. However, </w:t>
      </w:r>
      <w:r w:rsidR="006E3A8D">
        <w:t xml:space="preserve">the </w:t>
      </w:r>
      <w:r w:rsidR="008834AE">
        <w:t>d</w:t>
      </w:r>
      <w:r w:rsidR="006E3A8D">
        <w:t>epartment is working to ensure that the</w:t>
      </w:r>
      <w:r w:rsidR="001623B5">
        <w:t xml:space="preserve"> 2026</w:t>
      </w:r>
      <w:r w:rsidRPr="5FF7FE18">
        <w:t xml:space="preserve"> Regulations align with actions arising from the response to the NEPT Review Report</w:t>
      </w:r>
      <w:r w:rsidR="00EA22B7">
        <w:t>, where appropriate</w:t>
      </w:r>
      <w:r w:rsidRPr="5FF7FE18">
        <w:t>.</w:t>
      </w:r>
      <w:r w:rsidR="009D62E2">
        <w:t xml:space="preserve"> </w:t>
      </w:r>
    </w:p>
    <w:p w14:paraId="518CE438" w14:textId="77777777" w:rsidR="001077DC" w:rsidRPr="00481657" w:rsidRDefault="009D62E2" w:rsidP="00481657">
      <w:pPr>
        <w:pStyle w:val="Body"/>
      </w:pPr>
      <w:r w:rsidRPr="00481657">
        <w:t>The system changes</w:t>
      </w:r>
      <w:r w:rsidR="007A632E" w:rsidRPr="00481657">
        <w:t xml:space="preserve"> being implemented </w:t>
      </w:r>
      <w:r w:rsidR="00C9097A" w:rsidRPr="00481657">
        <w:t>as part of the response include</w:t>
      </w:r>
      <w:r w:rsidR="001D50CA" w:rsidRPr="00481657">
        <w:t>:</w:t>
      </w:r>
      <w:r w:rsidR="00C9097A" w:rsidRPr="00481657">
        <w:t xml:space="preserve"> </w:t>
      </w:r>
    </w:p>
    <w:p w14:paraId="2E1F199A" w14:textId="2BBD4B7A" w:rsidR="007C5C73" w:rsidRPr="00FE499E" w:rsidRDefault="00C9097A" w:rsidP="00B33DD4">
      <w:pPr>
        <w:pStyle w:val="Bullet1"/>
      </w:pPr>
      <w:r w:rsidRPr="00FE499E">
        <w:t xml:space="preserve">development of a </w:t>
      </w:r>
      <w:r w:rsidR="007C5C73" w:rsidRPr="00FE499E">
        <w:t xml:space="preserve">dedicated NEPT </w:t>
      </w:r>
      <w:r w:rsidRPr="00FE499E">
        <w:t>workforce plan</w:t>
      </w:r>
    </w:p>
    <w:p w14:paraId="152FD719" w14:textId="2AC74FCE" w:rsidR="007C5C73" w:rsidRPr="00FE499E" w:rsidRDefault="00DF3945" w:rsidP="00FE499E">
      <w:pPr>
        <w:pStyle w:val="Bullet1"/>
      </w:pPr>
      <w:r w:rsidRPr="00FE499E">
        <w:t>introduc</w:t>
      </w:r>
      <w:r w:rsidR="00E13EF6" w:rsidRPr="00FE499E">
        <w:t>tion</w:t>
      </w:r>
      <w:r w:rsidR="00AA49AA" w:rsidRPr="00FE499E">
        <w:t xml:space="preserve"> of</w:t>
      </w:r>
      <w:r w:rsidRPr="00FE499E">
        <w:t xml:space="preserve"> per</w:t>
      </w:r>
      <w:r w:rsidR="00031A93" w:rsidRPr="00FE499E">
        <w:t>manent employment targets</w:t>
      </w:r>
      <w:r w:rsidR="00AA49AA" w:rsidRPr="00FE499E">
        <w:t xml:space="preserve"> for private providers</w:t>
      </w:r>
    </w:p>
    <w:p w14:paraId="221C8AC8" w14:textId="3B4D6070" w:rsidR="00ED015A" w:rsidRPr="00FE499E" w:rsidRDefault="00C9097A" w:rsidP="00FE499E">
      <w:pPr>
        <w:pStyle w:val="Bullet1"/>
      </w:pPr>
      <w:r w:rsidRPr="00FE499E">
        <w:t>centralisation of procurement</w:t>
      </w:r>
      <w:r w:rsidR="008C705A" w:rsidRPr="00FE499E">
        <w:t xml:space="preserve"> </w:t>
      </w:r>
      <w:r w:rsidR="007E0B36" w:rsidRPr="00FE499E">
        <w:t xml:space="preserve">to </w:t>
      </w:r>
      <w:r w:rsidR="00ED015A" w:rsidRPr="00FE499E">
        <w:t>reduce duplication of effort and</w:t>
      </w:r>
      <w:r w:rsidR="007E0B36" w:rsidRPr="00FE499E">
        <w:t xml:space="preserve"> separate</w:t>
      </w:r>
      <w:r w:rsidR="008C705A" w:rsidRPr="00FE499E">
        <w:t xml:space="preserve"> planned transports</w:t>
      </w:r>
      <w:r w:rsidR="00016B3C" w:rsidRPr="00FE499E">
        <w:t xml:space="preserve"> from unplanned work at Ambulance Victoria</w:t>
      </w:r>
    </w:p>
    <w:p w14:paraId="09B446B6" w14:textId="062ED76A" w:rsidR="00E65EEA" w:rsidRDefault="001D5B24" w:rsidP="00FE499E">
      <w:pPr>
        <w:pStyle w:val="Bullet1"/>
      </w:pPr>
      <w:r w:rsidRPr="00FE499E">
        <w:t>i</w:t>
      </w:r>
      <w:r w:rsidR="001C1C09" w:rsidRPr="00FE499E">
        <w:t>mproved</w:t>
      </w:r>
      <w:r w:rsidR="007B52C9" w:rsidRPr="00FE499E">
        <w:t xml:space="preserve"> quality and safety, governance and oversight</w:t>
      </w:r>
      <w:r w:rsidR="00DD0CFF" w:rsidRPr="00FE499E">
        <w:t xml:space="preserve"> </w:t>
      </w:r>
      <w:r w:rsidR="00DF5821" w:rsidRPr="00FE499E">
        <w:t>through</w:t>
      </w:r>
      <w:r w:rsidR="00DD0CFF" w:rsidRPr="00FE499E" w:rsidDel="001C1C09">
        <w:t xml:space="preserve"> </w:t>
      </w:r>
      <w:r w:rsidR="00A7408B" w:rsidRPr="00FE499E">
        <w:t xml:space="preserve">alignment of NEPT </w:t>
      </w:r>
      <w:r w:rsidR="003F612B" w:rsidRPr="00FE499E">
        <w:t>with</w:t>
      </w:r>
      <w:r w:rsidR="00A7408B" w:rsidRPr="00FE499E">
        <w:t xml:space="preserve"> broader </w:t>
      </w:r>
      <w:r w:rsidR="00236A20" w:rsidRPr="00FE499E">
        <w:t>health system guidelines and frameworks</w:t>
      </w:r>
      <w:r w:rsidR="00BB59E6" w:rsidRPr="00FE499E">
        <w:t>.</w:t>
      </w:r>
      <w:r w:rsidR="007A632E" w:rsidRPr="00FE499E">
        <w:t xml:space="preserve"> </w:t>
      </w:r>
    </w:p>
    <w:p w14:paraId="492468C1" w14:textId="4EB155B2" w:rsidR="004908BA" w:rsidRPr="00FE499E" w:rsidRDefault="00986A72" w:rsidP="00990CB8">
      <w:pPr>
        <w:pStyle w:val="Bodyafterbullets"/>
      </w:pPr>
      <w:r>
        <w:rPr>
          <w:szCs w:val="21"/>
        </w:rPr>
        <w:t xml:space="preserve">Further </w:t>
      </w:r>
      <w:r w:rsidR="00B42EAF">
        <w:t>information on</w:t>
      </w:r>
      <w:r w:rsidR="00FB0E1D">
        <w:t xml:space="preserve"> the </w:t>
      </w:r>
      <w:r w:rsidR="246FDB3B" w:rsidRPr="643775E4">
        <w:t>NEPT Review Report</w:t>
      </w:r>
      <w:r w:rsidR="00B42EAF">
        <w:t xml:space="preserve"> and government response can be found on the </w:t>
      </w:r>
      <w:hyperlink r:id="rId19" w:history="1">
        <w:r w:rsidR="00B42EAF" w:rsidRPr="00637426">
          <w:rPr>
            <w:rStyle w:val="Hyperlink"/>
            <w:rFonts w:eastAsia="Times New Roman"/>
          </w:rPr>
          <w:t>department’s website</w:t>
        </w:r>
      </w:hyperlink>
      <w:r w:rsidR="00B42EAF">
        <w:t xml:space="preserve"> </w:t>
      </w:r>
      <w:r w:rsidR="00637426">
        <w:t>&lt;</w:t>
      </w:r>
      <w:r w:rsidR="00637426" w:rsidRPr="00637426">
        <w:t>https://www.health.vic.gov.au/patient-care/non-emergency-patient-transport-review</w:t>
      </w:r>
      <w:r w:rsidR="00637426">
        <w:t>&gt;</w:t>
      </w:r>
      <w:r w:rsidR="00AE220F" w:rsidRPr="643775E4">
        <w:t xml:space="preserve">. </w:t>
      </w:r>
    </w:p>
    <w:p w14:paraId="0F6734A1" w14:textId="43BE25DD" w:rsidR="009C6312" w:rsidRPr="00B7494D" w:rsidRDefault="00FA5C5B" w:rsidP="000E4C54">
      <w:pPr>
        <w:pStyle w:val="Heading2"/>
        <w:rPr>
          <w:rFonts w:eastAsia="MS Mincho"/>
          <w:b w:val="0"/>
          <w:szCs w:val="22"/>
        </w:rPr>
      </w:pPr>
      <w:bookmarkStart w:id="9" w:name="_Toc195014257"/>
      <w:bookmarkStart w:id="10" w:name="_Toc215847504"/>
      <w:r>
        <w:rPr>
          <w:rFonts w:eastAsia="MS Mincho"/>
        </w:rPr>
        <w:t>Making the</w:t>
      </w:r>
      <w:r w:rsidR="000E4C54">
        <w:rPr>
          <w:rFonts w:eastAsia="MS Mincho"/>
        </w:rPr>
        <w:t xml:space="preserve"> </w:t>
      </w:r>
      <w:r w:rsidR="00D069FF" w:rsidRPr="00D069FF">
        <w:rPr>
          <w:rFonts w:eastAsia="MS Mincho"/>
        </w:rPr>
        <w:t xml:space="preserve">Non-Emergency Patient Transport </w:t>
      </w:r>
      <w:r w:rsidR="00D069FF">
        <w:rPr>
          <w:rFonts w:eastAsia="MS Mincho"/>
        </w:rPr>
        <w:t xml:space="preserve">Regulations </w:t>
      </w:r>
      <w:r w:rsidR="000E4C54">
        <w:rPr>
          <w:rFonts w:eastAsia="MS Mincho"/>
        </w:rPr>
        <w:t>202</w:t>
      </w:r>
      <w:r w:rsidR="00D069FF">
        <w:rPr>
          <w:rFonts w:eastAsia="MS Mincho"/>
        </w:rPr>
        <w:t>6</w:t>
      </w:r>
      <w:bookmarkEnd w:id="9"/>
      <w:bookmarkEnd w:id="10"/>
    </w:p>
    <w:p w14:paraId="055AC0F6" w14:textId="75748333" w:rsidR="009C6312" w:rsidRDefault="000E4C54" w:rsidP="000E4C54">
      <w:pPr>
        <w:pStyle w:val="Body"/>
      </w:pPr>
      <w:r w:rsidRPr="00AC559C">
        <w:t xml:space="preserve">Under section </w:t>
      </w:r>
      <w:r w:rsidR="00582115">
        <w:t>64</w:t>
      </w:r>
      <w:r w:rsidRPr="00AC559C">
        <w:t xml:space="preserve"> of the Act, the Governor in Council may make regulations related to </w:t>
      </w:r>
      <w:r w:rsidR="00582115">
        <w:t>non-emergency patient transport</w:t>
      </w:r>
      <w:r w:rsidR="003F3251">
        <w:t xml:space="preserve"> services</w:t>
      </w:r>
      <w:r>
        <w:t xml:space="preserve"> on the </w:t>
      </w:r>
      <w:r w:rsidR="003F3251">
        <w:t>r</w:t>
      </w:r>
      <w:r>
        <w:t>ecommendation of the Minister for Health</w:t>
      </w:r>
      <w:r w:rsidRPr="00AC559C">
        <w:t xml:space="preserve">. The making of regulations must comply with the requirements of the </w:t>
      </w:r>
      <w:r w:rsidRPr="00CC207E">
        <w:rPr>
          <w:i/>
        </w:rPr>
        <w:t>Subordinate Legislation Act 1994</w:t>
      </w:r>
      <w:r>
        <w:t>, includ</w:t>
      </w:r>
      <w:r w:rsidR="004806D5">
        <w:t>ing mandatory</w:t>
      </w:r>
      <w:r>
        <w:t xml:space="preserve"> consultation and impact assessment</w:t>
      </w:r>
      <w:r w:rsidRPr="00AC559C">
        <w:t xml:space="preserve">. </w:t>
      </w:r>
      <w:r w:rsidR="00D6558F">
        <w:t xml:space="preserve">Where a RIS </w:t>
      </w:r>
      <w:r w:rsidR="002344B4">
        <w:t>is required</w:t>
      </w:r>
      <w:r w:rsidR="00C762D6">
        <w:t xml:space="preserve">, </w:t>
      </w:r>
      <w:r w:rsidR="00BD688C">
        <w:t xml:space="preserve">an exposure draft of the </w:t>
      </w:r>
      <w:r w:rsidR="00BD688C">
        <w:lastRenderedPageBreak/>
        <w:t>proposed Regulations</w:t>
      </w:r>
      <w:r w:rsidR="008632EE">
        <w:t xml:space="preserve"> must also be made publicly available</w:t>
      </w:r>
      <w:r w:rsidR="001F5F1B">
        <w:t>.</w:t>
      </w:r>
      <w:r w:rsidR="00BD688C">
        <w:t xml:space="preserve"> </w:t>
      </w:r>
      <w:r w:rsidR="008729D5">
        <w:t xml:space="preserve">The proposed </w:t>
      </w:r>
      <w:r w:rsidR="003113E5">
        <w:t xml:space="preserve">NEPT Regulations </w:t>
      </w:r>
      <w:r w:rsidR="00C74C53">
        <w:t xml:space="preserve">accompany </w:t>
      </w:r>
      <w:r w:rsidR="003F5EDD">
        <w:t xml:space="preserve">this </w:t>
      </w:r>
      <w:r w:rsidR="00C74C53">
        <w:t>RIS</w:t>
      </w:r>
      <w:r w:rsidR="003F5EDD">
        <w:t xml:space="preserve">. </w:t>
      </w:r>
    </w:p>
    <w:p w14:paraId="7D306A59" w14:textId="77777777" w:rsidR="00E124E1" w:rsidRDefault="00E124E1" w:rsidP="00E124E1">
      <w:pPr>
        <w:pStyle w:val="Heading3"/>
      </w:pPr>
      <w:r>
        <w:t xml:space="preserve">Stakeholder consultation </w:t>
      </w:r>
    </w:p>
    <w:p w14:paraId="456CCB7F" w14:textId="42A796D1" w:rsidR="00E124E1" w:rsidRDefault="00E124E1" w:rsidP="00990CB8">
      <w:pPr>
        <w:pStyle w:val="Body"/>
      </w:pPr>
      <w:r w:rsidRPr="4E0C391E">
        <w:t xml:space="preserve">The </w:t>
      </w:r>
      <w:r w:rsidR="00C9646D">
        <w:t>d</w:t>
      </w:r>
      <w:r w:rsidRPr="4E0C391E">
        <w:t xml:space="preserve">epartment </w:t>
      </w:r>
      <w:r w:rsidRPr="1F145334">
        <w:t>engaged</w:t>
      </w:r>
      <w:r w:rsidRPr="4E0C391E">
        <w:t xml:space="preserve"> with sector stakeholders in July-September 2025 to discuss the sunset review process and canvass key areas of concern with the Regulations.</w:t>
      </w:r>
      <w:r w:rsidRPr="26A36A6C">
        <w:t xml:space="preserve"> The </w:t>
      </w:r>
      <w:r w:rsidR="00C9646D">
        <w:t>d</w:t>
      </w:r>
      <w:r w:rsidRPr="26A36A6C">
        <w:t>epartment consulted widely to identify the key challenges and constraints affecting the sector, noting the scope of the sunset review is confined to the Regulations.</w:t>
      </w:r>
    </w:p>
    <w:p w14:paraId="79C7A804" w14:textId="00DF41E8" w:rsidR="00E124E1" w:rsidRDefault="00E124E1" w:rsidP="00990CB8">
      <w:pPr>
        <w:pStyle w:val="Body"/>
      </w:pPr>
      <w:r w:rsidRPr="1AA93605">
        <w:t>Licensed NEPT providers were individually invited to contribute feedback on their experiences with the current Regulations</w:t>
      </w:r>
      <w:r w:rsidRPr="37DD3B34">
        <w:t>.</w:t>
      </w:r>
      <w:r w:rsidRPr="1AA93605">
        <w:t xml:space="preserve"> The </w:t>
      </w:r>
      <w:r w:rsidR="00C9646D">
        <w:t>d</w:t>
      </w:r>
      <w:r w:rsidRPr="1AA93605">
        <w:t>epartment engaged directly with the providers through meetings held in July and August, followed by a targeted survey in September to gather input on specific regulatory issues.</w:t>
      </w:r>
      <w:r w:rsidRPr="4B9D77F9">
        <w:t xml:space="preserve"> </w:t>
      </w:r>
      <w:r>
        <w:t xml:space="preserve">Six </w:t>
      </w:r>
      <w:r w:rsidRPr="4B9D77F9">
        <w:t xml:space="preserve">responses </w:t>
      </w:r>
      <w:r w:rsidR="001732B5" w:rsidRPr="3DBC1276">
        <w:t xml:space="preserve">to the </w:t>
      </w:r>
      <w:r w:rsidR="001732B5" w:rsidRPr="1096E28E">
        <w:t>survey</w:t>
      </w:r>
      <w:r w:rsidRPr="4B9D77F9">
        <w:t xml:space="preserve"> were received</w:t>
      </w:r>
      <w:r w:rsidRPr="1096E28E">
        <w:t>.</w:t>
      </w:r>
    </w:p>
    <w:p w14:paraId="7B859C55" w14:textId="77777777" w:rsidR="00E124E1" w:rsidRDefault="00E124E1" w:rsidP="00990CB8">
      <w:pPr>
        <w:pStyle w:val="Body"/>
        <w:rPr>
          <w:szCs w:val="21"/>
        </w:rPr>
      </w:pPr>
      <w:r w:rsidRPr="23EB74E7">
        <w:t>In addition to NEPT providers, a broader range of stakeholders were consulted to ensure a comprehensive understanding of sector perspectives. This included peak bodies, public agencies, and organisations with direct operational roles in NEPT service delivery, such as Ambulance Victoria and Triple Zero Victoria.</w:t>
      </w:r>
    </w:p>
    <w:p w14:paraId="4FCB64E2" w14:textId="51A0D59E" w:rsidR="00E124E1" w:rsidRDefault="00E124E1" w:rsidP="00990CB8">
      <w:pPr>
        <w:pStyle w:val="Body"/>
      </w:pPr>
      <w:r w:rsidRPr="3D6308AB">
        <w:t xml:space="preserve">Feedback received through this process has informed the </w:t>
      </w:r>
      <w:r w:rsidR="00A76164">
        <w:t>development of the RIS</w:t>
      </w:r>
      <w:r w:rsidR="00A30E83">
        <w:t xml:space="preserve"> and the proposed regulations</w:t>
      </w:r>
      <w:r w:rsidRPr="3D6308AB">
        <w:t>. Insights and data from stakeholders are reflected throughout the following</w:t>
      </w:r>
      <w:r w:rsidRPr="357BD52A">
        <w:t xml:space="preserve"> chapters</w:t>
      </w:r>
      <w:r w:rsidRPr="3D6308AB">
        <w:t xml:space="preserve">, providing context and evidence to support the </w:t>
      </w:r>
      <w:r w:rsidRPr="0A2E75BA">
        <w:t xml:space="preserve">policy options under </w:t>
      </w:r>
      <w:r w:rsidRPr="1C8DB6E1">
        <w:t>consideration.</w:t>
      </w:r>
      <w:r w:rsidRPr="075F8279">
        <w:t xml:space="preserve"> </w:t>
      </w:r>
      <w:r w:rsidRPr="34011CCD">
        <w:t xml:space="preserve">Consultation will continue to inform the </w:t>
      </w:r>
      <w:r w:rsidRPr="64AF2ADE">
        <w:t xml:space="preserve">process of </w:t>
      </w:r>
      <w:r w:rsidRPr="075F8279">
        <w:t xml:space="preserve">remaking the </w:t>
      </w:r>
      <w:r w:rsidR="00B5646F">
        <w:t>R</w:t>
      </w:r>
      <w:r w:rsidR="00B5646F" w:rsidRPr="075F8279">
        <w:t>egulations</w:t>
      </w:r>
      <w:r w:rsidRPr="075F8279">
        <w:t xml:space="preserve">. </w:t>
      </w:r>
    </w:p>
    <w:p w14:paraId="48EA239E" w14:textId="022A1B0E" w:rsidR="00E124E1" w:rsidRDefault="00E124E1" w:rsidP="00E124E1">
      <w:pPr>
        <w:pStyle w:val="Heading3"/>
      </w:pPr>
      <w:r>
        <w:t xml:space="preserve">Responding to this </w:t>
      </w:r>
      <w:r w:rsidR="006665B7">
        <w:t>RIS</w:t>
      </w:r>
      <w:r>
        <w:t xml:space="preserve"> </w:t>
      </w:r>
    </w:p>
    <w:p w14:paraId="678FC4A8" w14:textId="711F636B" w:rsidR="0029248F" w:rsidRDefault="0029248F" w:rsidP="0029248F">
      <w:pPr>
        <w:pStyle w:val="Body"/>
      </w:pPr>
      <w:r>
        <w:t xml:space="preserve">Written submissions are invited that address the reforms detailed in this RIS and the proposed Regulations. </w:t>
      </w:r>
      <w:r w:rsidR="00480895">
        <w:t>You may wish to provide fur</w:t>
      </w:r>
      <w:r w:rsidR="00207D26">
        <w:t>ther information about the potential impact of the proposed changes, or feedback to in</w:t>
      </w:r>
      <w:r w:rsidR="00207D26" w:rsidRPr="00FB0C73">
        <w:t>form implementation.</w:t>
      </w:r>
      <w:r w:rsidRPr="00FB0C73">
        <w:t xml:space="preserve"> Your submission does not need to be limited to the questions raised in the response template</w:t>
      </w:r>
      <w:r w:rsidR="00FB0C73" w:rsidRPr="00FB0C73">
        <w:t>, which is</w:t>
      </w:r>
      <w:r w:rsidRPr="00FB0C73">
        <w:t xml:space="preserve"> published at </w:t>
      </w:r>
      <w:hyperlink r:id="rId20">
        <w:r w:rsidR="261025BE" w:rsidRPr="689D1F9F">
          <w:rPr>
            <w:rStyle w:val="Hyperlink"/>
          </w:rPr>
          <w:t>NEPT legislation and clinical practice protocols</w:t>
        </w:r>
      </w:hyperlink>
      <w:r w:rsidR="7AC89C45">
        <w:t xml:space="preserve"> &lt;https://www.health.vic.gov.au/patient-care/nept-legislation-and-clinical-practice-protocols&gt;</w:t>
      </w:r>
      <w:r w:rsidR="261025BE">
        <w:t xml:space="preserve">. </w:t>
      </w:r>
      <w:r w:rsidR="698FE5CC">
        <w:t>You can respond to the RIS and proposed Regulations by emailing your feedback to:</w:t>
      </w:r>
      <w:r w:rsidR="261025BE">
        <w:t xml:space="preserve"> </w:t>
      </w:r>
      <w:hyperlink r:id="rId21">
        <w:r w:rsidR="261025BE" w:rsidRPr="689D1F9F">
          <w:rPr>
            <w:rStyle w:val="Hyperlink"/>
          </w:rPr>
          <w:t>Legislation and Regulation Reform</w:t>
        </w:r>
      </w:hyperlink>
      <w:r w:rsidR="698FE5CC">
        <w:t xml:space="preserve"> &lt;legandregreform@health.vic.gov.au&gt;</w:t>
      </w:r>
      <w:r w:rsidR="00803782">
        <w:t>.</w:t>
      </w:r>
    </w:p>
    <w:p w14:paraId="117846B6" w14:textId="75583287" w:rsidR="0029248F" w:rsidRDefault="0029248F" w:rsidP="00990CB8">
      <w:pPr>
        <w:pStyle w:val="Body"/>
      </w:pPr>
      <w:r>
        <w:t xml:space="preserve">The closing date for submissions is </w:t>
      </w:r>
      <w:r w:rsidR="0022779E" w:rsidRPr="0070171F">
        <w:t>1</w:t>
      </w:r>
      <w:r w:rsidR="00F228AE" w:rsidRPr="0070171F">
        <w:t xml:space="preserve">8 February </w:t>
      </w:r>
      <w:r w:rsidRPr="0070171F">
        <w:t>202</w:t>
      </w:r>
      <w:r w:rsidR="006D2460" w:rsidRPr="0070171F">
        <w:t>6</w:t>
      </w:r>
      <w:r w:rsidRPr="0070171F">
        <w:t>.</w:t>
      </w:r>
    </w:p>
    <w:p w14:paraId="6FA964F2" w14:textId="2C90F7F6" w:rsidR="00406755" w:rsidRPr="00406755" w:rsidRDefault="00406755" w:rsidP="00406755">
      <w:pPr>
        <w:pStyle w:val="Body"/>
        <w:rPr>
          <w:rFonts w:eastAsia="MS Mincho"/>
        </w:rPr>
      </w:pPr>
      <w:r>
        <w:t xml:space="preserve">The </w:t>
      </w:r>
      <w:r w:rsidR="008834AE">
        <w:t>d</w:t>
      </w:r>
      <w:r>
        <w:t xml:space="preserve">epartment will consider all submissions received in response to this </w:t>
      </w:r>
      <w:r w:rsidR="006011D1">
        <w:t>RIS</w:t>
      </w:r>
      <w:r w:rsidR="00A366A5">
        <w:t>,</w:t>
      </w:r>
      <w:r>
        <w:t xml:space="preserve"> in preparing advice to the Minister for Health about the final form of the </w:t>
      </w:r>
      <w:r w:rsidRPr="15134B7A">
        <w:rPr>
          <w:rFonts w:eastAsia="MS Mincho"/>
        </w:rPr>
        <w:t>Non-Emergency Patient Transport</w:t>
      </w:r>
      <w:r w:rsidRPr="15134B7A">
        <w:t xml:space="preserve"> Regulations </w:t>
      </w:r>
      <w:r w:rsidRPr="15134B7A">
        <w:rPr>
          <w:rFonts w:eastAsia="MS Mincho"/>
        </w:rPr>
        <w:t>2026</w:t>
      </w:r>
      <w:r>
        <w:t xml:space="preserve">. </w:t>
      </w:r>
      <w:r w:rsidR="00A366A5">
        <w:t>When</w:t>
      </w:r>
      <w:r>
        <w:t xml:space="preserve"> those Regulations </w:t>
      </w:r>
      <w:r w:rsidR="00A366A5">
        <w:t xml:space="preserve">are </w:t>
      </w:r>
      <w:r>
        <w:t xml:space="preserve">made in April 2026, a </w:t>
      </w:r>
      <w:r w:rsidR="00BB0083">
        <w:t>S</w:t>
      </w:r>
      <w:r>
        <w:t xml:space="preserve">tatement </w:t>
      </w:r>
      <w:r w:rsidR="00BB0083">
        <w:t>of Reasons</w:t>
      </w:r>
      <w:r>
        <w:t xml:space="preserve"> will be published </w:t>
      </w:r>
      <w:r w:rsidR="00BB0083">
        <w:t xml:space="preserve">outlining how </w:t>
      </w:r>
      <w:r>
        <w:t xml:space="preserve">the feedback received in response to this </w:t>
      </w:r>
      <w:r w:rsidR="006011D1">
        <w:t>RIS</w:t>
      </w:r>
      <w:r>
        <w:t xml:space="preserve"> was considered in the process of developing the final </w:t>
      </w:r>
      <w:r w:rsidRPr="15134B7A">
        <w:rPr>
          <w:rFonts w:eastAsia="MS Mincho"/>
        </w:rPr>
        <w:t>Non-Emergency Patient Transport Regulations 2026</w:t>
      </w:r>
      <w:r w:rsidRPr="643775E4">
        <w:rPr>
          <w:rFonts w:eastAsia="MS Mincho"/>
        </w:rPr>
        <w:t>.</w:t>
      </w:r>
    </w:p>
    <w:p w14:paraId="5085701C" w14:textId="77777777" w:rsidR="005F7F19" w:rsidRDefault="005F7F19">
      <w:pPr>
        <w:spacing w:after="0" w:line="240" w:lineRule="auto"/>
        <w:rPr>
          <w:rFonts w:eastAsia="MS Mincho"/>
        </w:rPr>
      </w:pPr>
      <w:r>
        <w:rPr>
          <w:rFonts w:eastAsia="MS Mincho"/>
        </w:rPr>
        <w:br w:type="page"/>
      </w:r>
    </w:p>
    <w:p w14:paraId="77F5D247" w14:textId="77777777" w:rsidR="00406755" w:rsidRPr="00406755" w:rsidRDefault="00406755" w:rsidP="00406755">
      <w:pPr>
        <w:pStyle w:val="Body"/>
        <w:rPr>
          <w:rFonts w:eastAsia="MS Mincho"/>
        </w:rPr>
      </w:pPr>
    </w:p>
    <w:p w14:paraId="4959274A" w14:textId="77777777" w:rsidR="00C50ED7" w:rsidRDefault="00C50ED7" w:rsidP="00990CB8">
      <w:pPr>
        <w:pStyle w:val="Body"/>
      </w:pPr>
    </w:p>
    <w:p w14:paraId="7810B1C5" w14:textId="77777777" w:rsidR="00C50ED7" w:rsidRDefault="00C50ED7" w:rsidP="00990CB8">
      <w:pPr>
        <w:pStyle w:val="Body"/>
      </w:pPr>
    </w:p>
    <w:p w14:paraId="394ED296" w14:textId="77777777" w:rsidR="00C50ED7" w:rsidRDefault="00C50ED7" w:rsidP="00990CB8">
      <w:pPr>
        <w:pStyle w:val="Body"/>
      </w:pPr>
    </w:p>
    <w:p w14:paraId="6B523442" w14:textId="77777777" w:rsidR="00C50ED7" w:rsidRDefault="00C50ED7" w:rsidP="00990CB8">
      <w:pPr>
        <w:pStyle w:val="Body"/>
      </w:pPr>
    </w:p>
    <w:p w14:paraId="56C7960A" w14:textId="77777777" w:rsidR="00C50ED7" w:rsidRDefault="00C50ED7" w:rsidP="00990CB8">
      <w:pPr>
        <w:pStyle w:val="Body"/>
      </w:pPr>
    </w:p>
    <w:p w14:paraId="7579D9B0" w14:textId="77777777" w:rsidR="00C50ED7" w:rsidRDefault="00C50ED7" w:rsidP="00990CB8">
      <w:pPr>
        <w:pStyle w:val="Body"/>
      </w:pPr>
    </w:p>
    <w:p w14:paraId="2F62A0C2" w14:textId="77777777" w:rsidR="00C50ED7" w:rsidRDefault="00C50ED7" w:rsidP="00990CB8">
      <w:pPr>
        <w:pStyle w:val="Body"/>
      </w:pPr>
    </w:p>
    <w:p w14:paraId="169D599D" w14:textId="77777777" w:rsidR="00C50ED7" w:rsidRDefault="00C50ED7" w:rsidP="00990CB8">
      <w:pPr>
        <w:pStyle w:val="Body"/>
      </w:pPr>
    </w:p>
    <w:p w14:paraId="1F8E86B5" w14:textId="77777777" w:rsidR="00C50ED7" w:rsidRDefault="00C50ED7" w:rsidP="00990CB8">
      <w:pPr>
        <w:pStyle w:val="Body"/>
      </w:pPr>
    </w:p>
    <w:p w14:paraId="461E86F8" w14:textId="77777777" w:rsidR="00C50ED7" w:rsidRDefault="00C50ED7" w:rsidP="00990CB8">
      <w:pPr>
        <w:pStyle w:val="Body"/>
      </w:pPr>
    </w:p>
    <w:p w14:paraId="18898684" w14:textId="77777777" w:rsidR="00C50ED7" w:rsidRDefault="00C50ED7" w:rsidP="00990CB8">
      <w:pPr>
        <w:pStyle w:val="Body"/>
      </w:pPr>
    </w:p>
    <w:p w14:paraId="321076E9" w14:textId="77777777" w:rsidR="00C50ED7" w:rsidRDefault="00C50ED7" w:rsidP="00990CB8">
      <w:pPr>
        <w:pStyle w:val="Body"/>
      </w:pPr>
    </w:p>
    <w:p w14:paraId="763752BD" w14:textId="77777777" w:rsidR="00C50ED7" w:rsidRDefault="00C50ED7" w:rsidP="00990CB8">
      <w:pPr>
        <w:pStyle w:val="Body"/>
      </w:pPr>
    </w:p>
    <w:p w14:paraId="214DF25F" w14:textId="77777777" w:rsidR="001242D7" w:rsidRDefault="001242D7" w:rsidP="00990CB8">
      <w:pPr>
        <w:pStyle w:val="Body"/>
      </w:pPr>
    </w:p>
    <w:p w14:paraId="089ED376" w14:textId="77777777" w:rsidR="001242D7" w:rsidRDefault="001242D7" w:rsidP="00990CB8">
      <w:pPr>
        <w:pStyle w:val="Body"/>
      </w:pPr>
    </w:p>
    <w:p w14:paraId="1F17F7EE" w14:textId="77777777" w:rsidR="00C50ED7" w:rsidRDefault="00C50ED7" w:rsidP="00990CB8">
      <w:pPr>
        <w:pStyle w:val="Body"/>
      </w:pPr>
    </w:p>
    <w:p w14:paraId="06A08DDE" w14:textId="03412BFB" w:rsidR="00C50ED7" w:rsidRDefault="00C50ED7" w:rsidP="00990CB8">
      <w:pPr>
        <w:pStyle w:val="Body"/>
      </w:pPr>
    </w:p>
    <w:p w14:paraId="22E37A58" w14:textId="77777777" w:rsidR="005F7F19" w:rsidRDefault="005F7F19" w:rsidP="00990CB8">
      <w:pPr>
        <w:pStyle w:val="Body"/>
      </w:pPr>
    </w:p>
    <w:p w14:paraId="2A3701CF" w14:textId="77777777" w:rsidR="005F7F19" w:rsidRDefault="005F7F19" w:rsidP="00990CB8">
      <w:pPr>
        <w:pStyle w:val="Body"/>
      </w:pPr>
    </w:p>
    <w:p w14:paraId="2F3B622B" w14:textId="7640F02E" w:rsidR="009150CA" w:rsidRDefault="00C85620" w:rsidP="00990CB8">
      <w:pPr>
        <w:pStyle w:val="Body"/>
        <w:rPr>
          <w:rFonts w:eastAsia="MS Gothic" w:cs="Arial"/>
          <w:bCs/>
          <w:color w:val="201547"/>
          <w:kern w:val="32"/>
          <w:sz w:val="44"/>
          <w:szCs w:val="44"/>
        </w:rPr>
      </w:pPr>
      <w:r>
        <w:rPr>
          <w:noProof/>
        </w:rPr>
        <mc:AlternateContent>
          <mc:Choice Requires="wps">
            <w:drawing>
              <wp:anchor distT="0" distB="0" distL="114300" distR="114300" simplePos="0" relativeHeight="251658243" behindDoc="0" locked="0" layoutInCell="1" allowOverlap="1" wp14:anchorId="4FDB0285" wp14:editId="4D1F1C2D">
                <wp:simplePos x="0" y="0"/>
                <wp:positionH relativeFrom="margin">
                  <wp:align>left</wp:align>
                </wp:positionH>
                <wp:positionV relativeFrom="paragraph">
                  <wp:posOffset>5715</wp:posOffset>
                </wp:positionV>
                <wp:extent cx="5953125" cy="3857625"/>
                <wp:effectExtent l="0" t="0" r="28575" b="28575"/>
                <wp:wrapNone/>
                <wp:docPr id="1418433062" name="Text Box 1"/>
                <wp:cNvGraphicFramePr/>
                <a:graphic xmlns:a="http://schemas.openxmlformats.org/drawingml/2006/main">
                  <a:graphicData uri="http://schemas.microsoft.com/office/word/2010/wordprocessingShape">
                    <wps:wsp>
                      <wps:cNvSpPr txBox="1"/>
                      <wps:spPr>
                        <a:xfrm>
                          <a:off x="0" y="0"/>
                          <a:ext cx="5953125" cy="3857625"/>
                        </a:xfrm>
                        <a:prstGeom prst="rect">
                          <a:avLst/>
                        </a:prstGeom>
                        <a:solidFill>
                          <a:schemeClr val="lt1"/>
                        </a:solidFill>
                        <a:ln w="6350">
                          <a:solidFill>
                            <a:prstClr val="black"/>
                          </a:solidFill>
                        </a:ln>
                      </wps:spPr>
                      <wps:txbx>
                        <w:txbxContent>
                          <w:p w14:paraId="2502BDB3" w14:textId="77777777" w:rsidR="007446B1" w:rsidRDefault="007446B1" w:rsidP="007446B1">
                            <w:pPr>
                              <w:pStyle w:val="Heading3"/>
                            </w:pPr>
                            <w:r>
                              <w:t>Privacy collection notice</w:t>
                            </w:r>
                          </w:p>
                          <w:p w14:paraId="75344CF2" w14:textId="77777777" w:rsidR="007446B1" w:rsidRDefault="007446B1" w:rsidP="007446B1">
                            <w:pPr>
                              <w:pStyle w:val="Body"/>
                            </w:pPr>
                            <w:r>
                              <w:t xml:space="preserve">The department is committed to protecting your personal information and privacy, and any information you provide is collected and handled in accordance with the </w:t>
                            </w:r>
                            <w:r w:rsidRPr="00E02FF8">
                              <w:rPr>
                                <w:i/>
                                <w:iCs/>
                              </w:rPr>
                              <w:t>Privacy and Data Protection Act 2014</w:t>
                            </w:r>
                            <w:r>
                              <w:t>.</w:t>
                            </w:r>
                          </w:p>
                          <w:p w14:paraId="7278E6B5" w14:textId="77777777" w:rsidR="007446B1" w:rsidRDefault="007446B1" w:rsidP="007446B1">
                            <w:pPr>
                              <w:pStyle w:val="Body"/>
                            </w:pPr>
                            <w:r>
                              <w:t>The information in your submission is collected by the department to administer the consultation process associated with the RIS and proposed</w:t>
                            </w:r>
                            <w:r w:rsidRPr="00DB4015">
                              <w:t xml:space="preserve"> Regulations</w:t>
                            </w:r>
                            <w:r>
                              <w:t>.</w:t>
                            </w:r>
                          </w:p>
                          <w:p w14:paraId="2337A544" w14:textId="77777777" w:rsidR="007446B1" w:rsidRDefault="007446B1" w:rsidP="007446B1">
                            <w:pPr>
                              <w:pStyle w:val="Body"/>
                            </w:pPr>
                            <w:r>
                              <w:t xml:space="preserve">You can choose to make an anonymous submission. However, you will need to provide your contact details if you would like the department to advise you of the outcome of the consultation. </w:t>
                            </w:r>
                          </w:p>
                          <w:p w14:paraId="28CBF0C1" w14:textId="77777777" w:rsidR="007446B1" w:rsidRDefault="007446B1" w:rsidP="007446B1">
                            <w:pPr>
                              <w:pStyle w:val="Body"/>
                            </w:pPr>
                            <w:r>
                              <w:t xml:space="preserve">For more information on the department’s privacy collection practices, please refer to the department’s </w:t>
                            </w:r>
                            <w:hyperlink r:id="rId22" w:history="1">
                              <w:r w:rsidRPr="001B4FE6">
                                <w:rPr>
                                  <w:rStyle w:val="Hyperlink"/>
                                </w:rPr>
                                <w:t>Privacy policy</w:t>
                              </w:r>
                            </w:hyperlink>
                            <w:r>
                              <w:t xml:space="preserve"> &lt;https://www.health.vic.gov.au/department-of-health-privacy-policy&gt;.</w:t>
                            </w:r>
                          </w:p>
                          <w:p w14:paraId="32DFE7CB" w14:textId="77777777" w:rsidR="007446B1" w:rsidRDefault="007446B1" w:rsidP="007446B1">
                            <w:pPr>
                              <w:pStyle w:val="Body"/>
                            </w:pPr>
                            <w:r>
                              <w:t xml:space="preserve">You may contact the Legislative and Regulatory Reform team supervising the consultation by emailing </w:t>
                            </w:r>
                            <w:hyperlink r:id="rId23" w:history="1">
                              <w:r w:rsidRPr="00E740B7">
                                <w:rPr>
                                  <w:rStyle w:val="Hyperlink"/>
                                </w:rPr>
                                <w:t>Legislation and Regulation Reform</w:t>
                              </w:r>
                            </w:hyperlink>
                            <w:r>
                              <w:t xml:space="preserve"> &lt;legandregreform@health.vic.gov.au&gt;.</w:t>
                            </w:r>
                          </w:p>
                          <w:p w14:paraId="52CC1BC1" w14:textId="77777777" w:rsidR="007446B1" w:rsidRDefault="007446B1" w:rsidP="007446B1">
                            <w:pPr>
                              <w:pStyle w:val="Body"/>
                            </w:pPr>
                            <w:r>
                              <w:t xml:space="preserve">You may contact the department’s Privacy team by emailing </w:t>
                            </w:r>
                            <w:hyperlink r:id="rId24" w:history="1">
                              <w:r>
                                <w:rPr>
                                  <w:rStyle w:val="Hyperlink"/>
                                  <w:rFonts w:cs="Arial"/>
                                  <w:szCs w:val="21"/>
                                </w:rPr>
                                <w:t>Privacy team</w:t>
                              </w:r>
                            </w:hyperlink>
                            <w:r>
                              <w:rPr>
                                <w:rStyle w:val="normaltextrun"/>
                                <w:rFonts w:eastAsia="MS Gothic" w:cs="Arial"/>
                                <w:szCs w:val="21"/>
                              </w:rPr>
                              <w:t xml:space="preserve"> </w:t>
                            </w:r>
                            <w:r>
                              <w:t xml:space="preserve">&lt;privacy@health.vic.gov.au&gt;. </w:t>
                            </w:r>
                          </w:p>
                          <w:p w14:paraId="7B51A01D" w14:textId="77777777" w:rsidR="007446B1" w:rsidRPr="003B3879" w:rsidRDefault="007446B1" w:rsidP="007446B1">
                            <w:pPr>
                              <w:pStyle w:val="Body"/>
                            </w:pPr>
                            <w:r>
                              <w:t xml:space="preserve">You/your organisation can request access and changes to information that you provide to the department using the email contacts above. </w:t>
                            </w:r>
                          </w:p>
                          <w:p w14:paraId="537A18CE" w14:textId="77777777" w:rsidR="001242D7" w:rsidRDefault="001242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B0285" id="_x0000_s1028" type="#_x0000_t202" style="position:absolute;margin-left:0;margin-top:.45pt;width:468.75pt;height:303.7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" fillcolor="white [3201]" strokeweight=".5pt">
                <v:textbox>
                  <w:txbxContent>
                    <w:p w14:paraId="2502BDB3" w14:textId="77777777" w:rsidR="007446B1" w:rsidRDefault="007446B1" w:rsidP="007446B1">
                      <w:pPr>
                        <w:pStyle w:val="Heading3"/>
                      </w:pPr>
                      <w:r>
                        <w:t>Privacy collection notice</w:t>
                      </w:r>
                    </w:p>
                    <w:p w14:paraId="75344CF2" w14:textId="77777777" w:rsidR="007446B1" w:rsidRDefault="007446B1" w:rsidP="007446B1">
                      <w:pPr>
                        <w:pStyle w:val="Body"/>
                      </w:pPr>
                      <w:r>
                        <w:t xml:space="preserve">The department is committed to protecting your personal information and privacy, and any information you provide is collected and handled in accordance with the </w:t>
                      </w:r>
                      <w:r w:rsidRPr="00E02FF8">
                        <w:rPr>
                          <w:i/>
                          <w:iCs/>
                        </w:rPr>
                        <w:t>Privacy and Data Protection Act 2014</w:t>
                      </w:r>
                      <w:r>
                        <w:t>.</w:t>
                      </w:r>
                    </w:p>
                    <w:p w14:paraId="7278E6B5" w14:textId="77777777" w:rsidR="007446B1" w:rsidRDefault="007446B1" w:rsidP="007446B1">
                      <w:pPr>
                        <w:pStyle w:val="Body"/>
                      </w:pPr>
                      <w:r>
                        <w:t>The information in your submission is collected by the department to administer the consultation process associated with the RIS and proposed</w:t>
                      </w:r>
                      <w:r w:rsidRPr="00DB4015">
                        <w:t xml:space="preserve"> Regulations</w:t>
                      </w:r>
                      <w:r>
                        <w:t>.</w:t>
                      </w:r>
                    </w:p>
                    <w:p w14:paraId="2337A544" w14:textId="77777777" w:rsidR="007446B1" w:rsidRDefault="007446B1" w:rsidP="007446B1">
                      <w:pPr>
                        <w:pStyle w:val="Body"/>
                      </w:pPr>
                      <w:r>
                        <w:t xml:space="preserve">You can choose to make an anonymous submission. However, you will need to provide your contact details if you would like the department to advise you of the outcome of the consultation. </w:t>
                      </w:r>
                    </w:p>
                    <w:p w14:paraId="28CBF0C1" w14:textId="77777777" w:rsidR="007446B1" w:rsidRDefault="007446B1" w:rsidP="007446B1">
                      <w:pPr>
                        <w:pStyle w:val="Body"/>
                      </w:pPr>
                      <w:r>
                        <w:t xml:space="preserve">For more information on the department’s privacy collection practices, please refer to the department’s </w:t>
                      </w:r>
                      <w:hyperlink r:id="rId25" w:history="1">
                        <w:r w:rsidRPr="001B4FE6">
                          <w:rPr>
                            <w:rStyle w:val="Hyperlink"/>
                          </w:rPr>
                          <w:t>Privacy policy</w:t>
                        </w:r>
                      </w:hyperlink>
                      <w:r>
                        <w:t xml:space="preserve"> &lt;https://www.health.vic.gov.au/department-of-health-privacy-policy&gt;.</w:t>
                      </w:r>
                    </w:p>
                    <w:p w14:paraId="32DFE7CB" w14:textId="77777777" w:rsidR="007446B1" w:rsidRDefault="007446B1" w:rsidP="007446B1">
                      <w:pPr>
                        <w:pStyle w:val="Body"/>
                      </w:pPr>
                      <w:r>
                        <w:t xml:space="preserve">You may contact the Legislative and Regulatory Reform team supervising the consultation by emailing </w:t>
                      </w:r>
                      <w:hyperlink r:id="rId26" w:history="1">
                        <w:r w:rsidRPr="00E740B7">
                          <w:rPr>
                            <w:rStyle w:val="Hyperlink"/>
                          </w:rPr>
                          <w:t>Legislation and Regulation Reform</w:t>
                        </w:r>
                      </w:hyperlink>
                      <w:r>
                        <w:t xml:space="preserve"> &lt;legandregreform@health.vic.gov.au&gt;.</w:t>
                      </w:r>
                    </w:p>
                    <w:p w14:paraId="52CC1BC1" w14:textId="77777777" w:rsidR="007446B1" w:rsidRDefault="007446B1" w:rsidP="007446B1">
                      <w:pPr>
                        <w:pStyle w:val="Body"/>
                      </w:pPr>
                      <w:r>
                        <w:t xml:space="preserve">You may contact the department’s Privacy team by emailing </w:t>
                      </w:r>
                      <w:hyperlink r:id="rId27" w:history="1">
                        <w:r>
                          <w:rPr>
                            <w:rStyle w:val="Hyperlink"/>
                            <w:rFonts w:cs="Arial"/>
                            <w:szCs w:val="21"/>
                          </w:rPr>
                          <w:t>Privacy team</w:t>
                        </w:r>
                      </w:hyperlink>
                      <w:r>
                        <w:rPr>
                          <w:rStyle w:val="normaltextrun"/>
                          <w:rFonts w:eastAsia="MS Gothic" w:cs="Arial"/>
                          <w:szCs w:val="21"/>
                        </w:rPr>
                        <w:t xml:space="preserve"> </w:t>
                      </w:r>
                      <w:r>
                        <w:t xml:space="preserve">&lt;privacy@health.vic.gov.au&gt;. </w:t>
                      </w:r>
                    </w:p>
                    <w:p w14:paraId="7B51A01D" w14:textId="77777777" w:rsidR="007446B1" w:rsidRPr="003B3879" w:rsidRDefault="007446B1" w:rsidP="007446B1">
                      <w:pPr>
                        <w:pStyle w:val="Body"/>
                      </w:pPr>
                      <w:r>
                        <w:t xml:space="preserve">You/your organisation can request access and changes to information that you provide to the department using the email contacts above. </w:t>
                      </w:r>
                    </w:p>
                    <w:p w14:paraId="537A18CE" w14:textId="77777777" w:rsidR="001242D7" w:rsidRDefault="001242D7"/>
                  </w:txbxContent>
                </v:textbox>
                <w10:wrap anchorx="margin"/>
              </v:shape>
            </w:pict>
          </mc:Fallback>
        </mc:AlternateContent>
      </w:r>
      <w:r w:rsidR="009150CA">
        <w:br w:type="page"/>
      </w:r>
    </w:p>
    <w:p w14:paraId="28E04640" w14:textId="0E3CA68F" w:rsidR="00990E61" w:rsidRDefault="00436F38" w:rsidP="00990E61">
      <w:pPr>
        <w:pStyle w:val="Heading1"/>
      </w:pPr>
      <w:bookmarkStart w:id="11" w:name="_Toc215847505"/>
      <w:r>
        <w:lastRenderedPageBreak/>
        <w:t xml:space="preserve">2. </w:t>
      </w:r>
      <w:r w:rsidR="00990E61">
        <w:t>Problem analysis</w:t>
      </w:r>
      <w:bookmarkEnd w:id="11"/>
    </w:p>
    <w:p w14:paraId="4F5D9A12" w14:textId="0492E80A" w:rsidR="00D47991" w:rsidRDefault="006F2A62" w:rsidP="00BC57F3">
      <w:pPr>
        <w:pStyle w:val="Body"/>
      </w:pPr>
      <w:r w:rsidRPr="006F2A62">
        <w:t>NEPT is an essential component of Victoria’s health system, providing safe</w:t>
      </w:r>
      <w:r w:rsidR="001C4A09">
        <w:t xml:space="preserve"> </w:t>
      </w:r>
      <w:r w:rsidR="003E1097">
        <w:t>transport</w:t>
      </w:r>
      <w:r w:rsidRPr="006F2A62">
        <w:t xml:space="preserve"> for people who require</w:t>
      </w:r>
      <w:r w:rsidR="00723AB0">
        <w:t xml:space="preserve"> </w:t>
      </w:r>
      <w:r w:rsidR="00A051E8">
        <w:t>a stretcher vehicle,</w:t>
      </w:r>
      <w:r w:rsidR="00723AB0">
        <w:t xml:space="preserve"> </w:t>
      </w:r>
      <w:r w:rsidR="00723AB0" w:rsidRPr="00723AB0">
        <w:t>specialist clinical care or monitoring</w:t>
      </w:r>
      <w:r w:rsidR="00723AB0">
        <w:t xml:space="preserve"> during </w:t>
      </w:r>
      <w:r w:rsidRPr="006F2A62">
        <w:t xml:space="preserve">transport to </w:t>
      </w:r>
      <w:r w:rsidR="00D56ABF">
        <w:t>or</w:t>
      </w:r>
      <w:r w:rsidRPr="006F2A62">
        <w:t xml:space="preserve"> from medical </w:t>
      </w:r>
      <w:r w:rsidR="00A52D6D">
        <w:t>services</w:t>
      </w:r>
      <w:r w:rsidRPr="006F2A62">
        <w:t>.</w:t>
      </w:r>
      <w:r w:rsidR="00835745">
        <w:t xml:space="preserve"> </w:t>
      </w:r>
      <w:r w:rsidR="00835745" w:rsidRPr="00835745">
        <w:t xml:space="preserve">In the 2024–25 financial year, licensed NEPT providers transported </w:t>
      </w:r>
      <w:r w:rsidR="00C96A03">
        <w:t>34</w:t>
      </w:r>
      <w:r w:rsidR="00E1237E">
        <w:t>1,000</w:t>
      </w:r>
      <w:r w:rsidR="00835745" w:rsidRPr="00835745">
        <w:t xml:space="preserve"> patients across Victoria.</w:t>
      </w:r>
      <w:r w:rsidR="00E1237E">
        <w:rPr>
          <w:rStyle w:val="FootnoteReference"/>
        </w:rPr>
        <w:footnoteReference w:id="7"/>
      </w:r>
      <w:r w:rsidR="00835745" w:rsidRPr="00835745">
        <w:t xml:space="preserve"> The NEPT </w:t>
      </w:r>
      <w:r w:rsidR="008463C7">
        <w:t>regulatory framework</w:t>
      </w:r>
      <w:r w:rsidR="00835745" w:rsidRPr="00835745">
        <w:t xml:space="preserve"> establishes minimum safety and workforce standards and preserves Ambulance Victoria’s emergency capacity by ensuring</w:t>
      </w:r>
      <w:r w:rsidR="005672D4">
        <w:t xml:space="preserve"> non-emergency</w:t>
      </w:r>
      <w:r w:rsidR="00835745" w:rsidRPr="00835745">
        <w:t xml:space="preserve"> </w:t>
      </w:r>
      <w:r w:rsidR="009B1191">
        <w:t>patient</w:t>
      </w:r>
      <w:r w:rsidR="00835745" w:rsidRPr="00835745">
        <w:t xml:space="preserve"> journeys are managed through an appropriate non-emergency pathway.</w:t>
      </w:r>
      <w:r w:rsidR="005236E2">
        <w:t xml:space="preserve"> </w:t>
      </w:r>
    </w:p>
    <w:p w14:paraId="473798D8" w14:textId="2E41D1BC" w:rsidR="00302E43" w:rsidRDefault="0084233F" w:rsidP="00BC57F3">
      <w:pPr>
        <w:pStyle w:val="Body"/>
      </w:pPr>
      <w:r w:rsidRPr="0084233F">
        <w:t>However, many NEPT patients present with clinical vulnerability or complex care needs, and deterioration in a patient’s condition can occur during transport</w:t>
      </w:r>
      <w:r w:rsidR="00295392">
        <w:t xml:space="preserve"> at all acuity levels</w:t>
      </w:r>
      <w:r w:rsidRPr="0084233F">
        <w:t>.</w:t>
      </w:r>
      <w:r w:rsidR="00834511">
        <w:t xml:space="preserve"> </w:t>
      </w:r>
      <w:r w:rsidR="00834511" w:rsidRPr="00834511">
        <w:t xml:space="preserve">This </w:t>
      </w:r>
      <w:r w:rsidR="002B4925" w:rsidRPr="002B4925">
        <w:t xml:space="preserve">risk requires regulatory standards that ensure a suitably qualified workforce can provide appropriate clinical care and monitoring, enable timely intervention, and secure safe transfer of care. If the Regulations expire, these safeguards would be </w:t>
      </w:r>
      <w:r w:rsidR="002B4925">
        <w:t>reduced</w:t>
      </w:r>
      <w:r w:rsidR="002B4925" w:rsidRPr="002B4925">
        <w:t xml:space="preserve"> compared with the status quo. Remaking the Regulations therefore presents an opportunity to strengthen patient safety by better leveraging a skilled workforce, enhancing clinical governance to align with broader health-system standards, and clarifying the scope of services</w:t>
      </w:r>
      <w:r w:rsidR="006C5C01">
        <w:t xml:space="preserve"> to which </w:t>
      </w:r>
      <w:r w:rsidR="00E43CDB">
        <w:t>regulatory requirements relate</w:t>
      </w:r>
      <w:r w:rsidR="00630E1F">
        <w:t>.</w:t>
      </w:r>
    </w:p>
    <w:p w14:paraId="0DD5925C" w14:textId="77A03552" w:rsidR="00302E43" w:rsidRDefault="000721FB" w:rsidP="00302E43">
      <w:pPr>
        <w:pStyle w:val="Heading2"/>
      </w:pPr>
      <w:bookmarkStart w:id="12" w:name="_Toc215847506"/>
      <w:r>
        <w:t>N</w:t>
      </w:r>
      <w:r w:rsidRPr="000721FB">
        <w:t>on-emergency patient transport</w:t>
      </w:r>
      <w:r>
        <w:t xml:space="preserve"> risks</w:t>
      </w:r>
      <w:r w:rsidRPr="000721FB">
        <w:t xml:space="preserve"> and need for </w:t>
      </w:r>
      <w:r w:rsidR="007D56A4">
        <w:t xml:space="preserve">regulatory </w:t>
      </w:r>
      <w:r w:rsidRPr="000721FB">
        <w:t>intervention</w:t>
      </w:r>
      <w:bookmarkEnd w:id="12"/>
    </w:p>
    <w:p w14:paraId="6F3E47A5" w14:textId="5975B656" w:rsidR="00A07E41" w:rsidRDefault="000E2B8B" w:rsidP="00CF49D6">
      <w:pPr>
        <w:pStyle w:val="Body"/>
      </w:pPr>
      <w:r w:rsidRPr="000E2B8B">
        <w:t>NEPT patients are clinically assessed as requiring monitoring, active management, clinical intervention or specialist transport. Patient cohorts span low to high acuity, and</w:t>
      </w:r>
      <w:r w:rsidR="00864842">
        <w:t xml:space="preserve"> the</w:t>
      </w:r>
      <w:r w:rsidRPr="000E2B8B">
        <w:t xml:space="preserve"> regulatory </w:t>
      </w:r>
      <w:r w:rsidR="00AD2EFF">
        <w:t>framework</w:t>
      </w:r>
      <w:r w:rsidRPr="000E2B8B">
        <w:t xml:space="preserve"> distinguish</w:t>
      </w:r>
      <w:r w:rsidR="00AD2EFF">
        <w:t>es</w:t>
      </w:r>
      <w:r w:rsidRPr="000E2B8B">
        <w:t xml:space="preserve"> vehicle equipment and staffing requirements to </w:t>
      </w:r>
      <w:r w:rsidR="00D066B6">
        <w:t>match</w:t>
      </w:r>
      <w:r w:rsidRPr="000E2B8B">
        <w:t xml:space="preserve"> patient risk profiles. </w:t>
      </w:r>
      <w:r w:rsidR="00023CF3">
        <w:t>Given these risks</w:t>
      </w:r>
      <w:r w:rsidRPr="000E2B8B">
        <w:t xml:space="preserve">, </w:t>
      </w:r>
      <w:r w:rsidR="00353FC3">
        <w:t xml:space="preserve">clinical </w:t>
      </w:r>
      <w:r w:rsidRPr="000E2B8B">
        <w:t xml:space="preserve">deterioration can and does occur while a patient is under the care of NEPT staff during transport. </w:t>
      </w:r>
      <w:r w:rsidR="00C56527">
        <w:t>Staff r</w:t>
      </w:r>
      <w:r w:rsidRPr="000E2B8B">
        <w:t>esponses vary by clinical circumstance and may include provision of treatment, transfer to the nearest emergency department or escalation to an emergency ambulance response.</w:t>
      </w:r>
      <w:r w:rsidR="00852496">
        <w:t xml:space="preserve"> </w:t>
      </w:r>
    </w:p>
    <w:p w14:paraId="1B1028CB" w14:textId="49FB809E" w:rsidR="00C64039" w:rsidRDefault="00A07E41" w:rsidP="00CF49D6">
      <w:pPr>
        <w:pStyle w:val="Body"/>
      </w:pPr>
      <w:r w:rsidRPr="00A07E41">
        <w:t xml:space="preserve">To ensure patient risks are managed appropriately, licensed NEPT providers must match crew capability </w:t>
      </w:r>
      <w:r w:rsidR="55932AEA">
        <w:t xml:space="preserve">and equipment </w:t>
      </w:r>
      <w:r w:rsidRPr="00A07E41">
        <w:t xml:space="preserve">to patient acuity. That alignment enables timely clinical decision-making and intervention during time-critical events. Staff must therefore be appropriately </w:t>
      </w:r>
      <w:r w:rsidR="00685117">
        <w:t>qualified</w:t>
      </w:r>
      <w:r w:rsidRPr="00A07E41">
        <w:t xml:space="preserve">, assessed as competent, and supported by robust clinical governance, escalation and supervision protocols. Where NEPT tasks exceed staff qualifications or vehicle and equipment standards are inadequate, patient safety </w:t>
      </w:r>
      <w:r w:rsidR="00685117">
        <w:t>can be</w:t>
      </w:r>
      <w:r w:rsidRPr="00A07E41">
        <w:t xml:space="preserve"> compromised.</w:t>
      </w:r>
    </w:p>
    <w:p w14:paraId="05EBB30C" w14:textId="7744CF48" w:rsidR="00CF4252" w:rsidRDefault="00904F5F" w:rsidP="00CF49D6">
      <w:pPr>
        <w:pStyle w:val="Body"/>
      </w:pPr>
      <w:r w:rsidRPr="00904F5F">
        <w:t xml:space="preserve">NEPT operates within a broader patient-transport system that includes </w:t>
      </w:r>
      <w:r w:rsidR="3FA44603">
        <w:t>clinic transport</w:t>
      </w:r>
      <w:r w:rsidRPr="00904F5F">
        <w:t xml:space="preserve"> services</w:t>
      </w:r>
      <w:r w:rsidR="3FA44603">
        <w:t xml:space="preserve"> (</w:t>
      </w:r>
      <w:r>
        <w:t>CTS</w:t>
      </w:r>
      <w:r w:rsidR="769B68E0">
        <w:t>)</w:t>
      </w:r>
      <w:r w:rsidR="0003648B" w:rsidRPr="0003648B">
        <w:rPr>
          <w:rStyle w:val="FootnoteReference"/>
          <w:color w:val="E36C0A" w:themeColor="accent6" w:themeShade="BF"/>
        </w:rPr>
        <w:t xml:space="preserve"> </w:t>
      </w:r>
      <w:r w:rsidR="0003648B" w:rsidRPr="00B31EF0">
        <w:rPr>
          <w:rStyle w:val="FootnoteReference"/>
        </w:rPr>
        <w:footnoteReference w:id="8"/>
      </w:r>
      <w:r w:rsidRPr="00B31EF0">
        <w:t xml:space="preserve"> </w:t>
      </w:r>
      <w:r>
        <w:t>and emergency ambulance services.</w:t>
      </w:r>
      <w:r w:rsidRPr="00904F5F">
        <w:t xml:space="preserve"> It is therefore essential to define clearly the lower and upper bounds of the NEPT scope of service. Poorly defined scope risks two distinct failure modes. At the lower end, patients who could appropriately be transported by CTS may be booked into NEPT, tying up vehicles and clinically qualified staff needed for genuinely higher-risk transfers and producing inefficient, uneven clinical resourcing (for example, dispatching two qualified </w:t>
      </w:r>
      <w:r w:rsidR="00175B0B">
        <w:t>staff</w:t>
      </w:r>
      <w:r w:rsidR="00175B0B" w:rsidRPr="00904F5F">
        <w:t xml:space="preserve"> </w:t>
      </w:r>
      <w:r w:rsidRPr="00904F5F">
        <w:t xml:space="preserve">to a job that requires only basic mobility assistance). At the upper end, NEPT crews may be assigned patients whose clinical needs exceed the staff’s training and the vehicle’s equipment, increasing the </w:t>
      </w:r>
      <w:r w:rsidRPr="00904F5F">
        <w:lastRenderedPageBreak/>
        <w:t>likelihood of in-transit deterioration, emergency escalation (including lights-and-siren responses) and adverse outcomes; this in turn threatens patient safety and staff wellbeing.</w:t>
      </w:r>
    </w:p>
    <w:p w14:paraId="1F6E6EC1" w14:textId="10EAA66F" w:rsidR="00751697" w:rsidRPr="00CF49D6" w:rsidRDefault="006423F3" w:rsidP="00CF49D6">
      <w:pPr>
        <w:pStyle w:val="Body"/>
      </w:pPr>
      <w:r w:rsidRPr="00CF49D6">
        <w:t>NEPT</w:t>
      </w:r>
      <w:r w:rsidR="00FB3019">
        <w:t xml:space="preserve"> also</w:t>
      </w:r>
      <w:r w:rsidRPr="00CF49D6">
        <w:t xml:space="preserve"> </w:t>
      </w:r>
      <w:r w:rsidR="00BE0E56" w:rsidRPr="00CF49D6">
        <w:t>operates with notable</w:t>
      </w:r>
      <w:r w:rsidR="001B424D" w:rsidRPr="00CF49D6">
        <w:t xml:space="preserve"> information </w:t>
      </w:r>
      <w:r w:rsidR="00EB668D" w:rsidRPr="00CF49D6">
        <w:t>asymmetries</w:t>
      </w:r>
      <w:r w:rsidR="007D42D8" w:rsidRPr="00CF49D6">
        <w:t>: providers know far more about their staff competence, vehicle condition</w:t>
      </w:r>
      <w:r w:rsidR="00A64E9D">
        <w:t>,</w:t>
      </w:r>
      <w:r w:rsidR="007D42D8" w:rsidRPr="00CF49D6">
        <w:t xml:space="preserve"> clinical governance </w:t>
      </w:r>
      <w:r w:rsidR="00F20819">
        <w:t xml:space="preserve">and compliance history </w:t>
      </w:r>
      <w:r w:rsidR="007D42D8" w:rsidRPr="00CF49D6">
        <w:t>than patients, referr</w:t>
      </w:r>
      <w:r w:rsidR="00F20819">
        <w:t>ing hospitals</w:t>
      </w:r>
      <w:r w:rsidR="007D42D8" w:rsidRPr="00CF49D6">
        <w:t xml:space="preserve"> or the </w:t>
      </w:r>
      <w:r w:rsidR="00F76B55">
        <w:t>Health Regulator</w:t>
      </w:r>
      <w:r w:rsidR="007D42D8" w:rsidRPr="00CF49D6">
        <w:t>.</w:t>
      </w:r>
      <w:r w:rsidR="001E1C94" w:rsidRPr="00CF49D6">
        <w:t xml:space="preserve"> </w:t>
      </w:r>
      <w:r w:rsidR="00CF4252" w:rsidRPr="00CF49D6">
        <w:t xml:space="preserve">Patients assigned to NEPT do not choose their service provider. Because access is allocated, </w:t>
      </w:r>
      <w:r w:rsidR="008C2AED" w:rsidRPr="00CF49D6">
        <w:t>the system must</w:t>
      </w:r>
      <w:r w:rsidR="00AE0C94" w:rsidRPr="00CF49D6">
        <w:t xml:space="preserve"> </w:t>
      </w:r>
      <w:r w:rsidR="00CF4252" w:rsidRPr="00CF49D6">
        <w:t xml:space="preserve">deliver a consistent, minimum standard of clinical care and operational performance across all providers to protect patient safety and preserve system confidence. </w:t>
      </w:r>
    </w:p>
    <w:p w14:paraId="24A8D4E1" w14:textId="6C9EB40E" w:rsidR="00CF4252" w:rsidRPr="00CF49D6" w:rsidRDefault="00CF4252" w:rsidP="00CF49D6">
      <w:pPr>
        <w:pStyle w:val="Body"/>
      </w:pPr>
      <w:r w:rsidRPr="00CF49D6">
        <w:t>Failure to uphold consistent service standards creates multiple risks:</w:t>
      </w:r>
    </w:p>
    <w:p w14:paraId="7E3C5640" w14:textId="7AC61368" w:rsidR="00CF4252" w:rsidRPr="00CF4252" w:rsidRDefault="00BB1672" w:rsidP="00370283">
      <w:pPr>
        <w:pStyle w:val="Bullet1"/>
      </w:pPr>
      <w:r>
        <w:t>in</w:t>
      </w:r>
      <w:r w:rsidR="00CF4252" w:rsidRPr="00CF4252">
        <w:t>equ</w:t>
      </w:r>
      <w:r>
        <w:t>itable</w:t>
      </w:r>
      <w:r w:rsidR="00CF4252" w:rsidRPr="00CF4252">
        <w:t xml:space="preserve"> clinical care depending on which provider is allocated</w:t>
      </w:r>
    </w:p>
    <w:p w14:paraId="1FB25868" w14:textId="77777777" w:rsidR="00CF4252" w:rsidRPr="00CF4252" w:rsidRDefault="00CF4252" w:rsidP="00370283">
      <w:pPr>
        <w:pStyle w:val="Bullet1"/>
      </w:pPr>
      <w:r w:rsidRPr="00CF4252">
        <w:t>erosion of patient and referrer confidence that the system will deliver safe transport</w:t>
      </w:r>
    </w:p>
    <w:p w14:paraId="3864A368" w14:textId="4F5D7B1B" w:rsidR="00CF4252" w:rsidRPr="00CF4252" w:rsidRDefault="00CF4252" w:rsidP="00370283">
      <w:pPr>
        <w:pStyle w:val="Bullet1"/>
      </w:pPr>
      <w:r w:rsidRPr="00CF4252">
        <w:t xml:space="preserve">increased demand for emergency or ad hoc interventions when inadequately resourced transfers </w:t>
      </w:r>
      <w:r w:rsidR="000E42CD">
        <w:t xml:space="preserve">experience patient </w:t>
      </w:r>
      <w:r w:rsidRPr="00CF4252">
        <w:t>deteriora</w:t>
      </w:r>
      <w:r w:rsidR="000E42CD">
        <w:t>tion</w:t>
      </w:r>
      <w:r w:rsidRPr="00CF4252">
        <w:t xml:space="preserve"> in transit</w:t>
      </w:r>
    </w:p>
    <w:p w14:paraId="4F0820D3" w14:textId="1BE37B30" w:rsidR="00932F18" w:rsidRPr="00CF49D6" w:rsidRDefault="00CF4252" w:rsidP="00370283">
      <w:pPr>
        <w:pStyle w:val="Bullet1"/>
      </w:pPr>
      <w:r w:rsidRPr="00CF4252">
        <w:t>diversion of ambulance and hospital resources to respond to avoidable incidents.</w:t>
      </w:r>
    </w:p>
    <w:p w14:paraId="42C5669D" w14:textId="6AF5DCDC" w:rsidR="005E4A90" w:rsidRPr="006120BA" w:rsidRDefault="00C32BBC" w:rsidP="00370283">
      <w:pPr>
        <w:pStyle w:val="Bodyafterbullets"/>
      </w:pPr>
      <w:r w:rsidRPr="006120BA">
        <w:t>In the absence of clear regulatory requirements, these asymmetries cannot be corrected by market choice or contracting alone.</w:t>
      </w:r>
      <w:r w:rsidR="00B6583A" w:rsidRPr="006120BA">
        <w:t xml:space="preserve"> T</w:t>
      </w:r>
      <w:r w:rsidR="005E4A90" w:rsidRPr="006120BA">
        <w:t xml:space="preserve">he regulatory framework overall mitigates the information asymmetry and associated risks </w:t>
      </w:r>
      <w:proofErr w:type="gramStart"/>
      <w:r w:rsidR="005E4A90" w:rsidRPr="006120BA">
        <w:t>through</w:t>
      </w:r>
      <w:r w:rsidR="4E88A016" w:rsidRPr="006120BA">
        <w:t>:</w:t>
      </w:r>
      <w:proofErr w:type="gramEnd"/>
      <w:r w:rsidR="005E4A90" w:rsidRPr="006120BA">
        <w:t xml:space="preserve"> market entry control </w:t>
      </w:r>
      <w:r w:rsidR="474649A9" w:rsidRPr="006120BA">
        <w:t xml:space="preserve">via </w:t>
      </w:r>
      <w:r w:rsidR="005E4A90" w:rsidRPr="006120BA">
        <w:t>a licence</w:t>
      </w:r>
      <w:r w:rsidR="462F0615" w:rsidRPr="006120BA">
        <w:t xml:space="preserve"> requirement</w:t>
      </w:r>
      <w:r w:rsidR="7F336B55" w:rsidRPr="006120BA">
        <w:t>;</w:t>
      </w:r>
      <w:r w:rsidR="00B6583A" w:rsidRPr="006120BA">
        <w:t xml:space="preserve"> </w:t>
      </w:r>
      <w:r w:rsidR="005E4A90" w:rsidRPr="006120BA">
        <w:t xml:space="preserve">market conduct requirements </w:t>
      </w:r>
      <w:r w:rsidR="66F30695" w:rsidRPr="006120BA">
        <w:t xml:space="preserve">on licenced providers to establish minimum standards; and through </w:t>
      </w:r>
      <w:r w:rsidR="005E4A90" w:rsidRPr="006120BA">
        <w:t>monitoring and enforcement by the Health Regulator</w:t>
      </w:r>
      <w:r w:rsidR="001901B1" w:rsidRPr="006120BA">
        <w:t xml:space="preserve">. </w:t>
      </w:r>
      <w:r w:rsidR="00B6583A" w:rsidRPr="006120BA">
        <w:t>The Health Regulator’s visibility of provider compliance and performance is informed by mandated reporting, record keeping, and audit and inspection powers</w:t>
      </w:r>
      <w:r w:rsidR="00F67399" w:rsidRPr="006120BA">
        <w:t>.</w:t>
      </w:r>
      <w:r w:rsidR="00B6583A" w:rsidRPr="006120BA">
        <w:t xml:space="preserve"> </w:t>
      </w:r>
      <w:r w:rsidR="540C7675" w:rsidRPr="006120BA">
        <w:t xml:space="preserve">The Regulations are essential to the operation of these safeguards, as they set </w:t>
      </w:r>
      <w:r w:rsidR="005E4A90" w:rsidRPr="006120BA">
        <w:t>requirements</w:t>
      </w:r>
      <w:r w:rsidR="00FD13C6" w:rsidRPr="006120BA">
        <w:t xml:space="preserve"> for licence holders, linked to scope of and conditions on licence, and </w:t>
      </w:r>
      <w:r w:rsidR="6DD90D40" w:rsidRPr="006120BA">
        <w:t>require</w:t>
      </w:r>
      <w:r w:rsidR="00FD13C6" w:rsidRPr="006120BA">
        <w:t xml:space="preserve"> regula</w:t>
      </w:r>
      <w:r w:rsidR="00F67399" w:rsidRPr="006120BA">
        <w:t xml:space="preserve">r </w:t>
      </w:r>
      <w:r w:rsidR="00FD13C6" w:rsidRPr="006120BA">
        <w:t>reporting</w:t>
      </w:r>
      <w:r w:rsidR="00F67399" w:rsidRPr="006120BA">
        <w:t>.</w:t>
      </w:r>
      <w:r w:rsidR="005E4A90" w:rsidRPr="006120BA">
        <w:t xml:space="preserve"> </w:t>
      </w:r>
    </w:p>
    <w:p w14:paraId="25F357A6" w14:textId="6902137E" w:rsidR="006053CC" w:rsidRDefault="006053CC" w:rsidP="00CF49D6">
      <w:pPr>
        <w:pStyle w:val="Body"/>
      </w:pPr>
      <w:r w:rsidRPr="006120BA">
        <w:t>While NEPT</w:t>
      </w:r>
      <w:r w:rsidR="00DC0770" w:rsidRPr="006120BA">
        <w:t xml:space="preserve"> services play an integral role </w:t>
      </w:r>
      <w:r w:rsidR="00CE3847" w:rsidRPr="006120BA">
        <w:t>i</w:t>
      </w:r>
      <w:r w:rsidR="00DC0770" w:rsidRPr="006120BA">
        <w:t xml:space="preserve">n supporting emergency ambulance capacity and </w:t>
      </w:r>
      <w:r w:rsidR="00D74E8A" w:rsidRPr="006120BA">
        <w:t>patient</w:t>
      </w:r>
      <w:r w:rsidR="00D74E8A">
        <w:t xml:space="preserve"> flow, market failures</w:t>
      </w:r>
      <w:r w:rsidR="00F33D97">
        <w:t xml:space="preserve"> – particularly in regional areas – </w:t>
      </w:r>
      <w:r w:rsidR="00055AE8">
        <w:t>could compromise equity of access</w:t>
      </w:r>
      <w:r w:rsidR="00190693">
        <w:t>.</w:t>
      </w:r>
      <w:r w:rsidR="005B0A02">
        <w:t xml:space="preserve"> Disproportionate regulatory burden</w:t>
      </w:r>
      <w:r w:rsidR="4E03AE04">
        <w:t xml:space="preserve">, </w:t>
      </w:r>
      <w:r w:rsidR="0003648B" w:rsidRPr="00CF7B10">
        <w:t xml:space="preserve">such as limits on vehicle mileage that do not factor in the long distances travelled in regional areas, </w:t>
      </w:r>
      <w:r w:rsidR="005B0A02" w:rsidRPr="005B0A02">
        <w:t xml:space="preserve">can exacerbate these market failures, </w:t>
      </w:r>
      <w:proofErr w:type="gramStart"/>
      <w:r w:rsidR="005B0A02" w:rsidRPr="005B0A02">
        <w:t>increasing</w:t>
      </w:r>
      <w:proofErr w:type="gramEnd"/>
      <w:r w:rsidR="005B0A02" w:rsidRPr="005B0A02">
        <w:t xml:space="preserve"> the likelihood of service gaps and shifting non-emergency transports onto </w:t>
      </w:r>
      <w:r w:rsidR="00125BA2">
        <w:t>ambulance services</w:t>
      </w:r>
      <w:r w:rsidR="00B66A26">
        <w:t>.</w:t>
      </w:r>
    </w:p>
    <w:p w14:paraId="5976DA7F" w14:textId="54E63EDD" w:rsidR="008A6B4A" w:rsidRDefault="00C30024" w:rsidP="00222951">
      <w:pPr>
        <w:pStyle w:val="Heading2"/>
      </w:pPr>
      <w:bookmarkStart w:id="13" w:name="_Toc215847507"/>
      <w:r>
        <w:t>Patient safety and sector sustainability risks if the Regulations are allowed to sunset</w:t>
      </w:r>
      <w:bookmarkEnd w:id="13"/>
      <w:r>
        <w:t xml:space="preserve"> </w:t>
      </w:r>
    </w:p>
    <w:p w14:paraId="5374F692" w14:textId="5EEF0371" w:rsidR="004F41B2" w:rsidRDefault="003B129F" w:rsidP="008A6B4A">
      <w:pPr>
        <w:pStyle w:val="Body"/>
      </w:pPr>
      <w:r>
        <w:t xml:space="preserve">This section outlines the problems with the base case in which no Regulations </w:t>
      </w:r>
      <w:r w:rsidR="00DF26CF">
        <w:t>are</w:t>
      </w:r>
      <w:r>
        <w:t xml:space="preserve"> made. </w:t>
      </w:r>
      <w:r w:rsidR="004F41B2" w:rsidRPr="00AF0EFC">
        <w:t xml:space="preserve">The Act establishes the statutory framework </w:t>
      </w:r>
      <w:r w:rsidR="004F41B2">
        <w:t xml:space="preserve">for </w:t>
      </w:r>
      <w:r w:rsidR="004F41B2" w:rsidRPr="00AF0EFC">
        <w:t xml:space="preserve">NEPT by setting high-level obligations </w:t>
      </w:r>
      <w:r w:rsidR="004F41B2">
        <w:t>that apply to licen</w:t>
      </w:r>
      <w:r w:rsidR="00D731EA">
        <w:t>s</w:t>
      </w:r>
      <w:r w:rsidR="004F41B2">
        <w:t>ed NEPT providers</w:t>
      </w:r>
      <w:r w:rsidR="00043347">
        <w:t xml:space="preserve">, </w:t>
      </w:r>
      <w:r w:rsidR="00FE24B5">
        <w:t xml:space="preserve">such as </w:t>
      </w:r>
      <w:r w:rsidR="00F13D1F">
        <w:t xml:space="preserve">those to </w:t>
      </w:r>
      <w:r w:rsidR="00F13D1F" w:rsidRPr="00F13D1F">
        <w:t>ensure provision of a safe service</w:t>
      </w:r>
      <w:r w:rsidR="004F41B2" w:rsidRPr="00AF0EFC">
        <w:t>. The Act relies on subordinate Regulations to specify operational details</w:t>
      </w:r>
      <w:r w:rsidR="004F41B2">
        <w:t xml:space="preserve"> </w:t>
      </w:r>
      <w:r w:rsidR="004F41B2" w:rsidRPr="00AF0EFC">
        <w:t>that are necessary for the Act to be implemented in practice.</w:t>
      </w:r>
    </w:p>
    <w:p w14:paraId="0AF07776" w14:textId="516E28DB" w:rsidR="00A15BAA" w:rsidRDefault="00957A1C" w:rsidP="008A6B4A">
      <w:pPr>
        <w:pStyle w:val="Body"/>
      </w:pPr>
      <w:r w:rsidRPr="00517376">
        <w:t>If the Regulations were allowed to sunset</w:t>
      </w:r>
      <w:r w:rsidR="00CD7009">
        <w:t xml:space="preserve"> without other regulations made in their place</w:t>
      </w:r>
      <w:r w:rsidRPr="00517376">
        <w:t xml:space="preserve">, the Act would be left without the subordinate instrument that gives effect to its </w:t>
      </w:r>
      <w:r>
        <w:t>licensing framework</w:t>
      </w:r>
      <w:r w:rsidRPr="00517376">
        <w:t xml:space="preserve">. </w:t>
      </w:r>
      <w:r w:rsidR="00E959D0">
        <w:t xml:space="preserve">In </w:t>
      </w:r>
      <w:r w:rsidR="412BA06C">
        <w:t>the</w:t>
      </w:r>
      <w:r w:rsidR="00E959D0">
        <w:t xml:space="preserve"> absence of Regulations, </w:t>
      </w:r>
      <w:r w:rsidR="00E75E7E" w:rsidRPr="00E75E7E">
        <w:t>the Act</w:t>
      </w:r>
      <w:r w:rsidR="002B796E" w:rsidRPr="002B796E">
        <w:t xml:space="preserve"> would still permit the</w:t>
      </w:r>
      <w:r w:rsidR="00C46044" w:rsidRPr="006B6DF6">
        <w:t xml:space="preserve"> Governor in Council to exempt private providers from application of the Act</w:t>
      </w:r>
      <w:r w:rsidR="00194A8C">
        <w:t xml:space="preserve">, </w:t>
      </w:r>
      <w:r w:rsidR="00194A8C" w:rsidRPr="00194A8C">
        <w:t>so NEPT services could continue to operate</w:t>
      </w:r>
      <w:r w:rsidR="00626DA4">
        <w:t xml:space="preserve"> </w:t>
      </w:r>
      <w:r w:rsidR="00AE3E88">
        <w:t xml:space="preserve">without a need for a </w:t>
      </w:r>
      <w:r w:rsidR="00D375ED">
        <w:t xml:space="preserve">licence. </w:t>
      </w:r>
    </w:p>
    <w:p w14:paraId="5FDB3D1C" w14:textId="349307B1" w:rsidR="002B796E" w:rsidRDefault="00F40042" w:rsidP="008A6B4A">
      <w:pPr>
        <w:pStyle w:val="Body"/>
      </w:pPr>
      <w:r>
        <w:t xml:space="preserve">However, </w:t>
      </w:r>
      <w:r w:rsidRPr="00F40042">
        <w:t xml:space="preserve">the detailed operational safeguards set out in the Regulations </w:t>
      </w:r>
      <w:r w:rsidR="009D2BB0">
        <w:t>–</w:t>
      </w:r>
      <w:r w:rsidR="00727837" w:rsidRPr="00727837">
        <w:t xml:space="preserve"> including vehicle and equipment standards, crew </w:t>
      </w:r>
      <w:r w:rsidR="00896C1A">
        <w:t>requirements</w:t>
      </w:r>
      <w:r w:rsidR="00727837" w:rsidRPr="00727837">
        <w:t xml:space="preserve">, </w:t>
      </w:r>
      <w:r w:rsidR="00703A2F" w:rsidRPr="00517376">
        <w:t>infection prevention and control, incident reporting and response</w:t>
      </w:r>
      <w:r w:rsidR="00AA057B">
        <w:t xml:space="preserve"> and </w:t>
      </w:r>
      <w:r w:rsidR="00727837" w:rsidRPr="00727837">
        <w:t>clinical governance</w:t>
      </w:r>
      <w:r w:rsidR="00AA057B">
        <w:t xml:space="preserve"> </w:t>
      </w:r>
      <w:r w:rsidR="009D2BB0">
        <w:t xml:space="preserve">– </w:t>
      </w:r>
      <w:r w:rsidRPr="00F40042">
        <w:t>would no longer</w:t>
      </w:r>
      <w:r w:rsidR="009A3B8E">
        <w:t xml:space="preserve"> apply</w:t>
      </w:r>
      <w:r>
        <w:t>.</w:t>
      </w:r>
      <w:r w:rsidR="009A3B8E">
        <w:t xml:space="preserve"> This would result in a sector that is </w:t>
      </w:r>
      <w:r w:rsidR="00862E8E">
        <w:t>largely unregulated.</w:t>
      </w:r>
      <w:r w:rsidR="00046104">
        <w:t xml:space="preserve"> </w:t>
      </w:r>
      <w:r w:rsidR="00781D9F">
        <w:t>Instead</w:t>
      </w:r>
      <w:r w:rsidR="008E670E">
        <w:t>, e</w:t>
      </w:r>
      <w:r w:rsidR="00932082">
        <w:t>xempt</w:t>
      </w:r>
      <w:r w:rsidR="00046104">
        <w:t xml:space="preserve"> providers would be subject to </w:t>
      </w:r>
      <w:r w:rsidR="00316F14" w:rsidRPr="00316F14">
        <w:t xml:space="preserve">other statutory and contractual </w:t>
      </w:r>
      <w:r w:rsidR="00316F14" w:rsidRPr="00316F14">
        <w:lastRenderedPageBreak/>
        <w:t>regimes</w:t>
      </w:r>
      <w:r w:rsidR="00316F14">
        <w:t xml:space="preserve">, such as </w:t>
      </w:r>
      <w:r w:rsidR="00AD42C0">
        <w:t xml:space="preserve">those that apply to </w:t>
      </w:r>
      <w:r w:rsidR="48CCE62B">
        <w:t>occupational health and safety</w:t>
      </w:r>
      <w:r w:rsidR="00752966">
        <w:t>, road safety, public health</w:t>
      </w:r>
      <w:r w:rsidR="00631D59">
        <w:t xml:space="preserve"> </w:t>
      </w:r>
      <w:r w:rsidR="00CA614C">
        <w:t>and procurement contracts.</w:t>
      </w:r>
      <w:r w:rsidR="007B2FF9">
        <w:t xml:space="preserve"> </w:t>
      </w:r>
    </w:p>
    <w:p w14:paraId="7B20D9E9" w14:textId="75A1F70F" w:rsidR="007E6E0F" w:rsidRDefault="0060734F" w:rsidP="008A6B4A">
      <w:pPr>
        <w:pStyle w:val="Body"/>
      </w:pPr>
      <w:r w:rsidRPr="0060734F">
        <w:t>While booking-stage safeguards and triage controls can reduce</w:t>
      </w:r>
      <w:r w:rsidR="000B626F">
        <w:t xml:space="preserve"> some</w:t>
      </w:r>
      <w:r w:rsidRPr="0060734F">
        <w:t xml:space="preserve"> risk at the point of allocation, they cannot, on their own, ensure patients are protected for the duration of transport. </w:t>
      </w:r>
      <w:r w:rsidR="00A54402" w:rsidRPr="00A54402">
        <w:t>Because referrers cannot independently verify a provider’s real-time capability at booking</w:t>
      </w:r>
      <w:r w:rsidR="001F5287">
        <w:t>, the system requires assurances that</w:t>
      </w:r>
      <w:r w:rsidR="001A32DB">
        <w:t xml:space="preserve"> service</w:t>
      </w:r>
      <w:r w:rsidR="00147EAA">
        <w:t xml:space="preserve">, staffing and equipment standards </w:t>
      </w:r>
      <w:r w:rsidR="00730F35">
        <w:t>will be</w:t>
      </w:r>
      <w:r w:rsidR="00147EAA">
        <w:t xml:space="preserve"> met.</w:t>
      </w:r>
    </w:p>
    <w:p w14:paraId="378E02C1" w14:textId="3A662186" w:rsidR="0060734F" w:rsidRDefault="0060734F" w:rsidP="008A6B4A">
      <w:pPr>
        <w:pStyle w:val="Body"/>
      </w:pPr>
      <w:r w:rsidRPr="0060734F">
        <w:t>If the Regulations were allowed to lapse, the Secretary would no longer have NEPT-specific prescriptive standards or the associated compliance tools that underpin regulatory intelligence and enable timely responses where patient or staff safety may be compromised.</w:t>
      </w:r>
    </w:p>
    <w:p w14:paraId="085F45C6" w14:textId="41627E73" w:rsidR="00517376" w:rsidRDefault="00517376" w:rsidP="008A6B4A">
      <w:pPr>
        <w:pStyle w:val="Body"/>
      </w:pPr>
      <w:r w:rsidRPr="00517376">
        <w:t xml:space="preserve">The absence of </w:t>
      </w:r>
      <w:r w:rsidR="00D270A8">
        <w:t>enforceable minimum</w:t>
      </w:r>
      <w:r w:rsidRPr="00517376">
        <w:t xml:space="preserve"> standards would </w:t>
      </w:r>
      <w:r w:rsidR="00FC1799" w:rsidRPr="00FC1799">
        <w:t>limit</w:t>
      </w:r>
      <w:r w:rsidRPr="00517376">
        <w:t xml:space="preserve"> the </w:t>
      </w:r>
      <w:r w:rsidR="00FC1799" w:rsidRPr="00FC1799">
        <w:t>Secretary’s ability to enforce</w:t>
      </w:r>
      <w:r w:rsidRPr="00517376">
        <w:t xml:space="preserve"> safe practice</w:t>
      </w:r>
      <w:r w:rsidR="00D23EC7">
        <w:t xml:space="preserve"> at spe</w:t>
      </w:r>
      <w:r w:rsidR="00A61EDA">
        <w:t>cific points in service deliver</w:t>
      </w:r>
      <w:r w:rsidR="008F6880">
        <w:t>y</w:t>
      </w:r>
      <w:r w:rsidR="00A61EDA">
        <w:t xml:space="preserve"> and governance arrangements </w:t>
      </w:r>
      <w:r w:rsidR="00843525">
        <w:t xml:space="preserve">for NEPT providers </w:t>
      </w:r>
      <w:r w:rsidR="00A61EDA">
        <w:t>may be compromised.</w:t>
      </w:r>
      <w:r w:rsidRPr="00517376">
        <w:t xml:space="preserve"> </w:t>
      </w:r>
      <w:r w:rsidR="001B395F">
        <w:t>In turn, this would</w:t>
      </w:r>
      <w:r w:rsidRPr="00517376">
        <w:t xml:space="preserve"> </w:t>
      </w:r>
      <w:r w:rsidR="00B27AB4" w:rsidRPr="00517376">
        <w:t xml:space="preserve">increase the </w:t>
      </w:r>
      <w:r w:rsidR="00B27AB4">
        <w:t>risk</w:t>
      </w:r>
      <w:r w:rsidR="00B27AB4" w:rsidRPr="00517376">
        <w:t xml:space="preserve"> of harm to patients and staff </w:t>
      </w:r>
      <w:r w:rsidR="00B27AB4">
        <w:t xml:space="preserve">and </w:t>
      </w:r>
      <w:r w:rsidRPr="00517376">
        <w:t>undermine public and stakeholder confidence.</w:t>
      </w:r>
    </w:p>
    <w:p w14:paraId="3E0489F7" w14:textId="22C68EA4" w:rsidR="006B60E7" w:rsidRPr="007439E1" w:rsidRDefault="002035FE" w:rsidP="006B60E7">
      <w:pPr>
        <w:pStyle w:val="Body"/>
      </w:pPr>
      <w:r>
        <w:t>For u</w:t>
      </w:r>
      <w:r w:rsidR="00814ECF">
        <w:t>nplanned NEPT bookings</w:t>
      </w:r>
      <w:r w:rsidR="00C17515">
        <w:t xml:space="preserve"> generated by Triple Zero Victoria</w:t>
      </w:r>
      <w:r>
        <w:t xml:space="preserve">, </w:t>
      </w:r>
      <w:r w:rsidR="00804754">
        <w:t>tra</w:t>
      </w:r>
      <w:r w:rsidR="00373092">
        <w:t>nsport would remain</w:t>
      </w:r>
      <w:r w:rsidR="00C17515">
        <w:t xml:space="preserve"> under the oversight of Ambulance Victoria</w:t>
      </w:r>
      <w:r w:rsidR="436E0D88">
        <w:t xml:space="preserve"> </w:t>
      </w:r>
      <w:r w:rsidR="00C46044" w:rsidRPr="00271CD5">
        <w:t xml:space="preserve">as the contracting agency. Ambulance Victoria could stipulate conditions on NEPT service providers via contracts and would be responsible for checking the conditions are being met. </w:t>
      </w:r>
      <w:r w:rsidR="002C2B4C" w:rsidRPr="00742BDE">
        <w:t xml:space="preserve">Planned NEPT </w:t>
      </w:r>
      <w:r w:rsidR="005256CD" w:rsidRPr="00742BDE">
        <w:t>would have</w:t>
      </w:r>
      <w:r w:rsidR="008052D1" w:rsidRPr="00742BDE">
        <w:t xml:space="preserve"> minim</w:t>
      </w:r>
      <w:r w:rsidR="004F48B7" w:rsidRPr="00742BDE">
        <w:t>al oversight</w:t>
      </w:r>
      <w:r w:rsidR="001B6F43" w:rsidRPr="00742BDE">
        <w:t>, and in the absence of regulations would be driven by the</w:t>
      </w:r>
      <w:r w:rsidR="00A96D58" w:rsidRPr="00742BDE">
        <w:t xml:space="preserve"> standards </w:t>
      </w:r>
      <w:r w:rsidR="00A96D58">
        <w:t>of individual private businesses</w:t>
      </w:r>
      <w:r w:rsidR="00A53C0D">
        <w:t xml:space="preserve">. </w:t>
      </w:r>
      <w:r w:rsidR="00F50003">
        <w:t xml:space="preserve">Without </w:t>
      </w:r>
      <w:r w:rsidR="0034492A">
        <w:t>mandated requirements</w:t>
      </w:r>
      <w:r w:rsidR="007E60CD">
        <w:t xml:space="preserve">, </w:t>
      </w:r>
      <w:r w:rsidR="009800EC">
        <w:t xml:space="preserve">providers may adopt practices </w:t>
      </w:r>
      <w:r w:rsidR="004C427C">
        <w:t>for</w:t>
      </w:r>
      <w:r w:rsidR="00625588">
        <w:t xml:space="preserve"> market-driven motives</w:t>
      </w:r>
      <w:r w:rsidR="009800EC">
        <w:t>, even if such practices carry elevated risks.</w:t>
      </w:r>
      <w:r w:rsidR="006B60E7" w:rsidRPr="007439E1">
        <w:t xml:space="preserve"> </w:t>
      </w:r>
    </w:p>
    <w:p w14:paraId="1DF1F4DE" w14:textId="6DA23A76" w:rsidR="655DA578" w:rsidRDefault="003E2EAA" w:rsidP="00370283">
      <w:pPr>
        <w:pStyle w:val="Body"/>
      </w:pPr>
      <w:r>
        <w:t>Examples of</w:t>
      </w:r>
      <w:r w:rsidR="655DA578" w:rsidRPr="7A9CB584">
        <w:t xml:space="preserve"> standards that could be undermined if commercial interests </w:t>
      </w:r>
      <w:r w:rsidR="00C67460">
        <w:t>were</w:t>
      </w:r>
      <w:r w:rsidR="655DA578" w:rsidRPr="7A9CB584">
        <w:t xml:space="preserve"> </w:t>
      </w:r>
      <w:r w:rsidR="001B395F" w:rsidRPr="7A9CB584">
        <w:t>prioritised</w:t>
      </w:r>
      <w:r w:rsidR="655DA578" w:rsidRPr="7A9CB584">
        <w:t xml:space="preserve"> include: </w:t>
      </w:r>
    </w:p>
    <w:p w14:paraId="263E1C50" w14:textId="79C75889" w:rsidR="00E34155" w:rsidRPr="00E93ACD" w:rsidRDefault="655DA578" w:rsidP="00E93ACD">
      <w:pPr>
        <w:pStyle w:val="Bullet1"/>
        <w:rPr>
          <w:rFonts w:cstheme="minorBidi"/>
          <w:szCs w:val="24"/>
        </w:rPr>
      </w:pPr>
      <w:r w:rsidRPr="00E93ACD">
        <w:rPr>
          <w:i/>
          <w:iCs/>
        </w:rPr>
        <w:t>Limits on multi-loading patients</w:t>
      </w:r>
      <w:r w:rsidR="0013484F" w:rsidRPr="00E93ACD">
        <w:rPr>
          <w:i/>
          <w:iCs/>
        </w:rPr>
        <w:t>:</w:t>
      </w:r>
      <w:r w:rsidR="00E93ACD">
        <w:t xml:space="preserve"> </w:t>
      </w:r>
      <w:r w:rsidRPr="00E93ACD">
        <w:t xml:space="preserve">Without </w:t>
      </w:r>
      <w:r w:rsidR="00B5646F">
        <w:t>r</w:t>
      </w:r>
      <w:r w:rsidRPr="00E93ACD">
        <w:t xml:space="preserve">egulations limiting the number of patients that can be transported at a time, providers may increase the number of </w:t>
      </w:r>
      <w:r w:rsidR="00FC45E4" w:rsidRPr="00E93ACD">
        <w:t>pati</w:t>
      </w:r>
      <w:r w:rsidR="00E34155" w:rsidRPr="00E93ACD">
        <w:t>ents</w:t>
      </w:r>
      <w:r w:rsidR="00C90B29" w:rsidRPr="00E93ACD">
        <w:t xml:space="preserve"> in a way th</w:t>
      </w:r>
      <w:r w:rsidR="006401A5" w:rsidRPr="00E93ACD">
        <w:t>at</w:t>
      </w:r>
      <w:r w:rsidR="00C90B29" w:rsidRPr="00E93ACD">
        <w:t xml:space="preserve"> could </w:t>
      </w:r>
      <w:r w:rsidR="00A87286" w:rsidRPr="00E93ACD">
        <w:t>jeopardise</w:t>
      </w:r>
      <w:r w:rsidR="00C90B29" w:rsidRPr="00E93ACD">
        <w:t xml:space="preserve"> </w:t>
      </w:r>
      <w:r w:rsidR="00E266FF" w:rsidRPr="00E93ACD">
        <w:t xml:space="preserve">their </w:t>
      </w:r>
      <w:r w:rsidR="0063406F" w:rsidRPr="00E93ACD">
        <w:t>safety</w:t>
      </w:r>
      <w:r w:rsidR="00E266FF" w:rsidRPr="00E93ACD">
        <w:t xml:space="preserve">, </w:t>
      </w:r>
      <w:r w:rsidR="0082570E" w:rsidRPr="00E93ACD">
        <w:t xml:space="preserve">with </w:t>
      </w:r>
      <w:proofErr w:type="gramStart"/>
      <w:r w:rsidR="00E266FF" w:rsidRPr="00E93ACD">
        <w:t>particular</w:t>
      </w:r>
      <w:r w:rsidR="0082570E" w:rsidRPr="00E93ACD">
        <w:t xml:space="preserve"> risks</w:t>
      </w:r>
      <w:proofErr w:type="gramEnd"/>
      <w:r w:rsidR="0082570E" w:rsidRPr="00E93ACD">
        <w:t xml:space="preserve"> associated with management</w:t>
      </w:r>
      <w:r w:rsidR="006A4693" w:rsidRPr="00E93ACD">
        <w:t xml:space="preserve"> of a patient’s </w:t>
      </w:r>
      <w:r w:rsidR="00DD2A5E" w:rsidRPr="00E93ACD">
        <w:t>deteriorating</w:t>
      </w:r>
      <w:r w:rsidR="0034515C" w:rsidRPr="00E93ACD">
        <w:t xml:space="preserve"> </w:t>
      </w:r>
      <w:r w:rsidR="006A4693" w:rsidRPr="00E93ACD">
        <w:t>condition.</w:t>
      </w:r>
    </w:p>
    <w:p w14:paraId="1281FF35" w14:textId="6E33FA26" w:rsidR="00D91227" w:rsidRPr="00E93ACD" w:rsidRDefault="008C63C9" w:rsidP="00E93ACD">
      <w:pPr>
        <w:pStyle w:val="Bullet1"/>
        <w:rPr>
          <w:rFonts w:cs="Arial"/>
        </w:rPr>
      </w:pPr>
      <w:r w:rsidRPr="00E93ACD">
        <w:rPr>
          <w:rFonts w:cs="Arial"/>
          <w:i/>
          <w:iCs/>
        </w:rPr>
        <w:t xml:space="preserve">Applying a risk-based approach to </w:t>
      </w:r>
      <w:r w:rsidR="0003451D" w:rsidRPr="00E93ACD">
        <w:rPr>
          <w:rFonts w:cs="Arial"/>
          <w:i/>
          <w:iCs/>
        </w:rPr>
        <w:t>crew requirements</w:t>
      </w:r>
      <w:r w:rsidR="00DB4D87" w:rsidRPr="00E93ACD">
        <w:rPr>
          <w:rFonts w:cs="Arial"/>
          <w:i/>
          <w:iCs/>
        </w:rPr>
        <w:t xml:space="preserve"> and escalations</w:t>
      </w:r>
      <w:r w:rsidR="005D23A9" w:rsidRPr="00E93ACD">
        <w:rPr>
          <w:rFonts w:cs="Arial"/>
          <w:i/>
          <w:iCs/>
        </w:rPr>
        <w:t>:</w:t>
      </w:r>
      <w:r w:rsidR="00E93ACD">
        <w:rPr>
          <w:rFonts w:cs="Arial"/>
        </w:rPr>
        <w:t xml:space="preserve"> </w:t>
      </w:r>
      <w:r w:rsidR="00CD75CB" w:rsidRPr="00E93ACD">
        <w:rPr>
          <w:rFonts w:cs="Arial"/>
        </w:rPr>
        <w:t xml:space="preserve">Crew members may feel increased pressure to </w:t>
      </w:r>
      <w:r w:rsidR="001F2726" w:rsidRPr="00E93ACD">
        <w:rPr>
          <w:rFonts w:cs="Arial"/>
        </w:rPr>
        <w:t xml:space="preserve">accept patients </w:t>
      </w:r>
      <w:r w:rsidR="001C4B18" w:rsidRPr="00E93ACD">
        <w:rPr>
          <w:rFonts w:cs="Arial"/>
        </w:rPr>
        <w:t>with care needs that are not</w:t>
      </w:r>
      <w:r w:rsidR="001F2726" w:rsidRPr="00E93ACD">
        <w:rPr>
          <w:rFonts w:cs="Arial"/>
        </w:rPr>
        <w:t xml:space="preserve"> within</w:t>
      </w:r>
      <w:r w:rsidR="001B577B" w:rsidRPr="00E93ACD">
        <w:rPr>
          <w:rFonts w:cs="Arial"/>
        </w:rPr>
        <w:t xml:space="preserve"> t</w:t>
      </w:r>
      <w:r w:rsidR="001C4B18" w:rsidRPr="00E93ACD">
        <w:rPr>
          <w:rFonts w:cs="Arial"/>
        </w:rPr>
        <w:t>he scope of their training.</w:t>
      </w:r>
    </w:p>
    <w:p w14:paraId="1F62B03B" w14:textId="47190E97" w:rsidR="655DA578" w:rsidRPr="00E93ACD" w:rsidRDefault="007A2001" w:rsidP="00E93ACD">
      <w:pPr>
        <w:pStyle w:val="Bullet1"/>
        <w:rPr>
          <w:rFonts w:eastAsiaTheme="minorHAnsi" w:cs="Arial"/>
        </w:rPr>
      </w:pPr>
      <w:r w:rsidRPr="00E93ACD">
        <w:rPr>
          <w:i/>
          <w:iCs/>
        </w:rPr>
        <w:t>Mandatory roadworthiness certification</w:t>
      </w:r>
      <w:r w:rsidR="005D23A9" w:rsidRPr="00E93ACD">
        <w:rPr>
          <w:i/>
          <w:iCs/>
        </w:rPr>
        <w:t>:</w:t>
      </w:r>
      <w:r w:rsidR="00E93ACD">
        <w:t xml:space="preserve"> </w:t>
      </w:r>
      <w:r w:rsidR="655DA578" w:rsidRPr="00E93ACD">
        <w:t xml:space="preserve">Providers may </w:t>
      </w:r>
      <w:r w:rsidR="0039091F" w:rsidRPr="00E93ACD">
        <w:t>not monitor</w:t>
      </w:r>
      <w:r w:rsidR="00685699" w:rsidRPr="00E93ACD">
        <w:t xml:space="preserve"> </w:t>
      </w:r>
      <w:r w:rsidR="003F39DB" w:rsidRPr="00E93ACD">
        <w:t xml:space="preserve">and maintain </w:t>
      </w:r>
      <w:r w:rsidR="00685699" w:rsidRPr="00E93ACD">
        <w:t>the roadworthiness</w:t>
      </w:r>
      <w:r w:rsidR="00902E14" w:rsidRPr="00E93ACD">
        <w:t xml:space="preserve"> as frequently</w:t>
      </w:r>
      <w:r w:rsidR="00BE7A73" w:rsidRPr="00E93ACD">
        <w:t xml:space="preserve"> as </w:t>
      </w:r>
      <w:r w:rsidR="655DA578" w:rsidRPr="00E93ACD">
        <w:t>desirable for</w:t>
      </w:r>
      <w:r w:rsidR="0032134F" w:rsidRPr="00E93ACD">
        <w:t xml:space="preserve"> vehicle,</w:t>
      </w:r>
      <w:r w:rsidR="655DA578" w:rsidRPr="00E93ACD">
        <w:t xml:space="preserve"> crew and patient safety and comfort.</w:t>
      </w:r>
    </w:p>
    <w:p w14:paraId="05ED7F32" w14:textId="091A7FDC" w:rsidR="007E74EB" w:rsidRPr="00E93ACD" w:rsidRDefault="655DA578" w:rsidP="00E93ACD">
      <w:pPr>
        <w:pStyle w:val="Bullet1"/>
        <w:rPr>
          <w:rFonts w:eastAsia="Arial" w:cs="Arial"/>
        </w:rPr>
      </w:pPr>
      <w:r w:rsidRPr="00E93ACD">
        <w:rPr>
          <w:i/>
          <w:iCs/>
        </w:rPr>
        <w:t>Minimum clinical supervision hours</w:t>
      </w:r>
      <w:r w:rsidR="005D23A9" w:rsidRPr="00E93ACD">
        <w:rPr>
          <w:i/>
          <w:iCs/>
        </w:rPr>
        <w:t>:</w:t>
      </w:r>
      <w:r w:rsidR="00E93ACD">
        <w:t xml:space="preserve"> </w:t>
      </w:r>
      <w:r w:rsidRPr="00E93ACD">
        <w:t xml:space="preserve">Providers may reduce the minimum number of hours that a crew member must be supervised, </w:t>
      </w:r>
      <w:proofErr w:type="gramStart"/>
      <w:r w:rsidRPr="00E93ACD">
        <w:t>in order to</w:t>
      </w:r>
      <w:proofErr w:type="gramEnd"/>
      <w:r w:rsidRPr="00E93ACD">
        <w:t xml:space="preserve"> </w:t>
      </w:r>
      <w:r w:rsidR="00A6170D" w:rsidRPr="00E93ACD">
        <w:t>decrease</w:t>
      </w:r>
      <w:r w:rsidRPr="00E93ACD">
        <w:t xml:space="preserve"> the number of shifts before they can work unsupervised. This could lead to</w:t>
      </w:r>
      <w:r w:rsidRPr="00E93ACD" w:rsidDel="00AD6E33">
        <w:t xml:space="preserve"> </w:t>
      </w:r>
      <w:r w:rsidR="00AD6E33" w:rsidRPr="00E93ACD">
        <w:t xml:space="preserve">insufficiently </w:t>
      </w:r>
      <w:r w:rsidRPr="00E93ACD">
        <w:t>experienced crew being placed on shift.</w:t>
      </w:r>
    </w:p>
    <w:p w14:paraId="2DC3142A" w14:textId="77777777" w:rsidR="000820A8" w:rsidRDefault="000820A8" w:rsidP="000820A8">
      <w:pPr>
        <w:pStyle w:val="Heading2"/>
      </w:pPr>
      <w:bookmarkStart w:id="14" w:name="_Toc215847508"/>
      <w:r>
        <w:t>Patient safety and sector sustainability risks under the current regulatory framework</w:t>
      </w:r>
      <w:bookmarkEnd w:id="14"/>
      <w:r>
        <w:t xml:space="preserve"> </w:t>
      </w:r>
    </w:p>
    <w:p w14:paraId="242C189A" w14:textId="206441B9" w:rsidR="002C29CE" w:rsidRDefault="00CD3510" w:rsidP="00DE321C">
      <w:pPr>
        <w:pStyle w:val="Body"/>
      </w:pPr>
      <w:r>
        <w:t>This section outlines the problem with the status quo, in which the existing Regulations</w:t>
      </w:r>
      <w:r w:rsidR="00B33A02">
        <w:t xml:space="preserve"> are</w:t>
      </w:r>
      <w:r>
        <w:t xml:space="preserve"> remade in </w:t>
      </w:r>
      <w:proofErr w:type="gramStart"/>
      <w:r>
        <w:t>exactly the same</w:t>
      </w:r>
      <w:proofErr w:type="gramEnd"/>
      <w:r>
        <w:t xml:space="preserve"> form.</w:t>
      </w:r>
      <w:r w:rsidR="00216D46">
        <w:t xml:space="preserve"> </w:t>
      </w:r>
      <w:r w:rsidR="00D808C1" w:rsidRPr="00D808C1">
        <w:t>The Regulations were amended in 2021 to align with changes to the Act implementing the Government’s 2018 election commitment, with a focus on improving safety for NEPT patients and staff.</w:t>
      </w:r>
      <w:r w:rsidR="00C1347A">
        <w:t xml:space="preserve"> </w:t>
      </w:r>
      <w:r w:rsidR="0013789E" w:rsidRPr="0013789E">
        <w:t>The 2021 amendments were intended to improve patient care by requiring better-trained staff, upgraded clinical equipment, and newer, safer vehicles. By reducing the average age of the fleet and mandating modern safety features, the reforms were also expected to reduce injuries to both patients and staff.</w:t>
      </w:r>
    </w:p>
    <w:p w14:paraId="4C16A34F" w14:textId="1C1B8BE9" w:rsidR="00E9519B" w:rsidRDefault="00E9519B" w:rsidP="1DD8B139">
      <w:pPr>
        <w:pStyle w:val="Body"/>
        <w:rPr>
          <w:szCs w:val="21"/>
        </w:rPr>
      </w:pPr>
      <w:r w:rsidRPr="00E9519B">
        <w:t>While the 2021 refor</w:t>
      </w:r>
      <w:r w:rsidRPr="1DD8B139">
        <w:rPr>
          <w:szCs w:val="21"/>
        </w:rPr>
        <w:t xml:space="preserve">ms have made progress in addressing patient </w:t>
      </w:r>
      <w:r w:rsidR="00BB42E1">
        <w:rPr>
          <w:szCs w:val="21"/>
        </w:rPr>
        <w:t>a</w:t>
      </w:r>
      <w:r w:rsidR="00446942">
        <w:rPr>
          <w:szCs w:val="21"/>
        </w:rPr>
        <w:t>n</w:t>
      </w:r>
      <w:r w:rsidR="00BB42E1">
        <w:rPr>
          <w:szCs w:val="21"/>
        </w:rPr>
        <w:t xml:space="preserve">d staff </w:t>
      </w:r>
      <w:r w:rsidRPr="1DD8B139">
        <w:rPr>
          <w:szCs w:val="21"/>
        </w:rPr>
        <w:t xml:space="preserve">risks, stakeholder feedback indicates further changes are needed to minimise </w:t>
      </w:r>
      <w:r w:rsidR="00BB42E1">
        <w:rPr>
          <w:szCs w:val="21"/>
        </w:rPr>
        <w:t>these</w:t>
      </w:r>
      <w:r w:rsidRPr="1DD8B139">
        <w:rPr>
          <w:szCs w:val="21"/>
        </w:rPr>
        <w:t xml:space="preserve"> risks and support a sustainable, </w:t>
      </w:r>
      <w:r w:rsidRPr="1DD8B139">
        <w:rPr>
          <w:szCs w:val="21"/>
        </w:rPr>
        <w:lastRenderedPageBreak/>
        <w:t>effective sector.</w:t>
      </w:r>
      <w:r w:rsidR="001D30B3">
        <w:rPr>
          <w:szCs w:val="21"/>
        </w:rPr>
        <w:t xml:space="preserve"> </w:t>
      </w:r>
      <w:r w:rsidR="00E14249">
        <w:rPr>
          <w:szCs w:val="21"/>
        </w:rPr>
        <w:t xml:space="preserve">Many stakeholders highlighted the need for greater clarity in the drafting of the </w:t>
      </w:r>
      <w:r w:rsidR="00B5646F">
        <w:rPr>
          <w:szCs w:val="21"/>
        </w:rPr>
        <w:t>R</w:t>
      </w:r>
      <w:r w:rsidR="00E14249">
        <w:rPr>
          <w:szCs w:val="21"/>
        </w:rPr>
        <w:t>egulations</w:t>
      </w:r>
      <w:r w:rsidR="00FE07FB">
        <w:rPr>
          <w:szCs w:val="21"/>
        </w:rPr>
        <w:t xml:space="preserve">, with ambiguity in interpretation potentially leading to non-compliance or complexity with enforcement. </w:t>
      </w:r>
      <w:r w:rsidR="00446942">
        <w:rPr>
          <w:szCs w:val="21"/>
        </w:rPr>
        <w:t>The NEPT Review also highlighted opport</w:t>
      </w:r>
      <w:r w:rsidR="001B4D65">
        <w:rPr>
          <w:szCs w:val="21"/>
        </w:rPr>
        <w:t>unities for improvement as noted in the box below.</w:t>
      </w:r>
    </w:p>
    <w:p w14:paraId="0DDC8E4D" w14:textId="2EACBDE6" w:rsidR="00491681" w:rsidRDefault="00BF56C3" w:rsidP="001E60C1">
      <w:pPr>
        <w:pStyle w:val="Bodyaftertablefigure"/>
      </w:pPr>
      <w:r>
        <w:rPr>
          <w:noProof/>
          <w:szCs w:val="21"/>
        </w:rPr>
        <mc:AlternateContent>
          <mc:Choice Requires="wps">
            <w:drawing>
              <wp:anchor distT="0" distB="0" distL="114300" distR="114300" simplePos="0" relativeHeight="251658240" behindDoc="0" locked="0" layoutInCell="1" allowOverlap="1" wp14:anchorId="4BFDF772" wp14:editId="13057E10">
                <wp:simplePos x="0" y="0"/>
                <wp:positionH relativeFrom="margin">
                  <wp:posOffset>15108</wp:posOffset>
                </wp:positionH>
                <wp:positionV relativeFrom="paragraph">
                  <wp:posOffset>34092</wp:posOffset>
                </wp:positionV>
                <wp:extent cx="6096000" cy="4191990"/>
                <wp:effectExtent l="0" t="0" r="19050" b="18415"/>
                <wp:wrapSquare wrapText="bothSides"/>
                <wp:docPr id="2130878702" name="Text Box 1"/>
                <wp:cNvGraphicFramePr/>
                <a:graphic xmlns:a="http://schemas.openxmlformats.org/drawingml/2006/main">
                  <a:graphicData uri="http://schemas.microsoft.com/office/word/2010/wordprocessingShape">
                    <wps:wsp>
                      <wps:cNvSpPr txBox="1"/>
                      <wps:spPr>
                        <a:xfrm>
                          <a:off x="0" y="0"/>
                          <a:ext cx="6096000" cy="4191990"/>
                        </a:xfrm>
                        <a:prstGeom prst="rect">
                          <a:avLst/>
                        </a:prstGeom>
                        <a:solidFill>
                          <a:schemeClr val="accent5">
                            <a:lumMod val="20000"/>
                            <a:lumOff val="80000"/>
                          </a:schemeClr>
                        </a:solidFill>
                        <a:ln w="6350">
                          <a:solidFill>
                            <a:schemeClr val="accent5">
                              <a:lumMod val="75000"/>
                            </a:schemeClr>
                          </a:solidFill>
                        </a:ln>
                      </wps:spPr>
                      <wps:txbx>
                        <w:txbxContent>
                          <w:p w14:paraId="0778A1FB" w14:textId="56D477A2" w:rsidR="001B4D65" w:rsidRDefault="000776AC" w:rsidP="00B42E25">
                            <w:pPr>
                              <w:pStyle w:val="Heading3"/>
                              <w:spacing w:before="120"/>
                            </w:pPr>
                            <w:r>
                              <w:t>Recommendation 3</w:t>
                            </w:r>
                            <w:r w:rsidR="0095648D">
                              <w:t xml:space="preserve">: Integration of NEPT into the broader health system </w:t>
                            </w:r>
                          </w:p>
                          <w:p w14:paraId="702DE533" w14:textId="38DB9DE1" w:rsidR="0095648D" w:rsidRDefault="001B4D65">
                            <w:pPr>
                              <w:rPr>
                                <w:rFonts w:eastAsia="MS Gothic"/>
                              </w:rPr>
                            </w:pPr>
                            <w:r>
                              <w:rPr>
                                <w:rFonts w:eastAsia="MS Gothic"/>
                              </w:rPr>
                              <w:t xml:space="preserve">The NEPT Review identified that integration of NEPT services into the existing health system strategies and frameworks was an important priority. This included improved governance, better workforce planning and a focus on continuous improvement of quality and safety. The Review Final Report noted that there were opportunities to strengthen system governance and stewardship by uplifting and embedding the continuous improvement of clinical quality and safety across the sector. </w:t>
                            </w:r>
                            <w:r w:rsidR="009D7B88">
                              <w:rPr>
                                <w:rFonts w:eastAsia="MS Gothic"/>
                              </w:rPr>
                              <w:t>Specifically,</w:t>
                            </w:r>
                            <w:r>
                              <w:rPr>
                                <w:rFonts w:eastAsia="MS Gothic"/>
                              </w:rPr>
                              <w:t xml:space="preserve"> </w:t>
                            </w:r>
                          </w:p>
                          <w:p w14:paraId="266015BD" w14:textId="77777777" w:rsidR="00BA7297" w:rsidRPr="00B35F26" w:rsidRDefault="00BA7297" w:rsidP="00BF56C3">
                            <w:pPr>
                              <w:spacing w:line="240" w:lineRule="auto"/>
                              <w:ind w:left="720"/>
                              <w:rPr>
                                <w:rFonts w:eastAsia="MS Gothic"/>
                                <w:b/>
                                <w:bCs/>
                                <w:i/>
                                <w:iCs/>
                              </w:rPr>
                            </w:pPr>
                            <w:r w:rsidRPr="00B35F26">
                              <w:rPr>
                                <w:rFonts w:eastAsia="MS Gothic"/>
                                <w:b/>
                                <w:bCs/>
                                <w:i/>
                                <w:iCs/>
                              </w:rPr>
                              <w:t xml:space="preserve">Recommendation 3: </w:t>
                            </w:r>
                          </w:p>
                          <w:p w14:paraId="4F2EB213" w14:textId="77777777" w:rsidR="00BA7297" w:rsidRPr="00B35F26" w:rsidRDefault="00BA7297" w:rsidP="00BF56C3">
                            <w:pPr>
                              <w:spacing w:line="240" w:lineRule="auto"/>
                              <w:ind w:left="720"/>
                              <w:rPr>
                                <w:rFonts w:eastAsia="MS Gothic"/>
                                <w:i/>
                                <w:iCs/>
                              </w:rPr>
                            </w:pPr>
                            <w:r w:rsidRPr="00B35F26">
                              <w:rPr>
                                <w:rFonts w:eastAsia="MS Gothic"/>
                                <w:i/>
                                <w:iCs/>
                              </w:rPr>
                              <w:t>Whether NEPT services are insourced or outsourced, expectations, roles and responsibilities for NEPT services need to be clearly articulated. This requires:</w:t>
                            </w:r>
                          </w:p>
                          <w:p w14:paraId="4D726881"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greater integration of the NEPT sector into broader health system frameworks and governance </w:t>
                            </w:r>
                          </w:p>
                          <w:p w14:paraId="39200264"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monitoring of NEPT system performance and patient experience of services to inform performance accountability and continuous system improvement </w:t>
                            </w:r>
                          </w:p>
                          <w:p w14:paraId="1C0894E4" w14:textId="77777777" w:rsidR="00BA7297" w:rsidRPr="00B35F26" w:rsidRDefault="00BA7297" w:rsidP="007243D2">
                            <w:pPr>
                              <w:pStyle w:val="Bullet1"/>
                              <w:spacing w:line="240" w:lineRule="auto"/>
                              <w:ind w:left="1004"/>
                              <w:rPr>
                                <w:rFonts w:eastAsia="MS Gothic"/>
                                <w:i/>
                                <w:iCs/>
                              </w:rPr>
                            </w:pPr>
                            <w:r w:rsidRPr="00B35F26">
                              <w:rPr>
                                <w:rFonts w:eastAsia="MS Gothic"/>
                                <w:i/>
                                <w:iCs/>
                              </w:rPr>
                              <w:t>the NEPT workforce to be reflected in system workforce strategies, with a dedicated NEPT workforce plan that identifies current workforce needs and develops patient transport workforce strategies that meet future health system needs</w:t>
                            </w:r>
                          </w:p>
                          <w:p w14:paraId="69AE5416" w14:textId="2A921EB4" w:rsidR="00927B1F" w:rsidRPr="00B35F26" w:rsidRDefault="00BA7297" w:rsidP="00BF56C3">
                            <w:pPr>
                              <w:pStyle w:val="Bullet1"/>
                              <w:spacing w:line="240" w:lineRule="auto"/>
                              <w:ind w:left="1004"/>
                              <w:rPr>
                                <w:i/>
                                <w:iCs/>
                              </w:rPr>
                            </w:pPr>
                            <w:r w:rsidRPr="00B35F26">
                              <w:rPr>
                                <w:rFonts w:eastAsia="MS Gothic"/>
                                <w:i/>
                                <w:iCs/>
                              </w:rPr>
                              <w:t xml:space="preserve">embedded continuous improvement of quality and safety, with monitoring of patient </w:t>
                            </w:r>
                            <w:r w:rsidR="006B2133" w:rsidRPr="00B35F26">
                              <w:rPr>
                                <w:rFonts w:eastAsia="MS Gothic"/>
                                <w:i/>
                                <w:iCs/>
                              </w:rPr>
                              <w:t>exp</w:t>
                            </w:r>
                            <w:r w:rsidRPr="00B35F26">
                              <w:rPr>
                                <w:rFonts w:eastAsia="MS Gothic"/>
                                <w:i/>
                                <w:iCs/>
                              </w:rPr>
                              <w:t>erience and expert clinical input.</w:t>
                            </w:r>
                          </w:p>
                          <w:p w14:paraId="63498960" w14:textId="24B0FF6C" w:rsidR="00BA7297" w:rsidRPr="008E45B0" w:rsidRDefault="00BF56C3" w:rsidP="00BA7297">
                            <w:pPr>
                              <w:jc w:val="right"/>
                              <w:rPr>
                                <w:i/>
                                <w:iCs/>
                                <w:sz w:val="16"/>
                                <w:szCs w:val="14"/>
                              </w:rPr>
                            </w:pPr>
                            <w:r w:rsidRPr="00B35F26">
                              <w:rPr>
                                <w:sz w:val="16"/>
                                <w:szCs w:val="14"/>
                              </w:rPr>
                              <w:t>Extract from</w:t>
                            </w:r>
                            <w:r w:rsidRPr="00B35F26">
                              <w:rPr>
                                <w:i/>
                                <w:iCs/>
                                <w:sz w:val="16"/>
                                <w:szCs w:val="14"/>
                              </w:rPr>
                              <w:t xml:space="preserve"> </w:t>
                            </w:r>
                            <w:r w:rsidR="00870865" w:rsidRPr="00B35F26">
                              <w:rPr>
                                <w:i/>
                                <w:iCs/>
                                <w:sz w:val="16"/>
                                <w:szCs w:val="14"/>
                              </w:rPr>
                              <w:t xml:space="preserve">Non-Emergency Patient Transport Review Final </w:t>
                            </w:r>
                            <w:r w:rsidR="00EE5040" w:rsidRPr="00B35F26">
                              <w:rPr>
                                <w:i/>
                                <w:iCs/>
                                <w:sz w:val="16"/>
                                <w:szCs w:val="14"/>
                              </w:rPr>
                              <w:t>R</w:t>
                            </w:r>
                            <w:r w:rsidR="00870865" w:rsidRPr="00B35F26">
                              <w:rPr>
                                <w:i/>
                                <w:iCs/>
                                <w:sz w:val="16"/>
                                <w:szCs w:val="14"/>
                              </w:rPr>
                              <w:t>eport</w:t>
                            </w:r>
                            <w:r w:rsidR="00927B1F" w:rsidRPr="00B35F26">
                              <w:rPr>
                                <w:i/>
                                <w:iCs/>
                                <w:sz w:val="16"/>
                                <w:szCs w:val="14"/>
                              </w:rPr>
                              <w:t xml:space="preserve">, </w:t>
                            </w:r>
                            <w:r w:rsidR="00EE5040" w:rsidRPr="00B35F26">
                              <w:rPr>
                                <w:sz w:val="16"/>
                                <w:szCs w:val="14"/>
                              </w:rPr>
                              <w:t xml:space="preserve">Department of Health, </w:t>
                            </w:r>
                            <w:r w:rsidR="00927B1F" w:rsidRPr="00B35F26">
                              <w:rPr>
                                <w:sz w:val="16"/>
                                <w:szCs w:val="14"/>
                              </w:rPr>
                              <w:t>January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DF772" id="_x0000_s1029" type="#_x0000_t202" style="position:absolute;margin-left:1.2pt;margin-top:2.7pt;width:480pt;height:33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" fillcolor="#daeef3 [664]" strokecolor="#31849b [2408]" strokeweight=".5pt">
                <v:textbox>
                  <w:txbxContent>
                    <w:p w14:paraId="0778A1FB" w14:textId="56D477A2" w:rsidR="001B4D65" w:rsidRDefault="000776AC" w:rsidP="00B42E25">
                      <w:pPr>
                        <w:pStyle w:val="Heading3"/>
                        <w:spacing w:before="120"/>
                      </w:pPr>
                      <w:r>
                        <w:t>Recommendation 3</w:t>
                      </w:r>
                      <w:r w:rsidR="0095648D">
                        <w:t xml:space="preserve">: Integration of NEPT into the broader health system </w:t>
                      </w:r>
                    </w:p>
                    <w:p w14:paraId="702DE533" w14:textId="38DB9DE1" w:rsidR="0095648D" w:rsidRDefault="001B4D65">
                      <w:pPr>
                        <w:rPr>
                          <w:rFonts w:eastAsia="MS Gothic"/>
                        </w:rPr>
                      </w:pPr>
                      <w:r>
                        <w:rPr>
                          <w:rFonts w:eastAsia="MS Gothic"/>
                        </w:rPr>
                        <w:t xml:space="preserve">The NEPT Review identified that integration of NEPT services into the existing health system strategies and frameworks was an important priority. This included improved governance, better workforce planning and a focus on continuous improvement of quality and safety. The Review Final Report noted that there were opportunities to strengthen system governance and stewardship by uplifting and embedding the continuous improvement of clinical quality and safety across the sector. </w:t>
                      </w:r>
                      <w:r w:rsidR="009D7B88">
                        <w:rPr>
                          <w:rFonts w:eastAsia="MS Gothic"/>
                        </w:rPr>
                        <w:t>Specifically,</w:t>
                      </w:r>
                      <w:r>
                        <w:rPr>
                          <w:rFonts w:eastAsia="MS Gothic"/>
                        </w:rPr>
                        <w:t xml:space="preserve"> </w:t>
                      </w:r>
                    </w:p>
                    <w:p w14:paraId="266015BD" w14:textId="77777777" w:rsidR="00BA7297" w:rsidRPr="00B35F26" w:rsidRDefault="00BA7297" w:rsidP="00BF56C3">
                      <w:pPr>
                        <w:spacing w:line="240" w:lineRule="auto"/>
                        <w:ind w:left="720"/>
                        <w:rPr>
                          <w:rFonts w:eastAsia="MS Gothic"/>
                          <w:b/>
                          <w:bCs/>
                          <w:i/>
                          <w:iCs/>
                        </w:rPr>
                      </w:pPr>
                      <w:r w:rsidRPr="00B35F26">
                        <w:rPr>
                          <w:rFonts w:eastAsia="MS Gothic"/>
                          <w:b/>
                          <w:bCs/>
                          <w:i/>
                          <w:iCs/>
                        </w:rPr>
                        <w:t xml:space="preserve">Recommendation 3: </w:t>
                      </w:r>
                    </w:p>
                    <w:p w14:paraId="4F2EB213" w14:textId="77777777" w:rsidR="00BA7297" w:rsidRPr="00B35F26" w:rsidRDefault="00BA7297" w:rsidP="00BF56C3">
                      <w:pPr>
                        <w:spacing w:line="240" w:lineRule="auto"/>
                        <w:ind w:left="720"/>
                        <w:rPr>
                          <w:rFonts w:eastAsia="MS Gothic"/>
                          <w:i/>
                          <w:iCs/>
                        </w:rPr>
                      </w:pPr>
                      <w:r w:rsidRPr="00B35F26">
                        <w:rPr>
                          <w:rFonts w:eastAsia="MS Gothic"/>
                          <w:i/>
                          <w:iCs/>
                        </w:rPr>
                        <w:t>Whether NEPT services are insourced or outsourced, expectations, roles and responsibilities for NEPT services need to be clearly articulated. This requires:</w:t>
                      </w:r>
                    </w:p>
                    <w:p w14:paraId="4D726881"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greater integration of the NEPT sector into broader health system frameworks and governance </w:t>
                      </w:r>
                    </w:p>
                    <w:p w14:paraId="39200264" w14:textId="77777777" w:rsidR="00BA7297" w:rsidRPr="00B35F26" w:rsidRDefault="00BA7297" w:rsidP="007243D2">
                      <w:pPr>
                        <w:pStyle w:val="Bullet1"/>
                        <w:spacing w:line="240" w:lineRule="auto"/>
                        <w:ind w:left="1004"/>
                        <w:rPr>
                          <w:rFonts w:eastAsia="MS Gothic"/>
                          <w:i/>
                          <w:iCs/>
                        </w:rPr>
                      </w:pPr>
                      <w:r w:rsidRPr="00B35F26">
                        <w:rPr>
                          <w:rFonts w:eastAsia="MS Gothic"/>
                          <w:i/>
                          <w:iCs/>
                        </w:rPr>
                        <w:t xml:space="preserve">monitoring of NEPT system performance and patient experience of services to inform performance accountability and continuous system improvement </w:t>
                      </w:r>
                    </w:p>
                    <w:p w14:paraId="1C0894E4" w14:textId="77777777" w:rsidR="00BA7297" w:rsidRPr="00B35F26" w:rsidRDefault="00BA7297" w:rsidP="007243D2">
                      <w:pPr>
                        <w:pStyle w:val="Bullet1"/>
                        <w:spacing w:line="240" w:lineRule="auto"/>
                        <w:ind w:left="1004"/>
                        <w:rPr>
                          <w:rFonts w:eastAsia="MS Gothic"/>
                          <w:i/>
                          <w:iCs/>
                        </w:rPr>
                      </w:pPr>
                      <w:r w:rsidRPr="00B35F26">
                        <w:rPr>
                          <w:rFonts w:eastAsia="MS Gothic"/>
                          <w:i/>
                          <w:iCs/>
                        </w:rPr>
                        <w:t>the NEPT workforce to be reflected in system workforce strategies, with a dedicated NEPT workforce plan that identifies current workforce needs and develops patient transport workforce strategies that meet future health system needs</w:t>
                      </w:r>
                    </w:p>
                    <w:p w14:paraId="69AE5416" w14:textId="2A921EB4" w:rsidR="00927B1F" w:rsidRPr="00B35F26" w:rsidRDefault="00BA7297" w:rsidP="00BF56C3">
                      <w:pPr>
                        <w:pStyle w:val="Bullet1"/>
                        <w:spacing w:line="240" w:lineRule="auto"/>
                        <w:ind w:left="1004"/>
                        <w:rPr>
                          <w:i/>
                          <w:iCs/>
                        </w:rPr>
                      </w:pPr>
                      <w:r w:rsidRPr="00B35F26">
                        <w:rPr>
                          <w:rFonts w:eastAsia="MS Gothic"/>
                          <w:i/>
                          <w:iCs/>
                        </w:rPr>
                        <w:t xml:space="preserve">embedded continuous improvement of quality and safety, with monitoring of patient </w:t>
                      </w:r>
                      <w:r w:rsidR="006B2133" w:rsidRPr="00B35F26">
                        <w:rPr>
                          <w:rFonts w:eastAsia="MS Gothic"/>
                          <w:i/>
                          <w:iCs/>
                        </w:rPr>
                        <w:t>exp</w:t>
                      </w:r>
                      <w:r w:rsidRPr="00B35F26">
                        <w:rPr>
                          <w:rFonts w:eastAsia="MS Gothic"/>
                          <w:i/>
                          <w:iCs/>
                        </w:rPr>
                        <w:t>erience and expert clinical input.</w:t>
                      </w:r>
                    </w:p>
                    <w:p w14:paraId="63498960" w14:textId="24B0FF6C" w:rsidR="00BA7297" w:rsidRPr="008E45B0" w:rsidRDefault="00BF56C3" w:rsidP="00BA7297">
                      <w:pPr>
                        <w:jc w:val="right"/>
                        <w:rPr>
                          <w:i/>
                          <w:iCs/>
                          <w:sz w:val="16"/>
                          <w:szCs w:val="14"/>
                        </w:rPr>
                      </w:pPr>
                      <w:r w:rsidRPr="00B35F26">
                        <w:rPr>
                          <w:sz w:val="16"/>
                          <w:szCs w:val="14"/>
                        </w:rPr>
                        <w:t>Extract from</w:t>
                      </w:r>
                      <w:r w:rsidRPr="00B35F26">
                        <w:rPr>
                          <w:i/>
                          <w:iCs/>
                          <w:sz w:val="16"/>
                          <w:szCs w:val="14"/>
                        </w:rPr>
                        <w:t xml:space="preserve"> </w:t>
                      </w:r>
                      <w:r w:rsidR="00870865" w:rsidRPr="00B35F26">
                        <w:rPr>
                          <w:i/>
                          <w:iCs/>
                          <w:sz w:val="16"/>
                          <w:szCs w:val="14"/>
                        </w:rPr>
                        <w:t xml:space="preserve">Non-Emergency Patient Transport Review Final </w:t>
                      </w:r>
                      <w:r w:rsidR="00EE5040" w:rsidRPr="00B35F26">
                        <w:rPr>
                          <w:i/>
                          <w:iCs/>
                          <w:sz w:val="16"/>
                          <w:szCs w:val="14"/>
                        </w:rPr>
                        <w:t>R</w:t>
                      </w:r>
                      <w:r w:rsidR="00870865" w:rsidRPr="00B35F26">
                        <w:rPr>
                          <w:i/>
                          <w:iCs/>
                          <w:sz w:val="16"/>
                          <w:szCs w:val="14"/>
                        </w:rPr>
                        <w:t>eport</w:t>
                      </w:r>
                      <w:r w:rsidR="00927B1F" w:rsidRPr="00B35F26">
                        <w:rPr>
                          <w:i/>
                          <w:iCs/>
                          <w:sz w:val="16"/>
                          <w:szCs w:val="14"/>
                        </w:rPr>
                        <w:t xml:space="preserve">, </w:t>
                      </w:r>
                      <w:r w:rsidR="00EE5040" w:rsidRPr="00B35F26">
                        <w:rPr>
                          <w:sz w:val="16"/>
                          <w:szCs w:val="14"/>
                        </w:rPr>
                        <w:t xml:space="preserve">Department of Health, </w:t>
                      </w:r>
                      <w:r w:rsidR="00927B1F" w:rsidRPr="00B35F26">
                        <w:rPr>
                          <w:sz w:val="16"/>
                          <w:szCs w:val="14"/>
                        </w:rPr>
                        <w:t>January 2025</w:t>
                      </w:r>
                    </w:p>
                  </w:txbxContent>
                </v:textbox>
                <w10:wrap type="square" anchorx="margin"/>
              </v:shape>
            </w:pict>
          </mc:Fallback>
        </mc:AlternateContent>
      </w:r>
      <w:r w:rsidR="00A4319A" w:rsidRPr="44E86EC1">
        <w:t>The</w:t>
      </w:r>
      <w:r w:rsidR="00C850C0" w:rsidRPr="44E86EC1">
        <w:t xml:space="preserve"> issues</w:t>
      </w:r>
      <w:r w:rsidR="00C17949" w:rsidRPr="44E86EC1">
        <w:t xml:space="preserve"> raised </w:t>
      </w:r>
      <w:r w:rsidR="01F6DB1D" w:rsidRPr="522F3612">
        <w:t xml:space="preserve">during initial consultation </w:t>
      </w:r>
      <w:r w:rsidR="00C17949" w:rsidRPr="44E86EC1">
        <w:t>ca</w:t>
      </w:r>
      <w:r w:rsidR="00C17949">
        <w:t xml:space="preserve">n be </w:t>
      </w:r>
      <w:r w:rsidR="004D69E4">
        <w:t xml:space="preserve">captured by the following </w:t>
      </w:r>
      <w:r w:rsidR="008F4164">
        <w:t>four</w:t>
      </w:r>
      <w:r w:rsidR="49364B96">
        <w:t xml:space="preserve"> </w:t>
      </w:r>
      <w:r w:rsidR="004D69E4">
        <w:t>categories:</w:t>
      </w:r>
    </w:p>
    <w:p w14:paraId="7603A6A0" w14:textId="32E59EA0" w:rsidR="007F28B2" w:rsidRDefault="00F150C6" w:rsidP="00152E9F">
      <w:pPr>
        <w:pStyle w:val="Heading3"/>
        <w:rPr>
          <w:b/>
        </w:rPr>
      </w:pPr>
      <w:r>
        <w:t>Understanding of NEPT in the health service system</w:t>
      </w:r>
    </w:p>
    <w:p w14:paraId="39FDD9C8" w14:textId="5973FD5B" w:rsidR="00126C39" w:rsidRPr="003E5750" w:rsidRDefault="00F562F0" w:rsidP="00370283">
      <w:pPr>
        <w:pStyle w:val="Body"/>
      </w:pPr>
      <w:r>
        <w:t xml:space="preserve">The role of NEPT in the health service system is not </w:t>
      </w:r>
      <w:r w:rsidR="003C025B">
        <w:t xml:space="preserve">consistently understood </w:t>
      </w:r>
      <w:r w:rsidR="00D206F0">
        <w:t>nor</w:t>
      </w:r>
      <w:r w:rsidR="003C025B">
        <w:t xml:space="preserve"> </w:t>
      </w:r>
      <w:r w:rsidR="00B23C78">
        <w:t xml:space="preserve">well </w:t>
      </w:r>
      <w:r w:rsidR="003C025B">
        <w:t>recognised as providi</w:t>
      </w:r>
      <w:r w:rsidR="00DB7411">
        <w:t>ng</w:t>
      </w:r>
      <w:r w:rsidR="00D206F0">
        <w:t xml:space="preserve"> skilled </w:t>
      </w:r>
      <w:r w:rsidR="00DB7411">
        <w:t xml:space="preserve">care to patients who require transport. </w:t>
      </w:r>
      <w:r w:rsidR="00126C39">
        <w:t xml:space="preserve">In line with Recommendation 3 of the NEPT Review (see box above), there are opportunities to consider how </w:t>
      </w:r>
      <w:r w:rsidR="00904B6D">
        <w:t>this role could be better aligned</w:t>
      </w:r>
      <w:r w:rsidR="00126C39">
        <w:t xml:space="preserve"> with broader health system regulatory and quality and safety frameworks</w:t>
      </w:r>
      <w:r w:rsidR="0000021D">
        <w:t>.</w:t>
      </w:r>
      <w:r w:rsidR="00126C39">
        <w:t xml:space="preserve"> </w:t>
      </w:r>
    </w:p>
    <w:p w14:paraId="1F14286E" w14:textId="1F305F42" w:rsidR="00E662A4" w:rsidRDefault="7403E421" w:rsidP="00370283">
      <w:pPr>
        <w:pStyle w:val="Body"/>
      </w:pPr>
      <w:r w:rsidRPr="62EAD7FF">
        <w:t xml:space="preserve">During consultation, providers </w:t>
      </w:r>
      <w:r w:rsidR="2DC91BFB" w:rsidRPr="19295256">
        <w:t>consistently raised the complexity of determining the lower end of NEPT scope</w:t>
      </w:r>
      <w:r w:rsidR="45269758" w:rsidRPr="19295256">
        <w:t>.</w:t>
      </w:r>
      <w:r w:rsidR="2DC91BFB" w:rsidRPr="19295256">
        <w:t xml:space="preserve"> </w:t>
      </w:r>
      <w:r w:rsidR="7A941236" w:rsidRPr="19295256">
        <w:t>Providers</w:t>
      </w:r>
      <w:r w:rsidRPr="19295256" w:rsidDel="7403E421">
        <w:t xml:space="preserve"> </w:t>
      </w:r>
      <w:r w:rsidR="3CE6D603" w:rsidRPr="19295256">
        <w:t>revealed</w:t>
      </w:r>
      <w:r w:rsidR="2A213286" w:rsidRPr="62EAD7FF">
        <w:t xml:space="preserve"> variation in how</w:t>
      </w:r>
      <w:r w:rsidRPr="62EAD7FF">
        <w:t xml:space="preserve"> ‘low acuity’ </w:t>
      </w:r>
      <w:r w:rsidR="2A213286" w:rsidRPr="62EAD7FF">
        <w:t>is interpreted</w:t>
      </w:r>
      <w:r w:rsidR="001C6BA5">
        <w:t>.</w:t>
      </w:r>
      <w:r w:rsidR="002F235D" w:rsidRPr="0021067D">
        <w:t xml:space="preserve"> </w:t>
      </w:r>
      <w:r w:rsidR="001C6BA5">
        <w:t>F</w:t>
      </w:r>
      <w:r w:rsidR="002F235D" w:rsidRPr="0021067D">
        <w:t>or example</w:t>
      </w:r>
      <w:r w:rsidR="00EB48CA">
        <w:t>,</w:t>
      </w:r>
      <w:r w:rsidR="002F235D" w:rsidRPr="0021067D">
        <w:t xml:space="preserve"> one considered a patient ‘low acuity’ only if vital signs do not require monitoring during transport, while others view basic monitoring as the minimum eligibility threshold for NEPT. Confusion has also been caused by the Regulations</w:t>
      </w:r>
      <w:r w:rsidR="00992FF6">
        <w:t>’</w:t>
      </w:r>
      <w:r w:rsidR="002F235D" w:rsidRPr="0021067D">
        <w:t xml:space="preserve"> definition of clinic transport service vehicles (as distinct from NEPT vehicles) as being for ‘ambulant low acuity patients’, creating a subcategory of low acuity patients that are not eligible for </w:t>
      </w:r>
      <w:r w:rsidR="001F2EC9" w:rsidRPr="0021067D">
        <w:t>NEPT. This</w:t>
      </w:r>
      <w:r w:rsidR="006F2480">
        <w:t xml:space="preserve"> a</w:t>
      </w:r>
      <w:r w:rsidR="007F28B2">
        <w:t>mbiguity affects whether a patient is categorised as eligible for NEPT, with consequences for patient safety and health</w:t>
      </w:r>
      <w:r w:rsidR="004D69E4">
        <w:t>-</w:t>
      </w:r>
      <w:r w:rsidR="007F28B2">
        <w:t xml:space="preserve">system efficiency. If patients </w:t>
      </w:r>
      <w:r w:rsidR="004E2C95">
        <w:t>who require</w:t>
      </w:r>
      <w:r w:rsidR="007F28B2">
        <w:t xml:space="preserve"> NEPT</w:t>
      </w:r>
      <w:r w:rsidR="004E2C95">
        <w:t>-level monitoring or care</w:t>
      </w:r>
      <w:r w:rsidR="007F28B2">
        <w:t xml:space="preserve"> are assigned to a transport </w:t>
      </w:r>
      <w:r w:rsidR="00B76371">
        <w:t>that is unable to meet</w:t>
      </w:r>
      <w:r w:rsidR="007F28B2">
        <w:t xml:space="preserve"> </w:t>
      </w:r>
      <w:r w:rsidR="00B92913">
        <w:t>their</w:t>
      </w:r>
      <w:r w:rsidR="007F28B2">
        <w:t xml:space="preserve"> needs,</w:t>
      </w:r>
      <w:r w:rsidR="00961F60">
        <w:t xml:space="preserve"> this increase</w:t>
      </w:r>
      <w:r w:rsidR="00B13F9A">
        <w:t>s</w:t>
      </w:r>
      <w:r w:rsidR="007F28B2">
        <w:t xml:space="preserve"> the likelihood of </w:t>
      </w:r>
      <w:r w:rsidR="007F28B2" w:rsidRPr="00DF7C4B">
        <w:t>adverse patient safety event</w:t>
      </w:r>
      <w:r w:rsidR="00573C6D">
        <w:t>s</w:t>
      </w:r>
      <w:r w:rsidR="007F28B2">
        <w:t xml:space="preserve">. Conversely, if patients who do not require a stretcher vehicle or clinical monitoring are transported by NEPT, </w:t>
      </w:r>
      <w:r w:rsidR="0044220E">
        <w:t xml:space="preserve">this </w:t>
      </w:r>
      <w:r w:rsidR="00CD1E71">
        <w:t xml:space="preserve">reduces availability </w:t>
      </w:r>
      <w:r w:rsidR="00D5529A">
        <w:t>of</w:t>
      </w:r>
      <w:r w:rsidR="007F28B2">
        <w:t xml:space="preserve"> vehicle</w:t>
      </w:r>
      <w:r w:rsidR="0068339D">
        <w:t>s</w:t>
      </w:r>
      <w:r w:rsidR="007F28B2">
        <w:t xml:space="preserve"> and crew</w:t>
      </w:r>
      <w:r w:rsidR="00D5529A">
        <w:t xml:space="preserve">s </w:t>
      </w:r>
      <w:r w:rsidR="007F28B2">
        <w:t>to respond to eligible patients.</w:t>
      </w:r>
    </w:p>
    <w:p w14:paraId="7E3128ED" w14:textId="49F94177" w:rsidR="00570626" w:rsidRDefault="00FB1B64" w:rsidP="00370283">
      <w:pPr>
        <w:pStyle w:val="Body"/>
      </w:pPr>
      <w:r>
        <w:lastRenderedPageBreak/>
        <w:t>S</w:t>
      </w:r>
      <w:r w:rsidR="00154E06" w:rsidRPr="06ECB725">
        <w:t>takeholders</w:t>
      </w:r>
      <w:r>
        <w:t xml:space="preserve"> also</w:t>
      </w:r>
      <w:r w:rsidR="00154E06" w:rsidRPr="06ECB725">
        <w:t xml:space="preserve"> advised that the current drafting renders some clinically suitable</w:t>
      </w:r>
      <w:r>
        <w:t xml:space="preserve"> patient</w:t>
      </w:r>
      <w:r w:rsidR="00154E06" w:rsidRPr="06ECB725">
        <w:t xml:space="preserve"> cohorts </w:t>
      </w:r>
      <w:r w:rsidR="00B00EA7">
        <w:t xml:space="preserve">potentially </w:t>
      </w:r>
      <w:r w:rsidR="00154E06" w:rsidRPr="06ECB725">
        <w:t xml:space="preserve">ineligible for NEPT. </w:t>
      </w:r>
      <w:r w:rsidR="00F06774">
        <w:t>For example</w:t>
      </w:r>
      <w:r w:rsidR="0625DB69" w:rsidRPr="06ECB725">
        <w:t xml:space="preserve">, </w:t>
      </w:r>
      <w:r w:rsidR="00D41F9F" w:rsidRPr="00D41F9F">
        <w:t>patients who have experienced cardiac-related chest pain within the previous two hours</w:t>
      </w:r>
      <w:r w:rsidR="00D41F9F">
        <w:t xml:space="preserve"> prior to transport</w:t>
      </w:r>
      <w:r w:rsidR="00D41F9F" w:rsidRPr="00D41F9F">
        <w:t xml:space="preserve"> are excluded from NEPT</w:t>
      </w:r>
      <w:r w:rsidR="003074EE">
        <w:t xml:space="preserve"> under the Regulations</w:t>
      </w:r>
      <w:r w:rsidR="00D41F9F" w:rsidRPr="00D41F9F">
        <w:t>.</w:t>
      </w:r>
      <w:r w:rsidR="297A9D5E" w:rsidRPr="06ECB725">
        <w:t xml:space="preserve"> </w:t>
      </w:r>
      <w:r w:rsidR="00A016D6">
        <w:t>In practice, t</w:t>
      </w:r>
      <w:r w:rsidR="297A9D5E" w:rsidRPr="06ECB725">
        <w:t xml:space="preserve">his </w:t>
      </w:r>
      <w:r w:rsidR="00A016D6">
        <w:t>assessment</w:t>
      </w:r>
      <w:r w:rsidR="297A9D5E" w:rsidRPr="06ECB725">
        <w:t xml:space="preserve"> </w:t>
      </w:r>
      <w:r w:rsidR="00F06774">
        <w:t>may be self-reported</w:t>
      </w:r>
      <w:r w:rsidR="297A9D5E" w:rsidRPr="06ECB725">
        <w:t xml:space="preserve"> </w:t>
      </w:r>
      <w:r w:rsidR="006F607C">
        <w:t>or</w:t>
      </w:r>
      <w:r w:rsidR="297A9D5E" w:rsidRPr="06ECB725">
        <w:t xml:space="preserve"> made by</w:t>
      </w:r>
      <w:r w:rsidR="4544B625" w:rsidRPr="06ECB725">
        <w:t xml:space="preserve"> </w:t>
      </w:r>
      <w:r w:rsidR="00CC2C5B">
        <w:t>health practitioners</w:t>
      </w:r>
      <w:r w:rsidR="60B66C0C" w:rsidRPr="06ECB725">
        <w:t xml:space="preserve"> </w:t>
      </w:r>
      <w:r w:rsidR="00720D6B">
        <w:t xml:space="preserve">who </w:t>
      </w:r>
      <w:r w:rsidR="00CC2C5B">
        <w:t xml:space="preserve">are </w:t>
      </w:r>
      <w:r w:rsidR="00A016D6">
        <w:t xml:space="preserve">not </w:t>
      </w:r>
      <w:r w:rsidR="005229B0">
        <w:t>directly</w:t>
      </w:r>
      <w:r w:rsidR="00A016D6">
        <w:t xml:space="preserve"> treating</w:t>
      </w:r>
      <w:r w:rsidR="60B66C0C" w:rsidRPr="06ECB725">
        <w:t xml:space="preserve"> the patient</w:t>
      </w:r>
      <w:r w:rsidR="00051132">
        <w:t xml:space="preserve">, </w:t>
      </w:r>
      <w:r w:rsidR="00A75016">
        <w:t>which can lead to conservative</w:t>
      </w:r>
      <w:r w:rsidR="00051132">
        <w:t xml:space="preserve"> exclusion</w:t>
      </w:r>
      <w:r w:rsidR="00A75016">
        <w:t>s</w:t>
      </w:r>
      <w:r w:rsidR="00051132">
        <w:t xml:space="preserve"> fr</w:t>
      </w:r>
      <w:r w:rsidR="00B60CB9">
        <w:t>om</w:t>
      </w:r>
      <w:r w:rsidR="00051132">
        <w:t xml:space="preserve"> NEPT</w:t>
      </w:r>
      <w:r w:rsidR="00F83483">
        <w:t xml:space="preserve">. </w:t>
      </w:r>
      <w:r w:rsidR="00154E06" w:rsidRPr="06ECB725">
        <w:t>Consequently, emergency ambulances are</w:t>
      </w:r>
      <w:r w:rsidR="002454BF">
        <w:t xml:space="preserve"> instead</w:t>
      </w:r>
      <w:r w:rsidR="00154E06" w:rsidRPr="06ECB725">
        <w:t xml:space="preserve"> used for cases that NEPT could safely manage, reducing emergency response capacity. </w:t>
      </w:r>
    </w:p>
    <w:p w14:paraId="271EDD81" w14:textId="58727176" w:rsidR="007F28B2" w:rsidRPr="001321EF" w:rsidRDefault="002C6921" w:rsidP="00F12ACE">
      <w:pPr>
        <w:pStyle w:val="Heading3"/>
      </w:pPr>
      <w:r w:rsidRPr="00F150C6">
        <w:t xml:space="preserve">Further </w:t>
      </w:r>
      <w:r w:rsidR="00F150C6" w:rsidRPr="001321EF">
        <w:t>opportunities</w:t>
      </w:r>
      <w:r w:rsidRPr="001321EF">
        <w:t xml:space="preserve"> to </w:t>
      </w:r>
      <w:r w:rsidR="00F150C6" w:rsidRPr="001321EF">
        <w:t xml:space="preserve">support workforce capability </w:t>
      </w:r>
    </w:p>
    <w:p w14:paraId="66245D67" w14:textId="15DC598E" w:rsidR="007F28B2" w:rsidRDefault="007F28B2" w:rsidP="00370283">
      <w:pPr>
        <w:pStyle w:val="Body"/>
        <w:rPr>
          <w:rFonts w:eastAsia="MS Gothic"/>
        </w:rPr>
      </w:pPr>
      <w:r>
        <w:t xml:space="preserve">Consultation with providers found inconsistency in the </w:t>
      </w:r>
      <w:r w:rsidR="00797216">
        <w:t>approach to</w:t>
      </w:r>
      <w:r>
        <w:t xml:space="preserve"> skills</w:t>
      </w:r>
      <w:r w:rsidR="00890167">
        <w:t xml:space="preserve"> maintenance</w:t>
      </w:r>
      <w:r>
        <w:t xml:space="preserve"> training and competency checks, leading to variation in competency standards</w:t>
      </w:r>
      <w:r w:rsidRPr="00DF7C4B">
        <w:rPr>
          <w:rFonts w:eastAsia="MS Gothic"/>
        </w:rPr>
        <w:t>.</w:t>
      </w:r>
      <w:r>
        <w:rPr>
          <w:rFonts w:eastAsia="MS Gothic"/>
        </w:rPr>
        <w:t xml:space="preserve"> It is important to note that skills </w:t>
      </w:r>
      <w:r w:rsidR="00B21EFC">
        <w:rPr>
          <w:rFonts w:eastAsia="MS Gothic"/>
        </w:rPr>
        <w:t xml:space="preserve">maintenance </w:t>
      </w:r>
      <w:r>
        <w:rPr>
          <w:rFonts w:eastAsia="MS Gothic"/>
        </w:rPr>
        <w:t>training in the Regulations supports not only patient safety by increasing a crew member’s competency to perform their role, but also occupational health and safety.</w:t>
      </w:r>
      <w:r w:rsidRPr="00DF7C4B">
        <w:rPr>
          <w:rFonts w:eastAsia="MS Gothic"/>
        </w:rPr>
        <w:t xml:space="preserve"> </w:t>
      </w:r>
    </w:p>
    <w:p w14:paraId="6DB19A56" w14:textId="6FAA2667" w:rsidR="00F057DD" w:rsidRDefault="007F28B2" w:rsidP="00370283">
      <w:pPr>
        <w:pStyle w:val="Body"/>
        <w:rPr>
          <w:rFonts w:eastAsia="MS Gothic"/>
        </w:rPr>
      </w:pPr>
      <w:r w:rsidRPr="64BA8BDC">
        <w:rPr>
          <w:rFonts w:eastAsia="MS Gothic"/>
        </w:rPr>
        <w:t xml:space="preserve">The Regulations currently specify minimum qualifications for the clinical instructor, while other crew members’ qualifications are mandated in a supplement to the CPPs. In both cases, inflexible requirements raise barriers to entering the sector and career progression. Although recruitment and retention are affected by more than the regulatory framework, </w:t>
      </w:r>
      <w:r w:rsidR="0063098E">
        <w:rPr>
          <w:rFonts w:eastAsia="MS Gothic"/>
        </w:rPr>
        <w:t>regulatory requirements have</w:t>
      </w:r>
      <w:r w:rsidRPr="64BA8BDC">
        <w:rPr>
          <w:rFonts w:eastAsia="MS Gothic"/>
        </w:rPr>
        <w:t xml:space="preserve"> implications for the workforce.</w:t>
      </w:r>
      <w:r w:rsidR="00940389">
        <w:rPr>
          <w:rFonts w:eastAsia="MS Gothic"/>
        </w:rPr>
        <w:t xml:space="preserve"> </w:t>
      </w:r>
      <w:r w:rsidR="0022267F" w:rsidRPr="0022267F">
        <w:rPr>
          <w:rFonts w:eastAsia="MS Gothic"/>
        </w:rPr>
        <w:t xml:space="preserve">Additionally, </w:t>
      </w:r>
      <w:r w:rsidR="00507624">
        <w:rPr>
          <w:rFonts w:eastAsia="MS Gothic"/>
        </w:rPr>
        <w:t xml:space="preserve">some </w:t>
      </w:r>
      <w:r w:rsidR="0022267F" w:rsidRPr="0022267F">
        <w:rPr>
          <w:rFonts w:eastAsia="MS Gothic"/>
        </w:rPr>
        <w:t xml:space="preserve">stakeholders advised that the Certificate IV in Training and Assessment, currently used as an eligibility pathway for clinical instructors, is not </w:t>
      </w:r>
      <w:r w:rsidR="001D1AA7">
        <w:rPr>
          <w:rFonts w:eastAsia="MS Gothic"/>
        </w:rPr>
        <w:t xml:space="preserve">fully </w:t>
      </w:r>
      <w:r w:rsidR="0022267F" w:rsidRPr="0022267F">
        <w:rPr>
          <w:rFonts w:eastAsia="MS Gothic"/>
        </w:rPr>
        <w:t>aligned with the role’s requirements.</w:t>
      </w:r>
      <w:r w:rsidR="007F0E23">
        <w:rPr>
          <w:rFonts w:eastAsia="MS Gothic"/>
        </w:rPr>
        <w:t xml:space="preserve"> </w:t>
      </w:r>
      <w:r w:rsidR="0040083F">
        <w:rPr>
          <w:rFonts w:eastAsia="MS Gothic"/>
        </w:rPr>
        <w:t xml:space="preserve">Some providers surveyed for this RIS </w:t>
      </w:r>
      <w:r w:rsidR="001D2820">
        <w:rPr>
          <w:rFonts w:eastAsia="MS Gothic"/>
        </w:rPr>
        <w:t xml:space="preserve">believe that the course is overly lengthy and contains </w:t>
      </w:r>
      <w:r w:rsidR="00E71138">
        <w:rPr>
          <w:rFonts w:eastAsia="MS Gothic"/>
        </w:rPr>
        <w:t xml:space="preserve">a significant amount of content not relevant to </w:t>
      </w:r>
      <w:r w:rsidR="006F74A0">
        <w:rPr>
          <w:rFonts w:eastAsia="MS Gothic"/>
        </w:rPr>
        <w:t>NEPT</w:t>
      </w:r>
      <w:r w:rsidR="005935A6">
        <w:rPr>
          <w:rFonts w:eastAsia="MS Gothic"/>
        </w:rPr>
        <w:t>.</w:t>
      </w:r>
      <w:r w:rsidR="00583C12">
        <w:rPr>
          <w:rFonts w:eastAsia="MS Gothic"/>
        </w:rPr>
        <w:t xml:space="preserve"> </w:t>
      </w:r>
      <w:r w:rsidR="00FB4337">
        <w:rPr>
          <w:rFonts w:eastAsia="MS Gothic"/>
        </w:rPr>
        <w:t>O</w:t>
      </w:r>
      <w:r w:rsidR="00583C12">
        <w:rPr>
          <w:rFonts w:eastAsia="MS Gothic"/>
        </w:rPr>
        <w:t xml:space="preserve">ne provider suggested that </w:t>
      </w:r>
      <w:proofErr w:type="gramStart"/>
      <w:r w:rsidR="00583C12">
        <w:rPr>
          <w:rFonts w:eastAsia="MS Gothic"/>
        </w:rPr>
        <w:t>the majority of</w:t>
      </w:r>
      <w:proofErr w:type="gramEnd"/>
      <w:r w:rsidR="00583C12">
        <w:rPr>
          <w:rFonts w:eastAsia="MS Gothic"/>
        </w:rPr>
        <w:t xml:space="preserve"> the course </w:t>
      </w:r>
      <w:r w:rsidR="00FF0AA3">
        <w:rPr>
          <w:rFonts w:eastAsia="MS Gothic"/>
        </w:rPr>
        <w:t>was not relevant.</w:t>
      </w:r>
      <w:r w:rsidR="0022267F" w:rsidRPr="0022267F">
        <w:rPr>
          <w:rFonts w:eastAsia="MS Gothic"/>
        </w:rPr>
        <w:t xml:space="preserve"> </w:t>
      </w:r>
      <w:r w:rsidR="001E6530">
        <w:rPr>
          <w:rFonts w:eastAsia="MS Gothic"/>
        </w:rPr>
        <w:t>As such, t</w:t>
      </w:r>
      <w:r w:rsidR="0022267F" w:rsidRPr="0022267F">
        <w:rPr>
          <w:rFonts w:eastAsia="MS Gothic"/>
        </w:rPr>
        <w:t>he time and cost to obtain the qualification</w:t>
      </w:r>
      <w:r w:rsidR="0022267F">
        <w:rPr>
          <w:rFonts w:eastAsia="MS Gothic"/>
        </w:rPr>
        <w:t>, and its relevancy,</w:t>
      </w:r>
      <w:r w:rsidR="0022267F" w:rsidRPr="0022267F">
        <w:rPr>
          <w:rFonts w:eastAsia="MS Gothic"/>
        </w:rPr>
        <w:t xml:space="preserve"> are viewed</w:t>
      </w:r>
      <w:r w:rsidR="0022267F">
        <w:rPr>
          <w:rFonts w:eastAsia="MS Gothic"/>
        </w:rPr>
        <w:t xml:space="preserve"> </w:t>
      </w:r>
      <w:r w:rsidR="0022267F" w:rsidRPr="0022267F">
        <w:rPr>
          <w:rFonts w:eastAsia="MS Gothic"/>
        </w:rPr>
        <w:t xml:space="preserve">as a barrier to </w:t>
      </w:r>
      <w:r w:rsidR="008800FB">
        <w:rPr>
          <w:rFonts w:eastAsia="MS Gothic"/>
        </w:rPr>
        <w:t xml:space="preserve">career </w:t>
      </w:r>
      <w:r w:rsidR="0022267F" w:rsidRPr="0022267F">
        <w:rPr>
          <w:rFonts w:eastAsia="MS Gothic"/>
        </w:rPr>
        <w:t xml:space="preserve">progression for otherwise </w:t>
      </w:r>
      <w:r w:rsidR="008800FB" w:rsidRPr="0022267F">
        <w:rPr>
          <w:rFonts w:eastAsia="MS Gothic"/>
        </w:rPr>
        <w:t>suitab</w:t>
      </w:r>
      <w:r w:rsidR="008800FB">
        <w:rPr>
          <w:rFonts w:eastAsia="MS Gothic"/>
        </w:rPr>
        <w:t xml:space="preserve">ly </w:t>
      </w:r>
      <w:r w:rsidR="00507624">
        <w:rPr>
          <w:rFonts w:eastAsia="MS Gothic"/>
        </w:rPr>
        <w:t>skilled and experienced</w:t>
      </w:r>
      <w:r w:rsidR="0022267F" w:rsidRPr="0022267F">
        <w:rPr>
          <w:rFonts w:eastAsia="MS Gothic"/>
        </w:rPr>
        <w:t xml:space="preserve"> staff.</w:t>
      </w:r>
    </w:p>
    <w:p w14:paraId="15973D95" w14:textId="2452D8D6" w:rsidR="007F28B2" w:rsidRPr="00F150C6" w:rsidRDefault="00CF7E35" w:rsidP="00F12ACE">
      <w:pPr>
        <w:pStyle w:val="Heading3"/>
        <w:rPr>
          <w:b/>
        </w:rPr>
      </w:pPr>
      <w:r>
        <w:t>Limited patient safety reporting and oversight</w:t>
      </w:r>
    </w:p>
    <w:p w14:paraId="72885C1B" w14:textId="7B67471F" w:rsidR="00DB60DF" w:rsidRPr="00DB60DF" w:rsidRDefault="007F28B2" w:rsidP="00370283">
      <w:pPr>
        <w:pStyle w:val="Body"/>
      </w:pPr>
      <w:r>
        <w:t xml:space="preserve">The clinical governance obligations placed on NEPT providers are generally </w:t>
      </w:r>
      <w:r w:rsidR="008B55BC">
        <w:t>narrower and less prescriptive</w:t>
      </w:r>
      <w:r>
        <w:t xml:space="preserve"> than </w:t>
      </w:r>
      <w:r w:rsidR="004D45D1">
        <w:t>those applying to</w:t>
      </w:r>
      <w:r>
        <w:t xml:space="preserve"> other health service entities, despite </w:t>
      </w:r>
      <w:r w:rsidR="00C842B9">
        <w:t>NEPT</w:t>
      </w:r>
      <w:r w:rsidR="00C719BD">
        <w:t>’s</w:t>
      </w:r>
      <w:r>
        <w:t xml:space="preserve"> dire</w:t>
      </w:r>
      <w:r w:rsidR="0096222F">
        <w:t>ct</w:t>
      </w:r>
      <w:r>
        <w:t xml:space="preserve"> </w:t>
      </w:r>
      <w:r w:rsidR="0096222F">
        <w:t>involvement</w:t>
      </w:r>
      <w:r>
        <w:t xml:space="preserve"> in patient care.</w:t>
      </w:r>
      <w:r w:rsidR="00595B0B">
        <w:t xml:space="preserve"> </w:t>
      </w:r>
      <w:r w:rsidR="00DB60DF" w:rsidRPr="00DB60DF">
        <w:t xml:space="preserve">NEPT </w:t>
      </w:r>
      <w:r w:rsidR="0096222F">
        <w:t>work is</w:t>
      </w:r>
      <w:r w:rsidR="00DB60DF" w:rsidRPr="00DB60DF">
        <w:t xml:space="preserve"> dynamic, and as </w:t>
      </w:r>
      <w:r w:rsidR="00347164">
        <w:t>detailed</w:t>
      </w:r>
      <w:r w:rsidR="00DB60DF" w:rsidRPr="00DB60DF">
        <w:t xml:space="preserve"> above, incidents still occur </w:t>
      </w:r>
      <w:r w:rsidR="000E45E8">
        <w:t>under</w:t>
      </w:r>
      <w:r w:rsidR="00417872">
        <w:t xml:space="preserve"> the</w:t>
      </w:r>
      <w:r w:rsidR="00DB60DF" w:rsidRPr="00DB60DF">
        <w:t xml:space="preserve"> </w:t>
      </w:r>
      <w:r w:rsidR="00417872">
        <w:t xml:space="preserve">current </w:t>
      </w:r>
      <w:r w:rsidR="00DB60DF" w:rsidRPr="00DB60DF">
        <w:t>governance and clinical oversight</w:t>
      </w:r>
      <w:r w:rsidR="00417872">
        <w:t xml:space="preserve"> settings</w:t>
      </w:r>
      <w:r w:rsidR="00DB60DF" w:rsidRPr="00DB60DF">
        <w:t>. In 2024–25, providers reported: 4 instances where crews arrived and the patient was deceased, 7 adverse events</w:t>
      </w:r>
      <w:r w:rsidR="00995AF8" w:rsidRPr="00433921">
        <w:rPr>
          <w:rStyle w:val="FootnoteReference"/>
          <w:rFonts w:eastAsia="MS Gothic"/>
        </w:rPr>
        <w:footnoteReference w:id="9"/>
      </w:r>
      <w:r w:rsidR="00DB60DF" w:rsidRPr="00DB60DF">
        <w:t xml:space="preserve"> involving a patient while under the licence holder’s care, and 11 in-transit cardiac</w:t>
      </w:r>
      <w:r w:rsidR="00E27D7D">
        <w:t xml:space="preserve"> </w:t>
      </w:r>
      <w:r w:rsidR="00DB60DF" w:rsidRPr="00DB60DF">
        <w:t xml:space="preserve">arrest incidents. </w:t>
      </w:r>
      <w:r w:rsidR="40B9C49A" w:rsidRPr="7C056FCE">
        <w:t>None</w:t>
      </w:r>
      <w:r w:rsidR="00DB60DF" w:rsidRPr="00DB60DF">
        <w:t xml:space="preserve"> of these incidents </w:t>
      </w:r>
      <w:r w:rsidR="00DB60DF" w:rsidRPr="7C056FCE">
        <w:t>exceed</w:t>
      </w:r>
      <w:r w:rsidR="5739553E" w:rsidRPr="7C056FCE">
        <w:t>ed</w:t>
      </w:r>
      <w:r w:rsidR="00DB60DF" w:rsidRPr="00DB60DF">
        <w:t xml:space="preserve"> an Incident Severity Rating (ISR) of 4, which means a near miss or no-harm event. In instances where a patient death was recorded, these were palliative patients with </w:t>
      </w:r>
      <w:r w:rsidR="00DB60DF" w:rsidRPr="7C056FCE">
        <w:t>advance</w:t>
      </w:r>
      <w:r w:rsidR="00DB60DF" w:rsidRPr="00DB60DF">
        <w:t xml:space="preserve"> care </w:t>
      </w:r>
      <w:r w:rsidR="00DB60DF" w:rsidRPr="7C056FCE">
        <w:t>directi</w:t>
      </w:r>
      <w:r w:rsidR="65D3D4D4" w:rsidRPr="7C056FCE">
        <w:t>ves</w:t>
      </w:r>
      <w:r w:rsidR="00DB60DF" w:rsidRPr="00DB60DF">
        <w:t xml:space="preserve"> in place.</w:t>
      </w:r>
      <w:r w:rsidR="0025699A">
        <w:rPr>
          <w:rStyle w:val="FootnoteReference"/>
          <w:rFonts w:eastAsia="MS Gothic"/>
        </w:rPr>
        <w:footnoteReference w:id="10"/>
      </w:r>
    </w:p>
    <w:p w14:paraId="7ADF6D02" w14:textId="38C9B0F8" w:rsidR="00997909" w:rsidRDefault="00DB60DF" w:rsidP="00370283">
      <w:pPr>
        <w:pStyle w:val="Body"/>
      </w:pPr>
      <w:r w:rsidRPr="00DB60DF">
        <w:t>This pattern underscores a</w:t>
      </w:r>
      <w:r w:rsidR="00CF774A">
        <w:t xml:space="preserve"> limitation in</w:t>
      </w:r>
      <w:r w:rsidRPr="00DB60DF">
        <w:t xml:space="preserve"> the current Regulations whereby they concentrate formal reporting and review on sentinel events</w:t>
      </w:r>
      <w:r w:rsidR="00101123">
        <w:rPr>
          <w:rStyle w:val="FootnoteReference"/>
          <w:rFonts w:eastAsia="MS Gothic"/>
        </w:rPr>
        <w:footnoteReference w:id="11"/>
      </w:r>
      <w:r w:rsidR="00D938E9">
        <w:t xml:space="preserve"> –</w:t>
      </w:r>
      <w:r w:rsidRPr="00DB60DF">
        <w:t xml:space="preserve"> which are, by definition, rare </w:t>
      </w:r>
      <w:r w:rsidR="00B65D7A">
        <w:t xml:space="preserve">– </w:t>
      </w:r>
      <w:r w:rsidRPr="00DB60DF">
        <w:t xml:space="preserve">and </w:t>
      </w:r>
      <w:r w:rsidR="00B65D7A">
        <w:t xml:space="preserve">therefore </w:t>
      </w:r>
      <w:r w:rsidRPr="00DB60DF">
        <w:t>do not capture the more frequent</w:t>
      </w:r>
      <w:r w:rsidR="00786C1C">
        <w:t xml:space="preserve">, </w:t>
      </w:r>
      <w:r w:rsidRPr="00DB60DF">
        <w:t>but still safety-relevant</w:t>
      </w:r>
      <w:r w:rsidR="00707EB1">
        <w:t>,</w:t>
      </w:r>
      <w:r w:rsidR="00991B35">
        <w:t xml:space="preserve"> incidents </w:t>
      </w:r>
      <w:r w:rsidRPr="00DB60DF">
        <w:t>that reveal systemic risk (</w:t>
      </w:r>
      <w:r w:rsidR="0033553D">
        <w:t>for example</w:t>
      </w:r>
      <w:r w:rsidRPr="00DB60DF">
        <w:t>, moderate harm and near-misses).</w:t>
      </w:r>
      <w:r w:rsidR="00257E71">
        <w:t xml:space="preserve"> </w:t>
      </w:r>
      <w:r w:rsidR="00563168" w:rsidRPr="00563168">
        <w:t xml:space="preserve">With incident reporting concentrated on sentinel events, there is </w:t>
      </w:r>
      <w:r w:rsidR="00563168" w:rsidRPr="00563168">
        <w:lastRenderedPageBreak/>
        <w:t>a risk that non-sentinel serious adverse patient-safety events</w:t>
      </w:r>
      <w:r w:rsidR="00FF587E">
        <w:t xml:space="preserve"> (SAPSE)</w:t>
      </w:r>
      <w:r w:rsidR="003C2317">
        <w:rPr>
          <w:rStyle w:val="FootnoteReference"/>
          <w:rFonts w:eastAsia="MS Gothic"/>
        </w:rPr>
        <w:footnoteReference w:id="12"/>
      </w:r>
      <w:r w:rsidR="00563168" w:rsidRPr="00563168">
        <w:t xml:space="preserve"> are disclosed late </w:t>
      </w:r>
      <w:r w:rsidR="007463AD">
        <w:t>(</w:t>
      </w:r>
      <w:r w:rsidR="008E6AF7">
        <w:t xml:space="preserve">currently </w:t>
      </w:r>
      <w:r w:rsidR="0008520A">
        <w:t>this data has been required by the Secretary</w:t>
      </w:r>
      <w:r w:rsidR="00442FF5">
        <w:t xml:space="preserve"> to include in licence holder annual reports</w:t>
      </w:r>
      <w:r w:rsidR="00BA7E28">
        <w:t xml:space="preserve">) </w:t>
      </w:r>
      <w:r w:rsidR="00563168" w:rsidRPr="00563168">
        <w:t xml:space="preserve">reducing the </w:t>
      </w:r>
      <w:r w:rsidR="00DD7F8C">
        <w:t>Health R</w:t>
      </w:r>
      <w:r w:rsidR="00563168" w:rsidRPr="00563168">
        <w:t xml:space="preserve">egulator’s </w:t>
      </w:r>
      <w:r w:rsidR="00442FF5">
        <w:t>capacity to initiate a timely</w:t>
      </w:r>
      <w:r w:rsidR="00563168" w:rsidRPr="00563168">
        <w:t xml:space="preserve"> investigation and response.</w:t>
      </w:r>
      <w:r w:rsidR="0035305F">
        <w:t xml:space="preserve"> </w:t>
      </w:r>
      <w:r w:rsidR="00232EDD" w:rsidRPr="00232EDD">
        <w:t xml:space="preserve">Upon notification of a SAPSE, the Health Regulator initiates a review </w:t>
      </w:r>
      <w:r w:rsidR="006338C7" w:rsidRPr="006338C7">
        <w:t>to identify contributory factors, systemic issues and any non-compliance</w:t>
      </w:r>
      <w:r w:rsidR="006338C7">
        <w:t xml:space="preserve">. </w:t>
      </w:r>
      <w:r w:rsidR="00ED46BD" w:rsidRPr="00ED46BD">
        <w:t>The findings then inform a proportionate regulatory response, ranging from recommendations and improvement notices to</w:t>
      </w:r>
      <w:r w:rsidR="0084234C">
        <w:t xml:space="preserve"> – in extreme cases –</w:t>
      </w:r>
      <w:r w:rsidR="00ED46BD" w:rsidRPr="00ED46BD">
        <w:t xml:space="preserve"> </w:t>
      </w:r>
      <w:r w:rsidR="0084234C">
        <w:t xml:space="preserve">licence </w:t>
      </w:r>
      <w:r w:rsidR="00ED46BD" w:rsidRPr="00ED46BD">
        <w:t>suspension</w:t>
      </w:r>
      <w:r w:rsidR="0084234C">
        <w:t xml:space="preserve"> or </w:t>
      </w:r>
      <w:r w:rsidR="00ED46BD" w:rsidRPr="00ED46BD">
        <w:t>cancellation.</w:t>
      </w:r>
      <w:r w:rsidR="00B5102F">
        <w:t xml:space="preserve"> </w:t>
      </w:r>
      <w:r w:rsidR="0026482B" w:rsidRPr="0026482B">
        <w:t xml:space="preserve">Timely notification allows investigations to be based on the best available evidence, rather than delayed follow-up </w:t>
      </w:r>
      <w:r w:rsidR="00AB65BC">
        <w:t xml:space="preserve">that could occur </w:t>
      </w:r>
      <w:r w:rsidR="0026482B" w:rsidRPr="0026482B">
        <w:t>months later.</w:t>
      </w:r>
    </w:p>
    <w:p w14:paraId="01293A7D" w14:textId="39E6A3D0" w:rsidR="007F28B2" w:rsidRDefault="007F28B2" w:rsidP="00370283">
      <w:pPr>
        <w:pStyle w:val="Body"/>
      </w:pPr>
      <w:r w:rsidRPr="002D55E5">
        <w:t>Amendments made to the Regulations in 2021 introduced the</w:t>
      </w:r>
      <w:r>
        <w:t xml:space="preserve"> requirement </w:t>
      </w:r>
      <w:r w:rsidR="00031BA9">
        <w:t xml:space="preserve">for NEPT providers </w:t>
      </w:r>
      <w:r>
        <w:t xml:space="preserve">to have a clinical oversight committee (COC), with the aim of improving patient outcomes </w:t>
      </w:r>
      <w:r w:rsidR="00B32826">
        <w:t xml:space="preserve">through </w:t>
      </w:r>
      <w:r>
        <w:t>improved clinical governance. Although some COC member professions are now prescribed, nothing in the Regulations prevents the committee being composed entirely of members without clinical experience</w:t>
      </w:r>
      <w:r w:rsidRPr="00DF7C4B">
        <w:t>. </w:t>
      </w:r>
      <w:r>
        <w:t>This weakens the COC’s governance capability</w:t>
      </w:r>
      <w:r w:rsidR="00394C07">
        <w:t xml:space="preserve"> </w:t>
      </w:r>
      <w:r w:rsidR="00394C07" w:rsidRPr="00394C07">
        <w:t>and risks decisions being disconnected from clinical realities and in-transit risk</w:t>
      </w:r>
      <w:r>
        <w:t>.</w:t>
      </w:r>
    </w:p>
    <w:p w14:paraId="3F102926" w14:textId="6740ED89" w:rsidR="7A0E0855" w:rsidRPr="00D564B5" w:rsidRDefault="003F33C9" w:rsidP="00F12ACE">
      <w:pPr>
        <w:pStyle w:val="Heading3"/>
        <w:rPr>
          <w:b/>
        </w:rPr>
      </w:pPr>
      <w:r>
        <w:t xml:space="preserve">Inefficient service delivery </w:t>
      </w:r>
    </w:p>
    <w:p w14:paraId="677A412F" w14:textId="7351807E" w:rsidR="008C3446" w:rsidRPr="0073309C" w:rsidRDefault="00D564B5" w:rsidP="7A0E0855">
      <w:pPr>
        <w:pStyle w:val="Body"/>
      </w:pPr>
      <w:r w:rsidRPr="00E104D0">
        <w:t>Amendments in 2021 introduced a 400,000</w:t>
      </w:r>
      <w:r w:rsidR="0010137A">
        <w:t xml:space="preserve"> </w:t>
      </w:r>
      <w:r w:rsidRPr="00E104D0">
        <w:t xml:space="preserve">km vehicle life limit to promote fleet safety. </w:t>
      </w:r>
      <w:r w:rsidR="00B57459" w:rsidRPr="00E104D0">
        <w:t>Consultation has</w:t>
      </w:r>
      <w:r w:rsidR="00DF6054" w:rsidRPr="00E104D0">
        <w:t xml:space="preserve"> indicated that </w:t>
      </w:r>
      <w:r w:rsidR="00212C00">
        <w:t>a uniform</w:t>
      </w:r>
      <w:r w:rsidRPr="00E104D0">
        <w:t xml:space="preserve"> threshold may have disproportionate impacts on regional providers, who accrue kilometres more </w:t>
      </w:r>
      <w:r w:rsidR="00E6681B" w:rsidRPr="00E104D0">
        <w:t>rapidly</w:t>
      </w:r>
      <w:r w:rsidR="00DC045F">
        <w:t xml:space="preserve"> due to longer transport distances</w:t>
      </w:r>
      <w:r w:rsidR="00E6681B" w:rsidRPr="00E104D0">
        <w:t xml:space="preserve">. </w:t>
      </w:r>
      <w:r w:rsidR="008C3446" w:rsidRPr="00E104D0">
        <w:t xml:space="preserve">While there is an exemption </w:t>
      </w:r>
      <w:r w:rsidR="005A2EFF">
        <w:t>pathway</w:t>
      </w:r>
      <w:r w:rsidR="008C3446" w:rsidRPr="00E104D0">
        <w:t xml:space="preserve"> in place</w:t>
      </w:r>
      <w:r w:rsidR="00E749F5" w:rsidRPr="00E104D0">
        <w:t xml:space="preserve"> for up to a maximum mileage of 600,000 km, </w:t>
      </w:r>
      <w:r w:rsidR="00B86326" w:rsidRPr="00E104D0">
        <w:t xml:space="preserve">some providers have indicated </w:t>
      </w:r>
      <w:r w:rsidR="00AB1A64" w:rsidRPr="00E104D0">
        <w:t xml:space="preserve">that this limit </w:t>
      </w:r>
      <w:r w:rsidR="006B1753">
        <w:t>remains</w:t>
      </w:r>
      <w:r w:rsidR="00B96DC4" w:rsidRPr="00E104D0">
        <w:t xml:space="preserve"> restrictive and tha</w:t>
      </w:r>
      <w:r w:rsidR="00C34114" w:rsidRPr="00E104D0">
        <w:t xml:space="preserve">t the exemption process </w:t>
      </w:r>
      <w:r w:rsidR="00677371" w:rsidRPr="00E104D0">
        <w:t xml:space="preserve">creates </w:t>
      </w:r>
      <w:r w:rsidR="00261C16" w:rsidRPr="00261C16">
        <w:t>administrative burden and planning uncertainty.</w:t>
      </w:r>
      <w:r w:rsidR="005A28EB">
        <w:t xml:space="preserve"> </w:t>
      </w:r>
      <w:r w:rsidR="0018471F" w:rsidRPr="0073309C">
        <w:t>By the end of 2024-25, approximately 13 per cent of Victoria’s NEPT vehicles had odometer readings over 400,000 km</w:t>
      </w:r>
      <w:r w:rsidR="00293E60" w:rsidRPr="0073309C">
        <w:t xml:space="preserve">, and </w:t>
      </w:r>
      <w:r w:rsidR="1F4E0325" w:rsidRPr="0073309C">
        <w:t xml:space="preserve">a further </w:t>
      </w:r>
      <w:r w:rsidR="00F224BF" w:rsidRPr="0073309C">
        <w:t xml:space="preserve">10 per cent </w:t>
      </w:r>
      <w:r w:rsidR="7F80D3F9" w:rsidRPr="0073309C">
        <w:t>were</w:t>
      </w:r>
      <w:r w:rsidR="00257C48" w:rsidRPr="0073309C">
        <w:t xml:space="preserve"> approaching the vehicle life limit</w:t>
      </w:r>
      <w:r w:rsidR="7F80D3F9" w:rsidRPr="0073309C">
        <w:t xml:space="preserve"> with </w:t>
      </w:r>
      <w:r w:rsidR="00257C48" w:rsidRPr="0073309C">
        <w:t xml:space="preserve">readings of </w:t>
      </w:r>
      <w:r w:rsidR="00B06DC8" w:rsidRPr="0073309C">
        <w:t xml:space="preserve">350,000 </w:t>
      </w:r>
      <w:r w:rsidR="004542A1" w:rsidRPr="0073309C">
        <w:t>to</w:t>
      </w:r>
      <w:r w:rsidR="00B06DC8" w:rsidRPr="0073309C">
        <w:t xml:space="preserve"> </w:t>
      </w:r>
      <w:r w:rsidR="004542A1" w:rsidRPr="0073309C">
        <w:t>399</w:t>
      </w:r>
      <w:r w:rsidR="00B06DC8" w:rsidRPr="0073309C">
        <w:t>,000</w:t>
      </w:r>
      <w:r w:rsidR="004542A1" w:rsidRPr="0073309C">
        <w:t xml:space="preserve"> km</w:t>
      </w:r>
      <w:r w:rsidR="0018471F" w:rsidRPr="0073309C">
        <w:t>.</w:t>
      </w:r>
    </w:p>
    <w:p w14:paraId="0432F6F7" w14:textId="4CDA7691" w:rsidR="00733B28" w:rsidRPr="0073309C" w:rsidRDefault="002C6D32" w:rsidP="7A0E0855">
      <w:pPr>
        <w:pStyle w:val="Body"/>
      </w:pPr>
      <w:r w:rsidRPr="0073309C">
        <w:t xml:space="preserve">A survey of </w:t>
      </w:r>
      <w:r w:rsidR="00E3453C">
        <w:t>licen</w:t>
      </w:r>
      <w:r w:rsidR="00B97131">
        <w:t>s</w:t>
      </w:r>
      <w:r w:rsidR="00E3453C">
        <w:t>ed</w:t>
      </w:r>
      <w:r w:rsidRPr="0073309C">
        <w:t xml:space="preserve"> providers indicate</w:t>
      </w:r>
      <w:r w:rsidR="00851F71" w:rsidRPr="0073309C">
        <w:t>d</w:t>
      </w:r>
      <w:r w:rsidRPr="0073309C">
        <w:t xml:space="preserve"> vehicles would meet the threshold and require replacement every 8 to 10 years if used only </w:t>
      </w:r>
      <w:r w:rsidR="0094206B" w:rsidRPr="0073309C">
        <w:t xml:space="preserve">in </w:t>
      </w:r>
      <w:r w:rsidRPr="0073309C">
        <w:t>metropolitan areas,</w:t>
      </w:r>
      <w:r w:rsidR="0029517D" w:rsidRPr="0073309C">
        <w:t xml:space="preserve"> whereas vehicles used for regional transport would meet the threshold in</w:t>
      </w:r>
      <w:r w:rsidR="00755211" w:rsidRPr="0073309C">
        <w:t xml:space="preserve"> </w:t>
      </w:r>
      <w:r w:rsidR="00154366" w:rsidRPr="0073309C">
        <w:t xml:space="preserve">an average of </w:t>
      </w:r>
      <w:r w:rsidR="075451DB" w:rsidRPr="0073309C">
        <w:t xml:space="preserve">only </w:t>
      </w:r>
      <w:r w:rsidR="00154366" w:rsidRPr="0073309C">
        <w:t>five years</w:t>
      </w:r>
      <w:r w:rsidR="00EF4BBC" w:rsidRPr="0073309C">
        <w:t xml:space="preserve">. </w:t>
      </w:r>
      <w:r w:rsidR="00851F71" w:rsidRPr="0073309C">
        <w:t>P</w:t>
      </w:r>
      <w:r w:rsidR="00C97F11" w:rsidRPr="0073309C">
        <w:t>roviders</w:t>
      </w:r>
      <w:r w:rsidR="00EF4BBC" w:rsidRPr="0073309C">
        <w:t xml:space="preserve"> </w:t>
      </w:r>
      <w:r w:rsidR="001615D3">
        <w:t>that</w:t>
      </w:r>
      <w:r w:rsidR="001615D3" w:rsidRPr="0073309C">
        <w:t xml:space="preserve"> </w:t>
      </w:r>
      <w:r w:rsidR="00EF4BBC" w:rsidRPr="0073309C">
        <w:t xml:space="preserve">rotate </w:t>
      </w:r>
      <w:r w:rsidR="00EE07DA" w:rsidRPr="0073309C">
        <w:t>their fleet</w:t>
      </w:r>
      <w:r w:rsidR="00EF4BBC" w:rsidRPr="0073309C">
        <w:t xml:space="preserve"> between metropolitan and regional transport</w:t>
      </w:r>
      <w:r w:rsidR="003560D8" w:rsidRPr="0073309C">
        <w:t xml:space="preserve"> </w:t>
      </w:r>
      <w:r w:rsidR="182BBEB3" w:rsidRPr="0073309C">
        <w:t xml:space="preserve">advised they would </w:t>
      </w:r>
      <w:r w:rsidR="00B85AA2" w:rsidRPr="0073309C">
        <w:t xml:space="preserve">need to replace vehicles </w:t>
      </w:r>
      <w:r w:rsidR="00EE07DA" w:rsidRPr="0073309C">
        <w:t>approximately every 7 years</w:t>
      </w:r>
      <w:r w:rsidR="00851F71" w:rsidRPr="0073309C">
        <w:t xml:space="preserve"> on average</w:t>
      </w:r>
      <w:r w:rsidR="28625101" w:rsidRPr="0073309C">
        <w:t xml:space="preserve"> to comply with the current Regulations</w:t>
      </w:r>
      <w:r w:rsidR="00EE07DA" w:rsidRPr="0073309C">
        <w:t>.</w:t>
      </w:r>
    </w:p>
    <w:p w14:paraId="509B56BC" w14:textId="7779BA3A" w:rsidR="00414A41" w:rsidRDefault="00414A41" w:rsidP="7A0E0855">
      <w:pPr>
        <w:pStyle w:val="Body"/>
      </w:pPr>
      <w:r>
        <w:t>S</w:t>
      </w:r>
      <w:r w:rsidRPr="00414A41">
        <w:t xml:space="preserve">takeholders also report higher capital costs and more frequent replacements without clear evidence of additional safety benefit at the current thresholds. Industry experts consulted suggest that condition, maintenance quality, </w:t>
      </w:r>
      <w:r>
        <w:t>and</w:t>
      </w:r>
      <w:r w:rsidRPr="00414A41">
        <w:t xml:space="preserve"> inspection findings are stronger predictors of </w:t>
      </w:r>
      <w:r>
        <w:t>vehicle</w:t>
      </w:r>
      <w:r w:rsidRPr="00414A41">
        <w:t xml:space="preserve"> safety than odometer readings alone</w:t>
      </w:r>
      <w:r w:rsidR="00CA46F9">
        <w:t>.</w:t>
      </w:r>
    </w:p>
    <w:p w14:paraId="6F8EF9EC" w14:textId="76398D7F" w:rsidR="0072673E" w:rsidRPr="00E104D0" w:rsidRDefault="00383153" w:rsidP="7A0E0855">
      <w:pPr>
        <w:pStyle w:val="Body"/>
      </w:pPr>
      <w:r>
        <w:t>If</w:t>
      </w:r>
      <w:r w:rsidR="0072673E" w:rsidRPr="0072673E">
        <w:t xml:space="preserve"> the current mileage settings are not proportionate to risk</w:t>
      </w:r>
      <w:r w:rsidR="21FFE4AF">
        <w:t>,</w:t>
      </w:r>
      <w:r w:rsidR="0072673E" w:rsidRPr="0072673E">
        <w:t xml:space="preserve"> </w:t>
      </w:r>
      <w:r>
        <w:t>they</w:t>
      </w:r>
      <w:r w:rsidRPr="0072673E">
        <w:t xml:space="preserve"> </w:t>
      </w:r>
      <w:r w:rsidR="0072673E" w:rsidRPr="0072673E">
        <w:t xml:space="preserve">may reduce regional service sustainability </w:t>
      </w:r>
      <w:r w:rsidR="0072673E">
        <w:t>and availability</w:t>
      </w:r>
      <w:r w:rsidR="0072673E" w:rsidRPr="0072673E">
        <w:t xml:space="preserve"> without demonstrable safety gains. The exemption mechanism may not efficiently target risk and can impose avoidable compliance costs.</w:t>
      </w:r>
    </w:p>
    <w:p w14:paraId="116299D8" w14:textId="7B438B66" w:rsidR="00D2693E" w:rsidRPr="00CF7E35" w:rsidRDefault="00720BB6" w:rsidP="00CF7E35">
      <w:pPr>
        <w:pStyle w:val="Body"/>
      </w:pPr>
      <w:r w:rsidRPr="00CF7E35">
        <w:t>The Regulations currently allow co-loading of up to two low-acuity patients per vehicle, including aircraft, and prohibit multi-loading for medium- or high-acuity transports. Stakeholders report that this constraint for air transport – with greater payload and storage capacity – can reduce transfer throughput and extend some patients’ length of stay</w:t>
      </w:r>
      <w:r w:rsidR="009975C8" w:rsidRPr="00CF7E35">
        <w:t xml:space="preserve"> at health services</w:t>
      </w:r>
      <w:r w:rsidRPr="00CF7E35">
        <w:t xml:space="preserve">. Flow-on effects </w:t>
      </w:r>
      <w:r w:rsidR="009975C8" w:rsidRPr="00CF7E35">
        <w:t>can</w:t>
      </w:r>
      <w:r w:rsidRPr="00CF7E35">
        <w:t xml:space="preserve"> include reduced bed availability, </w:t>
      </w:r>
      <w:r w:rsidR="009B281C" w:rsidRPr="00CF7E35">
        <w:t>deferred patient care</w:t>
      </w:r>
      <w:r w:rsidRPr="00CF7E35">
        <w:t xml:space="preserve">, and </w:t>
      </w:r>
      <w:r w:rsidR="00DC50DF" w:rsidRPr="00CF7E35">
        <w:t>the ability to offload incoming ambulance patients into the Emergency Department.</w:t>
      </w:r>
    </w:p>
    <w:p w14:paraId="7CB3FC18" w14:textId="0AA3690B" w:rsidR="00D2693E" w:rsidRDefault="00D2693E" w:rsidP="00CF7E35">
      <w:pPr>
        <w:pStyle w:val="Body"/>
      </w:pPr>
      <w:r w:rsidRPr="00CF7E35">
        <w:lastRenderedPageBreak/>
        <w:t>If not addressed, these identified risks may lead to avoidable patient harm and inequitable access, with downstream impacts on Ambulance Victoria’s capacity, hospital flow, and bed availability.</w:t>
      </w:r>
    </w:p>
    <w:p w14:paraId="554C47A8" w14:textId="748F6AF2" w:rsidR="003865FB" w:rsidRDefault="003865FB" w:rsidP="00370283">
      <w:pPr>
        <w:pStyle w:val="Body"/>
        <w:rPr>
          <w:rFonts w:eastAsia="MS Gothic" w:cs="Arial"/>
          <w:color w:val="201547"/>
          <w:kern w:val="32"/>
          <w:sz w:val="44"/>
          <w:szCs w:val="44"/>
        </w:rPr>
      </w:pPr>
      <w:r>
        <w:br w:type="page"/>
      </w:r>
    </w:p>
    <w:p w14:paraId="5542E56A" w14:textId="295CCCE5" w:rsidR="00990E61" w:rsidRDefault="00436F38" w:rsidP="00222951">
      <w:pPr>
        <w:pStyle w:val="Heading1"/>
      </w:pPr>
      <w:bookmarkStart w:id="15" w:name="_Toc215847509"/>
      <w:r>
        <w:lastRenderedPageBreak/>
        <w:t xml:space="preserve">3. </w:t>
      </w:r>
      <w:r w:rsidR="00990E61">
        <w:t xml:space="preserve">Objectives of </w:t>
      </w:r>
      <w:r w:rsidR="000F7DB9">
        <w:t>a</w:t>
      </w:r>
      <w:r w:rsidR="00990E61">
        <w:t>ction</w:t>
      </w:r>
      <w:bookmarkEnd w:id="15"/>
    </w:p>
    <w:p w14:paraId="6B78D291" w14:textId="53813EDA" w:rsidR="00776AF5" w:rsidRDefault="00776AF5" w:rsidP="009E4B60">
      <w:pPr>
        <w:pStyle w:val="Body"/>
      </w:pPr>
      <w:r w:rsidRPr="00776AF5">
        <w:t>The Regulations support the Act by setting clear standards, providing appropriate oversight, and enabling a sustainable sector with a capable workforce to ensure safe non-emergency patient transport.</w:t>
      </w:r>
    </w:p>
    <w:p w14:paraId="0A5CBEFE" w14:textId="77777777" w:rsidR="00BD4E87" w:rsidRDefault="00BC29EA" w:rsidP="00F36910">
      <w:pPr>
        <w:pStyle w:val="Body"/>
      </w:pPr>
      <w:r w:rsidRPr="00BC29EA">
        <w:t xml:space="preserve">Section 4A sets out the Act’s objectives to ensure that the holders of </w:t>
      </w:r>
      <w:r w:rsidR="00BD4E87">
        <w:t>NEPT</w:t>
      </w:r>
      <w:r w:rsidRPr="00BC29EA">
        <w:t xml:space="preserve"> service licences: </w:t>
      </w:r>
    </w:p>
    <w:p w14:paraId="6E7B30A6" w14:textId="6525266B" w:rsidR="00BD4E87" w:rsidRDefault="00BD4E87" w:rsidP="00105E26">
      <w:pPr>
        <w:pStyle w:val="Bullet1"/>
      </w:pPr>
      <w:r>
        <w:t>P</w:t>
      </w:r>
      <w:r w:rsidR="00BC29EA" w:rsidRPr="00BD4E87">
        <w:t>rovide NEPT services that are safe, of an appropriate quality and give priority to patients’ needs</w:t>
      </w:r>
      <w:r w:rsidR="00DA34FB">
        <w:t>.</w:t>
      </w:r>
    </w:p>
    <w:p w14:paraId="2818F095" w14:textId="4EA27283" w:rsidR="00BD4E87" w:rsidRDefault="00BD4E87" w:rsidP="00105E26">
      <w:pPr>
        <w:pStyle w:val="Bullet1"/>
      </w:pPr>
      <w:r>
        <w:t>F</w:t>
      </w:r>
      <w:r w:rsidR="00BC29EA" w:rsidRPr="00BD4E87">
        <w:t>oster continuous improvement in the quality and safety of those services</w:t>
      </w:r>
      <w:r w:rsidR="00DA34FB">
        <w:t>.</w:t>
      </w:r>
    </w:p>
    <w:p w14:paraId="217B84A2" w14:textId="23B0ED2C" w:rsidR="00BC29EA" w:rsidRDefault="00BD4E87" w:rsidP="00105E26">
      <w:pPr>
        <w:pStyle w:val="Bullet1"/>
      </w:pPr>
      <w:r>
        <w:t>M</w:t>
      </w:r>
      <w:r w:rsidR="00BC29EA" w:rsidRPr="00BD4E87">
        <w:t>aintain suitable clinical governance, and management and staffing arrangements in those services.</w:t>
      </w:r>
    </w:p>
    <w:p w14:paraId="1DBEBC5D" w14:textId="41A53679" w:rsidR="009D1066" w:rsidRPr="00D64E71" w:rsidRDefault="00C23B54" w:rsidP="00DC067D">
      <w:pPr>
        <w:pStyle w:val="Bodyafterbullets"/>
        <w:rPr>
          <w:rStyle w:val="Strong"/>
        </w:rPr>
      </w:pPr>
      <w:r w:rsidRPr="00D64E71">
        <w:rPr>
          <w:rStyle w:val="Strong"/>
        </w:rPr>
        <w:t>The objective of the Regulations is t</w:t>
      </w:r>
      <w:r w:rsidR="009D1066" w:rsidRPr="00D64E71">
        <w:rPr>
          <w:rStyle w:val="Strong"/>
        </w:rPr>
        <w:t xml:space="preserve">o provide standards and requirements </w:t>
      </w:r>
      <w:r w:rsidR="004236CA">
        <w:rPr>
          <w:rStyle w:val="Strong"/>
        </w:rPr>
        <w:t>for the</w:t>
      </w:r>
      <w:r w:rsidR="009D1066" w:rsidRPr="00D64E71">
        <w:rPr>
          <w:rStyle w:val="Strong"/>
        </w:rPr>
        <w:t xml:space="preserve"> </w:t>
      </w:r>
      <w:r w:rsidR="0084776F">
        <w:rPr>
          <w:rStyle w:val="Strong"/>
        </w:rPr>
        <w:t>provision of non-emergency patient transport services</w:t>
      </w:r>
      <w:r w:rsidR="00FC7C98">
        <w:rPr>
          <w:rStyle w:val="Strong"/>
        </w:rPr>
        <w:t xml:space="preserve">, and in particular, standards for the </w:t>
      </w:r>
      <w:r w:rsidR="009D1066" w:rsidRPr="00D64E71">
        <w:rPr>
          <w:rStyle w:val="Strong"/>
        </w:rPr>
        <w:t xml:space="preserve">safety and quality of care of patients using </w:t>
      </w:r>
      <w:r w:rsidR="00FC7C98">
        <w:rPr>
          <w:rStyle w:val="Strong"/>
        </w:rPr>
        <w:t>the services</w:t>
      </w:r>
      <w:r w:rsidR="009D1066" w:rsidRPr="00D64E71">
        <w:rPr>
          <w:rStyle w:val="Strong"/>
        </w:rPr>
        <w:t xml:space="preserve">. </w:t>
      </w:r>
    </w:p>
    <w:p w14:paraId="74064173" w14:textId="702970E8" w:rsidR="003F0250" w:rsidRPr="003F0250" w:rsidRDefault="003F0250" w:rsidP="00143B00">
      <w:pPr>
        <w:pStyle w:val="Body"/>
      </w:pPr>
      <w:r w:rsidRPr="3C01E670">
        <w:t xml:space="preserve">Government </w:t>
      </w:r>
      <w:r w:rsidR="2387AF40" w:rsidRPr="3C01E670">
        <w:t>action aims t</w:t>
      </w:r>
      <w:r w:rsidRPr="3C01E670">
        <w:t xml:space="preserve">o ensure that the Regulations continue to </w:t>
      </w:r>
      <w:r w:rsidR="00B93C66">
        <w:t>meet these</w:t>
      </w:r>
      <w:r w:rsidR="00CE7878">
        <w:t xml:space="preserve"> statutory</w:t>
      </w:r>
      <w:r w:rsidR="00B93C66">
        <w:t xml:space="preserve"> objectives</w:t>
      </w:r>
      <w:r w:rsidR="003C7D1F">
        <w:t xml:space="preserve">, </w:t>
      </w:r>
      <w:r w:rsidR="00DD4B08" w:rsidRPr="00DD4B08">
        <w:t>while supporting a sustainable sector capable of meeting patient needs.</w:t>
      </w:r>
      <w:r w:rsidR="00DD4B08">
        <w:t xml:space="preserve"> </w:t>
      </w:r>
      <w:r w:rsidR="00357E5D" w:rsidRPr="00357E5D">
        <w:t xml:space="preserve">The specific objectives informing this assessment </w:t>
      </w:r>
      <w:r w:rsidR="00A06073">
        <w:t xml:space="preserve">of the Regulations </w:t>
      </w:r>
      <w:r w:rsidR="00357E5D" w:rsidRPr="00357E5D">
        <w:t>are to:</w:t>
      </w:r>
    </w:p>
    <w:p w14:paraId="2F09DDB4" w14:textId="0ACA081F" w:rsidR="003F0250" w:rsidRPr="003F0250" w:rsidRDefault="00E41901" w:rsidP="00143B00">
      <w:pPr>
        <w:pStyle w:val="Bullet1"/>
        <w:numPr>
          <w:ilvl w:val="0"/>
          <w:numId w:val="7"/>
        </w:numPr>
        <w:rPr>
          <w:b/>
        </w:rPr>
      </w:pPr>
      <w:r w:rsidRPr="003F0250">
        <w:rPr>
          <w:b/>
          <w:bCs/>
        </w:rPr>
        <w:t>En</w:t>
      </w:r>
      <w:r>
        <w:rPr>
          <w:b/>
          <w:bCs/>
        </w:rPr>
        <w:t>sure</w:t>
      </w:r>
      <w:r w:rsidRPr="003F0250">
        <w:rPr>
          <w:b/>
          <w:bCs/>
        </w:rPr>
        <w:t xml:space="preserve"> </w:t>
      </w:r>
      <w:r w:rsidR="003F0250" w:rsidRPr="003F0250">
        <w:rPr>
          <w:b/>
          <w:bCs/>
        </w:rPr>
        <w:t>patient safety</w:t>
      </w:r>
      <w:r w:rsidR="003F0250">
        <w:t> through improved clinical oversight and clearer service definitions.</w:t>
      </w:r>
    </w:p>
    <w:p w14:paraId="288AFEDC" w14:textId="264A126B" w:rsidR="003F0250" w:rsidRPr="003F0250" w:rsidRDefault="003F0250" w:rsidP="002C46CD">
      <w:pPr>
        <w:pStyle w:val="Bullet1"/>
        <w:numPr>
          <w:ilvl w:val="0"/>
          <w:numId w:val="7"/>
        </w:numPr>
      </w:pPr>
      <w:r w:rsidRPr="003F0250">
        <w:rPr>
          <w:b/>
          <w:bCs/>
        </w:rPr>
        <w:t>Support a skilled and capable workforce</w:t>
      </w:r>
      <w:r w:rsidRPr="003F0250">
        <w:t> by recognising qualifications, standardising training, and improving career pathways.</w:t>
      </w:r>
    </w:p>
    <w:p w14:paraId="4AB91158" w14:textId="20DDA9BA" w:rsidR="003F0250" w:rsidRDefault="00C14D5E" w:rsidP="007A222C">
      <w:pPr>
        <w:pStyle w:val="Bullet1"/>
        <w:numPr>
          <w:ilvl w:val="0"/>
          <w:numId w:val="7"/>
        </w:numPr>
      </w:pPr>
      <w:r w:rsidRPr="11ED8C2E">
        <w:rPr>
          <w:b/>
          <w:bCs/>
        </w:rPr>
        <w:t>Recognis</w:t>
      </w:r>
      <w:r w:rsidR="5539DBBD" w:rsidRPr="11ED8C2E">
        <w:rPr>
          <w:b/>
          <w:bCs/>
        </w:rPr>
        <w:t>e</w:t>
      </w:r>
      <w:r>
        <w:rPr>
          <w:b/>
          <w:bCs/>
        </w:rPr>
        <w:t xml:space="preserve"> </w:t>
      </w:r>
      <w:r w:rsidR="003F0250" w:rsidRPr="003F0250">
        <w:rPr>
          <w:b/>
          <w:bCs/>
        </w:rPr>
        <w:t xml:space="preserve">NEPT </w:t>
      </w:r>
      <w:r>
        <w:rPr>
          <w:b/>
          <w:bCs/>
        </w:rPr>
        <w:t xml:space="preserve">as a health </w:t>
      </w:r>
      <w:r w:rsidR="003F0250" w:rsidRPr="003F0250">
        <w:rPr>
          <w:b/>
          <w:bCs/>
        </w:rPr>
        <w:t>service</w:t>
      </w:r>
      <w:r w:rsidR="00BD65B0">
        <w:t xml:space="preserve"> to support</w:t>
      </w:r>
      <w:r w:rsidR="003F0250" w:rsidRPr="003F0250">
        <w:t xml:space="preserve"> appropriate integration</w:t>
      </w:r>
      <w:r w:rsidR="00105E26">
        <w:t>, coordination</w:t>
      </w:r>
      <w:r w:rsidR="003F0250" w:rsidRPr="003F0250">
        <w:t xml:space="preserve"> and resource allocation.</w:t>
      </w:r>
    </w:p>
    <w:p w14:paraId="6FF96343" w14:textId="5BC7F77D" w:rsidR="00AF6780" w:rsidRPr="003F0250" w:rsidRDefault="00AF6780" w:rsidP="002C46CD">
      <w:pPr>
        <w:pStyle w:val="Bullet1"/>
        <w:numPr>
          <w:ilvl w:val="0"/>
          <w:numId w:val="7"/>
        </w:numPr>
      </w:pPr>
      <w:r w:rsidRPr="003F0250">
        <w:rPr>
          <w:b/>
          <w:bCs/>
        </w:rPr>
        <w:t>Improv</w:t>
      </w:r>
      <w:r>
        <w:rPr>
          <w:b/>
          <w:bCs/>
        </w:rPr>
        <w:t>e</w:t>
      </w:r>
      <w:r w:rsidRPr="003F0250">
        <w:rPr>
          <w:b/>
          <w:bCs/>
        </w:rPr>
        <w:t xml:space="preserve"> regulatory clarity and consistency</w:t>
      </w:r>
      <w:r w:rsidRPr="003F0250">
        <w:t> to reduce ambiguity and</w:t>
      </w:r>
      <w:r>
        <w:t xml:space="preserve"> facilitate</w:t>
      </w:r>
      <w:r w:rsidRPr="003F0250">
        <w:t xml:space="preserve"> compliance.</w:t>
      </w:r>
    </w:p>
    <w:p w14:paraId="2F12A667" w14:textId="4DF2AB80" w:rsidR="000D72B1" w:rsidRDefault="000D72B1" w:rsidP="002C46CD">
      <w:pPr>
        <w:pStyle w:val="Bullet1"/>
        <w:numPr>
          <w:ilvl w:val="0"/>
          <w:numId w:val="7"/>
        </w:numPr>
      </w:pPr>
      <w:r w:rsidRPr="00A615B7">
        <w:rPr>
          <w:b/>
          <w:bCs/>
        </w:rPr>
        <w:t>En</w:t>
      </w:r>
      <w:r>
        <w:rPr>
          <w:b/>
          <w:bCs/>
        </w:rPr>
        <w:t xml:space="preserve">hance </w:t>
      </w:r>
      <w:r w:rsidRPr="00A615B7">
        <w:rPr>
          <w:b/>
          <w:bCs/>
        </w:rPr>
        <w:t>efficiency</w:t>
      </w:r>
      <w:r>
        <w:rPr>
          <w:b/>
          <w:bCs/>
        </w:rPr>
        <w:t xml:space="preserve"> and </w:t>
      </w:r>
      <w:r w:rsidRPr="00A615B7">
        <w:rPr>
          <w:b/>
          <w:bCs/>
        </w:rPr>
        <w:t>equity</w:t>
      </w:r>
      <w:r>
        <w:t xml:space="preserve"> </w:t>
      </w:r>
      <w:r w:rsidR="00A615B7" w:rsidRPr="00A615B7">
        <w:t>by balancing patient safety with compliance costs</w:t>
      </w:r>
      <w:r w:rsidR="00C13D77">
        <w:t xml:space="preserve"> </w:t>
      </w:r>
      <w:r w:rsidR="00830A0E">
        <w:t>to</w:t>
      </w:r>
      <w:r w:rsidR="00C13D77">
        <w:t xml:space="preserve"> </w:t>
      </w:r>
      <w:r w:rsidR="00A615B7" w:rsidRPr="00A615B7">
        <w:t>support equitable access</w:t>
      </w:r>
      <w:r w:rsidR="00612C4A">
        <w:t>.</w:t>
      </w:r>
    </w:p>
    <w:p w14:paraId="56E961D9" w14:textId="4D9651A8" w:rsidR="003865FB" w:rsidRDefault="003865FB" w:rsidP="00B84638">
      <w:pPr>
        <w:pStyle w:val="Body"/>
        <w:rPr>
          <w:rFonts w:eastAsia="MS Gothic" w:cs="Arial"/>
          <w:color w:val="201547"/>
          <w:kern w:val="32"/>
          <w:sz w:val="44"/>
          <w:szCs w:val="44"/>
        </w:rPr>
      </w:pPr>
      <w:r>
        <w:br w:type="page"/>
      </w:r>
    </w:p>
    <w:p w14:paraId="7A2D268B" w14:textId="1A863C74" w:rsidR="00016B28" w:rsidRPr="005D1A9E" w:rsidRDefault="00436F38" w:rsidP="001726A6">
      <w:pPr>
        <w:pStyle w:val="Heading1"/>
        <w:rPr>
          <w:b/>
        </w:rPr>
      </w:pPr>
      <w:bookmarkStart w:id="16" w:name="_Toc215847510"/>
      <w:r>
        <w:lastRenderedPageBreak/>
        <w:t xml:space="preserve">4. </w:t>
      </w:r>
      <w:r w:rsidR="00354DC1">
        <w:t>Identification of options</w:t>
      </w:r>
      <w:bookmarkEnd w:id="16"/>
    </w:p>
    <w:p w14:paraId="041D9DF0" w14:textId="10E9028C" w:rsidR="00016B28" w:rsidRDefault="4D79DD53" w:rsidP="007B5543">
      <w:pPr>
        <w:pStyle w:val="Body"/>
      </w:pPr>
      <w:r w:rsidRPr="007B5543">
        <w:t xml:space="preserve">This chapter identifies </w:t>
      </w:r>
      <w:r w:rsidR="0018691B" w:rsidRPr="00B81421">
        <w:t xml:space="preserve">the regulatory options under consideration for the remaking of the Regulations </w:t>
      </w:r>
      <w:r w:rsidRPr="007B5543">
        <w:t xml:space="preserve">that could achieve the Victorian Government’s objectives described </w:t>
      </w:r>
      <w:r w:rsidR="009C3E5A" w:rsidRPr="007B5543">
        <w:t>in</w:t>
      </w:r>
      <w:r w:rsidR="00436F38" w:rsidRPr="007B5543">
        <w:t xml:space="preserve"> chapter 3</w:t>
      </w:r>
      <w:r w:rsidRPr="007B5543">
        <w:t xml:space="preserve">. </w:t>
      </w:r>
      <w:r w:rsidR="00681909" w:rsidRPr="00B81421">
        <w:t>These options reflect varying levels of government intervention and are assessed against the overarching objective of ensuring patient safety while supporting a sustainable and effective NEPT sector</w:t>
      </w:r>
      <w:r w:rsidR="00681909">
        <w:t>.</w:t>
      </w:r>
      <w:r w:rsidR="008736D3" w:rsidRPr="008736D3">
        <w:t xml:space="preserve"> </w:t>
      </w:r>
    </w:p>
    <w:p w14:paraId="2A7AD212" w14:textId="77777777" w:rsidR="004A7B62" w:rsidRDefault="004A7B62" w:rsidP="004A7B62">
      <w:pPr>
        <w:pStyle w:val="Heading2"/>
        <w:rPr>
          <w:b w:val="0"/>
        </w:rPr>
      </w:pPr>
      <w:bookmarkStart w:id="17" w:name="_Toc215847511"/>
      <w:r w:rsidRPr="549BBF7A">
        <w:t>Option identification approach</w:t>
      </w:r>
      <w:bookmarkEnd w:id="17"/>
      <w:r>
        <w:t xml:space="preserve"> </w:t>
      </w:r>
    </w:p>
    <w:p w14:paraId="09F9F743" w14:textId="4FE40873" w:rsidR="00681909" w:rsidRDefault="00681909" w:rsidP="00681909">
      <w:pPr>
        <w:pStyle w:val="Body"/>
      </w:pPr>
      <w:r w:rsidRPr="007B5543">
        <w:t>As outlined in the Victorian Guide to Regulation</w:t>
      </w:r>
      <w:r w:rsidR="006A5447">
        <w:rPr>
          <w:rStyle w:val="FootnoteReference"/>
        </w:rPr>
        <w:footnoteReference w:id="13"/>
      </w:r>
      <w:r w:rsidRPr="007B5543">
        <w:t xml:space="preserve">, a RIS should consider a range of options to achieve the Government’s objectives while ensuring that regulation is efficient, proportionate, and justified. </w:t>
      </w:r>
      <w:r>
        <w:t>This includes both regulatory and non-regulatory interventions t</w:t>
      </w:r>
      <w:r w:rsidRPr="005219CA">
        <w:t>o determine the most appropriate approach</w:t>
      </w:r>
      <w:r>
        <w:t>.</w:t>
      </w:r>
    </w:p>
    <w:p w14:paraId="44D9D315" w14:textId="1C3A55EE" w:rsidR="004A7B62" w:rsidRDefault="004A7B62" w:rsidP="004A7B62">
      <w:pPr>
        <w:pStyle w:val="Body"/>
      </w:pPr>
      <w:r w:rsidRPr="549BBF7A">
        <w:t xml:space="preserve">The </w:t>
      </w:r>
      <w:r w:rsidR="008834AE">
        <w:t>d</w:t>
      </w:r>
      <w:r w:rsidRPr="549BBF7A">
        <w:t xml:space="preserve">epartment is seeking to optimise operation of the existing regulatory framework under the Act, in line with the objectives. The </w:t>
      </w:r>
      <w:r w:rsidR="008834AE">
        <w:t>d</w:t>
      </w:r>
      <w:r w:rsidRPr="549BBF7A">
        <w:t xml:space="preserve">epartment has consulted with sector stakeholders, including the licensed NEPT providers and Ambulance Victoria, to understand the potential operational impacts of leaving the </w:t>
      </w:r>
      <w:r w:rsidR="00BE7C84">
        <w:t>R</w:t>
      </w:r>
      <w:r w:rsidRPr="549BBF7A">
        <w:t xml:space="preserve">egulations in their current form or making the proposed adjustments. </w:t>
      </w:r>
    </w:p>
    <w:p w14:paraId="27D62EC6" w14:textId="4FD086D7" w:rsidR="00171CD1" w:rsidRDefault="00171CD1" w:rsidP="00171CD1">
      <w:pPr>
        <w:pStyle w:val="Body"/>
      </w:pPr>
      <w:r w:rsidRPr="549BBF7A">
        <w:t xml:space="preserve">Informed by that consultation, the </w:t>
      </w:r>
      <w:r w:rsidR="008834AE">
        <w:t>d</w:t>
      </w:r>
      <w:r w:rsidRPr="549BBF7A">
        <w:t xml:space="preserve">epartment has </w:t>
      </w:r>
      <w:r w:rsidR="00287015">
        <w:t>evaluated</w:t>
      </w:r>
      <w:r w:rsidR="00287015" w:rsidRPr="549BBF7A">
        <w:t xml:space="preserve"> </w:t>
      </w:r>
      <w:r w:rsidRPr="549BBF7A">
        <w:t xml:space="preserve">the </w:t>
      </w:r>
      <w:r w:rsidR="001F7DC4">
        <w:t xml:space="preserve">following </w:t>
      </w:r>
      <w:r w:rsidRPr="549BBF7A">
        <w:t>option</w:t>
      </w:r>
      <w:r w:rsidR="00CC60CA">
        <w:t>s</w:t>
      </w:r>
      <w:r w:rsidR="001F7DC4">
        <w:t>:</w:t>
      </w:r>
      <w:r w:rsidRPr="549BBF7A">
        <w:t xml:space="preserve"> </w:t>
      </w:r>
    </w:p>
    <w:p w14:paraId="5ECD1E8C" w14:textId="7D68463D" w:rsidR="00171CD1" w:rsidRDefault="00171CD1" w:rsidP="00DC067D">
      <w:pPr>
        <w:pStyle w:val="Bullet1"/>
      </w:pPr>
      <w:r w:rsidRPr="549BBF7A">
        <w:t>The base case</w:t>
      </w:r>
      <w:r w:rsidR="00EE7BCC">
        <w:t>, which</w:t>
      </w:r>
      <w:r w:rsidRPr="549BBF7A">
        <w:t xml:space="preserve"> </w:t>
      </w:r>
      <w:r w:rsidR="00F11B97">
        <w:t xml:space="preserve">considers at a high level, a scenario where the Regulations </w:t>
      </w:r>
      <w:r w:rsidR="00B85839">
        <w:t xml:space="preserve">are </w:t>
      </w:r>
      <w:r w:rsidR="00E842BA">
        <w:t>allowed to expire</w:t>
      </w:r>
      <w:r w:rsidR="001B5695">
        <w:t>, leaving</w:t>
      </w:r>
      <w:r w:rsidR="00F11B97" w:rsidRPr="549BBF7A">
        <w:t xml:space="preserve"> </w:t>
      </w:r>
      <w:r w:rsidRPr="549BBF7A">
        <w:t xml:space="preserve">the ongoing operation of NEPT </w:t>
      </w:r>
      <w:r w:rsidR="004F6F35">
        <w:t>services</w:t>
      </w:r>
      <w:r w:rsidR="004F6F35" w:rsidRPr="549BBF7A">
        <w:t xml:space="preserve"> </w:t>
      </w:r>
      <w:r w:rsidRPr="549BBF7A">
        <w:t xml:space="preserve">without </w:t>
      </w:r>
      <w:r w:rsidR="00D24B25">
        <w:t>r</w:t>
      </w:r>
      <w:r w:rsidRPr="549BBF7A">
        <w:t>egulations</w:t>
      </w:r>
      <w:r w:rsidR="00C6747B">
        <w:t>.</w:t>
      </w:r>
      <w:r w:rsidR="003B7340" w:rsidDel="00C6747B">
        <w:t xml:space="preserve"> </w:t>
      </w:r>
      <w:r w:rsidR="006A4DBB">
        <w:t>Other options are measured against t</w:t>
      </w:r>
      <w:r w:rsidR="00C6747B">
        <w:t>he base case</w:t>
      </w:r>
      <w:r w:rsidR="00814F58">
        <w:t xml:space="preserve"> to</w:t>
      </w:r>
      <w:r w:rsidR="00C6747B">
        <w:t xml:space="preserve"> </w:t>
      </w:r>
      <w:r w:rsidRPr="549BBF7A">
        <w:t xml:space="preserve">demonstrate the </w:t>
      </w:r>
      <w:r>
        <w:t>differences</w:t>
      </w:r>
      <w:r w:rsidRPr="549BBF7A">
        <w:t xml:space="preserve"> between a regulated and unregulated sector on patient safety</w:t>
      </w:r>
      <w:r w:rsidR="00814F58">
        <w:t xml:space="preserve"> and the broader system operation</w:t>
      </w:r>
      <w:r w:rsidRPr="549BBF7A">
        <w:t>.</w:t>
      </w:r>
    </w:p>
    <w:p w14:paraId="7E19B8AC" w14:textId="6C50EB60" w:rsidR="00171CD1" w:rsidRDefault="00171CD1" w:rsidP="00DC067D">
      <w:pPr>
        <w:pStyle w:val="Bullet1"/>
      </w:pPr>
      <w:r w:rsidRPr="549BBF7A">
        <w:t xml:space="preserve">Option 1 </w:t>
      </w:r>
      <w:r w:rsidR="005D2EAE">
        <w:t xml:space="preserve">analyses a scenario of </w:t>
      </w:r>
      <w:r w:rsidRPr="549BBF7A">
        <w:t>remak</w:t>
      </w:r>
      <w:r w:rsidR="005D2EAE">
        <w:t>ing</w:t>
      </w:r>
      <w:r w:rsidRPr="549BBF7A">
        <w:t xml:space="preserve"> the current Regulations without changes, </w:t>
      </w:r>
      <w:r w:rsidR="00FC639D">
        <w:t>acknowledging</w:t>
      </w:r>
      <w:r w:rsidR="00537AA3">
        <w:t xml:space="preserve"> that the Regulations </w:t>
      </w:r>
      <w:r w:rsidR="00B75E87">
        <w:t>underwent significant amendment</w:t>
      </w:r>
      <w:r w:rsidR="009D7A20">
        <w:t xml:space="preserve"> relatively recently</w:t>
      </w:r>
      <w:r w:rsidR="00B75E87">
        <w:t xml:space="preserve"> in</w:t>
      </w:r>
      <w:r w:rsidR="00660E88">
        <w:t xml:space="preserve"> 202</w:t>
      </w:r>
      <w:r w:rsidR="009D7A20">
        <w:t xml:space="preserve">1, but maintaining the status quo without </w:t>
      </w:r>
      <w:r w:rsidR="00EE365D">
        <w:t>addressing</w:t>
      </w:r>
      <w:r w:rsidR="009D7A20">
        <w:t xml:space="preserve"> feedback received in consultation</w:t>
      </w:r>
      <w:r w:rsidRPr="549BBF7A">
        <w:t>.</w:t>
      </w:r>
    </w:p>
    <w:p w14:paraId="1989430D" w14:textId="20528569" w:rsidR="00780408" w:rsidRDefault="00780408" w:rsidP="00DC067D">
      <w:pPr>
        <w:pStyle w:val="Bullet1"/>
      </w:pPr>
      <w:r w:rsidRPr="549BBF7A">
        <w:t>O</w:t>
      </w:r>
      <w:r>
        <w:t>p</w:t>
      </w:r>
      <w:r w:rsidRPr="549BBF7A">
        <w:t xml:space="preserve">tion 2 </w:t>
      </w:r>
      <w:r w:rsidR="005B61D8">
        <w:t>is</w:t>
      </w:r>
      <w:r w:rsidRPr="549BBF7A">
        <w:t xml:space="preserve"> a targeted </w:t>
      </w:r>
      <w:r w:rsidR="009202D7">
        <w:t>amendment</w:t>
      </w:r>
      <w:r w:rsidRPr="549BBF7A">
        <w:t xml:space="preserve"> package to the Regulations</w:t>
      </w:r>
      <w:r w:rsidR="009202D7">
        <w:t>,</w:t>
      </w:r>
      <w:r w:rsidRPr="549BBF7A">
        <w:t xml:space="preserve"> continuing the existing framework</w:t>
      </w:r>
      <w:r w:rsidR="001113F6">
        <w:t xml:space="preserve"> while</w:t>
      </w:r>
      <w:r w:rsidRPr="549BBF7A">
        <w:t xml:space="preserve"> </w:t>
      </w:r>
      <w:r w:rsidR="009202D7">
        <w:t>responding to concerns expressed in consultation</w:t>
      </w:r>
      <w:r w:rsidR="00EF464F">
        <w:t>,</w:t>
      </w:r>
      <w:r w:rsidR="009202D7">
        <w:t xml:space="preserve"> to deliver</w:t>
      </w:r>
      <w:r w:rsidR="00E8318B">
        <w:t xml:space="preserve"> further</w:t>
      </w:r>
      <w:r w:rsidRPr="549BBF7A">
        <w:t xml:space="preserve"> improvements to patient and crew safety and sector sustainability</w:t>
      </w:r>
      <w:r w:rsidR="00965F9B">
        <w:t xml:space="preserve">. </w:t>
      </w:r>
    </w:p>
    <w:p w14:paraId="53C55936" w14:textId="77777777" w:rsidR="00904F62" w:rsidRDefault="00904F62" w:rsidP="00904F62">
      <w:pPr>
        <w:pStyle w:val="Heading2"/>
      </w:pPr>
      <w:bookmarkStart w:id="18" w:name="_Toc215847512"/>
      <w:r>
        <w:t>Base case – no regulations (sunset without remake)</w:t>
      </w:r>
      <w:bookmarkEnd w:id="18"/>
    </w:p>
    <w:p w14:paraId="54FC51C5" w14:textId="11DB1A0D" w:rsidR="00904F62" w:rsidRDefault="00904F62" w:rsidP="00904F62">
      <w:pPr>
        <w:pStyle w:val="Body"/>
      </w:pPr>
      <w:r>
        <w:t xml:space="preserve">The base case scenario is one where no </w:t>
      </w:r>
      <w:r w:rsidR="00B5646F">
        <w:t>r</w:t>
      </w:r>
      <w:r>
        <w:t xml:space="preserve">egulations exist. </w:t>
      </w:r>
      <w:r w:rsidRPr="00CC7FCA">
        <w:t>The Victorian Guide to Regulation requires the base case to be defined for the purposes of comparison (that is, what are the potential costs and benefits compared to the situation where the proposed approach is not adopted). </w:t>
      </w:r>
    </w:p>
    <w:p w14:paraId="6ED9D4A5" w14:textId="2B328B84" w:rsidR="00904F62" w:rsidRDefault="00904F62" w:rsidP="00904F62">
      <w:pPr>
        <w:pStyle w:val="Body"/>
      </w:pPr>
      <w:r w:rsidRPr="003F328F">
        <w:t xml:space="preserve">The authorising Act in this case, the </w:t>
      </w:r>
      <w:r w:rsidRPr="003E3FF3">
        <w:rPr>
          <w:i/>
        </w:rPr>
        <w:t xml:space="preserve">Non-Emergency Patient Transport </w:t>
      </w:r>
      <w:r w:rsidRPr="003E3FF3">
        <w:rPr>
          <w:i/>
          <w:iCs/>
        </w:rPr>
        <w:t xml:space="preserve">and First Aid Services </w:t>
      </w:r>
      <w:r w:rsidRPr="003E3FF3">
        <w:rPr>
          <w:i/>
        </w:rPr>
        <w:t>Act 2003</w:t>
      </w:r>
      <w:r>
        <w:t>,</w:t>
      </w:r>
      <w:r w:rsidRPr="003F328F">
        <w:t xml:space="preserve"> </w:t>
      </w:r>
      <w:r>
        <w:t>requires</w:t>
      </w:r>
      <w:r w:rsidRPr="003F328F">
        <w:t xml:space="preserve"> </w:t>
      </w:r>
      <w:r>
        <w:t>NEPT providers to be licen</w:t>
      </w:r>
      <w:r w:rsidR="00391B9C">
        <w:t>s</w:t>
      </w:r>
      <w:r>
        <w:t xml:space="preserve">ed </w:t>
      </w:r>
      <w:proofErr w:type="gramStart"/>
      <w:r>
        <w:t>in order to</w:t>
      </w:r>
      <w:proofErr w:type="gramEnd"/>
      <w:r>
        <w:t xml:space="preserve"> operate. The Act gives the Governor in Council the power to declare a person exempt from the application of the Act and therefore the requirement to have a licence to operate a </w:t>
      </w:r>
      <w:r w:rsidR="00BD2AF0">
        <w:t>NEPT</w:t>
      </w:r>
      <w:r>
        <w:t xml:space="preserve"> service. For the purposes of the base case, it is assumed that the Governor in Council would publish an Order in the Government Gazette exempting the current providers, allowing them to continue to operate. </w:t>
      </w:r>
    </w:p>
    <w:p w14:paraId="35BFB53A" w14:textId="7557C651" w:rsidR="00904F62" w:rsidRPr="00AA5450" w:rsidRDefault="00904F62" w:rsidP="00904F62">
      <w:pPr>
        <w:pStyle w:val="Body"/>
      </w:pPr>
      <w:r>
        <w:t xml:space="preserve">Without the prescribed standards set out in </w:t>
      </w:r>
      <w:r w:rsidR="00B5646F">
        <w:t>r</w:t>
      </w:r>
      <w:r>
        <w:t xml:space="preserve">egulations or </w:t>
      </w:r>
      <w:r w:rsidRPr="00AA5450">
        <w:t xml:space="preserve">the overarching requirement in the Act to ensure services are safe, of appropriate quality and give priority to the needs of the transported </w:t>
      </w:r>
      <w:r w:rsidRPr="00AA5450">
        <w:lastRenderedPageBreak/>
        <w:t xml:space="preserve">patients, providers would be governed solely by non-industry specific legislation (for example, occupational health and safety, road safety, public health legislation) and procurement contracts. </w:t>
      </w:r>
    </w:p>
    <w:p w14:paraId="105AFE18" w14:textId="77777777" w:rsidR="00E761D9" w:rsidRDefault="00904F62" w:rsidP="00904F62">
      <w:pPr>
        <w:pStyle w:val="Body"/>
      </w:pPr>
      <w:r>
        <w:t>This situation would give</w:t>
      </w:r>
      <w:r w:rsidRPr="00AA5450">
        <w:t xml:space="preserve"> substantial discretion to providers to determine how they attempt to deliver safe and appropriate quality services. There would be no legal basis to require providers to comply with specific practices</w:t>
      </w:r>
      <w:r w:rsidR="00E761D9">
        <w:t>.</w:t>
      </w:r>
    </w:p>
    <w:p w14:paraId="74CF7C13" w14:textId="3F18C19D" w:rsidR="0062058A" w:rsidRDefault="00904F62" w:rsidP="00904F62">
      <w:pPr>
        <w:pStyle w:val="Body"/>
      </w:pPr>
      <w:r>
        <w:t>T</w:t>
      </w:r>
      <w:r w:rsidRPr="00165CCE">
        <w:t>he base case could prompt development of sector-led, voluntary codes</w:t>
      </w:r>
      <w:r>
        <w:t xml:space="preserve"> </w:t>
      </w:r>
      <w:r w:rsidRPr="001528E5">
        <w:t>to address inconsistency between providers</w:t>
      </w:r>
      <w:r>
        <w:t xml:space="preserve">. This would require industry to take on the responsibility for the development, implementation and updating of this code, along with the associated costs. At present there is no peak body to lead the coordination and agreement of such a code. </w:t>
      </w:r>
      <w:r w:rsidRPr="002F72C6">
        <w:t xml:space="preserve">The sector comprises multiple private providers delivering services across varied contexts and constraints, which reinforces the need for a consistent, statewide </w:t>
      </w:r>
      <w:r w:rsidR="000A61C0">
        <w:t xml:space="preserve">regulatory </w:t>
      </w:r>
      <w:r w:rsidRPr="002F72C6">
        <w:t xml:space="preserve">framework </w:t>
      </w:r>
      <w:r w:rsidR="000A61C0">
        <w:t>set by government</w:t>
      </w:r>
      <w:r w:rsidR="006E6235">
        <w:t xml:space="preserve"> independent of the service providers</w:t>
      </w:r>
      <w:r w:rsidR="000A61C0">
        <w:t xml:space="preserve">, </w:t>
      </w:r>
      <w:r w:rsidRPr="002F72C6">
        <w:t xml:space="preserve">with clear, enforceable standards. </w:t>
      </w:r>
    </w:p>
    <w:p w14:paraId="34E2598C" w14:textId="5E3365A6" w:rsidR="00904F62" w:rsidRDefault="0062058A" w:rsidP="00904F62">
      <w:pPr>
        <w:pStyle w:val="Body"/>
      </w:pPr>
      <w:r>
        <w:t>Additionally,</w:t>
      </w:r>
      <w:r w:rsidRPr="002F72C6">
        <w:t xml:space="preserve"> </w:t>
      </w:r>
      <w:r>
        <w:t>s</w:t>
      </w:r>
      <w:r w:rsidRPr="002F72C6">
        <w:t xml:space="preserve">uch a minimalist approach would not provide the enforceability and regulatory oversight warranted for a healthcare service operating in sensitive clinical settings. </w:t>
      </w:r>
      <w:r w:rsidR="00E761D9">
        <w:rPr>
          <w:rFonts w:eastAsia="MS Gothic"/>
        </w:rPr>
        <w:t>In the absence of these Regulations, contractual conditions would be the primary tool for maintaining standards, which would likely lead to uneven standards of service and would prevent timely regulatory intervention.</w:t>
      </w:r>
    </w:p>
    <w:p w14:paraId="6A921E62" w14:textId="77777777" w:rsidR="00904F62" w:rsidRDefault="00904F62" w:rsidP="00904F62">
      <w:pPr>
        <w:pStyle w:val="Body"/>
      </w:pPr>
      <w:r>
        <w:t>While it has been acknowledged that this is not a viable policy option, it will be used for comparative purposes for the impact assessment.</w:t>
      </w:r>
    </w:p>
    <w:p w14:paraId="45DDC918" w14:textId="77777777" w:rsidR="00904F62" w:rsidRDefault="00904F62" w:rsidP="00904F62">
      <w:pPr>
        <w:pStyle w:val="Body"/>
      </w:pPr>
    </w:p>
    <w:p w14:paraId="2CF568E8" w14:textId="3615DEAD" w:rsidR="00904F62" w:rsidRDefault="00AF38A1" w:rsidP="00A953E5">
      <w:pPr>
        <w:pStyle w:val="Body"/>
      </w:pPr>
      <w:r>
        <w:rPr>
          <w:noProof/>
        </w:rPr>
        <mc:AlternateContent>
          <mc:Choice Requires="wps">
            <w:drawing>
              <wp:inline distT="45720" distB="45720" distL="114300" distR="114300" wp14:anchorId="3319BE61" wp14:editId="5D2FAF3C">
                <wp:extent cx="5892800" cy="4548250"/>
                <wp:effectExtent l="0" t="0" r="12700" b="24130"/>
                <wp:docPr id="294409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548250"/>
                        </a:xfrm>
                        <a:prstGeom prst="rect">
                          <a:avLst/>
                        </a:prstGeom>
                        <a:solidFill>
                          <a:schemeClr val="accent5">
                            <a:lumMod val="20000"/>
                            <a:lumOff val="80000"/>
                          </a:schemeClr>
                        </a:solidFill>
                        <a:ln w="9525">
                          <a:solidFill>
                            <a:schemeClr val="accent5">
                              <a:lumMod val="75000"/>
                            </a:schemeClr>
                          </a:solidFill>
                          <a:miter lim="800000"/>
                          <a:headEnd/>
                          <a:tailEnd/>
                        </a:ln>
                      </wps:spPr>
                      <wps:txbx>
                        <w:txbxContent>
                          <w:p w14:paraId="4BA4F8AD" w14:textId="4A3C4955" w:rsidR="00AF38A1" w:rsidRPr="005D1A9E" w:rsidRDefault="00AF38A1" w:rsidP="00E051D3">
                            <w:pPr>
                              <w:pStyle w:val="Heading3"/>
                              <w:spacing w:before="120"/>
                              <w:rPr>
                                <w:b/>
                              </w:rPr>
                            </w:pPr>
                            <w:r w:rsidRPr="005D1A9E">
                              <w:t>Interjurisdictional comparison</w:t>
                            </w:r>
                          </w:p>
                          <w:p w14:paraId="3043B36F" w14:textId="796FF564" w:rsidR="00F704D8" w:rsidRDefault="00AF38A1" w:rsidP="00AF38A1">
                            <w:pPr>
                              <w:pStyle w:val="Body"/>
                            </w:pPr>
                            <w:r>
                              <w:t>Other</w:t>
                            </w:r>
                            <w:r w:rsidR="00342699">
                              <w:t xml:space="preserve"> Australian</w:t>
                            </w:r>
                            <w:r>
                              <w:t xml:space="preserve"> jurisdictions</w:t>
                            </w:r>
                            <w:r w:rsidR="00342699">
                              <w:t>’</w:t>
                            </w:r>
                            <w:r>
                              <w:t xml:space="preserve"> models were analysed </w:t>
                            </w:r>
                            <w:r w:rsidR="00342699">
                              <w:t xml:space="preserve">for </w:t>
                            </w:r>
                            <w:r w:rsidR="0024741F">
                              <w:t xml:space="preserve">alternative or best-practice elements </w:t>
                            </w:r>
                            <w:r w:rsidR="00FF5548">
                              <w:t>with the potential to be incorporated into Victoria’s regulatory framework</w:t>
                            </w:r>
                            <w:r w:rsidR="00DA60DE">
                              <w:t>.</w:t>
                            </w:r>
                            <w:r>
                              <w:t xml:space="preserve"> </w:t>
                            </w:r>
                          </w:p>
                          <w:p w14:paraId="12E4D702" w14:textId="1754EE39" w:rsidR="00AF38A1" w:rsidRDefault="00AF38A1" w:rsidP="00AF38A1">
                            <w:pPr>
                              <w:pStyle w:val="Body"/>
                            </w:pPr>
                            <w:r w:rsidRPr="2D44A362">
                              <w:t xml:space="preserve">Other states in Australia use different combinations of public and private providers as their model of NEPT service provision. </w:t>
                            </w:r>
                          </w:p>
                          <w:p w14:paraId="239544EB" w14:textId="30D2998D" w:rsidR="00C77937" w:rsidRDefault="00AF38A1" w:rsidP="00AF38A1">
                            <w:pPr>
                              <w:pStyle w:val="Body"/>
                            </w:pPr>
                            <w:r w:rsidRPr="2D44A362">
                              <w:t xml:space="preserve">Distinct from Victoria’s model, New South Wales has separated its planned NEPT from emergency responses, with only very small numbers referred from emergency calls to secondary triage for dispatch of a NEPT vehicle. </w:t>
                            </w:r>
                            <w:r w:rsidR="0040056F" w:rsidRPr="2D44A362">
                              <w:t xml:space="preserve">In South Australia, the state ambulance service coordinates NEPT and relies on a single outsourced provider for planned transports. </w:t>
                            </w:r>
                            <w:r w:rsidR="00C852B9">
                              <w:t>In Victoria, th</w:t>
                            </w:r>
                            <w:r w:rsidR="00183939">
                              <w:t>e distinction between planned and unplanned is an oper</w:t>
                            </w:r>
                            <w:r w:rsidR="00C77937">
                              <w:t xml:space="preserve">ational matter under consideration as part of the NEPT Review, rather than part of the regulatory framework. </w:t>
                            </w:r>
                          </w:p>
                          <w:p w14:paraId="2F308A9A" w14:textId="7959E3FC" w:rsidR="00295AA4" w:rsidRDefault="00AF38A1" w:rsidP="00AF38A1">
                            <w:pPr>
                              <w:pStyle w:val="Body"/>
                            </w:pPr>
                            <w:r w:rsidRPr="2D44A362">
                              <w:t>Tasmania recently established a secondary triage service similar to Victoria’s, with a pathway for referring emergency calls to a NEPT response where appropriate.</w:t>
                            </w:r>
                            <w:r>
                              <w:t xml:space="preserve"> Each of these jurisdictions</w:t>
                            </w:r>
                            <w:r w:rsidRPr="2D44A362">
                              <w:t xml:space="preserve"> </w:t>
                            </w:r>
                            <w:r w:rsidRPr="00E92859">
                              <w:t>prescribe minimum standards (</w:t>
                            </w:r>
                            <w:r w:rsidR="0049490A">
                              <w:t>for example</w:t>
                            </w:r>
                            <w:r w:rsidRPr="00E92859">
                              <w:t>, crew qualifications) through legislated licensing or authorisation</w:t>
                            </w:r>
                            <w:r>
                              <w:t xml:space="preserve"> </w:t>
                            </w:r>
                            <w:r w:rsidRPr="2D44A362">
                              <w:t xml:space="preserve">provisions. </w:t>
                            </w:r>
                            <w:r>
                              <w:t xml:space="preserve">Across these models, </w:t>
                            </w:r>
                            <w:r w:rsidRPr="2D44A362">
                              <w:t xml:space="preserve">regulation </w:t>
                            </w:r>
                            <w:r>
                              <w:t>provides</w:t>
                            </w:r>
                            <w:r w:rsidRPr="2D44A362">
                              <w:t xml:space="preserve"> the mechanism for delivering high standards of patient care </w:t>
                            </w:r>
                            <w:r>
                              <w:t xml:space="preserve">for NEPT </w:t>
                            </w:r>
                            <w:r w:rsidRPr="2D44A362">
                              <w:t>within the broader health system, irrespective of the level of integration with emergency services.</w:t>
                            </w:r>
                            <w:r>
                              <w:t xml:space="preserve"> </w:t>
                            </w:r>
                          </w:p>
                          <w:p w14:paraId="701934E6" w14:textId="09333A46" w:rsidR="00AF38A1" w:rsidRPr="00E92859" w:rsidRDefault="00295AA4" w:rsidP="00AF38A1">
                            <w:pPr>
                              <w:pStyle w:val="Body"/>
                            </w:pPr>
                            <w:r>
                              <w:t>During consultation</w:t>
                            </w:r>
                            <w:r w:rsidR="00953FF7">
                              <w:t xml:space="preserve">, a provider operating in multiple states noted that </w:t>
                            </w:r>
                            <w:r w:rsidR="006B73D2">
                              <w:t xml:space="preserve">NEPT in </w:t>
                            </w:r>
                            <w:r w:rsidR="00953FF7">
                              <w:t>Victoria</w:t>
                            </w:r>
                            <w:r w:rsidR="00B467CB">
                              <w:t xml:space="preserve"> is well-regulated</w:t>
                            </w:r>
                            <w:r w:rsidR="005F1103">
                              <w:t>, with</w:t>
                            </w:r>
                            <w:r w:rsidR="00801195">
                              <w:t xml:space="preserve"> clinical governance arrangements that it voluntarily applies to transports </w:t>
                            </w:r>
                            <w:r w:rsidR="00CF18F1">
                              <w:t>undertaken</w:t>
                            </w:r>
                            <w:r w:rsidR="00801195">
                              <w:t xml:space="preserve"> in other less-regulated states</w:t>
                            </w:r>
                            <w:r w:rsidR="00187EB1">
                              <w:t>. The Regulations made in 2016 and substantially amended in 2021</w:t>
                            </w:r>
                            <w:r w:rsidR="006B73D2">
                              <w:t xml:space="preserve"> </w:t>
                            </w:r>
                            <w:r w:rsidR="008D0CB1">
                              <w:t xml:space="preserve">are </w:t>
                            </w:r>
                            <w:r w:rsidR="00DB3452">
                              <w:t>very detailed</w:t>
                            </w:r>
                            <w:r w:rsidR="003454F6">
                              <w:t xml:space="preserve">, </w:t>
                            </w:r>
                            <w:r w:rsidR="00143727">
                              <w:t>with regulations covering</w:t>
                            </w:r>
                            <w:r w:rsidR="00F25143">
                              <w:t xml:space="preserve"> </w:t>
                            </w:r>
                            <w:r w:rsidR="00143727">
                              <w:t>licensing,</w:t>
                            </w:r>
                            <w:r w:rsidR="005B3B32">
                              <w:t xml:space="preserve"> patient acuity, clinical governance,</w:t>
                            </w:r>
                            <w:r w:rsidR="00143727">
                              <w:t xml:space="preserve"> crew</w:t>
                            </w:r>
                            <w:r w:rsidR="00926822">
                              <w:t xml:space="preserve"> and vehicles</w:t>
                            </w:r>
                            <w:r w:rsidR="00526CF4">
                              <w:t>.</w:t>
                            </w:r>
                            <w:r w:rsidR="00DB3452">
                              <w:t xml:space="preserve"> </w:t>
                            </w:r>
                          </w:p>
                          <w:p w14:paraId="05870B2D" w14:textId="6F0C699B" w:rsidR="00AF38A1" w:rsidRDefault="00AF38A1"/>
                        </w:txbxContent>
                      </wps:txbx>
                      <wps:bodyPr rot="0" vert="horz" wrap="square" lIns="91440" tIns="45720" rIns="91440" bIns="45720" anchor="t" anchorCtr="0">
                        <a:noAutofit/>
                      </wps:bodyPr>
                    </wps:wsp>
                  </a:graphicData>
                </a:graphic>
              </wp:inline>
            </w:drawing>
          </mc:Choice>
          <mc:Fallback>
            <w:pict>
              <v:shape w14:anchorId="3319BE61" id="Text Box 2" o:spid="_x0000_s1030" type="#_x0000_t202" style="width:464pt;height:3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" fillcolor="#daeef3 [664]" strokecolor="#31849b [2408]">
                <v:textbox>
                  <w:txbxContent>
                    <w:p w14:paraId="4BA4F8AD" w14:textId="4A3C4955" w:rsidR="00AF38A1" w:rsidRPr="005D1A9E" w:rsidRDefault="00AF38A1" w:rsidP="00E051D3">
                      <w:pPr>
                        <w:pStyle w:val="Heading3"/>
                        <w:spacing w:before="120"/>
                        <w:rPr>
                          <w:b/>
                        </w:rPr>
                      </w:pPr>
                      <w:r w:rsidRPr="005D1A9E">
                        <w:t>Interjurisdictional comparison</w:t>
                      </w:r>
                    </w:p>
                    <w:p w14:paraId="3043B36F" w14:textId="796FF564" w:rsidR="00F704D8" w:rsidRDefault="00AF38A1" w:rsidP="00AF38A1">
                      <w:pPr>
                        <w:pStyle w:val="Body"/>
                      </w:pPr>
                      <w:r>
                        <w:t>Other</w:t>
                      </w:r>
                      <w:r w:rsidR="00342699">
                        <w:t xml:space="preserve"> Australian</w:t>
                      </w:r>
                      <w:r>
                        <w:t xml:space="preserve"> jurisdictions</w:t>
                      </w:r>
                      <w:r w:rsidR="00342699">
                        <w:t>’</w:t>
                      </w:r>
                      <w:r>
                        <w:t xml:space="preserve"> models were analysed </w:t>
                      </w:r>
                      <w:r w:rsidR="00342699">
                        <w:t xml:space="preserve">for </w:t>
                      </w:r>
                      <w:r w:rsidR="0024741F">
                        <w:t xml:space="preserve">alternative or best-practice elements </w:t>
                      </w:r>
                      <w:r w:rsidR="00FF5548">
                        <w:t>with the potential to be incorporated into Victoria’s regulatory framework</w:t>
                      </w:r>
                      <w:r w:rsidR="00DA60DE">
                        <w:t>.</w:t>
                      </w:r>
                      <w:r>
                        <w:t xml:space="preserve"> </w:t>
                      </w:r>
                    </w:p>
                    <w:p w14:paraId="12E4D702" w14:textId="1754EE39" w:rsidR="00AF38A1" w:rsidRDefault="00AF38A1" w:rsidP="00AF38A1">
                      <w:pPr>
                        <w:pStyle w:val="Body"/>
                      </w:pPr>
                      <w:r w:rsidRPr="2D44A362">
                        <w:t xml:space="preserve">Other states in Australia use different combinations of public and private providers as their model of NEPT service provision. </w:t>
                      </w:r>
                    </w:p>
                    <w:p w14:paraId="239544EB" w14:textId="30D2998D" w:rsidR="00C77937" w:rsidRDefault="00AF38A1" w:rsidP="00AF38A1">
                      <w:pPr>
                        <w:pStyle w:val="Body"/>
                      </w:pPr>
                      <w:r w:rsidRPr="2D44A362">
                        <w:t xml:space="preserve">Distinct from Victoria’s model, New South Wales has separated its planned NEPT from emergency responses, with only very small numbers referred from emergency calls to secondary triage for dispatch of a NEPT vehicle. </w:t>
                      </w:r>
                      <w:r w:rsidR="0040056F" w:rsidRPr="2D44A362">
                        <w:t xml:space="preserve">In South Australia, the state ambulance service coordinates NEPT and relies on a single outsourced provider for planned transports. </w:t>
                      </w:r>
                      <w:r w:rsidR="00C852B9">
                        <w:t>In Victoria, th</w:t>
                      </w:r>
                      <w:r w:rsidR="00183939">
                        <w:t>e distinction between planned and unplanned is an oper</w:t>
                      </w:r>
                      <w:r w:rsidR="00C77937">
                        <w:t xml:space="preserve">ational matter under consideration as part of the NEPT Review, rather than part of the regulatory framework. </w:t>
                      </w:r>
                    </w:p>
                    <w:p w14:paraId="2F308A9A" w14:textId="7959E3FC" w:rsidR="00295AA4" w:rsidRDefault="00AF38A1" w:rsidP="00AF38A1">
                      <w:pPr>
                        <w:pStyle w:val="Body"/>
                      </w:pPr>
                      <w:r w:rsidRPr="2D44A362">
                        <w:t xml:space="preserve">Tasmania recently established a secondary triage service </w:t>
                      </w:r>
                      <w:r w:rsidRPr="2D44A362">
                        <w:t>similar to Victoria’s, with a pathway for referring emergency calls to a NEPT response where appropriate.</w:t>
                      </w:r>
                      <w:r>
                        <w:t xml:space="preserve"> Each of these jurisdictions</w:t>
                      </w:r>
                      <w:r w:rsidRPr="2D44A362">
                        <w:t xml:space="preserve"> </w:t>
                      </w:r>
                      <w:r w:rsidRPr="00E92859">
                        <w:t>prescribe minimum standards (</w:t>
                      </w:r>
                      <w:r w:rsidR="0049490A">
                        <w:t>for example</w:t>
                      </w:r>
                      <w:r w:rsidRPr="00E92859">
                        <w:t>, crew qualifications) through legislated licensing or authorisation</w:t>
                      </w:r>
                      <w:r>
                        <w:t xml:space="preserve"> </w:t>
                      </w:r>
                      <w:r w:rsidRPr="2D44A362">
                        <w:t xml:space="preserve">provisions. </w:t>
                      </w:r>
                      <w:r>
                        <w:t xml:space="preserve">Across these models, </w:t>
                      </w:r>
                      <w:r w:rsidRPr="2D44A362">
                        <w:t xml:space="preserve">regulation </w:t>
                      </w:r>
                      <w:r>
                        <w:t>provides</w:t>
                      </w:r>
                      <w:r w:rsidRPr="2D44A362">
                        <w:t xml:space="preserve"> the mechanism for delivering high standards of patient care </w:t>
                      </w:r>
                      <w:r>
                        <w:t xml:space="preserve">for NEPT </w:t>
                      </w:r>
                      <w:r w:rsidRPr="2D44A362">
                        <w:t>within the broader health system, irrespective of the level of integration with emergency services.</w:t>
                      </w:r>
                      <w:r>
                        <w:t xml:space="preserve"> </w:t>
                      </w:r>
                    </w:p>
                    <w:p w14:paraId="701934E6" w14:textId="09333A46" w:rsidR="00AF38A1" w:rsidRPr="00E92859" w:rsidRDefault="00295AA4" w:rsidP="00AF38A1">
                      <w:pPr>
                        <w:pStyle w:val="Body"/>
                      </w:pPr>
                      <w:r>
                        <w:t>During consultation</w:t>
                      </w:r>
                      <w:r w:rsidR="00953FF7">
                        <w:t xml:space="preserve">, a provider operating in multiple states noted that </w:t>
                      </w:r>
                      <w:r w:rsidR="006B73D2">
                        <w:t xml:space="preserve">NEPT in </w:t>
                      </w:r>
                      <w:r w:rsidR="00953FF7">
                        <w:t>Victoria</w:t>
                      </w:r>
                      <w:r w:rsidR="00B467CB">
                        <w:t xml:space="preserve"> is well-regulated</w:t>
                      </w:r>
                      <w:r w:rsidR="005F1103">
                        <w:t>, with</w:t>
                      </w:r>
                      <w:r w:rsidR="00801195">
                        <w:t xml:space="preserve"> clinical governance arrangements that it voluntarily applies to transports </w:t>
                      </w:r>
                      <w:r w:rsidR="00CF18F1">
                        <w:t>undertaken</w:t>
                      </w:r>
                      <w:r w:rsidR="00801195">
                        <w:t xml:space="preserve"> in other less-regulated states</w:t>
                      </w:r>
                      <w:r w:rsidR="00187EB1">
                        <w:t>. The Regulations made in 2016 and substantially amended in 2021</w:t>
                      </w:r>
                      <w:r w:rsidR="006B73D2">
                        <w:t xml:space="preserve"> </w:t>
                      </w:r>
                      <w:r w:rsidR="008D0CB1">
                        <w:t xml:space="preserve">are </w:t>
                      </w:r>
                      <w:r w:rsidR="00DB3452">
                        <w:t>very detailed</w:t>
                      </w:r>
                      <w:r w:rsidR="003454F6">
                        <w:t xml:space="preserve">, </w:t>
                      </w:r>
                      <w:r w:rsidR="00143727">
                        <w:t>with regulations covering</w:t>
                      </w:r>
                      <w:r w:rsidR="00F25143">
                        <w:t xml:space="preserve"> </w:t>
                      </w:r>
                      <w:r w:rsidR="00143727">
                        <w:t>licensing,</w:t>
                      </w:r>
                      <w:r w:rsidR="005B3B32">
                        <w:t xml:space="preserve"> patient acuity, clinical governance,</w:t>
                      </w:r>
                      <w:r w:rsidR="00143727">
                        <w:t xml:space="preserve"> crew</w:t>
                      </w:r>
                      <w:r w:rsidR="00926822">
                        <w:t xml:space="preserve"> and vehicles</w:t>
                      </w:r>
                      <w:r w:rsidR="00526CF4">
                        <w:t>.</w:t>
                      </w:r>
                      <w:r w:rsidR="00DB3452">
                        <w:t xml:space="preserve"> </w:t>
                      </w:r>
                    </w:p>
                    <w:p w14:paraId="05870B2D" w14:textId="6F0C699B" w:rsidR="00AF38A1" w:rsidRDefault="00AF38A1"/>
                  </w:txbxContent>
                </v:textbox>
                <w10:anchorlock/>
              </v:shape>
            </w:pict>
          </mc:Fallback>
        </mc:AlternateContent>
      </w:r>
      <w:bookmarkStart w:id="19" w:name="_Toc210160548"/>
      <w:bookmarkEnd w:id="19"/>
    </w:p>
    <w:p w14:paraId="28C4CF0C" w14:textId="676A63BC" w:rsidR="0024485B" w:rsidRDefault="009B2847" w:rsidP="0024485B">
      <w:pPr>
        <w:pStyle w:val="Heading2"/>
      </w:pPr>
      <w:bookmarkStart w:id="20" w:name="_Toc215847513"/>
      <w:r>
        <w:lastRenderedPageBreak/>
        <w:t xml:space="preserve">Option 1 </w:t>
      </w:r>
      <w:r w:rsidR="00E359EA">
        <w:t>–</w:t>
      </w:r>
      <w:r w:rsidR="00C27D4B">
        <w:t xml:space="preserve"> re</w:t>
      </w:r>
      <w:r w:rsidR="00E359EA">
        <w:t xml:space="preserve">make current </w:t>
      </w:r>
      <w:r w:rsidR="009D5D9B">
        <w:t>R</w:t>
      </w:r>
      <w:r w:rsidR="00E359EA">
        <w:t xml:space="preserve">egulations </w:t>
      </w:r>
      <w:r w:rsidR="009D5D9B">
        <w:t>unchanged</w:t>
      </w:r>
      <w:bookmarkEnd w:id="20"/>
    </w:p>
    <w:p w14:paraId="62D8E4AE" w14:textId="7708026D" w:rsidR="00870531" w:rsidRDefault="00A62822" w:rsidP="009B2847">
      <w:pPr>
        <w:pStyle w:val="Body"/>
      </w:pPr>
      <w:r w:rsidRPr="00B81421">
        <w:t xml:space="preserve">This option involves remaking the existing NEPT Regulations without amendment. It maintains the current regulatory framework, including prescribed </w:t>
      </w:r>
      <w:r w:rsidR="007C32DA">
        <w:t>lic</w:t>
      </w:r>
      <w:r w:rsidR="001063DD">
        <w:t>ensing obligations</w:t>
      </w:r>
      <w:r w:rsidRPr="00B81421">
        <w:t xml:space="preserve">, reporting requirements, and operational definitions. </w:t>
      </w:r>
      <w:r w:rsidR="00AD0D07">
        <w:t xml:space="preserve">The current iteration of </w:t>
      </w:r>
      <w:r w:rsidR="00B5646F">
        <w:t xml:space="preserve">Regulations </w:t>
      </w:r>
      <w:r w:rsidR="00AD0D07">
        <w:t>ha</w:t>
      </w:r>
      <w:r w:rsidR="005D2838">
        <w:t>s</w:t>
      </w:r>
      <w:r w:rsidR="00AD0D07">
        <w:t xml:space="preserve"> been in place since 2021 and represented a significant shift in the regulatory framework</w:t>
      </w:r>
      <w:r w:rsidR="004A7349">
        <w:t xml:space="preserve"> which resulted in </w:t>
      </w:r>
      <w:r w:rsidR="00601BA0">
        <w:t xml:space="preserve">strengthened quality and safety. </w:t>
      </w:r>
      <w:r w:rsidR="00692655">
        <w:t xml:space="preserve">Remaking the Regulations in their current form would provide a level of </w:t>
      </w:r>
      <w:r w:rsidR="00B84AFC">
        <w:t>continuity of service standards for NEPT providers, noting that non-regulatory re</w:t>
      </w:r>
      <w:r w:rsidR="001D0DFC">
        <w:t xml:space="preserve">forms to the sector </w:t>
      </w:r>
      <w:r w:rsidR="00792A16">
        <w:t xml:space="preserve">may </w:t>
      </w:r>
      <w:r w:rsidR="001D0DFC">
        <w:t>be made in response to the NEPT Review.</w:t>
      </w:r>
    </w:p>
    <w:p w14:paraId="4308AFD2" w14:textId="3CE4B0E2" w:rsidR="00063F36" w:rsidRDefault="00BD0578" w:rsidP="00CD7CBA">
      <w:pPr>
        <w:pStyle w:val="Body"/>
      </w:pPr>
      <w:r w:rsidRPr="005A6F4F">
        <w:t>The current NEPT Regulations aim to ensure patient safety during non-emergency transport and provide a regulatory framework for service providers and clinical staff.</w:t>
      </w:r>
      <w:r w:rsidRPr="005A6F4F" w:rsidDel="005E3F97">
        <w:t xml:space="preserve"> </w:t>
      </w:r>
      <w:r w:rsidR="00F21886">
        <w:t>The Regulations also feature a range of safety requirements and standards relat</w:t>
      </w:r>
      <w:r w:rsidR="00CA7F62">
        <w:t>ing</w:t>
      </w:r>
      <w:r w:rsidR="00F21886">
        <w:t xml:space="preserve"> to</w:t>
      </w:r>
      <w:r w:rsidR="00CA7F62">
        <w:t xml:space="preserve"> the transport of patients,</w:t>
      </w:r>
      <w:r w:rsidR="00F21886">
        <w:t xml:space="preserve"> vehicle</w:t>
      </w:r>
      <w:r w:rsidR="00CA204F">
        <w:t xml:space="preserve"> and</w:t>
      </w:r>
      <w:r w:rsidR="00F21886">
        <w:t xml:space="preserve"> equipment</w:t>
      </w:r>
      <w:r w:rsidR="00CA204F">
        <w:t xml:space="preserve"> maintenance,</w:t>
      </w:r>
      <w:r w:rsidR="00F21886">
        <w:t xml:space="preserve"> </w:t>
      </w:r>
      <w:r w:rsidR="00CA7F62">
        <w:t xml:space="preserve">as well as </w:t>
      </w:r>
      <w:r w:rsidR="00F21886">
        <w:t xml:space="preserve">staff training and competencies. The Regulations </w:t>
      </w:r>
      <w:r w:rsidR="00394B79">
        <w:t>set out the obligations</w:t>
      </w:r>
      <w:r w:rsidR="00CB71A5">
        <w:t xml:space="preserve"> to establish</w:t>
      </w:r>
      <w:r w:rsidR="00394B79">
        <w:t xml:space="preserve"> </w:t>
      </w:r>
      <w:r w:rsidR="00F21886">
        <w:t xml:space="preserve">a </w:t>
      </w:r>
      <w:r w:rsidR="00CB71A5">
        <w:t>COC</w:t>
      </w:r>
      <w:r w:rsidR="00AD2247">
        <w:t xml:space="preserve"> </w:t>
      </w:r>
      <w:r w:rsidR="00FD3410">
        <w:t>and the responsibilities of its membership</w:t>
      </w:r>
      <w:r w:rsidR="00FF2163">
        <w:t>,</w:t>
      </w:r>
      <w:r w:rsidR="00F65D8E">
        <w:t xml:space="preserve"> and</w:t>
      </w:r>
      <w:r w:rsidR="00951A6E">
        <w:t xml:space="preserve"> patient and staff</w:t>
      </w:r>
      <w:r w:rsidR="00F65D8E">
        <w:t xml:space="preserve"> recordkeeping requirements are specified. </w:t>
      </w:r>
      <w:r w:rsidR="00951A6E">
        <w:t>L</w:t>
      </w:r>
      <w:r w:rsidR="00F21886">
        <w:t>icen</w:t>
      </w:r>
      <w:r w:rsidR="00FB009B">
        <w:t>s</w:t>
      </w:r>
      <w:r w:rsidR="00F21886">
        <w:t xml:space="preserve">ed providers are required to notify the Secretary within 24 hours of a sentinel event and annually report on other serious events. </w:t>
      </w:r>
    </w:p>
    <w:p w14:paraId="588377A0" w14:textId="24BBDE5C" w:rsidR="00AF4140" w:rsidRPr="008C078F" w:rsidRDefault="00F21886" w:rsidP="00CD7CBA">
      <w:pPr>
        <w:pStyle w:val="Body"/>
      </w:pPr>
      <w:r>
        <w:t xml:space="preserve">The recent NEPT Review reported that regulatory compliance is high and serious adverse events appear </w:t>
      </w:r>
      <w:r w:rsidRPr="00977DA2">
        <w:t>rare.</w:t>
      </w:r>
      <w:r w:rsidRPr="00977DA2">
        <w:rPr>
          <w:rStyle w:val="FootnoteReference"/>
          <w:rFonts w:eastAsia="MS Gothic"/>
        </w:rPr>
        <w:footnoteReference w:id="14"/>
      </w:r>
      <w:r>
        <w:t xml:space="preserve"> </w:t>
      </w:r>
      <w:r w:rsidR="095D08DE" w:rsidRPr="52282FD7">
        <w:t>During consultation</w:t>
      </w:r>
      <w:r w:rsidR="4792975A" w:rsidRPr="52282FD7">
        <w:t xml:space="preserve">, </w:t>
      </w:r>
      <w:r w:rsidR="095D08DE" w:rsidRPr="52282FD7">
        <w:t>the Health Regulator</w:t>
      </w:r>
      <w:r w:rsidR="5A0B8C6F" w:rsidRPr="52282FD7">
        <w:t xml:space="preserve"> noted there has been significant improvement in standards and compliance since the Regulations were</w:t>
      </w:r>
      <w:r w:rsidR="7FC61AE4" w:rsidRPr="52282FD7">
        <w:t xml:space="preserve"> initially made in 2016 and again following their amendment in 2021</w:t>
      </w:r>
      <w:r w:rsidR="3C40195C" w:rsidRPr="52282FD7">
        <w:t xml:space="preserve">. Providers also noted a general improvement in quality of service across the sector as </w:t>
      </w:r>
      <w:r w:rsidR="7F9C232D" w:rsidRPr="52282FD7">
        <w:t>regulatory obligations were introduced.</w:t>
      </w:r>
      <w:r w:rsidR="4792975A" w:rsidRPr="52282FD7">
        <w:t xml:space="preserve"> </w:t>
      </w:r>
    </w:p>
    <w:p w14:paraId="37F74134" w14:textId="4088C10F" w:rsidR="0024485B" w:rsidRPr="008C078F" w:rsidRDefault="009B2847" w:rsidP="008C078F">
      <w:pPr>
        <w:pStyle w:val="Heading2"/>
      </w:pPr>
      <w:bookmarkStart w:id="21" w:name="_Toc215847514"/>
      <w:r w:rsidRPr="008C078F">
        <w:rPr>
          <w:rStyle w:val="Heading2Char"/>
          <w:b/>
        </w:rPr>
        <w:t xml:space="preserve">Option </w:t>
      </w:r>
      <w:r w:rsidR="716DB66D" w:rsidRPr="008C078F">
        <w:rPr>
          <w:rStyle w:val="Heading2Char"/>
          <w:b/>
        </w:rPr>
        <w:t>2</w:t>
      </w:r>
      <w:r w:rsidR="00205076" w:rsidRPr="008C078F">
        <w:rPr>
          <w:rStyle w:val="Heading2Char"/>
          <w:b/>
        </w:rPr>
        <w:t xml:space="preserve"> – targeted </w:t>
      </w:r>
      <w:r w:rsidR="0023408F" w:rsidRPr="008C078F">
        <w:rPr>
          <w:rStyle w:val="Heading2Char"/>
          <w:b/>
        </w:rPr>
        <w:t>amendment</w:t>
      </w:r>
      <w:r w:rsidR="00205076" w:rsidRPr="008C078F">
        <w:rPr>
          <w:rStyle w:val="Heading2Char"/>
          <w:b/>
        </w:rPr>
        <w:t xml:space="preserve"> </w:t>
      </w:r>
      <w:r w:rsidR="00605AC8" w:rsidRPr="008C078F">
        <w:rPr>
          <w:rStyle w:val="Heading2Char"/>
          <w:b/>
        </w:rPr>
        <w:t>to s</w:t>
      </w:r>
      <w:r w:rsidR="00CA763C" w:rsidRPr="008C078F">
        <w:rPr>
          <w:rStyle w:val="Heading2Char"/>
          <w:b/>
        </w:rPr>
        <w:t>upport</w:t>
      </w:r>
      <w:r w:rsidR="00605AC8" w:rsidRPr="008C078F">
        <w:rPr>
          <w:rStyle w:val="Heading2Char"/>
          <w:b/>
        </w:rPr>
        <w:t xml:space="preserve"> the role of NEPT in the health service system</w:t>
      </w:r>
      <w:bookmarkEnd w:id="21"/>
      <w:r w:rsidRPr="008C078F">
        <w:t xml:space="preserve"> </w:t>
      </w:r>
    </w:p>
    <w:p w14:paraId="30B4B40F" w14:textId="06913099" w:rsidR="00FF0A12" w:rsidRDefault="001A126F" w:rsidP="003B2D01">
      <w:pPr>
        <w:pStyle w:val="Body"/>
      </w:pPr>
      <w:r>
        <w:t>U</w:t>
      </w:r>
      <w:r w:rsidR="00CC757E">
        <w:t>ndertaking a sunset review</w:t>
      </w:r>
      <w:r w:rsidR="003B309D">
        <w:t xml:space="preserve"> only </w:t>
      </w:r>
      <w:r w:rsidR="009D2BF5">
        <w:t xml:space="preserve">four years </w:t>
      </w:r>
      <w:r w:rsidR="0096273D">
        <w:t xml:space="preserve">after </w:t>
      </w:r>
      <w:r w:rsidR="00782B79">
        <w:t>substantial</w:t>
      </w:r>
      <w:r w:rsidR="009D2BF5">
        <w:t xml:space="preserve"> </w:t>
      </w:r>
      <w:r>
        <w:t xml:space="preserve">regulatory </w:t>
      </w:r>
      <w:r w:rsidR="009D2BF5">
        <w:t>reform</w:t>
      </w:r>
      <w:r w:rsidR="00802F14">
        <w:t xml:space="preserve"> </w:t>
      </w:r>
      <w:r w:rsidR="003A0CF1">
        <w:t>provides</w:t>
      </w:r>
      <w:r w:rsidR="001A5701">
        <w:t xml:space="preserve"> a very well-informed</w:t>
      </w:r>
      <w:r w:rsidR="003A0CF1">
        <w:t xml:space="preserve"> opportunity to refine</w:t>
      </w:r>
      <w:r w:rsidR="001A5701">
        <w:t xml:space="preserve"> </w:t>
      </w:r>
      <w:r w:rsidR="004469B3">
        <w:t xml:space="preserve">the </w:t>
      </w:r>
      <w:r w:rsidR="001A5701">
        <w:t>Regulations to ensure they are fit for purpose</w:t>
      </w:r>
      <w:r w:rsidR="00182F4B">
        <w:t xml:space="preserve"> based on</w:t>
      </w:r>
      <w:r w:rsidR="009C7E0A">
        <w:t xml:space="preserve"> the</w:t>
      </w:r>
      <w:r w:rsidR="00182F4B">
        <w:t xml:space="preserve"> experience</w:t>
      </w:r>
      <w:r w:rsidR="006D5BED">
        <w:t xml:space="preserve"> to date. </w:t>
      </w:r>
      <w:r w:rsidR="00FF0A12">
        <w:t xml:space="preserve">As the sector has matured it has become apparent that there is variation in interpretation of the obligations that would benefit from clarification so that the </w:t>
      </w:r>
      <w:r w:rsidR="00B5646F">
        <w:t>R</w:t>
      </w:r>
      <w:r w:rsidR="00FF0A12">
        <w:t>egulations can operate as intended</w:t>
      </w:r>
      <w:r w:rsidR="002311F5">
        <w:t>.</w:t>
      </w:r>
      <w:r w:rsidR="00FF0A12">
        <w:t xml:space="preserve"> The amendments proposed under this option do not represent significant shifts in policy or imposition of substantial regulatory burden. They seek to meet the objectives set out in chapter 3 and are largely matters of refinement and operational clarity, to remove ambiguity and inconsistency. </w:t>
      </w:r>
    </w:p>
    <w:p w14:paraId="1981A793" w14:textId="44A062DC" w:rsidR="0073089B" w:rsidRDefault="0073089B" w:rsidP="0073089B">
      <w:pPr>
        <w:pStyle w:val="Body"/>
      </w:pPr>
      <w:r>
        <w:t xml:space="preserve">Amendments to the Regulations under this option are intended to reiterate the scope of NEPT as defined in the Act, setting clear parameters and standards to support quality care for patients during transport. Eligibility for transport by a NEPT provider would be explicitly linked to the need for monitoring or a stretcher by including these in the definition of a low acuity patient, reflecting the definition in the Act. </w:t>
      </w:r>
      <w:r w:rsidR="0037470C">
        <w:t>This option tailors the Regulations</w:t>
      </w:r>
      <w:r w:rsidR="008530A3">
        <w:t xml:space="preserve"> to better reflect the role of NEPT as</w:t>
      </w:r>
      <w:r w:rsidR="002A2A56">
        <w:t xml:space="preserve"> a critical</w:t>
      </w:r>
      <w:r w:rsidR="008530A3">
        <w:t xml:space="preserve"> part of the health service system, using</w:t>
      </w:r>
      <w:r w:rsidR="002A2A56">
        <w:t xml:space="preserve"> consistent terminology and best practice</w:t>
      </w:r>
      <w:r w:rsidR="000E5836">
        <w:t xml:space="preserve"> models of clinical governance.</w:t>
      </w:r>
      <w:r w:rsidR="0098651B">
        <w:t xml:space="preserve"> There may be minor costs associated with enhanced clinical governance and embedding best practice for the workforce, however</w:t>
      </w:r>
      <w:r w:rsidR="008B7CA0">
        <w:t>, consultation with</w:t>
      </w:r>
      <w:r w:rsidR="0098651B">
        <w:t xml:space="preserve"> providers </w:t>
      </w:r>
      <w:r w:rsidR="008B7CA0">
        <w:t>indicate</w:t>
      </w:r>
      <w:r w:rsidR="003B067E">
        <w:t>s</w:t>
      </w:r>
      <w:r w:rsidR="008B7CA0">
        <w:t xml:space="preserve"> that </w:t>
      </w:r>
      <w:r w:rsidR="00AE6304">
        <w:t xml:space="preserve">they </w:t>
      </w:r>
      <w:r w:rsidR="0098651B">
        <w:t xml:space="preserve">are already in effect meeting these proposed obligations. To reduce overall regulatory burden, the </w:t>
      </w:r>
      <w:r w:rsidR="008834AE">
        <w:t>d</w:t>
      </w:r>
      <w:r w:rsidR="0098651B">
        <w:t xml:space="preserve">epartment is proposing to extend the recently introduced vehicle life limits, offset with appropriate safeguards to ensure quality and safety.  </w:t>
      </w:r>
    </w:p>
    <w:p w14:paraId="3E02A898" w14:textId="036098A1" w:rsidR="00650137" w:rsidRDefault="006D5BED" w:rsidP="003B2D01">
      <w:pPr>
        <w:pStyle w:val="Body"/>
      </w:pPr>
      <w:r>
        <w:lastRenderedPageBreak/>
        <w:t>Furthermore</w:t>
      </w:r>
      <w:r w:rsidR="00802F14">
        <w:t xml:space="preserve">, </w:t>
      </w:r>
      <w:r w:rsidR="009C7E0A">
        <w:t>the</w:t>
      </w:r>
      <w:r w:rsidR="00802F14">
        <w:t xml:space="preserve"> broader NEPT </w:t>
      </w:r>
      <w:r w:rsidR="006C68AA">
        <w:t>R</w:t>
      </w:r>
      <w:r w:rsidR="00802F14">
        <w:t>eview</w:t>
      </w:r>
      <w:r>
        <w:t xml:space="preserve"> and the associated</w:t>
      </w:r>
      <w:r w:rsidR="00802F14">
        <w:t xml:space="preserve"> </w:t>
      </w:r>
      <w:r w:rsidR="00182F4B">
        <w:t>extensive consultation</w:t>
      </w:r>
      <w:r>
        <w:t xml:space="preserve"> provide a stronger</w:t>
      </w:r>
      <w:r w:rsidR="009C7E0A">
        <w:t xml:space="preserve"> foundational</w:t>
      </w:r>
      <w:r>
        <w:t xml:space="preserve"> understanding of the operational context</w:t>
      </w:r>
      <w:r w:rsidR="001A126F">
        <w:t xml:space="preserve"> and complexities</w:t>
      </w:r>
      <w:r>
        <w:t xml:space="preserve"> for NEPT</w:t>
      </w:r>
      <w:r w:rsidR="001A5701">
        <w:t>.</w:t>
      </w:r>
      <w:r w:rsidR="006A78B0">
        <w:t xml:space="preserve"> </w:t>
      </w:r>
      <w:r w:rsidR="00FA4F60">
        <w:t xml:space="preserve">While </w:t>
      </w:r>
      <w:r w:rsidR="008D4C34">
        <w:t xml:space="preserve">the scope of this sunset review differs in that it is focussed on regulatory </w:t>
      </w:r>
      <w:r w:rsidR="00434A4E">
        <w:t>obligations</w:t>
      </w:r>
      <w:r w:rsidR="008D4C34">
        <w:t xml:space="preserve"> for lic</w:t>
      </w:r>
      <w:r w:rsidR="00434A4E">
        <w:t>ensees</w:t>
      </w:r>
      <w:r w:rsidR="0095535F">
        <w:t xml:space="preserve"> rather than broader system challenges</w:t>
      </w:r>
      <w:r w:rsidR="00434A4E">
        <w:t xml:space="preserve">, </w:t>
      </w:r>
      <w:r w:rsidR="00D51D5D">
        <w:t xml:space="preserve">there are </w:t>
      </w:r>
      <w:r w:rsidR="00C173D8">
        <w:t xml:space="preserve">still some </w:t>
      </w:r>
      <w:r w:rsidR="00D51D5D">
        <w:t>opportunities to</w:t>
      </w:r>
      <w:r w:rsidR="006C68AA">
        <w:t xml:space="preserve"> </w:t>
      </w:r>
      <w:r w:rsidR="003468D3">
        <w:t>respond to the relevant findings and align with the recommendations.</w:t>
      </w:r>
      <w:r w:rsidR="00434A4E">
        <w:t xml:space="preserve"> </w:t>
      </w:r>
      <w:r w:rsidR="0098651B">
        <w:t>The targeted improvements made under this option will also contribute to non-regulatory improvements implemented through the NEPT Review (for example</w:t>
      </w:r>
      <w:r w:rsidR="003E05A4">
        <w:t>,</w:t>
      </w:r>
      <w:r w:rsidR="0098651B">
        <w:t xml:space="preserve"> to workforce planning</w:t>
      </w:r>
      <w:r w:rsidR="00767E51">
        <w:t xml:space="preserve"> as well as</w:t>
      </w:r>
      <w:r w:rsidR="0098651B">
        <w:t xml:space="preserve"> integration in broader healthcare guidelines and frameworks).</w:t>
      </w:r>
    </w:p>
    <w:p w14:paraId="1F153DAC" w14:textId="2C62B58B" w:rsidR="00F81900" w:rsidRDefault="00723BBB" w:rsidP="00AC71CC">
      <w:pPr>
        <w:pStyle w:val="Body"/>
      </w:pPr>
      <w:r>
        <w:t>Option 2 remakes the Regulations with actions to address some of the recommendations and opportunities</w:t>
      </w:r>
      <w:r w:rsidR="00B81E6A">
        <w:t xml:space="preserve"> for improvement</w:t>
      </w:r>
      <w:r w:rsidR="003F6F0B">
        <w:t xml:space="preserve"> and </w:t>
      </w:r>
      <w:r w:rsidR="00B84E19">
        <w:t xml:space="preserve">further </w:t>
      </w:r>
      <w:r w:rsidR="003F6F0B">
        <w:t xml:space="preserve">contribute to ensuring </w:t>
      </w:r>
      <w:r w:rsidR="00B84E19">
        <w:t>patient safety.</w:t>
      </w:r>
      <w:r>
        <w:t xml:space="preserve"> </w:t>
      </w:r>
      <w:r w:rsidR="00B35F26">
        <w:t>Further description of proposed amendments under option 2 is provided</w:t>
      </w:r>
      <w:r w:rsidR="00F81900">
        <w:t xml:space="preserve"> in the </w:t>
      </w:r>
      <w:r w:rsidR="00C84FDF">
        <w:t xml:space="preserve">table </w:t>
      </w:r>
      <w:r w:rsidR="00B35F26">
        <w:t>below</w:t>
      </w:r>
      <w:r w:rsidR="008136BD">
        <w:t xml:space="preserve"> and</w:t>
      </w:r>
      <w:r w:rsidR="00B35F26">
        <w:t xml:space="preserve"> in</w:t>
      </w:r>
      <w:r w:rsidR="008136BD">
        <w:t xml:space="preserve"> the following chapters.</w:t>
      </w:r>
      <w:r w:rsidR="00B35F26">
        <w:t xml:space="preserve"> </w:t>
      </w:r>
    </w:p>
    <w:p w14:paraId="57297B85" w14:textId="2E8D86C6" w:rsidR="00C84FDF" w:rsidRPr="00B9404E" w:rsidRDefault="00EA72CC" w:rsidP="00C84FDF">
      <w:pPr>
        <w:pStyle w:val="Heading2"/>
      </w:pPr>
      <w:bookmarkStart w:id="22" w:name="_Toc215847515"/>
      <w:r w:rsidRPr="00B9404E">
        <w:t xml:space="preserve">Comparison of </w:t>
      </w:r>
      <w:r w:rsidR="00EB2C13">
        <w:t>options</w:t>
      </w:r>
      <w:r w:rsidR="005C5FED">
        <w:t xml:space="preserve"> – proposed amendments</w:t>
      </w:r>
      <w:bookmarkEnd w:id="22"/>
      <w:r w:rsidR="00C84FDF" w:rsidRPr="00B9404E">
        <w:t xml:space="preserve"> </w:t>
      </w:r>
      <w:r w:rsidR="00D92218" w:rsidRPr="00B9404E">
        <w:t xml:space="preserve"> </w:t>
      </w:r>
      <w:r w:rsidR="00C84FDF" w:rsidRPr="00B9404E">
        <w:t xml:space="preserve"> </w:t>
      </w:r>
    </w:p>
    <w:p w14:paraId="6D747BF3" w14:textId="449D5EE7" w:rsidR="00C84FDF" w:rsidRDefault="00C84FDF" w:rsidP="00CD7CBA">
      <w:pPr>
        <w:pStyle w:val="Body"/>
      </w:pPr>
      <w:r w:rsidRPr="00B9404E">
        <w:t>The key</w:t>
      </w:r>
      <w:r w:rsidR="00880F3F">
        <w:t xml:space="preserve"> proposed</w:t>
      </w:r>
      <w:r w:rsidRPr="00B9404E">
        <w:t xml:space="preserve"> amendments to Regulations that may impact on regulatory burden or represent a clarification of policy that differs between options are:</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98"/>
      </w:tblGrid>
      <w:tr w:rsidR="00C84FDF" w:rsidRPr="00652056" w14:paraId="5F9C9C19" w14:textId="77777777" w:rsidTr="67EA34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Borders>
              <w:bottom w:val="single" w:sz="4" w:space="0" w:color="auto"/>
            </w:tcBorders>
            <w:shd w:val="clear" w:color="auto" w:fill="92CDDC" w:themeFill="accent5" w:themeFillTint="99"/>
          </w:tcPr>
          <w:p w14:paraId="28C402EE" w14:textId="4BD18391" w:rsidR="00C84FDF" w:rsidRPr="00A20182" w:rsidRDefault="00C84FDF" w:rsidP="00255E15">
            <w:pPr>
              <w:pStyle w:val="Tablecolhead"/>
              <w:rPr>
                <w:color w:val="595959" w:themeColor="text1" w:themeTint="A6"/>
                <w:szCs w:val="21"/>
              </w:rPr>
            </w:pPr>
            <w:r w:rsidRPr="00A20182">
              <w:rPr>
                <w:b/>
                <w:color w:val="595959" w:themeColor="text1" w:themeTint="A6"/>
              </w:rPr>
              <w:t xml:space="preserve">Current </w:t>
            </w:r>
            <w:r w:rsidR="00F1151F" w:rsidRPr="00A20182">
              <w:rPr>
                <w:b/>
                <w:color w:val="595959" w:themeColor="text1" w:themeTint="A6"/>
                <w:szCs w:val="21"/>
              </w:rPr>
              <w:t>R</w:t>
            </w:r>
            <w:r w:rsidRPr="00A20182">
              <w:rPr>
                <w:b/>
                <w:color w:val="595959" w:themeColor="text1" w:themeTint="A6"/>
                <w:szCs w:val="21"/>
              </w:rPr>
              <w:t>egulations (option 1)</w:t>
            </w:r>
          </w:p>
        </w:tc>
        <w:tc>
          <w:tcPr>
            <w:tcW w:w="4898" w:type="dxa"/>
            <w:shd w:val="clear" w:color="auto" w:fill="92CDDC" w:themeFill="accent5" w:themeFillTint="99"/>
          </w:tcPr>
          <w:p w14:paraId="02B11C70" w14:textId="0C1EAE2E" w:rsidR="00C84FDF" w:rsidRPr="00A20182" w:rsidRDefault="00C84FDF" w:rsidP="00255E15">
            <w:pPr>
              <w:pStyle w:val="Tablecolhead"/>
              <w:cnfStyle w:val="100000000000" w:firstRow="1" w:lastRow="0" w:firstColumn="0" w:lastColumn="0" w:oddVBand="0" w:evenVBand="0" w:oddHBand="0" w:evenHBand="0" w:firstRowFirstColumn="0" w:firstRowLastColumn="0" w:lastRowFirstColumn="0" w:lastRowLastColumn="0"/>
              <w:rPr>
                <w:color w:val="595959" w:themeColor="text1" w:themeTint="A6"/>
                <w:szCs w:val="21"/>
              </w:rPr>
            </w:pPr>
            <w:r w:rsidRPr="00A20182">
              <w:rPr>
                <w:b/>
                <w:color w:val="595959" w:themeColor="text1" w:themeTint="A6"/>
              </w:rPr>
              <w:t xml:space="preserve">Proposed </w:t>
            </w:r>
            <w:r w:rsidR="008F60A0" w:rsidRPr="00A20182">
              <w:rPr>
                <w:b/>
                <w:color w:val="595959" w:themeColor="text1" w:themeTint="A6"/>
                <w:szCs w:val="21"/>
              </w:rPr>
              <w:t xml:space="preserve">amendments </w:t>
            </w:r>
            <w:r w:rsidRPr="00A20182">
              <w:rPr>
                <w:b/>
                <w:color w:val="595959" w:themeColor="text1" w:themeTint="A6"/>
                <w:szCs w:val="21"/>
              </w:rPr>
              <w:t>(option 2)</w:t>
            </w:r>
          </w:p>
        </w:tc>
      </w:tr>
      <w:tr w:rsidR="00C84FDF" w:rsidRPr="00E16162" w14:paraId="1AAF5C1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tcBorders>
          </w:tcPr>
          <w:p w14:paraId="161D59C2" w14:textId="77777777" w:rsidR="00C84FDF" w:rsidRPr="00255E15" w:rsidRDefault="00C84FDF" w:rsidP="00623684">
            <w:pPr>
              <w:pStyle w:val="Tabletext"/>
              <w:rPr>
                <w:b w:val="0"/>
                <w:bCs w:val="0"/>
              </w:rPr>
            </w:pPr>
            <w:r w:rsidRPr="00255E15">
              <w:rPr>
                <w:b w:val="0"/>
                <w:bCs w:val="0"/>
              </w:rPr>
              <w:t xml:space="preserve">Existing definitions </w:t>
            </w:r>
          </w:p>
        </w:tc>
        <w:tc>
          <w:tcPr>
            <w:tcW w:w="4898" w:type="dxa"/>
          </w:tcPr>
          <w:p w14:paraId="7F091674" w14:textId="35FE4008" w:rsidR="00C84FDF" w:rsidRPr="00255E15" w:rsidRDefault="00C84FDF" w:rsidP="00623684">
            <w:pPr>
              <w:pStyle w:val="Tabletext"/>
              <w:cnfStyle w:val="000000100000" w:firstRow="0" w:lastRow="0" w:firstColumn="0" w:lastColumn="0" w:oddVBand="0" w:evenVBand="0" w:oddHBand="1" w:evenHBand="0" w:firstRowFirstColumn="0" w:firstRowLastColumn="0" w:lastRowFirstColumn="0" w:lastRowLastColumn="0"/>
            </w:pPr>
            <w:r w:rsidRPr="00255E15">
              <w:t>Updating and inclusion of definitions</w:t>
            </w:r>
            <w:r w:rsidR="00AC18B1" w:rsidRPr="00255E15">
              <w:t xml:space="preserve">, </w:t>
            </w:r>
            <w:r w:rsidR="00560747" w:rsidRPr="00255E15">
              <w:t>e.g.,</w:t>
            </w:r>
            <w:r w:rsidR="00AC18B1" w:rsidRPr="00255E15">
              <w:t xml:space="preserve"> </w:t>
            </w:r>
            <w:r w:rsidR="00632A27" w:rsidRPr="00255E15">
              <w:t xml:space="preserve">clinical instructor, clinical practice protocols </w:t>
            </w:r>
            <w:r w:rsidRPr="00255E15">
              <w:t xml:space="preserve"> </w:t>
            </w:r>
          </w:p>
        </w:tc>
      </w:tr>
      <w:tr w:rsidR="00C84FDF" w:rsidRPr="00E16162" w14:paraId="07F5D58C"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546C0929" w14:textId="77777777" w:rsidR="00C84FDF" w:rsidRPr="00255E15" w:rsidRDefault="00C84FDF" w:rsidP="00623684">
            <w:pPr>
              <w:pStyle w:val="Tabletext"/>
              <w:rPr>
                <w:b w:val="0"/>
                <w:bCs w:val="0"/>
              </w:rPr>
            </w:pPr>
            <w:r w:rsidRPr="00255E15">
              <w:rPr>
                <w:b w:val="0"/>
                <w:bCs w:val="0"/>
              </w:rPr>
              <w:t>Very limited reference to clinical practice protocols</w:t>
            </w:r>
          </w:p>
        </w:tc>
        <w:tc>
          <w:tcPr>
            <w:tcW w:w="4898" w:type="dxa"/>
          </w:tcPr>
          <w:p w14:paraId="4FA855F1" w14:textId="77777777" w:rsidR="00C84FDF" w:rsidRPr="00255E15" w:rsidRDefault="00C84FDF" w:rsidP="00623684">
            <w:pPr>
              <w:pStyle w:val="Tabletext"/>
              <w:cnfStyle w:val="000000000000" w:firstRow="0" w:lastRow="0" w:firstColumn="0" w:lastColumn="0" w:oddVBand="0" w:evenVBand="0" w:oddHBand="0" w:evenHBand="0" w:firstRowFirstColumn="0" w:firstRowLastColumn="0" w:lastRowFirstColumn="0" w:lastRowLastColumn="0"/>
            </w:pPr>
            <w:r w:rsidRPr="00255E15">
              <w:t>Reference to clinical practice protocols included throughout Regulations</w:t>
            </w:r>
          </w:p>
        </w:tc>
      </w:tr>
      <w:tr w:rsidR="001A1DD3" w:rsidRPr="00E16162" w14:paraId="711D897F"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22CE2690" w14:textId="282A9505" w:rsidR="001A1DD3" w:rsidRPr="00255E15" w:rsidRDefault="001A1DD3" w:rsidP="00623684">
            <w:pPr>
              <w:pStyle w:val="Tabletext"/>
              <w:rPr>
                <w:b w:val="0"/>
                <w:bCs w:val="0"/>
              </w:rPr>
            </w:pPr>
            <w:r w:rsidRPr="00255E15">
              <w:rPr>
                <w:b w:val="0"/>
                <w:bCs w:val="0"/>
              </w:rPr>
              <w:t>Criteria for transport exclude</w:t>
            </w:r>
            <w:r w:rsidR="00230F69" w:rsidRPr="00255E15">
              <w:rPr>
                <w:b w:val="0"/>
                <w:bCs w:val="0"/>
              </w:rPr>
              <w:t>s</w:t>
            </w:r>
            <w:r w:rsidRPr="00255E15" w:rsidDel="00230F69">
              <w:rPr>
                <w:b w:val="0"/>
                <w:bCs w:val="0"/>
              </w:rPr>
              <w:t xml:space="preserve"> </w:t>
            </w:r>
            <w:r w:rsidRPr="00255E15">
              <w:rPr>
                <w:b w:val="0"/>
                <w:bCs w:val="0"/>
              </w:rPr>
              <w:t>patient</w:t>
            </w:r>
            <w:r w:rsidR="00230F69" w:rsidRPr="00255E15">
              <w:rPr>
                <w:b w:val="0"/>
                <w:bCs w:val="0"/>
              </w:rPr>
              <w:t>s</w:t>
            </w:r>
            <w:r w:rsidRPr="00255E15">
              <w:rPr>
                <w:b w:val="0"/>
                <w:bCs w:val="0"/>
              </w:rPr>
              <w:t xml:space="preserve"> </w:t>
            </w:r>
            <w:r w:rsidR="00230F69" w:rsidRPr="00255E15">
              <w:rPr>
                <w:b w:val="0"/>
                <w:bCs w:val="0"/>
              </w:rPr>
              <w:t xml:space="preserve">with </w:t>
            </w:r>
            <w:r w:rsidRPr="00255E15">
              <w:rPr>
                <w:b w:val="0"/>
                <w:bCs w:val="0"/>
              </w:rPr>
              <w:t>cardiac-related chest pain</w:t>
            </w:r>
          </w:p>
        </w:tc>
        <w:tc>
          <w:tcPr>
            <w:tcW w:w="4898" w:type="dxa"/>
            <w:tcBorders>
              <w:top w:val="none" w:sz="0" w:space="0" w:color="auto"/>
              <w:bottom w:val="none" w:sz="0" w:space="0" w:color="auto"/>
            </w:tcBorders>
          </w:tcPr>
          <w:p w14:paraId="59AA30C3" w14:textId="3A9F32E4" w:rsidR="001A1DD3" w:rsidRPr="00255E15" w:rsidRDefault="001A1DD3" w:rsidP="00623684">
            <w:pPr>
              <w:pStyle w:val="Tabletext"/>
              <w:cnfStyle w:val="000000100000" w:firstRow="0" w:lastRow="0" w:firstColumn="0" w:lastColumn="0" w:oddVBand="0" w:evenVBand="0" w:oddHBand="1" w:evenHBand="0" w:firstRowFirstColumn="0" w:firstRowLastColumn="0" w:lastRowFirstColumn="0" w:lastRowLastColumn="0"/>
            </w:pPr>
            <w:r w:rsidRPr="00255E15">
              <w:t>Cr</w:t>
            </w:r>
            <w:r w:rsidR="001C7E38" w:rsidRPr="00255E15">
              <w:t xml:space="preserve">iteria for </w:t>
            </w:r>
            <w:r w:rsidR="00C31DEE" w:rsidRPr="00255E15">
              <w:t>exclusion</w:t>
            </w:r>
            <w:r w:rsidR="001C7E38" w:rsidRPr="00255E15">
              <w:t xml:space="preserve"> </w:t>
            </w:r>
            <w:r w:rsidR="00DE1EFC" w:rsidRPr="00255E15">
              <w:t xml:space="preserve">from NEPT </w:t>
            </w:r>
            <w:r w:rsidR="001C7E38" w:rsidRPr="00255E15">
              <w:t xml:space="preserve">clarified </w:t>
            </w:r>
            <w:r w:rsidR="00C31DEE" w:rsidRPr="00255E15">
              <w:t>to specify</w:t>
            </w:r>
            <w:r w:rsidR="001827EE" w:rsidRPr="00255E15">
              <w:t xml:space="preserve"> </w:t>
            </w:r>
            <w:r w:rsidR="00C31DEE" w:rsidRPr="00255E15">
              <w:t>cardiac</w:t>
            </w:r>
            <w:r w:rsidR="001827EE" w:rsidRPr="00255E15">
              <w:t>-</w:t>
            </w:r>
            <w:r w:rsidR="00C31DEE" w:rsidRPr="00255E15">
              <w:t>related chest pain</w:t>
            </w:r>
            <w:r w:rsidR="001827EE" w:rsidRPr="00255E15">
              <w:t xml:space="preserve"> as</w:t>
            </w:r>
            <w:r w:rsidR="00C31DEE" w:rsidRPr="00255E15">
              <w:t xml:space="preserve"> assessed by treating registered health professional</w:t>
            </w:r>
          </w:p>
        </w:tc>
      </w:tr>
      <w:tr w:rsidR="00C84FDF" w:rsidRPr="00E16162" w14:paraId="1C20ADED"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D0E0AE9" w14:textId="77777777" w:rsidR="00C84FDF" w:rsidRPr="00255E15" w:rsidRDefault="00C84FDF" w:rsidP="00623684">
            <w:pPr>
              <w:pStyle w:val="Tabletext"/>
              <w:rPr>
                <w:b w:val="0"/>
                <w:bCs w:val="0"/>
              </w:rPr>
            </w:pPr>
            <w:r w:rsidRPr="00255E15">
              <w:rPr>
                <w:b w:val="0"/>
                <w:bCs w:val="0"/>
              </w:rPr>
              <w:t>Staffing requirements for transporting patients not clearly set out</w:t>
            </w:r>
          </w:p>
        </w:tc>
        <w:tc>
          <w:tcPr>
            <w:tcW w:w="4898" w:type="dxa"/>
          </w:tcPr>
          <w:p w14:paraId="1EC58F8C" w14:textId="6BBA1FFA" w:rsidR="00C84FDF" w:rsidRPr="00255E15" w:rsidRDefault="00382EAE" w:rsidP="00623684">
            <w:pPr>
              <w:pStyle w:val="Tabletext"/>
              <w:cnfStyle w:val="000000000000" w:firstRow="0" w:lastRow="0" w:firstColumn="0" w:lastColumn="0" w:oddVBand="0" w:evenVBand="0" w:oddHBand="0" w:evenHBand="0" w:firstRowFirstColumn="0" w:firstRowLastColumn="0" w:lastRowFirstColumn="0" w:lastRowLastColumn="0"/>
            </w:pPr>
            <w:r w:rsidRPr="00255E15">
              <w:t>S</w:t>
            </w:r>
            <w:r w:rsidR="00C84FDF" w:rsidRPr="00255E15">
              <w:t xml:space="preserve">taffing requirements for transporting patients </w:t>
            </w:r>
            <w:r w:rsidRPr="00255E15">
              <w:t xml:space="preserve">explicitly </w:t>
            </w:r>
            <w:r w:rsidR="000E280B" w:rsidRPr="00255E15">
              <w:t xml:space="preserve">specify </w:t>
            </w:r>
            <w:r w:rsidR="002E3A2E" w:rsidRPr="00255E15">
              <w:t>two</w:t>
            </w:r>
            <w:r w:rsidR="000E280B" w:rsidRPr="00255E15">
              <w:t xml:space="preserve"> suitably qualified and competent crew</w:t>
            </w:r>
            <w:r w:rsidR="00053B3D" w:rsidRPr="00255E15">
              <w:t>,</w:t>
            </w:r>
            <w:r w:rsidR="00C93DF7" w:rsidRPr="00255E15">
              <w:t xml:space="preserve"> one of whom is actively</w:t>
            </w:r>
            <w:r w:rsidR="008A1D0C" w:rsidRPr="00255E15">
              <w:t xml:space="preserve"> </w:t>
            </w:r>
            <w:r w:rsidR="00C93DF7" w:rsidRPr="00255E15">
              <w:t>able to monitor and care for the patient</w:t>
            </w:r>
            <w:r w:rsidR="000E280B" w:rsidRPr="00255E15">
              <w:t xml:space="preserve"> </w:t>
            </w:r>
          </w:p>
        </w:tc>
      </w:tr>
      <w:tr w:rsidR="00C84FDF" w:rsidRPr="00E16162" w14:paraId="0CD2345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2CBD1C30" w14:textId="77777777" w:rsidR="00C84FDF" w:rsidRPr="00255E15" w:rsidRDefault="00C84FDF" w:rsidP="00623684">
            <w:pPr>
              <w:pStyle w:val="Tabletext"/>
              <w:rPr>
                <w:b w:val="0"/>
                <w:bCs w:val="0"/>
              </w:rPr>
            </w:pPr>
            <w:r w:rsidRPr="00255E15">
              <w:rPr>
                <w:b w:val="0"/>
                <w:bCs w:val="0"/>
              </w:rPr>
              <w:t xml:space="preserve">Duration of ‘transport’ </w:t>
            </w:r>
          </w:p>
        </w:tc>
        <w:tc>
          <w:tcPr>
            <w:tcW w:w="4898" w:type="dxa"/>
            <w:tcBorders>
              <w:top w:val="none" w:sz="0" w:space="0" w:color="auto"/>
              <w:bottom w:val="none" w:sz="0" w:space="0" w:color="auto"/>
            </w:tcBorders>
          </w:tcPr>
          <w:p w14:paraId="6DEF3507" w14:textId="497B349F" w:rsidR="00C84FDF" w:rsidRPr="00255E15" w:rsidRDefault="00C84FDF" w:rsidP="00623684">
            <w:pPr>
              <w:pStyle w:val="Tabletext"/>
              <w:cnfStyle w:val="000000100000" w:firstRow="0" w:lastRow="0" w:firstColumn="0" w:lastColumn="0" w:oddVBand="0" w:evenVBand="0" w:oddHBand="1" w:evenHBand="0" w:firstRowFirstColumn="0" w:firstRowLastColumn="0" w:lastRowFirstColumn="0" w:lastRowLastColumn="0"/>
            </w:pPr>
            <w:r w:rsidRPr="00255E15">
              <w:t xml:space="preserve">Duration of ‘episode of care’ </w:t>
            </w:r>
          </w:p>
        </w:tc>
      </w:tr>
      <w:tr w:rsidR="00C84FDF" w:rsidRPr="00E16162" w14:paraId="0D64C3BF"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72EF5E6" w14:textId="77777777" w:rsidR="00C84FDF" w:rsidRPr="00255E15" w:rsidRDefault="00C84FDF" w:rsidP="00623684">
            <w:pPr>
              <w:pStyle w:val="Tabletext"/>
              <w:rPr>
                <w:b w:val="0"/>
                <w:bCs w:val="0"/>
              </w:rPr>
            </w:pPr>
            <w:r w:rsidRPr="00255E15">
              <w:rPr>
                <w:b w:val="0"/>
                <w:bCs w:val="0"/>
              </w:rPr>
              <w:t xml:space="preserve">Double loading not permitted in aeromedical vehicles </w:t>
            </w:r>
          </w:p>
        </w:tc>
        <w:tc>
          <w:tcPr>
            <w:tcW w:w="4898" w:type="dxa"/>
          </w:tcPr>
          <w:p w14:paraId="5F9C61E7" w14:textId="77777777" w:rsidR="00C84FDF" w:rsidRPr="00255E15" w:rsidRDefault="00C84FDF" w:rsidP="00623684">
            <w:pPr>
              <w:pStyle w:val="Tabletext"/>
              <w:cnfStyle w:val="000000000000" w:firstRow="0" w:lastRow="0" w:firstColumn="0" w:lastColumn="0" w:oddVBand="0" w:evenVBand="0" w:oddHBand="0" w:evenHBand="0" w:firstRowFirstColumn="0" w:firstRowLastColumn="0" w:lastRowFirstColumn="0" w:lastRowLastColumn="0"/>
            </w:pPr>
            <w:r w:rsidRPr="00255E15">
              <w:t>Double loading permitted in aeromedical vehicles for low and medium acuity patients</w:t>
            </w:r>
          </w:p>
        </w:tc>
      </w:tr>
      <w:tr w:rsidR="003C1269" w:rsidRPr="00E16162" w14:paraId="49D366AD"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5E012856" w14:textId="5E57230F" w:rsidR="003C1269" w:rsidRPr="00255E15" w:rsidRDefault="1C9FAB8C" w:rsidP="00623684">
            <w:pPr>
              <w:pStyle w:val="Tabletext"/>
              <w:rPr>
                <w:b w:val="0"/>
                <w:bCs w:val="0"/>
              </w:rPr>
            </w:pPr>
            <w:r>
              <w:rPr>
                <w:b w:val="0"/>
                <w:bCs w:val="0"/>
              </w:rPr>
              <w:t>Clinical advice to be obtained before loading if the crew member has staffing or equipment concerns</w:t>
            </w:r>
          </w:p>
        </w:tc>
        <w:tc>
          <w:tcPr>
            <w:tcW w:w="4898" w:type="dxa"/>
            <w:tcBorders>
              <w:top w:val="none" w:sz="0" w:space="0" w:color="auto"/>
              <w:bottom w:val="none" w:sz="0" w:space="0" w:color="auto"/>
            </w:tcBorders>
          </w:tcPr>
          <w:p w14:paraId="6D75588F" w14:textId="512DBDE7" w:rsidR="003C1269" w:rsidRPr="00255E15" w:rsidRDefault="1C9FAB8C" w:rsidP="00623684">
            <w:pPr>
              <w:pStyle w:val="Tabletext"/>
              <w:cnfStyle w:val="000000100000" w:firstRow="0" w:lastRow="0" w:firstColumn="0" w:lastColumn="0" w:oddVBand="0" w:evenVBand="0" w:oddHBand="1" w:evenHBand="0" w:firstRowFirstColumn="0" w:firstRowLastColumn="0" w:lastRowFirstColumn="0" w:lastRowLastColumn="0"/>
            </w:pPr>
            <w:r>
              <w:t>Clinical advice to be obtained before loading if the crew member has staffing or equipment concerns and if vital signs indicate the patient may become time critical</w:t>
            </w:r>
          </w:p>
        </w:tc>
      </w:tr>
      <w:tr w:rsidR="008C0976" w:rsidRPr="00E16162" w14:paraId="27AAD6F8"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36EB34D4" w14:textId="77777777" w:rsidR="008C0976" w:rsidRPr="00255E15" w:rsidRDefault="008C0976" w:rsidP="00623684">
            <w:pPr>
              <w:pStyle w:val="Tabletext"/>
              <w:rPr>
                <w:b w:val="0"/>
                <w:bCs w:val="0"/>
              </w:rPr>
            </w:pPr>
            <w:r w:rsidRPr="00255E15">
              <w:rPr>
                <w:b w:val="0"/>
                <w:bCs w:val="0"/>
              </w:rPr>
              <w:t>Existing offences and penalties</w:t>
            </w:r>
          </w:p>
        </w:tc>
        <w:tc>
          <w:tcPr>
            <w:tcW w:w="4898" w:type="dxa"/>
            <w:tcBorders>
              <w:bottom w:val="single" w:sz="4" w:space="0" w:color="auto"/>
            </w:tcBorders>
          </w:tcPr>
          <w:p w14:paraId="785673F1" w14:textId="0AB8A358" w:rsidR="008C0976" w:rsidRPr="00255E15" w:rsidRDefault="008C0976" w:rsidP="00623684">
            <w:pPr>
              <w:pStyle w:val="Tabletext"/>
              <w:cnfStyle w:val="000000000000" w:firstRow="0" w:lastRow="0" w:firstColumn="0" w:lastColumn="0" w:oddVBand="0" w:evenVBand="0" w:oddHBand="0" w:evenHBand="0" w:firstRowFirstColumn="0" w:firstRowLastColumn="0" w:lastRowFirstColumn="0" w:lastRowLastColumn="0"/>
            </w:pPr>
            <w:r w:rsidRPr="00255E15">
              <w:t xml:space="preserve">Updated offences and penalties, with </w:t>
            </w:r>
            <w:r w:rsidR="00D741FA" w:rsidRPr="00255E15">
              <w:t>prescribed</w:t>
            </w:r>
            <w:r w:rsidRPr="00255E15">
              <w:t xml:space="preserve"> infringement offences and infringement penalties </w:t>
            </w:r>
          </w:p>
        </w:tc>
      </w:tr>
      <w:tr w:rsidR="00CD1790" w:rsidRPr="00E16162" w14:paraId="3D85437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6508139D" w14:textId="77777777" w:rsidR="00CD1790" w:rsidRPr="00E16162" w:rsidRDefault="00CD1790" w:rsidP="00255E15">
            <w:pPr>
              <w:pStyle w:val="Tablecolhead"/>
              <w:rPr>
                <w:b/>
                <w:szCs w:val="21"/>
              </w:rPr>
            </w:pPr>
            <w:r w:rsidRPr="00255E15">
              <w:rPr>
                <w:b/>
                <w:bCs w:val="0"/>
              </w:rPr>
              <w:t>Workforce related amendments</w:t>
            </w:r>
          </w:p>
        </w:tc>
        <w:tc>
          <w:tcPr>
            <w:tcW w:w="0" w:type="auto"/>
            <w:tcBorders>
              <w:top w:val="single" w:sz="4" w:space="0" w:color="auto"/>
              <w:left w:val="nil"/>
              <w:bottom w:val="single" w:sz="4" w:space="0" w:color="auto"/>
            </w:tcBorders>
            <w:shd w:val="clear" w:color="auto" w:fill="DAEEF3" w:themeFill="accent5" w:themeFillTint="33"/>
          </w:tcPr>
          <w:p w14:paraId="3E14C2E3" w14:textId="446EADA3" w:rsidR="00CD1790" w:rsidRPr="00255E15" w:rsidRDefault="00CD1790" w:rsidP="00255E15">
            <w:pPr>
              <w:pStyle w:val="Tablecolhead"/>
              <w:cnfStyle w:val="000000100000" w:firstRow="0" w:lastRow="0" w:firstColumn="0" w:lastColumn="0" w:oddVBand="0" w:evenVBand="0" w:oddHBand="1" w:evenHBand="0" w:firstRowFirstColumn="0" w:firstRowLastColumn="0" w:lastRowFirstColumn="0" w:lastRowLastColumn="0"/>
            </w:pPr>
          </w:p>
        </w:tc>
      </w:tr>
      <w:tr w:rsidR="00B20DAE" w:rsidRPr="00E16162" w14:paraId="122FCCC2"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3C7A5DF6" w14:textId="77777777" w:rsidR="00B20DAE" w:rsidRPr="00255E15" w:rsidRDefault="00B20DAE" w:rsidP="00255E15">
            <w:pPr>
              <w:pStyle w:val="Tabletext"/>
              <w:rPr>
                <w:b w:val="0"/>
                <w:bCs w:val="0"/>
              </w:rPr>
            </w:pPr>
            <w:r w:rsidRPr="00255E15">
              <w:rPr>
                <w:b w:val="0"/>
                <w:bCs w:val="0"/>
              </w:rPr>
              <w:t xml:space="preserve">Regulations silent on crew qualifications </w:t>
            </w:r>
          </w:p>
        </w:tc>
        <w:tc>
          <w:tcPr>
            <w:tcW w:w="4898" w:type="dxa"/>
            <w:tcBorders>
              <w:top w:val="single" w:sz="4" w:space="0" w:color="auto"/>
            </w:tcBorders>
          </w:tcPr>
          <w:p w14:paraId="3D737A83" w14:textId="77777777" w:rsidR="00B20DAE" w:rsidRPr="00255E15" w:rsidRDefault="00B20DAE" w:rsidP="00255E15">
            <w:pPr>
              <w:pStyle w:val="Tabletext"/>
              <w:cnfStyle w:val="000000000000" w:firstRow="0" w:lastRow="0" w:firstColumn="0" w:lastColumn="0" w:oddVBand="0" w:evenVBand="0" w:oddHBand="0" w:evenHBand="0" w:firstRowFirstColumn="0" w:firstRowLastColumn="0" w:lastRowFirstColumn="0" w:lastRowLastColumn="0"/>
            </w:pPr>
            <w:r w:rsidRPr="00255E15">
              <w:t xml:space="preserve">Recognition of PTO and ATA crew qualifications in Regulations, determined by Secretary </w:t>
            </w:r>
          </w:p>
        </w:tc>
      </w:tr>
      <w:tr w:rsidR="00B20DAE" w:rsidRPr="00E16162" w14:paraId="65955CEC"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ECEE7CC" w14:textId="77777777" w:rsidR="00B20DAE" w:rsidRPr="00255E15" w:rsidRDefault="00B20DAE" w:rsidP="00255E15">
            <w:pPr>
              <w:pStyle w:val="Tabletext"/>
              <w:rPr>
                <w:b w:val="0"/>
                <w:bCs w:val="0"/>
              </w:rPr>
            </w:pPr>
            <w:r w:rsidRPr="00255E15">
              <w:rPr>
                <w:b w:val="0"/>
                <w:bCs w:val="0"/>
              </w:rPr>
              <w:t>Clinical instructor competency pathway set in Regulations</w:t>
            </w:r>
          </w:p>
        </w:tc>
        <w:tc>
          <w:tcPr>
            <w:tcW w:w="4898" w:type="dxa"/>
            <w:tcBorders>
              <w:top w:val="none" w:sz="0" w:space="0" w:color="auto"/>
              <w:bottom w:val="none" w:sz="0" w:space="0" w:color="auto"/>
            </w:tcBorders>
          </w:tcPr>
          <w:p w14:paraId="729F5539" w14:textId="77777777" w:rsidR="00B20DAE" w:rsidRPr="00255E15" w:rsidRDefault="00B20DAE" w:rsidP="00255E15">
            <w:pPr>
              <w:pStyle w:val="Tabletext"/>
              <w:cnfStyle w:val="000000100000" w:firstRow="0" w:lastRow="0" w:firstColumn="0" w:lastColumn="0" w:oddVBand="0" w:evenVBand="0" w:oddHBand="1" w:evenHBand="0" w:firstRowFirstColumn="0" w:firstRowLastColumn="0" w:lastRowFirstColumn="0" w:lastRowLastColumn="0"/>
            </w:pPr>
            <w:r w:rsidRPr="00255E15">
              <w:t xml:space="preserve">Secretary may determine competency pathway for clinical instructor </w:t>
            </w:r>
          </w:p>
        </w:tc>
      </w:tr>
      <w:tr w:rsidR="00B20DAE" w:rsidRPr="00E16162" w14:paraId="4619207D"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tcPr>
          <w:p w14:paraId="2E1AB542" w14:textId="77777777" w:rsidR="00B20DAE" w:rsidRPr="00255E15" w:rsidRDefault="00B20DAE" w:rsidP="00255E15">
            <w:pPr>
              <w:pStyle w:val="Tabletext"/>
              <w:rPr>
                <w:b w:val="0"/>
                <w:bCs w:val="0"/>
              </w:rPr>
            </w:pPr>
            <w:r w:rsidRPr="00255E15">
              <w:rPr>
                <w:b w:val="0"/>
                <w:bCs w:val="0"/>
              </w:rPr>
              <w:t>Person able to supervise PTO or ATA does not specify clinical instructor</w:t>
            </w:r>
          </w:p>
        </w:tc>
        <w:tc>
          <w:tcPr>
            <w:tcW w:w="4898" w:type="dxa"/>
            <w:tcBorders>
              <w:bottom w:val="single" w:sz="4" w:space="0" w:color="auto"/>
            </w:tcBorders>
          </w:tcPr>
          <w:p w14:paraId="51A8718D" w14:textId="77777777" w:rsidR="00B20DAE" w:rsidRPr="00255E15" w:rsidRDefault="00B20DAE" w:rsidP="00255E15">
            <w:pPr>
              <w:pStyle w:val="Tabletext"/>
              <w:cnfStyle w:val="000000000000" w:firstRow="0" w:lastRow="0" w:firstColumn="0" w:lastColumn="0" w:oddVBand="0" w:evenVBand="0" w:oddHBand="0" w:evenHBand="0" w:firstRowFirstColumn="0" w:firstRowLastColumn="0" w:lastRowFirstColumn="0" w:lastRowLastColumn="0"/>
            </w:pPr>
            <w:r w:rsidRPr="00255E15">
              <w:t>Clinical instructor recognised as person able to supervise PTO or ATA</w:t>
            </w:r>
          </w:p>
        </w:tc>
      </w:tr>
      <w:tr w:rsidR="00B20DAE" w:rsidRPr="00990F89" w14:paraId="5B55060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bottom w:val="single" w:sz="4" w:space="0" w:color="auto"/>
            </w:tcBorders>
          </w:tcPr>
          <w:p w14:paraId="4D003553" w14:textId="77777777" w:rsidR="00B20DAE" w:rsidRPr="0053317F" w:rsidRDefault="00B20DAE" w:rsidP="0053317F">
            <w:pPr>
              <w:pStyle w:val="Tabletext"/>
              <w:rPr>
                <w:b w:val="0"/>
                <w:bCs w:val="0"/>
              </w:rPr>
            </w:pPr>
            <w:r w:rsidRPr="0053317F">
              <w:rPr>
                <w:b w:val="0"/>
                <w:bCs w:val="0"/>
              </w:rPr>
              <w:lastRenderedPageBreak/>
              <w:t xml:space="preserve">Clinical practice experience defined to exclude observational shifts </w:t>
            </w:r>
          </w:p>
        </w:tc>
        <w:tc>
          <w:tcPr>
            <w:tcW w:w="4898" w:type="dxa"/>
            <w:tcBorders>
              <w:top w:val="single" w:sz="4" w:space="0" w:color="auto"/>
              <w:bottom w:val="single" w:sz="4" w:space="0" w:color="auto"/>
            </w:tcBorders>
          </w:tcPr>
          <w:p w14:paraId="1C0A89CC" w14:textId="77777777" w:rsidR="00B20DAE" w:rsidRPr="0053317F" w:rsidRDefault="00B20DAE"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Clinical practice experience does not exclude observational shifts </w:t>
            </w:r>
          </w:p>
        </w:tc>
      </w:tr>
      <w:tr w:rsidR="00B20DAE" w:rsidRPr="00E16162" w14:paraId="078E842A"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tcBorders>
          </w:tcPr>
          <w:p w14:paraId="67D4960D" w14:textId="77777777" w:rsidR="00B20DAE" w:rsidRPr="0053317F" w:rsidRDefault="00B20DAE" w:rsidP="0053317F">
            <w:pPr>
              <w:pStyle w:val="Tabletext"/>
              <w:rPr>
                <w:b w:val="0"/>
                <w:bCs w:val="0"/>
              </w:rPr>
            </w:pPr>
            <w:r w:rsidRPr="0053317F">
              <w:rPr>
                <w:b w:val="0"/>
                <w:bCs w:val="0"/>
              </w:rPr>
              <w:t xml:space="preserve">Competency check frequency not specified </w:t>
            </w:r>
          </w:p>
        </w:tc>
        <w:tc>
          <w:tcPr>
            <w:tcW w:w="4898" w:type="dxa"/>
            <w:tcBorders>
              <w:top w:val="single" w:sz="4" w:space="0" w:color="auto"/>
            </w:tcBorders>
          </w:tcPr>
          <w:p w14:paraId="618D5F51" w14:textId="77777777" w:rsidR="00B20DAE" w:rsidRPr="0053317F" w:rsidRDefault="00B20DAE" w:rsidP="0053317F">
            <w:pPr>
              <w:pStyle w:val="Tabletext"/>
              <w:cnfStyle w:val="000000000000" w:firstRow="0" w:lastRow="0" w:firstColumn="0" w:lastColumn="0" w:oddVBand="0" w:evenVBand="0" w:oddHBand="0" w:evenHBand="0" w:firstRowFirstColumn="0" w:firstRowLastColumn="0" w:lastRowFirstColumn="0" w:lastRowLastColumn="0"/>
            </w:pPr>
            <w:r w:rsidRPr="0053317F">
              <w:t>Competency checks embedded annually</w:t>
            </w:r>
          </w:p>
        </w:tc>
      </w:tr>
      <w:tr w:rsidR="00B20DAE" w:rsidRPr="00E16162" w14:paraId="63B72779"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0170FBA7" w14:textId="5FE4DCDD" w:rsidR="00B20DAE" w:rsidRPr="0053317F" w:rsidRDefault="00B20DAE" w:rsidP="0053317F">
            <w:pPr>
              <w:pStyle w:val="Tabletext"/>
              <w:rPr>
                <w:b w:val="0"/>
                <w:bCs w:val="0"/>
              </w:rPr>
            </w:pPr>
            <w:r w:rsidRPr="0053317F">
              <w:rPr>
                <w:b w:val="0"/>
                <w:bCs w:val="0"/>
              </w:rPr>
              <w:t>Skills maintenance training does not specify face to face component or CPPs</w:t>
            </w:r>
          </w:p>
        </w:tc>
        <w:tc>
          <w:tcPr>
            <w:tcW w:w="4898" w:type="dxa"/>
            <w:tcBorders>
              <w:top w:val="none" w:sz="0" w:space="0" w:color="auto"/>
              <w:bottom w:val="none" w:sz="0" w:space="0" w:color="auto"/>
            </w:tcBorders>
          </w:tcPr>
          <w:p w14:paraId="6672F894" w14:textId="77777777" w:rsidR="00B20DAE" w:rsidRPr="0053317F" w:rsidRDefault="00B20DAE" w:rsidP="0053317F">
            <w:pPr>
              <w:pStyle w:val="Tabletext"/>
              <w:cnfStyle w:val="000000100000" w:firstRow="0" w:lastRow="0" w:firstColumn="0" w:lastColumn="0" w:oddVBand="0" w:evenVBand="0" w:oddHBand="1" w:evenHBand="0" w:firstRowFirstColumn="0" w:firstRowLastColumn="0" w:lastRowFirstColumn="0" w:lastRowLastColumn="0"/>
            </w:pPr>
            <w:r w:rsidRPr="0053317F">
              <w:t>Skills maintenance training specifies face to face component and includes CPPs</w:t>
            </w:r>
          </w:p>
        </w:tc>
      </w:tr>
      <w:tr w:rsidR="00B20DAE" w:rsidRPr="00E16162" w14:paraId="6C952030"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04722CDF" w14:textId="77777777" w:rsidR="00B20DAE" w:rsidRPr="0053317F" w:rsidRDefault="00B20DAE" w:rsidP="0053317F">
            <w:pPr>
              <w:pStyle w:val="Tabletext"/>
              <w:rPr>
                <w:b w:val="0"/>
                <w:bCs w:val="0"/>
              </w:rPr>
            </w:pPr>
            <w:r w:rsidRPr="0053317F">
              <w:rPr>
                <w:b w:val="0"/>
                <w:bCs w:val="0"/>
              </w:rPr>
              <w:t xml:space="preserve">Staff surveys not anonymous and results not reported to Secretary </w:t>
            </w:r>
          </w:p>
        </w:tc>
        <w:tc>
          <w:tcPr>
            <w:tcW w:w="4898" w:type="dxa"/>
            <w:tcBorders>
              <w:bottom w:val="single" w:sz="4" w:space="0" w:color="auto"/>
            </w:tcBorders>
          </w:tcPr>
          <w:p w14:paraId="2B30074F" w14:textId="77777777" w:rsidR="00B20DAE" w:rsidRPr="0053317F" w:rsidRDefault="00B20DAE" w:rsidP="0053317F">
            <w:pPr>
              <w:pStyle w:val="Tabletext"/>
              <w:cnfStyle w:val="000000000000" w:firstRow="0" w:lastRow="0" w:firstColumn="0" w:lastColumn="0" w:oddVBand="0" w:evenVBand="0" w:oddHBand="0" w:evenHBand="0" w:firstRowFirstColumn="0" w:firstRowLastColumn="0" w:lastRowFirstColumn="0" w:lastRowLastColumn="0"/>
            </w:pPr>
            <w:r w:rsidRPr="0053317F">
              <w:t>Staff surveys anonymous, includes questions set by Secretary and results are reported to Secretary</w:t>
            </w:r>
          </w:p>
        </w:tc>
      </w:tr>
      <w:tr w:rsidR="003A3E32" w:rsidRPr="00E16162" w14:paraId="22937222"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24215EA3" w14:textId="77777777" w:rsidR="003A3E32" w:rsidRPr="00E16162" w:rsidRDefault="003A3E32" w:rsidP="0053317F">
            <w:pPr>
              <w:pStyle w:val="Tablecolhead"/>
              <w:rPr>
                <w:b/>
                <w:szCs w:val="21"/>
              </w:rPr>
            </w:pPr>
            <w:r w:rsidRPr="0053317F">
              <w:rPr>
                <w:b/>
                <w:bCs w:val="0"/>
              </w:rPr>
              <w:t>Clinical governance amendments</w:t>
            </w:r>
          </w:p>
        </w:tc>
        <w:tc>
          <w:tcPr>
            <w:tcW w:w="0" w:type="auto"/>
            <w:tcBorders>
              <w:top w:val="single" w:sz="4" w:space="0" w:color="auto"/>
              <w:left w:val="nil"/>
              <w:bottom w:val="single" w:sz="4" w:space="0" w:color="auto"/>
            </w:tcBorders>
            <w:shd w:val="clear" w:color="auto" w:fill="DAEEF3" w:themeFill="accent5" w:themeFillTint="33"/>
          </w:tcPr>
          <w:p w14:paraId="02196063" w14:textId="68D08F96" w:rsidR="003A3E32" w:rsidRPr="0053317F" w:rsidRDefault="003A3E32" w:rsidP="0053317F">
            <w:pPr>
              <w:pStyle w:val="Tablecolhead"/>
              <w:cnfStyle w:val="000000100000" w:firstRow="0" w:lastRow="0" w:firstColumn="0" w:lastColumn="0" w:oddVBand="0" w:evenVBand="0" w:oddHBand="1" w:evenHBand="0" w:firstRowFirstColumn="0" w:firstRowLastColumn="0" w:lastRowFirstColumn="0" w:lastRowLastColumn="0"/>
            </w:pPr>
          </w:p>
        </w:tc>
      </w:tr>
      <w:tr w:rsidR="00C84FDF" w:rsidRPr="00E16162" w14:paraId="6DE0FC04"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6DB62E48" w14:textId="23B77BC2" w:rsidR="00C84FDF" w:rsidRPr="0053317F" w:rsidRDefault="00B248F7" w:rsidP="0053317F">
            <w:pPr>
              <w:pStyle w:val="Tabletext"/>
              <w:rPr>
                <w:b w:val="0"/>
                <w:bCs w:val="0"/>
              </w:rPr>
            </w:pPr>
            <w:r w:rsidRPr="0053317F">
              <w:rPr>
                <w:b w:val="0"/>
                <w:bCs w:val="0"/>
              </w:rPr>
              <w:t>COC</w:t>
            </w:r>
            <w:r w:rsidR="00C84FDF" w:rsidRPr="0053317F">
              <w:rPr>
                <w:b w:val="0"/>
                <w:bCs w:val="0"/>
              </w:rPr>
              <w:t xml:space="preserve"> membership does not specify patient quality and safety expertise </w:t>
            </w:r>
            <w:r w:rsidRPr="0053317F">
              <w:rPr>
                <w:b w:val="0"/>
                <w:bCs w:val="0"/>
              </w:rPr>
              <w:t>or</w:t>
            </w:r>
            <w:r w:rsidR="00C84FDF" w:rsidRPr="0053317F">
              <w:rPr>
                <w:b w:val="0"/>
                <w:bCs w:val="0"/>
              </w:rPr>
              <w:t xml:space="preserve"> direct patient care</w:t>
            </w:r>
            <w:r w:rsidRPr="0053317F">
              <w:rPr>
                <w:b w:val="0"/>
                <w:bCs w:val="0"/>
              </w:rPr>
              <w:t xml:space="preserve"> experience</w:t>
            </w:r>
          </w:p>
        </w:tc>
        <w:tc>
          <w:tcPr>
            <w:tcW w:w="4898" w:type="dxa"/>
            <w:tcBorders>
              <w:top w:val="single" w:sz="4" w:space="0" w:color="auto"/>
            </w:tcBorders>
          </w:tcPr>
          <w:p w14:paraId="011A6D55" w14:textId="3D1F25E1" w:rsidR="00C84FDF" w:rsidRPr="0053317F" w:rsidRDefault="00B248F7" w:rsidP="0053317F">
            <w:pPr>
              <w:pStyle w:val="Tabletext"/>
              <w:cnfStyle w:val="000000000000" w:firstRow="0" w:lastRow="0" w:firstColumn="0" w:lastColumn="0" w:oddVBand="0" w:evenVBand="0" w:oddHBand="0" w:evenHBand="0" w:firstRowFirstColumn="0" w:firstRowLastColumn="0" w:lastRowFirstColumn="0" w:lastRowLastColumn="0"/>
            </w:pPr>
            <w:r w:rsidRPr="0053317F">
              <w:t>COC</w:t>
            </w:r>
            <w:r w:rsidR="00C84FDF" w:rsidRPr="0053317F">
              <w:t xml:space="preserve"> membership to include expertise in patient quality and safety and experience in direct patient care</w:t>
            </w:r>
          </w:p>
        </w:tc>
      </w:tr>
      <w:tr w:rsidR="00C84FDF" w:rsidRPr="00E16162" w14:paraId="7B8D6A71"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6B3110C0" w14:textId="10EC0790" w:rsidR="00C84FDF" w:rsidRPr="0053317F" w:rsidRDefault="00C84FDF" w:rsidP="0053317F">
            <w:pPr>
              <w:pStyle w:val="Tabletext"/>
              <w:rPr>
                <w:b w:val="0"/>
                <w:bCs w:val="0"/>
              </w:rPr>
            </w:pPr>
            <w:r w:rsidRPr="0053317F">
              <w:rPr>
                <w:b w:val="0"/>
                <w:bCs w:val="0"/>
              </w:rPr>
              <w:t>Sentinel events</w:t>
            </w:r>
            <w:r w:rsidR="008A103B" w:rsidRPr="0053317F">
              <w:rPr>
                <w:b w:val="0"/>
                <w:bCs w:val="0"/>
              </w:rPr>
              <w:t xml:space="preserve"> (a subset of SAPSEs)</w:t>
            </w:r>
            <w:r w:rsidRPr="0053317F">
              <w:rPr>
                <w:b w:val="0"/>
                <w:bCs w:val="0"/>
              </w:rPr>
              <w:t xml:space="preserve"> reported within 24 hours</w:t>
            </w:r>
            <w:r w:rsidR="00844838" w:rsidRPr="0053317F">
              <w:rPr>
                <w:b w:val="0"/>
                <w:bCs w:val="0"/>
              </w:rPr>
              <w:t>,</w:t>
            </w:r>
            <w:r w:rsidR="004B59B8" w:rsidRPr="0053317F">
              <w:rPr>
                <w:b w:val="0"/>
                <w:bCs w:val="0"/>
              </w:rPr>
              <w:t xml:space="preserve"> as well as</w:t>
            </w:r>
            <w:r w:rsidR="00844838" w:rsidRPr="0053317F">
              <w:rPr>
                <w:b w:val="0"/>
                <w:bCs w:val="0"/>
              </w:rPr>
              <w:t xml:space="preserve"> reviewed by COC</w:t>
            </w:r>
            <w:r w:rsidRPr="0053317F">
              <w:rPr>
                <w:b w:val="0"/>
                <w:bCs w:val="0"/>
              </w:rPr>
              <w:t xml:space="preserve"> </w:t>
            </w:r>
          </w:p>
        </w:tc>
        <w:tc>
          <w:tcPr>
            <w:tcW w:w="4898" w:type="dxa"/>
            <w:tcBorders>
              <w:top w:val="none" w:sz="0" w:space="0" w:color="auto"/>
              <w:bottom w:val="none" w:sz="0" w:space="0" w:color="auto"/>
            </w:tcBorders>
          </w:tcPr>
          <w:p w14:paraId="545C7F53" w14:textId="2BDF3747" w:rsidR="00C84FDF" w:rsidRPr="0053317F" w:rsidRDefault="00ED5F20"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All </w:t>
            </w:r>
            <w:r w:rsidR="004B7C6C" w:rsidRPr="0053317F">
              <w:t>s</w:t>
            </w:r>
            <w:r w:rsidR="00C84FDF" w:rsidRPr="0053317F">
              <w:t xml:space="preserve">erious adverse patient safety events </w:t>
            </w:r>
            <w:r w:rsidR="00B23066" w:rsidRPr="0053317F">
              <w:t xml:space="preserve">(SAPSEs, including sentinel events) </w:t>
            </w:r>
            <w:r w:rsidR="00C84FDF" w:rsidRPr="0053317F">
              <w:t>to be reported within 72 hours</w:t>
            </w:r>
            <w:r w:rsidR="00844838" w:rsidRPr="0053317F">
              <w:t xml:space="preserve">, </w:t>
            </w:r>
            <w:r w:rsidR="00EF0FD5" w:rsidRPr="0053317F">
              <w:t>and all adverse patient safety events (APSEs)</w:t>
            </w:r>
            <w:r w:rsidR="00377D1F" w:rsidRPr="0053317F">
              <w:t xml:space="preserve"> to be </w:t>
            </w:r>
            <w:r w:rsidR="00844838" w:rsidRPr="0053317F">
              <w:t>reviewed by COC</w:t>
            </w:r>
          </w:p>
        </w:tc>
      </w:tr>
      <w:tr w:rsidR="00C84FDF" w:rsidRPr="00E16162" w14:paraId="0A4E25BF"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7B396257" w14:textId="534B2B03" w:rsidR="00C84FDF" w:rsidRPr="0053317F" w:rsidRDefault="00C84FDF" w:rsidP="0053317F">
            <w:pPr>
              <w:pStyle w:val="Tabletext"/>
              <w:rPr>
                <w:b w:val="0"/>
                <w:bCs w:val="0"/>
              </w:rPr>
            </w:pPr>
            <w:r w:rsidRPr="0053317F">
              <w:rPr>
                <w:b w:val="0"/>
                <w:bCs w:val="0"/>
              </w:rPr>
              <w:t>No A</w:t>
            </w:r>
            <w:r w:rsidR="000C56B7" w:rsidRPr="0053317F">
              <w:rPr>
                <w:b w:val="0"/>
                <w:bCs w:val="0"/>
              </w:rPr>
              <w:t>boriginal and Torres Strait Islander</w:t>
            </w:r>
            <w:r w:rsidRPr="0053317F">
              <w:rPr>
                <w:b w:val="0"/>
                <w:bCs w:val="0"/>
              </w:rPr>
              <w:t xml:space="preserve"> </w:t>
            </w:r>
            <w:r w:rsidR="001B3E44" w:rsidRPr="0053317F">
              <w:rPr>
                <w:b w:val="0"/>
                <w:bCs w:val="0"/>
              </w:rPr>
              <w:t xml:space="preserve">Peoples </w:t>
            </w:r>
            <w:r w:rsidRPr="0053317F">
              <w:rPr>
                <w:b w:val="0"/>
                <w:bCs w:val="0"/>
              </w:rPr>
              <w:t xml:space="preserve">status or handover details required in patient care records </w:t>
            </w:r>
          </w:p>
        </w:tc>
        <w:tc>
          <w:tcPr>
            <w:tcW w:w="4898" w:type="dxa"/>
          </w:tcPr>
          <w:p w14:paraId="637E9605" w14:textId="0DDF084A"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Patient care records to include</w:t>
            </w:r>
            <w:r w:rsidR="000C56B7" w:rsidRPr="0053317F">
              <w:t xml:space="preserve"> Aboriginal and Torres Strait Islander </w:t>
            </w:r>
            <w:r w:rsidR="000E59F9" w:rsidRPr="0053317F">
              <w:t xml:space="preserve">Peoples </w:t>
            </w:r>
            <w:r w:rsidRPr="0053317F">
              <w:t>status</w:t>
            </w:r>
            <w:r w:rsidR="00957A10" w:rsidRPr="0053317F">
              <w:t xml:space="preserve">, advanced care </w:t>
            </w:r>
            <w:r w:rsidR="009A7D19" w:rsidRPr="0053317F">
              <w:t>directive info</w:t>
            </w:r>
            <w:r w:rsidRPr="0053317F">
              <w:t xml:space="preserve"> and handover details </w:t>
            </w:r>
          </w:p>
        </w:tc>
      </w:tr>
      <w:tr w:rsidR="00C84FDF" w:rsidRPr="00E16162" w14:paraId="57B1D81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730AC163" w14:textId="2A7C0F7C" w:rsidR="00C84FDF" w:rsidRPr="0053317F" w:rsidRDefault="00C84FDF" w:rsidP="0053317F">
            <w:pPr>
              <w:pStyle w:val="Tabletext"/>
              <w:rPr>
                <w:b w:val="0"/>
                <w:bCs w:val="0"/>
              </w:rPr>
            </w:pPr>
            <w:r w:rsidRPr="0053317F">
              <w:rPr>
                <w:b w:val="0"/>
                <w:bCs w:val="0"/>
              </w:rPr>
              <w:t xml:space="preserve">Review of patient care records required but </w:t>
            </w:r>
            <w:r w:rsidR="0012045E" w:rsidRPr="0053317F">
              <w:rPr>
                <w:b w:val="0"/>
                <w:bCs w:val="0"/>
              </w:rPr>
              <w:t>expertise and frequency</w:t>
            </w:r>
            <w:r w:rsidRPr="0053317F">
              <w:rPr>
                <w:b w:val="0"/>
                <w:bCs w:val="0"/>
              </w:rPr>
              <w:t xml:space="preserve"> not specified</w:t>
            </w:r>
          </w:p>
        </w:tc>
        <w:tc>
          <w:tcPr>
            <w:tcW w:w="4898" w:type="dxa"/>
            <w:tcBorders>
              <w:top w:val="none" w:sz="0" w:space="0" w:color="auto"/>
              <w:bottom w:val="none" w:sz="0" w:space="0" w:color="auto"/>
            </w:tcBorders>
          </w:tcPr>
          <w:p w14:paraId="7EA9EB39" w14:textId="7DC1043B"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Clear requirements for audit of patient care records (audited by a person with appropriate expertise at least fortnightly)</w:t>
            </w:r>
          </w:p>
        </w:tc>
      </w:tr>
      <w:tr w:rsidR="00C84FDF" w:rsidRPr="00E16162" w14:paraId="1FC3AEC9"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right w:val="none" w:sz="0" w:space="0" w:color="auto"/>
            </w:tcBorders>
          </w:tcPr>
          <w:p w14:paraId="5CBB402B" w14:textId="77777777" w:rsidR="00C84FDF" w:rsidRPr="0053317F" w:rsidRDefault="00C84FDF" w:rsidP="0053317F">
            <w:pPr>
              <w:pStyle w:val="Tabletext"/>
              <w:rPr>
                <w:b w:val="0"/>
                <w:bCs w:val="0"/>
              </w:rPr>
            </w:pPr>
            <w:r w:rsidRPr="0053317F">
              <w:rPr>
                <w:b w:val="0"/>
                <w:bCs w:val="0"/>
              </w:rPr>
              <w:t>No requirement to advise person who makes complaint of action taken in response</w:t>
            </w:r>
          </w:p>
        </w:tc>
        <w:tc>
          <w:tcPr>
            <w:tcW w:w="4898" w:type="dxa"/>
            <w:tcBorders>
              <w:bottom w:val="single" w:sz="4" w:space="0" w:color="auto"/>
            </w:tcBorders>
          </w:tcPr>
          <w:p w14:paraId="1699A7B6" w14:textId="77777777"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Requirement to advise person who makes complaint of action taken in response</w:t>
            </w:r>
          </w:p>
        </w:tc>
      </w:tr>
      <w:tr w:rsidR="003A3E32" w:rsidRPr="00E16162" w14:paraId="499221FE"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AEEF3" w:themeFill="accent5" w:themeFillTint="33"/>
          </w:tcPr>
          <w:p w14:paraId="065E8DE0" w14:textId="77777777" w:rsidR="003A3E32" w:rsidRPr="00E16162" w:rsidRDefault="003A3E32" w:rsidP="0053317F">
            <w:pPr>
              <w:pStyle w:val="Tablecolhead"/>
              <w:rPr>
                <w:b/>
                <w:szCs w:val="21"/>
              </w:rPr>
            </w:pPr>
            <w:r w:rsidRPr="0053317F">
              <w:rPr>
                <w:b/>
                <w:bCs w:val="0"/>
              </w:rPr>
              <w:t>Vehicle and equipment amendments</w:t>
            </w:r>
          </w:p>
        </w:tc>
        <w:tc>
          <w:tcPr>
            <w:tcW w:w="0" w:type="auto"/>
            <w:tcBorders>
              <w:top w:val="single" w:sz="4" w:space="0" w:color="auto"/>
              <w:left w:val="nil"/>
              <w:bottom w:val="single" w:sz="4" w:space="0" w:color="auto"/>
            </w:tcBorders>
            <w:shd w:val="clear" w:color="auto" w:fill="DAEEF3" w:themeFill="accent5" w:themeFillTint="33"/>
          </w:tcPr>
          <w:p w14:paraId="444C98E3" w14:textId="6C1F431D" w:rsidR="003A3E32" w:rsidRPr="0053317F" w:rsidRDefault="003A3E32" w:rsidP="0053317F">
            <w:pPr>
              <w:pStyle w:val="Tablecolhead"/>
              <w:cnfStyle w:val="000000100000" w:firstRow="0" w:lastRow="0" w:firstColumn="0" w:lastColumn="0" w:oddVBand="0" w:evenVBand="0" w:oddHBand="1" w:evenHBand="0" w:firstRowFirstColumn="0" w:firstRowLastColumn="0" w:lastRowFirstColumn="0" w:lastRowLastColumn="0"/>
            </w:pPr>
          </w:p>
        </w:tc>
      </w:tr>
      <w:tr w:rsidR="00C84FDF" w:rsidRPr="00E16162" w14:paraId="743F7AC1"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right w:val="none" w:sz="0" w:space="0" w:color="auto"/>
            </w:tcBorders>
          </w:tcPr>
          <w:p w14:paraId="062EEBD6" w14:textId="1A63120E" w:rsidR="00C84FDF" w:rsidRPr="0053317F" w:rsidRDefault="00C84FDF" w:rsidP="0053317F">
            <w:pPr>
              <w:pStyle w:val="Tabletext"/>
              <w:rPr>
                <w:b w:val="0"/>
                <w:bCs w:val="0"/>
              </w:rPr>
            </w:pPr>
            <w:r w:rsidRPr="0053317F">
              <w:rPr>
                <w:b w:val="0"/>
                <w:bCs w:val="0"/>
              </w:rPr>
              <w:t xml:space="preserve">Licence renewals in </w:t>
            </w:r>
            <w:r w:rsidR="006E1EE2" w:rsidRPr="0053317F">
              <w:rPr>
                <w:b w:val="0"/>
                <w:bCs w:val="0"/>
              </w:rPr>
              <w:t xml:space="preserve">3 </w:t>
            </w:r>
            <w:r w:rsidRPr="0053317F">
              <w:rPr>
                <w:b w:val="0"/>
                <w:bCs w:val="0"/>
              </w:rPr>
              <w:t>brackets with scaled fee units for 1-9, 10-49, 50 or more vehicles</w:t>
            </w:r>
          </w:p>
        </w:tc>
        <w:tc>
          <w:tcPr>
            <w:tcW w:w="4898" w:type="dxa"/>
            <w:tcBorders>
              <w:top w:val="single" w:sz="4" w:space="0" w:color="auto"/>
            </w:tcBorders>
          </w:tcPr>
          <w:p w14:paraId="511A2D0F" w14:textId="264E59A8"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Licence renewals in </w:t>
            </w:r>
            <w:r w:rsidR="006E1EE2" w:rsidRPr="0053317F">
              <w:t xml:space="preserve">2 </w:t>
            </w:r>
            <w:r w:rsidRPr="0053317F">
              <w:t>brackets with scaled fee units for 1-49, or 50 or more vehicles</w:t>
            </w:r>
          </w:p>
        </w:tc>
      </w:tr>
      <w:tr w:rsidR="00C84FDF" w:rsidRPr="00E16162" w14:paraId="4C648DD4"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25523F1" w14:textId="77777777" w:rsidR="00C84FDF" w:rsidRPr="0053317F" w:rsidRDefault="00C84FDF" w:rsidP="0053317F">
            <w:pPr>
              <w:pStyle w:val="Tabletext"/>
              <w:rPr>
                <w:b w:val="0"/>
                <w:bCs w:val="0"/>
              </w:rPr>
            </w:pPr>
            <w:r w:rsidRPr="0053317F">
              <w:rPr>
                <w:b w:val="0"/>
                <w:bCs w:val="0"/>
              </w:rPr>
              <w:t>Mileage limit of vehicles 400 000 km</w:t>
            </w:r>
          </w:p>
        </w:tc>
        <w:tc>
          <w:tcPr>
            <w:tcW w:w="4898" w:type="dxa"/>
            <w:tcBorders>
              <w:top w:val="none" w:sz="0" w:space="0" w:color="auto"/>
              <w:bottom w:val="none" w:sz="0" w:space="0" w:color="auto"/>
            </w:tcBorders>
          </w:tcPr>
          <w:p w14:paraId="5750A8B2" w14:textId="77777777"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Mileage limit of vehicles 600 000 km</w:t>
            </w:r>
          </w:p>
        </w:tc>
      </w:tr>
      <w:tr w:rsidR="00C84FDF" w:rsidRPr="00E16162" w14:paraId="461CFA4B"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48A1DDB3" w14:textId="77777777" w:rsidR="00C84FDF" w:rsidRPr="0053317F" w:rsidRDefault="00C84FDF" w:rsidP="0053317F">
            <w:pPr>
              <w:pStyle w:val="Tabletext"/>
              <w:rPr>
                <w:b w:val="0"/>
                <w:bCs w:val="0"/>
              </w:rPr>
            </w:pPr>
            <w:r w:rsidRPr="0053317F">
              <w:rPr>
                <w:b w:val="0"/>
                <w:bCs w:val="0"/>
              </w:rPr>
              <w:t>Exemption for mileage limit to 600 000 km</w:t>
            </w:r>
          </w:p>
        </w:tc>
        <w:tc>
          <w:tcPr>
            <w:tcW w:w="4898" w:type="dxa"/>
          </w:tcPr>
          <w:p w14:paraId="04C2F426" w14:textId="58D8255D"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Exemption for mileage </w:t>
            </w:r>
            <w:r w:rsidR="007F4705" w:rsidRPr="0053317F">
              <w:t xml:space="preserve">limit </w:t>
            </w:r>
            <w:r w:rsidRPr="0053317F">
              <w:t xml:space="preserve">to 800 000 km </w:t>
            </w:r>
          </w:p>
        </w:tc>
      </w:tr>
      <w:tr w:rsidR="008459B5" w:rsidRPr="00E16162" w14:paraId="1231F9C5"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06DCFE09" w14:textId="7AEE45F4" w:rsidR="008459B5" w:rsidRPr="0053317F" w:rsidRDefault="00D97E3F" w:rsidP="0053317F">
            <w:pPr>
              <w:pStyle w:val="Tabletext"/>
              <w:rPr>
                <w:b w:val="0"/>
                <w:bCs w:val="0"/>
              </w:rPr>
            </w:pPr>
            <w:r w:rsidRPr="0053317F">
              <w:rPr>
                <w:b w:val="0"/>
                <w:bCs w:val="0"/>
              </w:rPr>
              <w:t xml:space="preserve">Secretary must not grant exemption unless satisfied that </w:t>
            </w:r>
            <w:r w:rsidR="001C0144" w:rsidRPr="0053317F">
              <w:rPr>
                <w:b w:val="0"/>
                <w:bCs w:val="0"/>
              </w:rPr>
              <w:t xml:space="preserve">it </w:t>
            </w:r>
            <w:r w:rsidRPr="0053317F">
              <w:rPr>
                <w:b w:val="0"/>
                <w:bCs w:val="0"/>
              </w:rPr>
              <w:t>is safe to do so</w:t>
            </w:r>
          </w:p>
        </w:tc>
        <w:tc>
          <w:tcPr>
            <w:tcW w:w="4898" w:type="dxa"/>
            <w:tcBorders>
              <w:top w:val="none" w:sz="0" w:space="0" w:color="auto"/>
              <w:bottom w:val="none" w:sz="0" w:space="0" w:color="auto"/>
            </w:tcBorders>
          </w:tcPr>
          <w:p w14:paraId="670A537E" w14:textId="6211892A" w:rsidR="008459B5" w:rsidRPr="0053317F" w:rsidRDefault="00D97E3F" w:rsidP="0053317F">
            <w:pPr>
              <w:pStyle w:val="Tabletext"/>
              <w:cnfStyle w:val="000000100000" w:firstRow="0" w:lastRow="0" w:firstColumn="0" w:lastColumn="0" w:oddVBand="0" w:evenVBand="0" w:oddHBand="1" w:evenHBand="0" w:firstRowFirstColumn="0" w:firstRowLastColumn="0" w:lastRowFirstColumn="0" w:lastRowLastColumn="0"/>
            </w:pPr>
            <w:r w:rsidRPr="0053317F">
              <w:t>Secretary must not grant exemption unless satisfied that</w:t>
            </w:r>
            <w:r w:rsidR="001C0144" w:rsidRPr="0053317F">
              <w:t xml:space="preserve"> the applicant has complied with the </w:t>
            </w:r>
            <w:r w:rsidR="00842B12" w:rsidRPr="0053317F">
              <w:t>vehicle</w:t>
            </w:r>
            <w:r w:rsidR="006E1EE2" w:rsidRPr="0053317F">
              <w:t xml:space="preserve"> requirements</w:t>
            </w:r>
            <w:r w:rsidR="001C0144" w:rsidRPr="0053317F">
              <w:t xml:space="preserve"> and it</w:t>
            </w:r>
            <w:r w:rsidRPr="0053317F">
              <w:t xml:space="preserve"> is safe to do so</w:t>
            </w:r>
          </w:p>
        </w:tc>
      </w:tr>
      <w:tr w:rsidR="00C84FDF" w:rsidRPr="00E16162" w14:paraId="56B80174"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60BAFAB1" w14:textId="77777777" w:rsidR="00C84FDF" w:rsidRPr="0053317F" w:rsidRDefault="00C84FDF" w:rsidP="0053317F">
            <w:pPr>
              <w:pStyle w:val="Tabletext"/>
              <w:rPr>
                <w:b w:val="0"/>
                <w:bCs w:val="0"/>
              </w:rPr>
            </w:pPr>
            <w:r w:rsidRPr="0053317F">
              <w:rPr>
                <w:b w:val="0"/>
                <w:bCs w:val="0"/>
              </w:rPr>
              <w:t xml:space="preserve">Vehicle and equipment maintenance schedule is not explicit about servicing </w:t>
            </w:r>
          </w:p>
        </w:tc>
        <w:tc>
          <w:tcPr>
            <w:tcW w:w="4898" w:type="dxa"/>
          </w:tcPr>
          <w:p w14:paraId="00304447" w14:textId="77777777" w:rsidR="00C84FDF" w:rsidRPr="0053317F" w:rsidRDefault="00C84FDF" w:rsidP="0053317F">
            <w:pPr>
              <w:pStyle w:val="Tabletext"/>
              <w:cnfStyle w:val="000000000000" w:firstRow="0" w:lastRow="0" w:firstColumn="0" w:lastColumn="0" w:oddVBand="0" w:evenVBand="0" w:oddHBand="0" w:evenHBand="0" w:firstRowFirstColumn="0" w:firstRowLastColumn="0" w:lastRowFirstColumn="0" w:lastRowLastColumn="0"/>
            </w:pPr>
            <w:r w:rsidRPr="0053317F">
              <w:t>Vehicle and equipment maintenance schedule specifies servicing requirement</w:t>
            </w:r>
          </w:p>
        </w:tc>
      </w:tr>
      <w:tr w:rsidR="00C84FDF" w:rsidRPr="00E16162" w14:paraId="288D38B5"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6C1C98AE" w14:textId="77777777" w:rsidR="00C84FDF" w:rsidRPr="0053317F" w:rsidRDefault="00C84FDF" w:rsidP="0053317F">
            <w:pPr>
              <w:pStyle w:val="Tabletext"/>
              <w:rPr>
                <w:b w:val="0"/>
                <w:bCs w:val="0"/>
              </w:rPr>
            </w:pPr>
            <w:r w:rsidRPr="0053317F">
              <w:rPr>
                <w:b w:val="0"/>
                <w:bCs w:val="0"/>
              </w:rPr>
              <w:t>Vehicle identification number not required</w:t>
            </w:r>
          </w:p>
        </w:tc>
        <w:tc>
          <w:tcPr>
            <w:tcW w:w="4898" w:type="dxa"/>
            <w:tcBorders>
              <w:top w:val="none" w:sz="0" w:space="0" w:color="auto"/>
              <w:bottom w:val="none" w:sz="0" w:space="0" w:color="auto"/>
            </w:tcBorders>
          </w:tcPr>
          <w:p w14:paraId="201A35C3" w14:textId="77777777"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Vehicle identification number to be provided</w:t>
            </w:r>
          </w:p>
        </w:tc>
      </w:tr>
      <w:tr w:rsidR="00E93199" w:rsidRPr="00E16162" w14:paraId="0D6C57B7"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50220914" w14:textId="29FAB4DE" w:rsidR="00E93199" w:rsidRPr="0053317F" w:rsidRDefault="00E93199" w:rsidP="0053317F">
            <w:pPr>
              <w:pStyle w:val="Tabletext"/>
              <w:rPr>
                <w:b w:val="0"/>
                <w:bCs w:val="0"/>
              </w:rPr>
            </w:pPr>
            <w:r w:rsidRPr="0053317F">
              <w:rPr>
                <w:b w:val="0"/>
                <w:bCs w:val="0"/>
              </w:rPr>
              <w:t xml:space="preserve">Vehicle interior must allow patient to be </w:t>
            </w:r>
            <w:proofErr w:type="gramStart"/>
            <w:r w:rsidRPr="0053317F">
              <w:rPr>
                <w:b w:val="0"/>
                <w:bCs w:val="0"/>
              </w:rPr>
              <w:t>viewed at all times</w:t>
            </w:r>
            <w:proofErr w:type="gramEnd"/>
            <w:r w:rsidR="007F4705" w:rsidRPr="0053317F">
              <w:rPr>
                <w:b w:val="0"/>
                <w:bCs w:val="0"/>
              </w:rPr>
              <w:t xml:space="preserve"> by crew members</w:t>
            </w:r>
          </w:p>
        </w:tc>
        <w:tc>
          <w:tcPr>
            <w:tcW w:w="4898" w:type="dxa"/>
          </w:tcPr>
          <w:p w14:paraId="44C324EC" w14:textId="5DE2D58F" w:rsidR="00E93199" w:rsidRPr="0053317F" w:rsidRDefault="00E93199"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Vehicle interior must allow patient and equipment in use for patient monitoring to be </w:t>
            </w:r>
            <w:proofErr w:type="gramStart"/>
            <w:r w:rsidRPr="0053317F">
              <w:t>viewed at all times</w:t>
            </w:r>
            <w:proofErr w:type="gramEnd"/>
            <w:r w:rsidR="007F4705" w:rsidRPr="0053317F">
              <w:t xml:space="preserve"> by crew members</w:t>
            </w:r>
          </w:p>
        </w:tc>
      </w:tr>
      <w:tr w:rsidR="00C84FDF" w:rsidRPr="00E16162" w14:paraId="07690502"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right w:val="none" w:sz="0" w:space="0" w:color="auto"/>
            </w:tcBorders>
          </w:tcPr>
          <w:p w14:paraId="4CC53A71" w14:textId="6A1824C3" w:rsidR="00C84FDF" w:rsidRPr="0053317F" w:rsidRDefault="00D81662" w:rsidP="0053317F">
            <w:pPr>
              <w:pStyle w:val="Tabletext"/>
              <w:rPr>
                <w:b w:val="0"/>
                <w:bCs w:val="0"/>
              </w:rPr>
            </w:pPr>
            <w:r w:rsidRPr="0053317F">
              <w:rPr>
                <w:b w:val="0"/>
                <w:bCs w:val="0"/>
              </w:rPr>
              <w:t>V</w:t>
            </w:r>
            <w:r w:rsidR="00C84FDF" w:rsidRPr="0053317F">
              <w:rPr>
                <w:b w:val="0"/>
                <w:bCs w:val="0"/>
              </w:rPr>
              <w:t xml:space="preserve">ehicle interior requirement </w:t>
            </w:r>
            <w:r w:rsidRPr="0053317F">
              <w:rPr>
                <w:b w:val="0"/>
                <w:bCs w:val="0"/>
              </w:rPr>
              <w:t xml:space="preserve">specifies sufficient heating and air conditioning </w:t>
            </w:r>
          </w:p>
        </w:tc>
        <w:tc>
          <w:tcPr>
            <w:tcW w:w="4898" w:type="dxa"/>
            <w:tcBorders>
              <w:top w:val="none" w:sz="0" w:space="0" w:color="auto"/>
              <w:bottom w:val="none" w:sz="0" w:space="0" w:color="auto"/>
            </w:tcBorders>
          </w:tcPr>
          <w:p w14:paraId="455FCDDA" w14:textId="58D9C96F" w:rsidR="00C84FDF" w:rsidRPr="0053317F" w:rsidRDefault="00E93199" w:rsidP="0053317F">
            <w:pPr>
              <w:pStyle w:val="Tabletext"/>
              <w:cnfStyle w:val="000000100000" w:firstRow="0" w:lastRow="0" w:firstColumn="0" w:lastColumn="0" w:oddVBand="0" w:evenVBand="0" w:oddHBand="1" w:evenHBand="0" w:firstRowFirstColumn="0" w:firstRowLastColumn="0" w:lastRowFirstColumn="0" w:lastRowLastColumn="0"/>
            </w:pPr>
            <w:r w:rsidRPr="0053317F">
              <w:t>Vehicle r</w:t>
            </w:r>
            <w:r w:rsidR="00D81662" w:rsidRPr="0053317F">
              <w:t>equirement specifies sufficient heating and air conditioning</w:t>
            </w:r>
            <w:r w:rsidR="00090448" w:rsidRPr="0053317F">
              <w:t xml:space="preserve"> for patient and crew </w:t>
            </w:r>
          </w:p>
        </w:tc>
      </w:tr>
      <w:tr w:rsidR="00E20280" w:rsidRPr="00E16162" w14:paraId="28667420" w14:textId="77777777" w:rsidTr="67EA3459">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tcPr>
          <w:p w14:paraId="2BC1EFB1" w14:textId="7EFE3376" w:rsidR="00E20280" w:rsidRPr="0053317F" w:rsidRDefault="00E20280" w:rsidP="0053317F">
            <w:pPr>
              <w:pStyle w:val="Tabletext"/>
              <w:rPr>
                <w:b w:val="0"/>
                <w:bCs w:val="0"/>
              </w:rPr>
            </w:pPr>
            <w:r w:rsidRPr="0053317F">
              <w:rPr>
                <w:b w:val="0"/>
                <w:bCs w:val="0"/>
              </w:rPr>
              <w:t>Equipment</w:t>
            </w:r>
            <w:r w:rsidR="00031149" w:rsidRPr="0053317F">
              <w:rPr>
                <w:b w:val="0"/>
                <w:bCs w:val="0"/>
              </w:rPr>
              <w:t xml:space="preserve"> requir</w:t>
            </w:r>
            <w:r w:rsidR="00E446C9" w:rsidRPr="0053317F">
              <w:rPr>
                <w:b w:val="0"/>
                <w:bCs w:val="0"/>
              </w:rPr>
              <w:t>ed lists several items</w:t>
            </w:r>
          </w:p>
        </w:tc>
        <w:tc>
          <w:tcPr>
            <w:tcW w:w="4898" w:type="dxa"/>
            <w:tcBorders>
              <w:bottom w:val="single" w:sz="4" w:space="0" w:color="auto"/>
            </w:tcBorders>
          </w:tcPr>
          <w:p w14:paraId="4A15262D" w14:textId="552EF252" w:rsidR="00E20280" w:rsidRPr="0053317F" w:rsidRDefault="00E446C9" w:rsidP="0053317F">
            <w:pPr>
              <w:pStyle w:val="Tabletext"/>
              <w:cnfStyle w:val="000000000000" w:firstRow="0" w:lastRow="0" w:firstColumn="0" w:lastColumn="0" w:oddVBand="0" w:evenVBand="0" w:oddHBand="0" w:evenHBand="0" w:firstRowFirstColumn="0" w:firstRowLastColumn="0" w:lastRowFirstColumn="0" w:lastRowLastColumn="0"/>
            </w:pPr>
            <w:r w:rsidRPr="0053317F">
              <w:t xml:space="preserve">Equipment required refers to CPPs </w:t>
            </w:r>
          </w:p>
        </w:tc>
      </w:tr>
      <w:tr w:rsidR="00C84FDF" w:rsidRPr="00E16162" w14:paraId="01D55CA3" w14:textId="77777777" w:rsidTr="67EA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bottom w:val="single" w:sz="4" w:space="0" w:color="auto"/>
            </w:tcBorders>
          </w:tcPr>
          <w:p w14:paraId="62F1C4EA" w14:textId="77777777" w:rsidR="00C84FDF" w:rsidRPr="0053317F" w:rsidRDefault="00C84FDF" w:rsidP="0053317F">
            <w:pPr>
              <w:pStyle w:val="Tabletext"/>
              <w:rPr>
                <w:b w:val="0"/>
                <w:bCs w:val="0"/>
              </w:rPr>
            </w:pPr>
            <w:r w:rsidRPr="0053317F">
              <w:rPr>
                <w:b w:val="0"/>
                <w:bCs w:val="0"/>
              </w:rPr>
              <w:t>Change of vehicle category code must be provided to Secretary</w:t>
            </w:r>
          </w:p>
        </w:tc>
        <w:tc>
          <w:tcPr>
            <w:tcW w:w="4898" w:type="dxa"/>
            <w:tcBorders>
              <w:top w:val="single" w:sz="4" w:space="0" w:color="auto"/>
              <w:bottom w:val="single" w:sz="4" w:space="0" w:color="auto"/>
            </w:tcBorders>
          </w:tcPr>
          <w:p w14:paraId="701C1EC5" w14:textId="494067AC" w:rsidR="00C84FDF" w:rsidRPr="0053317F" w:rsidRDefault="00C84FDF" w:rsidP="0053317F">
            <w:pPr>
              <w:pStyle w:val="Tabletext"/>
              <w:cnfStyle w:val="000000100000" w:firstRow="0" w:lastRow="0" w:firstColumn="0" w:lastColumn="0" w:oddVBand="0" w:evenVBand="0" w:oddHBand="1" w:evenHBand="0" w:firstRowFirstColumn="0" w:firstRowLastColumn="0" w:lastRowFirstColumn="0" w:lastRowLastColumn="0"/>
            </w:pPr>
            <w:r w:rsidRPr="0053317F">
              <w:t xml:space="preserve">Change of vehicle category code obtained and retained but no longer required to be provided </w:t>
            </w:r>
          </w:p>
        </w:tc>
      </w:tr>
    </w:tbl>
    <w:p w14:paraId="1DAC56A4" w14:textId="20314A6C" w:rsidR="0062514D" w:rsidRPr="00BB7272" w:rsidRDefault="00532A73" w:rsidP="00414C62">
      <w:pPr>
        <w:pStyle w:val="Heading1"/>
        <w:rPr>
          <w:color w:val="auto"/>
        </w:rPr>
      </w:pPr>
      <w:bookmarkStart w:id="23" w:name="_Toc215847516"/>
      <w:r w:rsidRPr="00BB7272">
        <w:rPr>
          <w:color w:val="auto"/>
        </w:rPr>
        <w:lastRenderedPageBreak/>
        <w:t>5</w:t>
      </w:r>
      <w:r w:rsidR="0062514D" w:rsidRPr="00BB7272">
        <w:rPr>
          <w:color w:val="auto"/>
        </w:rPr>
        <w:t xml:space="preserve">. </w:t>
      </w:r>
      <w:r w:rsidR="00C44F07">
        <w:rPr>
          <w:color w:val="auto"/>
        </w:rPr>
        <w:t>Impact</w:t>
      </w:r>
      <w:r w:rsidR="00C44F07" w:rsidRPr="00BB7272">
        <w:rPr>
          <w:color w:val="auto"/>
        </w:rPr>
        <w:t xml:space="preserve"> </w:t>
      </w:r>
      <w:r w:rsidR="0062514D" w:rsidRPr="00BB7272">
        <w:rPr>
          <w:color w:val="auto"/>
        </w:rPr>
        <w:t>analysis</w:t>
      </w:r>
      <w:bookmarkEnd w:id="23"/>
    </w:p>
    <w:p w14:paraId="29971363" w14:textId="20162423" w:rsidR="00623BB2" w:rsidRPr="00BB7272" w:rsidRDefault="002C4E2E" w:rsidP="00F36623">
      <w:pPr>
        <w:pStyle w:val="Body"/>
      </w:pPr>
      <w:r w:rsidRPr="00BB7272">
        <w:t>This chapter assesses the status quo (remake without change) and the targeted reform package against the base case (</w:t>
      </w:r>
      <w:r w:rsidR="007D77B9" w:rsidRPr="00BB7272">
        <w:t>no regulations</w:t>
      </w:r>
      <w:r w:rsidRPr="00BB7272">
        <w:t>)</w:t>
      </w:r>
      <w:r w:rsidR="005861FA" w:rsidRPr="00BB7272">
        <w:t xml:space="preserve"> to determine the relative regulatory impact</w:t>
      </w:r>
      <w:r w:rsidR="004464D9">
        <w:t>s</w:t>
      </w:r>
      <w:r w:rsidR="008851E2">
        <w:t xml:space="preserve"> of the different options</w:t>
      </w:r>
      <w:r w:rsidR="005861FA" w:rsidRPr="00BB7272">
        <w:t xml:space="preserve">. </w:t>
      </w:r>
    </w:p>
    <w:p w14:paraId="616BC387" w14:textId="77777777" w:rsidR="00E55189" w:rsidRPr="00BB7272" w:rsidRDefault="00E55189" w:rsidP="001216D5">
      <w:pPr>
        <w:pStyle w:val="Heading2"/>
      </w:pPr>
      <w:bookmarkStart w:id="24" w:name="_Toc215847517"/>
      <w:r w:rsidRPr="00BB7272">
        <w:t>Methodology</w:t>
      </w:r>
      <w:bookmarkEnd w:id="24"/>
      <w:r w:rsidRPr="00BB7272">
        <w:t xml:space="preserve"> </w:t>
      </w:r>
    </w:p>
    <w:p w14:paraId="240B0D76" w14:textId="1AD230BC" w:rsidR="00A1407B" w:rsidRDefault="008F5271" w:rsidP="00BC799C">
      <w:pPr>
        <w:pStyle w:val="Body"/>
      </w:pPr>
      <w:r>
        <w:rPr>
          <w:noProof/>
        </w:rPr>
        <mc:AlternateContent>
          <mc:Choice Requires="wps">
            <w:drawing>
              <wp:anchor distT="0" distB="0" distL="114300" distR="114300" simplePos="0" relativeHeight="251658241" behindDoc="0" locked="0" layoutInCell="1" allowOverlap="1" wp14:anchorId="7B37190A" wp14:editId="5903D95D">
                <wp:simplePos x="0" y="0"/>
                <wp:positionH relativeFrom="margin">
                  <wp:align>left</wp:align>
                </wp:positionH>
                <wp:positionV relativeFrom="paragraph">
                  <wp:posOffset>1000125</wp:posOffset>
                </wp:positionV>
                <wp:extent cx="1828800" cy="4029075"/>
                <wp:effectExtent l="0" t="0" r="13970" b="28575"/>
                <wp:wrapSquare wrapText="bothSides"/>
                <wp:docPr id="590351894" name="Text Box 1"/>
                <wp:cNvGraphicFramePr/>
                <a:graphic xmlns:a="http://schemas.openxmlformats.org/drawingml/2006/main">
                  <a:graphicData uri="http://schemas.microsoft.com/office/word/2010/wordprocessingShape">
                    <wps:wsp>
                      <wps:cNvSpPr txBox="1"/>
                      <wps:spPr>
                        <a:xfrm>
                          <a:off x="0" y="0"/>
                          <a:ext cx="1828800" cy="4029075"/>
                        </a:xfrm>
                        <a:prstGeom prst="rect">
                          <a:avLst/>
                        </a:prstGeom>
                        <a:solidFill>
                          <a:schemeClr val="accent5">
                            <a:lumMod val="20000"/>
                            <a:lumOff val="80000"/>
                          </a:schemeClr>
                        </a:solidFill>
                        <a:ln w="6350">
                          <a:solidFill>
                            <a:schemeClr val="accent5"/>
                          </a:solidFill>
                        </a:ln>
                      </wps:spPr>
                      <wps:txbx>
                        <w:txbxContent>
                          <w:p w14:paraId="29E8CEC9" w14:textId="35C97828" w:rsidR="0081154D" w:rsidRDefault="00137F28" w:rsidP="00A37AA9">
                            <w:pPr>
                              <w:pStyle w:val="Heading3"/>
                              <w:spacing w:before="120"/>
                            </w:pPr>
                            <w:r>
                              <w:t>Multi-criteria analysis</w:t>
                            </w:r>
                            <w:r w:rsidR="00BD1B0E">
                              <w:t xml:space="preserve"> </w:t>
                            </w:r>
                            <w:r w:rsidR="00BF106E">
                              <w:t xml:space="preserve"> </w:t>
                            </w:r>
                          </w:p>
                          <w:p w14:paraId="36D43436" w14:textId="2549964F" w:rsidR="00137F28" w:rsidRPr="00DB6ED0" w:rsidRDefault="00137F28" w:rsidP="00DB6ED0">
                            <w:pPr>
                              <w:pStyle w:val="Body"/>
                            </w:pPr>
                            <w:r w:rsidRPr="00DB6ED0">
                              <w:t>M</w:t>
                            </w:r>
                            <w:r w:rsidR="00DB6ED0">
                              <w:t>ulti-criteria ana</w:t>
                            </w:r>
                            <w:r w:rsidR="00BF106E">
                              <w:t>lysis (M</w:t>
                            </w:r>
                            <w:r w:rsidRPr="00DB6ED0">
                              <w:t>CA</w:t>
                            </w:r>
                            <w:r w:rsidR="00BF106E">
                              <w:t>)</w:t>
                            </w:r>
                            <w:r w:rsidRPr="00DB6ED0">
                              <w:t xml:space="preserve"> involves:</w:t>
                            </w:r>
                          </w:p>
                          <w:p w14:paraId="05E3CD5E" w14:textId="455FAEC6" w:rsidR="00137F28" w:rsidRPr="00DB6ED0" w:rsidRDefault="00137F28" w:rsidP="00DB6ED0">
                            <w:pPr>
                              <w:pStyle w:val="Tablebullet1"/>
                            </w:pPr>
                            <w:r w:rsidRPr="00DB6ED0">
                              <w:t xml:space="preserve">Specifying assessment criteria; </w:t>
                            </w:r>
                          </w:p>
                          <w:p w14:paraId="0F4A4925" w14:textId="4FFB94F8" w:rsidR="00137F28" w:rsidRPr="00DB6ED0" w:rsidRDefault="00137F28" w:rsidP="00DB6ED0">
                            <w:pPr>
                              <w:pStyle w:val="Tablebullet1"/>
                            </w:pPr>
                            <w:r w:rsidRPr="00DB6ED0">
                              <w:t xml:space="preserve">Assigning a ‘weighting’ to each criterion; </w:t>
                            </w:r>
                          </w:p>
                          <w:p w14:paraId="2FE4DA8C" w14:textId="018EE130" w:rsidR="00137F28" w:rsidRPr="00DB6ED0" w:rsidRDefault="00137F28" w:rsidP="00DB6ED0">
                            <w:pPr>
                              <w:pStyle w:val="Tablebullet1"/>
                            </w:pPr>
                            <w:r w:rsidRPr="00DB6ED0">
                              <w:t xml:space="preserve">Assigning scores for each option in relation to each criterion; and </w:t>
                            </w:r>
                          </w:p>
                          <w:p w14:paraId="79A0F8FC" w14:textId="6161A1E9" w:rsidR="00137F28" w:rsidRPr="00DB6ED0" w:rsidRDefault="00137F28" w:rsidP="00DB6ED0">
                            <w:pPr>
                              <w:pStyle w:val="Tablebullet1"/>
                            </w:pPr>
                            <w:r w:rsidRPr="00DB6ED0">
                              <w:t xml:space="preserve">Calculating a weighted score for each option. </w:t>
                            </w:r>
                          </w:p>
                          <w:p w14:paraId="2F7CCA5E" w14:textId="77777777" w:rsidR="00137F28" w:rsidRPr="00DB6ED0" w:rsidRDefault="00137F28" w:rsidP="00DB6ED0">
                            <w:pPr>
                              <w:pStyle w:val="Body"/>
                            </w:pPr>
                            <w:r w:rsidRPr="00DB6ED0">
                              <w:t xml:space="preserve">MCA allows a decision to be made based on the weighted scores. The option assigned the highest weighted score is the ‘preferred option’. Although a degree of subjectivity is inherent in the MCA approach, when applied appropriately, MCA can provide a structured, systematic and transparent framework for comparing options with un-quantified cost and/or benefits. By clearly identifying the basis on which the options have been compared, it allows stakeholders and decision makers to see which factors were considered, the weighting given to different aspects of a decision and the reason for the decision. </w:t>
                            </w:r>
                          </w:p>
                          <w:p w14:paraId="616C4480" w14:textId="58113849" w:rsidR="00137F28" w:rsidRPr="00DB6ED0" w:rsidRDefault="00137F28" w:rsidP="00DB6ED0">
                            <w:pPr>
                              <w:pStyle w:val="Body"/>
                            </w:pPr>
                            <w:r w:rsidRPr="00DB6ED0">
                              <w:t xml:space="preserve">Within each criterion, cost and benefit scores are scaled as accurately as possible to represent the relative difference between options. This means that a score of 4 should represent twice the impact of a score of 2 and half the impact of a score of 8. The relative weights of the criteria are set to reflect the relative importance and magnitude of the impacts of each criterion. The combinations of weights and scores provides a weighted score, which when summed for each option, provides a basis for ranking options and choosing a preferred option.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7190A" id="_x0000_s1031" type="#_x0000_t202" style="position:absolute;margin-left:0;margin-top:78.75pt;width:2in;height:317.25pt;z-index:251658241;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" fillcolor="#daeef3 [664]" strokecolor="#4bacc6 [3208]" strokeweight=".5pt">
                <v:textbox>
                  <w:txbxContent>
                    <w:p w14:paraId="29E8CEC9" w14:textId="35C97828" w:rsidR="0081154D" w:rsidRDefault="00137F28" w:rsidP="00A37AA9">
                      <w:pPr>
                        <w:pStyle w:val="Heading3"/>
                        <w:spacing w:before="120"/>
                      </w:pPr>
                      <w:r>
                        <w:t>Multi-criteria analysis</w:t>
                      </w:r>
                      <w:r w:rsidR="00BD1B0E">
                        <w:t xml:space="preserve"> </w:t>
                      </w:r>
                      <w:r w:rsidR="00BF106E">
                        <w:t xml:space="preserve"> </w:t>
                      </w:r>
                    </w:p>
                    <w:p w14:paraId="36D43436" w14:textId="2549964F" w:rsidR="00137F28" w:rsidRPr="00DB6ED0" w:rsidRDefault="00137F28" w:rsidP="00DB6ED0">
                      <w:pPr>
                        <w:pStyle w:val="Body"/>
                      </w:pPr>
                      <w:r w:rsidRPr="00DB6ED0">
                        <w:t>M</w:t>
                      </w:r>
                      <w:r w:rsidR="00DB6ED0">
                        <w:t>ulti-criteria ana</w:t>
                      </w:r>
                      <w:r w:rsidR="00BF106E">
                        <w:t>lysis (M</w:t>
                      </w:r>
                      <w:r w:rsidRPr="00DB6ED0">
                        <w:t>CA</w:t>
                      </w:r>
                      <w:r w:rsidR="00BF106E">
                        <w:t>)</w:t>
                      </w:r>
                      <w:r w:rsidRPr="00DB6ED0">
                        <w:t xml:space="preserve"> involves:</w:t>
                      </w:r>
                    </w:p>
                    <w:p w14:paraId="05E3CD5E" w14:textId="455FAEC6" w:rsidR="00137F28" w:rsidRPr="00DB6ED0" w:rsidRDefault="00137F28" w:rsidP="00DB6ED0">
                      <w:pPr>
                        <w:pStyle w:val="Tablebullet1"/>
                      </w:pPr>
                      <w:r w:rsidRPr="00DB6ED0">
                        <w:t xml:space="preserve">Specifying assessment </w:t>
                      </w:r>
                      <w:r w:rsidRPr="00DB6ED0">
                        <w:t xml:space="preserve">criteria; </w:t>
                      </w:r>
                    </w:p>
                    <w:p w14:paraId="0F4A4925" w14:textId="4FFB94F8" w:rsidR="00137F28" w:rsidRPr="00DB6ED0" w:rsidRDefault="00137F28" w:rsidP="00DB6ED0">
                      <w:pPr>
                        <w:pStyle w:val="Tablebullet1"/>
                      </w:pPr>
                      <w:r w:rsidRPr="00DB6ED0">
                        <w:t xml:space="preserve">Assigning a ‘weighting’ to each criterion; </w:t>
                      </w:r>
                    </w:p>
                    <w:p w14:paraId="2FE4DA8C" w14:textId="018EE130" w:rsidR="00137F28" w:rsidRPr="00DB6ED0" w:rsidRDefault="00137F28" w:rsidP="00DB6ED0">
                      <w:pPr>
                        <w:pStyle w:val="Tablebullet1"/>
                      </w:pPr>
                      <w:r w:rsidRPr="00DB6ED0">
                        <w:t xml:space="preserve">Assigning scores for each option in relation to each criterion; and </w:t>
                      </w:r>
                    </w:p>
                    <w:p w14:paraId="79A0F8FC" w14:textId="6161A1E9" w:rsidR="00137F28" w:rsidRPr="00DB6ED0" w:rsidRDefault="00137F28" w:rsidP="00DB6ED0">
                      <w:pPr>
                        <w:pStyle w:val="Tablebullet1"/>
                      </w:pPr>
                      <w:r w:rsidRPr="00DB6ED0">
                        <w:t xml:space="preserve">Calculating a weighted score for each option. </w:t>
                      </w:r>
                    </w:p>
                    <w:p w14:paraId="2F7CCA5E" w14:textId="77777777" w:rsidR="00137F28" w:rsidRPr="00DB6ED0" w:rsidRDefault="00137F28" w:rsidP="00DB6ED0">
                      <w:pPr>
                        <w:pStyle w:val="Body"/>
                      </w:pPr>
                      <w:r w:rsidRPr="00DB6ED0">
                        <w:t xml:space="preserve">MCA allows a decision to be made based on the weighted scores. The option assigned the highest weighted score is the ‘preferred option’. Although a degree of subjectivity is inherent in the MCA approach, when applied appropriately, MCA can provide a structured, systematic and transparent framework for comparing options with un-quantified cost and/or benefits. By clearly identifying the basis on which the options have been compared, it allows stakeholders and decision makers to see which factors were considered, the weighting given to different aspects of a decision and the reason for the decision. </w:t>
                      </w:r>
                    </w:p>
                    <w:p w14:paraId="616C4480" w14:textId="58113849" w:rsidR="00137F28" w:rsidRPr="00DB6ED0" w:rsidRDefault="00137F28" w:rsidP="00DB6ED0">
                      <w:pPr>
                        <w:pStyle w:val="Body"/>
                      </w:pPr>
                      <w:r w:rsidRPr="00DB6ED0">
                        <w:t xml:space="preserve">Within each criterion, cost and benefit scores are scaled as accurately as possible to represent the relative difference between options. This means that a score of 4 should represent twice the impact of a score of 2 and half the impact of a score of 8. The relative weights of the criteria are set to reflect the relative importance and magnitude of the impacts of each criterion. The combinations of weights and scores provides a weighted score, which when summed for each option, provides a basis for ranking options and choosing a preferred option. </w:t>
                      </w:r>
                    </w:p>
                  </w:txbxContent>
                </v:textbox>
                <w10:wrap type="square" anchorx="margin"/>
              </v:shape>
            </w:pict>
          </mc:Fallback>
        </mc:AlternateContent>
      </w:r>
      <w:r w:rsidR="00BC799C">
        <w:t xml:space="preserve">The RIS process requires an analysis of the costs </w:t>
      </w:r>
      <w:r w:rsidR="00024FB8">
        <w:t xml:space="preserve">and </w:t>
      </w:r>
      <w:r w:rsidR="00BC799C">
        <w:t xml:space="preserve">benefits over the range of options under consideration. In the case of this assessment, the options are considered and assessed using multi-criteria analysis (MCA). MCA has been chosen as the appropriate tool for assessing the options, as it is difficult to quantify both the costs and benefits of </w:t>
      </w:r>
      <w:r w:rsidR="00BE1866">
        <w:t xml:space="preserve">the range of options under consideration. </w:t>
      </w:r>
      <w:r w:rsidR="00915247">
        <w:t>The methodology is described further in the box below.</w:t>
      </w:r>
    </w:p>
    <w:p w14:paraId="6783A678" w14:textId="395E23CA" w:rsidR="00BC799C" w:rsidRPr="005A5C00" w:rsidRDefault="00BC799C" w:rsidP="001216D5">
      <w:pPr>
        <w:pStyle w:val="Heading3"/>
      </w:pPr>
      <w:r w:rsidRPr="005A5C00">
        <w:t xml:space="preserve">Criteria and </w:t>
      </w:r>
      <w:r w:rsidR="008B2F38">
        <w:t>w</w:t>
      </w:r>
      <w:r w:rsidRPr="005A5C00">
        <w:t xml:space="preserve">eighting </w:t>
      </w:r>
    </w:p>
    <w:p w14:paraId="054A80DE" w14:textId="467CDDC3" w:rsidR="00B91EAB" w:rsidRDefault="00A81F0A" w:rsidP="00137F28">
      <w:pPr>
        <w:pStyle w:val="Body"/>
      </w:pPr>
      <w:r w:rsidRPr="00DB6ED0">
        <w:t>Each option for this MCA is scored using a scale from -</w:t>
      </w:r>
      <w:r w:rsidR="006D46CD">
        <w:t>5</w:t>
      </w:r>
      <w:r w:rsidRPr="00DB6ED0">
        <w:t xml:space="preserve"> to +</w:t>
      </w:r>
      <w:r w:rsidR="006D46CD">
        <w:t>5</w:t>
      </w:r>
      <w:r w:rsidRPr="00DB6ED0">
        <w:t xml:space="preserve"> relative to the base case. A score of zero represents no change in impacts against a criterion for that option compared to the base case. A positive score represents a benefit relative to the base case and a negative score, a cost relative to the base case. </w:t>
      </w:r>
      <w:r w:rsidR="00BC799C">
        <w:t>The weighted costs and benefits for the MCA have been evenly balanced at 50</w:t>
      </w:r>
      <w:r w:rsidR="006E379D">
        <w:rPr>
          <w:rFonts w:cs="Arial"/>
        </w:rPr>
        <w:t xml:space="preserve"> percent</w:t>
      </w:r>
      <w:r w:rsidR="009609C5">
        <w:t xml:space="preserve"> </w:t>
      </w:r>
      <w:r w:rsidR="00BC799C">
        <w:t>each. This aligns with the best practice guidance as recommended in the Victorian Guide to Regulation.</w:t>
      </w:r>
    </w:p>
    <w:p w14:paraId="108F3347" w14:textId="203A2BCF" w:rsidR="00786626" w:rsidRDefault="00786626" w:rsidP="00786626">
      <w:pPr>
        <w:pStyle w:val="Body"/>
      </w:pPr>
      <w:r w:rsidRPr="00F73A91">
        <w:rPr>
          <w:b/>
          <w:bCs/>
        </w:rPr>
        <w:t>Ensuring patient safety</w:t>
      </w:r>
      <w:r>
        <w:t xml:space="preserve"> is the key objective of the legislative and regulatory framework and as such, this criterion receives the highest benefit weighting for the MCA. Maintaining strong standards </w:t>
      </w:r>
      <w:r>
        <w:lastRenderedPageBreak/>
        <w:t xml:space="preserve">for patient care during transportation remains the overarching consideration for the regulation of NEPT vehicles, equipment and staff. As such this criterion </w:t>
      </w:r>
      <w:r w:rsidR="004F3318">
        <w:t xml:space="preserve">is </w:t>
      </w:r>
      <w:r>
        <w:t>weighted at 40</w:t>
      </w:r>
      <w:r w:rsidR="006E379D">
        <w:rPr>
          <w:rFonts w:cs="Arial"/>
        </w:rPr>
        <w:t xml:space="preserve"> percent</w:t>
      </w:r>
      <w:r>
        <w:t xml:space="preserve"> for the MCA. </w:t>
      </w:r>
    </w:p>
    <w:p w14:paraId="60AEE41D" w14:textId="33C71809" w:rsidR="00786626" w:rsidRDefault="00786626" w:rsidP="00786626">
      <w:pPr>
        <w:pStyle w:val="Body"/>
      </w:pPr>
      <w:r>
        <w:t xml:space="preserve">In addition to the above safety criterion, a secondary criterion analysed for this Regulations review is </w:t>
      </w:r>
      <w:r w:rsidRPr="00F73A91">
        <w:rPr>
          <w:b/>
          <w:bCs/>
        </w:rPr>
        <w:t>support</w:t>
      </w:r>
      <w:r w:rsidR="00C00640">
        <w:rPr>
          <w:b/>
          <w:bCs/>
        </w:rPr>
        <w:t xml:space="preserve">ing the NEPT system </w:t>
      </w:r>
      <w:r>
        <w:t xml:space="preserve">to ensure that these services can continue to serve their vital role in the health system and continue to improve over time to meet the needs of all Victorians. This criterion is considered through four sub-objectives outlined in chapter </w:t>
      </w:r>
      <w:r w:rsidR="00CD5884">
        <w:t>3</w:t>
      </w:r>
      <w:r w:rsidR="00A37AA9">
        <w:t>,</w:t>
      </w:r>
      <w:r w:rsidR="00CD5884">
        <w:t xml:space="preserve"> </w:t>
      </w:r>
      <w:r>
        <w:t>namely:</w:t>
      </w:r>
    </w:p>
    <w:p w14:paraId="307204A7" w14:textId="77777777" w:rsidR="00786626" w:rsidRDefault="00786626" w:rsidP="00DC067D">
      <w:pPr>
        <w:pStyle w:val="Bullet1"/>
      </w:pPr>
      <w:r>
        <w:t>Supporting a skilled and capable workforce</w:t>
      </w:r>
    </w:p>
    <w:p w14:paraId="21294586" w14:textId="77777777" w:rsidR="00786626" w:rsidRDefault="00786626" w:rsidP="00DC067D">
      <w:pPr>
        <w:pStyle w:val="Bullet1"/>
      </w:pPr>
      <w:r>
        <w:t>Recognising NEPT as a health service</w:t>
      </w:r>
    </w:p>
    <w:p w14:paraId="475CEAC3" w14:textId="77777777" w:rsidR="00786626" w:rsidRDefault="00786626" w:rsidP="00DC067D">
      <w:pPr>
        <w:pStyle w:val="Bullet1"/>
      </w:pPr>
      <w:r>
        <w:t>Improving regulatory clarity and consistency</w:t>
      </w:r>
    </w:p>
    <w:p w14:paraId="52A726D0" w14:textId="77777777" w:rsidR="00786626" w:rsidRDefault="00786626" w:rsidP="00DC067D">
      <w:pPr>
        <w:pStyle w:val="Bullet1"/>
      </w:pPr>
      <w:r>
        <w:t>Enhancing efficiency and equity</w:t>
      </w:r>
    </w:p>
    <w:p w14:paraId="5D92277F" w14:textId="50B7007C" w:rsidR="00786626" w:rsidRPr="00BB7272" w:rsidRDefault="00786626" w:rsidP="00DC067D">
      <w:pPr>
        <w:pStyle w:val="Bodyafterbullets"/>
      </w:pPr>
      <w:r>
        <w:t>These objectives combine to lift capability, improve integration into the broader health system, improve compliance and enforcement and ensure continuity of services. The combined, diverse elements contained in these objectives, while important considerations for reviewing the Regulations, are ultimately secondary to the key safety objective and therefore this criterion is weighted at 10</w:t>
      </w:r>
      <w:r w:rsidR="006E379D">
        <w:rPr>
          <w:rFonts w:cs="Arial"/>
        </w:rPr>
        <w:t xml:space="preserve"> percent</w:t>
      </w:r>
      <w:r>
        <w:t xml:space="preserve"> for this MCA. </w:t>
      </w:r>
    </w:p>
    <w:p w14:paraId="44801C8A" w14:textId="1E292346" w:rsidR="00F36623" w:rsidRPr="00BD1B0E" w:rsidRDefault="00915A49" w:rsidP="00F36623">
      <w:pPr>
        <w:pStyle w:val="Body"/>
        <w:rPr>
          <w:color w:val="00B050"/>
        </w:rPr>
      </w:pPr>
      <w:r w:rsidRPr="00EA10E7">
        <w:t xml:space="preserve">The incremental </w:t>
      </w:r>
      <w:r w:rsidRPr="00EA10E7">
        <w:rPr>
          <w:b/>
          <w:bCs/>
        </w:rPr>
        <w:t>costs</w:t>
      </w:r>
      <w:r w:rsidRPr="00EA10E7">
        <w:t xml:space="preserve"> of the </w:t>
      </w:r>
      <w:r w:rsidR="006F40FB" w:rsidRPr="00EA10E7">
        <w:t xml:space="preserve">regulatory options </w:t>
      </w:r>
      <w:r w:rsidR="00EA10E7">
        <w:t>are</w:t>
      </w:r>
      <w:r w:rsidR="003305AF" w:rsidRPr="00EA10E7">
        <w:t xml:space="preserve"> weighted at 50</w:t>
      </w:r>
      <w:r w:rsidR="006E379D">
        <w:rPr>
          <w:rFonts w:cs="Arial"/>
        </w:rPr>
        <w:t xml:space="preserve"> percent</w:t>
      </w:r>
      <w:r w:rsidR="003305AF" w:rsidRPr="00EA10E7">
        <w:t xml:space="preserve"> in the MCA</w:t>
      </w:r>
      <w:r w:rsidR="00EA10E7" w:rsidRPr="002175AF">
        <w:t>.</w:t>
      </w:r>
      <w:r w:rsidR="00EA10E7">
        <w:rPr>
          <w:color w:val="00B050"/>
        </w:rPr>
        <w:t xml:space="preserve"> </w:t>
      </w:r>
      <w:r w:rsidR="004F6B5A" w:rsidRPr="00BB7272">
        <w:rPr>
          <w:color w:val="00B050"/>
        </w:rPr>
        <w:t xml:space="preserve"> </w:t>
      </w:r>
    </w:p>
    <w:p w14:paraId="67E0ADD2" w14:textId="2066D5F3" w:rsidR="005442CE" w:rsidRDefault="00B7501E" w:rsidP="00FF7AB4">
      <w:pPr>
        <w:pStyle w:val="Heading2"/>
      </w:pPr>
      <w:bookmarkStart w:id="25" w:name="_Toc215847518"/>
      <w:r w:rsidRPr="005442CE">
        <w:t>The base case</w:t>
      </w:r>
      <w:bookmarkEnd w:id="25"/>
    </w:p>
    <w:p w14:paraId="55424364" w14:textId="148C05E5" w:rsidR="00B7501E" w:rsidRDefault="00B7501E" w:rsidP="00B7501E">
      <w:pPr>
        <w:pStyle w:val="Body"/>
      </w:pPr>
      <w:r w:rsidRPr="00870944">
        <w:t>Th</w:t>
      </w:r>
      <w:r>
        <w:t>e</w:t>
      </w:r>
      <w:r w:rsidRPr="00870944">
        <w:t xml:space="preserve"> base case</w:t>
      </w:r>
      <w:r>
        <w:t xml:space="preserve"> scenario is used</w:t>
      </w:r>
      <w:r w:rsidRPr="00870944">
        <w:t xml:space="preserve"> for impact analysis to enable comparison of </w:t>
      </w:r>
      <w:r w:rsidR="009478C6">
        <w:t xml:space="preserve">the incremental </w:t>
      </w:r>
      <w:r w:rsidRPr="00870944">
        <w:t>costs and benefits</w:t>
      </w:r>
      <w:r w:rsidR="00250232">
        <w:t xml:space="preserve"> </w:t>
      </w:r>
      <w:r w:rsidR="007A24A1">
        <w:t xml:space="preserve">that arise </w:t>
      </w:r>
      <w:r w:rsidR="00586ADA">
        <w:t>due to regulations being in place</w:t>
      </w:r>
      <w:r w:rsidRPr="00870944">
        <w:t xml:space="preserve">. </w:t>
      </w:r>
      <w:r w:rsidR="00D056DC">
        <w:t xml:space="preserve">In the base case scenario, the improvements to the regulatory framework over time would not be lost </w:t>
      </w:r>
      <w:r w:rsidR="00D4749C">
        <w:t xml:space="preserve">completely as the department would </w:t>
      </w:r>
      <w:r w:rsidR="00031CBE">
        <w:t xml:space="preserve">be able to enforce </w:t>
      </w:r>
      <w:r w:rsidR="00534988">
        <w:t xml:space="preserve">some standards for quality and safety of services through contractual arrangements and </w:t>
      </w:r>
      <w:r w:rsidR="00303064">
        <w:t xml:space="preserve">health services would be unlikely to contract patient transport through providers that </w:t>
      </w:r>
      <w:r w:rsidR="00035AA2">
        <w:t>placed their patients in danger</w:t>
      </w:r>
      <w:r w:rsidR="006143C4">
        <w:t>.</w:t>
      </w:r>
      <w:r w:rsidR="00035AA2">
        <w:t xml:space="preserve"> </w:t>
      </w:r>
      <w:r w:rsidR="006143C4">
        <w:t>H</w:t>
      </w:r>
      <w:r w:rsidR="00035AA2">
        <w:t>owever</w:t>
      </w:r>
      <w:r w:rsidR="006143C4">
        <w:t>,</w:t>
      </w:r>
      <w:r w:rsidR="00035AA2">
        <w:t xml:space="preserve"> there would be a lack of uniformity </w:t>
      </w:r>
      <w:r w:rsidR="00C24CA2">
        <w:t xml:space="preserve">in service provision and regulatory oversight would be </w:t>
      </w:r>
      <w:r w:rsidR="00DE115D">
        <w:t>significantly diminished. For these reasons,</w:t>
      </w:r>
      <w:r w:rsidRPr="00870944">
        <w:t xml:space="preserve"> it is not considered a viable policy option </w:t>
      </w:r>
      <w:r w:rsidR="002A3137">
        <w:t xml:space="preserve">to not have regulations supporting the Act, </w:t>
      </w:r>
      <w:r w:rsidRPr="00A50326">
        <w:t>because it would remove minimum safety and governance requirements and is therefore inconsistent with the objectives of the Act.</w:t>
      </w:r>
      <w:r>
        <w:t xml:space="preserve"> </w:t>
      </w:r>
    </w:p>
    <w:p w14:paraId="6CA0ECC1" w14:textId="74EF1BE1" w:rsidR="008A2669" w:rsidRDefault="0054569D" w:rsidP="00FF7AB4">
      <w:pPr>
        <w:pStyle w:val="Heading3"/>
      </w:pPr>
      <w:r>
        <w:t>Ensuring p</w:t>
      </w:r>
      <w:r w:rsidR="00B7501E">
        <w:t>atient safety</w:t>
      </w:r>
    </w:p>
    <w:p w14:paraId="338492AB" w14:textId="7514254F" w:rsidR="008A70D1" w:rsidRDefault="00021936" w:rsidP="00760CF0">
      <w:pPr>
        <w:pStyle w:val="Body"/>
      </w:pPr>
      <w:r>
        <w:t xml:space="preserve">If </w:t>
      </w:r>
      <w:r w:rsidR="00760CF0" w:rsidRPr="00C32915">
        <w:t>a NEPT provider</w:t>
      </w:r>
      <w:r>
        <w:t xml:space="preserve"> was exempted</w:t>
      </w:r>
      <w:r w:rsidR="00760CF0" w:rsidRPr="00C32915">
        <w:t xml:space="preserve"> from the need to be licensed, there </w:t>
      </w:r>
      <w:r w:rsidR="00760CF0">
        <w:t xml:space="preserve">would be </w:t>
      </w:r>
      <w:r w:rsidR="00760CF0" w:rsidRPr="00C32915">
        <w:t xml:space="preserve">no clear statutory or regulatory obligation </w:t>
      </w:r>
      <w:r w:rsidR="00760CF0">
        <w:t>to</w:t>
      </w:r>
      <w:r w:rsidR="00760CF0" w:rsidRPr="00C32915">
        <w:t xml:space="preserve"> compel them to </w:t>
      </w:r>
      <w:r w:rsidR="00760CF0">
        <w:t>review</w:t>
      </w:r>
      <w:r w:rsidR="00F14F97">
        <w:t xml:space="preserve"> </w:t>
      </w:r>
      <w:r w:rsidR="000B68FE">
        <w:rPr>
          <w:rFonts w:eastAsia="MS Gothic"/>
        </w:rPr>
        <w:t>adverse patient safety events (</w:t>
      </w:r>
      <w:r w:rsidR="00C4344B">
        <w:rPr>
          <w:rFonts w:eastAsia="MS Gothic"/>
        </w:rPr>
        <w:t>APSEs</w:t>
      </w:r>
      <w:r w:rsidR="000B68FE">
        <w:rPr>
          <w:rFonts w:eastAsia="MS Gothic"/>
        </w:rPr>
        <w:t>)</w:t>
      </w:r>
      <w:r w:rsidR="003B45EC">
        <w:rPr>
          <w:rFonts w:eastAsia="MS Gothic"/>
        </w:rPr>
        <w:t xml:space="preserve"> or report serious adverse patient safety events (SAPSEs)</w:t>
      </w:r>
      <w:r w:rsidR="00382761">
        <w:rPr>
          <w:rFonts w:eastAsia="MS Gothic"/>
        </w:rPr>
        <w:t>,</w:t>
      </w:r>
      <w:r w:rsidR="00760CF0">
        <w:t xml:space="preserve"> including</w:t>
      </w:r>
      <w:r w:rsidR="00760CF0" w:rsidRPr="00C32915">
        <w:t xml:space="preserve"> sentinel events</w:t>
      </w:r>
      <w:r w:rsidR="00F615D8">
        <w:t>, which would weaken</w:t>
      </w:r>
      <w:r w:rsidR="00F0659D">
        <w:t xml:space="preserve"> clinical governance and reporting</w:t>
      </w:r>
      <w:r w:rsidR="00760CF0" w:rsidRPr="00C32915">
        <w:t>.</w:t>
      </w:r>
      <w:r w:rsidR="00760CF0">
        <w:t xml:space="preserve"> </w:t>
      </w:r>
      <w:r w:rsidR="008A70D1">
        <w:t>In the base case, t</w:t>
      </w:r>
      <w:r w:rsidR="008A70D1" w:rsidRPr="00431756">
        <w:t>he absence of</w:t>
      </w:r>
      <w:r w:rsidR="008A70D1">
        <w:t xml:space="preserve"> a </w:t>
      </w:r>
      <w:r w:rsidR="008A70D1" w:rsidRPr="00431756">
        <w:t>notification</w:t>
      </w:r>
      <w:r w:rsidR="008A70D1">
        <w:t xml:space="preserve"> requirement for sentinel events and annual reporting requirements for APSEs would remove</w:t>
      </w:r>
      <w:r w:rsidR="008A70D1" w:rsidRPr="00431756">
        <w:t xml:space="preserve"> a key </w:t>
      </w:r>
      <w:r w:rsidR="008A70D1">
        <w:t>mechanism for regulatory oversight and</w:t>
      </w:r>
      <w:r w:rsidR="008A70D1" w:rsidRPr="00431756">
        <w:t xml:space="preserve"> </w:t>
      </w:r>
      <w:r w:rsidR="008A70D1">
        <w:t>safety</w:t>
      </w:r>
      <w:r w:rsidR="008A70D1" w:rsidRPr="00431756">
        <w:t xml:space="preserve"> intelligence, </w:t>
      </w:r>
      <w:r w:rsidR="008A70D1">
        <w:t>limit</w:t>
      </w:r>
      <w:r w:rsidR="008A70D1" w:rsidRPr="00431756">
        <w:t xml:space="preserve">ing assurance that NEPT services are </w:t>
      </w:r>
      <w:r w:rsidR="008A70D1" w:rsidRPr="00382FEA">
        <w:t xml:space="preserve">operating safely and consistently with the Act’s objectives </w:t>
      </w:r>
      <w:r w:rsidR="008A70D1" w:rsidRPr="00431756">
        <w:t>(s</w:t>
      </w:r>
      <w:r w:rsidR="008A70D1">
        <w:t>ection</w:t>
      </w:r>
      <w:r w:rsidR="008A70D1" w:rsidRPr="00431756">
        <w:t xml:space="preserve"> 4A).</w:t>
      </w:r>
    </w:p>
    <w:p w14:paraId="7465CD72" w14:textId="5A80088E" w:rsidR="00760CF0" w:rsidRPr="006F52E5" w:rsidRDefault="00760CF0" w:rsidP="00760CF0">
      <w:pPr>
        <w:pStyle w:val="Body"/>
      </w:pPr>
      <w:r>
        <w:t>Although the</w:t>
      </w:r>
      <w:r w:rsidRPr="006F52E5">
        <w:t xml:space="preserve"> Statutory Duty of Candour (SDC)</w:t>
      </w:r>
      <w:r w:rsidR="00DB6C93">
        <w:rPr>
          <w:rStyle w:val="FootnoteReference"/>
        </w:rPr>
        <w:footnoteReference w:id="15"/>
      </w:r>
      <w:r w:rsidRPr="006F52E5">
        <w:t xml:space="preserve"> applies to health service entities</w:t>
      </w:r>
      <w:r>
        <w:t>, only ‘licensed’ NEPT providers are captured.</w:t>
      </w:r>
      <w:r w:rsidRPr="006F52E5">
        <w:t xml:space="preserve"> For providers operating solely under </w:t>
      </w:r>
      <w:r>
        <w:t>exemption</w:t>
      </w:r>
      <w:r w:rsidRPr="006F52E5">
        <w:t xml:space="preserve"> (</w:t>
      </w:r>
      <w:r>
        <w:t>that is,</w:t>
      </w:r>
      <w:r w:rsidRPr="006F52E5">
        <w:t xml:space="preserve"> not licensed), the applicability of SDC obligations </w:t>
      </w:r>
      <w:r>
        <w:t>is</w:t>
      </w:r>
      <w:r w:rsidRPr="006F52E5">
        <w:t xml:space="preserve"> uncertain unless</w:t>
      </w:r>
      <w:r>
        <w:t xml:space="preserve"> they are</w:t>
      </w:r>
      <w:r w:rsidRPr="006F52E5">
        <w:t xml:space="preserve"> separately prescribed. In any event, </w:t>
      </w:r>
      <w:r w:rsidRPr="006F52E5">
        <w:lastRenderedPageBreak/>
        <w:t xml:space="preserve">the SDC does not create a requirement to notify the </w:t>
      </w:r>
      <w:r w:rsidR="00743282">
        <w:t>d</w:t>
      </w:r>
      <w:r>
        <w:t xml:space="preserve">epartment or </w:t>
      </w:r>
      <w:r w:rsidR="00ED3C0E">
        <w:t>Safer Care Victoria</w:t>
      </w:r>
      <w:r w:rsidRPr="006F52E5">
        <w:t xml:space="preserve">, meaning system-level visibility of </w:t>
      </w:r>
      <w:r w:rsidR="00563133">
        <w:t>S</w:t>
      </w:r>
      <w:r w:rsidRPr="006F52E5">
        <w:t xml:space="preserve">APSEs </w:t>
      </w:r>
      <w:r>
        <w:t>could</w:t>
      </w:r>
      <w:r w:rsidRPr="006F52E5">
        <w:t xml:space="preserve"> be limited.</w:t>
      </w:r>
    </w:p>
    <w:p w14:paraId="769D54B3" w14:textId="7225F540" w:rsidR="00022D50" w:rsidRDefault="0054569D" w:rsidP="00FF7AB4">
      <w:pPr>
        <w:pStyle w:val="Heading3"/>
      </w:pPr>
      <w:r>
        <w:t>S</w:t>
      </w:r>
      <w:r w:rsidR="00D10FC4">
        <w:t>upporting</w:t>
      </w:r>
      <w:r>
        <w:t xml:space="preserve"> the NEPT system</w:t>
      </w:r>
    </w:p>
    <w:p w14:paraId="57A5BB5F" w14:textId="4538438B" w:rsidR="00776941" w:rsidRDefault="00776941" w:rsidP="00776941">
      <w:pPr>
        <w:pStyle w:val="Body"/>
      </w:pPr>
      <w:r w:rsidRPr="00870944">
        <w:t xml:space="preserve">As outlined </w:t>
      </w:r>
      <w:r>
        <w:t xml:space="preserve">above, </w:t>
      </w:r>
      <w:r w:rsidRPr="00870944">
        <w:t>if the Regulations were allowed to sunset without replacement</w:t>
      </w:r>
      <w:r>
        <w:t xml:space="preserve">, </w:t>
      </w:r>
      <w:r w:rsidRPr="00870944">
        <w:t xml:space="preserve">the Act would remain in force and the </w:t>
      </w:r>
      <w:r w:rsidRPr="00FD5E7E">
        <w:t>Governor in Council could exempt private NEPT providers from licence requirements. In this situation</w:t>
      </w:r>
      <w:r>
        <w:t>,</w:t>
      </w:r>
      <w:r w:rsidRPr="00870944">
        <w:t xml:space="preserve"> the operational safeguards prescribed in the Regulations would no longer apply</w:t>
      </w:r>
      <w:r>
        <w:t xml:space="preserve">, </w:t>
      </w:r>
      <w:r w:rsidRPr="006E30A6">
        <w:t>creating a greater risk of inconsistent service standards</w:t>
      </w:r>
      <w:r w:rsidRPr="00870944">
        <w:t xml:space="preserve">. </w:t>
      </w:r>
    </w:p>
    <w:p w14:paraId="62BAD9DC" w14:textId="77777777" w:rsidR="00776941" w:rsidRDefault="00776941" w:rsidP="00776941">
      <w:pPr>
        <w:pStyle w:val="Body"/>
      </w:pPr>
      <w:r>
        <w:t>Further, r</w:t>
      </w:r>
      <w:r w:rsidRPr="00D3188C">
        <w:t xml:space="preserve">eliance solely on procurement and funding contracts is not sufficient for oversight of practice. While contracts can lift standards for commissioned activity, they are not universal, vary by purchaser, are time-limited, and cannot set sector-wide minimums. Enforcement is limited to contractual remedies, with no consistent basis for incident reporting, clinical governance requirements, or transparency across all providers. </w:t>
      </w:r>
      <w:r>
        <w:t>Therefore, t</w:t>
      </w:r>
      <w:r w:rsidRPr="00D3188C">
        <w:t>hese levers are best treated as complementary to</w:t>
      </w:r>
      <w:r>
        <w:t xml:space="preserve"> – </w:t>
      </w:r>
      <w:r w:rsidRPr="00D3188C">
        <w:t>rather than a substitute for</w:t>
      </w:r>
      <w:r>
        <w:t xml:space="preserve"> – </w:t>
      </w:r>
      <w:r w:rsidRPr="00D3188C">
        <w:t>clear, enforceable regulatory standards.</w:t>
      </w:r>
    </w:p>
    <w:p w14:paraId="7BCF11A5" w14:textId="78D9C7D5" w:rsidR="00C8224E" w:rsidRPr="00EA72CC" w:rsidRDefault="00346A98" w:rsidP="00A70B9E">
      <w:pPr>
        <w:pStyle w:val="Heading4"/>
      </w:pPr>
      <w:r w:rsidRPr="00EA72CC">
        <w:t xml:space="preserve">Impact assessment </w:t>
      </w:r>
    </w:p>
    <w:p w14:paraId="52D506F6" w14:textId="79E4BB1D" w:rsidR="00A4198E" w:rsidRDefault="00F20B8A" w:rsidP="002C4E2E">
      <w:pPr>
        <w:pStyle w:val="Body"/>
      </w:pPr>
      <w:r w:rsidRPr="00EA72CC">
        <w:t>The base case</w:t>
      </w:r>
      <w:r w:rsidR="00FC754C" w:rsidRPr="00EA72CC">
        <w:t xml:space="preserve"> of having no NEPT regulations </w:t>
      </w:r>
      <w:r w:rsidR="00410708" w:rsidRPr="00EA72CC">
        <w:t xml:space="preserve">is used as a </w:t>
      </w:r>
      <w:r w:rsidR="002E7BB0" w:rsidRPr="00EA72CC">
        <w:t xml:space="preserve">point of comparison to measure the impacts of alternative regulatory options against a counterfactual scenario where there are no </w:t>
      </w:r>
      <w:r w:rsidR="005A0475" w:rsidRPr="00EA72CC">
        <w:t xml:space="preserve">regulations to support the Act. </w:t>
      </w:r>
      <w:r w:rsidR="0033752B" w:rsidRPr="00EA72CC">
        <w:t>As such</w:t>
      </w:r>
      <w:r w:rsidR="0000277F" w:rsidRPr="00EA72CC">
        <w:t xml:space="preserve">, </w:t>
      </w:r>
      <w:r w:rsidR="0000277F" w:rsidRPr="00F205F9">
        <w:rPr>
          <w:b/>
        </w:rPr>
        <w:t xml:space="preserve">the base case score is </w:t>
      </w:r>
      <w:r w:rsidR="00EF7351" w:rsidRPr="00F205F9">
        <w:rPr>
          <w:b/>
        </w:rPr>
        <w:t xml:space="preserve">zero for both </w:t>
      </w:r>
      <w:r w:rsidR="00EF7351">
        <w:rPr>
          <w:b/>
        </w:rPr>
        <w:t xml:space="preserve">benefit </w:t>
      </w:r>
      <w:r w:rsidR="00BC295B">
        <w:rPr>
          <w:b/>
          <w:bCs/>
        </w:rPr>
        <w:t>and cost criteria.</w:t>
      </w:r>
      <w:r w:rsidR="00EF7351" w:rsidRPr="00F205F9">
        <w:t xml:space="preserve"> </w:t>
      </w:r>
    </w:p>
    <w:p w14:paraId="75F17C34" w14:textId="6D4211F0" w:rsidR="007D77B9" w:rsidRDefault="00BF1A94" w:rsidP="00FF7AB4">
      <w:pPr>
        <w:pStyle w:val="Heading2"/>
      </w:pPr>
      <w:bookmarkStart w:id="26" w:name="_Toc215847519"/>
      <w:r w:rsidRPr="005442CE">
        <w:t xml:space="preserve">Option 1 – </w:t>
      </w:r>
      <w:r w:rsidR="00641571" w:rsidRPr="005442CE">
        <w:t>Status quo (remake current Regulations)</w:t>
      </w:r>
      <w:bookmarkEnd w:id="26"/>
      <w:r w:rsidR="00641571" w:rsidRPr="005442CE">
        <w:t xml:space="preserve"> </w:t>
      </w:r>
    </w:p>
    <w:p w14:paraId="537E93A5" w14:textId="5CFE5A39" w:rsidR="00864758" w:rsidRDefault="00F83CDB" w:rsidP="0042773E">
      <w:pPr>
        <w:pStyle w:val="Body"/>
      </w:pPr>
      <w:r w:rsidRPr="00027A63">
        <w:t xml:space="preserve">The current </w:t>
      </w:r>
      <w:r w:rsidR="002F503C" w:rsidRPr="00027A63">
        <w:t>Regulations</w:t>
      </w:r>
      <w:r w:rsidR="00DF0950">
        <w:rPr>
          <w:rStyle w:val="CommentReference"/>
        </w:rPr>
        <w:t xml:space="preserve">, </w:t>
      </w:r>
      <w:r w:rsidR="00DF0950">
        <w:t>as amended in 2021</w:t>
      </w:r>
      <w:r w:rsidR="00045EBF">
        <w:t>,</w:t>
      </w:r>
      <w:r w:rsidR="00F14B55">
        <w:t xml:space="preserve"> include</w:t>
      </w:r>
      <w:r w:rsidR="4FD8D06F" w:rsidRPr="00027A63">
        <w:t xml:space="preserve"> </w:t>
      </w:r>
      <w:r w:rsidR="001B75D3">
        <w:t>a range of</w:t>
      </w:r>
      <w:r w:rsidR="4FD8D06F" w:rsidRPr="00027A63">
        <w:t xml:space="preserve"> standards in staffing, equipment, vehicles and clinical governance</w:t>
      </w:r>
      <w:r w:rsidR="2F1678AA" w:rsidRPr="00027A63">
        <w:t xml:space="preserve">, </w:t>
      </w:r>
      <w:r w:rsidR="00A82234">
        <w:t>with a primary focus on improving</w:t>
      </w:r>
      <w:r w:rsidR="2F1678AA" w:rsidRPr="00027A63">
        <w:t xml:space="preserve"> </w:t>
      </w:r>
      <w:r w:rsidR="00821F7F" w:rsidRPr="00027A63">
        <w:t xml:space="preserve">outcomes </w:t>
      </w:r>
      <w:r w:rsidR="2F1678AA" w:rsidRPr="00027A63">
        <w:t>for patient safety</w:t>
      </w:r>
      <w:r w:rsidR="4FD8D06F" w:rsidRPr="00027A63">
        <w:t>.</w:t>
      </w:r>
      <w:r w:rsidR="1F3FD85B" w:rsidRPr="00027A63">
        <w:t xml:space="preserve"> </w:t>
      </w:r>
      <w:r w:rsidR="009955CF">
        <w:t xml:space="preserve">As noted above, the amendments introduced requirements in relation to </w:t>
      </w:r>
      <w:r w:rsidR="002A5E1F">
        <w:t xml:space="preserve">patient loading, </w:t>
      </w:r>
      <w:r w:rsidR="005F246F">
        <w:t xml:space="preserve">crew supervision, </w:t>
      </w:r>
      <w:r w:rsidR="002A5E1F">
        <w:t xml:space="preserve">vehicle </w:t>
      </w:r>
      <w:r w:rsidR="002F552F">
        <w:t xml:space="preserve">life limits, and occupational health and safety. </w:t>
      </w:r>
      <w:r w:rsidR="00D8100D">
        <w:t xml:space="preserve">These reforms </w:t>
      </w:r>
      <w:r w:rsidR="00D237D6">
        <w:t xml:space="preserve">are </w:t>
      </w:r>
      <w:r w:rsidR="00D8100D">
        <w:t xml:space="preserve">the </w:t>
      </w:r>
      <w:r w:rsidR="00A37BB7">
        <w:t>primary focus of th</w:t>
      </w:r>
      <w:r w:rsidR="0095006F">
        <w:t xml:space="preserve">is review for options comparison. The </w:t>
      </w:r>
      <w:r w:rsidR="00E12118">
        <w:t>2016 reforms, primarily focused on minimum crew requirements for patient acuity levels</w:t>
      </w:r>
      <w:r w:rsidR="009D3356">
        <w:t>,</w:t>
      </w:r>
      <w:r w:rsidR="00D17CFE">
        <w:t xml:space="preserve"> </w:t>
      </w:r>
      <w:proofErr w:type="gramStart"/>
      <w:r w:rsidR="009D3356">
        <w:t>are</w:t>
      </w:r>
      <w:r w:rsidR="00D17CFE">
        <w:t xml:space="preserve"> considered to be</w:t>
      </w:r>
      <w:proofErr w:type="gramEnd"/>
      <w:r w:rsidR="00D17CFE">
        <w:t xml:space="preserve"> well established in standard practice and</w:t>
      </w:r>
      <w:r w:rsidR="00064E10">
        <w:t xml:space="preserve"> would not cease </w:t>
      </w:r>
      <w:r w:rsidR="00F621DB">
        <w:t xml:space="preserve">in the absence of the regulatory requirement. </w:t>
      </w:r>
      <w:r w:rsidR="1F3FD85B" w:rsidRPr="00027A63">
        <w:t xml:space="preserve"> </w:t>
      </w:r>
      <w:r w:rsidR="009955CF">
        <w:t xml:space="preserve"> </w:t>
      </w:r>
    </w:p>
    <w:p w14:paraId="4A1EDAF5" w14:textId="2BBED105" w:rsidR="00431756" w:rsidRPr="00431756" w:rsidRDefault="00B60430" w:rsidP="00FF7AB4">
      <w:pPr>
        <w:pStyle w:val="Heading3"/>
      </w:pPr>
      <w:r>
        <w:t xml:space="preserve">Benefit criteria </w:t>
      </w:r>
      <w:r w:rsidR="00844364">
        <w:t xml:space="preserve">1 </w:t>
      </w:r>
      <w:r w:rsidR="0054569D">
        <w:t>Ensuring p</w:t>
      </w:r>
      <w:r w:rsidR="005442CE">
        <w:t>atient safety</w:t>
      </w:r>
    </w:p>
    <w:p w14:paraId="5437CD31" w14:textId="4D51DE1E" w:rsidR="0022502F" w:rsidRDefault="002B785B" w:rsidP="0022502F">
      <w:pPr>
        <w:pStyle w:val="Body"/>
      </w:pPr>
      <w:r>
        <w:t xml:space="preserve">Under this option, </w:t>
      </w:r>
      <w:r w:rsidR="00D25C66">
        <w:t xml:space="preserve">licensed </w:t>
      </w:r>
      <w:r>
        <w:t>providers would</w:t>
      </w:r>
      <w:r w:rsidR="00881EDA">
        <w:t xml:space="preserve"> continue to</w:t>
      </w:r>
      <w:r>
        <w:t xml:space="preserve"> be r</w:t>
      </w:r>
      <w:r w:rsidRPr="002B785B">
        <w:t xml:space="preserve">equired to notify the </w:t>
      </w:r>
      <w:r w:rsidR="005307A7">
        <w:t>Secretary</w:t>
      </w:r>
      <w:r w:rsidRPr="002B785B">
        <w:t xml:space="preserve"> of a </w:t>
      </w:r>
      <w:r>
        <w:t>sentinel event</w:t>
      </w:r>
      <w:r w:rsidRPr="002B785B">
        <w:t xml:space="preserve"> within </w:t>
      </w:r>
      <w:r w:rsidR="00D0275A">
        <w:t xml:space="preserve">24 </w:t>
      </w:r>
      <w:proofErr w:type="gramStart"/>
      <w:r w:rsidR="005307A7">
        <w:t>hours</w:t>
      </w:r>
      <w:r w:rsidR="003C3FA8">
        <w:t>, and</w:t>
      </w:r>
      <w:proofErr w:type="gramEnd"/>
      <w:r w:rsidR="003C3FA8">
        <w:t xml:space="preserve"> </w:t>
      </w:r>
      <w:r w:rsidR="000F7EAA" w:rsidRPr="000F7EAA">
        <w:t>provide in their annual report details of any APSE in relation to a patient while under the care of the licence holder</w:t>
      </w:r>
      <w:r w:rsidR="000F7EAA">
        <w:t>.</w:t>
      </w:r>
      <w:r w:rsidR="00EE5AF9">
        <w:t xml:space="preserve"> </w:t>
      </w:r>
      <w:r w:rsidR="008041E4">
        <w:t xml:space="preserve">Compared with the base case, this option </w:t>
      </w:r>
      <w:r w:rsidR="00EA29B8">
        <w:t>reinstates</w:t>
      </w:r>
      <w:r w:rsidR="00576696" w:rsidRPr="00576696">
        <w:t xml:space="preserve"> clear </w:t>
      </w:r>
      <w:r w:rsidR="0033282B">
        <w:t xml:space="preserve">and enforceable </w:t>
      </w:r>
      <w:r w:rsidR="00576696" w:rsidRPr="00576696">
        <w:t>obligations for</w:t>
      </w:r>
      <w:r w:rsidR="009E62B9">
        <w:t xml:space="preserve"> timely</w:t>
      </w:r>
      <w:r w:rsidR="00576696" w:rsidRPr="00576696">
        <w:t xml:space="preserve"> sentinel-event reporting</w:t>
      </w:r>
      <w:r w:rsidR="001D42C7">
        <w:t xml:space="preserve"> for </w:t>
      </w:r>
      <w:r w:rsidR="001D42C7" w:rsidRPr="00576696">
        <w:t>the most</w:t>
      </w:r>
      <w:r w:rsidR="001D42C7">
        <w:t xml:space="preserve"> serious</w:t>
      </w:r>
      <w:r w:rsidR="001D42C7" w:rsidRPr="00576696">
        <w:t xml:space="preserve"> </w:t>
      </w:r>
      <w:r w:rsidR="001D42C7">
        <w:t xml:space="preserve">APSEs </w:t>
      </w:r>
      <w:r w:rsidR="001D42C7" w:rsidRPr="00D0403D">
        <w:t>(typically involving death or serious preventable harm)</w:t>
      </w:r>
      <w:r w:rsidR="009E62B9">
        <w:t xml:space="preserve">, and </w:t>
      </w:r>
      <w:r w:rsidR="00EE5AF9">
        <w:t>annual</w:t>
      </w:r>
      <w:r w:rsidR="009E62B9">
        <w:t xml:space="preserve"> reporting of other APSEs</w:t>
      </w:r>
      <w:r w:rsidR="001D42C7">
        <w:t xml:space="preserve">. This ensures the Health </w:t>
      </w:r>
      <w:r w:rsidR="00692B77">
        <w:t>Regulator</w:t>
      </w:r>
      <w:r w:rsidR="001D42C7">
        <w:t xml:space="preserve"> </w:t>
      </w:r>
      <w:r w:rsidR="00DB37BD">
        <w:t>r</w:t>
      </w:r>
      <w:r w:rsidR="00DB37BD" w:rsidRPr="00DB37BD">
        <w:t>eceives timely intelligence</w:t>
      </w:r>
      <w:r w:rsidR="000479EF">
        <w:t xml:space="preserve"> on sentinel events</w:t>
      </w:r>
      <w:r w:rsidR="00DB37BD" w:rsidRPr="00DB37BD">
        <w:t xml:space="preserve"> to investigate</w:t>
      </w:r>
      <w:r w:rsidR="0052162C">
        <w:t xml:space="preserve"> these</w:t>
      </w:r>
      <w:r w:rsidR="00DB37BD" w:rsidRPr="00DB37BD">
        <w:t xml:space="preserve"> incidents</w:t>
      </w:r>
      <w:r w:rsidR="00277CBD">
        <w:t xml:space="preserve"> and address potential </w:t>
      </w:r>
      <w:r w:rsidR="00B5445D">
        <w:t>non-compliance</w:t>
      </w:r>
      <w:r w:rsidR="00DB37BD" w:rsidRPr="00DB37BD">
        <w:t>,</w:t>
      </w:r>
      <w:r w:rsidR="00822897">
        <w:t xml:space="preserve"> </w:t>
      </w:r>
      <w:r w:rsidR="00683B70">
        <w:t xml:space="preserve">and </w:t>
      </w:r>
      <w:r w:rsidR="00683B70" w:rsidRPr="00683B70">
        <w:t>annual data on broader safety performance</w:t>
      </w:r>
      <w:r w:rsidR="00B5445D">
        <w:t xml:space="preserve"> </w:t>
      </w:r>
      <w:r w:rsidR="00822897">
        <w:t xml:space="preserve">to </w:t>
      </w:r>
      <w:r w:rsidR="00DB37BD" w:rsidRPr="00DB37BD">
        <w:t>identify systemic issues.</w:t>
      </w:r>
    </w:p>
    <w:p w14:paraId="6B17E60A" w14:textId="1540CA2D" w:rsidR="005405D8" w:rsidRDefault="001833BC" w:rsidP="0022502F">
      <w:pPr>
        <w:pStyle w:val="Body"/>
      </w:pPr>
      <w:r w:rsidRPr="001833BC">
        <w:t>This option also requires the COC to review each sentinel event</w:t>
      </w:r>
      <w:r w:rsidR="00CC5A3E">
        <w:t xml:space="preserve">, </w:t>
      </w:r>
      <w:r w:rsidR="00CC5A3E" w:rsidRPr="00CC5A3E">
        <w:t>preserving clear accountability for clinical oversight relative to the base case</w:t>
      </w:r>
      <w:r w:rsidR="0047398A">
        <w:t xml:space="preserve">. It enables </w:t>
      </w:r>
      <w:r w:rsidRPr="001833BC">
        <w:t xml:space="preserve">the Health Regulator to obtain assurance that </w:t>
      </w:r>
      <w:r w:rsidR="00D916E4">
        <w:t>sentinel</w:t>
      </w:r>
      <w:r w:rsidRPr="001833BC">
        <w:t xml:space="preserve"> events are reported and reviewed in a manner consistent with </w:t>
      </w:r>
      <w:r w:rsidR="00ED3C0E">
        <w:t>Safe Care Victoria</w:t>
      </w:r>
      <w:r w:rsidR="005F112D">
        <w:t>’s</w:t>
      </w:r>
      <w:r w:rsidRPr="001833BC">
        <w:t xml:space="preserve"> sentinel-event program and guidance</w:t>
      </w:r>
      <w:r w:rsidR="003550F1">
        <w:t>, where relevant</w:t>
      </w:r>
      <w:r w:rsidRPr="001833BC">
        <w:t xml:space="preserve">. This option also </w:t>
      </w:r>
      <w:r w:rsidR="00A872F4">
        <w:t xml:space="preserve">prescribes </w:t>
      </w:r>
      <w:r w:rsidR="00A872F4" w:rsidRPr="00A872F4">
        <w:t>minimum composition requirements for the COC</w:t>
      </w:r>
      <w:r w:rsidR="006F51F3">
        <w:t xml:space="preserve">, </w:t>
      </w:r>
      <w:r w:rsidR="00866419">
        <w:t>to facilitate a</w:t>
      </w:r>
      <w:r w:rsidRPr="001833BC">
        <w:t xml:space="preserve"> multidisciplinary</w:t>
      </w:r>
      <w:r w:rsidR="005D02BA">
        <w:t xml:space="preserve"> mix of leadership and </w:t>
      </w:r>
      <w:r w:rsidR="009426EB">
        <w:t>patient</w:t>
      </w:r>
      <w:r w:rsidR="001A188A">
        <w:t>-</w:t>
      </w:r>
      <w:r w:rsidR="009426EB">
        <w:t>care expertise</w:t>
      </w:r>
      <w:r w:rsidR="00E20E06">
        <w:t xml:space="preserve"> that </w:t>
      </w:r>
      <w:r w:rsidR="00575603">
        <w:t xml:space="preserve">would be </w:t>
      </w:r>
      <w:r w:rsidR="004A45BC">
        <w:t>well placed</w:t>
      </w:r>
      <w:r w:rsidR="005C42EE">
        <w:t xml:space="preserve"> </w:t>
      </w:r>
      <w:r w:rsidR="00740490">
        <w:t xml:space="preserve">to conduct </w:t>
      </w:r>
      <w:r w:rsidR="00C338BA">
        <w:t>system</w:t>
      </w:r>
      <w:r w:rsidR="00192BF5">
        <w:t>s</w:t>
      </w:r>
      <w:r w:rsidR="00C338BA">
        <w:t>-based review</w:t>
      </w:r>
      <w:r w:rsidR="00192BF5">
        <w:t>s</w:t>
      </w:r>
      <w:r w:rsidR="00C338BA">
        <w:t>.</w:t>
      </w:r>
      <w:r w:rsidR="009F5AE7">
        <w:t xml:space="preserve"> </w:t>
      </w:r>
    </w:p>
    <w:p w14:paraId="139D9DAE" w14:textId="15931D42" w:rsidR="000E3381" w:rsidRDefault="00D57BEC" w:rsidP="005B053A">
      <w:pPr>
        <w:pStyle w:val="Body"/>
      </w:pPr>
      <w:r w:rsidRPr="00D57BEC">
        <w:lastRenderedPageBreak/>
        <w:t xml:space="preserve">Although sentinel events in NEPT are rare, they are critical indicators of safe service provision and a valuable source of clinical and regulatory learning. Their low frequency can limit organisational familiarity with review policies and practice. </w:t>
      </w:r>
      <w:r w:rsidR="000E3381">
        <w:t xml:space="preserve">The </w:t>
      </w:r>
      <w:r w:rsidR="000B6785">
        <w:t xml:space="preserve">Regulations </w:t>
      </w:r>
      <w:r w:rsidR="00234766">
        <w:t xml:space="preserve">also </w:t>
      </w:r>
      <w:r w:rsidR="003F6ED1">
        <w:t xml:space="preserve">contain </w:t>
      </w:r>
      <w:proofErr w:type="gramStart"/>
      <w:r w:rsidR="003F6ED1">
        <w:t>a number of</w:t>
      </w:r>
      <w:proofErr w:type="gramEnd"/>
      <w:r w:rsidR="003F6ED1">
        <w:t xml:space="preserve"> other safety </w:t>
      </w:r>
      <w:r w:rsidR="00400547">
        <w:t xml:space="preserve">related </w:t>
      </w:r>
      <w:r w:rsidR="00B05E59">
        <w:t xml:space="preserve">requirements that could deteriorate over time in the absence of a regulatory requirement such as </w:t>
      </w:r>
      <w:r w:rsidR="00B144E8">
        <w:t xml:space="preserve">levels of clinical advice obtained prior to transport, appropriate skills maintenance training </w:t>
      </w:r>
      <w:r w:rsidR="005E0778">
        <w:t xml:space="preserve">delivered by providers to staff, </w:t>
      </w:r>
      <w:r w:rsidR="006B00A7">
        <w:t xml:space="preserve">and </w:t>
      </w:r>
      <w:r w:rsidR="001540B2">
        <w:t xml:space="preserve">the quality of clinical governance. </w:t>
      </w:r>
    </w:p>
    <w:p w14:paraId="3781816B" w14:textId="4A6A7C84" w:rsidR="00D57BEC" w:rsidRDefault="008F0E7E" w:rsidP="005B053A">
      <w:pPr>
        <w:pStyle w:val="Body"/>
      </w:pPr>
      <w:r w:rsidRPr="008F0E7E">
        <w:t>Relative to the base case, Option 1 strengthens assurance of patient safety by requiring clear notification processes to the Health Regulator, enabling more consistent and timely investigations</w:t>
      </w:r>
      <w:r w:rsidR="0062730F">
        <w:t xml:space="preserve"> and actions</w:t>
      </w:r>
      <w:r w:rsidRPr="008F0E7E">
        <w:t xml:space="preserve"> when sentinel events occur</w:t>
      </w:r>
      <w:r w:rsidR="00D11A20">
        <w:t xml:space="preserve"> and ensures </w:t>
      </w:r>
      <w:r w:rsidR="0063110D">
        <w:t xml:space="preserve">providers appropriately train staff and have expert oversight over </w:t>
      </w:r>
      <w:r w:rsidR="004438C9">
        <w:t>their operations</w:t>
      </w:r>
      <w:r w:rsidRPr="008F0E7E">
        <w:t>.</w:t>
      </w:r>
      <w:r w:rsidR="00AD2AC1">
        <w:t xml:space="preserve"> </w:t>
      </w:r>
      <w:r w:rsidR="005A2BD0">
        <w:t>In the absence of specific regulatory requirements</w:t>
      </w:r>
      <w:r w:rsidR="00C518A3">
        <w:t>,</w:t>
      </w:r>
      <w:r w:rsidR="005A2BD0">
        <w:t xml:space="preserve"> th</w:t>
      </w:r>
      <w:r w:rsidR="004438C9">
        <w:t xml:space="preserve">ese </w:t>
      </w:r>
      <w:r w:rsidR="005A2BD0">
        <w:t xml:space="preserve">and the other </w:t>
      </w:r>
      <w:r w:rsidR="00E9513D">
        <w:t xml:space="preserve">safety features of the Regulations </w:t>
      </w:r>
      <w:r w:rsidR="00685399">
        <w:t xml:space="preserve">would need to be otherwise included in </w:t>
      </w:r>
      <w:r w:rsidR="00AD2AC1" w:rsidRPr="009F5AE7">
        <w:t xml:space="preserve">contracting and accreditation </w:t>
      </w:r>
      <w:r w:rsidR="00CA27CC">
        <w:t xml:space="preserve">requirements </w:t>
      </w:r>
      <w:r w:rsidR="00685399">
        <w:t>to</w:t>
      </w:r>
      <w:r w:rsidR="00AD2AC1" w:rsidRPr="009F5AE7">
        <w:t xml:space="preserve"> prompt investigation of </w:t>
      </w:r>
      <w:r w:rsidR="00CA27CC">
        <w:t xml:space="preserve">safety </w:t>
      </w:r>
      <w:r w:rsidR="00685399">
        <w:t>issues.</w:t>
      </w:r>
    </w:p>
    <w:p w14:paraId="7885D55A" w14:textId="1EAEBC3A" w:rsidR="00D324FF" w:rsidRPr="009B1250" w:rsidRDefault="00346A98" w:rsidP="00FF7AB4">
      <w:pPr>
        <w:pStyle w:val="Heading4"/>
      </w:pPr>
      <w:r>
        <w:t xml:space="preserve">Impact assessment </w:t>
      </w:r>
    </w:p>
    <w:p w14:paraId="4156C6AC" w14:textId="32557CE7" w:rsidR="00D324FF" w:rsidRDefault="00D324FF" w:rsidP="00D324FF">
      <w:pPr>
        <w:pStyle w:val="Body"/>
      </w:pPr>
      <w:r w:rsidRPr="00DB2302">
        <w:t xml:space="preserve">Under </w:t>
      </w:r>
      <w:r>
        <w:t>O</w:t>
      </w:r>
      <w:r w:rsidRPr="00DB2302">
        <w:t>ption 1, representing</w:t>
      </w:r>
      <w:r w:rsidRPr="00DB2302" w:rsidDel="005D242B">
        <w:t xml:space="preserve"> </w:t>
      </w:r>
      <w:r w:rsidR="005D242B">
        <w:t>a remaking of the</w:t>
      </w:r>
      <w:r w:rsidR="005D242B" w:rsidRPr="00DB2302">
        <w:t xml:space="preserve"> </w:t>
      </w:r>
      <w:r w:rsidRPr="00DB2302">
        <w:t>existing Regulations</w:t>
      </w:r>
      <w:r>
        <w:t xml:space="preserve">, </w:t>
      </w:r>
      <w:r w:rsidRPr="004E00EE">
        <w:t>providers maintain policies, procedures and readiness for 24-hour sentinel-event notification and COC review.</w:t>
      </w:r>
      <w:r>
        <w:t xml:space="preserve"> </w:t>
      </w:r>
      <w:r w:rsidRPr="00A43FC8">
        <w:t>Because sentinel events are rare in NEPT and most providers already operate</w:t>
      </w:r>
      <w:r>
        <w:t xml:space="preserve"> critical-</w:t>
      </w:r>
      <w:r w:rsidRPr="00A43FC8">
        <w:t>incident</w:t>
      </w:r>
      <w:r>
        <w:t xml:space="preserve"> </w:t>
      </w:r>
      <w:r w:rsidRPr="00A43FC8">
        <w:t>management systems aligned to broader health-system practice</w:t>
      </w:r>
      <w:r>
        <w:t xml:space="preserve"> (e.g., Q</w:t>
      </w:r>
      <w:r w:rsidR="00CF1B90">
        <w:t xml:space="preserve">uality </w:t>
      </w:r>
      <w:r>
        <w:t>A</w:t>
      </w:r>
      <w:r w:rsidR="00CF1B90">
        <w:t xml:space="preserve">ssurance </w:t>
      </w:r>
      <w:r>
        <w:t>P</w:t>
      </w:r>
      <w:r w:rsidR="00CF1B90">
        <w:t>lan</w:t>
      </w:r>
      <w:r>
        <w:t xml:space="preserve"> obligations)</w:t>
      </w:r>
      <w:r w:rsidRPr="00A43FC8">
        <w:t xml:space="preserve">, </w:t>
      </w:r>
      <w:r w:rsidRPr="002F433D">
        <w:t xml:space="preserve">the absence of </w:t>
      </w:r>
      <w:r>
        <w:t>Regulations</w:t>
      </w:r>
      <w:r w:rsidR="00682AA1">
        <w:t xml:space="preserve"> </w:t>
      </w:r>
      <w:r w:rsidR="00032647">
        <w:t>would mean that</w:t>
      </w:r>
      <w:r w:rsidRPr="002F433D">
        <w:t xml:space="preserve"> contracting and accreditation settings would </w:t>
      </w:r>
      <w:r w:rsidR="00C06847">
        <w:t xml:space="preserve">need to </w:t>
      </w:r>
      <w:r w:rsidRPr="002F433D">
        <w:t xml:space="preserve">be </w:t>
      </w:r>
      <w:r w:rsidR="00975DAC">
        <w:t xml:space="preserve">adjusted to </w:t>
      </w:r>
      <w:r w:rsidRPr="002F433D">
        <w:t>prompt investigation of sentinel-type events</w:t>
      </w:r>
      <w:r w:rsidR="00270119">
        <w:t>, and</w:t>
      </w:r>
      <w:r w:rsidRPr="002F433D">
        <w:t xml:space="preserve"> the lack of </w:t>
      </w:r>
      <w:r>
        <w:t xml:space="preserve">an express </w:t>
      </w:r>
      <w:r w:rsidRPr="002F433D">
        <w:t xml:space="preserve">regulatory </w:t>
      </w:r>
      <w:r>
        <w:t>requirement</w:t>
      </w:r>
      <w:r w:rsidRPr="002F433D">
        <w:t xml:space="preserve"> </w:t>
      </w:r>
      <w:r w:rsidR="00975DAC">
        <w:t xml:space="preserve">would </w:t>
      </w:r>
      <w:r w:rsidRPr="002F433D">
        <w:t xml:space="preserve">reduce consistency, timeliness </w:t>
      </w:r>
      <w:r w:rsidR="00270119">
        <w:t xml:space="preserve">of reporting and actions taken </w:t>
      </w:r>
      <w:r w:rsidR="00073DD3">
        <w:t xml:space="preserve">in response to events. </w:t>
      </w:r>
      <w:r w:rsidR="001361CE">
        <w:t>Additionally, t</w:t>
      </w:r>
      <w:r w:rsidR="001361CE" w:rsidRPr="00A837A4">
        <w:t xml:space="preserve">he Health Regulator </w:t>
      </w:r>
      <w:r w:rsidR="001361CE">
        <w:t>has observed</w:t>
      </w:r>
      <w:r w:rsidR="001361CE" w:rsidRPr="00A837A4">
        <w:t xml:space="preserve"> occasional misclassification of incidents against ISR categories; </w:t>
      </w:r>
      <w:r w:rsidR="001361CE">
        <w:t>therefore</w:t>
      </w:r>
      <w:r w:rsidR="001361CE" w:rsidRPr="00A837A4">
        <w:t>, relying only on</w:t>
      </w:r>
      <w:r w:rsidR="001361CE">
        <w:t xml:space="preserve"> review of</w:t>
      </w:r>
      <w:r w:rsidR="001361CE" w:rsidRPr="00A837A4">
        <w:t xml:space="preserve"> sentinel events or SAPSEs may not capture all events indicative of systemic risk</w:t>
      </w:r>
      <w:r w:rsidR="00653727">
        <w:t xml:space="preserve">. </w:t>
      </w:r>
      <w:r w:rsidR="00073DD3">
        <w:t>There would also be limited</w:t>
      </w:r>
      <w:r w:rsidRPr="002F433D">
        <w:t xml:space="preserve"> enforceability</w:t>
      </w:r>
      <w:r w:rsidR="00073DD3">
        <w:t xml:space="preserve"> </w:t>
      </w:r>
      <w:r w:rsidR="00A90AE8">
        <w:t xml:space="preserve">by the </w:t>
      </w:r>
      <w:r w:rsidR="00EE7FCA">
        <w:t>Health R</w:t>
      </w:r>
      <w:r w:rsidR="00A90AE8">
        <w:t xml:space="preserve">egulator </w:t>
      </w:r>
      <w:r w:rsidR="004802A4">
        <w:t>without these requirements</w:t>
      </w:r>
      <w:r w:rsidRPr="002F433D">
        <w:t xml:space="preserve">. </w:t>
      </w:r>
    </w:p>
    <w:p w14:paraId="6B80D656" w14:textId="759B58E5" w:rsidR="00F62E80" w:rsidRDefault="00824DE9" w:rsidP="00D324FF">
      <w:pPr>
        <w:pStyle w:val="Body"/>
      </w:pPr>
      <w:r>
        <w:t>Staff training, oversight of appropriate</w:t>
      </w:r>
      <w:r w:rsidR="00DB3AF4">
        <w:t xml:space="preserve"> transportation of patients by acuity level, and overall clinical oversight would be limited to </w:t>
      </w:r>
      <w:r w:rsidR="00253336">
        <w:t xml:space="preserve">requirements placed in contracts and </w:t>
      </w:r>
      <w:r w:rsidR="000F40B7">
        <w:t>regulatory</w:t>
      </w:r>
      <w:r w:rsidR="00253336">
        <w:t xml:space="preserve"> oversight would be limited </w:t>
      </w:r>
      <w:r w:rsidR="000F40B7">
        <w:t xml:space="preserve">and less timely. </w:t>
      </w:r>
      <w:r w:rsidR="00637F08" w:rsidRPr="00297493">
        <w:t>Overall</w:t>
      </w:r>
      <w:r w:rsidR="002B4DAE" w:rsidRPr="00297493">
        <w:t xml:space="preserve">, this option </w:t>
      </w:r>
      <w:r w:rsidR="000E072F" w:rsidRPr="00297493">
        <w:t xml:space="preserve">provides </w:t>
      </w:r>
      <w:proofErr w:type="gramStart"/>
      <w:r w:rsidR="000E072F" w:rsidRPr="00297493">
        <w:t>a number of</w:t>
      </w:r>
      <w:proofErr w:type="gramEnd"/>
      <w:r w:rsidR="000E072F" w:rsidRPr="00297493">
        <w:t xml:space="preserve"> safeguards against </w:t>
      </w:r>
      <w:r w:rsidR="003115BA" w:rsidRPr="00297493">
        <w:t xml:space="preserve">risks to patient safety that would </w:t>
      </w:r>
      <w:r w:rsidR="00D15189" w:rsidRPr="00297493">
        <w:t xml:space="preserve">either be </w:t>
      </w:r>
      <w:r w:rsidR="004802A4">
        <w:t xml:space="preserve">entirely </w:t>
      </w:r>
      <w:r w:rsidR="00D15189" w:rsidRPr="00297493">
        <w:t xml:space="preserve">absent </w:t>
      </w:r>
      <w:r w:rsidR="00975DAC">
        <w:t xml:space="preserve">in some cases, </w:t>
      </w:r>
      <w:r w:rsidR="00D15189" w:rsidRPr="00297493">
        <w:t xml:space="preserve">or less effective in the absence of specific </w:t>
      </w:r>
      <w:r w:rsidR="00464AA7" w:rsidRPr="00297493">
        <w:t>safety focussed regulations</w:t>
      </w:r>
      <w:r w:rsidR="008046F9">
        <w:t xml:space="preserve"> that can be overseen and enforced in a timely manner</w:t>
      </w:r>
      <w:r w:rsidR="00464AA7" w:rsidRPr="00297493">
        <w:t xml:space="preserve">. </w:t>
      </w:r>
      <w:r w:rsidR="0014414B">
        <w:t xml:space="preserve">As such Option </w:t>
      </w:r>
      <w:r w:rsidR="00EF60A9">
        <w:t>1 is</w:t>
      </w:r>
      <w:r w:rsidR="0014414B">
        <w:t xml:space="preserve"> considered significantly superior to the base case. </w:t>
      </w:r>
    </w:p>
    <w:p w14:paraId="2366D1DA" w14:textId="1E255EF6" w:rsidR="00536613" w:rsidRPr="00CB094C" w:rsidRDefault="00F62E80" w:rsidP="005B053A">
      <w:pPr>
        <w:pStyle w:val="Body"/>
        <w:rPr>
          <w:b/>
        </w:rPr>
      </w:pPr>
      <w:r w:rsidRPr="00CB094C">
        <w:rPr>
          <w:b/>
        </w:rPr>
        <w:t xml:space="preserve">This option </w:t>
      </w:r>
      <w:r w:rsidR="00B01166" w:rsidRPr="00CB094C">
        <w:rPr>
          <w:b/>
        </w:rPr>
        <w:t xml:space="preserve">receives a score of </w:t>
      </w:r>
      <w:r w:rsidR="00654168" w:rsidRPr="00CB094C">
        <w:rPr>
          <w:b/>
        </w:rPr>
        <w:t>+</w:t>
      </w:r>
      <w:r w:rsidR="00975DAC" w:rsidRPr="00CB094C">
        <w:rPr>
          <w:b/>
        </w:rPr>
        <w:t>4</w:t>
      </w:r>
      <w:r w:rsidR="00654168" w:rsidRPr="00CB094C">
        <w:rPr>
          <w:b/>
        </w:rPr>
        <w:t xml:space="preserve"> </w:t>
      </w:r>
      <w:r w:rsidR="00A957A0" w:rsidRPr="00CB094C">
        <w:rPr>
          <w:b/>
        </w:rPr>
        <w:t>relative</w:t>
      </w:r>
      <w:r w:rsidR="00654168" w:rsidRPr="00CB094C">
        <w:rPr>
          <w:b/>
        </w:rPr>
        <w:t xml:space="preserve"> to the base case</w:t>
      </w:r>
      <w:r w:rsidR="001B005A">
        <w:rPr>
          <w:b/>
          <w:bCs/>
        </w:rPr>
        <w:t>.</w:t>
      </w:r>
      <w:r w:rsidR="00654168" w:rsidRPr="00CB094C">
        <w:rPr>
          <w:b/>
        </w:rPr>
        <w:t xml:space="preserve"> </w:t>
      </w:r>
    </w:p>
    <w:p w14:paraId="07C85721" w14:textId="099E6D94" w:rsidR="0054569D" w:rsidRDefault="00160034" w:rsidP="00FF7AB4">
      <w:pPr>
        <w:pStyle w:val="Heading3"/>
      </w:pPr>
      <w:r>
        <w:t xml:space="preserve">Benefit criteria 2 </w:t>
      </w:r>
      <w:r w:rsidR="00134211">
        <w:t xml:space="preserve">Supporting </w:t>
      </w:r>
      <w:r w:rsidR="0054569D">
        <w:t>the NEPT system</w:t>
      </w:r>
    </w:p>
    <w:p w14:paraId="00141C13" w14:textId="7177C84D" w:rsidR="00A61E06" w:rsidRDefault="00E85BA0" w:rsidP="0022502F">
      <w:pPr>
        <w:pStyle w:val="Body"/>
      </w:pPr>
      <w:r>
        <w:t>O</w:t>
      </w:r>
      <w:r w:rsidR="00075B73" w:rsidRPr="00075B73">
        <w:t xml:space="preserve">ption </w:t>
      </w:r>
      <w:r>
        <w:t>1</w:t>
      </w:r>
      <w:r w:rsidR="007E4D14">
        <w:t>, represen</w:t>
      </w:r>
      <w:r w:rsidR="00347CFF">
        <w:t xml:space="preserve">ting the status quo, places a range of restrictions on </w:t>
      </w:r>
      <w:r w:rsidR="001358D1">
        <w:t>the provision of NEPT services</w:t>
      </w:r>
      <w:r w:rsidR="00007882">
        <w:t xml:space="preserve"> </w:t>
      </w:r>
      <w:r w:rsidR="00D023CA">
        <w:t>aimed at</w:t>
      </w:r>
      <w:r w:rsidR="00A33C77">
        <w:t xml:space="preserve"> </w:t>
      </w:r>
      <w:r w:rsidR="00F95A6C">
        <w:t>ensuring the</w:t>
      </w:r>
      <w:r w:rsidR="002B1521">
        <w:t xml:space="preserve"> safety</w:t>
      </w:r>
      <w:r w:rsidR="00EF0705">
        <w:t xml:space="preserve"> of </w:t>
      </w:r>
      <w:r w:rsidR="00554842">
        <w:t xml:space="preserve">patients and crew members. </w:t>
      </w:r>
      <w:r w:rsidR="00DB65FB">
        <w:t xml:space="preserve">One significant </w:t>
      </w:r>
      <w:r w:rsidR="00D43027">
        <w:t>restriction, introduced in 2021</w:t>
      </w:r>
      <w:r w:rsidR="00294D61">
        <w:t xml:space="preserve">, was the </w:t>
      </w:r>
      <w:r w:rsidR="002E152D">
        <w:t>inclusion</w:t>
      </w:r>
      <w:r w:rsidR="00294D61">
        <w:t xml:space="preserve"> of</w:t>
      </w:r>
      <w:r w:rsidR="00075B73" w:rsidRPr="00075B73">
        <w:t xml:space="preserve"> a mileage limit of 400,000 km for vehicles, with an exemption pathway to operate up to 600,000 km, provided the Secretary is satisfied the vehicle is safe. </w:t>
      </w:r>
      <w:r w:rsidR="00DF69D0">
        <w:t xml:space="preserve">Compared with the base case, this </w:t>
      </w:r>
      <w:r w:rsidR="00C44375">
        <w:t xml:space="preserve">restriction </w:t>
      </w:r>
      <w:r w:rsidR="00DF69F2">
        <w:t xml:space="preserve">means that </w:t>
      </w:r>
      <w:r w:rsidR="00884FDF">
        <w:t>vehicle</w:t>
      </w:r>
      <w:r w:rsidR="000C6629">
        <w:t xml:space="preserve">s need to be </w:t>
      </w:r>
      <w:r w:rsidR="00EC0005">
        <w:t>turned over at a higher rate</w:t>
      </w:r>
      <w:r w:rsidR="00A82F3C">
        <w:t>, increasing costs</w:t>
      </w:r>
      <w:r w:rsidR="00B600F1">
        <w:t xml:space="preserve">. </w:t>
      </w:r>
      <w:r w:rsidR="00F20F10">
        <w:t xml:space="preserve">The </w:t>
      </w:r>
      <w:r w:rsidR="00D244D7">
        <w:t>aim</w:t>
      </w:r>
      <w:r w:rsidR="009B581D">
        <w:t xml:space="preserve"> </w:t>
      </w:r>
      <w:r w:rsidR="00F20F10">
        <w:t>of this</w:t>
      </w:r>
      <w:r w:rsidR="00411F13">
        <w:t xml:space="preserve"> </w:t>
      </w:r>
      <w:r w:rsidR="00C23424">
        <w:t>regulation was to</w:t>
      </w:r>
      <w:r w:rsidR="00D244D7">
        <w:t xml:space="preserve"> </w:t>
      </w:r>
      <w:r w:rsidR="00037EFC">
        <w:t xml:space="preserve">reduce risks from </w:t>
      </w:r>
      <w:r w:rsidR="008A2317">
        <w:t xml:space="preserve">older vehicles </w:t>
      </w:r>
      <w:r w:rsidR="00970C8C">
        <w:t xml:space="preserve">that are not properly maintained </w:t>
      </w:r>
      <w:r w:rsidR="008A2317">
        <w:t>being used to transport patients</w:t>
      </w:r>
      <w:r w:rsidR="00C23424">
        <w:t>.</w:t>
      </w:r>
      <w:r w:rsidR="00970EDA">
        <w:t xml:space="preserve"> However, th</w:t>
      </w:r>
      <w:r w:rsidR="001739B7">
        <w:t>e mileage limit</w:t>
      </w:r>
      <w:r w:rsidR="00A2181D">
        <w:t>’s impact is uneven</w:t>
      </w:r>
      <w:r w:rsidR="00781E3F">
        <w:t xml:space="preserve"> across providers</w:t>
      </w:r>
      <w:r w:rsidR="00346027">
        <w:t>, with regional providers taking much longer ro</w:t>
      </w:r>
      <w:r w:rsidR="00D56B6C">
        <w:t xml:space="preserve">und trips than </w:t>
      </w:r>
      <w:r w:rsidR="004D45C2">
        <w:t>metropolitan NEPT providers</w:t>
      </w:r>
      <w:r w:rsidR="008F65D8">
        <w:t xml:space="preserve">, with some </w:t>
      </w:r>
      <w:r w:rsidR="005D4550">
        <w:t>vehicles requiring replacement in as little as 4 years when reaching the mileage limit</w:t>
      </w:r>
      <w:r w:rsidR="009E0515">
        <w:t>.</w:t>
      </w:r>
      <w:r w:rsidR="000F0DF3">
        <w:t xml:space="preserve"> </w:t>
      </w:r>
      <w:r w:rsidR="00970C8C">
        <w:t xml:space="preserve"> </w:t>
      </w:r>
    </w:p>
    <w:p w14:paraId="0B117915" w14:textId="5D252224" w:rsidR="00326B81" w:rsidRDefault="00392F44" w:rsidP="0022502F">
      <w:pPr>
        <w:pStyle w:val="Body"/>
      </w:pPr>
      <w:r w:rsidRPr="00392F44">
        <w:t xml:space="preserve">This option would also retain the </w:t>
      </w:r>
      <w:r w:rsidR="002F17FD">
        <w:t>restriction of</w:t>
      </w:r>
      <w:r w:rsidR="0005670B">
        <w:t xml:space="preserve"> </w:t>
      </w:r>
      <w:r w:rsidR="002F17FD">
        <w:t xml:space="preserve">only </w:t>
      </w:r>
      <w:r w:rsidRPr="00392F44">
        <w:t>double-load</w:t>
      </w:r>
      <w:r w:rsidR="002F17FD">
        <w:t>ing</w:t>
      </w:r>
      <w:r w:rsidRPr="00392F44">
        <w:t xml:space="preserve"> two </w:t>
      </w:r>
      <w:r w:rsidR="00407208">
        <w:t>l</w:t>
      </w:r>
      <w:r w:rsidR="00407208" w:rsidRPr="00392F44">
        <w:t xml:space="preserve">ow-acuity </w:t>
      </w:r>
      <w:r w:rsidRPr="00392F44">
        <w:t>patients for aeromedical transports. Relative to the base case,</w:t>
      </w:r>
      <w:r w:rsidR="00C512B0">
        <w:t xml:space="preserve"> this option </w:t>
      </w:r>
      <w:r w:rsidR="0048540D">
        <w:t>regulates</w:t>
      </w:r>
      <w:r w:rsidR="00C512B0">
        <w:t xml:space="preserve"> strict patient limits in </w:t>
      </w:r>
      <w:r w:rsidR="00FB05D7">
        <w:t xml:space="preserve">aircraft transfers that </w:t>
      </w:r>
      <w:r w:rsidR="007576E8">
        <w:t xml:space="preserve">are aligned to the </w:t>
      </w:r>
      <w:r w:rsidR="0048540D">
        <w:t xml:space="preserve">lowest </w:t>
      </w:r>
      <w:r w:rsidR="007576E8">
        <w:t xml:space="preserve">risk profile of patients. </w:t>
      </w:r>
      <w:r w:rsidR="00296D16" w:rsidRPr="00296D16">
        <w:t xml:space="preserve">In addition, the Regulations provide </w:t>
      </w:r>
      <w:r w:rsidR="00296D16" w:rsidRPr="00296D16">
        <w:lastRenderedPageBreak/>
        <w:t>safeguards</w:t>
      </w:r>
      <w:r w:rsidR="00296D16">
        <w:t xml:space="preserve"> </w:t>
      </w:r>
      <w:r w:rsidR="00296D16" w:rsidRPr="00296D16">
        <w:t xml:space="preserve">restricting </w:t>
      </w:r>
      <w:r w:rsidR="00020EA1">
        <w:t>multi</w:t>
      </w:r>
      <w:r w:rsidR="00296D16" w:rsidRPr="00296D16">
        <w:t xml:space="preserve">-loading </w:t>
      </w:r>
      <w:r w:rsidR="00C925A2">
        <w:t xml:space="preserve">of patients </w:t>
      </w:r>
      <w:r w:rsidR="00296D16" w:rsidRPr="00296D16">
        <w:t>where it would risk safety, infection transmission, privacy and dignity, or impede clinical access to either patient (regulation 15)</w:t>
      </w:r>
      <w:r w:rsidR="00C925A2">
        <w:t>.</w:t>
      </w:r>
    </w:p>
    <w:p w14:paraId="271D372B" w14:textId="5D31FA97" w:rsidR="00C11EB3" w:rsidRDefault="00346A98" w:rsidP="00FF7AB4">
      <w:pPr>
        <w:pStyle w:val="Heading4"/>
      </w:pPr>
      <w:r>
        <w:t>Impact assessment</w:t>
      </w:r>
      <w:r w:rsidR="00D324FF">
        <w:t xml:space="preserve"> </w:t>
      </w:r>
    </w:p>
    <w:p w14:paraId="26DA3681" w14:textId="4BB0F57A" w:rsidR="00C11EB3" w:rsidRDefault="00C11EB3" w:rsidP="00C11EB3">
      <w:pPr>
        <w:pStyle w:val="Body"/>
      </w:pPr>
      <w:r w:rsidRPr="000F4400">
        <w:t>This option retains a 400,000 km mileage cap for vehicles and allows operation up to 600,000 km by exemption where the Secretary is satisfied the vehicle remains safe. Compared with the base case,</w:t>
      </w:r>
      <w:r>
        <w:t xml:space="preserve"> this option</w:t>
      </w:r>
      <w:r w:rsidR="00FF5D33">
        <w:t xml:space="preserve"> </w:t>
      </w:r>
      <w:r w:rsidR="000F50DE">
        <w:t>acts to restrict the use of older vehicles</w:t>
      </w:r>
      <w:r w:rsidR="00305D42">
        <w:t xml:space="preserve">, increasing replacement costs for operators. </w:t>
      </w:r>
      <w:r w:rsidR="00033EAB">
        <w:t xml:space="preserve">This </w:t>
      </w:r>
      <w:r w:rsidR="008A659D">
        <w:t xml:space="preserve">means that for providers servicing rural areas with significantly longer round-trip travel times, vehicles </w:t>
      </w:r>
      <w:r w:rsidR="000628BD">
        <w:t xml:space="preserve">must be replaced years earlier than </w:t>
      </w:r>
      <w:r w:rsidR="00330D7E">
        <w:t xml:space="preserve">vehicles that operate in </w:t>
      </w:r>
      <w:r w:rsidR="00A514AA">
        <w:t xml:space="preserve">metropolitan </w:t>
      </w:r>
      <w:r w:rsidR="00B339A9">
        <w:t>areas.</w:t>
      </w:r>
      <w:r w:rsidR="0013375F">
        <w:t xml:space="preserve"> </w:t>
      </w:r>
      <w:r w:rsidR="00AD19FF">
        <w:t xml:space="preserve">One provider surveyed indicated that </w:t>
      </w:r>
      <w:r w:rsidR="002C2FCB">
        <w:t xml:space="preserve">vehicles </w:t>
      </w:r>
      <w:r w:rsidR="009619AE">
        <w:t xml:space="preserve">reached </w:t>
      </w:r>
      <w:r w:rsidR="00324665">
        <w:t xml:space="preserve">400,000 km </w:t>
      </w:r>
      <w:r w:rsidR="00CA6803">
        <w:t xml:space="preserve">in less than 4 years, while </w:t>
      </w:r>
      <w:r w:rsidR="00BC0F86">
        <w:t xml:space="preserve">one metropolitan provider indicated that </w:t>
      </w:r>
      <w:r w:rsidR="00DA3989">
        <w:t xml:space="preserve">it </w:t>
      </w:r>
      <w:proofErr w:type="gramStart"/>
      <w:r w:rsidR="00DA3989">
        <w:t>can</w:t>
      </w:r>
      <w:proofErr w:type="gramEnd"/>
      <w:r w:rsidR="00DA3989">
        <w:t xml:space="preserve"> take over 10 years to reach this threshold</w:t>
      </w:r>
      <w:r w:rsidR="006F4286">
        <w:t xml:space="preserve">. </w:t>
      </w:r>
      <w:r w:rsidR="00127837">
        <w:t xml:space="preserve">This </w:t>
      </w:r>
      <w:r w:rsidR="00B11A9F">
        <w:t xml:space="preserve">requirement </w:t>
      </w:r>
      <w:r w:rsidR="007622DA">
        <w:t xml:space="preserve">for replacement of vehicles </w:t>
      </w:r>
      <w:r w:rsidR="002F5D97">
        <w:t xml:space="preserve">significantly </w:t>
      </w:r>
      <w:r w:rsidR="00C80928">
        <w:t xml:space="preserve">earlier </w:t>
      </w:r>
      <w:r w:rsidR="002F5D97">
        <w:t xml:space="preserve">for regional providers </w:t>
      </w:r>
      <w:r w:rsidR="00C80928">
        <w:t xml:space="preserve">than </w:t>
      </w:r>
      <w:r w:rsidR="002F5D97">
        <w:t xml:space="preserve">metropolitan </w:t>
      </w:r>
      <w:r w:rsidR="00C80928">
        <w:t>providers</w:t>
      </w:r>
      <w:r w:rsidR="002438B6">
        <w:t xml:space="preserve">, </w:t>
      </w:r>
      <w:r w:rsidR="00DD30C0">
        <w:t>makes it more difficult for regional providers to operate in the NEPT sector.</w:t>
      </w:r>
      <w:r w:rsidR="00E8681F">
        <w:t xml:space="preserve"> </w:t>
      </w:r>
      <w:r w:rsidR="00DD30C0">
        <w:t xml:space="preserve"> </w:t>
      </w:r>
    </w:p>
    <w:p w14:paraId="1C69AA17" w14:textId="2B9DD102" w:rsidR="00C11EB3" w:rsidRDefault="00C11EB3" w:rsidP="00C11EB3">
      <w:pPr>
        <w:pStyle w:val="Body"/>
      </w:pPr>
      <w:r w:rsidRPr="00EB79CA">
        <w:t>Under this option, aeromedical services may double-load</w:t>
      </w:r>
      <w:r>
        <w:t xml:space="preserve"> two</w:t>
      </w:r>
      <w:r w:rsidRPr="00EB79CA">
        <w:t xml:space="preserve"> low-</w:t>
      </w:r>
      <w:r>
        <w:t>a</w:t>
      </w:r>
      <w:r w:rsidRPr="00EB79CA">
        <w:t>cuity patients</w:t>
      </w:r>
      <w:r>
        <w:t xml:space="preserve"> only</w:t>
      </w:r>
      <w:r w:rsidRPr="00EB79CA">
        <w:t>. Relative to the base case</w:t>
      </w:r>
      <w:r w:rsidR="000A7361">
        <w:t xml:space="preserve"> of having no regulatory </w:t>
      </w:r>
      <w:r w:rsidR="000C70BF">
        <w:t>restrictions on double loading regardless of patient acuity</w:t>
      </w:r>
      <w:r w:rsidRPr="00EB79CA">
        <w:t>,</w:t>
      </w:r>
      <w:r>
        <w:t xml:space="preserve"> this option limit</w:t>
      </w:r>
      <w:r w:rsidR="00DD30C0">
        <w:t>s</w:t>
      </w:r>
      <w:r>
        <w:t xml:space="preserve"> provider efficienc</w:t>
      </w:r>
      <w:r w:rsidR="00DD30C0">
        <w:t xml:space="preserve">y of operation </w:t>
      </w:r>
      <w:r w:rsidR="00577E55">
        <w:t>that could otherwise be</w:t>
      </w:r>
      <w:r>
        <w:t xml:space="preserve"> gained from double loading other acuity combinations (e.g., a low and a medium acuity patient). </w:t>
      </w:r>
    </w:p>
    <w:p w14:paraId="412F1BA1" w14:textId="6A69A452" w:rsidR="001B11BA" w:rsidRDefault="003546CC" w:rsidP="00C11EB3">
      <w:pPr>
        <w:pStyle w:val="Body"/>
      </w:pPr>
      <w:r>
        <w:t xml:space="preserve">The above restrictions </w:t>
      </w:r>
      <w:r w:rsidR="00603A9B">
        <w:t>place barriers to efficient operation for a small proportion of NEPT service</w:t>
      </w:r>
      <w:r w:rsidR="00355EAC">
        <w:t>s</w:t>
      </w:r>
      <w:r w:rsidR="0075388B">
        <w:t xml:space="preserve">. Conversely, </w:t>
      </w:r>
      <w:r w:rsidR="00D13152">
        <w:t xml:space="preserve">Option </w:t>
      </w:r>
      <w:r w:rsidR="004C0F03">
        <w:t xml:space="preserve">1 provides a range of </w:t>
      </w:r>
      <w:r w:rsidR="00170EE4">
        <w:t xml:space="preserve">service standards that would be </w:t>
      </w:r>
      <w:r w:rsidR="00A12FEB">
        <w:t xml:space="preserve">absent or </w:t>
      </w:r>
      <w:r w:rsidR="00DE33DD">
        <w:t xml:space="preserve">harder to </w:t>
      </w:r>
      <w:r w:rsidR="00A145B3">
        <w:t>maintain</w:t>
      </w:r>
      <w:r w:rsidR="000274D7">
        <w:t xml:space="preserve"> across the sector</w:t>
      </w:r>
      <w:r w:rsidR="00A145B3">
        <w:t xml:space="preserve"> in the absence of regulatory requirements</w:t>
      </w:r>
      <w:r w:rsidR="000274D7">
        <w:t xml:space="preserve">. </w:t>
      </w:r>
      <w:r w:rsidR="00587148">
        <w:t>Overall, this option</w:t>
      </w:r>
      <w:r w:rsidR="0050010F">
        <w:t xml:space="preserve">, placing barriers </w:t>
      </w:r>
      <w:r w:rsidR="00EA2184">
        <w:t xml:space="preserve">on a minority of providers and safeguards for all, is on balance </w:t>
      </w:r>
      <w:r w:rsidR="00741457">
        <w:t xml:space="preserve">considered </w:t>
      </w:r>
      <w:proofErr w:type="gramStart"/>
      <w:r w:rsidR="00741457">
        <w:t>similar to</w:t>
      </w:r>
      <w:proofErr w:type="gramEnd"/>
      <w:r w:rsidR="00741457">
        <w:t xml:space="preserve"> the base case.</w:t>
      </w:r>
    </w:p>
    <w:p w14:paraId="56083BAE" w14:textId="68AE9716" w:rsidR="00D324FF" w:rsidRPr="007D7DD2" w:rsidRDefault="00AE46B2" w:rsidP="00CD7CBA">
      <w:pPr>
        <w:pStyle w:val="Body"/>
      </w:pPr>
      <w:r w:rsidRPr="00CD7CBA">
        <w:rPr>
          <w:rStyle w:val="Strong"/>
        </w:rPr>
        <w:t>This option receives a score of</w:t>
      </w:r>
      <w:r w:rsidR="000274D7" w:rsidRPr="00CD7CBA">
        <w:rPr>
          <w:rStyle w:val="Strong"/>
        </w:rPr>
        <w:t xml:space="preserve"> 0 </w:t>
      </w:r>
      <w:r w:rsidRPr="00CD7CBA">
        <w:rPr>
          <w:rStyle w:val="Strong"/>
        </w:rPr>
        <w:t xml:space="preserve">relative to the base case. </w:t>
      </w:r>
    </w:p>
    <w:p w14:paraId="4C36CEED" w14:textId="77777777" w:rsidR="007D77B9" w:rsidRPr="00CE285D" w:rsidRDefault="007D77B9" w:rsidP="00CE285D">
      <w:pPr>
        <w:pStyle w:val="Heading2"/>
      </w:pPr>
      <w:bookmarkStart w:id="27" w:name="_Toc215847520"/>
      <w:r w:rsidRPr="00CE285D">
        <w:rPr>
          <w:rStyle w:val="Heading2Char"/>
          <w:b/>
        </w:rPr>
        <w:t>Option 2 – targeted reform package</w:t>
      </w:r>
      <w:bookmarkEnd w:id="27"/>
      <w:r w:rsidRPr="00CE285D">
        <w:t xml:space="preserve"> </w:t>
      </w:r>
    </w:p>
    <w:p w14:paraId="4A034848" w14:textId="7DBDCA4F" w:rsidR="00B226F7" w:rsidRPr="002B7318" w:rsidRDefault="00B226F7" w:rsidP="002B7318">
      <w:pPr>
        <w:pStyle w:val="Body"/>
      </w:pPr>
      <w:r w:rsidRPr="002C2567">
        <w:t xml:space="preserve">Option 2 </w:t>
      </w:r>
      <w:r w:rsidR="00D60B39">
        <w:t>proposes a</w:t>
      </w:r>
      <w:r w:rsidRPr="002C2567">
        <w:t xml:space="preserve"> balanced, evidence-based reform package that addresses identified risks, supports workforce and operational improvements, and aligns with broader system reforms. </w:t>
      </w:r>
      <w:r>
        <w:t xml:space="preserve">These targeted amendments are based on consultation with key stakeholders and informed by the Health Regulator and the NEPT Review. </w:t>
      </w:r>
      <w:r w:rsidR="008C1DA4">
        <w:t xml:space="preserve">This proposal also includes a minor change to </w:t>
      </w:r>
      <w:r w:rsidR="00BD51DD">
        <w:t xml:space="preserve">the </w:t>
      </w:r>
      <w:r w:rsidR="00835BB3">
        <w:t>licen</w:t>
      </w:r>
      <w:r w:rsidR="000E735E">
        <w:t>s</w:t>
      </w:r>
      <w:r w:rsidR="00835BB3">
        <w:t xml:space="preserve">ing </w:t>
      </w:r>
      <w:r w:rsidR="00BD51DD">
        <w:t xml:space="preserve">fee structure that </w:t>
      </w:r>
      <w:r w:rsidR="00B62C1F">
        <w:t xml:space="preserve">will result in </w:t>
      </w:r>
      <w:r w:rsidR="009D50E1">
        <w:t xml:space="preserve">a small annual saving for the </w:t>
      </w:r>
      <w:r w:rsidR="00A50673">
        <w:t xml:space="preserve">three </w:t>
      </w:r>
      <w:r w:rsidR="00DB30A1">
        <w:t>medium</w:t>
      </w:r>
      <w:r w:rsidR="007504E2">
        <w:t>-</w:t>
      </w:r>
      <w:r w:rsidR="00DF666E">
        <w:t>size</w:t>
      </w:r>
      <w:r w:rsidR="009D50E1">
        <w:t xml:space="preserve"> NEPT </w:t>
      </w:r>
      <w:r w:rsidR="00A50673">
        <w:t>providers</w:t>
      </w:r>
      <w:r w:rsidR="009D50E1">
        <w:t>.</w:t>
      </w:r>
      <w:r w:rsidR="00A50673">
        <w:t xml:space="preserve"> </w:t>
      </w:r>
    </w:p>
    <w:p w14:paraId="45A6CF04" w14:textId="55AF595F" w:rsidR="00EB4F4F" w:rsidRDefault="00381D8E" w:rsidP="00CE285D">
      <w:pPr>
        <w:pStyle w:val="Heading3"/>
      </w:pPr>
      <w:r>
        <w:t xml:space="preserve">Benefit criteria 1 </w:t>
      </w:r>
      <w:r w:rsidR="0054569D">
        <w:t>Ensuring p</w:t>
      </w:r>
      <w:r w:rsidR="002B7318">
        <w:t>atient safety</w:t>
      </w:r>
    </w:p>
    <w:p w14:paraId="62B53246" w14:textId="555A9BDD" w:rsidR="000769F9" w:rsidRDefault="000769F9" w:rsidP="000769F9">
      <w:pPr>
        <w:pStyle w:val="Body"/>
      </w:pPr>
      <w:r>
        <w:t>This option removes ambiguity in regulatory obligations, with positive consequences for patient safety</w:t>
      </w:r>
      <w:r w:rsidRPr="003368B6">
        <w:t xml:space="preserve">. For example, the requirement for a crew member to </w:t>
      </w:r>
      <w:r w:rsidR="00051A45" w:rsidRPr="003368B6">
        <w:t>travel</w:t>
      </w:r>
      <w:r w:rsidRPr="003368B6">
        <w:t xml:space="preserve"> in the patient compartment </w:t>
      </w:r>
      <w:r w:rsidR="00051A45" w:rsidRPr="003368B6">
        <w:t xml:space="preserve">with the patient </w:t>
      </w:r>
      <w:r w:rsidR="003B49A2" w:rsidRPr="003368B6">
        <w:t xml:space="preserve">for the duration of transport </w:t>
      </w:r>
      <w:r w:rsidRPr="003368B6">
        <w:t xml:space="preserve">is </w:t>
      </w:r>
      <w:r w:rsidR="00ED519B" w:rsidRPr="003368B6">
        <w:t>clarified</w:t>
      </w:r>
      <w:r w:rsidRPr="003368B6">
        <w:t xml:space="preserve"> to require </w:t>
      </w:r>
      <w:r w:rsidR="009F364F" w:rsidRPr="003368B6">
        <w:t>monitoring</w:t>
      </w:r>
      <w:r w:rsidRPr="003368B6">
        <w:t xml:space="preserve"> for the entire episode of care, </w:t>
      </w:r>
      <w:r w:rsidR="009F364F" w:rsidRPr="003368B6">
        <w:t>which would include</w:t>
      </w:r>
      <w:r w:rsidRPr="003368B6">
        <w:t xml:space="preserve"> handover to handover. </w:t>
      </w:r>
    </w:p>
    <w:p w14:paraId="43FBE28D" w14:textId="150AFE6F" w:rsidR="00F21753" w:rsidRDefault="00EB4F4F" w:rsidP="00EB4F4F">
      <w:pPr>
        <w:pStyle w:val="Body"/>
      </w:pPr>
      <w:r>
        <w:t xml:space="preserve">Under this option, all licensed providers would be required to notify the Secretary of SAPSEs within 72 hours of the incident occurring or the licence holder becoming aware of the incident occurring. Broadened scope of obligations would provide the </w:t>
      </w:r>
      <w:r w:rsidR="00743282">
        <w:t>d</w:t>
      </w:r>
      <w:r>
        <w:t xml:space="preserve">epartment with better regulatory intelligence by enabling more meaningful data collection from providers. This obligation complements the existing SDC, which already applies to licensed NEPT providers as health service entities and requires disclosure of SAPSEs to affected patients and families. </w:t>
      </w:r>
    </w:p>
    <w:p w14:paraId="046BA61E" w14:textId="0F8A6D8B" w:rsidR="00DC7826" w:rsidRDefault="00EB4F4F" w:rsidP="0054569D">
      <w:pPr>
        <w:pStyle w:val="Body"/>
      </w:pPr>
      <w:r>
        <w:t xml:space="preserve">This option would also require the COC to review all APSEs in relation to the service provided by the </w:t>
      </w:r>
      <w:r w:rsidRPr="008E178C">
        <w:t xml:space="preserve">licence holder. The capability of the COC would also be strengthened by introducing a requirement that at least one of the members must have experience and qualifications in patient </w:t>
      </w:r>
      <w:r w:rsidRPr="008E178C">
        <w:lastRenderedPageBreak/>
        <w:t xml:space="preserve">quality of care and </w:t>
      </w:r>
      <w:proofErr w:type="gramStart"/>
      <w:r w:rsidRPr="008E178C">
        <w:t>safety, and</w:t>
      </w:r>
      <w:proofErr w:type="gramEnd"/>
      <w:r w:rsidRPr="008E178C">
        <w:t xml:space="preserve"> specifying that other prescribed members must have current or recent experience in direct patient care in non-emergency patient transport.</w:t>
      </w:r>
    </w:p>
    <w:p w14:paraId="1D4AF1B9" w14:textId="24021F51" w:rsidR="00DC7826" w:rsidRDefault="00346A98" w:rsidP="00DC7826">
      <w:pPr>
        <w:pStyle w:val="Heading4"/>
      </w:pPr>
      <w:r>
        <w:t xml:space="preserve">Impact assessment </w:t>
      </w:r>
    </w:p>
    <w:p w14:paraId="5F280F7C" w14:textId="5EC328D7" w:rsidR="00DC7826" w:rsidRDefault="00DC7826" w:rsidP="00DC7826">
      <w:pPr>
        <w:pStyle w:val="Body"/>
      </w:pPr>
      <w:r>
        <w:t xml:space="preserve">Under this option, providers must notify the Secretary of any SAPSE within </w:t>
      </w:r>
      <w:r w:rsidR="001C1C98">
        <w:t>72 hours.</w:t>
      </w:r>
      <w:r>
        <w:t xml:space="preserve"> </w:t>
      </w:r>
      <w:r w:rsidRPr="00944B4D">
        <w:t xml:space="preserve">Relative to the base case, this establishes a clear, time-bound and </w:t>
      </w:r>
      <w:r>
        <w:t xml:space="preserve">enforceable </w:t>
      </w:r>
      <w:r w:rsidRPr="00944B4D">
        <w:t>notification duty for the most serious adverse events, reducing reliance on contracting</w:t>
      </w:r>
      <w:r w:rsidR="004F47AC">
        <w:t xml:space="preserve"> or </w:t>
      </w:r>
      <w:r w:rsidRPr="00944B4D">
        <w:t>accreditation triggers and the associated variability in timeliness, completeness and enforceability.</w:t>
      </w:r>
    </w:p>
    <w:p w14:paraId="1EE6FA9D" w14:textId="36764047" w:rsidR="00DC7826" w:rsidRDefault="00DC7826" w:rsidP="00DC7826">
      <w:pPr>
        <w:pStyle w:val="Body"/>
      </w:pPr>
      <w:r w:rsidRPr="00532258">
        <w:t xml:space="preserve">Compared with Option 1, </w:t>
      </w:r>
      <w:r>
        <w:t>this option</w:t>
      </w:r>
      <w:r w:rsidRPr="00532258">
        <w:t xml:space="preserve"> expands </w:t>
      </w:r>
      <w:r>
        <w:t>the Health Regulator’s</w:t>
      </w:r>
      <w:r w:rsidRPr="00532258">
        <w:t xml:space="preserve"> visibility</w:t>
      </w:r>
      <w:r>
        <w:t xml:space="preserve"> of notifications</w:t>
      </w:r>
      <w:r w:rsidRPr="00532258">
        <w:t xml:space="preserve"> beyond</w:t>
      </w:r>
      <w:r w:rsidRPr="00A326C9">
        <w:t xml:space="preserve"> sentinel events to include other serious incidents (</w:t>
      </w:r>
      <w:r>
        <w:t>e.g.,</w:t>
      </w:r>
      <w:r w:rsidRPr="00A326C9">
        <w:t xml:space="preserve"> ISR 1</w:t>
      </w:r>
      <w:r>
        <w:t xml:space="preserve"> or </w:t>
      </w:r>
      <w:r w:rsidRPr="00A326C9">
        <w:t xml:space="preserve">2 events) that may not </w:t>
      </w:r>
      <w:r>
        <w:t>involve</w:t>
      </w:r>
      <w:r w:rsidRPr="00A326C9">
        <w:t xml:space="preserve"> death</w:t>
      </w:r>
      <w:r>
        <w:t xml:space="preserve"> or serious injury but</w:t>
      </w:r>
      <w:r w:rsidRPr="00A326C9">
        <w:t xml:space="preserve"> </w:t>
      </w:r>
      <w:r>
        <w:t>nonetheless</w:t>
      </w:r>
      <w:r w:rsidRPr="00A326C9">
        <w:t xml:space="preserve"> indicate significant risks</w:t>
      </w:r>
      <w:r>
        <w:t>. A</w:t>
      </w:r>
      <w:r w:rsidRPr="009F0038">
        <w:t xml:space="preserve">ccordingly, extending </w:t>
      </w:r>
      <w:r>
        <w:t xml:space="preserve">notification </w:t>
      </w:r>
      <w:r w:rsidRPr="009F0038">
        <w:t xml:space="preserve">coverage to SAPSEs provides greater oversight </w:t>
      </w:r>
      <w:r w:rsidR="011D0259">
        <w:t xml:space="preserve">of </w:t>
      </w:r>
      <w:r w:rsidR="00C627BD">
        <w:t xml:space="preserve">issues and incidents in the </w:t>
      </w:r>
      <w:r w:rsidR="011D0259">
        <w:t xml:space="preserve">NEPT </w:t>
      </w:r>
      <w:r w:rsidR="00C627BD">
        <w:t xml:space="preserve">sector </w:t>
      </w:r>
      <w:r w:rsidR="011D0259">
        <w:t>by the department</w:t>
      </w:r>
      <w:r w:rsidR="004642D2">
        <w:t>,</w:t>
      </w:r>
      <w:r w:rsidRPr="009F0038">
        <w:t xml:space="preserve"> support</w:t>
      </w:r>
      <w:r w:rsidR="004642D2">
        <w:t>ing</w:t>
      </w:r>
      <w:r w:rsidRPr="009F0038">
        <w:t xml:space="preserve"> more comprehensive </w:t>
      </w:r>
      <w:r>
        <w:t>monitoring</w:t>
      </w:r>
      <w:r w:rsidRPr="009F0038">
        <w:t xml:space="preserve"> and </w:t>
      </w:r>
      <w:r w:rsidR="00716EA1">
        <w:t>more timely</w:t>
      </w:r>
      <w:r w:rsidRPr="009F0038">
        <w:t xml:space="preserve"> regulatory action</w:t>
      </w:r>
      <w:r>
        <w:t xml:space="preserve"> (where required)</w:t>
      </w:r>
      <w:r w:rsidR="00857B50">
        <w:t>. This is expected to improve</w:t>
      </w:r>
      <w:r w:rsidRPr="009F0038">
        <w:t xml:space="preserve"> patient safety </w:t>
      </w:r>
      <w:r w:rsidR="00A821EC">
        <w:t xml:space="preserve">significantly </w:t>
      </w:r>
      <w:r w:rsidRPr="009F0038">
        <w:t xml:space="preserve">relative to the base case and </w:t>
      </w:r>
      <w:r w:rsidR="00610CF5">
        <w:t xml:space="preserve">somewhat more than </w:t>
      </w:r>
      <w:r w:rsidRPr="009F0038">
        <w:t>Option 1.</w:t>
      </w:r>
    </w:p>
    <w:p w14:paraId="1E292876" w14:textId="418355FA" w:rsidR="00DC7826" w:rsidRDefault="00DC7826" w:rsidP="00DC7826">
      <w:pPr>
        <w:pStyle w:val="Body"/>
      </w:pPr>
      <w:r>
        <w:t xml:space="preserve">This option would also require the COC to review all APSEs. This provides greater clinical oversight than the base case. Compared with Option 1, </w:t>
      </w:r>
      <w:r w:rsidRPr="00DB00A3">
        <w:t>this option requires that</w:t>
      </w:r>
      <w:r>
        <w:t xml:space="preserve"> registered health</w:t>
      </w:r>
      <w:r w:rsidRPr="00DB00A3">
        <w:t xml:space="preserve"> practitioner members of the COC have current or recent experience</w:t>
      </w:r>
      <w:r>
        <w:t xml:space="preserve"> in</w:t>
      </w:r>
      <w:r w:rsidRPr="00A61D91">
        <w:t xml:space="preserve"> </w:t>
      </w:r>
      <w:r>
        <w:t xml:space="preserve">direct patient care within NEPT and </w:t>
      </w:r>
      <w:r w:rsidRPr="00850054">
        <w:t xml:space="preserve">that at least one member holds qualifications and experience in </w:t>
      </w:r>
      <w:r w:rsidRPr="000F607E">
        <w:t>patient quality of care and safety.</w:t>
      </w:r>
      <w:r>
        <w:t xml:space="preserve"> </w:t>
      </w:r>
      <w:r w:rsidRPr="00474108">
        <w:t>It is expected that practical insights from direct patient-care experience will add value to the quality of</w:t>
      </w:r>
      <w:r>
        <w:t xml:space="preserve"> COC</w:t>
      </w:r>
      <w:r w:rsidRPr="00474108">
        <w:t xml:space="preserve"> APSE reviews and the associated recommendations.</w:t>
      </w:r>
      <w:r>
        <w:t xml:space="preserve"> </w:t>
      </w:r>
      <w:r w:rsidRPr="00B32483">
        <w:t>Requiring COC review of all APSEs also closes the loop with the annual APSE reporting requirement by ensuring reported events are systematically reviewed, actions are tracked, and learnings are fed back into practice</w:t>
      </w:r>
      <w:r w:rsidRPr="00A837A4">
        <w:t>.</w:t>
      </w:r>
      <w:r>
        <w:t xml:space="preserve"> A</w:t>
      </w:r>
      <w:r w:rsidRPr="00986BA1">
        <w:t xml:space="preserve">n all-APSE review </w:t>
      </w:r>
      <w:r>
        <w:t>requirement</w:t>
      </w:r>
      <w:r w:rsidRPr="00986BA1">
        <w:t xml:space="preserve"> ensures these events</w:t>
      </w:r>
      <w:r w:rsidR="0002455A">
        <w:t>, including misclassified incidents,</w:t>
      </w:r>
      <w:r w:rsidRPr="00986BA1">
        <w:t xml:space="preserve"> are captured and addressed.</w:t>
      </w:r>
      <w:r>
        <w:t xml:space="preserve"> </w:t>
      </w:r>
    </w:p>
    <w:p w14:paraId="280390F3" w14:textId="3AEF93ED" w:rsidR="00316FE4" w:rsidRDefault="003B55F8" w:rsidP="00316FE4">
      <w:pPr>
        <w:pStyle w:val="Body"/>
      </w:pPr>
      <w:r>
        <w:t>W</w:t>
      </w:r>
      <w:r w:rsidR="00316FE4" w:rsidRPr="001231CB">
        <w:t xml:space="preserve">hen compared with Option 1, the </w:t>
      </w:r>
      <w:r>
        <w:t>strengthened</w:t>
      </w:r>
      <w:r w:rsidR="00316FE4" w:rsidRPr="001231CB">
        <w:t xml:space="preserve"> COC membership requirements are not expected to result in material additional </w:t>
      </w:r>
      <w:r w:rsidR="001231CB">
        <w:t>burden</w:t>
      </w:r>
      <w:r w:rsidR="00316FE4" w:rsidRPr="001231CB">
        <w:t xml:space="preserve">, given that smaller providers already mix senior health practitioners with direct patient-care duties and larger providers can accommodate the change through existing workforce and governance structures. Any transitional </w:t>
      </w:r>
      <w:r w:rsidR="00C951D7">
        <w:t xml:space="preserve">impacts </w:t>
      </w:r>
      <w:r w:rsidR="00316FE4" w:rsidRPr="001231CB">
        <w:t>(e.g., updating terms of reference, brief training/induction) are expected to be minor.</w:t>
      </w:r>
    </w:p>
    <w:p w14:paraId="323B65AD" w14:textId="24E7961B" w:rsidR="00EA7278" w:rsidRDefault="00925551" w:rsidP="00FC41EF">
      <w:pPr>
        <w:pStyle w:val="Body"/>
      </w:pPr>
      <w:r w:rsidRPr="00C951D7">
        <w:t xml:space="preserve">This option </w:t>
      </w:r>
      <w:r w:rsidR="007F65EE" w:rsidRPr="00C951D7">
        <w:t xml:space="preserve">builds on the </w:t>
      </w:r>
      <w:r w:rsidR="00A34E33" w:rsidRPr="00C951D7">
        <w:t xml:space="preserve">safety </w:t>
      </w:r>
      <w:r w:rsidR="007F5C8F" w:rsidRPr="00C951D7">
        <w:t xml:space="preserve">features of </w:t>
      </w:r>
      <w:r w:rsidR="00774B3F" w:rsidRPr="00C951D7">
        <w:t xml:space="preserve">option 1 </w:t>
      </w:r>
      <w:r w:rsidR="00170F3B" w:rsidRPr="00C951D7">
        <w:t xml:space="preserve">with the targeted improvements described above </w:t>
      </w:r>
      <w:r w:rsidR="007949E7" w:rsidRPr="00C951D7">
        <w:t xml:space="preserve">representing a </w:t>
      </w:r>
      <w:r w:rsidR="005F696F" w:rsidRPr="00C951D7">
        <w:t xml:space="preserve">small improvement on the status quo </w:t>
      </w:r>
      <w:r w:rsidR="00263BC0" w:rsidRPr="00C951D7">
        <w:t xml:space="preserve">and </w:t>
      </w:r>
      <w:r w:rsidR="0010120B">
        <w:t>being</w:t>
      </w:r>
      <w:r w:rsidR="00263BC0" w:rsidRPr="00C951D7">
        <w:t xml:space="preserve"> significantly </w:t>
      </w:r>
      <w:r w:rsidR="00EA7278" w:rsidRPr="00C951D7">
        <w:t xml:space="preserve">superior to the base case. </w:t>
      </w:r>
    </w:p>
    <w:p w14:paraId="64965302" w14:textId="45388DC0" w:rsidR="00316FE4" w:rsidRPr="004B086B" w:rsidRDefault="005F0387" w:rsidP="00DC7826">
      <w:pPr>
        <w:pStyle w:val="Body"/>
        <w:rPr>
          <w:b/>
        </w:rPr>
      </w:pPr>
      <w:r w:rsidRPr="004B086B">
        <w:rPr>
          <w:b/>
        </w:rPr>
        <w:t xml:space="preserve">This option </w:t>
      </w:r>
      <w:r w:rsidR="0002796E" w:rsidRPr="004B086B">
        <w:rPr>
          <w:b/>
        </w:rPr>
        <w:t>receives a score of +</w:t>
      </w:r>
      <w:r w:rsidR="00975DAC" w:rsidRPr="004B086B">
        <w:rPr>
          <w:b/>
        </w:rPr>
        <w:t>5</w:t>
      </w:r>
      <w:r w:rsidR="0002796E" w:rsidRPr="004B086B">
        <w:rPr>
          <w:b/>
        </w:rPr>
        <w:t xml:space="preserve"> relative to the base case. </w:t>
      </w:r>
    </w:p>
    <w:p w14:paraId="2B412AEE" w14:textId="197D6246" w:rsidR="009C2973" w:rsidRDefault="008F6DE8" w:rsidP="00CE285D">
      <w:pPr>
        <w:pStyle w:val="Heading3"/>
      </w:pPr>
      <w:r>
        <w:t xml:space="preserve">Benefit criteria 2 </w:t>
      </w:r>
      <w:r w:rsidR="0054569D">
        <w:t>S</w:t>
      </w:r>
      <w:r w:rsidR="00134211">
        <w:t xml:space="preserve">upporting </w:t>
      </w:r>
      <w:r w:rsidR="0054569D">
        <w:t>the NEPT system</w:t>
      </w:r>
    </w:p>
    <w:p w14:paraId="080751AE" w14:textId="5378D4C1" w:rsidR="00090D70" w:rsidRPr="00090D70" w:rsidRDefault="0018773C" w:rsidP="00090D70">
      <w:pPr>
        <w:pStyle w:val="Body"/>
      </w:pPr>
      <w:r>
        <w:t>The</w:t>
      </w:r>
      <w:r w:rsidR="00414C32">
        <w:t xml:space="preserve"> proposed </w:t>
      </w:r>
      <w:r w:rsidR="00CC4D39">
        <w:t xml:space="preserve">reforms </w:t>
      </w:r>
      <w:r w:rsidR="00AB7909">
        <w:t>aim</w:t>
      </w:r>
      <w:r w:rsidR="00CC4D39">
        <w:t xml:space="preserve"> to enhance e</w:t>
      </w:r>
      <w:r w:rsidR="00E74827">
        <w:t>fficiency of operation in the NEPT sector</w:t>
      </w:r>
      <w:r w:rsidR="00655EAB">
        <w:t xml:space="preserve"> </w:t>
      </w:r>
      <w:r w:rsidR="0081578F">
        <w:t xml:space="preserve">without compromising safety of patients. </w:t>
      </w:r>
      <w:r w:rsidR="00C3640A">
        <w:t xml:space="preserve">These reforms </w:t>
      </w:r>
      <w:r w:rsidR="0049094A">
        <w:t xml:space="preserve">support </w:t>
      </w:r>
      <w:r w:rsidR="0024523D">
        <w:t xml:space="preserve">NEPT providers and their workforce to improve </w:t>
      </w:r>
      <w:r w:rsidR="00D76429">
        <w:t xml:space="preserve">the operation of NEPT </w:t>
      </w:r>
      <w:r w:rsidR="00C3475F">
        <w:t xml:space="preserve">over the life of the </w:t>
      </w:r>
      <w:r w:rsidR="00B4660B">
        <w:t>Regulations</w:t>
      </w:r>
      <w:r w:rsidR="00C3475F">
        <w:t xml:space="preserve">. </w:t>
      </w:r>
    </w:p>
    <w:p w14:paraId="6C1F5061" w14:textId="75B4F4E8" w:rsidR="00DC7826" w:rsidRPr="0047091E" w:rsidRDefault="00090D70" w:rsidP="00EE59DA">
      <w:pPr>
        <w:pStyle w:val="Heading4"/>
      </w:pPr>
      <w:r>
        <w:t xml:space="preserve">Supporting workforce capability </w:t>
      </w:r>
    </w:p>
    <w:p w14:paraId="79328725" w14:textId="55857927" w:rsidR="00DC7826" w:rsidRDefault="00DC7826" w:rsidP="00DC7826">
      <w:pPr>
        <w:pStyle w:val="Body"/>
      </w:pPr>
      <w:r>
        <w:t>The CPPs, as a key pillar of the regulatory framework, would be defined and referenced in the amended Regulations. The CPPs allow for more detailed and up-to-date clinical guidance than what can be set out in the Regulations themselves, directly impacting the practices of NEPT crew members</w:t>
      </w:r>
      <w:r w:rsidRPr="004A5090">
        <w:t xml:space="preserve">. Explicit reference to the CPPs would </w:t>
      </w:r>
      <w:r w:rsidR="004A5090">
        <w:t xml:space="preserve">also </w:t>
      </w:r>
      <w:r w:rsidRPr="004A5090">
        <w:t xml:space="preserve">be added to the </w:t>
      </w:r>
      <w:r w:rsidR="00B4660B" w:rsidRPr="004A5090">
        <w:t xml:space="preserve">Regulations </w:t>
      </w:r>
      <w:r w:rsidRPr="004A5090">
        <w:t xml:space="preserve">in relation to the </w:t>
      </w:r>
      <w:r w:rsidR="004A5090" w:rsidRPr="004A5090">
        <w:t xml:space="preserve">training undertaken by crew members </w:t>
      </w:r>
      <w:r w:rsidRPr="004A5090">
        <w:t>as well as the equipment required in NEPT vehicles.</w:t>
      </w:r>
      <w:r>
        <w:t xml:space="preserve"> This </w:t>
      </w:r>
      <w:r>
        <w:lastRenderedPageBreak/>
        <w:t xml:space="preserve">category of amendments also includes numerous minor adjustments to the wording and grouping of </w:t>
      </w:r>
      <w:r w:rsidR="00B4660B">
        <w:t>Regulations</w:t>
      </w:r>
      <w:r>
        <w:t>, with the aim of creating consistent, clear Regulations.</w:t>
      </w:r>
    </w:p>
    <w:p w14:paraId="6BC5B4AB" w14:textId="79645C29" w:rsidR="00875ADA" w:rsidRPr="0015017D" w:rsidRDefault="00875ADA" w:rsidP="00875ADA">
      <w:pPr>
        <w:pStyle w:val="Body"/>
      </w:pPr>
      <w:r w:rsidRPr="0015017D">
        <w:t xml:space="preserve">Option 2 provides alignment of minimum training with best practice. Standardisation of skills maintenance training would be supported by specifying that it include at least one day of in-person training, which is already common practice among providers. Including this requirement in the </w:t>
      </w:r>
      <w:r w:rsidR="00B4660B">
        <w:t>R</w:t>
      </w:r>
      <w:r w:rsidR="00B4660B" w:rsidRPr="0015017D">
        <w:t xml:space="preserve">egulations </w:t>
      </w:r>
      <w:r w:rsidRPr="0015017D">
        <w:t>will make the obligation explicit and enforceable.</w:t>
      </w:r>
    </w:p>
    <w:p w14:paraId="481AE903" w14:textId="5FB6E939" w:rsidR="00875ADA" w:rsidRDefault="00875ADA" w:rsidP="00DC7826">
      <w:pPr>
        <w:pStyle w:val="Body"/>
      </w:pPr>
      <w:r w:rsidRPr="0015017D">
        <w:t xml:space="preserve">This option would </w:t>
      </w:r>
      <w:r>
        <w:t xml:space="preserve">also </w:t>
      </w:r>
      <w:r w:rsidRPr="0015017D">
        <w:t>support the workforce to raise workplace issues by specifying that the staff survey is anonymous.</w:t>
      </w:r>
    </w:p>
    <w:p w14:paraId="561D02B0" w14:textId="6B1F5378" w:rsidR="00DC7826" w:rsidRDefault="00DC7826" w:rsidP="0025774E">
      <w:pPr>
        <w:pStyle w:val="Body"/>
      </w:pPr>
      <w:r w:rsidRPr="2B75106A">
        <w:rPr>
          <w:rFonts w:eastAsia="Arial" w:cs="Arial"/>
          <w:color w:val="000000" w:themeColor="text1"/>
          <w:szCs w:val="21"/>
        </w:rPr>
        <w:t xml:space="preserve">This option would allow required clinical instructor </w:t>
      </w:r>
      <w:r w:rsidR="3B9CA057" w:rsidRPr="00567C20">
        <w:rPr>
          <w:rFonts w:eastAsia="Arial" w:cs="Arial"/>
          <w:szCs w:val="21"/>
        </w:rPr>
        <w:t>skills and competencies</w:t>
      </w:r>
      <w:r w:rsidRPr="00567C20">
        <w:rPr>
          <w:rFonts w:eastAsia="Arial" w:cs="Arial"/>
          <w:szCs w:val="21"/>
        </w:rPr>
        <w:t xml:space="preserve"> to be set out by the Secretary rather than </w:t>
      </w:r>
      <w:r w:rsidR="3B9CA057" w:rsidRPr="00567C20">
        <w:rPr>
          <w:rFonts w:eastAsia="Arial" w:cs="Arial"/>
          <w:szCs w:val="21"/>
        </w:rPr>
        <w:t xml:space="preserve">having a </w:t>
      </w:r>
      <w:r w:rsidRPr="00567C20">
        <w:rPr>
          <w:rFonts w:eastAsia="Arial" w:cs="Arial"/>
          <w:szCs w:val="21"/>
        </w:rPr>
        <w:t xml:space="preserve">prescribed </w:t>
      </w:r>
      <w:r w:rsidR="3B9CA057" w:rsidRPr="00567C20">
        <w:rPr>
          <w:rFonts w:eastAsia="Arial" w:cs="Arial"/>
          <w:szCs w:val="21"/>
        </w:rPr>
        <w:t xml:space="preserve">qualification </w:t>
      </w:r>
      <w:r w:rsidRPr="00567C20">
        <w:rPr>
          <w:rFonts w:eastAsia="Arial" w:cs="Arial"/>
          <w:szCs w:val="21"/>
        </w:rPr>
        <w:t xml:space="preserve">in the Regulations, enabling </w:t>
      </w:r>
      <w:r w:rsidR="3B9CA057" w:rsidRPr="00567C20">
        <w:rPr>
          <w:rFonts w:eastAsia="Arial" w:cs="Arial"/>
          <w:szCs w:val="21"/>
        </w:rPr>
        <w:t>alternative pathways</w:t>
      </w:r>
      <w:r w:rsidR="3B9CA057" w:rsidRPr="2B75106A">
        <w:rPr>
          <w:rFonts w:eastAsia="Arial" w:cs="Arial"/>
          <w:color w:val="000000" w:themeColor="text1"/>
          <w:szCs w:val="21"/>
        </w:rPr>
        <w:t xml:space="preserve"> to be recognised.</w:t>
      </w:r>
      <w:r w:rsidRPr="2B75106A">
        <w:rPr>
          <w:rFonts w:eastAsia="Arial" w:cs="Arial"/>
          <w:color w:val="000000" w:themeColor="text1"/>
          <w:szCs w:val="21"/>
        </w:rPr>
        <w:t xml:space="preserve"> The role of the clinical instructor would be made more visible in the Regulations by prescribing the title as a person who can supervise a new </w:t>
      </w:r>
      <w:r w:rsidR="2649C6C6" w:rsidRPr="2B75106A">
        <w:rPr>
          <w:rFonts w:eastAsia="Arial" w:cs="Arial"/>
          <w:color w:val="000000" w:themeColor="text1"/>
          <w:szCs w:val="21"/>
        </w:rPr>
        <w:t>a</w:t>
      </w:r>
      <w:r w:rsidRPr="2B75106A">
        <w:rPr>
          <w:rFonts w:eastAsia="Arial" w:cs="Arial"/>
          <w:color w:val="000000" w:themeColor="text1"/>
          <w:szCs w:val="21"/>
        </w:rPr>
        <w:t xml:space="preserve">mbulance </w:t>
      </w:r>
      <w:r w:rsidR="49295467" w:rsidRPr="2B75106A">
        <w:rPr>
          <w:rFonts w:eastAsia="Arial" w:cs="Arial"/>
          <w:color w:val="000000" w:themeColor="text1"/>
          <w:szCs w:val="21"/>
        </w:rPr>
        <w:t>t</w:t>
      </w:r>
      <w:r w:rsidRPr="2B75106A">
        <w:rPr>
          <w:rFonts w:eastAsia="Arial" w:cs="Arial"/>
          <w:color w:val="000000" w:themeColor="text1"/>
          <w:szCs w:val="21"/>
        </w:rPr>
        <w:t xml:space="preserve">ransport </w:t>
      </w:r>
      <w:r w:rsidR="12F54277" w:rsidRPr="2B75106A">
        <w:rPr>
          <w:rFonts w:eastAsia="Arial" w:cs="Arial"/>
          <w:color w:val="000000" w:themeColor="text1"/>
          <w:szCs w:val="21"/>
        </w:rPr>
        <w:t>a</w:t>
      </w:r>
      <w:r w:rsidRPr="2B75106A">
        <w:rPr>
          <w:rFonts w:eastAsia="Arial" w:cs="Arial"/>
          <w:color w:val="000000" w:themeColor="text1"/>
          <w:szCs w:val="21"/>
        </w:rPr>
        <w:t xml:space="preserve">ttendant or </w:t>
      </w:r>
      <w:r w:rsidR="7A9EA63D" w:rsidRPr="2B75106A">
        <w:rPr>
          <w:rFonts w:eastAsia="Arial" w:cs="Arial"/>
          <w:color w:val="000000" w:themeColor="text1"/>
          <w:szCs w:val="21"/>
        </w:rPr>
        <w:t>p</w:t>
      </w:r>
      <w:r w:rsidRPr="2B75106A">
        <w:rPr>
          <w:rFonts w:eastAsia="Arial" w:cs="Arial"/>
          <w:color w:val="000000" w:themeColor="text1"/>
          <w:szCs w:val="21"/>
        </w:rPr>
        <w:t xml:space="preserve">atient </w:t>
      </w:r>
      <w:r w:rsidR="2387034F" w:rsidRPr="2B75106A">
        <w:rPr>
          <w:rFonts w:eastAsia="Arial" w:cs="Arial"/>
          <w:color w:val="000000" w:themeColor="text1"/>
          <w:szCs w:val="21"/>
        </w:rPr>
        <w:t>t</w:t>
      </w:r>
      <w:r w:rsidRPr="2B75106A">
        <w:rPr>
          <w:rFonts w:eastAsia="Arial" w:cs="Arial"/>
          <w:color w:val="000000" w:themeColor="text1"/>
          <w:szCs w:val="21"/>
        </w:rPr>
        <w:t xml:space="preserve">ransport </w:t>
      </w:r>
      <w:r w:rsidR="15D25E28" w:rsidRPr="2B75106A">
        <w:rPr>
          <w:rFonts w:eastAsia="Arial" w:cs="Arial"/>
          <w:color w:val="000000" w:themeColor="text1"/>
          <w:szCs w:val="21"/>
        </w:rPr>
        <w:t>o</w:t>
      </w:r>
      <w:r w:rsidRPr="2B75106A">
        <w:rPr>
          <w:rFonts w:eastAsia="Arial" w:cs="Arial"/>
          <w:color w:val="000000" w:themeColor="text1"/>
          <w:szCs w:val="21"/>
        </w:rPr>
        <w:t>fficer.</w:t>
      </w:r>
    </w:p>
    <w:p w14:paraId="1A04B23C" w14:textId="3504E8A4" w:rsidR="00DC7826" w:rsidRPr="00DC7826" w:rsidRDefault="00DC7826" w:rsidP="00DC7826">
      <w:pPr>
        <w:pStyle w:val="Body"/>
      </w:pPr>
      <w:proofErr w:type="gramStart"/>
      <w:r>
        <w:t>In order to</w:t>
      </w:r>
      <w:proofErr w:type="gramEnd"/>
      <w:r>
        <w:t xml:space="preserve"> elevate provisions relating to the safety and functionality of vehicles and equipment, which form the NEPT crew’s workplace, this option also separates vehicle and equipment requirements in the Regulations. Where patient comfort is mentioned in the Regulations in relation to vehicle interiors, crew would</w:t>
      </w:r>
      <w:r w:rsidR="00D80DB9">
        <w:t xml:space="preserve"> also</w:t>
      </w:r>
      <w:r>
        <w:t xml:space="preserve"> be </w:t>
      </w:r>
      <w:r w:rsidR="007C0C04">
        <w:t>included</w:t>
      </w:r>
      <w:r>
        <w:t xml:space="preserve"> to increase the visibility of providers’ obligations to their staff.</w:t>
      </w:r>
    </w:p>
    <w:p w14:paraId="61448EDD" w14:textId="7AEE0965" w:rsidR="004B3251" w:rsidRPr="004B3251" w:rsidRDefault="0025774E" w:rsidP="00EE59DA">
      <w:pPr>
        <w:pStyle w:val="Heading4"/>
      </w:pPr>
      <w:r>
        <w:t>De</w:t>
      </w:r>
      <w:r w:rsidR="004B3251">
        <w:t xml:space="preserve">livering services efficiently </w:t>
      </w:r>
    </w:p>
    <w:p w14:paraId="5B996040" w14:textId="79D7A792" w:rsidR="00EB4F4F" w:rsidRPr="004B3251" w:rsidRDefault="00EB4F4F" w:rsidP="004B3251">
      <w:pPr>
        <w:pStyle w:val="Body"/>
      </w:pPr>
      <w:r w:rsidRPr="004B3251">
        <w:t>This option supports the sustainability of NEPT service provision by allowing road vehicles to stay in operation for longer and aeromedical vehicles to operate at capacity, with appropriate protections for patient safety.</w:t>
      </w:r>
    </w:p>
    <w:p w14:paraId="0E5250A5" w14:textId="3F4470B2" w:rsidR="00EB4F4F" w:rsidRDefault="00EB4F4F" w:rsidP="00EB4F4F">
      <w:pPr>
        <w:pStyle w:val="Body"/>
      </w:pPr>
      <w:r>
        <w:t>This option would increase the mil</w:t>
      </w:r>
      <w:r w:rsidR="004B3251">
        <w:t>e</w:t>
      </w:r>
      <w:r>
        <w:t xml:space="preserve">age limits for vehicles to 600,000 km, with exemptions available up to 800,000 km, subject to demonstration of the vehicle’s compliance with the maintenance schedule and the Regulations as an avenue for independent, expert checking of the vehicle’s safety. The increased threshold would enable providers to keep these specialised vehicles in use, </w:t>
      </w:r>
      <w:r w:rsidR="0017072A">
        <w:t xml:space="preserve">where desirable and appropriate, </w:t>
      </w:r>
      <w:r>
        <w:t xml:space="preserve">while the existing regulatory safeguards for maintenance and roadworthiness uphold a standard for patient and crew safety. </w:t>
      </w:r>
    </w:p>
    <w:p w14:paraId="6113DA7E" w14:textId="0AEA93CE" w:rsidR="00171A80" w:rsidRPr="00171A80" w:rsidRDefault="00EB4F4F" w:rsidP="00171A80">
      <w:pPr>
        <w:pStyle w:val="Body"/>
      </w:pPr>
      <w:r>
        <w:t>This option would permit double-loading of both low-acuity and medium-acuity patient combinations for aeromedical transports (subject to aircraft configuration limits), including</w:t>
      </w:r>
      <w:r w:rsidR="008334E4">
        <w:t xml:space="preserve"> t</w:t>
      </w:r>
      <w:r>
        <w:t>wo medium acuity patients</w:t>
      </w:r>
      <w:r w:rsidR="008334E4">
        <w:t xml:space="preserve"> or o</w:t>
      </w:r>
      <w:r>
        <w:t xml:space="preserve">ne low acuity patient </w:t>
      </w:r>
      <w:r w:rsidR="008334E4">
        <w:t>with</w:t>
      </w:r>
      <w:r>
        <w:t xml:space="preserve"> one medium acuity patient.</w:t>
      </w:r>
      <w:r w:rsidR="00F34426">
        <w:t xml:space="preserve"> </w:t>
      </w:r>
      <w:r>
        <w:t xml:space="preserve">The existing </w:t>
      </w:r>
      <w:r w:rsidR="00374851">
        <w:t xml:space="preserve">ability </w:t>
      </w:r>
      <w:r>
        <w:t>to transport two low acuity patients in a road or aeromedical vehicle would remain unchanged in the</w:t>
      </w:r>
      <w:r w:rsidR="00374851">
        <w:t xml:space="preserve"> </w:t>
      </w:r>
      <w:r>
        <w:t>Regulations.</w:t>
      </w:r>
      <w:r w:rsidR="00F34426">
        <w:t xml:space="preserve"> </w:t>
      </w:r>
      <w:r>
        <w:t>To address the increased risk profile of these trips, providers would also be required to maintain a one-to-one staff/patient ratio in the patient compartment. This safeguard ensures that patient care is held to the same standard as single-loaded vehicles.</w:t>
      </w:r>
      <w:r w:rsidR="001D569F">
        <w:t xml:space="preserve"> </w:t>
      </w:r>
    </w:p>
    <w:p w14:paraId="7AB70690" w14:textId="28C4A703" w:rsidR="00CE5356" w:rsidRDefault="005B1F34" w:rsidP="00CE5356">
      <w:pPr>
        <w:pStyle w:val="Heading4"/>
      </w:pPr>
      <w:r>
        <w:t xml:space="preserve">Impact assessment </w:t>
      </w:r>
    </w:p>
    <w:p w14:paraId="123ED378" w14:textId="36AB039C" w:rsidR="004D6C40" w:rsidRPr="004D6C40" w:rsidRDefault="00890D69" w:rsidP="004D6C40">
      <w:pPr>
        <w:pStyle w:val="Body"/>
      </w:pPr>
      <w:r>
        <w:t xml:space="preserve">The clarification of regulatory requirements </w:t>
      </w:r>
      <w:r w:rsidR="007A0E5E">
        <w:t xml:space="preserve">and other amendments proposed under this option are expected to support </w:t>
      </w:r>
      <w:r w:rsidR="00E95754">
        <w:t>the workforce to operate within their scope of practice an</w:t>
      </w:r>
      <w:r w:rsidR="00A10993">
        <w:t>d provide them with competence to perform their dutie</w:t>
      </w:r>
      <w:r w:rsidR="00943CEA">
        <w:t xml:space="preserve">s confidently. </w:t>
      </w:r>
      <w:r w:rsidR="00772DD6">
        <w:t xml:space="preserve">Anonymised staff surveys will support worker satisfaction and contribute to better workforce planning. </w:t>
      </w:r>
    </w:p>
    <w:p w14:paraId="07B6299A" w14:textId="1DF2C969" w:rsidR="00360D02" w:rsidRDefault="00360D02" w:rsidP="00360D02">
      <w:pPr>
        <w:pStyle w:val="Body"/>
      </w:pPr>
      <w:r>
        <w:t xml:space="preserve">Under this option, the mileage limit would be raised to 600,000 km, and the exemption pathway would allow operation up to 800,000 km, subject to the Secretary being satisfied the vehicle is safe. Compared with the base case, this provides the safeguards referenced in Option 1 in terms of a </w:t>
      </w:r>
      <w:r>
        <w:lastRenderedPageBreak/>
        <w:t>mileage limit, and the increase</w:t>
      </w:r>
      <w:r w:rsidR="00D957D9">
        <w:t xml:space="preserve"> to </w:t>
      </w:r>
      <w:r w:rsidR="00615112">
        <w:t>600</w:t>
      </w:r>
      <w:r w:rsidR="00D957D9">
        <w:t>,000 km</w:t>
      </w:r>
      <w:r>
        <w:t xml:space="preserve"> is not expected to </w:t>
      </w:r>
      <w:r w:rsidR="00421390">
        <w:t>impact on</w:t>
      </w:r>
      <w:r>
        <w:t xml:space="preserve"> patient and staff safety, provided vehicles meet specified condition and maintenance criteria.</w:t>
      </w:r>
    </w:p>
    <w:p w14:paraId="1ABA5E0E" w14:textId="2356A6E1" w:rsidR="00CE5356" w:rsidRDefault="00360D02" w:rsidP="00360D02">
      <w:pPr>
        <w:pStyle w:val="Body"/>
      </w:pPr>
      <w:r>
        <w:t>Compared with Option 1, this option still applies a safety ceiling, set higher to accommodate regional operating conditions</w:t>
      </w:r>
      <w:r w:rsidR="00421390">
        <w:t xml:space="preserve"> and remove the administrative burden of seeking exemption</w:t>
      </w:r>
      <w:r w:rsidR="00227F12">
        <w:t xml:space="preserve">s </w:t>
      </w:r>
      <w:r w:rsidR="00286516">
        <w:t>earlier in the life of a vehicle</w:t>
      </w:r>
      <w:r>
        <w:t xml:space="preserve">. In a September 2025 survey, </w:t>
      </w:r>
      <w:r w:rsidR="00286516">
        <w:t xml:space="preserve">only </w:t>
      </w:r>
      <w:r w:rsidR="007B07D5">
        <w:t>two</w:t>
      </w:r>
      <w:r>
        <w:t xml:space="preserve"> providers </w:t>
      </w:r>
      <w:r w:rsidR="00286516">
        <w:t xml:space="preserve">who responded </w:t>
      </w:r>
      <w:r>
        <w:t>indicated they would not operate vehicles above 400,000 km</w:t>
      </w:r>
      <w:r w:rsidR="00286516">
        <w:t xml:space="preserve"> </w:t>
      </w:r>
      <w:r w:rsidR="00CA48B5">
        <w:t>under the proposed Regulations.</w:t>
      </w:r>
      <w:r>
        <w:t xml:space="preserve"> </w:t>
      </w:r>
      <w:r w:rsidR="12FB1D8E">
        <w:t xml:space="preserve">During discussions, </w:t>
      </w:r>
      <w:proofErr w:type="gramStart"/>
      <w:r w:rsidR="12FB1D8E">
        <w:t>the majority of</w:t>
      </w:r>
      <w:proofErr w:type="gramEnd"/>
      <w:r>
        <w:t xml:space="preserve"> providers indicated </w:t>
      </w:r>
      <w:r w:rsidR="59EF3B8A">
        <w:t xml:space="preserve">that the condition and roadworthiness of an individual vehicle are more important than mileage </w:t>
      </w:r>
      <w:r w:rsidR="7C0BE0E6">
        <w:t>in</w:t>
      </w:r>
      <w:r w:rsidR="59EF3B8A">
        <w:t xml:space="preserve"> </w:t>
      </w:r>
      <w:r w:rsidR="52D17AB4">
        <w:t xml:space="preserve">making </w:t>
      </w:r>
      <w:r>
        <w:t>decisions to retain a vehicle.</w:t>
      </w:r>
      <w:r w:rsidR="00925E7F">
        <w:t xml:space="preserve"> </w:t>
      </w:r>
      <w:r w:rsidR="006B6EFB">
        <w:t>As with Option 1, t</w:t>
      </w:r>
      <w:r w:rsidR="00925E7F">
        <w:t>he</w:t>
      </w:r>
      <w:r w:rsidR="007D1C21">
        <w:t xml:space="preserve"> </w:t>
      </w:r>
      <w:r w:rsidR="00925E7F">
        <w:t xml:space="preserve">exemption pathway </w:t>
      </w:r>
      <w:r w:rsidR="005D1624">
        <w:t xml:space="preserve">allows </w:t>
      </w:r>
      <w:r w:rsidR="00AD5E71">
        <w:t xml:space="preserve">conditions to be </w:t>
      </w:r>
      <w:r w:rsidR="001D6CC3">
        <w:t>set</w:t>
      </w:r>
      <w:r w:rsidR="00FA10F2">
        <w:t xml:space="preserve"> on approvals</w:t>
      </w:r>
      <w:r w:rsidR="00097DF9">
        <w:t>.</w:t>
      </w:r>
    </w:p>
    <w:p w14:paraId="7257E6C9" w14:textId="7461C434" w:rsidR="00DC763C" w:rsidRDefault="00316FE4" w:rsidP="276CB920">
      <w:pPr>
        <w:pStyle w:val="Body"/>
      </w:pPr>
      <w:r w:rsidRPr="00425497">
        <w:t xml:space="preserve">This option </w:t>
      </w:r>
      <w:r w:rsidR="4F75C789">
        <w:t xml:space="preserve">would </w:t>
      </w:r>
      <w:r w:rsidR="00EE7CC4">
        <w:t xml:space="preserve">also </w:t>
      </w:r>
      <w:r w:rsidR="4F75C789">
        <w:t xml:space="preserve">permit </w:t>
      </w:r>
      <w:r w:rsidRPr="00425497">
        <w:t xml:space="preserve">double-loading of </w:t>
      </w:r>
      <w:r w:rsidR="4F75C789">
        <w:t xml:space="preserve">both </w:t>
      </w:r>
      <w:r w:rsidRPr="00425497">
        <w:t>low-</w:t>
      </w:r>
      <w:r w:rsidR="4F75C789">
        <w:t xml:space="preserve">acuity </w:t>
      </w:r>
      <w:r w:rsidRPr="00425497">
        <w:t xml:space="preserve">and medium-acuity patient combinations for aeromedical </w:t>
      </w:r>
      <w:r w:rsidR="4F75C789">
        <w:t xml:space="preserve">transports. Compared with Option 1, this option permits greater capacity to double-load medium-acuity patients, which is consistent with the scope of service provision within Air Ambulance Victoria. Increased capacity to </w:t>
      </w:r>
      <w:proofErr w:type="gramStart"/>
      <w:r w:rsidR="4F75C789">
        <w:t>double-load</w:t>
      </w:r>
      <w:proofErr w:type="gramEnd"/>
      <w:r w:rsidR="4F75C789">
        <w:t xml:space="preserve"> will improve </w:t>
      </w:r>
      <w:r w:rsidR="00CE51D4">
        <w:t xml:space="preserve">efficiencies </w:t>
      </w:r>
      <w:r w:rsidR="00F922A4">
        <w:t xml:space="preserve">by improving </w:t>
      </w:r>
      <w:r w:rsidR="4F75C789">
        <w:t>bed throughput, ensuring that hospital beds can be taken by those in need and patients can receive timely care, instead of having to wait in beds longer for another flight, or take a lengthy road trip in lieu of a flight.</w:t>
      </w:r>
    </w:p>
    <w:p w14:paraId="0B19C34B" w14:textId="0E7771AC" w:rsidR="00316FE4" w:rsidRDefault="00245238" w:rsidP="00316FE4">
      <w:pPr>
        <w:pStyle w:val="Body"/>
      </w:pPr>
      <w:r>
        <w:t xml:space="preserve">The combined efficiency measures, </w:t>
      </w:r>
      <w:r w:rsidR="007F6262">
        <w:t xml:space="preserve">regulatory clarity and workforce reforms combine to </w:t>
      </w:r>
      <w:r w:rsidR="00904B82">
        <w:t xml:space="preserve">make this option significantly superior to the base case. </w:t>
      </w:r>
    </w:p>
    <w:p w14:paraId="153D10FE" w14:textId="1AC39182" w:rsidR="0045717B" w:rsidRPr="008A469D" w:rsidRDefault="001B757D" w:rsidP="00C622E0">
      <w:pPr>
        <w:pStyle w:val="Body"/>
        <w:rPr>
          <w:b/>
        </w:rPr>
      </w:pPr>
      <w:r w:rsidRPr="004B086B">
        <w:rPr>
          <w:b/>
        </w:rPr>
        <w:t xml:space="preserve">This option receives a score of </w:t>
      </w:r>
      <w:r w:rsidR="00710AE1" w:rsidRPr="004B086B">
        <w:rPr>
          <w:b/>
        </w:rPr>
        <w:t>+</w:t>
      </w:r>
      <w:r w:rsidR="00D9634A" w:rsidRPr="004B086B">
        <w:rPr>
          <w:b/>
        </w:rPr>
        <w:t>5</w:t>
      </w:r>
      <w:r w:rsidR="00710AE1" w:rsidRPr="004B086B">
        <w:rPr>
          <w:b/>
        </w:rPr>
        <w:t xml:space="preserve"> relative to the base case</w:t>
      </w:r>
      <w:r w:rsidR="00F205F9">
        <w:rPr>
          <w:b/>
        </w:rPr>
        <w:t>.</w:t>
      </w:r>
      <w:r w:rsidR="00710AE1" w:rsidRPr="004B086B">
        <w:rPr>
          <w:b/>
        </w:rPr>
        <w:t xml:space="preserve"> </w:t>
      </w:r>
    </w:p>
    <w:p w14:paraId="5242D4F9" w14:textId="2C672798" w:rsidR="007B24BC" w:rsidRPr="009D15F5" w:rsidRDefault="0045717B" w:rsidP="009D15F5">
      <w:pPr>
        <w:pStyle w:val="Heading2"/>
        <w:rPr>
          <w:rStyle w:val="Heading2Char"/>
          <w:b/>
        </w:rPr>
      </w:pPr>
      <w:bookmarkStart w:id="28" w:name="_Toc215847521"/>
      <w:r w:rsidRPr="009D15F5">
        <w:rPr>
          <w:rStyle w:val="Heading2Char"/>
          <w:b/>
        </w:rPr>
        <w:t>Costs</w:t>
      </w:r>
      <w:bookmarkEnd w:id="28"/>
    </w:p>
    <w:p w14:paraId="7FEE88F3" w14:textId="241A4207" w:rsidR="0045717B" w:rsidRPr="004E19CD" w:rsidRDefault="00F0678D" w:rsidP="009D15F5">
      <w:pPr>
        <w:pStyle w:val="Heading3"/>
        <w:rPr>
          <w:rFonts w:eastAsia="MS Mincho"/>
          <w:b/>
          <w:sz w:val="24"/>
          <w:szCs w:val="22"/>
        </w:rPr>
      </w:pPr>
      <w:r>
        <w:t>The base case</w:t>
      </w:r>
    </w:p>
    <w:p w14:paraId="000D7DD3" w14:textId="40497D28" w:rsidR="0093007A" w:rsidRDefault="00730D28" w:rsidP="00360D02">
      <w:pPr>
        <w:pStyle w:val="Body"/>
      </w:pPr>
      <w:r>
        <w:t xml:space="preserve">For the purposes of this analysis, </w:t>
      </w:r>
      <w:r w:rsidR="00F87D2E">
        <w:t>the incremental costs</w:t>
      </w:r>
      <w:r w:rsidR="00BA1DD7">
        <w:t xml:space="preserve"> imposed by the </w:t>
      </w:r>
      <w:r w:rsidR="006512E9">
        <w:t xml:space="preserve">current </w:t>
      </w:r>
      <w:r w:rsidR="00B4660B">
        <w:t xml:space="preserve">Regulations </w:t>
      </w:r>
      <w:r w:rsidR="0037555F">
        <w:t xml:space="preserve">(Option 1) </w:t>
      </w:r>
      <w:r w:rsidR="006512E9">
        <w:t xml:space="preserve">and the proposed </w:t>
      </w:r>
      <w:r w:rsidR="00B4660B">
        <w:t xml:space="preserve">Regulations </w:t>
      </w:r>
      <w:r w:rsidR="00B57B80">
        <w:t xml:space="preserve">(Option 2) </w:t>
      </w:r>
      <w:r w:rsidR="00BA1DD7">
        <w:t>are compar</w:t>
      </w:r>
      <w:r w:rsidR="00FF6F4C">
        <w:t xml:space="preserve">ed against a theoretical scenario where there are no NEPT </w:t>
      </w:r>
      <w:r w:rsidR="00B4660B">
        <w:t>Regulations</w:t>
      </w:r>
      <w:r w:rsidR="003A2066">
        <w:t xml:space="preserve">, where they are </w:t>
      </w:r>
      <w:r w:rsidR="00D5059B">
        <w:t xml:space="preserve">allowed to expire without replacement. </w:t>
      </w:r>
      <w:r w:rsidR="00ED5743">
        <w:t>Th</w:t>
      </w:r>
      <w:r w:rsidR="006243E3">
        <w:t xml:space="preserve">e base case is not a scenario that </w:t>
      </w:r>
      <w:r w:rsidR="005157C8">
        <w:t xml:space="preserve">is realistic for a range of reasons, however it does </w:t>
      </w:r>
      <w:r w:rsidR="00716B2D">
        <w:t xml:space="preserve">provide for </w:t>
      </w:r>
      <w:r w:rsidR="00F92B4E">
        <w:t xml:space="preserve">a relative benchmark for understanding the </w:t>
      </w:r>
      <w:r w:rsidR="00417C60">
        <w:t xml:space="preserve">incremental costs of making the Regulations. </w:t>
      </w:r>
    </w:p>
    <w:p w14:paraId="7A1CA380" w14:textId="5C565282" w:rsidR="00F0678D" w:rsidRPr="00523CAD" w:rsidRDefault="008A3E0F" w:rsidP="00360D02">
      <w:pPr>
        <w:pStyle w:val="Body"/>
      </w:pPr>
      <w:r>
        <w:t>Under the base case</w:t>
      </w:r>
      <w:r w:rsidR="002C5391">
        <w:t xml:space="preserve"> of allowing the Regulations to expire</w:t>
      </w:r>
      <w:r w:rsidR="00444CC8">
        <w:t xml:space="preserve">, </w:t>
      </w:r>
      <w:r w:rsidR="00AB6B9A">
        <w:t xml:space="preserve">there are a range of </w:t>
      </w:r>
      <w:r w:rsidR="00D27C7B">
        <w:t xml:space="preserve">factors and safeguards that would make it unlikely that operators would </w:t>
      </w:r>
      <w:r w:rsidR="004852B5">
        <w:t xml:space="preserve">cease to </w:t>
      </w:r>
      <w:r w:rsidR="00CB5A5E">
        <w:t xml:space="preserve">operate safely </w:t>
      </w:r>
      <w:r w:rsidR="00D21F77">
        <w:t xml:space="preserve">in line with existing </w:t>
      </w:r>
      <w:r w:rsidR="003A2066">
        <w:t>operations</w:t>
      </w:r>
      <w:r w:rsidR="00D21F77">
        <w:t xml:space="preserve"> in the absence of </w:t>
      </w:r>
      <w:r w:rsidR="00344623">
        <w:t>a regulatory requirement.</w:t>
      </w:r>
      <w:r w:rsidR="00CC6107">
        <w:t xml:space="preserve"> </w:t>
      </w:r>
      <w:r w:rsidR="00A06481">
        <w:t>I</w:t>
      </w:r>
      <w:r w:rsidR="0055777F">
        <w:t>n</w:t>
      </w:r>
      <w:r w:rsidR="00A06481">
        <w:t xml:space="preserve"> the absence of regulations, </w:t>
      </w:r>
      <w:r w:rsidR="00030FD2">
        <w:t>NEPT trips contracted through A</w:t>
      </w:r>
      <w:r w:rsidR="000B47A5">
        <w:t xml:space="preserve">mbulance </w:t>
      </w:r>
      <w:r w:rsidR="00030FD2">
        <w:t>V</w:t>
      </w:r>
      <w:r w:rsidR="000B47A5">
        <w:t>ictoria</w:t>
      </w:r>
      <w:r w:rsidR="00030FD2">
        <w:t xml:space="preserve"> would </w:t>
      </w:r>
      <w:r w:rsidR="007D5126">
        <w:t xml:space="preserve">still be subject to contractual obligations </w:t>
      </w:r>
      <w:r w:rsidR="004C467C">
        <w:t xml:space="preserve">to ensure safe and appropriate </w:t>
      </w:r>
      <w:r w:rsidR="00A04489">
        <w:t>transport</w:t>
      </w:r>
      <w:r w:rsidR="00E224D2">
        <w:t xml:space="preserve">ation. </w:t>
      </w:r>
      <w:r w:rsidR="00A60A5E">
        <w:t xml:space="preserve">Health service facilities </w:t>
      </w:r>
      <w:r w:rsidR="00B300B4">
        <w:t>transferring patients would still have</w:t>
      </w:r>
      <w:r w:rsidR="000C528A">
        <w:t xml:space="preserve"> </w:t>
      </w:r>
      <w:r w:rsidR="00D15EAE">
        <w:t xml:space="preserve">safe patient care </w:t>
      </w:r>
      <w:r w:rsidR="00107C0D">
        <w:t>obligations</w:t>
      </w:r>
      <w:r w:rsidR="00D15EAE">
        <w:t>,</w:t>
      </w:r>
      <w:r w:rsidR="00107C0D">
        <w:t xml:space="preserve"> and NEPT providers would still have obligations to provide safe services </w:t>
      </w:r>
      <w:r w:rsidR="00F36316">
        <w:t xml:space="preserve">in line </w:t>
      </w:r>
      <w:r w:rsidR="00F36316" w:rsidRPr="00523CAD">
        <w:t>with the broad</w:t>
      </w:r>
      <w:r w:rsidR="00264258" w:rsidRPr="00523CAD">
        <w:t xml:space="preserve">er requirements in the Act and through </w:t>
      </w:r>
      <w:r w:rsidR="00916907" w:rsidRPr="00523CAD">
        <w:t xml:space="preserve">other legislation and regulations </w:t>
      </w:r>
      <w:r w:rsidR="00FF2289" w:rsidRPr="00523CAD">
        <w:t>such as</w:t>
      </w:r>
      <w:r w:rsidR="00F5214C">
        <w:t xml:space="preserve"> o</w:t>
      </w:r>
      <w:r w:rsidR="005A2933">
        <w:t xml:space="preserve">ccupational health and safety </w:t>
      </w:r>
      <w:r w:rsidR="00C60C75">
        <w:t>obligations.</w:t>
      </w:r>
    </w:p>
    <w:p w14:paraId="0D37C16E" w14:textId="598D6030" w:rsidR="006453DE" w:rsidRDefault="0054501D" w:rsidP="00360D02">
      <w:pPr>
        <w:pStyle w:val="Body"/>
      </w:pPr>
      <w:r>
        <w:t>The re</w:t>
      </w:r>
      <w:r w:rsidR="008A68C8">
        <w:t>forms introduced in the</w:t>
      </w:r>
      <w:r w:rsidR="0002215D" w:rsidRPr="00BE696B">
        <w:t xml:space="preserve"> 2016 </w:t>
      </w:r>
      <w:r w:rsidR="005C1A95">
        <w:t>remaking of the Regulations</w:t>
      </w:r>
      <w:r w:rsidR="0002215D" w:rsidRPr="00BE696B">
        <w:t xml:space="preserve">, primarily focused on </w:t>
      </w:r>
      <w:r w:rsidR="00174F22">
        <w:t xml:space="preserve">minimum </w:t>
      </w:r>
      <w:r w:rsidR="0002215D" w:rsidRPr="00BE696B">
        <w:t>staffing</w:t>
      </w:r>
      <w:r w:rsidR="00174F22">
        <w:t xml:space="preserve"> requirements</w:t>
      </w:r>
      <w:r w:rsidR="0002215D" w:rsidRPr="00BE696B">
        <w:t xml:space="preserve">, </w:t>
      </w:r>
      <w:r w:rsidR="00174F22">
        <w:t>are</w:t>
      </w:r>
      <w:r w:rsidR="0002215D" w:rsidRPr="00BE696B">
        <w:t xml:space="preserve"> well </w:t>
      </w:r>
      <w:r w:rsidR="0049756E" w:rsidRPr="00BE696B">
        <w:t xml:space="preserve">established and considered to be </w:t>
      </w:r>
      <w:r w:rsidR="007D11B3" w:rsidRPr="00BE696B">
        <w:t>a standard cost of doing business</w:t>
      </w:r>
      <w:r w:rsidR="00174F22">
        <w:t xml:space="preserve"> in the NEPT sector</w:t>
      </w:r>
      <w:r w:rsidR="007D11B3" w:rsidRPr="00BE696B">
        <w:t xml:space="preserve">. </w:t>
      </w:r>
      <w:r w:rsidR="003F0A72" w:rsidRPr="00BE696B">
        <w:t xml:space="preserve">The more recent changes </w:t>
      </w:r>
      <w:r w:rsidR="009E0A05" w:rsidRPr="00BE696B">
        <w:t>from 2021</w:t>
      </w:r>
      <w:r w:rsidR="00AE280A" w:rsidRPr="00BE696B">
        <w:t xml:space="preserve">, which </w:t>
      </w:r>
      <w:r w:rsidR="009E0A05" w:rsidRPr="00BE696B">
        <w:t>includ</w:t>
      </w:r>
      <w:r w:rsidR="00AE280A" w:rsidRPr="00BE696B">
        <w:t>e</w:t>
      </w:r>
      <w:r w:rsidR="00254144" w:rsidRPr="00BE696B">
        <w:t>d</w:t>
      </w:r>
      <w:r w:rsidR="009E0A05" w:rsidRPr="00BE696B">
        <w:t xml:space="preserve"> </w:t>
      </w:r>
      <w:r w:rsidR="00A24874" w:rsidRPr="00BE696B">
        <w:t xml:space="preserve">provisions with </w:t>
      </w:r>
      <w:r w:rsidR="00254144" w:rsidRPr="00BE696B">
        <w:t xml:space="preserve">significantly delayed </w:t>
      </w:r>
      <w:r w:rsidR="00274D12" w:rsidRPr="00BE696B">
        <w:t>commencement</w:t>
      </w:r>
      <w:r w:rsidR="00A24874" w:rsidRPr="00BE696B">
        <w:t xml:space="preserve"> are </w:t>
      </w:r>
      <w:r w:rsidR="00274D12" w:rsidRPr="00BE696B">
        <w:t xml:space="preserve">much </w:t>
      </w:r>
      <w:r w:rsidR="00A24874" w:rsidRPr="00BE696B">
        <w:t xml:space="preserve">more recent, less </w:t>
      </w:r>
      <w:r w:rsidR="00274D12" w:rsidRPr="00BE696B">
        <w:t xml:space="preserve">well </w:t>
      </w:r>
      <w:r w:rsidR="00A24874" w:rsidRPr="00BE696B">
        <w:t xml:space="preserve">embedded in standard practice and </w:t>
      </w:r>
      <w:r w:rsidR="000F6316" w:rsidRPr="00BE696B">
        <w:t xml:space="preserve">as such </w:t>
      </w:r>
      <w:r w:rsidR="00A24874" w:rsidRPr="00BE696B">
        <w:t xml:space="preserve">there would likely be some drop off in </w:t>
      </w:r>
      <w:r w:rsidR="000F6316" w:rsidRPr="00BE696B">
        <w:t xml:space="preserve">the </w:t>
      </w:r>
      <w:r w:rsidR="00864A7B" w:rsidRPr="00BE696B">
        <w:t xml:space="preserve">standard </w:t>
      </w:r>
      <w:r w:rsidR="00AE49DF" w:rsidRPr="00BE696B">
        <w:t>of service</w:t>
      </w:r>
      <w:r w:rsidR="00864A7B" w:rsidRPr="00BE696B">
        <w:t xml:space="preserve"> </w:t>
      </w:r>
      <w:r w:rsidR="005F4B06" w:rsidRPr="00BE696B">
        <w:t>if the Regulations were allowed to sunset.</w:t>
      </w:r>
    </w:p>
    <w:p w14:paraId="7D10E4DF" w14:textId="69CD912C" w:rsidR="00305AC9" w:rsidRDefault="00305AC9" w:rsidP="00360D02">
      <w:pPr>
        <w:pStyle w:val="Body"/>
      </w:pPr>
      <w:r>
        <w:t xml:space="preserve">For these reasons, </w:t>
      </w:r>
      <w:r w:rsidR="009E3951">
        <w:t xml:space="preserve">for the purposes of this analysis, </w:t>
      </w:r>
      <w:r w:rsidR="00F717EC">
        <w:t xml:space="preserve">it is assumed that </w:t>
      </w:r>
      <w:r w:rsidR="00157898">
        <w:t xml:space="preserve">in the base case there would be </w:t>
      </w:r>
      <w:r w:rsidR="00DD2E46">
        <w:t xml:space="preserve">deviations from the regulation requirements that would be gradual and </w:t>
      </w:r>
      <w:r w:rsidR="001D485E">
        <w:t xml:space="preserve">probably limited to </w:t>
      </w:r>
      <w:r w:rsidR="00351135">
        <w:t xml:space="preserve">a small number of </w:t>
      </w:r>
      <w:r w:rsidR="00EB6637">
        <w:t xml:space="preserve">changes. </w:t>
      </w:r>
      <w:r w:rsidR="00E45D80">
        <w:t xml:space="preserve"> </w:t>
      </w:r>
    </w:p>
    <w:p w14:paraId="71461E56" w14:textId="4AAFCBCC" w:rsidR="00302867" w:rsidRPr="007C3022" w:rsidRDefault="00302867" w:rsidP="009D15F5">
      <w:pPr>
        <w:pStyle w:val="Heading3"/>
      </w:pPr>
      <w:r w:rsidRPr="007C3022">
        <w:lastRenderedPageBreak/>
        <w:t xml:space="preserve">Calculating the incremental costs of </w:t>
      </w:r>
      <w:r w:rsidR="008E7E0A">
        <w:t>Option 1</w:t>
      </w:r>
    </w:p>
    <w:p w14:paraId="223EECAB" w14:textId="41B0AB23" w:rsidR="000603E3" w:rsidRDefault="000163E7" w:rsidP="000603E3">
      <w:pPr>
        <w:pStyle w:val="Body"/>
      </w:pPr>
      <w:r>
        <w:t xml:space="preserve">Option 1, representing the status quo of remaking the current </w:t>
      </w:r>
      <w:r w:rsidR="00B4660B">
        <w:t xml:space="preserve">Regulations </w:t>
      </w:r>
      <w:r>
        <w:t>as amended in 2021</w:t>
      </w:r>
      <w:r w:rsidR="00777C1C">
        <w:t xml:space="preserve"> </w:t>
      </w:r>
      <w:r w:rsidR="003F1A64">
        <w:t xml:space="preserve">has </w:t>
      </w:r>
      <w:r w:rsidR="00FB5079">
        <w:t>costs estimated</w:t>
      </w:r>
      <w:r w:rsidR="00A9173D">
        <w:t xml:space="preserve"> from </w:t>
      </w:r>
      <w:r w:rsidR="00316A9C">
        <w:t xml:space="preserve">an assumed </w:t>
      </w:r>
      <w:r w:rsidR="007D79A8">
        <w:t>deviation from the refor</w:t>
      </w:r>
      <w:r w:rsidR="00185E67">
        <w:t xml:space="preserve">ms introduced </w:t>
      </w:r>
      <w:r w:rsidR="00811379">
        <w:t xml:space="preserve">in the amendment </w:t>
      </w:r>
      <w:r w:rsidR="00B4660B">
        <w:t>R</w:t>
      </w:r>
      <w:r w:rsidR="00811379">
        <w:t xml:space="preserve">egulations. </w:t>
      </w:r>
      <w:r w:rsidR="00D40741">
        <w:t xml:space="preserve">Government funding </w:t>
      </w:r>
      <w:r w:rsidR="00F8012A">
        <w:t>and contract</w:t>
      </w:r>
      <w:r w:rsidR="00893E66">
        <w:t xml:space="preserve">ual obligations </w:t>
      </w:r>
      <w:r w:rsidR="0012556C">
        <w:t xml:space="preserve">represent significant barriers against substantial changes in </w:t>
      </w:r>
      <w:r w:rsidR="00026E44">
        <w:t xml:space="preserve">investment by NEPT providers </w:t>
      </w:r>
      <w:r w:rsidR="00C17784">
        <w:t xml:space="preserve">away from the current requirements. </w:t>
      </w:r>
    </w:p>
    <w:p w14:paraId="49C8FF08" w14:textId="31A22652" w:rsidR="000603E3" w:rsidRDefault="000603E3" w:rsidP="000603E3">
      <w:pPr>
        <w:pStyle w:val="Body"/>
      </w:pPr>
      <w:r>
        <w:t xml:space="preserve">The 2016 </w:t>
      </w:r>
      <w:r w:rsidR="00B4660B">
        <w:t xml:space="preserve">Regulations </w:t>
      </w:r>
      <w:r>
        <w:t xml:space="preserve">introduced </w:t>
      </w:r>
      <w:proofErr w:type="gramStart"/>
      <w:r>
        <w:t>a number of</w:t>
      </w:r>
      <w:proofErr w:type="gramEnd"/>
      <w:r>
        <w:t xml:space="preserve"> minimum staffing requirements that are now well established throughout the industry, this analysis does not consider it likely that in the absence of regulations, that providers would reduce staffing levels below these minimum requirements. </w:t>
      </w:r>
    </w:p>
    <w:p w14:paraId="288AC7C6" w14:textId="65ACC6BA" w:rsidR="005526E5" w:rsidRDefault="003F6ED7" w:rsidP="000603E3">
      <w:pPr>
        <w:pStyle w:val="Body"/>
      </w:pPr>
      <w:r>
        <w:t xml:space="preserve">The most substantial cost of the 2021 amendment Regulations is attributable to the requirement for all stretcher vehicles to have powerlift stretchers and lifting cushions. </w:t>
      </w:r>
      <w:r w:rsidR="00932D1C">
        <w:t>A 10</w:t>
      </w:r>
      <w:r w:rsidR="006E379D">
        <w:rPr>
          <w:rFonts w:cs="Arial"/>
        </w:rPr>
        <w:t xml:space="preserve"> percent</w:t>
      </w:r>
      <w:r w:rsidR="00932D1C">
        <w:t xml:space="preserve"> </w:t>
      </w:r>
      <w:r w:rsidR="00A65F95">
        <w:t xml:space="preserve">deviation from the Regulations is assumed in the base case, the incremental cost of the </w:t>
      </w:r>
      <w:r w:rsidR="00B4660B">
        <w:t xml:space="preserve">Regulations </w:t>
      </w:r>
      <w:r w:rsidR="00726D25">
        <w:t xml:space="preserve">is </w:t>
      </w:r>
      <w:r w:rsidR="00FC3FA4">
        <w:t xml:space="preserve">therefore </w:t>
      </w:r>
      <w:r w:rsidR="00FA6386">
        <w:t>t</w:t>
      </w:r>
      <w:r w:rsidR="00726D25">
        <w:t xml:space="preserve">he </w:t>
      </w:r>
      <w:r w:rsidR="0080003D">
        <w:t>cost</w:t>
      </w:r>
      <w:r w:rsidR="006D1CFA">
        <w:t xml:space="preserve"> of that </w:t>
      </w:r>
      <w:r w:rsidR="007533DE">
        <w:t>10</w:t>
      </w:r>
      <w:r w:rsidR="006E379D">
        <w:rPr>
          <w:rFonts w:cs="Arial"/>
        </w:rPr>
        <w:t xml:space="preserve"> percent</w:t>
      </w:r>
      <w:r w:rsidR="007533DE">
        <w:t xml:space="preserve"> deviation. </w:t>
      </w:r>
      <w:r w:rsidR="00BD27CE">
        <w:t>Assuming that only 90</w:t>
      </w:r>
      <w:r w:rsidR="006E379D">
        <w:rPr>
          <w:rFonts w:cs="Arial"/>
        </w:rPr>
        <w:t xml:space="preserve"> percent</w:t>
      </w:r>
      <w:r w:rsidR="00BD27CE">
        <w:t xml:space="preserve"> of </w:t>
      </w:r>
      <w:r w:rsidR="002C0090">
        <w:t>new vehicles</w:t>
      </w:r>
      <w:r w:rsidR="00936631">
        <w:t xml:space="preserve"> are fitted with</w:t>
      </w:r>
      <w:r w:rsidR="00D14A25">
        <w:t xml:space="preserve"> these two pieces of equipment </w:t>
      </w:r>
      <w:r w:rsidR="00DF315C">
        <w:t xml:space="preserve">represents an incremental cost of </w:t>
      </w:r>
      <w:r w:rsidR="00721F21">
        <w:t>approximately $</w:t>
      </w:r>
      <w:r w:rsidR="00D43864">
        <w:t>2.4</w:t>
      </w:r>
      <w:r w:rsidR="00721F21">
        <w:t xml:space="preserve"> million over </w:t>
      </w:r>
      <w:r w:rsidR="00053915">
        <w:t xml:space="preserve">the life of the </w:t>
      </w:r>
      <w:r w:rsidR="00B4660B">
        <w:t xml:space="preserve">Regulations </w:t>
      </w:r>
      <w:r w:rsidR="001C1F9E">
        <w:t>relative to the base case</w:t>
      </w:r>
      <w:r w:rsidR="00053915">
        <w:t xml:space="preserve">. </w:t>
      </w:r>
    </w:p>
    <w:p w14:paraId="32F1ADF2" w14:textId="5D7C899F" w:rsidR="00530233" w:rsidRDefault="00A236D8" w:rsidP="000603E3">
      <w:pPr>
        <w:pStyle w:val="Body"/>
      </w:pPr>
      <w:r>
        <w:t xml:space="preserve">The second </w:t>
      </w:r>
      <w:r w:rsidR="008C56B2">
        <w:t xml:space="preserve">cost significant reform introduced in 2021 was the restriction on </w:t>
      </w:r>
      <w:r w:rsidR="006B31EF">
        <w:t xml:space="preserve">vehicle mileage </w:t>
      </w:r>
      <w:r w:rsidR="00CA6B63">
        <w:t xml:space="preserve">to </w:t>
      </w:r>
      <w:r w:rsidR="001F11E0">
        <w:t>400 000</w:t>
      </w:r>
      <w:r w:rsidR="00B4354C">
        <w:t xml:space="preserve"> </w:t>
      </w:r>
      <w:r w:rsidR="0084675B">
        <w:t>km</w:t>
      </w:r>
      <w:r w:rsidR="00C323E8">
        <w:t>.</w:t>
      </w:r>
      <w:r w:rsidR="001A493D">
        <w:t xml:space="preserve"> </w:t>
      </w:r>
      <w:r w:rsidR="00D41E0E">
        <w:t xml:space="preserve">The </w:t>
      </w:r>
      <w:r w:rsidR="00B15726">
        <w:t>undiscounted</w:t>
      </w:r>
      <w:r w:rsidR="00D41E0E">
        <w:t xml:space="preserve"> cost of this </w:t>
      </w:r>
      <w:r w:rsidR="00697A56">
        <w:t xml:space="preserve">regulation relative to the base case </w:t>
      </w:r>
      <w:r w:rsidR="004D7D30">
        <w:t xml:space="preserve">would be </w:t>
      </w:r>
      <w:r w:rsidR="003E356B">
        <w:t>approximately $351 000 annually</w:t>
      </w:r>
      <w:r w:rsidR="00797B4A">
        <w:t>, representing</w:t>
      </w:r>
      <w:r w:rsidR="00CB3662">
        <w:t xml:space="preserve"> a total </w:t>
      </w:r>
      <w:r w:rsidR="00797B4A">
        <w:t xml:space="preserve">discounted </w:t>
      </w:r>
      <w:r w:rsidR="00CB3662">
        <w:t xml:space="preserve">cost of </w:t>
      </w:r>
      <w:r w:rsidR="00C4144F">
        <w:t>approximately $</w:t>
      </w:r>
      <w:r w:rsidR="00560AAB">
        <w:t>2.9</w:t>
      </w:r>
      <w:r w:rsidR="00C4144F">
        <w:t xml:space="preserve"> million over the </w:t>
      </w:r>
      <w:r w:rsidR="00351C26">
        <w:t>10-year</w:t>
      </w:r>
      <w:r w:rsidR="00C4144F">
        <w:t xml:space="preserve"> life of the </w:t>
      </w:r>
      <w:r w:rsidR="00B4660B">
        <w:t>Regulations</w:t>
      </w:r>
      <w:r w:rsidR="00C4144F">
        <w:t xml:space="preserve">. </w:t>
      </w:r>
    </w:p>
    <w:p w14:paraId="51447368" w14:textId="39259B98" w:rsidR="00D42601" w:rsidRDefault="00A331FB" w:rsidP="00D42601">
      <w:pPr>
        <w:pStyle w:val="Body"/>
      </w:pPr>
      <w:r>
        <w:t xml:space="preserve">Finally, </w:t>
      </w:r>
      <w:r w:rsidR="004B04D9">
        <w:t>the Royal Flying Doctor Service</w:t>
      </w:r>
      <w:r w:rsidR="00651304">
        <w:t xml:space="preserve"> (RFDS)</w:t>
      </w:r>
      <w:r w:rsidR="004B04D9">
        <w:t xml:space="preserve"> </w:t>
      </w:r>
      <w:r w:rsidR="00B33350">
        <w:t xml:space="preserve">request to </w:t>
      </w:r>
      <w:r w:rsidR="001A1EE0">
        <w:t>remove some restrictions on multi-loading patients for aero</w:t>
      </w:r>
      <w:r w:rsidR="0062127D">
        <w:t>medical</w:t>
      </w:r>
      <w:r w:rsidR="001A1EE0">
        <w:t xml:space="preserve"> transportation </w:t>
      </w:r>
      <w:r w:rsidR="008C183C">
        <w:t xml:space="preserve">is considered in costings for Option 1. This is because in the absence of the regulatory restriction, the RFDS would </w:t>
      </w:r>
      <w:r w:rsidR="000A56A9">
        <w:t>undertake th</w:t>
      </w:r>
      <w:r w:rsidR="00BA30EE">
        <w:t>ese</w:t>
      </w:r>
      <w:r w:rsidR="000A56A9">
        <w:t xml:space="preserve"> multiloading</w:t>
      </w:r>
      <w:r w:rsidR="0041696C">
        <w:t xml:space="preserve"> trips</w:t>
      </w:r>
      <w:r w:rsidR="000A56A9">
        <w:t xml:space="preserve">. </w:t>
      </w:r>
      <w:r w:rsidR="00BF2245">
        <w:t xml:space="preserve">Costings provided by </w:t>
      </w:r>
      <w:r w:rsidR="00B30D2D">
        <w:t xml:space="preserve">RFDS </w:t>
      </w:r>
      <w:r w:rsidR="00BF2245">
        <w:t xml:space="preserve">indicate that the </w:t>
      </w:r>
      <w:r w:rsidR="0080433F">
        <w:t xml:space="preserve">multiloading restriction represents a cost of </w:t>
      </w:r>
      <w:r w:rsidR="00443FAC">
        <w:t xml:space="preserve">approximately </w:t>
      </w:r>
      <w:r w:rsidR="007C0D98">
        <w:t>$0.</w:t>
      </w:r>
      <w:r w:rsidR="0037448E">
        <w:t>5</w:t>
      </w:r>
      <w:r w:rsidR="007C0D98">
        <w:t xml:space="preserve"> million o</w:t>
      </w:r>
      <w:r w:rsidR="00861CC6">
        <w:t xml:space="preserve">ver 10 years. </w:t>
      </w:r>
    </w:p>
    <w:p w14:paraId="29E5D2C1" w14:textId="79024722" w:rsidR="00AC5079" w:rsidRDefault="00AC5079" w:rsidP="000603E3">
      <w:pPr>
        <w:pStyle w:val="Body"/>
      </w:pPr>
      <w:r>
        <w:t xml:space="preserve">The total </w:t>
      </w:r>
      <w:r w:rsidR="00790322">
        <w:t xml:space="preserve">estimated </w:t>
      </w:r>
      <w:r w:rsidR="00861CC6">
        <w:t xml:space="preserve">incremental </w:t>
      </w:r>
      <w:r w:rsidR="00790322">
        <w:t xml:space="preserve">cost of Option 1 </w:t>
      </w:r>
      <w:r w:rsidR="003804F6">
        <w:t xml:space="preserve">is </w:t>
      </w:r>
      <w:r w:rsidR="003804F6" w:rsidRPr="00CE1252">
        <w:rPr>
          <w:b/>
          <w:bCs/>
        </w:rPr>
        <w:t>$</w:t>
      </w:r>
      <w:r w:rsidR="00D03CDF">
        <w:rPr>
          <w:b/>
          <w:bCs/>
        </w:rPr>
        <w:t>5.9</w:t>
      </w:r>
      <w:r w:rsidR="003804F6" w:rsidRPr="00CE1252">
        <w:rPr>
          <w:b/>
          <w:bCs/>
        </w:rPr>
        <w:t xml:space="preserve"> million</w:t>
      </w:r>
      <w:r w:rsidR="003804F6">
        <w:t xml:space="preserve"> over 10 years. </w:t>
      </w:r>
    </w:p>
    <w:p w14:paraId="5BEA36E9" w14:textId="0E4A0DF0" w:rsidR="007F7C5F" w:rsidRPr="004B086B" w:rsidRDefault="0010529F" w:rsidP="00360D02">
      <w:pPr>
        <w:pStyle w:val="Body"/>
        <w:rPr>
          <w:b/>
        </w:rPr>
      </w:pPr>
      <w:r w:rsidRPr="004B086B">
        <w:rPr>
          <w:b/>
        </w:rPr>
        <w:t xml:space="preserve">Option 1 </w:t>
      </w:r>
      <w:r w:rsidR="00F55425" w:rsidRPr="004B086B">
        <w:rPr>
          <w:b/>
        </w:rPr>
        <w:t>receives a score of -</w:t>
      </w:r>
      <w:r w:rsidR="00926393" w:rsidRPr="004B086B">
        <w:rPr>
          <w:b/>
        </w:rPr>
        <w:t>3</w:t>
      </w:r>
      <w:r w:rsidR="00F55425" w:rsidRPr="004B086B">
        <w:rPr>
          <w:b/>
        </w:rPr>
        <w:t xml:space="preserve"> relative to the base case for the cost criterion. </w:t>
      </w:r>
    </w:p>
    <w:p w14:paraId="5602D47E" w14:textId="7B770D90" w:rsidR="00CD039A" w:rsidRPr="00D53702" w:rsidRDefault="00CD039A" w:rsidP="009D15F5">
      <w:pPr>
        <w:pStyle w:val="Heading3"/>
      </w:pPr>
      <w:r w:rsidRPr="007C3022">
        <w:t>Calculating the i</w:t>
      </w:r>
      <w:r w:rsidRPr="00D53702">
        <w:t>ncremental costs</w:t>
      </w:r>
      <w:r w:rsidR="00BF48C4" w:rsidRPr="00D53702">
        <w:t xml:space="preserve"> </w:t>
      </w:r>
      <w:r w:rsidR="007F7C5F" w:rsidRPr="00D53702">
        <w:t>of Option 2</w:t>
      </w:r>
    </w:p>
    <w:p w14:paraId="203A2779" w14:textId="4FCFCC43" w:rsidR="007F7C5F" w:rsidRDefault="00527D4F" w:rsidP="00360D02">
      <w:pPr>
        <w:pStyle w:val="Body"/>
      </w:pPr>
      <w:r>
        <w:t xml:space="preserve">The costs of Option 2 are estimated by </w:t>
      </w:r>
      <w:r w:rsidR="006C3063">
        <w:t xml:space="preserve">taking </w:t>
      </w:r>
      <w:r w:rsidR="002E64CB">
        <w:t xml:space="preserve">the </w:t>
      </w:r>
      <w:r w:rsidR="006C3063">
        <w:t>costs</w:t>
      </w:r>
      <w:r w:rsidR="006F2852">
        <w:t xml:space="preserve"> </w:t>
      </w:r>
      <w:r w:rsidR="00984FCE">
        <w:t xml:space="preserve">estimated in </w:t>
      </w:r>
      <w:r w:rsidR="0089201D">
        <w:t>Option 1</w:t>
      </w:r>
      <w:r w:rsidR="00984FCE">
        <w:t>, adding a</w:t>
      </w:r>
      <w:r w:rsidR="000C0B9C">
        <w:t xml:space="preserve">n estimated cost for the </w:t>
      </w:r>
      <w:r w:rsidR="006D4B2C">
        <w:t xml:space="preserve">proposed requirement to mandate </w:t>
      </w:r>
      <w:r w:rsidR="00FA5A56">
        <w:t>that staff training include a face</w:t>
      </w:r>
      <w:r w:rsidR="008C3CB5">
        <w:t>-</w:t>
      </w:r>
      <w:r w:rsidR="00FA5A56">
        <w:t>to</w:t>
      </w:r>
      <w:r w:rsidR="008C3CB5">
        <w:t>-</w:t>
      </w:r>
      <w:r w:rsidR="00FA5A56">
        <w:t>face component</w:t>
      </w:r>
      <w:r w:rsidR="00DB22D1">
        <w:t>,</w:t>
      </w:r>
      <w:r w:rsidR="00FA5A56">
        <w:t xml:space="preserve"> and subtracting the costs </w:t>
      </w:r>
      <w:r w:rsidR="00F46ADB">
        <w:t xml:space="preserve">the current vehicle mileage restriction </w:t>
      </w:r>
      <w:r w:rsidR="00452355">
        <w:t xml:space="preserve">and </w:t>
      </w:r>
      <w:r w:rsidR="00546E5F">
        <w:t xml:space="preserve">the </w:t>
      </w:r>
      <w:r w:rsidR="00DB22D1">
        <w:t xml:space="preserve">current </w:t>
      </w:r>
      <w:r w:rsidR="00546E5F">
        <w:t xml:space="preserve">restriction relevant to multiloading </w:t>
      </w:r>
      <w:r w:rsidR="00D04035">
        <w:t>aero</w:t>
      </w:r>
      <w:r w:rsidR="0062127D">
        <w:t xml:space="preserve">medical </w:t>
      </w:r>
      <w:r w:rsidR="00D04035">
        <w:t xml:space="preserve">transportation </w:t>
      </w:r>
      <w:r w:rsidR="00DE726F">
        <w:t xml:space="preserve">described in the Option 1 costs. </w:t>
      </w:r>
    </w:p>
    <w:p w14:paraId="0549322E" w14:textId="74D5CA89" w:rsidR="007F7C5F" w:rsidRDefault="00187943" w:rsidP="00360D02">
      <w:pPr>
        <w:pStyle w:val="Body"/>
      </w:pPr>
      <w:r>
        <w:t xml:space="preserve">A survey </w:t>
      </w:r>
      <w:r w:rsidR="001209BD">
        <w:t xml:space="preserve">sent to NEPT providers in advance of this RIS indicated that is already standard practice </w:t>
      </w:r>
      <w:r w:rsidR="005F0A24">
        <w:t>for staff training to include a face to face component</w:t>
      </w:r>
      <w:r w:rsidR="00F64687">
        <w:t xml:space="preserve"> as </w:t>
      </w:r>
      <w:r w:rsidR="00E70053">
        <w:t xml:space="preserve">every </w:t>
      </w:r>
      <w:r w:rsidR="0073134E">
        <w:t>provider</w:t>
      </w:r>
      <w:r w:rsidR="00100B52">
        <w:t xml:space="preserve"> that responded includes this </w:t>
      </w:r>
      <w:r w:rsidR="00D23AA5">
        <w:t>in their training</w:t>
      </w:r>
      <w:r w:rsidR="00C04B5B">
        <w:t>, however, as the survey was not responded to by every provider, it cannot be assumed that 100</w:t>
      </w:r>
      <w:r w:rsidR="006E379D">
        <w:rPr>
          <w:rFonts w:cs="Arial"/>
        </w:rPr>
        <w:t xml:space="preserve"> percent</w:t>
      </w:r>
      <w:r w:rsidR="00C04B5B">
        <w:t xml:space="preserve"> of providers </w:t>
      </w:r>
      <w:r w:rsidR="006B679C">
        <w:t xml:space="preserve">include face to face training for all staff. As such, this proposed requirement is modelled </w:t>
      </w:r>
      <w:r w:rsidR="005E28D6">
        <w:t>against 10</w:t>
      </w:r>
      <w:r w:rsidR="006E379D">
        <w:rPr>
          <w:rFonts w:cs="Arial"/>
        </w:rPr>
        <w:t xml:space="preserve"> percent</w:t>
      </w:r>
      <w:r w:rsidR="005E28D6">
        <w:t xml:space="preserve"> of the total costs of a f</w:t>
      </w:r>
      <w:r w:rsidR="001A0FF3">
        <w:t>ace</w:t>
      </w:r>
      <w:r w:rsidR="008C3CB5">
        <w:t>-</w:t>
      </w:r>
      <w:r w:rsidR="001A0FF3">
        <w:t>to</w:t>
      </w:r>
      <w:r w:rsidR="008C3CB5">
        <w:t>-</w:t>
      </w:r>
      <w:r w:rsidR="001A0FF3">
        <w:t xml:space="preserve">face </w:t>
      </w:r>
      <w:r w:rsidR="009D3B96">
        <w:t>component</w:t>
      </w:r>
      <w:r w:rsidR="001A0FF3">
        <w:t xml:space="preserve"> for all </w:t>
      </w:r>
      <w:r w:rsidR="001E34DA">
        <w:t xml:space="preserve">clinical </w:t>
      </w:r>
      <w:r w:rsidR="001A0FF3">
        <w:t>staff</w:t>
      </w:r>
      <w:r w:rsidR="009D3B96">
        <w:t>, indicating a</w:t>
      </w:r>
      <w:r w:rsidR="001E34DA">
        <w:t>n</w:t>
      </w:r>
      <w:r w:rsidR="009D3B96">
        <w:t xml:space="preserve"> incremental cost against the base case. </w:t>
      </w:r>
      <w:r w:rsidR="009156B6">
        <w:t xml:space="preserve">This represents an estimated cost of </w:t>
      </w:r>
      <w:r w:rsidR="009D5682">
        <w:t>$5.5 million over the 10</w:t>
      </w:r>
      <w:r w:rsidR="008C3CB5">
        <w:t>-</w:t>
      </w:r>
      <w:r w:rsidR="009D5682">
        <w:t xml:space="preserve">year life of the Regulations. </w:t>
      </w:r>
    </w:p>
    <w:p w14:paraId="356EF8F9" w14:textId="0695CD6C" w:rsidR="008F2682" w:rsidRDefault="00707507" w:rsidP="00360D02">
      <w:pPr>
        <w:pStyle w:val="Body"/>
      </w:pPr>
      <w:r>
        <w:t xml:space="preserve">Extending </w:t>
      </w:r>
      <w:r w:rsidR="00521D15">
        <w:t xml:space="preserve">the </w:t>
      </w:r>
      <w:r>
        <w:t>400 000 k</w:t>
      </w:r>
      <w:r w:rsidR="0084675B">
        <w:t>m</w:t>
      </w:r>
      <w:r>
        <w:t xml:space="preserve"> vehicle mileage limit </w:t>
      </w:r>
      <w:r w:rsidR="0067628D">
        <w:t>to 600 000</w:t>
      </w:r>
      <w:r w:rsidR="0084675B">
        <w:t xml:space="preserve"> km</w:t>
      </w:r>
      <w:r w:rsidR="003E0DA5">
        <w:t xml:space="preserve"> </w:t>
      </w:r>
      <w:r w:rsidR="00381157">
        <w:t xml:space="preserve">reduces costs, particularly for </w:t>
      </w:r>
      <w:r w:rsidR="005E14E8">
        <w:t>regional NEPT providers</w:t>
      </w:r>
      <w:r w:rsidR="003E0DA5">
        <w:t xml:space="preserve"> </w:t>
      </w:r>
      <w:r w:rsidR="00302AAD">
        <w:t xml:space="preserve">covering </w:t>
      </w:r>
      <w:r w:rsidR="00926339">
        <w:t xml:space="preserve">long distances transporting patients, leading </w:t>
      </w:r>
      <w:r w:rsidR="00EF7AEA">
        <w:t xml:space="preserve">to vehicles </w:t>
      </w:r>
      <w:r w:rsidR="00D410D8">
        <w:t xml:space="preserve">needing to be replaced after as little as </w:t>
      </w:r>
      <w:r w:rsidR="008A7304">
        <w:t xml:space="preserve">four years under the existing restriction. Extending the mileage limits will allow for these vehicles to be </w:t>
      </w:r>
      <w:r w:rsidR="00F5418A">
        <w:t>in service 50</w:t>
      </w:r>
      <w:r w:rsidR="006E379D">
        <w:rPr>
          <w:rFonts w:cs="Arial"/>
        </w:rPr>
        <w:t xml:space="preserve"> percent</w:t>
      </w:r>
      <w:r w:rsidR="00F5418A">
        <w:t xml:space="preserve"> longer than </w:t>
      </w:r>
      <w:r w:rsidR="004B52FE">
        <w:t xml:space="preserve">the current Regulations </w:t>
      </w:r>
      <w:r w:rsidR="00886104">
        <w:t>permit</w:t>
      </w:r>
      <w:r w:rsidR="00A65E55">
        <w:t xml:space="preserve"> in the absence of an exemption</w:t>
      </w:r>
      <w:r w:rsidR="00364CDC">
        <w:t xml:space="preserve">, </w:t>
      </w:r>
      <w:r w:rsidR="00CE1AEE">
        <w:t>representing an estimated saving of $2.9 million over the life of the Regulations</w:t>
      </w:r>
      <w:r w:rsidR="00A65E55">
        <w:t xml:space="preserve">. </w:t>
      </w:r>
    </w:p>
    <w:p w14:paraId="21FEF04C" w14:textId="77777777" w:rsidR="0051606B" w:rsidRDefault="00A818D0" w:rsidP="00360D02">
      <w:pPr>
        <w:pStyle w:val="Body"/>
      </w:pPr>
      <w:r>
        <w:lastRenderedPageBreak/>
        <w:t>Other</w:t>
      </w:r>
      <w:r w:rsidR="0022262B">
        <w:t xml:space="preserve"> </w:t>
      </w:r>
      <w:r w:rsidR="001436CC">
        <w:t xml:space="preserve">proposed reforms </w:t>
      </w:r>
      <w:r>
        <w:t xml:space="preserve">highlighted in this RIS </w:t>
      </w:r>
      <w:r w:rsidR="0099447B">
        <w:t xml:space="preserve">are not expected to have substantial cost implications for NEPT providers </w:t>
      </w:r>
      <w:r w:rsidR="004F077F">
        <w:t xml:space="preserve">over and above </w:t>
      </w:r>
      <w:r w:rsidR="00D515C8">
        <w:t xml:space="preserve">existing </w:t>
      </w:r>
      <w:r w:rsidR="00BE761E">
        <w:t xml:space="preserve">business practices. </w:t>
      </w:r>
      <w:r w:rsidR="0051566F">
        <w:t xml:space="preserve">The changes are primarily </w:t>
      </w:r>
      <w:r w:rsidR="00D87A1B">
        <w:t xml:space="preserve">intended to </w:t>
      </w:r>
      <w:r w:rsidR="00C45102">
        <w:t>improve clarity around existing r</w:t>
      </w:r>
      <w:r w:rsidR="00A01C9C">
        <w:t xml:space="preserve">egulatory requirements </w:t>
      </w:r>
      <w:r w:rsidR="00C72CE3">
        <w:t xml:space="preserve">or otherwise make </w:t>
      </w:r>
      <w:r w:rsidR="0093625D">
        <w:t>minor ame</w:t>
      </w:r>
      <w:r w:rsidR="00087FCB">
        <w:t xml:space="preserve">ndments to better align </w:t>
      </w:r>
      <w:r w:rsidR="00DD6BA6">
        <w:t xml:space="preserve">references and definitions to </w:t>
      </w:r>
      <w:r w:rsidR="006B5F02">
        <w:t xml:space="preserve">the broader health sector. </w:t>
      </w:r>
    </w:p>
    <w:p w14:paraId="290C4B54" w14:textId="7F652E3E" w:rsidR="00045554" w:rsidRDefault="000B221A" w:rsidP="00360D02">
      <w:pPr>
        <w:pStyle w:val="Body"/>
      </w:pPr>
      <w:r>
        <w:t>The proposed o</w:t>
      </w:r>
      <w:r w:rsidR="00F035D5">
        <w:t xml:space="preserve">bligation to report </w:t>
      </w:r>
      <w:r w:rsidR="00BE761E">
        <w:t>SAPSE</w:t>
      </w:r>
      <w:r>
        <w:t>s</w:t>
      </w:r>
      <w:r w:rsidR="00AC3B7F">
        <w:t xml:space="preserve"> beyond</w:t>
      </w:r>
      <w:r w:rsidR="004A1B4D">
        <w:t xml:space="preserve"> the annual reporting process </w:t>
      </w:r>
      <w:r w:rsidR="00AC3B7F">
        <w:t xml:space="preserve">for example, </w:t>
      </w:r>
      <w:r w:rsidR="004A1B4D">
        <w:t xml:space="preserve">is expected to </w:t>
      </w:r>
      <w:r w:rsidR="00AC3B7F">
        <w:t>result in</w:t>
      </w:r>
      <w:r w:rsidR="00C75A30">
        <w:t xml:space="preserve"> relatively rare </w:t>
      </w:r>
      <w:r w:rsidR="002978ED">
        <w:t xml:space="preserve">additional reporting events </w:t>
      </w:r>
      <w:r w:rsidR="00C75A30">
        <w:t xml:space="preserve">and </w:t>
      </w:r>
      <w:r w:rsidR="002978ED">
        <w:t xml:space="preserve">as such is </w:t>
      </w:r>
      <w:r w:rsidR="00C75A30">
        <w:t>not administratively burdensome</w:t>
      </w:r>
      <w:r w:rsidR="00754588">
        <w:t xml:space="preserve"> </w:t>
      </w:r>
      <w:r w:rsidR="00617471">
        <w:t>as a requirement on providers</w:t>
      </w:r>
      <w:r w:rsidR="00C9655D">
        <w:t>.</w:t>
      </w:r>
      <w:r w:rsidR="002B595E">
        <w:t xml:space="preserve"> </w:t>
      </w:r>
      <w:r w:rsidR="000A25A6">
        <w:t xml:space="preserve">Other proposals that clarify requirements may </w:t>
      </w:r>
      <w:r w:rsidR="007241DC">
        <w:t xml:space="preserve">slightly reduce burden </w:t>
      </w:r>
      <w:r w:rsidR="00C16E2C">
        <w:t xml:space="preserve">where </w:t>
      </w:r>
      <w:r w:rsidR="00E93D52">
        <w:t xml:space="preserve">obligations are easier to comply with. Similarly, these </w:t>
      </w:r>
      <w:r w:rsidR="00D62F22">
        <w:t xml:space="preserve">potential benefits are not considered in costings as they are unlikely to be </w:t>
      </w:r>
      <w:r w:rsidR="00550AE4">
        <w:t xml:space="preserve">substantially measurable. </w:t>
      </w:r>
      <w:r w:rsidR="00C9655D">
        <w:t xml:space="preserve"> </w:t>
      </w:r>
    </w:p>
    <w:p w14:paraId="3981A8FE" w14:textId="251D4F42" w:rsidR="009D5682" w:rsidRDefault="0060598E" w:rsidP="00360D02">
      <w:pPr>
        <w:pStyle w:val="Body"/>
      </w:pPr>
      <w:r>
        <w:t>From the above</w:t>
      </w:r>
      <w:r w:rsidR="002535ED">
        <w:t xml:space="preserve"> substantial </w:t>
      </w:r>
      <w:r w:rsidR="003F3725">
        <w:t>proposals</w:t>
      </w:r>
      <w:r>
        <w:t xml:space="preserve">, </w:t>
      </w:r>
      <w:r w:rsidR="00B06450">
        <w:t>adding the face</w:t>
      </w:r>
      <w:r w:rsidR="008C3CB5">
        <w:t>-</w:t>
      </w:r>
      <w:r w:rsidR="00B06450">
        <w:t>to</w:t>
      </w:r>
      <w:r w:rsidR="008C3CB5">
        <w:t>-</w:t>
      </w:r>
      <w:r w:rsidR="00B06450">
        <w:t>face component to the costs of Option 1 and subtracting the costs of the vehicle mileage and aer</w:t>
      </w:r>
      <w:r w:rsidR="0062127D">
        <w:t>omedical</w:t>
      </w:r>
      <w:r w:rsidR="00B06450">
        <w:t xml:space="preserve"> </w:t>
      </w:r>
      <w:r w:rsidR="00B96276">
        <w:t>multiload</w:t>
      </w:r>
      <w:r w:rsidR="00A80E95">
        <w:t xml:space="preserve">ing limits = </w:t>
      </w:r>
      <w:r w:rsidR="00847EC5">
        <w:t>$</w:t>
      </w:r>
      <w:r w:rsidR="00835422">
        <w:t>5.9</w:t>
      </w:r>
      <w:r w:rsidR="00041081">
        <w:t xml:space="preserve"> </w:t>
      </w:r>
      <w:r w:rsidR="00607124">
        <w:t>+</w:t>
      </w:r>
      <w:r w:rsidR="00041081">
        <w:t xml:space="preserve"> </w:t>
      </w:r>
      <w:r w:rsidR="00607124">
        <w:t>$</w:t>
      </w:r>
      <w:r w:rsidR="00803729">
        <w:t>4.0</w:t>
      </w:r>
      <w:r w:rsidR="00041081">
        <w:t xml:space="preserve"> - </w:t>
      </w:r>
      <w:r w:rsidR="00A52282">
        <w:t>$</w:t>
      </w:r>
      <w:r w:rsidR="00803729">
        <w:t>2.9</w:t>
      </w:r>
      <w:r w:rsidR="00A52282">
        <w:t xml:space="preserve"> - $0.</w:t>
      </w:r>
      <w:r w:rsidR="00496BC1">
        <w:t>5</w:t>
      </w:r>
      <w:r w:rsidR="000F1A8F">
        <w:t xml:space="preserve"> = </w:t>
      </w:r>
      <w:r w:rsidR="000F1A8F" w:rsidRPr="00CE1252">
        <w:rPr>
          <w:b/>
          <w:bCs/>
        </w:rPr>
        <w:t>$</w:t>
      </w:r>
      <w:r w:rsidR="00486DAE">
        <w:rPr>
          <w:b/>
          <w:bCs/>
        </w:rPr>
        <w:t>6.4</w:t>
      </w:r>
      <w:r w:rsidR="006F28A6" w:rsidRPr="00CE1252">
        <w:rPr>
          <w:b/>
          <w:bCs/>
        </w:rPr>
        <w:t xml:space="preserve"> million</w:t>
      </w:r>
      <w:r w:rsidR="006F28A6">
        <w:t xml:space="preserve"> over the 10</w:t>
      </w:r>
      <w:r w:rsidR="008C3CB5">
        <w:t>-</w:t>
      </w:r>
      <w:r w:rsidR="006F28A6">
        <w:t>year life of the proposed Regulations.</w:t>
      </w:r>
    </w:p>
    <w:p w14:paraId="50D35FDF" w14:textId="76159ABA" w:rsidR="0045717B" w:rsidRPr="008A469D" w:rsidRDefault="006F28A6" w:rsidP="00360D02">
      <w:pPr>
        <w:pStyle w:val="Body"/>
        <w:rPr>
          <w:b/>
        </w:rPr>
      </w:pPr>
      <w:r w:rsidRPr="004B086B">
        <w:rPr>
          <w:b/>
        </w:rPr>
        <w:t>Option 2 receives a score of -</w:t>
      </w:r>
      <w:r w:rsidR="00926393" w:rsidRPr="004B086B">
        <w:rPr>
          <w:b/>
        </w:rPr>
        <w:t>3</w:t>
      </w:r>
      <w:r w:rsidR="0096634D" w:rsidRPr="004B086B">
        <w:rPr>
          <w:b/>
        </w:rPr>
        <w:t>.</w:t>
      </w:r>
      <w:r w:rsidR="00486DAE">
        <w:rPr>
          <w:b/>
        </w:rPr>
        <w:t>3</w:t>
      </w:r>
      <w:r w:rsidR="0096634D" w:rsidRPr="004B086B">
        <w:rPr>
          <w:b/>
        </w:rPr>
        <w:t xml:space="preserve"> </w:t>
      </w:r>
      <w:r w:rsidR="00EF7114" w:rsidRPr="004B086B">
        <w:rPr>
          <w:b/>
        </w:rPr>
        <w:t>relative to the base case for the cost criterion.</w:t>
      </w:r>
    </w:p>
    <w:p w14:paraId="1C4238B5" w14:textId="77777777" w:rsidR="001868E7" w:rsidRPr="00E85019" w:rsidRDefault="001868E7" w:rsidP="008A469D">
      <w:pPr>
        <w:pStyle w:val="Heading3"/>
      </w:pPr>
      <w:r w:rsidRPr="00E85019">
        <w:t>Other elements of the proposed 2026 Regulations</w:t>
      </w:r>
    </w:p>
    <w:p w14:paraId="3963C2C4" w14:textId="7F25538B" w:rsidR="001868E7" w:rsidRDefault="001868E7" w:rsidP="00360D02">
      <w:pPr>
        <w:pStyle w:val="Body"/>
      </w:pPr>
      <w:r>
        <w:t xml:space="preserve">Note there </w:t>
      </w:r>
      <w:r w:rsidR="00BA5FAD">
        <w:t xml:space="preserve">is </w:t>
      </w:r>
      <w:r>
        <w:t>a range of</w:t>
      </w:r>
      <w:r w:rsidR="00BA5FAD">
        <w:t xml:space="preserve"> regulatory amendments</w:t>
      </w:r>
      <w:r>
        <w:t xml:space="preserve"> that relate to operational clarity, administrative changes and other clarifications that </w:t>
      </w:r>
      <w:r w:rsidR="00E64817">
        <w:t>are</w:t>
      </w:r>
      <w:r>
        <w:t xml:space="preserve"> not included in the impact analysis. While these reforms </w:t>
      </w:r>
      <w:r w:rsidR="004B3AF8">
        <w:t>contribute to the objectives of the R</w:t>
      </w:r>
      <w:r w:rsidR="00BA5FAD">
        <w:t>IS and contribute to patient safety as well as</w:t>
      </w:r>
      <w:r>
        <w:t xml:space="preserve"> reforms underway relating to the NEPT Review, they do not have significant measurable impacts and have</w:t>
      </w:r>
      <w:r w:rsidR="00BA5FAD">
        <w:t xml:space="preserve"> therefore</w:t>
      </w:r>
      <w:r>
        <w:t xml:space="preserve"> been excluded from the MCA analysis. The details</w:t>
      </w:r>
      <w:r w:rsidR="00BA5FAD">
        <w:t xml:space="preserve"> are summarised under the preferred option</w:t>
      </w:r>
      <w:r w:rsidR="00FF7587">
        <w:t xml:space="preserve"> (</w:t>
      </w:r>
      <w:r w:rsidR="00906A67">
        <w:t>O</w:t>
      </w:r>
      <w:r w:rsidR="00FF7587">
        <w:t>ption 2).</w:t>
      </w:r>
      <w:r w:rsidR="00134D77">
        <w:t xml:space="preserve"> </w:t>
      </w:r>
    </w:p>
    <w:p w14:paraId="7F44B36D" w14:textId="77777777" w:rsidR="008C43B6" w:rsidRPr="00EA5D1F" w:rsidRDefault="008C43B6" w:rsidP="008C43B6">
      <w:pPr>
        <w:pStyle w:val="Heading4"/>
      </w:pPr>
      <w:r w:rsidRPr="00EA5D1F">
        <w:t>Renewal of licence application fees</w:t>
      </w:r>
    </w:p>
    <w:p w14:paraId="36AAC15D" w14:textId="1C0D933C" w:rsidR="008C43B6" w:rsidRDefault="008C43B6" w:rsidP="00360D02">
      <w:pPr>
        <w:pStyle w:val="Body"/>
      </w:pPr>
      <w:r w:rsidRPr="00EA5D1F">
        <w:t xml:space="preserve">The proposed Regulations also include a small change to the fee tiers for the application to renew a licence. Currently there are three tiers, from 1-9 vehicles, for 10 to 49 vehicles and for 50 or more vehicles. It is proposed that the lower two-tier brackets will be combined in the new Regulations. This adjustment was considered an opportunity to slightly reduce the regulatory burden on the medium size providers. There will be a saving of 147 fee units for these 3 providers </w:t>
      </w:r>
      <w:r w:rsidRPr="0086277D">
        <w:t xml:space="preserve">representing a combined annual saving of $7,413 in total </w:t>
      </w:r>
      <w:r w:rsidRPr="00EA5D1F">
        <w:t>under this amended regulation.</w:t>
      </w:r>
      <w:r>
        <w:t xml:space="preserve"> This amount is not included in costs as the estimates are rounded to the nearest $100,000</w:t>
      </w:r>
      <w:r w:rsidRPr="00EA5D1F">
        <w:t>.</w:t>
      </w:r>
      <w:r>
        <w:t xml:space="preserve"> </w:t>
      </w:r>
    </w:p>
    <w:p w14:paraId="32FAB060" w14:textId="19E39940" w:rsidR="009551F8" w:rsidRPr="00953D3F" w:rsidRDefault="007C67B2" w:rsidP="008A469D">
      <w:pPr>
        <w:pStyle w:val="Heading2"/>
        <w:rPr>
          <w:rFonts w:eastAsia="MS Mincho"/>
          <w:sz w:val="24"/>
          <w:szCs w:val="22"/>
        </w:rPr>
      </w:pPr>
      <w:bookmarkStart w:id="29" w:name="_Toc215847522"/>
      <w:r w:rsidRPr="00953D3F">
        <w:rPr>
          <w:rFonts w:eastAsia="MS Mincho"/>
        </w:rPr>
        <w:t xml:space="preserve">Identifying the </w:t>
      </w:r>
      <w:r w:rsidR="00002B4D" w:rsidRPr="004E76CF">
        <w:rPr>
          <w:rFonts w:eastAsia="MS Mincho"/>
        </w:rPr>
        <w:t>preferred option</w:t>
      </w:r>
      <w:bookmarkEnd w:id="29"/>
      <w:r w:rsidR="00002B4D" w:rsidRPr="00953D3F">
        <w:rPr>
          <w:rFonts w:eastAsia="MS Mincho"/>
          <w:sz w:val="24"/>
          <w:szCs w:val="22"/>
        </w:rPr>
        <w:t xml:space="preserve"> </w:t>
      </w:r>
    </w:p>
    <w:p w14:paraId="131E5DB4" w14:textId="112F029E" w:rsidR="0088470B" w:rsidRDefault="0088470B" w:rsidP="00360D02">
      <w:pPr>
        <w:pStyle w:val="Body"/>
      </w:pPr>
      <w:r>
        <w:t xml:space="preserve">The results from the MCA over the </w:t>
      </w:r>
      <w:r w:rsidR="002F2ED2">
        <w:t xml:space="preserve">two benefit and one </w:t>
      </w:r>
      <w:r w:rsidR="00A74B93">
        <w:t xml:space="preserve">cost </w:t>
      </w:r>
      <w:r w:rsidR="0064755C">
        <w:t xml:space="preserve">criteria </w:t>
      </w:r>
      <w:r w:rsidR="00A2294F">
        <w:t>with weighting applied, show that Option 2</w:t>
      </w:r>
      <w:r w:rsidR="00DC5C65">
        <w:t xml:space="preserve"> is the preferred option. This regulatory option best balances </w:t>
      </w:r>
      <w:r w:rsidR="00367D82">
        <w:t xml:space="preserve">consideration of </w:t>
      </w:r>
      <w:r w:rsidR="00694135">
        <w:t>safety</w:t>
      </w:r>
      <w:r w:rsidR="00B84277">
        <w:t xml:space="preserve"> and </w:t>
      </w:r>
      <w:r w:rsidR="007850CC">
        <w:t xml:space="preserve">supporting </w:t>
      </w:r>
      <w:r w:rsidR="0076124C">
        <w:t>the industry</w:t>
      </w:r>
      <w:r w:rsidR="00464333">
        <w:t xml:space="preserve"> </w:t>
      </w:r>
      <w:r w:rsidR="00D34F3C">
        <w:t>w</w:t>
      </w:r>
      <w:r w:rsidR="000355FA">
        <w:t xml:space="preserve">ithout unduly increasing costs to </w:t>
      </w:r>
      <w:r w:rsidR="00464333">
        <w:t>NEPT providers.</w:t>
      </w:r>
      <w:r w:rsidR="00966DC5">
        <w:t xml:space="preserve"> </w:t>
      </w:r>
    </w:p>
    <w:p w14:paraId="678DA9AE" w14:textId="77777777" w:rsidR="009551F8" w:rsidRDefault="009551F8" w:rsidP="00360D02">
      <w:pPr>
        <w:pStyle w:val="Body"/>
      </w:pPr>
    </w:p>
    <w:tbl>
      <w:tblPr>
        <w:tblStyle w:val="ListTable3-Accent5"/>
        <w:tblW w:w="5000" w:type="pct"/>
        <w:tblLook w:val="04A0" w:firstRow="1" w:lastRow="0" w:firstColumn="1" w:lastColumn="0" w:noHBand="0" w:noVBand="1"/>
      </w:tblPr>
      <w:tblGrid>
        <w:gridCol w:w="3511"/>
        <w:gridCol w:w="1952"/>
        <w:gridCol w:w="1791"/>
        <w:gridCol w:w="2034"/>
      </w:tblGrid>
      <w:tr w:rsidR="00EA1302" w14:paraId="7D809862" w14:textId="77777777" w:rsidTr="00785F69">
        <w:trPr>
          <w:cnfStyle w:val="100000000000" w:firstRow="1" w:lastRow="0" w:firstColumn="0" w:lastColumn="0" w:oddVBand="0" w:evenVBand="0" w:oddHBand="0" w:evenHBand="0" w:firstRowFirstColumn="0" w:firstRowLastColumn="0" w:lastRowFirstColumn="0" w:lastRowLastColumn="0"/>
          <w:trHeight w:val="436"/>
        </w:trPr>
        <w:tc>
          <w:tcPr>
            <w:cnfStyle w:val="001000000100" w:firstRow="0" w:lastRow="0" w:firstColumn="1" w:lastColumn="0" w:oddVBand="0" w:evenVBand="0" w:oddHBand="0" w:evenHBand="0" w:firstRowFirstColumn="1" w:firstRowLastColumn="0" w:lastRowFirstColumn="0" w:lastRowLastColumn="0"/>
            <w:tcW w:w="1890" w:type="pct"/>
            <w:tcBorders>
              <w:top w:val="single" w:sz="4" w:space="0" w:color="000000"/>
              <w:left w:val="single" w:sz="4" w:space="0" w:color="000000"/>
              <w:bottom w:val="single" w:sz="4" w:space="0" w:color="000000"/>
            </w:tcBorders>
            <w:shd w:val="clear" w:color="auto" w:fill="92CDDC" w:themeFill="accent5" w:themeFillTint="99"/>
          </w:tcPr>
          <w:p w14:paraId="45BA608A" w14:textId="423AE6A5" w:rsidR="001F7BD7" w:rsidRPr="00450460" w:rsidRDefault="003E6082" w:rsidP="007A00ED">
            <w:pPr>
              <w:pStyle w:val="Tablecolhead"/>
              <w:rPr>
                <w:color w:val="7F7F7F" w:themeColor="text1" w:themeTint="80"/>
              </w:rPr>
            </w:pPr>
            <w:r w:rsidRPr="004C2E12">
              <w:rPr>
                <w:b/>
                <w:bCs w:val="0"/>
                <w:color w:val="262626" w:themeColor="text1" w:themeTint="D9"/>
              </w:rPr>
              <w:t>MCA criteria</w:t>
            </w:r>
          </w:p>
        </w:tc>
        <w:tc>
          <w:tcPr>
            <w:tcW w:w="1051" w:type="pct"/>
            <w:tcBorders>
              <w:top w:val="single" w:sz="4" w:space="0" w:color="000000"/>
              <w:bottom w:val="single" w:sz="4" w:space="0" w:color="000000"/>
            </w:tcBorders>
            <w:shd w:val="clear" w:color="auto" w:fill="92CDDC" w:themeFill="accent5" w:themeFillTint="99"/>
            <w:vAlign w:val="center"/>
          </w:tcPr>
          <w:p w14:paraId="1A165B03" w14:textId="21279D7A"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Weighting</w:t>
            </w:r>
          </w:p>
        </w:tc>
        <w:tc>
          <w:tcPr>
            <w:tcW w:w="964" w:type="pct"/>
            <w:tcBorders>
              <w:top w:val="single" w:sz="4" w:space="0" w:color="000000"/>
              <w:bottom w:val="single" w:sz="4" w:space="0" w:color="000000"/>
            </w:tcBorders>
            <w:shd w:val="clear" w:color="auto" w:fill="92CDDC" w:themeFill="accent5" w:themeFillTint="99"/>
            <w:vAlign w:val="center"/>
          </w:tcPr>
          <w:p w14:paraId="66AE4380" w14:textId="61DC2D26"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 xml:space="preserve">Option 1 </w:t>
            </w:r>
          </w:p>
        </w:tc>
        <w:tc>
          <w:tcPr>
            <w:tcW w:w="1096" w:type="pct"/>
            <w:tcBorders>
              <w:top w:val="single" w:sz="4" w:space="0" w:color="000000"/>
              <w:bottom w:val="single" w:sz="4" w:space="0" w:color="000000"/>
              <w:right w:val="single" w:sz="4" w:space="0" w:color="000000"/>
            </w:tcBorders>
            <w:shd w:val="clear" w:color="auto" w:fill="92CDDC" w:themeFill="accent5" w:themeFillTint="99"/>
            <w:vAlign w:val="center"/>
          </w:tcPr>
          <w:p w14:paraId="4660754B" w14:textId="249036FE" w:rsidR="001F7BD7" w:rsidRPr="00450460" w:rsidRDefault="003E6082" w:rsidP="00785F69">
            <w:pPr>
              <w:pStyle w:val="Tablecolhead"/>
              <w:jc w:val="right"/>
              <w:cnfStyle w:val="100000000000" w:firstRow="1" w:lastRow="0" w:firstColumn="0" w:lastColumn="0" w:oddVBand="0" w:evenVBand="0" w:oddHBand="0" w:evenHBand="0" w:firstRowFirstColumn="0" w:firstRowLastColumn="0" w:lastRowFirstColumn="0" w:lastRowLastColumn="0"/>
              <w:rPr>
                <w:color w:val="7F7F7F" w:themeColor="text1" w:themeTint="80"/>
              </w:rPr>
            </w:pPr>
            <w:r w:rsidRPr="004C2E12">
              <w:rPr>
                <w:b/>
                <w:bCs w:val="0"/>
                <w:color w:val="262626" w:themeColor="text1" w:themeTint="D9"/>
              </w:rPr>
              <w:t>Option 2</w:t>
            </w:r>
          </w:p>
        </w:tc>
      </w:tr>
      <w:tr w:rsidR="00EA1302" w14:paraId="1A445526" w14:textId="77777777" w:rsidTr="00785F6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4962D526" w14:textId="4CD804BE" w:rsidR="001F7BD7" w:rsidRPr="004C2E12" w:rsidRDefault="009B056A" w:rsidP="00785F69">
            <w:pPr>
              <w:pStyle w:val="Tabletext"/>
              <w:rPr>
                <w:b w:val="0"/>
                <w:bCs w:val="0"/>
              </w:rPr>
            </w:pPr>
            <w:r w:rsidRPr="004C2E12">
              <w:rPr>
                <w:b w:val="0"/>
                <w:bCs w:val="0"/>
              </w:rPr>
              <w:t>Ensuring patient s</w:t>
            </w:r>
            <w:r w:rsidR="00F07857" w:rsidRPr="004C2E12">
              <w:rPr>
                <w:b w:val="0"/>
                <w:bCs w:val="0"/>
              </w:rPr>
              <w:t>afety</w:t>
            </w:r>
          </w:p>
        </w:tc>
        <w:tc>
          <w:tcPr>
            <w:tcW w:w="1051" w:type="pct"/>
            <w:tcBorders>
              <w:top w:val="single" w:sz="4" w:space="0" w:color="000000"/>
              <w:bottom w:val="single" w:sz="4" w:space="0" w:color="000000"/>
            </w:tcBorders>
            <w:vAlign w:val="center"/>
          </w:tcPr>
          <w:p w14:paraId="6F97DBDB" w14:textId="5397B25A" w:rsidR="001F7BD7" w:rsidRDefault="00F07857" w:rsidP="00785F69">
            <w:pPr>
              <w:pStyle w:val="Tabletext"/>
              <w:jc w:val="right"/>
              <w:cnfStyle w:val="000000100000" w:firstRow="0" w:lastRow="0" w:firstColumn="0" w:lastColumn="0" w:oddVBand="0" w:evenVBand="0" w:oddHBand="1" w:evenHBand="0" w:firstRowFirstColumn="0" w:firstRowLastColumn="0" w:lastRowFirstColumn="0" w:lastRowLastColumn="0"/>
            </w:pPr>
            <w:r>
              <w:t>40%</w:t>
            </w:r>
          </w:p>
        </w:tc>
        <w:tc>
          <w:tcPr>
            <w:tcW w:w="964" w:type="pct"/>
            <w:tcBorders>
              <w:top w:val="single" w:sz="4" w:space="0" w:color="000000"/>
              <w:bottom w:val="single" w:sz="4" w:space="0" w:color="000000"/>
            </w:tcBorders>
            <w:vAlign w:val="center"/>
          </w:tcPr>
          <w:p w14:paraId="2FDA6495" w14:textId="3395F2DE" w:rsidR="001F7BD7" w:rsidRDefault="00975DAC" w:rsidP="00785F69">
            <w:pPr>
              <w:pStyle w:val="Tabletext"/>
              <w:jc w:val="right"/>
              <w:cnfStyle w:val="000000100000" w:firstRow="0" w:lastRow="0" w:firstColumn="0" w:lastColumn="0" w:oddVBand="0" w:evenVBand="0" w:oddHBand="1" w:evenHBand="0" w:firstRowFirstColumn="0" w:firstRowLastColumn="0" w:lastRowFirstColumn="0" w:lastRowLastColumn="0"/>
            </w:pPr>
            <w:r>
              <w:t>4</w:t>
            </w:r>
          </w:p>
        </w:tc>
        <w:tc>
          <w:tcPr>
            <w:tcW w:w="1096" w:type="pct"/>
            <w:tcBorders>
              <w:top w:val="single" w:sz="4" w:space="0" w:color="000000"/>
              <w:bottom w:val="single" w:sz="4" w:space="0" w:color="000000"/>
              <w:right w:val="single" w:sz="4" w:space="0" w:color="000000"/>
            </w:tcBorders>
            <w:vAlign w:val="center"/>
          </w:tcPr>
          <w:p w14:paraId="68518410" w14:textId="5D05DFC7" w:rsidR="001F7BD7" w:rsidRDefault="00975DAC" w:rsidP="00785F69">
            <w:pPr>
              <w:pStyle w:val="Tabletext"/>
              <w:jc w:val="right"/>
              <w:cnfStyle w:val="000000100000" w:firstRow="0" w:lastRow="0" w:firstColumn="0" w:lastColumn="0" w:oddVBand="0" w:evenVBand="0" w:oddHBand="1" w:evenHBand="0" w:firstRowFirstColumn="0" w:firstRowLastColumn="0" w:lastRowFirstColumn="0" w:lastRowLastColumn="0"/>
            </w:pPr>
            <w:r>
              <w:t>5</w:t>
            </w:r>
          </w:p>
        </w:tc>
      </w:tr>
      <w:tr w:rsidR="00CE4BC3" w14:paraId="126482FF" w14:textId="77777777" w:rsidTr="00785F69">
        <w:trPr>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4A834588" w14:textId="77C9D80E" w:rsidR="001F7BD7" w:rsidRPr="004C2E12" w:rsidRDefault="00E55DDB" w:rsidP="00785F69">
            <w:pPr>
              <w:pStyle w:val="Tabletext"/>
              <w:rPr>
                <w:b w:val="0"/>
                <w:bCs w:val="0"/>
              </w:rPr>
            </w:pPr>
            <w:r w:rsidRPr="004C2E12">
              <w:rPr>
                <w:b w:val="0"/>
                <w:bCs w:val="0"/>
              </w:rPr>
              <w:t>Supporting the NEPT system</w:t>
            </w:r>
          </w:p>
        </w:tc>
        <w:tc>
          <w:tcPr>
            <w:tcW w:w="1051" w:type="pct"/>
            <w:tcBorders>
              <w:top w:val="single" w:sz="4" w:space="0" w:color="000000"/>
              <w:bottom w:val="single" w:sz="4" w:space="0" w:color="000000"/>
            </w:tcBorders>
            <w:vAlign w:val="center"/>
          </w:tcPr>
          <w:p w14:paraId="290F4B20" w14:textId="7EA78898" w:rsidR="001F7BD7" w:rsidRDefault="00F07857" w:rsidP="00785F69">
            <w:pPr>
              <w:pStyle w:val="Tabletext"/>
              <w:jc w:val="right"/>
              <w:cnfStyle w:val="000000000000" w:firstRow="0" w:lastRow="0" w:firstColumn="0" w:lastColumn="0" w:oddVBand="0" w:evenVBand="0" w:oddHBand="0" w:evenHBand="0" w:firstRowFirstColumn="0" w:firstRowLastColumn="0" w:lastRowFirstColumn="0" w:lastRowLastColumn="0"/>
            </w:pPr>
            <w:r>
              <w:t>10%</w:t>
            </w:r>
          </w:p>
        </w:tc>
        <w:tc>
          <w:tcPr>
            <w:tcW w:w="964" w:type="pct"/>
            <w:tcBorders>
              <w:top w:val="single" w:sz="4" w:space="0" w:color="000000"/>
              <w:bottom w:val="single" w:sz="4" w:space="0" w:color="000000"/>
            </w:tcBorders>
            <w:vAlign w:val="center"/>
          </w:tcPr>
          <w:p w14:paraId="4AC1C080" w14:textId="6A899FD2" w:rsidR="001F7BD7" w:rsidRDefault="00932051" w:rsidP="00785F69">
            <w:pPr>
              <w:pStyle w:val="Tabletext"/>
              <w:jc w:val="right"/>
              <w:cnfStyle w:val="000000000000" w:firstRow="0" w:lastRow="0" w:firstColumn="0" w:lastColumn="0" w:oddVBand="0" w:evenVBand="0" w:oddHBand="0" w:evenHBand="0" w:firstRowFirstColumn="0" w:firstRowLastColumn="0" w:lastRowFirstColumn="0" w:lastRowLastColumn="0"/>
            </w:pPr>
            <w:r>
              <w:t>0</w:t>
            </w:r>
          </w:p>
        </w:tc>
        <w:tc>
          <w:tcPr>
            <w:tcW w:w="1096" w:type="pct"/>
            <w:tcBorders>
              <w:top w:val="single" w:sz="4" w:space="0" w:color="000000"/>
              <w:bottom w:val="single" w:sz="4" w:space="0" w:color="000000"/>
              <w:right w:val="single" w:sz="4" w:space="0" w:color="000000"/>
            </w:tcBorders>
            <w:vAlign w:val="center"/>
          </w:tcPr>
          <w:p w14:paraId="0602B8FC" w14:textId="315F52B3" w:rsidR="001F7BD7" w:rsidRDefault="00D9634A" w:rsidP="00785F69">
            <w:pPr>
              <w:pStyle w:val="Tabletext"/>
              <w:jc w:val="right"/>
              <w:cnfStyle w:val="000000000000" w:firstRow="0" w:lastRow="0" w:firstColumn="0" w:lastColumn="0" w:oddVBand="0" w:evenVBand="0" w:oddHBand="0" w:evenHBand="0" w:firstRowFirstColumn="0" w:firstRowLastColumn="0" w:lastRowFirstColumn="0" w:lastRowLastColumn="0"/>
            </w:pPr>
            <w:r>
              <w:t>5</w:t>
            </w:r>
          </w:p>
        </w:tc>
      </w:tr>
      <w:tr w:rsidR="00EA1302" w14:paraId="4CBAD2F8" w14:textId="77777777" w:rsidTr="00785F69">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79724898" w14:textId="12EB3EAD" w:rsidR="001F7BD7" w:rsidRPr="004C2E12" w:rsidRDefault="00F07857" w:rsidP="00785F69">
            <w:pPr>
              <w:pStyle w:val="Tabletext"/>
              <w:rPr>
                <w:b w:val="0"/>
                <w:bCs w:val="0"/>
              </w:rPr>
            </w:pPr>
            <w:r w:rsidRPr="004C2E12">
              <w:rPr>
                <w:b w:val="0"/>
                <w:bCs w:val="0"/>
              </w:rPr>
              <w:t>Industry costs</w:t>
            </w:r>
          </w:p>
        </w:tc>
        <w:tc>
          <w:tcPr>
            <w:tcW w:w="1051" w:type="pct"/>
            <w:tcBorders>
              <w:top w:val="single" w:sz="4" w:space="0" w:color="000000"/>
              <w:bottom w:val="single" w:sz="4" w:space="0" w:color="000000"/>
            </w:tcBorders>
            <w:vAlign w:val="center"/>
          </w:tcPr>
          <w:p w14:paraId="3057E3BC" w14:textId="2ACC04DD" w:rsidR="001F7BD7" w:rsidRDefault="00F07857" w:rsidP="00785F69">
            <w:pPr>
              <w:pStyle w:val="Tabletext"/>
              <w:jc w:val="right"/>
              <w:cnfStyle w:val="000000100000" w:firstRow="0" w:lastRow="0" w:firstColumn="0" w:lastColumn="0" w:oddVBand="0" w:evenVBand="0" w:oddHBand="1" w:evenHBand="0" w:firstRowFirstColumn="0" w:firstRowLastColumn="0" w:lastRowFirstColumn="0" w:lastRowLastColumn="0"/>
            </w:pPr>
            <w:r>
              <w:t>50%</w:t>
            </w:r>
          </w:p>
        </w:tc>
        <w:tc>
          <w:tcPr>
            <w:tcW w:w="964" w:type="pct"/>
            <w:tcBorders>
              <w:top w:val="single" w:sz="4" w:space="0" w:color="000000"/>
              <w:bottom w:val="single" w:sz="4" w:space="0" w:color="000000"/>
            </w:tcBorders>
            <w:vAlign w:val="center"/>
          </w:tcPr>
          <w:p w14:paraId="36C86828" w14:textId="388F5CEE" w:rsidR="001F7BD7" w:rsidRDefault="009E388E" w:rsidP="00785F69">
            <w:pPr>
              <w:pStyle w:val="Tabletext"/>
              <w:jc w:val="right"/>
              <w:cnfStyle w:val="000000100000" w:firstRow="0" w:lastRow="0" w:firstColumn="0" w:lastColumn="0" w:oddVBand="0" w:evenVBand="0" w:oddHBand="1" w:evenHBand="0" w:firstRowFirstColumn="0" w:firstRowLastColumn="0" w:lastRowFirstColumn="0" w:lastRowLastColumn="0"/>
            </w:pPr>
            <w:r>
              <w:t>-</w:t>
            </w:r>
            <w:r w:rsidR="003A4C3B">
              <w:t>3</w:t>
            </w:r>
          </w:p>
        </w:tc>
        <w:tc>
          <w:tcPr>
            <w:tcW w:w="1096" w:type="pct"/>
            <w:tcBorders>
              <w:top w:val="single" w:sz="4" w:space="0" w:color="000000"/>
              <w:bottom w:val="single" w:sz="4" w:space="0" w:color="000000"/>
              <w:right w:val="single" w:sz="4" w:space="0" w:color="000000"/>
            </w:tcBorders>
            <w:vAlign w:val="center"/>
          </w:tcPr>
          <w:p w14:paraId="41509D99" w14:textId="17A62332" w:rsidR="001F7BD7" w:rsidRDefault="009E388E" w:rsidP="00785F69">
            <w:pPr>
              <w:pStyle w:val="Tabletext"/>
              <w:jc w:val="right"/>
              <w:cnfStyle w:val="000000100000" w:firstRow="0" w:lastRow="0" w:firstColumn="0" w:lastColumn="0" w:oddVBand="0" w:evenVBand="0" w:oddHBand="1" w:evenHBand="0" w:firstRowFirstColumn="0" w:firstRowLastColumn="0" w:lastRowFirstColumn="0" w:lastRowLastColumn="0"/>
            </w:pPr>
            <w:r>
              <w:t>-</w:t>
            </w:r>
            <w:r w:rsidR="00926393">
              <w:t>3.</w:t>
            </w:r>
            <w:r w:rsidR="00486DAE">
              <w:t>3</w:t>
            </w:r>
          </w:p>
        </w:tc>
      </w:tr>
      <w:tr w:rsidR="00CE4BC3" w14:paraId="5E5F2FCB" w14:textId="77777777" w:rsidTr="00785F69">
        <w:trPr>
          <w:trHeight w:val="436"/>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000000"/>
              <w:left w:val="single" w:sz="4" w:space="0" w:color="000000"/>
              <w:bottom w:val="single" w:sz="4" w:space="0" w:color="000000"/>
            </w:tcBorders>
          </w:tcPr>
          <w:p w14:paraId="2625A840" w14:textId="144A0CAC" w:rsidR="008A604B" w:rsidRPr="004C2E12" w:rsidRDefault="008A604B" w:rsidP="00785F69">
            <w:pPr>
              <w:pStyle w:val="Tabletext"/>
              <w:rPr>
                <w:b w:val="0"/>
                <w:bCs w:val="0"/>
              </w:rPr>
            </w:pPr>
            <w:r w:rsidRPr="004C2E12">
              <w:rPr>
                <w:b w:val="0"/>
                <w:bCs w:val="0"/>
              </w:rPr>
              <w:t>Weighted MCA scores</w:t>
            </w:r>
          </w:p>
        </w:tc>
        <w:tc>
          <w:tcPr>
            <w:tcW w:w="1051" w:type="pct"/>
            <w:tcBorders>
              <w:top w:val="single" w:sz="4" w:space="0" w:color="000000"/>
              <w:bottom w:val="single" w:sz="4" w:space="0" w:color="000000"/>
            </w:tcBorders>
            <w:vAlign w:val="center"/>
          </w:tcPr>
          <w:p w14:paraId="0DB46CCE" w14:textId="77777777" w:rsidR="008A604B" w:rsidRDefault="008A604B" w:rsidP="00785F69">
            <w:pPr>
              <w:pStyle w:val="Tabletext"/>
              <w:jc w:val="right"/>
              <w:cnfStyle w:val="000000000000" w:firstRow="0" w:lastRow="0" w:firstColumn="0" w:lastColumn="0" w:oddVBand="0" w:evenVBand="0" w:oddHBand="0" w:evenHBand="0" w:firstRowFirstColumn="0" w:firstRowLastColumn="0" w:lastRowFirstColumn="0" w:lastRowLastColumn="0"/>
            </w:pPr>
          </w:p>
        </w:tc>
        <w:tc>
          <w:tcPr>
            <w:tcW w:w="964" w:type="pct"/>
            <w:tcBorders>
              <w:top w:val="single" w:sz="4" w:space="0" w:color="000000"/>
              <w:bottom w:val="single" w:sz="4" w:space="0" w:color="000000"/>
            </w:tcBorders>
            <w:vAlign w:val="center"/>
          </w:tcPr>
          <w:p w14:paraId="5DBECE3C" w14:textId="02EB7BE6" w:rsidR="008A604B" w:rsidRDefault="00731E80" w:rsidP="00785F69">
            <w:pPr>
              <w:pStyle w:val="Tabletext"/>
              <w:jc w:val="right"/>
              <w:cnfStyle w:val="000000000000" w:firstRow="0" w:lastRow="0" w:firstColumn="0" w:lastColumn="0" w:oddVBand="0" w:evenVBand="0" w:oddHBand="0" w:evenHBand="0" w:firstRowFirstColumn="0" w:firstRowLastColumn="0" w:lastRowFirstColumn="0" w:lastRowLastColumn="0"/>
            </w:pPr>
            <w:r>
              <w:t>0.1</w:t>
            </w:r>
          </w:p>
        </w:tc>
        <w:tc>
          <w:tcPr>
            <w:tcW w:w="1096" w:type="pct"/>
            <w:tcBorders>
              <w:top w:val="single" w:sz="4" w:space="0" w:color="000000"/>
              <w:bottom w:val="single" w:sz="4" w:space="0" w:color="000000"/>
              <w:right w:val="single" w:sz="4" w:space="0" w:color="000000"/>
            </w:tcBorders>
            <w:vAlign w:val="center"/>
          </w:tcPr>
          <w:p w14:paraId="7BFAC4DC" w14:textId="0E789BE4" w:rsidR="008A604B" w:rsidRPr="00953D3F" w:rsidRDefault="00953B91" w:rsidP="00785F69">
            <w:pPr>
              <w:pStyle w:val="Tabletext"/>
              <w:jc w:val="right"/>
              <w:cnfStyle w:val="000000000000" w:firstRow="0" w:lastRow="0" w:firstColumn="0" w:lastColumn="0" w:oddVBand="0" w:evenVBand="0" w:oddHBand="0" w:evenHBand="0" w:firstRowFirstColumn="0" w:firstRowLastColumn="0" w:lastRowFirstColumn="0" w:lastRowLastColumn="0"/>
              <w:rPr>
                <w:b/>
              </w:rPr>
            </w:pPr>
            <w:r w:rsidRPr="00953D3F">
              <w:rPr>
                <w:b/>
              </w:rPr>
              <w:t>0.</w:t>
            </w:r>
            <w:r w:rsidR="004163BE">
              <w:rPr>
                <w:b/>
              </w:rPr>
              <w:t>8</w:t>
            </w:r>
            <w:r w:rsidR="00900FA4">
              <w:rPr>
                <w:b/>
                <w:bCs/>
              </w:rPr>
              <w:t>5</w:t>
            </w:r>
          </w:p>
        </w:tc>
      </w:tr>
    </w:tbl>
    <w:p w14:paraId="04F8D2C5" w14:textId="309A53FF" w:rsidR="00571B15" w:rsidRDefault="00532A73" w:rsidP="00EE6F3B">
      <w:pPr>
        <w:pStyle w:val="Heading1"/>
      </w:pPr>
      <w:bookmarkStart w:id="30" w:name="_Toc215847523"/>
      <w:r>
        <w:lastRenderedPageBreak/>
        <w:t>6</w:t>
      </w:r>
      <w:r w:rsidR="00436F38">
        <w:t xml:space="preserve">. </w:t>
      </w:r>
      <w:r w:rsidR="006615CC">
        <w:t>Summary of preferred option</w:t>
      </w:r>
      <w:bookmarkEnd w:id="30"/>
    </w:p>
    <w:p w14:paraId="64E303FF" w14:textId="69EBEC23" w:rsidR="001A01AF" w:rsidRPr="002C2567" w:rsidRDefault="00D55CBF" w:rsidP="001A01AF">
      <w:pPr>
        <w:pStyle w:val="Body"/>
      </w:pPr>
      <w:r>
        <w:t xml:space="preserve">As evidenced above, Option 2, the preferred option, has numerous benefits and advantages over the base case and </w:t>
      </w:r>
      <w:r w:rsidR="00C02FD3">
        <w:t>Option 1 (</w:t>
      </w:r>
      <w:r>
        <w:t>status quo</w:t>
      </w:r>
      <w:r w:rsidR="00C02FD3">
        <w:t>)</w:t>
      </w:r>
      <w:r>
        <w:t xml:space="preserve">. </w:t>
      </w:r>
      <w:r w:rsidR="001A01AF" w:rsidRPr="002C2567">
        <w:t xml:space="preserve">Option 2 proposes a targeted reform package that remakes the Non-Emergency Patient Transport Regulations </w:t>
      </w:r>
      <w:r w:rsidR="00BE2222">
        <w:t xml:space="preserve">largely in their current form, </w:t>
      </w:r>
      <w:r w:rsidR="001A01AF" w:rsidRPr="002C2567">
        <w:t xml:space="preserve">with amendments designed to strengthen the </w:t>
      </w:r>
      <w:r w:rsidR="00EF4E4C">
        <w:t>integration</w:t>
      </w:r>
      <w:r w:rsidR="001A01AF" w:rsidRPr="002C2567">
        <w:t xml:space="preserve"> of NEPT within Victoria’s health system</w:t>
      </w:r>
      <w:r w:rsidR="0029190E">
        <w:t xml:space="preserve"> and make other targeted improvements </w:t>
      </w:r>
      <w:r w:rsidR="00A3651D">
        <w:t>in line with the NEPT review</w:t>
      </w:r>
      <w:r w:rsidR="005C491D">
        <w:t xml:space="preserve">. </w:t>
      </w:r>
      <w:r w:rsidR="001A01AF" w:rsidRPr="002C2567">
        <w:t>This option responds to stakeholder feedback, findings from the NEPT Review, and operational insights from the Health Regulator. It aims to improve patient safety, support workforce capability, and enhance regulatory clarity and sector sustainability.</w:t>
      </w:r>
    </w:p>
    <w:p w14:paraId="741D2826" w14:textId="77777777" w:rsidR="001A01AF" w:rsidRPr="002C2567" w:rsidRDefault="001A01AF" w:rsidP="001A01AF">
      <w:pPr>
        <w:pStyle w:val="Body"/>
      </w:pPr>
      <w:r w:rsidRPr="002C2567">
        <w:t>The proposed amendments are proportionate to the risks identified in the problem analysis and are consistent with the objectives of government action. They reflect best-practice regulatory design principles, including enforceability, flexibility, and alignment with broader health system governance.</w:t>
      </w:r>
    </w:p>
    <w:p w14:paraId="51887F88" w14:textId="32A83E2F" w:rsidR="001B6C0D" w:rsidRDefault="00322F44" w:rsidP="00B80431">
      <w:pPr>
        <w:pStyle w:val="Body"/>
      </w:pPr>
      <w:r>
        <w:t xml:space="preserve">The </w:t>
      </w:r>
      <w:r w:rsidR="00143CF5">
        <w:t xml:space="preserve">proposed </w:t>
      </w:r>
      <w:r w:rsidR="00B4660B">
        <w:t xml:space="preserve">Regulations </w:t>
      </w:r>
      <w:r>
        <w:t xml:space="preserve">contribute to </w:t>
      </w:r>
      <w:r w:rsidR="00D63B8D">
        <w:t xml:space="preserve">ensuring </w:t>
      </w:r>
      <w:r>
        <w:t>patient saf</w:t>
      </w:r>
      <w:r w:rsidR="00D63B8D">
        <w:t>ety, supporting workforce capabilit</w:t>
      </w:r>
      <w:r w:rsidR="0036461F">
        <w:t>y and</w:t>
      </w:r>
      <w:r w:rsidR="00D63B8D">
        <w:t xml:space="preserve"> delivering services </w:t>
      </w:r>
      <w:r w:rsidR="0036461F">
        <w:t>efficiently</w:t>
      </w:r>
      <w:r w:rsidR="003C37CA">
        <w:t xml:space="preserve"> without significantly increasing costs, </w:t>
      </w:r>
      <w:r w:rsidR="00B93DD8">
        <w:t xml:space="preserve">while recognising the </w:t>
      </w:r>
      <w:r w:rsidR="00EF60A9">
        <w:t>rol</w:t>
      </w:r>
      <w:r w:rsidR="00B93DD8">
        <w:t xml:space="preserve">e of NEPT as an important health service. </w:t>
      </w:r>
    </w:p>
    <w:p w14:paraId="6014ED61" w14:textId="31B03FB3" w:rsidR="00134877" w:rsidRDefault="00616FD6" w:rsidP="00B80431">
      <w:pPr>
        <w:pStyle w:val="Body"/>
      </w:pPr>
      <w:r>
        <w:t xml:space="preserve">The preferred option </w:t>
      </w:r>
      <w:r w:rsidR="004A03DC">
        <w:t xml:space="preserve">also </w:t>
      </w:r>
      <w:r w:rsidR="00753063">
        <w:t xml:space="preserve">has </w:t>
      </w:r>
      <w:proofErr w:type="gramStart"/>
      <w:r w:rsidR="00753063">
        <w:t>a number of</w:t>
      </w:r>
      <w:proofErr w:type="gramEnd"/>
      <w:r w:rsidR="00753063">
        <w:t xml:space="preserve"> </w:t>
      </w:r>
      <w:r w:rsidR="00EB1D8C">
        <w:t xml:space="preserve">smaller </w:t>
      </w:r>
      <w:r w:rsidR="00753063">
        <w:t xml:space="preserve">additional benefits </w:t>
      </w:r>
      <w:r w:rsidR="000C2909">
        <w:t xml:space="preserve">that </w:t>
      </w:r>
      <w:r w:rsidR="00EB1D8C">
        <w:t xml:space="preserve">have not been analysed in this RIS </w:t>
      </w:r>
      <w:r w:rsidR="00AF16AB">
        <w:t xml:space="preserve">such as </w:t>
      </w:r>
      <w:r w:rsidR="00B85050">
        <w:t>reductions in carbon em</w:t>
      </w:r>
      <w:r w:rsidR="001B7A41">
        <w:t xml:space="preserve">issions from </w:t>
      </w:r>
      <w:r w:rsidR="0016184A">
        <w:t>a reduction in aero</w:t>
      </w:r>
      <w:r w:rsidR="0062127D">
        <w:t>medical</w:t>
      </w:r>
      <w:r w:rsidR="00D415DC">
        <w:t xml:space="preserve"> transports undertaken. </w:t>
      </w:r>
    </w:p>
    <w:p w14:paraId="5596A7F1" w14:textId="0D2D824E" w:rsidR="00D31ECB" w:rsidRPr="00D31ECB" w:rsidRDefault="006135F6" w:rsidP="00D31ECB">
      <w:pPr>
        <w:pStyle w:val="Body"/>
      </w:pPr>
      <w:r>
        <w:t>A</w:t>
      </w:r>
      <w:r w:rsidR="00AF3920">
        <w:t>n overview</w:t>
      </w:r>
      <w:r>
        <w:t xml:space="preserve"> comparison of the </w:t>
      </w:r>
      <w:r w:rsidR="003E3E0A">
        <w:t xml:space="preserve">proposed amendments with current regulations is provided in the </w:t>
      </w:r>
      <w:r w:rsidR="00006F47">
        <w:t>Chapter 4</w:t>
      </w:r>
      <w:r w:rsidR="003E3E0A">
        <w:t xml:space="preserve">. </w:t>
      </w:r>
      <w:r w:rsidR="00677994">
        <w:t xml:space="preserve">The </w:t>
      </w:r>
      <w:r w:rsidR="008A30A9">
        <w:t>proposed amendments</w:t>
      </w:r>
      <w:r w:rsidR="002B02BE">
        <w:t xml:space="preserve">, </w:t>
      </w:r>
      <w:r w:rsidR="00460483">
        <w:t>described also</w:t>
      </w:r>
      <w:r w:rsidR="00380BE2">
        <w:t xml:space="preserve"> </w:t>
      </w:r>
      <w:r w:rsidR="00460483">
        <w:t xml:space="preserve">in </w:t>
      </w:r>
      <w:r w:rsidR="00B365E2">
        <w:t>previous chapters</w:t>
      </w:r>
      <w:r w:rsidR="00460483">
        <w:t>,</w:t>
      </w:r>
      <w:r w:rsidR="008A30A9">
        <w:t xml:space="preserve"> span four key areas</w:t>
      </w:r>
      <w:r w:rsidR="00677994">
        <w:t>:</w:t>
      </w:r>
    </w:p>
    <w:p w14:paraId="5D7F105B" w14:textId="77777777" w:rsidR="00C606C5" w:rsidRPr="00D31ECB" w:rsidRDefault="00C606C5" w:rsidP="00254915">
      <w:pPr>
        <w:pStyle w:val="Heading2"/>
      </w:pPr>
      <w:r w:rsidRPr="00D31ECB">
        <w:t>Ensuring patient safety</w:t>
      </w:r>
    </w:p>
    <w:p w14:paraId="6EA363C0" w14:textId="61905B40" w:rsidR="00C606C5" w:rsidRPr="00D31ECB" w:rsidRDefault="00C606C5" w:rsidP="00D31ECB">
      <w:pPr>
        <w:pStyle w:val="Bullet1"/>
      </w:pPr>
      <w:r w:rsidRPr="00D31ECB">
        <w:t>Clarify transport and crew requirements to ensure high patient safety standards</w:t>
      </w:r>
      <w:r w:rsidR="00C065BF">
        <w:t>.</w:t>
      </w:r>
    </w:p>
    <w:p w14:paraId="0D369DC9" w14:textId="7A0980FC" w:rsidR="00C606C5" w:rsidRPr="00D31ECB" w:rsidRDefault="00C606C5" w:rsidP="00D31ECB">
      <w:pPr>
        <w:pStyle w:val="Bullet1"/>
      </w:pPr>
      <w:r w:rsidRPr="00D31ECB">
        <w:t>Clarify vehicle and equipment maintenance requirements to ensure safe transport</w:t>
      </w:r>
      <w:r w:rsidR="00C065BF">
        <w:t>.</w:t>
      </w:r>
    </w:p>
    <w:p w14:paraId="034FE431" w14:textId="59A64279" w:rsidR="00C606C5" w:rsidRPr="00D31ECB" w:rsidRDefault="00C606C5" w:rsidP="00D31ECB">
      <w:pPr>
        <w:pStyle w:val="Bullet1"/>
      </w:pPr>
      <w:r w:rsidRPr="00D31ECB">
        <w:t>Reporting and oversight of all serious adverse patient safety events</w:t>
      </w:r>
      <w:r w:rsidR="00C065BF">
        <w:t>.</w:t>
      </w:r>
    </w:p>
    <w:p w14:paraId="2AF1D9CF" w14:textId="5A5110C5" w:rsidR="00C606C5" w:rsidRPr="00D31ECB" w:rsidRDefault="00C606C5" w:rsidP="00D31ECB">
      <w:pPr>
        <w:pStyle w:val="Bullet1"/>
      </w:pPr>
      <w:r w:rsidRPr="00D31ECB">
        <w:t>Embed expertise for clinical oversight committee and auditing of patient care records</w:t>
      </w:r>
      <w:r w:rsidR="00C065BF">
        <w:t>.</w:t>
      </w:r>
    </w:p>
    <w:p w14:paraId="7EEE0D93" w14:textId="1614EEBF" w:rsidR="00D07B97" w:rsidRDefault="00D07B97" w:rsidP="00F60333">
      <w:pPr>
        <w:pStyle w:val="Bodyafterbullets"/>
      </w:pPr>
      <w:r w:rsidRPr="00E23630">
        <w:t xml:space="preserve">Amendments </w:t>
      </w:r>
      <w:r w:rsidR="00E23630" w:rsidRPr="00E23630">
        <w:t xml:space="preserve">in the preferred option </w:t>
      </w:r>
      <w:r w:rsidR="00FF0DD7">
        <w:t xml:space="preserve">refine the drafting of transport and crew requirements to ensure the </w:t>
      </w:r>
      <w:r w:rsidR="005956C6">
        <w:t>regulatory obligations are clear</w:t>
      </w:r>
      <w:r w:rsidR="00F26482">
        <w:t xml:space="preserve">, being explicit that two </w:t>
      </w:r>
      <w:r w:rsidR="00CF543A">
        <w:t>suitably qualified and competent crew are required and one must travel in the patient compartment with the patient</w:t>
      </w:r>
      <w:r w:rsidR="00525E15">
        <w:rPr>
          <w:rStyle w:val="CommentReference"/>
          <w:rFonts w:eastAsia="Times New Roman"/>
        </w:rPr>
        <w:t>.</w:t>
      </w:r>
      <w:r w:rsidR="005956C6">
        <w:t xml:space="preserve"> </w:t>
      </w:r>
      <w:r w:rsidR="00217948">
        <w:t xml:space="preserve">Similarly, the vehicle and equipment maintenance requirements have been amended to remove </w:t>
      </w:r>
      <w:r w:rsidR="00261200">
        <w:t>ambiguity and ensure that an appropriate standard is maintained for the safety of patients.</w:t>
      </w:r>
      <w:r w:rsidR="005956C6">
        <w:t xml:space="preserve"> </w:t>
      </w:r>
      <w:r w:rsidR="00F32C50">
        <w:t>The amendments proposed to s</w:t>
      </w:r>
      <w:r w:rsidR="002D26AB">
        <w:t>trengthen clinical oversight</w:t>
      </w:r>
      <w:r w:rsidR="005C6C68">
        <w:t>,</w:t>
      </w:r>
      <w:r w:rsidR="00F32C50">
        <w:t xml:space="preserve"> </w:t>
      </w:r>
      <w:r w:rsidR="00A77A67">
        <w:t>as elaborated above</w:t>
      </w:r>
      <w:r w:rsidR="005C6C68">
        <w:t>,</w:t>
      </w:r>
      <w:r w:rsidR="00F32C50">
        <w:t xml:space="preserve"> </w:t>
      </w:r>
      <w:r w:rsidR="005E53DA">
        <w:t>responds to the NEP</w:t>
      </w:r>
      <w:r w:rsidR="009B04A7">
        <w:t>T</w:t>
      </w:r>
      <w:r w:rsidR="005E53DA">
        <w:t xml:space="preserve"> Review findings that</w:t>
      </w:r>
      <w:r w:rsidR="009B04A7">
        <w:t xml:space="preserve"> improved governance and continuous improvement of quality and safety would</w:t>
      </w:r>
      <w:r w:rsidR="00575BD1">
        <w:t xml:space="preserve"> better support NEPT services</w:t>
      </w:r>
      <w:r w:rsidR="00451393">
        <w:t>.</w:t>
      </w:r>
    </w:p>
    <w:p w14:paraId="0B6372D1" w14:textId="77777777" w:rsidR="00C606C5" w:rsidRPr="00D31ECB" w:rsidRDefault="00C606C5" w:rsidP="00254915">
      <w:pPr>
        <w:pStyle w:val="Heading2"/>
      </w:pPr>
      <w:r w:rsidRPr="00D31ECB">
        <w:t xml:space="preserve">Supporting workforce capability </w:t>
      </w:r>
    </w:p>
    <w:p w14:paraId="01386058" w14:textId="72FD3639" w:rsidR="00C606C5" w:rsidRPr="00D31ECB" w:rsidRDefault="00C606C5" w:rsidP="00D31ECB">
      <w:pPr>
        <w:pStyle w:val="Bullet1"/>
      </w:pPr>
      <w:r w:rsidRPr="00D31ECB">
        <w:t>Integrate reference to clinical practice protocols to support crew to operate within scope of practice</w:t>
      </w:r>
      <w:r w:rsidR="00C065BF">
        <w:t>.</w:t>
      </w:r>
      <w:r w:rsidRPr="00D31ECB">
        <w:t xml:space="preserve"> </w:t>
      </w:r>
    </w:p>
    <w:p w14:paraId="6AD4CE15" w14:textId="77160EAE" w:rsidR="00C606C5" w:rsidRPr="00D31ECB" w:rsidRDefault="00C606C5" w:rsidP="00D31ECB">
      <w:pPr>
        <w:pStyle w:val="Bullet1"/>
      </w:pPr>
      <w:r w:rsidRPr="00D31ECB">
        <w:t>Clarify competency and skills maintenance requirements to provide workforce with confidence to perform their duties</w:t>
      </w:r>
      <w:r w:rsidR="00C065BF">
        <w:t>.</w:t>
      </w:r>
    </w:p>
    <w:p w14:paraId="00F2EBBA" w14:textId="243E31A8" w:rsidR="00C606C5" w:rsidRPr="00D31ECB" w:rsidRDefault="00C606C5" w:rsidP="00D31ECB">
      <w:pPr>
        <w:pStyle w:val="Bullet1"/>
      </w:pPr>
      <w:r w:rsidRPr="00D31ECB">
        <w:t>Enable flexible competency pathways to strengthen recruitment and retention of workforce into the future</w:t>
      </w:r>
      <w:r w:rsidR="00C065BF">
        <w:t>.</w:t>
      </w:r>
    </w:p>
    <w:p w14:paraId="10971FE4" w14:textId="0103CB08" w:rsidR="00876E2F" w:rsidRPr="00D31ECB" w:rsidRDefault="00C606C5" w:rsidP="00D31ECB">
      <w:pPr>
        <w:pStyle w:val="Bullet1"/>
      </w:pPr>
      <w:r w:rsidRPr="00D31ECB">
        <w:t>Anonymised staff surveys to support worker satisfaction and inform overall workforce policies</w:t>
      </w:r>
      <w:r w:rsidR="00C065BF">
        <w:t>.</w:t>
      </w:r>
    </w:p>
    <w:p w14:paraId="6F0AC071" w14:textId="58ECDE94" w:rsidR="00B070B6" w:rsidRDefault="00CC6BE6" w:rsidP="00F60333">
      <w:pPr>
        <w:pStyle w:val="Bodyafterbullets"/>
      </w:pPr>
      <w:r>
        <w:lastRenderedPageBreak/>
        <w:t>These amendments have been proposed to</w:t>
      </w:r>
      <w:r w:rsidR="00AA3A48">
        <w:t xml:space="preserve"> respond</w:t>
      </w:r>
      <w:r w:rsidR="00F949FC">
        <w:t xml:space="preserve"> </w:t>
      </w:r>
      <w:r w:rsidR="00B17F92">
        <w:t xml:space="preserve">to </w:t>
      </w:r>
      <w:r w:rsidR="007A0C7A">
        <w:t>workforce challenges</w:t>
      </w:r>
      <w:r w:rsidR="00B17F92">
        <w:t xml:space="preserve"> </w:t>
      </w:r>
      <w:r w:rsidR="007A0C7A">
        <w:t>identified</w:t>
      </w:r>
      <w:r w:rsidR="00B17F92">
        <w:t xml:space="preserve"> in the NEPT Review</w:t>
      </w:r>
      <w:r w:rsidR="007A0C7A">
        <w:t xml:space="preserve"> and will support the </w:t>
      </w:r>
      <w:r w:rsidR="00DC298F">
        <w:t>NEPT workforce plan</w:t>
      </w:r>
      <w:r w:rsidR="004A47BA">
        <w:t>.</w:t>
      </w:r>
      <w:r w:rsidR="004278B4">
        <w:t xml:space="preserve"> </w:t>
      </w:r>
      <w:r w:rsidR="00E2598B">
        <w:t xml:space="preserve">Complying with clinical practice protocols is currently a condition of licence, but </w:t>
      </w:r>
      <w:r w:rsidR="00A86C08">
        <w:t xml:space="preserve">incorporated references within the </w:t>
      </w:r>
      <w:r w:rsidR="00B4660B">
        <w:t xml:space="preserve">Regulations </w:t>
      </w:r>
      <w:r w:rsidR="00F3782A">
        <w:t>facilitates</w:t>
      </w:r>
      <w:r w:rsidR="007A5E61">
        <w:t xml:space="preserve"> understanding of the regulatory intent</w:t>
      </w:r>
      <w:r w:rsidR="0090261F">
        <w:t xml:space="preserve">, and ensuring it is part of skills maintenance training </w:t>
      </w:r>
      <w:r w:rsidR="00F3782A">
        <w:t>supports workforce capability to operate within thei</w:t>
      </w:r>
      <w:r w:rsidR="00064F6B">
        <w:t xml:space="preserve">r scope of practice. </w:t>
      </w:r>
      <w:r w:rsidR="00C5019E">
        <w:t xml:space="preserve">The Secretary </w:t>
      </w:r>
      <w:r w:rsidR="00C022C9">
        <w:t xml:space="preserve">may determine the </w:t>
      </w:r>
      <w:r w:rsidR="00D13FD7">
        <w:t xml:space="preserve">skills and competencies for clinical instructors, which will </w:t>
      </w:r>
      <w:r w:rsidR="00D22389">
        <w:t xml:space="preserve">build </w:t>
      </w:r>
      <w:r w:rsidR="00870C41">
        <w:t>up</w:t>
      </w:r>
      <w:r w:rsidR="00D22389">
        <w:t xml:space="preserve">on the current </w:t>
      </w:r>
      <w:r w:rsidR="00BB72D6">
        <w:t>requirements</w:t>
      </w:r>
      <w:r w:rsidR="003B5162">
        <w:t>,</w:t>
      </w:r>
      <w:r w:rsidR="00BB72D6">
        <w:t xml:space="preserve"> </w:t>
      </w:r>
      <w:r w:rsidR="001D4B51">
        <w:t>but</w:t>
      </w:r>
      <w:r w:rsidR="00BB72D6">
        <w:t xml:space="preserve"> </w:t>
      </w:r>
      <w:r w:rsidR="003B5162">
        <w:t xml:space="preserve">also </w:t>
      </w:r>
      <w:r w:rsidR="00446113">
        <w:t xml:space="preserve">enable </w:t>
      </w:r>
      <w:r w:rsidR="003B5162">
        <w:t>flexible</w:t>
      </w:r>
      <w:r w:rsidR="00446113">
        <w:t xml:space="preserve"> </w:t>
      </w:r>
      <w:r w:rsidR="00481B6C">
        <w:t xml:space="preserve">options to be </w:t>
      </w:r>
      <w:r w:rsidR="006A2F24">
        <w:t>considered</w:t>
      </w:r>
      <w:r w:rsidR="00BB72D6">
        <w:t xml:space="preserve"> in response to workforce development</w:t>
      </w:r>
      <w:r w:rsidR="00AB7951">
        <w:t xml:space="preserve"> needs</w:t>
      </w:r>
      <w:r w:rsidR="00BB72D6">
        <w:t xml:space="preserve">. </w:t>
      </w:r>
    </w:p>
    <w:p w14:paraId="6A8019F4" w14:textId="77777777" w:rsidR="00C606C5" w:rsidRPr="00D31ECB" w:rsidRDefault="00C606C5" w:rsidP="00254915">
      <w:pPr>
        <w:pStyle w:val="Heading2"/>
      </w:pPr>
      <w:r w:rsidRPr="00D31ECB">
        <w:t xml:space="preserve">Delivering services efficiently </w:t>
      </w:r>
    </w:p>
    <w:p w14:paraId="4F70A5D8" w14:textId="0990B2F3" w:rsidR="00C606C5" w:rsidRPr="00D31ECB" w:rsidRDefault="00C606C5" w:rsidP="00D31ECB">
      <w:pPr>
        <w:pStyle w:val="Bullet1"/>
      </w:pPr>
      <w:r w:rsidRPr="00D31ECB">
        <w:t>Safeguarding extended vehicle mileage limits to support sustainability and continued regional access</w:t>
      </w:r>
      <w:r w:rsidR="00C065BF">
        <w:t>.</w:t>
      </w:r>
    </w:p>
    <w:p w14:paraId="2F972124" w14:textId="0F2DBADF" w:rsidR="00C606C5" w:rsidRPr="00D31ECB" w:rsidRDefault="00C606C5" w:rsidP="00D31ECB">
      <w:pPr>
        <w:pStyle w:val="Bullet1"/>
      </w:pPr>
      <w:r w:rsidRPr="00D31ECB">
        <w:t>Permit double loading of low and medium acuity aeromedical patients to enable efficient use of limited resources</w:t>
      </w:r>
      <w:r w:rsidR="00C065BF">
        <w:t>.</w:t>
      </w:r>
      <w:r w:rsidRPr="00D31ECB">
        <w:t xml:space="preserve"> </w:t>
      </w:r>
    </w:p>
    <w:p w14:paraId="6D22605E" w14:textId="32B4E3FC" w:rsidR="000A1346" w:rsidRPr="00D31ECB" w:rsidRDefault="00C606C5" w:rsidP="00D31ECB">
      <w:pPr>
        <w:pStyle w:val="Bullet1"/>
      </w:pPr>
      <w:r w:rsidRPr="00D31ECB">
        <w:t xml:space="preserve">Clear obligations to facilitate compliance and enforcement and establish best practice within the sector. </w:t>
      </w:r>
    </w:p>
    <w:p w14:paraId="3A79E1C8" w14:textId="3EB1B52B" w:rsidR="000A1346" w:rsidRPr="00876E2F" w:rsidRDefault="00E14CE6" w:rsidP="00F60333">
      <w:pPr>
        <w:pStyle w:val="Bodyafterbullets"/>
      </w:pPr>
      <w:r>
        <w:t xml:space="preserve">The proposal to </w:t>
      </w:r>
      <w:r w:rsidR="00530EF4">
        <w:t xml:space="preserve">extend vehicle mileage is balanced by obligations </w:t>
      </w:r>
      <w:r w:rsidR="00512276">
        <w:t xml:space="preserve">to </w:t>
      </w:r>
      <w:r w:rsidR="00F1558C">
        <w:t xml:space="preserve">undertake </w:t>
      </w:r>
      <w:r w:rsidR="00DA731E">
        <w:t>annual testing and</w:t>
      </w:r>
      <w:r w:rsidR="00F1558C">
        <w:t xml:space="preserve"> maintenance,</w:t>
      </w:r>
      <w:r w:rsidR="00DA731E">
        <w:t xml:space="preserve"> including of the </w:t>
      </w:r>
      <w:r w:rsidR="009845BE">
        <w:t>interior</w:t>
      </w:r>
      <w:r w:rsidR="00DA731E">
        <w:t>,</w:t>
      </w:r>
      <w:r w:rsidR="009845BE">
        <w:t xml:space="preserve"> </w:t>
      </w:r>
      <w:r w:rsidR="00DA731E">
        <w:t>as well as</w:t>
      </w:r>
      <w:r w:rsidR="00142E81">
        <w:t xml:space="preserve"> the</w:t>
      </w:r>
      <w:r w:rsidR="00376B31">
        <w:t xml:space="preserve"> additional safeguard that the</w:t>
      </w:r>
      <w:r w:rsidR="00142E81">
        <w:t xml:space="preserve"> Secretary must not grant </w:t>
      </w:r>
      <w:r w:rsidR="00376B31">
        <w:t xml:space="preserve">an </w:t>
      </w:r>
      <w:r w:rsidR="00142E81">
        <w:t xml:space="preserve">exemption unless there is evidence of </w:t>
      </w:r>
      <w:r w:rsidR="00376B31">
        <w:t>continued compliance with the regulatory requirements.</w:t>
      </w:r>
      <w:r w:rsidR="0012567A">
        <w:t xml:space="preserve"> Similarly</w:t>
      </w:r>
      <w:r w:rsidR="00085494">
        <w:t>, following consultation,</w:t>
      </w:r>
      <w:r w:rsidR="0012567A">
        <w:t xml:space="preserve"> the</w:t>
      </w:r>
      <w:r w:rsidR="004A3795">
        <w:t xml:space="preserve"> extended</w:t>
      </w:r>
      <w:r w:rsidR="0012567A">
        <w:t xml:space="preserve"> ability to double load aeromedical patients</w:t>
      </w:r>
      <w:r w:rsidR="00085494">
        <w:t xml:space="preserve"> was limited to only low and medium acuity patients. </w:t>
      </w:r>
      <w:r w:rsidR="00527FEF">
        <w:t xml:space="preserve">The inclusion of </w:t>
      </w:r>
      <w:r w:rsidR="007D3E61">
        <w:t>the</w:t>
      </w:r>
      <w:r w:rsidR="00527FEF">
        <w:t xml:space="preserve"> Vehicle Identification Number</w:t>
      </w:r>
      <w:r w:rsidR="00A95DC4">
        <w:t xml:space="preserve"> in records is an example of</w:t>
      </w:r>
      <w:r w:rsidR="002432FA">
        <w:t xml:space="preserve"> a</w:t>
      </w:r>
      <w:r w:rsidR="00300734">
        <w:t xml:space="preserve"> minor</w:t>
      </w:r>
      <w:r w:rsidR="002432FA">
        <w:t xml:space="preserve"> amendment</w:t>
      </w:r>
      <w:r w:rsidR="00300734">
        <w:t xml:space="preserve"> proposed to</w:t>
      </w:r>
      <w:r w:rsidR="002432FA">
        <w:t xml:space="preserve"> facilitate</w:t>
      </w:r>
      <w:r w:rsidR="00300734">
        <w:t xml:space="preserve"> </w:t>
      </w:r>
      <w:r w:rsidR="002432FA">
        <w:t>compliance and enforcement.</w:t>
      </w:r>
      <w:r w:rsidR="002E1803">
        <w:t xml:space="preserve"> </w:t>
      </w:r>
      <w:r w:rsidR="00B16E3A">
        <w:t xml:space="preserve">Fees for licence renewals have been reduced from </w:t>
      </w:r>
      <w:r w:rsidR="006F1520">
        <w:t>being scaled across</w:t>
      </w:r>
      <w:r w:rsidR="00B16E3A">
        <w:t xml:space="preserve"> three tiers </w:t>
      </w:r>
      <w:r w:rsidR="00705EB5">
        <w:t xml:space="preserve">(1-9 vehicles, </w:t>
      </w:r>
      <w:r w:rsidR="00CA3599">
        <w:t>10-49 vehicles</w:t>
      </w:r>
      <w:r w:rsidR="0022550D">
        <w:t xml:space="preserve">, </w:t>
      </w:r>
      <w:r w:rsidR="006F1520">
        <w:t xml:space="preserve">50 or more vehicles) </w:t>
      </w:r>
      <w:r w:rsidR="00B16E3A">
        <w:t xml:space="preserve">to two tiers </w:t>
      </w:r>
      <w:r w:rsidR="006F796E">
        <w:t>(</w:t>
      </w:r>
      <w:r w:rsidR="0062443F">
        <w:t xml:space="preserve">1-49 vehicles, 50 or more vehicles) </w:t>
      </w:r>
      <w:r w:rsidR="00B16E3A">
        <w:t xml:space="preserve">which will </w:t>
      </w:r>
      <w:r w:rsidR="00300734">
        <w:t>reduce the regulatory burden on medium size service providers</w:t>
      </w:r>
      <w:r w:rsidR="00B16E3A">
        <w:t>.</w:t>
      </w:r>
    </w:p>
    <w:p w14:paraId="337D7C65" w14:textId="77777777" w:rsidR="00C606C5" w:rsidRPr="00D31ECB" w:rsidRDefault="00C606C5" w:rsidP="00254915">
      <w:pPr>
        <w:pStyle w:val="Heading2"/>
      </w:pPr>
      <w:r w:rsidRPr="00D31ECB">
        <w:t>Recognising NEPT as an important health service provider</w:t>
      </w:r>
    </w:p>
    <w:p w14:paraId="7019FECA" w14:textId="6866AA87" w:rsidR="00C606C5" w:rsidRPr="00876E2F" w:rsidRDefault="00C606C5" w:rsidP="00762990">
      <w:pPr>
        <w:pStyle w:val="Bullet1"/>
      </w:pPr>
      <w:r w:rsidRPr="00876E2F">
        <w:t>Alignment of definitions with NEPT definitions in the Act to clarify scope of service</w:t>
      </w:r>
      <w:r w:rsidR="00C065BF">
        <w:t>.</w:t>
      </w:r>
      <w:r w:rsidRPr="00876E2F">
        <w:t xml:space="preserve"> </w:t>
      </w:r>
    </w:p>
    <w:p w14:paraId="30506BE4" w14:textId="45A8F75D" w:rsidR="00C606C5" w:rsidRPr="00876E2F" w:rsidRDefault="00C606C5" w:rsidP="00762990">
      <w:pPr>
        <w:pStyle w:val="Bullet1"/>
      </w:pPr>
      <w:r w:rsidRPr="00876E2F">
        <w:t>Update terminology and other definitions to be consistent with health service provision</w:t>
      </w:r>
      <w:r w:rsidR="00C065BF">
        <w:t>.</w:t>
      </w:r>
    </w:p>
    <w:p w14:paraId="1847E1DF" w14:textId="7E2685BF" w:rsidR="00C606C5" w:rsidRPr="00876E2F" w:rsidRDefault="00C606C5" w:rsidP="00762990">
      <w:pPr>
        <w:pStyle w:val="Bullet1"/>
      </w:pPr>
      <w:r w:rsidRPr="00876E2F">
        <w:t xml:space="preserve">Highlight the qualifications and skilled roles of </w:t>
      </w:r>
      <w:r w:rsidR="00B25BED">
        <w:t>crew</w:t>
      </w:r>
      <w:r w:rsidRPr="00876E2F">
        <w:t xml:space="preserve"> and clinical instructor</w:t>
      </w:r>
      <w:r w:rsidR="00C065BF">
        <w:t>.</w:t>
      </w:r>
      <w:r w:rsidRPr="00876E2F">
        <w:t xml:space="preserve"> </w:t>
      </w:r>
    </w:p>
    <w:p w14:paraId="18B0EBE6" w14:textId="5B7D02EF" w:rsidR="00C606C5" w:rsidRPr="00876E2F" w:rsidRDefault="00C606C5" w:rsidP="00762990">
      <w:pPr>
        <w:pStyle w:val="Bullet1"/>
      </w:pPr>
      <w:r w:rsidRPr="00876E2F">
        <w:t>Patient complaints policy to align with health service best practice</w:t>
      </w:r>
      <w:r w:rsidR="00C065BF">
        <w:t>.</w:t>
      </w:r>
    </w:p>
    <w:p w14:paraId="39F0A64C" w14:textId="7E44E368" w:rsidR="00624D9C" w:rsidRDefault="008405A2" w:rsidP="00762990">
      <w:pPr>
        <w:pStyle w:val="Bodyafterbullets"/>
      </w:pPr>
      <w:r>
        <w:t>One example</w:t>
      </w:r>
      <w:r w:rsidR="00330986">
        <w:t xml:space="preserve"> of</w:t>
      </w:r>
      <w:r>
        <w:t xml:space="preserve"> </w:t>
      </w:r>
      <w:r w:rsidR="003549D9">
        <w:t>terminology being updated is</w:t>
      </w:r>
      <w:r>
        <w:t xml:space="preserve"> the </w:t>
      </w:r>
      <w:r w:rsidR="003E5168">
        <w:t xml:space="preserve">use </w:t>
      </w:r>
      <w:r>
        <w:t xml:space="preserve">of the </w:t>
      </w:r>
      <w:r w:rsidR="008245BA">
        <w:t xml:space="preserve">term ‘episode of care’ which better reflects that NEPT is a health service </w:t>
      </w:r>
      <w:r w:rsidR="00AA2869">
        <w:t xml:space="preserve">– the previous emphasis on duration of </w:t>
      </w:r>
      <w:r w:rsidR="009F2219">
        <w:t>‘</w:t>
      </w:r>
      <w:r w:rsidR="00AA2869">
        <w:t>transport’ downplayed the import</w:t>
      </w:r>
      <w:r w:rsidR="003E5168">
        <w:t xml:space="preserve">ance of a skilled workforce in delivering this care. </w:t>
      </w:r>
      <w:r w:rsidR="0021681C">
        <w:t xml:space="preserve">Where the current </w:t>
      </w:r>
      <w:r w:rsidR="00B4660B">
        <w:t xml:space="preserve">Regulations </w:t>
      </w:r>
      <w:r w:rsidR="00D30899">
        <w:t xml:space="preserve">mentioned only the number of hours </w:t>
      </w:r>
      <w:r w:rsidR="00990C26">
        <w:t>experience</w:t>
      </w:r>
      <w:r w:rsidR="008E22F0">
        <w:t xml:space="preserve"> required</w:t>
      </w:r>
      <w:r w:rsidR="00990C26">
        <w:t xml:space="preserve"> of patient transport officers and ambulance transport attendants, the proposed </w:t>
      </w:r>
      <w:r w:rsidR="00B4660B">
        <w:t xml:space="preserve">Regulations </w:t>
      </w:r>
      <w:r w:rsidR="004E514C">
        <w:t>better</w:t>
      </w:r>
      <w:r w:rsidR="00511FAB">
        <w:t xml:space="preserve"> </w:t>
      </w:r>
      <w:r w:rsidR="008E22F0">
        <w:t xml:space="preserve">recognise </w:t>
      </w:r>
      <w:r w:rsidR="004E514C">
        <w:t>their</w:t>
      </w:r>
      <w:r w:rsidR="008E22F0">
        <w:t xml:space="preserve"> qualifications </w:t>
      </w:r>
      <w:r w:rsidR="00553451">
        <w:t xml:space="preserve">by </w:t>
      </w:r>
      <w:r w:rsidR="00CF4075">
        <w:t>increasing the visibility of t</w:t>
      </w:r>
      <w:r w:rsidR="004E514C">
        <w:t xml:space="preserve">he skills required. </w:t>
      </w:r>
      <w:r w:rsidR="00575A7A">
        <w:t xml:space="preserve">The Secretary will </w:t>
      </w:r>
      <w:r w:rsidR="000058AA">
        <w:t>publish</w:t>
      </w:r>
      <w:r w:rsidR="00575A7A">
        <w:t xml:space="preserve"> a determination</w:t>
      </w:r>
      <w:r w:rsidR="00247284">
        <w:t xml:space="preserve"> </w:t>
      </w:r>
      <w:r w:rsidR="005311DA">
        <w:t>that lists</w:t>
      </w:r>
      <w:r w:rsidR="00247284">
        <w:t xml:space="preserve"> base qualification requirements,</w:t>
      </w:r>
      <w:r w:rsidR="00592909">
        <w:t xml:space="preserve"> </w:t>
      </w:r>
      <w:proofErr w:type="gramStart"/>
      <w:r w:rsidR="00084DB6">
        <w:t>similar to</w:t>
      </w:r>
      <w:proofErr w:type="gramEnd"/>
      <w:r w:rsidR="00084DB6">
        <w:t xml:space="preserve"> </w:t>
      </w:r>
      <w:r w:rsidR="00CA38E9">
        <w:t xml:space="preserve">the </w:t>
      </w:r>
      <w:r w:rsidR="00084DB6">
        <w:t>existing</w:t>
      </w:r>
      <w:r w:rsidR="00575A7A">
        <w:t xml:space="preserve"> </w:t>
      </w:r>
      <w:r w:rsidR="00FB54D5">
        <w:t xml:space="preserve">crew mix supplement to the </w:t>
      </w:r>
      <w:r w:rsidR="005B5EF2">
        <w:t>Cli</w:t>
      </w:r>
      <w:r w:rsidR="00905F42">
        <w:t xml:space="preserve">nical Practice </w:t>
      </w:r>
      <w:proofErr w:type="gramStart"/>
      <w:r w:rsidR="00905F42">
        <w:t>Protocols,</w:t>
      </w:r>
      <w:r w:rsidR="00575A7A">
        <w:t xml:space="preserve"> </w:t>
      </w:r>
      <w:r w:rsidR="00A63D26">
        <w:t>but</w:t>
      </w:r>
      <w:proofErr w:type="gramEnd"/>
      <w:r w:rsidR="00A63D26">
        <w:t xml:space="preserve"> thereby</w:t>
      </w:r>
      <w:r w:rsidR="000058AA">
        <w:t xml:space="preserve"> </w:t>
      </w:r>
      <w:r w:rsidR="00A63D26">
        <w:t>providing</w:t>
      </w:r>
      <w:r w:rsidR="000058AA">
        <w:t xml:space="preserve"> a formal regulatory framework for this </w:t>
      </w:r>
      <w:r w:rsidR="00E210D9">
        <w:t xml:space="preserve">skilled </w:t>
      </w:r>
      <w:r w:rsidR="000058AA">
        <w:t xml:space="preserve">workforce. </w:t>
      </w:r>
      <w:r w:rsidR="00A15A4C">
        <w:t>Similarly, the role of the clinical instructor in supervising crew is made more explicit.</w:t>
      </w:r>
      <w:r w:rsidR="00E10B14">
        <w:t xml:space="preserve"> The inclusion of a requirement to </w:t>
      </w:r>
      <w:r w:rsidR="005F180C">
        <w:t xml:space="preserve">advise a person who makes a complaint </w:t>
      </w:r>
      <w:r w:rsidR="00E50349">
        <w:t xml:space="preserve">of action taken in response </w:t>
      </w:r>
      <w:r w:rsidR="007749A5">
        <w:t xml:space="preserve">better </w:t>
      </w:r>
      <w:r w:rsidR="00C36691">
        <w:t>aligns the patient</w:t>
      </w:r>
      <w:r w:rsidR="00BC21C0">
        <w:t xml:space="preserve"> rights </w:t>
      </w:r>
      <w:r w:rsidR="007749A5">
        <w:t>obligations</w:t>
      </w:r>
      <w:r w:rsidR="00BC21C0">
        <w:t xml:space="preserve"> with those in </w:t>
      </w:r>
      <w:r w:rsidR="007749A5">
        <w:t xml:space="preserve">health service regulatory frameworks. </w:t>
      </w:r>
    </w:p>
    <w:p w14:paraId="028E0157" w14:textId="77777777" w:rsidR="00624D9C" w:rsidRDefault="00624D9C" w:rsidP="00641E3B">
      <w:pPr>
        <w:pStyle w:val="Heading3"/>
      </w:pPr>
      <w:r>
        <w:lastRenderedPageBreak/>
        <w:t>Minor and administrative amendments</w:t>
      </w:r>
      <w:r>
        <w:rPr>
          <w:b/>
        </w:rPr>
        <w:t xml:space="preserve"> </w:t>
      </w:r>
    </w:p>
    <w:p w14:paraId="5913E7E8" w14:textId="0618F7D0" w:rsidR="00624D9C" w:rsidRDefault="00624D9C" w:rsidP="00624D9C">
      <w:pPr>
        <w:pStyle w:val="Body"/>
      </w:pPr>
      <w:r>
        <w:t xml:space="preserve">In addition to the changes described, the proposed new Regulations have been drafted to clarify or update </w:t>
      </w:r>
      <w:proofErr w:type="gramStart"/>
      <w:r>
        <w:t>definitions, and</w:t>
      </w:r>
      <w:proofErr w:type="gramEnd"/>
      <w:r>
        <w:t xml:space="preserve"> address any minor technical or administrative matters required to ensure greater clarity and consistency. These changes are not individually measurable as costs and benefits, and as such have not been included in the analysis above. A change log will be provided as part of implementation support for license holders. </w:t>
      </w:r>
    </w:p>
    <w:p w14:paraId="5EB3E00E" w14:textId="745051BC" w:rsidR="00134877" w:rsidRDefault="00483E79" w:rsidP="00641E3B">
      <w:pPr>
        <w:pStyle w:val="Heading3"/>
      </w:pPr>
      <w:r w:rsidRPr="00BC3C10">
        <w:t xml:space="preserve">Penalties and </w:t>
      </w:r>
      <w:r w:rsidR="00246046" w:rsidRPr="00BC3C10">
        <w:t>i</w:t>
      </w:r>
      <w:r w:rsidRPr="00BC3C10">
        <w:t>nfringements</w:t>
      </w:r>
      <w:r>
        <w:t xml:space="preserve"> </w:t>
      </w:r>
    </w:p>
    <w:p w14:paraId="5971ABB6" w14:textId="78F490D7" w:rsidR="00082C75" w:rsidRDefault="00246046" w:rsidP="00483E79">
      <w:pPr>
        <w:pStyle w:val="Body"/>
      </w:pPr>
      <w:r w:rsidRPr="00246046">
        <w:t xml:space="preserve">The proposed Regulations prescribe infringement offences and penalties relating to compliance with </w:t>
      </w:r>
      <w:r w:rsidR="002B6CBD">
        <w:t>the Regulations</w:t>
      </w:r>
      <w:r w:rsidRPr="00246046">
        <w:t xml:space="preserve">. The infringement offences and penalties that have been set in these Regulations ensure that there are appropriate and proportionate penalties in place to aid the enforcement of compliance by the regulator against </w:t>
      </w:r>
      <w:r w:rsidR="00666A2E">
        <w:t xml:space="preserve">licensees </w:t>
      </w:r>
      <w:r w:rsidRPr="00246046">
        <w:t>who breach their obligations.</w:t>
      </w:r>
      <w:r w:rsidR="007C0B3B" w:rsidRPr="007C0B3B">
        <w:rPr>
          <w:rFonts w:eastAsia="Times New Roman"/>
        </w:rPr>
        <w:t xml:space="preserve"> </w:t>
      </w:r>
      <w:r w:rsidR="007C0B3B" w:rsidRPr="007C0B3B">
        <w:t>Non-compliance with regulations that affect patient safety have higher penalties than non-compliance with regulations related to record-keeping.</w:t>
      </w:r>
    </w:p>
    <w:p w14:paraId="59BE7F11" w14:textId="6EC71B71" w:rsidR="00171129" w:rsidRPr="006B4884" w:rsidRDefault="00171129" w:rsidP="006B4884">
      <w:pPr>
        <w:pStyle w:val="Heading2"/>
        <w:rPr>
          <w:rFonts w:eastAsia="Times"/>
          <w:sz w:val="21"/>
          <w:szCs w:val="20"/>
        </w:rPr>
      </w:pPr>
      <w:bookmarkStart w:id="31" w:name="_Toc215847524"/>
      <w:r w:rsidRPr="00B070B6">
        <w:t>Small business and competition impacts</w:t>
      </w:r>
      <w:bookmarkEnd w:id="31"/>
    </w:p>
    <w:p w14:paraId="144F0DEE" w14:textId="73CCA1E3" w:rsidR="00171129" w:rsidRPr="0038582A" w:rsidRDefault="00171129" w:rsidP="0038582A">
      <w:pPr>
        <w:pStyle w:val="Body"/>
      </w:pPr>
      <w:r w:rsidRPr="0038582A">
        <w:t xml:space="preserve">A RIS should consider the effects of the proposed </w:t>
      </w:r>
      <w:r w:rsidR="00B4660B" w:rsidRPr="0038582A">
        <w:t>r</w:t>
      </w:r>
      <w:r w:rsidRPr="0038582A">
        <w:t xml:space="preserve">egulations on both small businesses and on business competition overall. Competition can be hindered when businesses are limited or prevented from competing within markets due to regulatory impacts. Small businesses can be disproportionately affected by regulations due to relatively limited resourcing to comply with any new requirements in comparison in comparison to larger businesses. </w:t>
      </w:r>
    </w:p>
    <w:p w14:paraId="2C2C3BFF" w14:textId="3A178835" w:rsidR="00171129" w:rsidRPr="0038582A" w:rsidRDefault="00171129" w:rsidP="0038582A">
      <w:pPr>
        <w:pStyle w:val="Body"/>
      </w:pPr>
      <w:r w:rsidRPr="0038582A">
        <w:t xml:space="preserve">The proposed Regulations have been designed with consideration of smaller providers front of mind to assist in supporting their viability. The most significant such feature is the adjustment of the vehicle mileage limit from 400,000km to 600,000km to reduce the frequency of vehicle replacement for smaller regional providers who typically </w:t>
      </w:r>
      <w:proofErr w:type="gramStart"/>
      <w:r w:rsidRPr="0038582A">
        <w:t>have to</w:t>
      </w:r>
      <w:proofErr w:type="gramEnd"/>
      <w:r w:rsidRPr="0038582A">
        <w:t xml:space="preserve"> cover much larger distances per trip and as such, need to replace vehicles more frequently.</w:t>
      </w:r>
    </w:p>
    <w:p w14:paraId="38067E21" w14:textId="77777777" w:rsidR="00171129" w:rsidRPr="00D709CF" w:rsidRDefault="00171129" w:rsidP="0038582A">
      <w:pPr>
        <w:pStyle w:val="Body"/>
        <w:rPr>
          <w:rFonts w:cs="Arial"/>
        </w:rPr>
      </w:pPr>
      <w:r w:rsidRPr="0038582A">
        <w:t>Competition can be hindered when businesses are prevented or limited from being able to compete within markets due to regulatory interventions. Regulations in Victoria are required to include an assessment of the impacts on competition</w:t>
      </w:r>
      <w:r w:rsidRPr="00D709CF">
        <w:rPr>
          <w:rFonts w:cs="Arial"/>
        </w:rPr>
        <w:t xml:space="preserve"> under the Competition Principles</w:t>
      </w:r>
      <w:r>
        <w:rPr>
          <w:rFonts w:cs="Arial"/>
        </w:rPr>
        <w:t xml:space="preserve"> </w:t>
      </w:r>
      <w:r w:rsidRPr="00D709CF">
        <w:rPr>
          <w:rFonts w:cs="Arial"/>
        </w:rPr>
        <w:t>Agreement. Under the agreement, any new primary or subordinate legislation should not</w:t>
      </w:r>
      <w:r>
        <w:rPr>
          <w:rFonts w:cs="Arial"/>
        </w:rPr>
        <w:t xml:space="preserve"> </w:t>
      </w:r>
      <w:r w:rsidRPr="00D709CF">
        <w:rPr>
          <w:rFonts w:cs="Arial"/>
        </w:rPr>
        <w:t>restrict competition except where:</w:t>
      </w:r>
    </w:p>
    <w:p w14:paraId="6C217F51" w14:textId="77777777" w:rsidR="00171129" w:rsidRPr="00E772BD" w:rsidRDefault="00171129" w:rsidP="00171129">
      <w:pPr>
        <w:pStyle w:val="Bullet1"/>
      </w:pPr>
      <w:r w:rsidRPr="00E772BD">
        <w:t>restriction of competition is required to meet the objectives of the legislation; and</w:t>
      </w:r>
    </w:p>
    <w:p w14:paraId="10156569" w14:textId="7E1E63AB" w:rsidR="00171129" w:rsidRPr="00D709CF" w:rsidRDefault="00171129" w:rsidP="0068628C">
      <w:pPr>
        <w:pStyle w:val="Bullet1"/>
      </w:pPr>
      <w:r w:rsidRPr="00E772BD">
        <w:t>the ben</w:t>
      </w:r>
      <w:r w:rsidRPr="00D709CF">
        <w:t>efits of the restriction outweigh the costs.</w:t>
      </w:r>
    </w:p>
    <w:p w14:paraId="3A416895" w14:textId="720294E6" w:rsidR="00171129" w:rsidRPr="0038582A" w:rsidRDefault="00171129" w:rsidP="00762990">
      <w:pPr>
        <w:pStyle w:val="Bodyafterbullets"/>
      </w:pPr>
      <w:r w:rsidRPr="0038582A">
        <w:t>Restrictions on competition occur when there will be likely changes to the way a market</w:t>
      </w:r>
      <w:r w:rsidR="0038582A">
        <w:t xml:space="preserve"> </w:t>
      </w:r>
      <w:r w:rsidRPr="0038582A">
        <w:t>functions due to the implementation of the proposed primary or subordinate legislation.</w:t>
      </w:r>
      <w:r w:rsidR="0038582A">
        <w:t xml:space="preserve"> </w:t>
      </w:r>
      <w:r w:rsidRPr="0038582A">
        <w:t>Specifically,</w:t>
      </w:r>
      <w:r w:rsidR="00E459F9">
        <w:t xml:space="preserve"> </w:t>
      </w:r>
      <w:r w:rsidRPr="0038582A">
        <w:t>restrictions can occur where:</w:t>
      </w:r>
    </w:p>
    <w:p w14:paraId="7A55F72A" w14:textId="77777777" w:rsidR="00171129" w:rsidRPr="00E772BD" w:rsidRDefault="00171129" w:rsidP="00171129">
      <w:pPr>
        <w:pStyle w:val="Bullet1"/>
      </w:pPr>
      <w:r w:rsidRPr="00E772BD">
        <w:t>the number or range of suppliers is limited</w:t>
      </w:r>
    </w:p>
    <w:p w14:paraId="4EF7FAB2" w14:textId="77777777" w:rsidR="00171129" w:rsidRPr="00E772BD" w:rsidRDefault="00171129" w:rsidP="00171129">
      <w:pPr>
        <w:pStyle w:val="Bullet1"/>
      </w:pPr>
      <w:r w:rsidRPr="00E772BD">
        <w:t>the ability of suppliers to compete is limited</w:t>
      </w:r>
    </w:p>
    <w:p w14:paraId="4D657F5A" w14:textId="7D61DE4A" w:rsidR="00555BFA" w:rsidRDefault="00171129" w:rsidP="0068628C">
      <w:pPr>
        <w:pStyle w:val="Bullet1"/>
      </w:pPr>
      <w:r w:rsidRPr="00E772BD">
        <w:t>the incentive for suppliers to compete vigorously is reduced.</w:t>
      </w:r>
    </w:p>
    <w:p w14:paraId="731F9A94" w14:textId="111A0D78" w:rsidR="00171129" w:rsidRPr="0068628C" w:rsidRDefault="00A26ACD" w:rsidP="00762990">
      <w:pPr>
        <w:pStyle w:val="Bodyafterbullets"/>
      </w:pPr>
      <w:r>
        <w:t>In the table below, t</w:t>
      </w:r>
      <w:r w:rsidR="00171129" w:rsidRPr="0068628C">
        <w:t xml:space="preserve">he answers to the questions in the affirmative or negative </w:t>
      </w:r>
      <w:r w:rsidR="00D54D46">
        <w:t xml:space="preserve">indicate </w:t>
      </w:r>
      <w:r w:rsidR="00171129" w:rsidRPr="0068628C">
        <w:t>whether the proposed</w:t>
      </w:r>
      <w:r w:rsidR="0068628C">
        <w:t xml:space="preserve"> </w:t>
      </w:r>
      <w:r w:rsidR="00171129" w:rsidRPr="0068628C">
        <w:t>Regulations are considered to restrict competition.</w:t>
      </w:r>
    </w:p>
    <w:p w14:paraId="30B84D2D" w14:textId="77777777" w:rsidR="00171129" w:rsidRPr="0068628C" w:rsidRDefault="00171129" w:rsidP="00762990">
      <w:pPr>
        <w:pStyle w:val="Bodyafterbullets"/>
      </w:pPr>
    </w:p>
    <w:tbl>
      <w:tblPr>
        <w:tblStyle w:val="ListTable3-Accent5"/>
        <w:tblW w:w="9493" w:type="dxa"/>
        <w:tblBorders>
          <w:insideH w:val="single" w:sz="4" w:space="0" w:color="4BACC6" w:themeColor="accent5"/>
        </w:tblBorders>
        <w:tblLook w:val="04A0" w:firstRow="1" w:lastRow="0" w:firstColumn="1" w:lastColumn="0" w:noHBand="0" w:noVBand="1"/>
      </w:tblPr>
      <w:tblGrid>
        <w:gridCol w:w="4390"/>
        <w:gridCol w:w="1134"/>
        <w:gridCol w:w="3969"/>
      </w:tblGrid>
      <w:tr w:rsidR="007F70A4" w:rsidRPr="006B4884" w14:paraId="61F5343B" w14:textId="77777777" w:rsidTr="00EC09F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90" w:type="dxa"/>
            <w:tcBorders>
              <w:top w:val="single" w:sz="4" w:space="0" w:color="auto"/>
              <w:left w:val="single" w:sz="4" w:space="0" w:color="auto"/>
              <w:bottom w:val="single" w:sz="4" w:space="0" w:color="auto"/>
            </w:tcBorders>
            <w:shd w:val="clear" w:color="auto" w:fill="92CDDC" w:themeFill="accent5" w:themeFillTint="99"/>
            <w:vAlign w:val="bottom"/>
          </w:tcPr>
          <w:p w14:paraId="4DF2A139" w14:textId="77777777" w:rsidR="00171129" w:rsidRPr="003C1D29" w:rsidRDefault="00171129" w:rsidP="001F43AF">
            <w:pPr>
              <w:pStyle w:val="Tablecolhead"/>
              <w:rPr>
                <w:rFonts w:cs="Arial"/>
                <w:color w:val="7F7F7F" w:themeColor="text1" w:themeTint="80"/>
                <w:sz w:val="20"/>
              </w:rPr>
            </w:pPr>
            <w:r w:rsidRPr="0001188E">
              <w:rPr>
                <w:b/>
                <w:bCs w:val="0"/>
              </w:rPr>
              <w:lastRenderedPageBreak/>
              <w:t>Competition test</w:t>
            </w:r>
          </w:p>
        </w:tc>
        <w:tc>
          <w:tcPr>
            <w:tcW w:w="1134" w:type="dxa"/>
            <w:tcBorders>
              <w:top w:val="single" w:sz="4" w:space="0" w:color="auto"/>
            </w:tcBorders>
            <w:shd w:val="clear" w:color="auto" w:fill="92CDDC" w:themeFill="accent5" w:themeFillTint="99"/>
            <w:vAlign w:val="bottom"/>
          </w:tcPr>
          <w:p w14:paraId="701FE2AB" w14:textId="77777777" w:rsidR="00171129" w:rsidRPr="003C1D29" w:rsidRDefault="00171129" w:rsidP="001F43AF">
            <w:pPr>
              <w:pStyle w:val="Tablecolhead"/>
              <w:cnfStyle w:val="100000000000" w:firstRow="1" w:lastRow="0" w:firstColumn="0" w:lastColumn="0" w:oddVBand="0" w:evenVBand="0" w:oddHBand="0" w:evenHBand="0" w:firstRowFirstColumn="0" w:firstRowLastColumn="0" w:lastRowFirstColumn="0" w:lastRowLastColumn="0"/>
              <w:rPr>
                <w:rFonts w:cs="Arial"/>
                <w:color w:val="7F7F7F" w:themeColor="text1" w:themeTint="80"/>
                <w:sz w:val="20"/>
              </w:rPr>
            </w:pPr>
            <w:r w:rsidRPr="0001188E">
              <w:rPr>
                <w:b/>
                <w:bCs w:val="0"/>
              </w:rPr>
              <w:t>Answer</w:t>
            </w:r>
          </w:p>
        </w:tc>
        <w:tc>
          <w:tcPr>
            <w:tcW w:w="3969" w:type="dxa"/>
            <w:tcBorders>
              <w:top w:val="single" w:sz="4" w:space="0" w:color="auto"/>
              <w:right w:val="single" w:sz="4" w:space="0" w:color="auto"/>
            </w:tcBorders>
            <w:shd w:val="clear" w:color="auto" w:fill="92CDDC" w:themeFill="accent5" w:themeFillTint="99"/>
            <w:vAlign w:val="bottom"/>
          </w:tcPr>
          <w:p w14:paraId="1247A798" w14:textId="77777777" w:rsidR="00171129" w:rsidRPr="003C1D29" w:rsidRDefault="00171129" w:rsidP="001F43AF">
            <w:pPr>
              <w:pStyle w:val="Tablecolhead"/>
              <w:cnfStyle w:val="100000000000" w:firstRow="1" w:lastRow="0" w:firstColumn="0" w:lastColumn="0" w:oddVBand="0" w:evenVBand="0" w:oddHBand="0" w:evenHBand="0" w:firstRowFirstColumn="0" w:firstRowLastColumn="0" w:lastRowFirstColumn="0" w:lastRowLastColumn="0"/>
              <w:rPr>
                <w:rFonts w:cs="Arial"/>
                <w:color w:val="7F7F7F" w:themeColor="text1" w:themeTint="80"/>
                <w:sz w:val="20"/>
              </w:rPr>
            </w:pPr>
            <w:r w:rsidRPr="0001188E">
              <w:rPr>
                <w:b/>
                <w:bCs w:val="0"/>
              </w:rPr>
              <w:t>Explanation</w:t>
            </w:r>
          </w:p>
        </w:tc>
      </w:tr>
      <w:tr w:rsidR="007F70A4" w:rsidRPr="006B4884" w14:paraId="468F498E" w14:textId="77777777" w:rsidTr="00122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16E19640" w14:textId="77777777" w:rsidR="00171129" w:rsidRPr="006B4884" w:rsidRDefault="00171129" w:rsidP="001F43AF">
            <w:pPr>
              <w:pStyle w:val="Tabletext"/>
              <w:rPr>
                <w:b w:val="0"/>
                <w:bCs w:val="0"/>
              </w:rPr>
            </w:pPr>
            <w:r w:rsidRPr="006B4884">
              <w:t xml:space="preserve">Is the proposed measure likely to limit the number of producers or suppliers to: </w:t>
            </w:r>
          </w:p>
          <w:p w14:paraId="674DCE6B" w14:textId="77777777" w:rsidR="00171129" w:rsidRPr="006B4884" w:rsidRDefault="00171129" w:rsidP="001F43AF">
            <w:pPr>
              <w:pStyle w:val="Tabletext"/>
              <w:rPr>
                <w:rFonts w:cs="Arial"/>
                <w:b w:val="0"/>
                <w:sz w:val="20"/>
              </w:rPr>
            </w:pPr>
            <w:r w:rsidRPr="006B4884">
              <w:t>Only one producer?</w:t>
            </w:r>
          </w:p>
          <w:p w14:paraId="2EF4CF6A" w14:textId="77777777" w:rsidR="00171129" w:rsidRPr="006B4884" w:rsidRDefault="00171129" w:rsidP="001F43AF">
            <w:pPr>
              <w:pStyle w:val="Tabletext"/>
              <w:rPr>
                <w:rFonts w:cs="Arial"/>
                <w:b w:val="0"/>
                <w:sz w:val="20"/>
              </w:rPr>
            </w:pPr>
            <w:r w:rsidRPr="006B4884">
              <w:t>Only one buyer?</w:t>
            </w:r>
          </w:p>
          <w:p w14:paraId="00C5E89C" w14:textId="77777777" w:rsidR="00171129" w:rsidRPr="006B4884" w:rsidRDefault="00171129" w:rsidP="001F43AF">
            <w:pPr>
              <w:pStyle w:val="Tabletext"/>
              <w:rPr>
                <w:b w:val="0"/>
                <w:bCs w:val="0"/>
              </w:rPr>
            </w:pPr>
            <w:r w:rsidRPr="006B4884">
              <w:t>Less than four producers?</w:t>
            </w:r>
          </w:p>
        </w:tc>
        <w:tc>
          <w:tcPr>
            <w:tcW w:w="1134" w:type="dxa"/>
            <w:tcBorders>
              <w:top w:val="single" w:sz="4" w:space="0" w:color="auto"/>
              <w:bottom w:val="single" w:sz="4" w:space="0" w:color="auto"/>
            </w:tcBorders>
          </w:tcPr>
          <w:p w14:paraId="437946A5"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1E97F499" w14:textId="7B9AD8D1"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 xml:space="preserve">The proposed </w:t>
            </w:r>
            <w:r w:rsidR="00B4660B" w:rsidRPr="006B4884">
              <w:t>R</w:t>
            </w:r>
            <w:r w:rsidRPr="006B4884">
              <w:t xml:space="preserve">egulations will only impose small additional regulatory burden on some providers, while others may see savings relative to the existing Regulations. As such, there is not expected to be any reduction in the existing pool of nine NEPT providers. </w:t>
            </w:r>
          </w:p>
        </w:tc>
      </w:tr>
      <w:tr w:rsidR="0059254F" w:rsidRPr="006B4884" w14:paraId="7F274A15" w14:textId="77777777" w:rsidTr="00122E97">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02059A5E" w14:textId="77777777" w:rsidR="00171129" w:rsidRPr="006B4884" w:rsidRDefault="00171129" w:rsidP="001F43AF">
            <w:pPr>
              <w:pStyle w:val="Tabletext"/>
              <w:rPr>
                <w:b w:val="0"/>
                <w:bCs w:val="0"/>
              </w:rPr>
            </w:pPr>
            <w:r w:rsidRPr="006B4884">
              <w:t xml:space="preserve">Would the proposed measure discourage entry into the industry by new firms/individuals or encourage existing providers to exit the market? </w:t>
            </w:r>
          </w:p>
        </w:tc>
        <w:tc>
          <w:tcPr>
            <w:tcW w:w="1134" w:type="dxa"/>
            <w:tcBorders>
              <w:top w:val="single" w:sz="4" w:space="0" w:color="auto"/>
              <w:bottom w:val="single" w:sz="4" w:space="0" w:color="auto"/>
            </w:tcBorders>
          </w:tcPr>
          <w:p w14:paraId="2BFFAA18"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0A2D1911"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As above, the reforms are not expected to impact on decisions by providers or potential providers to exit or enter the industry.</w:t>
            </w:r>
          </w:p>
        </w:tc>
      </w:tr>
      <w:tr w:rsidR="007F70A4" w:rsidRPr="006B4884" w14:paraId="0A6B6E02" w14:textId="77777777" w:rsidTr="00122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6405FC7C" w14:textId="1223A247" w:rsidR="00171129" w:rsidRPr="006B4884" w:rsidRDefault="00171129" w:rsidP="001F43AF">
            <w:pPr>
              <w:pStyle w:val="Tabletext"/>
              <w:rPr>
                <w:b w:val="0"/>
                <w:bCs w:val="0"/>
              </w:rPr>
            </w:pPr>
            <w:r w:rsidRPr="006B4884">
              <w:t>Would the proposed measure impose higher costs on a particular class of business or type of service? (e.g. small business)</w:t>
            </w:r>
          </w:p>
        </w:tc>
        <w:tc>
          <w:tcPr>
            <w:tcW w:w="1134" w:type="dxa"/>
            <w:tcBorders>
              <w:top w:val="single" w:sz="4" w:space="0" w:color="auto"/>
              <w:bottom w:val="single" w:sz="4" w:space="0" w:color="auto"/>
            </w:tcBorders>
          </w:tcPr>
          <w:p w14:paraId="54B40E24"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1A8F66E7" w14:textId="77777777" w:rsidR="00171129" w:rsidRPr="006B4884" w:rsidRDefault="00171129" w:rsidP="001F43AF">
            <w:pPr>
              <w:pStyle w:val="Tabletext"/>
              <w:cnfStyle w:val="000000100000" w:firstRow="0" w:lastRow="0" w:firstColumn="0" w:lastColumn="0" w:oddVBand="0" w:evenVBand="0" w:oddHBand="1" w:evenHBand="0" w:firstRowFirstColumn="0" w:firstRowLastColumn="0" w:lastRowFirstColumn="0" w:lastRowLastColumn="0"/>
            </w:pPr>
            <w:r w:rsidRPr="006B4884">
              <w:t xml:space="preserve">These reforms should not impose higher costs on any </w:t>
            </w:r>
            <w:proofErr w:type="gramStart"/>
            <w:r w:rsidRPr="006B4884">
              <w:t>particular class</w:t>
            </w:r>
            <w:proofErr w:type="gramEnd"/>
            <w:r w:rsidRPr="006B4884">
              <w:t xml:space="preserve"> or size of provider. </w:t>
            </w:r>
          </w:p>
        </w:tc>
      </w:tr>
      <w:tr w:rsidR="0059254F" w:rsidRPr="006B4884" w14:paraId="7902E02E" w14:textId="77777777" w:rsidTr="00122E97">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5667FE25" w14:textId="77777777" w:rsidR="00171129" w:rsidRPr="006B4884" w:rsidRDefault="00171129" w:rsidP="001F43AF">
            <w:pPr>
              <w:pStyle w:val="Tabletext"/>
              <w:rPr>
                <w:b w:val="0"/>
                <w:bCs w:val="0"/>
              </w:rPr>
            </w:pPr>
            <w:r w:rsidRPr="006B4884">
              <w:t>Would the proposed measure affect the ability of businesses to innovate, adopt new technology or respond to the changing demands of consumers?</w:t>
            </w:r>
          </w:p>
        </w:tc>
        <w:tc>
          <w:tcPr>
            <w:tcW w:w="1134" w:type="dxa"/>
            <w:tcBorders>
              <w:top w:val="single" w:sz="4" w:space="0" w:color="auto"/>
              <w:bottom w:val="single" w:sz="4" w:space="0" w:color="auto"/>
            </w:tcBorders>
          </w:tcPr>
          <w:p w14:paraId="6E8DACDA" w14:textId="77777777"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No.</w:t>
            </w:r>
          </w:p>
        </w:tc>
        <w:tc>
          <w:tcPr>
            <w:tcW w:w="3969" w:type="dxa"/>
            <w:tcBorders>
              <w:top w:val="single" w:sz="4" w:space="0" w:color="auto"/>
              <w:bottom w:val="single" w:sz="4" w:space="0" w:color="auto"/>
              <w:right w:val="single" w:sz="4" w:space="0" w:color="auto"/>
            </w:tcBorders>
          </w:tcPr>
          <w:p w14:paraId="4C2D181D" w14:textId="0E6EFDEF" w:rsidR="00171129" w:rsidRPr="006B4884" w:rsidRDefault="00171129" w:rsidP="001F43AF">
            <w:pPr>
              <w:pStyle w:val="Tabletext"/>
              <w:cnfStyle w:val="000000000000" w:firstRow="0" w:lastRow="0" w:firstColumn="0" w:lastColumn="0" w:oddVBand="0" w:evenVBand="0" w:oddHBand="0" w:evenHBand="0" w:firstRowFirstColumn="0" w:firstRowLastColumn="0" w:lastRowFirstColumn="0" w:lastRowLastColumn="0"/>
            </w:pPr>
            <w:r w:rsidRPr="006B4884">
              <w:t xml:space="preserve">The reforms do not restrict the adoption of new technology </w:t>
            </w:r>
            <w:r w:rsidR="00B3435C">
              <w:t>but rather</w:t>
            </w:r>
            <w:r w:rsidRPr="006B4884">
              <w:t xml:space="preserve"> facilitate </w:t>
            </w:r>
            <w:r w:rsidR="00C97B89">
              <w:t>responsiveness</w:t>
            </w:r>
            <w:r w:rsidR="003E773D">
              <w:t xml:space="preserve"> to developments in clinical practice</w:t>
            </w:r>
            <w:r w:rsidRPr="006B4884">
              <w:t xml:space="preserve">. </w:t>
            </w:r>
          </w:p>
        </w:tc>
      </w:tr>
    </w:tbl>
    <w:p w14:paraId="1A86FA86" w14:textId="77777777" w:rsidR="00294EC0" w:rsidRDefault="00294EC0" w:rsidP="00556F51">
      <w:pPr>
        <w:pStyle w:val="Body"/>
        <w:rPr>
          <w:rFonts w:eastAsia="MS Gothic" w:cs="Arial"/>
          <w:color w:val="201547"/>
          <w:kern w:val="32"/>
          <w:sz w:val="44"/>
          <w:szCs w:val="44"/>
        </w:rPr>
      </w:pPr>
      <w:r>
        <w:br w:type="page"/>
      </w:r>
    </w:p>
    <w:p w14:paraId="01846C15" w14:textId="311C020A" w:rsidR="00222951" w:rsidRDefault="00532A73" w:rsidP="009B2847">
      <w:pPr>
        <w:pStyle w:val="Heading1"/>
      </w:pPr>
      <w:bookmarkStart w:id="32" w:name="_Toc215847525"/>
      <w:r>
        <w:lastRenderedPageBreak/>
        <w:t>7</w:t>
      </w:r>
      <w:r w:rsidR="00272314">
        <w:t xml:space="preserve">. </w:t>
      </w:r>
      <w:r w:rsidR="00222951">
        <w:t xml:space="preserve">Implementation </w:t>
      </w:r>
      <w:r w:rsidR="00613144">
        <w:t>and evaluation</w:t>
      </w:r>
      <w:bookmarkEnd w:id="32"/>
    </w:p>
    <w:p w14:paraId="26EB8203" w14:textId="7772F84B" w:rsidR="00BE417F" w:rsidRDefault="00EC074A" w:rsidP="009B2847">
      <w:pPr>
        <w:pStyle w:val="Body"/>
      </w:pPr>
      <w:r>
        <w:t xml:space="preserve">This Regulatory Impact Statement and proposed Regulations are released for a minimum 28-day public consultation period </w:t>
      </w:r>
      <w:r w:rsidR="004934B8">
        <w:t>so that</w:t>
      </w:r>
      <w:r w:rsidR="008E3B4F">
        <w:t xml:space="preserve"> key stakeholders and members of the public can consider the proposed </w:t>
      </w:r>
      <w:r w:rsidR="00E14331">
        <w:t xml:space="preserve">Regulations </w:t>
      </w:r>
      <w:r w:rsidR="008E3B4F">
        <w:t xml:space="preserve">and provide feedback. </w:t>
      </w:r>
      <w:r w:rsidR="008E241B">
        <w:t xml:space="preserve">The </w:t>
      </w:r>
      <w:r w:rsidR="00743282">
        <w:t>d</w:t>
      </w:r>
      <w:r w:rsidR="008E241B">
        <w:t xml:space="preserve">epartment will review and consider each submission </w:t>
      </w:r>
      <w:r w:rsidR="000A78C5">
        <w:t xml:space="preserve">prior to finalising the </w:t>
      </w:r>
      <w:r w:rsidR="003C639E">
        <w:t xml:space="preserve">Regulations. </w:t>
      </w:r>
    </w:p>
    <w:p w14:paraId="04E099ED" w14:textId="77777777" w:rsidR="001B63F0" w:rsidRDefault="000C2009" w:rsidP="00C96AF4">
      <w:pPr>
        <w:pStyle w:val="Heading2"/>
      </w:pPr>
      <w:bookmarkStart w:id="33" w:name="_Toc215847526"/>
      <w:r>
        <w:t>New NEPT Regulations 2026</w:t>
      </w:r>
      <w:bookmarkEnd w:id="33"/>
      <w:r w:rsidR="001B63F0" w:rsidRPr="001B63F0">
        <w:t xml:space="preserve"> </w:t>
      </w:r>
    </w:p>
    <w:p w14:paraId="5B9B2D05" w14:textId="4E1B969F" w:rsidR="001757BD" w:rsidRDefault="00245C98" w:rsidP="009B2847">
      <w:pPr>
        <w:pStyle w:val="Body"/>
      </w:pPr>
      <w:r>
        <w:t xml:space="preserve">A </w:t>
      </w:r>
      <w:r w:rsidR="001B63F0">
        <w:t>Statement of Reasons</w:t>
      </w:r>
      <w:r>
        <w:t xml:space="preserve">, which explains how this consultation process influenced the final </w:t>
      </w:r>
      <w:r w:rsidR="00B4660B">
        <w:t>Regulations</w:t>
      </w:r>
      <w:r>
        <w:t>,</w:t>
      </w:r>
      <w:r w:rsidR="00F36BA1">
        <w:t xml:space="preserve"> will be published</w:t>
      </w:r>
      <w:r w:rsidR="00A365A3">
        <w:t xml:space="preserve"> by the Minister for Health</w:t>
      </w:r>
      <w:r w:rsidR="00C7709A">
        <w:t xml:space="preserve"> </w:t>
      </w:r>
      <w:r w:rsidR="00E14331">
        <w:t>when</w:t>
      </w:r>
      <w:r w:rsidR="003E666C">
        <w:t xml:space="preserve"> the</w:t>
      </w:r>
      <w:r w:rsidR="00D70025">
        <w:t xml:space="preserve"> </w:t>
      </w:r>
      <w:r w:rsidR="002114F4">
        <w:t xml:space="preserve">final </w:t>
      </w:r>
      <w:r w:rsidR="00B4660B">
        <w:t>Regulations</w:t>
      </w:r>
      <w:r w:rsidR="00E14331">
        <w:t xml:space="preserve"> are made</w:t>
      </w:r>
      <w:r w:rsidR="00D54D46">
        <w:t>.</w:t>
      </w:r>
      <w:r w:rsidR="002D3706">
        <w:t xml:space="preserve"> </w:t>
      </w:r>
      <w:r w:rsidR="00A365A3">
        <w:t>Governor in Council</w:t>
      </w:r>
      <w:r w:rsidR="00CA61D8">
        <w:t xml:space="preserve"> will make </w:t>
      </w:r>
      <w:r w:rsidR="00EC5D24">
        <w:t>new NEPT</w:t>
      </w:r>
      <w:r w:rsidR="00CA61D8">
        <w:t xml:space="preserve"> Regulations prior to </w:t>
      </w:r>
      <w:r w:rsidR="00B06DF3">
        <w:t xml:space="preserve">the sunset of current </w:t>
      </w:r>
      <w:r w:rsidR="00B4660B">
        <w:t xml:space="preserve">Regulations </w:t>
      </w:r>
      <w:r w:rsidR="00B06DF3">
        <w:t xml:space="preserve">on 19 April 2026. </w:t>
      </w:r>
    </w:p>
    <w:p w14:paraId="4DA5C560" w14:textId="736EEEE4" w:rsidR="00BE417F" w:rsidRDefault="000A2497" w:rsidP="001757BD">
      <w:pPr>
        <w:pStyle w:val="Heading2"/>
      </w:pPr>
      <w:bookmarkStart w:id="34" w:name="_Toc215847527"/>
      <w:r>
        <w:t>Impl</w:t>
      </w:r>
      <w:r w:rsidR="00603F40">
        <w:t>e</w:t>
      </w:r>
      <w:r>
        <w:t>mentation</w:t>
      </w:r>
      <w:bookmarkEnd w:id="34"/>
      <w:r>
        <w:t xml:space="preserve"> </w:t>
      </w:r>
    </w:p>
    <w:p w14:paraId="109CA1EF" w14:textId="2CBAA210" w:rsidR="00560B6F" w:rsidRDefault="00A918E1" w:rsidP="009B2847">
      <w:pPr>
        <w:pStyle w:val="Body"/>
      </w:pPr>
      <w:r w:rsidRPr="00A34582">
        <w:t xml:space="preserve">The </w:t>
      </w:r>
      <w:r w:rsidR="00743282">
        <w:t>d</w:t>
      </w:r>
      <w:r w:rsidR="004B6DE7">
        <w:t>epartment will support implementation</w:t>
      </w:r>
      <w:r w:rsidRPr="00A34582">
        <w:t xml:space="preserve"> to ensure that the </w:t>
      </w:r>
      <w:r w:rsidR="00854A94">
        <w:t>final</w:t>
      </w:r>
      <w:r w:rsidR="00854A94" w:rsidRPr="00A34582">
        <w:t xml:space="preserve"> </w:t>
      </w:r>
      <w:r w:rsidRPr="00A34582">
        <w:t>Regulations are operationalised effectively, with minimal disruption to service delivery</w:t>
      </w:r>
      <w:r w:rsidR="00E86645">
        <w:t>.</w:t>
      </w:r>
      <w:r w:rsidRPr="00A34582">
        <w:t xml:space="preserve"> </w:t>
      </w:r>
      <w:r w:rsidR="0039409D">
        <w:t xml:space="preserve">It is understood that licence holders may require time to adjust operations, update policies and </w:t>
      </w:r>
      <w:r w:rsidR="000208B5">
        <w:t xml:space="preserve">train staff to ensure compliance with the </w:t>
      </w:r>
      <w:r w:rsidR="00DC580D">
        <w:t>new Regulations. Staged commencement</w:t>
      </w:r>
      <w:r w:rsidRPr="00A34582">
        <w:t xml:space="preserve"> and </w:t>
      </w:r>
      <w:r w:rsidR="00DC580D">
        <w:t>transitional provisions may be considered if necessary to prepare for implementation</w:t>
      </w:r>
      <w:r w:rsidR="00AE4F97">
        <w:t>, however</w:t>
      </w:r>
      <w:r w:rsidR="00CF27A6">
        <w:t xml:space="preserve"> </w:t>
      </w:r>
      <w:r w:rsidR="009D77AA">
        <w:t xml:space="preserve">the </w:t>
      </w:r>
      <w:r w:rsidR="00CF27A6">
        <w:t>proposed</w:t>
      </w:r>
      <w:r w:rsidR="00AE4F97">
        <w:t xml:space="preserve"> </w:t>
      </w:r>
      <w:r w:rsidR="009D77AA">
        <w:t xml:space="preserve">Regulations </w:t>
      </w:r>
      <w:r w:rsidR="00B142AC">
        <w:t xml:space="preserve">do not differ substantially from the current </w:t>
      </w:r>
      <w:r w:rsidR="00CA21DC">
        <w:t>Regulation</w:t>
      </w:r>
      <w:r w:rsidR="00A046AF">
        <w:t>s</w:t>
      </w:r>
      <w:r w:rsidR="00CF27A6">
        <w:t xml:space="preserve"> </w:t>
      </w:r>
      <w:r w:rsidR="00C71AD5">
        <w:t>so</w:t>
      </w:r>
      <w:r w:rsidR="00CF27A6">
        <w:t xml:space="preserve"> </w:t>
      </w:r>
      <w:r w:rsidR="00C71AD5">
        <w:t>it is</w:t>
      </w:r>
      <w:r w:rsidR="00CF27A6">
        <w:t xml:space="preserve"> not anticipated </w:t>
      </w:r>
      <w:r w:rsidR="00C71AD5">
        <w:t>that</w:t>
      </w:r>
      <w:r w:rsidR="00F92553">
        <w:t xml:space="preserve"> </w:t>
      </w:r>
      <w:r w:rsidR="00CA21DC">
        <w:t xml:space="preserve">significant </w:t>
      </w:r>
      <w:r w:rsidR="003370C6">
        <w:t>lead time</w:t>
      </w:r>
      <w:r w:rsidR="00C71AD5">
        <w:t xml:space="preserve"> will be required</w:t>
      </w:r>
      <w:r w:rsidR="00DC580D">
        <w:t>.</w:t>
      </w:r>
    </w:p>
    <w:p w14:paraId="63D22A39" w14:textId="35987888" w:rsidR="00062DC1" w:rsidRDefault="00062DC1" w:rsidP="009F4341">
      <w:pPr>
        <w:pStyle w:val="Heading3"/>
      </w:pPr>
      <w:r>
        <w:t xml:space="preserve">Clinical practice protocols </w:t>
      </w:r>
    </w:p>
    <w:p w14:paraId="0514CEA3" w14:textId="113FF694" w:rsidR="00560B6F" w:rsidRDefault="00D93468" w:rsidP="009B2847">
      <w:pPr>
        <w:pStyle w:val="Body"/>
      </w:pPr>
      <w:r>
        <w:t>Updates to Clinical Practice Protocols</w:t>
      </w:r>
      <w:r w:rsidR="00CF31F9">
        <w:t xml:space="preserve"> </w:t>
      </w:r>
      <w:r w:rsidR="00062DC1">
        <w:t xml:space="preserve">will be undertaken early in 2026 </w:t>
      </w:r>
      <w:r w:rsidR="00CF31F9">
        <w:t xml:space="preserve">to align </w:t>
      </w:r>
      <w:r w:rsidR="00231E44">
        <w:t>with</w:t>
      </w:r>
      <w:r w:rsidR="00D94C38">
        <w:t xml:space="preserve"> reforms </w:t>
      </w:r>
      <w:r w:rsidR="00A046AF">
        <w:t>to the Regulations</w:t>
      </w:r>
      <w:r w:rsidR="00D94C38">
        <w:t xml:space="preserve"> and address feedback received during </w:t>
      </w:r>
      <w:r w:rsidR="00892BF9">
        <w:t>the</w:t>
      </w:r>
      <w:r w:rsidR="00D94C38">
        <w:t xml:space="preserve"> consultation process. </w:t>
      </w:r>
      <w:r w:rsidR="680F8067">
        <w:t xml:space="preserve">It is expected that there will be </w:t>
      </w:r>
      <w:r w:rsidR="00713202">
        <w:t>no</w:t>
      </w:r>
      <w:r w:rsidR="680F8067">
        <w:t xml:space="preserve"> major changes to clinical protocols or </w:t>
      </w:r>
      <w:r w:rsidR="1823514C">
        <w:t>pharma</w:t>
      </w:r>
      <w:r w:rsidR="20726484">
        <w:t>co</w:t>
      </w:r>
      <w:r w:rsidR="1823514C">
        <w:t>logical</w:t>
      </w:r>
      <w:r w:rsidR="680F8067">
        <w:t xml:space="preserve"> interventions in this update. Further annual updates have been </w:t>
      </w:r>
      <w:r w:rsidR="38677911">
        <w:t>committed</w:t>
      </w:r>
      <w:r w:rsidR="680F8067">
        <w:t xml:space="preserve"> to by the Health Regulator and will be </w:t>
      </w:r>
      <w:r w:rsidR="580A91CE">
        <w:t>guided by stakeholder consultation and feedback.</w:t>
      </w:r>
      <w:r w:rsidR="424EFDA9">
        <w:t xml:space="preserve"> This is to ensure that future iterations of the CPPs align with updates to </w:t>
      </w:r>
      <w:r w:rsidR="00BD6521">
        <w:t>evolving</w:t>
      </w:r>
      <w:r w:rsidR="424EFDA9">
        <w:t xml:space="preserve"> best practice and pharmacological advancements.</w:t>
      </w:r>
    </w:p>
    <w:p w14:paraId="715B22D0" w14:textId="2AE859AD" w:rsidR="00560B6F" w:rsidRDefault="00560B6F" w:rsidP="009F4341">
      <w:pPr>
        <w:pStyle w:val="Heading3"/>
      </w:pPr>
      <w:r>
        <w:t>NEPT Review Response</w:t>
      </w:r>
    </w:p>
    <w:p w14:paraId="43C2CF7A" w14:textId="631B3DF8" w:rsidR="00560B6F" w:rsidRDefault="00BB142E" w:rsidP="00560B6F">
      <w:pPr>
        <w:pStyle w:val="Body"/>
      </w:pPr>
      <w:r>
        <w:t>As noted above, i</w:t>
      </w:r>
      <w:r w:rsidR="00C21AE3">
        <w:t>mplementation of the</w:t>
      </w:r>
      <w:r>
        <w:t xml:space="preserve"> proposed new</w:t>
      </w:r>
      <w:r w:rsidR="00C21AE3">
        <w:t xml:space="preserve"> Regulations </w:t>
      </w:r>
      <w:r>
        <w:t xml:space="preserve">will contribute to the NEPT Review Response, and planning </w:t>
      </w:r>
      <w:r w:rsidR="00C21AE3">
        <w:t>will be undertaken with a view to ensuring</w:t>
      </w:r>
      <w:r w:rsidR="00560B6F">
        <w:t xml:space="preserve"> alignment with </w:t>
      </w:r>
      <w:r w:rsidR="001E74CD">
        <w:t>timelines</w:t>
      </w:r>
      <w:r w:rsidR="00560B6F">
        <w:t xml:space="preserve"> </w:t>
      </w:r>
      <w:r w:rsidR="009B5913">
        <w:t xml:space="preserve">established </w:t>
      </w:r>
      <w:r w:rsidR="004E7E9D">
        <w:t>to implement</w:t>
      </w:r>
      <w:r w:rsidR="00560B6F">
        <w:t xml:space="preserve"> </w:t>
      </w:r>
      <w:r w:rsidR="004D1351">
        <w:t>Vic</w:t>
      </w:r>
      <w:r w:rsidR="00041304">
        <w:t>torian Government</w:t>
      </w:r>
      <w:r w:rsidR="00560B6F">
        <w:t xml:space="preserve"> NEPT Review</w:t>
      </w:r>
      <w:r w:rsidR="009B5913">
        <w:t>.</w:t>
      </w:r>
      <w:r w:rsidR="00472DBA">
        <w:t xml:space="preserve"> Further information is available </w:t>
      </w:r>
      <w:r w:rsidR="00501173">
        <w:t xml:space="preserve">on </w:t>
      </w:r>
      <w:hyperlink r:id="rId28" w:history="1">
        <w:r w:rsidR="00501173" w:rsidRPr="003179BF">
          <w:rPr>
            <w:rStyle w:val="Hyperlink"/>
          </w:rPr>
          <w:t>the department’s</w:t>
        </w:r>
        <w:r w:rsidR="00472DBA" w:rsidRPr="003179BF">
          <w:rPr>
            <w:rStyle w:val="Hyperlink"/>
          </w:rPr>
          <w:t xml:space="preserve"> website</w:t>
        </w:r>
      </w:hyperlink>
      <w:r w:rsidR="00501173">
        <w:t xml:space="preserve"> at</w:t>
      </w:r>
      <w:r w:rsidR="00472DBA">
        <w:t xml:space="preserve"> </w:t>
      </w:r>
      <w:r w:rsidR="003179BF">
        <w:t>&lt;</w:t>
      </w:r>
      <w:r w:rsidR="003179BF" w:rsidRPr="003179BF">
        <w:t>https://www.health.vic.gov.au/patient-care/non-emergency-patient-transport-review</w:t>
      </w:r>
      <w:r w:rsidR="003179BF">
        <w:t>&gt;.</w:t>
      </w:r>
    </w:p>
    <w:p w14:paraId="10DA82D8" w14:textId="27BA2FF5" w:rsidR="000C2009" w:rsidRDefault="000C2009" w:rsidP="000C2009">
      <w:pPr>
        <w:pStyle w:val="Heading3"/>
      </w:pPr>
      <w:r>
        <w:t>Guidance and support</w:t>
      </w:r>
    </w:p>
    <w:p w14:paraId="39EFC9EE" w14:textId="3AA6D156" w:rsidR="000F33DA" w:rsidRDefault="00585EAE" w:rsidP="009B2847">
      <w:pPr>
        <w:pStyle w:val="Body"/>
      </w:pPr>
      <w:r>
        <w:t>Communication and g</w:t>
      </w:r>
      <w:r w:rsidR="00AD3881">
        <w:t xml:space="preserve">uidance materials </w:t>
      </w:r>
      <w:r w:rsidR="00047C87">
        <w:t xml:space="preserve">will be distributed </w:t>
      </w:r>
      <w:r w:rsidR="00AD3881">
        <w:t xml:space="preserve">to </w:t>
      </w:r>
      <w:r w:rsidR="000E1CE2">
        <w:t>ensure</w:t>
      </w:r>
      <w:r w:rsidR="00AD3881">
        <w:t xml:space="preserve"> understanding of the </w:t>
      </w:r>
      <w:r w:rsidR="00C402F7">
        <w:t xml:space="preserve">intent of the </w:t>
      </w:r>
      <w:r w:rsidR="00EC0F31">
        <w:t xml:space="preserve">final Regulations </w:t>
      </w:r>
      <w:r w:rsidR="000E1CE2">
        <w:t>and facilitate compliance</w:t>
      </w:r>
      <w:r w:rsidR="006C5E15">
        <w:t>.</w:t>
      </w:r>
      <w:r w:rsidR="003A525E">
        <w:t xml:space="preserve"> </w:t>
      </w:r>
      <w:r w:rsidR="00C566EA">
        <w:t xml:space="preserve">In advance of the commencement of the new Regulations, </w:t>
      </w:r>
      <w:r w:rsidR="003E7225">
        <w:t>i</w:t>
      </w:r>
      <w:r w:rsidR="003A525E">
        <w:t xml:space="preserve">nformation </w:t>
      </w:r>
      <w:r w:rsidR="00314F58">
        <w:t>will be</w:t>
      </w:r>
      <w:r w:rsidR="003A525E">
        <w:t xml:space="preserve"> </w:t>
      </w:r>
      <w:r w:rsidR="000B62F5">
        <w:t>provide</w:t>
      </w:r>
      <w:r w:rsidR="003A525E">
        <w:t>d</w:t>
      </w:r>
      <w:r w:rsidR="00314F58">
        <w:t xml:space="preserve"> </w:t>
      </w:r>
      <w:r>
        <w:t xml:space="preserve">to </w:t>
      </w:r>
      <w:r w:rsidR="00D007EA">
        <w:t xml:space="preserve">NEPT service providers </w:t>
      </w:r>
      <w:r w:rsidR="000D2087">
        <w:t>to</w:t>
      </w:r>
      <w:r w:rsidR="00D95158">
        <w:t xml:space="preserve"> detail </w:t>
      </w:r>
      <w:r w:rsidR="000D2087">
        <w:t xml:space="preserve">the </w:t>
      </w:r>
      <w:r w:rsidR="00593938">
        <w:t xml:space="preserve">updated </w:t>
      </w:r>
      <w:r w:rsidR="000D2087">
        <w:t>requirements,</w:t>
      </w:r>
      <w:r w:rsidR="00527D5E">
        <w:t xml:space="preserve"> to support comprehension and </w:t>
      </w:r>
      <w:r w:rsidR="005562D0">
        <w:t>ongoing adherence to obligations</w:t>
      </w:r>
      <w:r w:rsidR="00527D5E">
        <w:t>.</w:t>
      </w:r>
      <w:r w:rsidR="00314F58">
        <w:t xml:space="preserve"> </w:t>
      </w:r>
      <w:r w:rsidR="000B62F5">
        <w:t>In addition</w:t>
      </w:r>
      <w:r w:rsidR="00223354">
        <w:t>, information will be targeted</w:t>
      </w:r>
      <w:r w:rsidR="000B62F5">
        <w:t xml:space="preserve"> </w:t>
      </w:r>
      <w:r w:rsidR="00527D5E">
        <w:t>to</w:t>
      </w:r>
      <w:r w:rsidR="003A1320">
        <w:t xml:space="preserve"> health practitioners</w:t>
      </w:r>
      <w:r>
        <w:t xml:space="preserve"> and health services </w:t>
      </w:r>
      <w:r w:rsidR="00527D5E">
        <w:t xml:space="preserve">to improve their understanding of the scope and capacity of NEPT services and </w:t>
      </w:r>
      <w:r w:rsidR="00BB3781">
        <w:t xml:space="preserve">NEPT </w:t>
      </w:r>
      <w:r w:rsidR="00BB77BF">
        <w:t>workforce</w:t>
      </w:r>
      <w:r w:rsidR="00BB3781">
        <w:t xml:space="preserve"> and support NEPT </w:t>
      </w:r>
      <w:r w:rsidR="003858B2">
        <w:lastRenderedPageBreak/>
        <w:t>functioning optimally within the health system</w:t>
      </w:r>
      <w:r w:rsidR="00A228EC">
        <w:t>.</w:t>
      </w:r>
      <w:r w:rsidR="003858B2">
        <w:t xml:space="preserve"> </w:t>
      </w:r>
      <w:r w:rsidR="009152ED">
        <w:t>Websites will be updated to ensure all public-facing information is up to date and includes</w:t>
      </w:r>
      <w:r w:rsidR="00AB74C8">
        <w:t xml:space="preserve"> relevant</w:t>
      </w:r>
      <w:r w:rsidR="009152ED">
        <w:t xml:space="preserve"> FAQs</w:t>
      </w:r>
      <w:r w:rsidR="00AB74C8">
        <w:t xml:space="preserve"> and contact information. </w:t>
      </w:r>
    </w:p>
    <w:p w14:paraId="10A0A398" w14:textId="5EE6D85B" w:rsidR="001F2D9F" w:rsidRPr="009B2847" w:rsidRDefault="00613144" w:rsidP="00613144">
      <w:pPr>
        <w:pStyle w:val="Heading2"/>
      </w:pPr>
      <w:bookmarkStart w:id="35" w:name="_Toc215847528"/>
      <w:r>
        <w:t>Evaluation</w:t>
      </w:r>
      <w:bookmarkEnd w:id="35"/>
      <w:r>
        <w:t xml:space="preserve"> </w:t>
      </w:r>
    </w:p>
    <w:p w14:paraId="0BE43FF8" w14:textId="151F26F3" w:rsidR="00443B1E" w:rsidRDefault="00613144" w:rsidP="00613144">
      <w:pPr>
        <w:pStyle w:val="Body"/>
      </w:pPr>
      <w:r>
        <w:t xml:space="preserve">Ensuring the </w:t>
      </w:r>
      <w:r w:rsidR="00B4660B">
        <w:t xml:space="preserve">Regulations </w:t>
      </w:r>
      <w:r>
        <w:t xml:space="preserve">continue to be fit for purpose will require the continued oversight and monitoring of the Health Regulator. </w:t>
      </w:r>
      <w:r w:rsidR="00443B1E" w:rsidRPr="00A34582">
        <w:t xml:space="preserve">The evaluation strategy aims to assess the effectiveness of the amended Regulations in achieving the stated objectives </w:t>
      </w:r>
      <w:r w:rsidR="00870620">
        <w:t>of</w:t>
      </w:r>
      <w:r w:rsidR="00443B1E" w:rsidRPr="00A34582">
        <w:t xml:space="preserve"> improving patient safety, supporting workforce capability, enhancing regulatory clarity, and</w:t>
      </w:r>
      <w:r w:rsidR="00443B1E">
        <w:t xml:space="preserve"> s</w:t>
      </w:r>
      <w:r w:rsidR="00870620">
        <w:t xml:space="preserve">upporting the </w:t>
      </w:r>
      <w:r w:rsidR="009E40EE">
        <w:t xml:space="preserve">role of NEPT within the health service system. </w:t>
      </w:r>
    </w:p>
    <w:p w14:paraId="2F577B33" w14:textId="53ED5F35" w:rsidR="00613144" w:rsidRDefault="00613144" w:rsidP="00613144">
      <w:pPr>
        <w:pStyle w:val="Body"/>
      </w:pPr>
      <w:r>
        <w:t>Improved data collection has been facilitated</w:t>
      </w:r>
      <w:r w:rsidR="0012482D">
        <w:t xml:space="preserve"> through the proposed updates to the Regulations</w:t>
      </w:r>
      <w:r>
        <w:t xml:space="preserve"> so it </w:t>
      </w:r>
      <w:r w:rsidR="002B70F3">
        <w:t>will be</w:t>
      </w:r>
      <w:r>
        <w:t xml:space="preserve"> important to establish a baseline and to routinely monitor and evaluate</w:t>
      </w:r>
      <w:r w:rsidR="002B70F3">
        <w:t xml:space="preserve"> the reporting of SAPSEs</w:t>
      </w:r>
      <w:r w:rsidR="000F049B">
        <w:t xml:space="preserve"> and staff surveys</w:t>
      </w:r>
      <w:r w:rsidR="0086465C">
        <w:t xml:space="preserve">. Data </w:t>
      </w:r>
      <w:r w:rsidR="00427901">
        <w:t>may be used</w:t>
      </w:r>
      <w:r>
        <w:t xml:space="preserve"> to monitor performance as well as to provide feedback and guidance for </w:t>
      </w:r>
      <w:r w:rsidR="00091F53">
        <w:t xml:space="preserve">the </w:t>
      </w:r>
      <w:r>
        <w:t xml:space="preserve">sector to improve patient care and contribute to continuous quality improvement. Staff survey outcomes can provide input into broader policy development to </w:t>
      </w:r>
      <w:r w:rsidR="00EF4E4C">
        <w:t>support</w:t>
      </w:r>
      <w:r>
        <w:t xml:space="preserve"> NEPT workforce in line with NEPT Review response directions. </w:t>
      </w:r>
    </w:p>
    <w:p w14:paraId="4FC0917D" w14:textId="2E6875E4" w:rsidR="001042D2" w:rsidRDefault="0062454E" w:rsidP="006B7671">
      <w:pPr>
        <w:pStyle w:val="Body"/>
      </w:pPr>
      <w:r>
        <w:t xml:space="preserve">The </w:t>
      </w:r>
      <w:r w:rsidR="00B4660B">
        <w:t>R</w:t>
      </w:r>
      <w:r>
        <w:t xml:space="preserve">egulations form the fundamental building blocks of compliance tools that have been developed to oversee broader compliance with the </w:t>
      </w:r>
      <w:r w:rsidR="00B4660B">
        <w:t xml:space="preserve">Regulations </w:t>
      </w:r>
      <w:r>
        <w:t>as part of regular, general audits</w:t>
      </w:r>
      <w:r w:rsidR="000D317E">
        <w:t xml:space="preserve"> and authorised officers routinely evaluate their effectiveness</w:t>
      </w:r>
      <w:r>
        <w:t xml:space="preserve">. </w:t>
      </w:r>
      <w:r w:rsidR="001042D2">
        <w:t xml:space="preserve">Authorised officers also utilise the </w:t>
      </w:r>
      <w:r w:rsidR="00B4660B">
        <w:t xml:space="preserve">Regulations </w:t>
      </w:r>
      <w:r w:rsidR="001042D2">
        <w:t xml:space="preserve">to field audit the episodes of care undertaken by the operational </w:t>
      </w:r>
      <w:r w:rsidR="00F925CD">
        <w:t xml:space="preserve">NEPT </w:t>
      </w:r>
      <w:r w:rsidR="001042D2">
        <w:t xml:space="preserve">staff members, to ensure the highest level of clinical care is afforded to the </w:t>
      </w:r>
      <w:r w:rsidR="0012482D">
        <w:t>patient</w:t>
      </w:r>
      <w:r w:rsidR="001042D2">
        <w:t>.</w:t>
      </w:r>
    </w:p>
    <w:p w14:paraId="297976E7" w14:textId="2830D542" w:rsidR="007241AD" w:rsidRDefault="007241AD" w:rsidP="00613144">
      <w:pPr>
        <w:pStyle w:val="Body"/>
      </w:pPr>
      <w:r>
        <w:t>Authorised officer</w:t>
      </w:r>
      <w:r w:rsidR="220C607F">
        <w:t>s u</w:t>
      </w:r>
      <w:r w:rsidR="3F24B132">
        <w:t>tili</w:t>
      </w:r>
      <w:r w:rsidR="220C607F">
        <w:t>se the</w:t>
      </w:r>
      <w:r w:rsidR="3EF48DA8">
        <w:t>se</w:t>
      </w:r>
      <w:r w:rsidR="220C607F">
        <w:t xml:space="preserve"> </w:t>
      </w:r>
      <w:r w:rsidR="00B4660B">
        <w:t xml:space="preserve">Regulations </w:t>
      </w:r>
      <w:r w:rsidR="220C607F">
        <w:t xml:space="preserve">to guide planned compliance activity such as targeted inspection actions, </w:t>
      </w:r>
      <w:r w:rsidR="360E44FC">
        <w:t>snap inspections of vehicles, equipment and medications, and</w:t>
      </w:r>
      <w:r w:rsidR="220C607F">
        <w:t xml:space="preserve"> </w:t>
      </w:r>
      <w:r w:rsidR="14374302">
        <w:t xml:space="preserve">to guide </w:t>
      </w:r>
      <w:r w:rsidR="6A598A78">
        <w:t xml:space="preserve">investigations and </w:t>
      </w:r>
      <w:r w:rsidR="14374302">
        <w:t xml:space="preserve">responses to complaints received by employees and consumers. </w:t>
      </w:r>
      <w:r w:rsidR="7F30E66B">
        <w:t xml:space="preserve">Examples of these activities include sector wide </w:t>
      </w:r>
      <w:r w:rsidR="7F6B9503">
        <w:t>surveillance</w:t>
      </w:r>
      <w:r w:rsidR="7F30E66B">
        <w:t xml:space="preserve"> </w:t>
      </w:r>
      <w:r w:rsidR="2D17A06D">
        <w:t>of</w:t>
      </w:r>
      <w:r w:rsidR="7F30E66B">
        <w:t xml:space="preserve"> regulated entiti</w:t>
      </w:r>
      <w:r w:rsidR="52CC9B1E">
        <w:t>es</w:t>
      </w:r>
      <w:r w:rsidR="00F7238F">
        <w:t>’</w:t>
      </w:r>
      <w:r w:rsidR="52CC9B1E">
        <w:t xml:space="preserve"> </w:t>
      </w:r>
      <w:r w:rsidR="79877E79">
        <w:t>compliance with</w:t>
      </w:r>
      <w:r w:rsidR="73E7A029">
        <w:t xml:space="preserve"> </w:t>
      </w:r>
      <w:r w:rsidR="79877E79">
        <w:t>stretcher and lifting cushion requirements post</w:t>
      </w:r>
      <w:r w:rsidR="73E7A029">
        <w:t xml:space="preserve"> </w:t>
      </w:r>
      <w:r w:rsidR="79877E79">
        <w:t xml:space="preserve">expiry of transitional powers, </w:t>
      </w:r>
      <w:r w:rsidR="461A8BA5">
        <w:t xml:space="preserve">targeted inspection activity to enforce compliance with </w:t>
      </w:r>
      <w:r w:rsidR="00B4660B">
        <w:t xml:space="preserve">Regulations </w:t>
      </w:r>
      <w:r w:rsidR="461A8BA5">
        <w:t xml:space="preserve">in response to complaints from staff, </w:t>
      </w:r>
      <w:r w:rsidR="5389F78F">
        <w:t xml:space="preserve">and </w:t>
      </w:r>
      <w:r w:rsidR="461A8BA5">
        <w:t xml:space="preserve">specific </w:t>
      </w:r>
      <w:r w:rsidR="4BE95379">
        <w:t>surveillance</w:t>
      </w:r>
      <w:r w:rsidR="461A8BA5">
        <w:t xml:space="preserve"> and inspection activity in response to </w:t>
      </w:r>
      <w:r w:rsidR="53F5C29D">
        <w:t xml:space="preserve">consumer feedback. </w:t>
      </w:r>
    </w:p>
    <w:p w14:paraId="03071D97" w14:textId="2A424BA9" w:rsidR="00613144" w:rsidRDefault="006B7671" w:rsidP="00613144">
      <w:pPr>
        <w:pStyle w:val="Body"/>
      </w:pPr>
      <w:r>
        <w:t xml:space="preserve">Information gathered from inspections undertaken by the Health Regulator since its recent establishment has been fundamental in informing improved clarity in the drafting of these proposed Regulations. </w:t>
      </w:r>
      <w:r w:rsidR="00613144">
        <w:t xml:space="preserve">Ultimately effective </w:t>
      </w:r>
      <w:r w:rsidR="00B4660B">
        <w:t xml:space="preserve">Regulations </w:t>
      </w:r>
      <w:r w:rsidR="00613144">
        <w:t xml:space="preserve">will support effective NEPT sector which support its integration into and role as part of the broader health system and its contribution to better health outcomes for Victorians. </w:t>
      </w:r>
    </w:p>
    <w:p w14:paraId="21E737E5" w14:textId="4E312EE3" w:rsidR="00222951" w:rsidRDefault="00EF36BE" w:rsidP="00222951">
      <w:pPr>
        <w:pStyle w:val="Body"/>
      </w:pPr>
      <w:r>
        <w:t>The next sunset review</w:t>
      </w:r>
      <w:r w:rsidR="00480406">
        <w:t xml:space="preserve"> will be</w:t>
      </w:r>
      <w:r w:rsidR="00330F06">
        <w:t xml:space="preserve"> undertaken prior to the expiration of the new Regulations in April 2036. </w:t>
      </w:r>
    </w:p>
    <w:p w14:paraId="6DC7DEF1" w14:textId="36985B9F" w:rsidR="00283336" w:rsidRDefault="00283336" w:rsidP="00283336">
      <w:pPr>
        <w:pStyle w:val="Body"/>
        <w:jc w:val="center"/>
      </w:pPr>
      <w:r>
        <w:t>_____________________________________</w:t>
      </w:r>
    </w:p>
    <w:p w14:paraId="18A84A48" w14:textId="66E439E8" w:rsidR="00C937FC" w:rsidRDefault="00C937FC" w:rsidP="00556F51">
      <w:pPr>
        <w:pStyle w:val="Body"/>
      </w:pPr>
      <w:r>
        <w:br w:type="page"/>
      </w:r>
    </w:p>
    <w:p w14:paraId="4F52F302" w14:textId="7AEDAA74" w:rsidR="00B35F26" w:rsidRDefault="00C937FC" w:rsidP="00B35F26">
      <w:pPr>
        <w:pStyle w:val="Heading1"/>
      </w:pPr>
      <w:bookmarkStart w:id="36" w:name="_Toc215847529"/>
      <w:r>
        <w:lastRenderedPageBreak/>
        <w:t>Appendix</w:t>
      </w:r>
      <w:bookmarkEnd w:id="36"/>
    </w:p>
    <w:p w14:paraId="056911C3" w14:textId="002530B5" w:rsidR="00AF540B" w:rsidRPr="0007473C" w:rsidRDefault="00AF540B" w:rsidP="0003076A">
      <w:pPr>
        <w:pStyle w:val="Heading2"/>
      </w:pPr>
      <w:bookmarkStart w:id="37" w:name="_Toc215847530"/>
      <w:r w:rsidRPr="0007473C">
        <w:t>Assumptions</w:t>
      </w:r>
      <w:r w:rsidR="0003076A">
        <w:t xml:space="preserve"> underpinning </w:t>
      </w:r>
      <w:r w:rsidR="00EE6F3B">
        <w:t xml:space="preserve">impact </w:t>
      </w:r>
      <w:r w:rsidR="0003076A">
        <w:t>analysis</w:t>
      </w:r>
      <w:bookmarkEnd w:id="37"/>
      <w:r w:rsidR="0003076A">
        <w:t xml:space="preserve"> </w:t>
      </w:r>
    </w:p>
    <w:tbl>
      <w:tblPr>
        <w:tblStyle w:val="ListTable3-Accent5"/>
        <w:tblW w:w="5000" w:type="pct"/>
        <w:tblBorders>
          <w:top w:val="single" w:sz="4" w:space="0" w:color="auto"/>
          <w:left w:val="single" w:sz="4" w:space="0" w:color="auto"/>
          <w:bottom w:val="single" w:sz="4" w:space="0" w:color="auto"/>
          <w:right w:val="single" w:sz="4" w:space="0" w:color="auto"/>
          <w:insideH w:val="single" w:sz="4" w:space="0" w:color="4BACC6" w:themeColor="accent5"/>
        </w:tblBorders>
        <w:tblLook w:val="04A0" w:firstRow="1" w:lastRow="0" w:firstColumn="1" w:lastColumn="0" w:noHBand="0" w:noVBand="1"/>
      </w:tblPr>
      <w:tblGrid>
        <w:gridCol w:w="3597"/>
        <w:gridCol w:w="1500"/>
        <w:gridCol w:w="4191"/>
      </w:tblGrid>
      <w:tr w:rsidR="00AF540B" w14:paraId="56F3B6E2" w14:textId="77777777" w:rsidTr="00671F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36" w:type="pct"/>
            <w:tcBorders>
              <w:bottom w:val="single" w:sz="4" w:space="0" w:color="auto"/>
            </w:tcBorders>
            <w:shd w:val="clear" w:color="auto" w:fill="92CDDC" w:themeFill="accent5" w:themeFillTint="99"/>
          </w:tcPr>
          <w:p w14:paraId="2ADB26E1" w14:textId="77777777" w:rsidR="00AF540B" w:rsidRPr="00671F79" w:rsidRDefault="00AF540B" w:rsidP="00671F79">
            <w:pPr>
              <w:pStyle w:val="Tablecolhead"/>
              <w:rPr>
                <w:b/>
                <w:bCs w:val="0"/>
              </w:rPr>
            </w:pPr>
            <w:r w:rsidRPr="00671F79">
              <w:rPr>
                <w:b/>
                <w:bCs w:val="0"/>
              </w:rPr>
              <w:t>Data/Assumption</w:t>
            </w:r>
          </w:p>
        </w:tc>
        <w:tc>
          <w:tcPr>
            <w:tcW w:w="807" w:type="pct"/>
            <w:tcBorders>
              <w:bottom w:val="single" w:sz="4" w:space="0" w:color="auto"/>
            </w:tcBorders>
            <w:shd w:val="clear" w:color="auto" w:fill="92CDDC" w:themeFill="accent5" w:themeFillTint="99"/>
          </w:tcPr>
          <w:p w14:paraId="346F52B1" w14:textId="77777777" w:rsidR="00AF540B" w:rsidRPr="00671F79" w:rsidRDefault="00AF540B" w:rsidP="00D05777">
            <w:pPr>
              <w:pStyle w:val="Tablecolhead"/>
              <w:cnfStyle w:val="100000000000" w:firstRow="1" w:lastRow="0" w:firstColumn="0" w:lastColumn="0" w:oddVBand="0" w:evenVBand="0" w:oddHBand="0" w:evenHBand="0" w:firstRowFirstColumn="0" w:firstRowLastColumn="0" w:lastRowFirstColumn="0" w:lastRowLastColumn="0"/>
              <w:rPr>
                <w:b/>
                <w:bCs w:val="0"/>
              </w:rPr>
            </w:pPr>
            <w:r w:rsidRPr="00671F79">
              <w:rPr>
                <w:b/>
                <w:bCs w:val="0"/>
              </w:rPr>
              <w:t>Value</w:t>
            </w:r>
          </w:p>
        </w:tc>
        <w:tc>
          <w:tcPr>
            <w:tcW w:w="2256" w:type="pct"/>
            <w:tcBorders>
              <w:bottom w:val="single" w:sz="4" w:space="0" w:color="auto"/>
            </w:tcBorders>
            <w:shd w:val="clear" w:color="auto" w:fill="92CDDC" w:themeFill="accent5" w:themeFillTint="99"/>
          </w:tcPr>
          <w:p w14:paraId="2DC418AF" w14:textId="77777777" w:rsidR="00AF540B" w:rsidRPr="00671F79" w:rsidRDefault="00AF540B" w:rsidP="00671F79">
            <w:pPr>
              <w:pStyle w:val="Tablecolhead"/>
              <w:cnfStyle w:val="100000000000" w:firstRow="1" w:lastRow="0" w:firstColumn="0" w:lastColumn="0" w:oddVBand="0" w:evenVBand="0" w:oddHBand="0" w:evenHBand="0" w:firstRowFirstColumn="0" w:firstRowLastColumn="0" w:lastRowFirstColumn="0" w:lastRowLastColumn="0"/>
              <w:rPr>
                <w:b/>
                <w:bCs w:val="0"/>
              </w:rPr>
            </w:pPr>
            <w:r w:rsidRPr="00671F79">
              <w:rPr>
                <w:b/>
                <w:bCs w:val="0"/>
              </w:rPr>
              <w:t>Source/Rationale</w:t>
            </w:r>
          </w:p>
        </w:tc>
      </w:tr>
      <w:tr w:rsidR="00AF540B" w14:paraId="2E4E8322"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5EBBD69D" w14:textId="77777777" w:rsidR="00AF540B" w:rsidRPr="002B0F05" w:rsidRDefault="00AF540B" w:rsidP="00671F79">
            <w:pPr>
              <w:pStyle w:val="Tabletext"/>
              <w:rPr>
                <w:b w:val="0"/>
                <w:bCs w:val="0"/>
              </w:rPr>
            </w:pPr>
            <w:r w:rsidRPr="002B0F05">
              <w:rPr>
                <w:b w:val="0"/>
                <w:bCs w:val="0"/>
              </w:rPr>
              <w:t>Analysis period</w:t>
            </w:r>
          </w:p>
        </w:tc>
        <w:tc>
          <w:tcPr>
            <w:tcW w:w="807" w:type="pct"/>
            <w:tcBorders>
              <w:top w:val="single" w:sz="4" w:space="0" w:color="auto"/>
              <w:bottom w:val="single" w:sz="4" w:space="0" w:color="auto"/>
            </w:tcBorders>
          </w:tcPr>
          <w:p w14:paraId="67252F0E"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10 years</w:t>
            </w:r>
          </w:p>
        </w:tc>
        <w:tc>
          <w:tcPr>
            <w:tcW w:w="2256" w:type="pct"/>
            <w:tcBorders>
              <w:top w:val="single" w:sz="4" w:space="0" w:color="auto"/>
              <w:bottom w:val="single" w:sz="4" w:space="0" w:color="auto"/>
            </w:tcBorders>
          </w:tcPr>
          <w:p w14:paraId="188B2D1D"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Timeframe until new Regulations sunset</w:t>
            </w:r>
          </w:p>
        </w:tc>
      </w:tr>
      <w:tr w:rsidR="00AF540B" w14:paraId="4B6B2D7C"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50981C7" w14:textId="77777777" w:rsidR="00AF540B" w:rsidRPr="002B0F05" w:rsidRDefault="00AF540B" w:rsidP="00671F79">
            <w:pPr>
              <w:pStyle w:val="Tabletext"/>
              <w:rPr>
                <w:b w:val="0"/>
                <w:bCs w:val="0"/>
              </w:rPr>
            </w:pPr>
            <w:r>
              <w:rPr>
                <w:b w:val="0"/>
                <w:bCs w:val="0"/>
              </w:rPr>
              <w:t>Discount rate</w:t>
            </w:r>
          </w:p>
        </w:tc>
        <w:tc>
          <w:tcPr>
            <w:tcW w:w="807" w:type="pct"/>
            <w:tcBorders>
              <w:top w:val="single" w:sz="4" w:space="0" w:color="auto"/>
              <w:bottom w:val="single" w:sz="4" w:space="0" w:color="auto"/>
            </w:tcBorders>
          </w:tcPr>
          <w:p w14:paraId="28C45B47"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4%</w:t>
            </w:r>
          </w:p>
        </w:tc>
        <w:tc>
          <w:tcPr>
            <w:tcW w:w="2256" w:type="pct"/>
            <w:tcBorders>
              <w:top w:val="single" w:sz="4" w:space="0" w:color="auto"/>
              <w:bottom w:val="single" w:sz="4" w:space="0" w:color="auto"/>
            </w:tcBorders>
          </w:tcPr>
          <w:p w14:paraId="0FEE7E2D"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Better Regulation Victoria (BRV)</w:t>
            </w:r>
          </w:p>
        </w:tc>
      </w:tr>
      <w:tr w:rsidR="00AF540B" w14:paraId="6F7EAE09"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9BCBD2B" w14:textId="77777777" w:rsidR="00AF540B" w:rsidRPr="002B0F05" w:rsidRDefault="00AF540B" w:rsidP="00671F79">
            <w:pPr>
              <w:pStyle w:val="Tabletext"/>
              <w:rPr>
                <w:b w:val="0"/>
                <w:bCs w:val="0"/>
              </w:rPr>
            </w:pPr>
            <w:r>
              <w:rPr>
                <w:b w:val="0"/>
                <w:bCs w:val="0"/>
              </w:rPr>
              <w:t>Cost of a powerlift stretcher</w:t>
            </w:r>
          </w:p>
        </w:tc>
        <w:tc>
          <w:tcPr>
            <w:tcW w:w="807" w:type="pct"/>
            <w:tcBorders>
              <w:top w:val="single" w:sz="4" w:space="0" w:color="auto"/>
              <w:bottom w:val="single" w:sz="4" w:space="0" w:color="auto"/>
            </w:tcBorders>
          </w:tcPr>
          <w:p w14:paraId="08B213A2"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$40,000</w:t>
            </w:r>
          </w:p>
        </w:tc>
        <w:tc>
          <w:tcPr>
            <w:tcW w:w="2256" w:type="pct"/>
            <w:tcBorders>
              <w:top w:val="single" w:sz="4" w:space="0" w:color="auto"/>
              <w:bottom w:val="single" w:sz="4" w:space="0" w:color="auto"/>
            </w:tcBorders>
          </w:tcPr>
          <w:p w14:paraId="32A7EEBE"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Industry supplied estimate</w:t>
            </w:r>
          </w:p>
        </w:tc>
      </w:tr>
      <w:tr w:rsidR="00AF540B" w14:paraId="26DA082D"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9E78641" w14:textId="77777777" w:rsidR="00AF540B" w:rsidRPr="002B0F05" w:rsidRDefault="00AF540B" w:rsidP="00671F79">
            <w:pPr>
              <w:pStyle w:val="Tabletext"/>
              <w:rPr>
                <w:b w:val="0"/>
                <w:bCs w:val="0"/>
              </w:rPr>
            </w:pPr>
            <w:r>
              <w:rPr>
                <w:b w:val="0"/>
                <w:bCs w:val="0"/>
              </w:rPr>
              <w:t>Cost of a lifting cushion</w:t>
            </w:r>
          </w:p>
        </w:tc>
        <w:tc>
          <w:tcPr>
            <w:tcW w:w="807" w:type="pct"/>
            <w:tcBorders>
              <w:top w:val="single" w:sz="4" w:space="0" w:color="auto"/>
              <w:bottom w:val="single" w:sz="4" w:space="0" w:color="auto"/>
            </w:tcBorders>
          </w:tcPr>
          <w:p w14:paraId="72165689"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$6,000</w:t>
            </w:r>
          </w:p>
        </w:tc>
        <w:tc>
          <w:tcPr>
            <w:tcW w:w="2256" w:type="pct"/>
            <w:tcBorders>
              <w:top w:val="single" w:sz="4" w:space="0" w:color="auto"/>
              <w:bottom w:val="single" w:sz="4" w:space="0" w:color="auto"/>
            </w:tcBorders>
          </w:tcPr>
          <w:p w14:paraId="5E02A753"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Information from product suppliers</w:t>
            </w:r>
          </w:p>
        </w:tc>
      </w:tr>
      <w:tr w:rsidR="00AF540B" w14:paraId="196EE288"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57864D7" w14:textId="77777777" w:rsidR="00AF540B" w:rsidRPr="002B0F05" w:rsidRDefault="00AF540B" w:rsidP="00671F79">
            <w:pPr>
              <w:pStyle w:val="Tabletext"/>
              <w:rPr>
                <w:b w:val="0"/>
                <w:bCs w:val="0"/>
              </w:rPr>
            </w:pPr>
            <w:r>
              <w:rPr>
                <w:b w:val="0"/>
                <w:bCs w:val="0"/>
              </w:rPr>
              <w:t>Number of stretcher vehicles in circulation</w:t>
            </w:r>
          </w:p>
        </w:tc>
        <w:tc>
          <w:tcPr>
            <w:tcW w:w="807" w:type="pct"/>
            <w:tcBorders>
              <w:top w:val="single" w:sz="4" w:space="0" w:color="auto"/>
              <w:bottom w:val="single" w:sz="4" w:space="0" w:color="auto"/>
            </w:tcBorders>
          </w:tcPr>
          <w:p w14:paraId="46C15250"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336</w:t>
            </w:r>
          </w:p>
        </w:tc>
        <w:tc>
          <w:tcPr>
            <w:tcW w:w="2256" w:type="pct"/>
            <w:tcBorders>
              <w:top w:val="single" w:sz="4" w:space="0" w:color="auto"/>
              <w:bottom w:val="single" w:sz="4" w:space="0" w:color="auto"/>
            </w:tcBorders>
          </w:tcPr>
          <w:p w14:paraId="017FA879" w14:textId="17725592"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 xml:space="preserve">Annual </w:t>
            </w:r>
            <w:r w:rsidR="008D55F7">
              <w:t>reports</w:t>
            </w:r>
            <w:r>
              <w:t xml:space="preserve"> from NEPT providers</w:t>
            </w:r>
          </w:p>
        </w:tc>
      </w:tr>
      <w:tr w:rsidR="00AF540B" w14:paraId="2E41E290"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4DF53434" w14:textId="77777777" w:rsidR="00AF540B" w:rsidRPr="002B0F05" w:rsidRDefault="00AF540B" w:rsidP="00671F79">
            <w:pPr>
              <w:pStyle w:val="Tabletext"/>
              <w:rPr>
                <w:b w:val="0"/>
                <w:bCs w:val="0"/>
              </w:rPr>
            </w:pPr>
            <w:r>
              <w:rPr>
                <w:b w:val="0"/>
                <w:bCs w:val="0"/>
              </w:rPr>
              <w:t>Number of clinical staff</w:t>
            </w:r>
          </w:p>
        </w:tc>
        <w:tc>
          <w:tcPr>
            <w:tcW w:w="807" w:type="pct"/>
            <w:tcBorders>
              <w:top w:val="single" w:sz="4" w:space="0" w:color="auto"/>
              <w:bottom w:val="single" w:sz="4" w:space="0" w:color="auto"/>
            </w:tcBorders>
          </w:tcPr>
          <w:p w14:paraId="52E08818"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1806</w:t>
            </w:r>
          </w:p>
        </w:tc>
        <w:tc>
          <w:tcPr>
            <w:tcW w:w="2256" w:type="pct"/>
            <w:tcBorders>
              <w:top w:val="single" w:sz="4" w:space="0" w:color="auto"/>
              <w:bottom w:val="single" w:sz="4" w:space="0" w:color="auto"/>
            </w:tcBorders>
          </w:tcPr>
          <w:p w14:paraId="0AD1D0BF"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Annual reports from NEPT providers</w:t>
            </w:r>
          </w:p>
        </w:tc>
      </w:tr>
      <w:tr w:rsidR="00AF540B" w14:paraId="4E0212A6"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309D8A7A" w14:textId="77777777" w:rsidR="00AF540B" w:rsidRPr="002B0F05" w:rsidRDefault="00AF540B" w:rsidP="00671F79">
            <w:pPr>
              <w:pStyle w:val="Tabletext"/>
              <w:rPr>
                <w:b w:val="0"/>
                <w:bCs w:val="0"/>
              </w:rPr>
            </w:pPr>
            <w:r>
              <w:rPr>
                <w:b w:val="0"/>
                <w:bCs w:val="0"/>
              </w:rPr>
              <w:t>Growth in vehicle numbers per annum</w:t>
            </w:r>
          </w:p>
        </w:tc>
        <w:tc>
          <w:tcPr>
            <w:tcW w:w="807" w:type="pct"/>
            <w:tcBorders>
              <w:top w:val="single" w:sz="4" w:space="0" w:color="auto"/>
              <w:bottom w:val="single" w:sz="4" w:space="0" w:color="auto"/>
            </w:tcBorders>
          </w:tcPr>
          <w:p w14:paraId="26D62DD5"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3%</w:t>
            </w:r>
          </w:p>
        </w:tc>
        <w:tc>
          <w:tcPr>
            <w:tcW w:w="2256" w:type="pct"/>
            <w:tcBorders>
              <w:top w:val="single" w:sz="4" w:space="0" w:color="auto"/>
              <w:bottom w:val="single" w:sz="4" w:space="0" w:color="auto"/>
            </w:tcBorders>
          </w:tcPr>
          <w:p w14:paraId="01A9111C"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Estimated growth in demand over time</w:t>
            </w:r>
          </w:p>
        </w:tc>
      </w:tr>
      <w:tr w:rsidR="00AF540B" w14:paraId="455B9B7E"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40923BFA" w14:textId="77777777" w:rsidR="00AF540B" w:rsidRPr="002B0F05" w:rsidRDefault="00AF540B" w:rsidP="00671F79">
            <w:pPr>
              <w:pStyle w:val="Tabletext"/>
              <w:rPr>
                <w:b w:val="0"/>
                <w:bCs w:val="0"/>
              </w:rPr>
            </w:pPr>
            <w:r>
              <w:rPr>
                <w:b w:val="0"/>
                <w:bCs w:val="0"/>
              </w:rPr>
              <w:t>Growth in clinical staff per annum</w:t>
            </w:r>
          </w:p>
        </w:tc>
        <w:tc>
          <w:tcPr>
            <w:tcW w:w="807" w:type="pct"/>
            <w:tcBorders>
              <w:top w:val="single" w:sz="4" w:space="0" w:color="auto"/>
              <w:bottom w:val="single" w:sz="4" w:space="0" w:color="auto"/>
            </w:tcBorders>
          </w:tcPr>
          <w:p w14:paraId="4513CAAC"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3%</w:t>
            </w:r>
          </w:p>
        </w:tc>
        <w:tc>
          <w:tcPr>
            <w:tcW w:w="2256" w:type="pct"/>
            <w:tcBorders>
              <w:top w:val="single" w:sz="4" w:space="0" w:color="auto"/>
              <w:bottom w:val="single" w:sz="4" w:space="0" w:color="auto"/>
            </w:tcBorders>
          </w:tcPr>
          <w:p w14:paraId="2353150F"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Matching estimated demand and vehicle growth</w:t>
            </w:r>
          </w:p>
        </w:tc>
      </w:tr>
      <w:tr w:rsidR="00AF540B" w14:paraId="62316674"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66690FB5" w14:textId="77777777" w:rsidR="00AF540B" w:rsidRPr="002B0F05" w:rsidRDefault="00AF540B" w:rsidP="00671F79">
            <w:pPr>
              <w:pStyle w:val="Tabletext"/>
              <w:rPr>
                <w:b w:val="0"/>
                <w:bCs w:val="0"/>
              </w:rPr>
            </w:pPr>
            <w:r>
              <w:rPr>
                <w:b w:val="0"/>
                <w:bCs w:val="0"/>
              </w:rPr>
              <w:t>Average vehicle life</w:t>
            </w:r>
          </w:p>
        </w:tc>
        <w:tc>
          <w:tcPr>
            <w:tcW w:w="807" w:type="pct"/>
            <w:tcBorders>
              <w:top w:val="single" w:sz="4" w:space="0" w:color="auto"/>
              <w:bottom w:val="single" w:sz="4" w:space="0" w:color="auto"/>
            </w:tcBorders>
          </w:tcPr>
          <w:p w14:paraId="678C71E9" w14:textId="77777777"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7 years</w:t>
            </w:r>
          </w:p>
        </w:tc>
        <w:tc>
          <w:tcPr>
            <w:tcW w:w="2256" w:type="pct"/>
            <w:tcBorders>
              <w:top w:val="single" w:sz="4" w:space="0" w:color="auto"/>
              <w:bottom w:val="single" w:sz="4" w:space="0" w:color="auto"/>
            </w:tcBorders>
          </w:tcPr>
          <w:p w14:paraId="11FAEBB6" w14:textId="77777777" w:rsidR="00AF540B" w:rsidRPr="002B0F05"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Based on industry survey data</w:t>
            </w:r>
          </w:p>
        </w:tc>
      </w:tr>
      <w:tr w:rsidR="00AF540B" w14:paraId="0E7E6E0F"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1C3458F8" w14:textId="77777777" w:rsidR="00AF540B" w:rsidRPr="002B0F05" w:rsidRDefault="00AF540B" w:rsidP="00671F79">
            <w:pPr>
              <w:pStyle w:val="Tabletext"/>
              <w:rPr>
                <w:b w:val="0"/>
                <w:bCs w:val="0"/>
              </w:rPr>
            </w:pPr>
            <w:r>
              <w:rPr>
                <w:b w:val="0"/>
                <w:bCs w:val="0"/>
              </w:rPr>
              <w:t>Percentage of new stretcher vehicles not fitted with a powerlift stretcher under the base case</w:t>
            </w:r>
          </w:p>
        </w:tc>
        <w:tc>
          <w:tcPr>
            <w:tcW w:w="807" w:type="pct"/>
            <w:tcBorders>
              <w:top w:val="single" w:sz="4" w:space="0" w:color="auto"/>
              <w:bottom w:val="single" w:sz="4" w:space="0" w:color="auto"/>
            </w:tcBorders>
          </w:tcPr>
          <w:p w14:paraId="1F45D9FE" w14:textId="77777777" w:rsidR="00AF540B" w:rsidRPr="002B0F05"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10%</w:t>
            </w:r>
          </w:p>
        </w:tc>
        <w:tc>
          <w:tcPr>
            <w:tcW w:w="2256" w:type="pct"/>
            <w:tcBorders>
              <w:top w:val="single" w:sz="4" w:space="0" w:color="auto"/>
              <w:bottom w:val="single" w:sz="4" w:space="0" w:color="auto"/>
            </w:tcBorders>
          </w:tcPr>
          <w:p w14:paraId="55C8AC14" w14:textId="77777777" w:rsidR="00AF540B" w:rsidRPr="002B0F05"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 xml:space="preserve">Department of Health assumption </w:t>
            </w:r>
          </w:p>
        </w:tc>
      </w:tr>
      <w:tr w:rsidR="00AF540B" w14:paraId="21CDCCB2" w14:textId="77777777" w:rsidTr="00BF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bottom w:val="single" w:sz="4" w:space="0" w:color="auto"/>
              <w:right w:val="none" w:sz="0" w:space="0" w:color="auto"/>
            </w:tcBorders>
          </w:tcPr>
          <w:p w14:paraId="2350F36B" w14:textId="77777777" w:rsidR="00AF540B" w:rsidRPr="002B0F05" w:rsidRDefault="00AF540B" w:rsidP="00671F79">
            <w:pPr>
              <w:pStyle w:val="Tabletext"/>
              <w:rPr>
                <w:b w:val="0"/>
                <w:bCs w:val="0"/>
              </w:rPr>
            </w:pPr>
            <w:r>
              <w:rPr>
                <w:b w:val="0"/>
                <w:bCs w:val="0"/>
              </w:rPr>
              <w:t>Indexation of costs from 2021 RIS</w:t>
            </w:r>
          </w:p>
        </w:tc>
        <w:tc>
          <w:tcPr>
            <w:tcW w:w="807" w:type="pct"/>
            <w:tcBorders>
              <w:top w:val="single" w:sz="4" w:space="0" w:color="auto"/>
              <w:bottom w:val="single" w:sz="4" w:space="0" w:color="auto"/>
            </w:tcBorders>
          </w:tcPr>
          <w:p w14:paraId="73970BA9" w14:textId="2734ADDE" w:rsidR="00AF540B" w:rsidRPr="002B0F05" w:rsidRDefault="00AF540B" w:rsidP="00D05777">
            <w:pPr>
              <w:pStyle w:val="Tabletext"/>
              <w:cnfStyle w:val="000000100000" w:firstRow="0" w:lastRow="0" w:firstColumn="0" w:lastColumn="0" w:oddVBand="0" w:evenVBand="0" w:oddHBand="1" w:evenHBand="0" w:firstRowFirstColumn="0" w:firstRowLastColumn="0" w:lastRowFirstColumn="0" w:lastRowLastColumn="0"/>
            </w:pPr>
            <w:r>
              <w:t>CPI</w:t>
            </w:r>
          </w:p>
        </w:tc>
        <w:tc>
          <w:tcPr>
            <w:tcW w:w="2256" w:type="pct"/>
            <w:tcBorders>
              <w:top w:val="single" w:sz="4" w:space="0" w:color="auto"/>
              <w:bottom w:val="single" w:sz="4" w:space="0" w:color="auto"/>
            </w:tcBorders>
          </w:tcPr>
          <w:p w14:paraId="04A750A7" w14:textId="77777777" w:rsidR="00AF540B" w:rsidRPr="005A2403" w:rsidRDefault="00AF540B" w:rsidP="00671F79">
            <w:pPr>
              <w:pStyle w:val="Tabletext"/>
              <w:cnfStyle w:val="000000100000" w:firstRow="0" w:lastRow="0" w:firstColumn="0" w:lastColumn="0" w:oddVBand="0" w:evenVBand="0" w:oddHBand="1" w:evenHBand="0" w:firstRowFirstColumn="0" w:firstRowLastColumn="0" w:lastRowFirstColumn="0" w:lastRowLastColumn="0"/>
            </w:pPr>
            <w:r>
              <w:t xml:space="preserve">Relevant costs from 2021 RIS analysis indexed using ABS all groups CPI Melbourne series </w:t>
            </w:r>
            <w:r w:rsidRPr="005A2403">
              <w:t>A2325816R</w:t>
            </w:r>
          </w:p>
        </w:tc>
      </w:tr>
      <w:tr w:rsidR="00AF540B" w14:paraId="362AB466" w14:textId="77777777" w:rsidTr="00BF1363">
        <w:tc>
          <w:tcPr>
            <w:cnfStyle w:val="001000000000" w:firstRow="0" w:lastRow="0" w:firstColumn="1" w:lastColumn="0" w:oddVBand="0" w:evenVBand="0" w:oddHBand="0" w:evenHBand="0" w:firstRowFirstColumn="0" w:firstRowLastColumn="0" w:lastRowFirstColumn="0" w:lastRowLastColumn="0"/>
            <w:tcW w:w="1936" w:type="pct"/>
            <w:tcBorders>
              <w:top w:val="single" w:sz="4" w:space="0" w:color="auto"/>
              <w:right w:val="none" w:sz="0" w:space="0" w:color="auto"/>
            </w:tcBorders>
          </w:tcPr>
          <w:p w14:paraId="6F327AB7" w14:textId="77777777" w:rsidR="00AF540B" w:rsidRDefault="00AF540B" w:rsidP="00671F79">
            <w:pPr>
              <w:pStyle w:val="Tabletext"/>
              <w:rPr>
                <w:b w:val="0"/>
                <w:bCs w:val="0"/>
              </w:rPr>
            </w:pPr>
            <w:r>
              <w:rPr>
                <w:b w:val="0"/>
                <w:bCs w:val="0"/>
              </w:rPr>
              <w:t>Cost savings from reducing restrictions on multiloading aeromedical trips</w:t>
            </w:r>
          </w:p>
        </w:tc>
        <w:tc>
          <w:tcPr>
            <w:tcW w:w="807" w:type="pct"/>
            <w:tcBorders>
              <w:top w:val="single" w:sz="4" w:space="0" w:color="auto"/>
            </w:tcBorders>
          </w:tcPr>
          <w:p w14:paraId="7E9AA534" w14:textId="77777777" w:rsidR="00AF540B" w:rsidRDefault="00AF540B" w:rsidP="00D05777">
            <w:pPr>
              <w:pStyle w:val="Tabletext"/>
              <w:cnfStyle w:val="000000000000" w:firstRow="0" w:lastRow="0" w:firstColumn="0" w:lastColumn="0" w:oddVBand="0" w:evenVBand="0" w:oddHBand="0" w:evenHBand="0" w:firstRowFirstColumn="0" w:firstRowLastColumn="0" w:lastRowFirstColumn="0" w:lastRowLastColumn="0"/>
            </w:pPr>
            <w:r>
              <w:t>Survey data</w:t>
            </w:r>
          </w:p>
        </w:tc>
        <w:tc>
          <w:tcPr>
            <w:tcW w:w="2256" w:type="pct"/>
            <w:tcBorders>
              <w:top w:val="single" w:sz="4" w:space="0" w:color="auto"/>
            </w:tcBorders>
          </w:tcPr>
          <w:p w14:paraId="0DC0BD4C" w14:textId="77777777" w:rsidR="00AF540B" w:rsidRDefault="00AF540B" w:rsidP="00671F79">
            <w:pPr>
              <w:pStyle w:val="Tabletext"/>
              <w:cnfStyle w:val="000000000000" w:firstRow="0" w:lastRow="0" w:firstColumn="0" w:lastColumn="0" w:oddVBand="0" w:evenVBand="0" w:oddHBand="0" w:evenHBand="0" w:firstRowFirstColumn="0" w:firstRowLastColumn="0" w:lastRowFirstColumn="0" w:lastRowLastColumn="0"/>
            </w:pPr>
            <w:r>
              <w:t xml:space="preserve">Data supplied by Royal Flying Doctor Service </w:t>
            </w:r>
          </w:p>
        </w:tc>
      </w:tr>
    </w:tbl>
    <w:p w14:paraId="47B07D41" w14:textId="77777777" w:rsidR="00AF540B" w:rsidRPr="00AF540B" w:rsidRDefault="00AF540B" w:rsidP="00AF540B">
      <w:pPr>
        <w:pStyle w:val="Body"/>
      </w:pPr>
    </w:p>
    <w:sectPr w:rsidR="00AF540B" w:rsidRPr="00AF540B" w:rsidSect="00E42E73">
      <w:headerReference w:type="even" r:id="rId29"/>
      <w:headerReference w:type="default" r:id="rId30"/>
      <w:footerReference w:type="even" r:id="rId31"/>
      <w:footerReference w:type="default" r:id="rId32"/>
      <w:headerReference w:type="first" r:id="rId3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3845" w14:textId="77777777" w:rsidR="00D230F6" w:rsidRDefault="00D230F6">
      <w:r>
        <w:separator/>
      </w:r>
    </w:p>
    <w:p w14:paraId="5C25B76F" w14:textId="77777777" w:rsidR="00D230F6" w:rsidRDefault="00D230F6"/>
  </w:endnote>
  <w:endnote w:type="continuationSeparator" w:id="0">
    <w:p w14:paraId="13473123" w14:textId="77777777" w:rsidR="00D230F6" w:rsidRDefault="00D230F6">
      <w:r>
        <w:continuationSeparator/>
      </w:r>
    </w:p>
    <w:p w14:paraId="2D34B60D" w14:textId="77777777" w:rsidR="00D230F6" w:rsidRDefault="00D23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850F"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4F2CFD3B" wp14:editId="0BFBA644">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FFFA6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2CFD3B" id="_x0000_t202" coordsize="21600,21600" o:spt="202" path="m,l,21600r21600,l21600,xe">
              <v:stroke joinstyle="miter"/>
              <v:path gradientshapeok="t" o:connecttype="rect"/>
            </v:shapetype>
            <v:shape id="MSIPCM9dd54572b391b968e538fedc" o:spid="_x0000_s1032"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1FFFA6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337F"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50262C69" wp14:editId="63828A57">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C12EE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262C69" id="_x0000_t202" coordsize="21600,21600" o:spt="202" path="m,l,21600r21600,l21600,xe">
              <v:stroke joinstyle="miter"/>
              <v:path gradientshapeok="t" o:connecttype="rect"/>
            </v:shapetype>
            <v:shape id="MSIPCM36724fdbb2a52fcfc05f86a5" o:spid="_x0000_s1033"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7C12EE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4C48"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22020F69" wp14:editId="441606E3">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01EB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020F69" id="_x0000_t202" coordsize="21600,21600" o:spt="202" path="m,l,21600r21600,l21600,xe">
              <v:stroke joinstyle="miter"/>
              <v:path gradientshapeok="t" o:connecttype="rect"/>
            </v:shapetype>
            <v:shape id="MSIPCMf6504bf684e4519137a7274a" o:spid="_x0000_s1034"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B201EB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50FF" w14:textId="77777777"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1C1300D8" wp14:editId="201411C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64EC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1300D8" id="_x0000_t202" coordsize="21600,21600" o:spt="202" path="m,l,21600r21600,l21600,xe">
              <v:stroke joinstyle="miter"/>
              <v:path gradientshapeok="t" o:connecttype="rect"/>
            </v:shapetype>
            <v:shape id="MSIPCMd3f54469bd0204c6fb2f3fa8" o:spid="_x0000_s1035"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6E64EC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05B0" w14:textId="2086123A" w:rsidR="00431A70" w:rsidRDefault="008977D1">
    <w:pPr>
      <w:pStyle w:val="Footer"/>
    </w:pPr>
    <w:r>
      <w:rPr>
        <w:noProof/>
        <w:lang w:eastAsia="en-AU"/>
      </w:rPr>
      <mc:AlternateContent>
        <mc:Choice Requires="wps">
          <w:drawing>
            <wp:anchor distT="0" distB="0" distL="114300" distR="114300" simplePos="0" relativeHeight="251658244" behindDoc="0" locked="0" layoutInCell="0" allowOverlap="1" wp14:anchorId="3CFB82D8" wp14:editId="17D77A1A">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1FCC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FB82D8" id="_x0000_t202" coordsize="21600,21600" o:spt="202" path="m,l,21600r21600,l21600,xe">
              <v:stroke joinstyle="miter"/>
              <v:path gradientshapeok="t" o:connecttype="rect"/>
            </v:shapetype>
            <v:shape id="MSIPCM74884611b90139cc3ff5acf2" o:spid="_x0000_s103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B1FCC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5" behindDoc="0" locked="0" layoutInCell="0" allowOverlap="1" wp14:anchorId="407404EC" wp14:editId="3DEDA48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3822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07404EC" id="MSIPCM82764d688816a9dc96a1b608" o:spid="_x0000_s1037"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4053822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46B8" w14:textId="77777777" w:rsidR="00D230F6" w:rsidRDefault="00D230F6" w:rsidP="00207717">
      <w:pPr>
        <w:spacing w:before="120"/>
      </w:pPr>
      <w:r>
        <w:separator/>
      </w:r>
    </w:p>
  </w:footnote>
  <w:footnote w:type="continuationSeparator" w:id="0">
    <w:p w14:paraId="227E9EEF" w14:textId="77777777" w:rsidR="00D230F6" w:rsidRDefault="00D230F6">
      <w:r>
        <w:continuationSeparator/>
      </w:r>
    </w:p>
    <w:p w14:paraId="6EA3FC35" w14:textId="77777777" w:rsidR="00D230F6" w:rsidRDefault="00D230F6"/>
  </w:footnote>
  <w:footnote w:id="1">
    <w:p w14:paraId="0FD7744F" w14:textId="4EB2BDA7" w:rsidR="00597731" w:rsidRPr="00597731" w:rsidRDefault="00597731" w:rsidP="00B1487A">
      <w:pPr>
        <w:pStyle w:val="FootnoteText"/>
      </w:pPr>
      <w:r>
        <w:rPr>
          <w:rStyle w:val="FootnoteReference"/>
        </w:rPr>
        <w:footnoteRef/>
      </w:r>
      <w:r>
        <w:t xml:space="preserve"> </w:t>
      </w:r>
      <w:r w:rsidRPr="00597731">
        <w:rPr>
          <w:szCs w:val="18"/>
        </w:rPr>
        <w:t xml:space="preserve">Further </w:t>
      </w:r>
      <w:r w:rsidRPr="00597731">
        <w:t xml:space="preserve">information on the NEPT Review Report and government response can be found on </w:t>
      </w:r>
      <w:hyperlink r:id="rId1" w:history="1">
        <w:r w:rsidRPr="00C221EA">
          <w:rPr>
            <w:rStyle w:val="Hyperlink"/>
          </w:rPr>
          <w:t xml:space="preserve">the </w:t>
        </w:r>
        <w:r w:rsidR="00A45075" w:rsidRPr="00C221EA">
          <w:rPr>
            <w:rStyle w:val="Hyperlink"/>
          </w:rPr>
          <w:t>d</w:t>
        </w:r>
        <w:r w:rsidRPr="00C221EA">
          <w:rPr>
            <w:rStyle w:val="Hyperlink"/>
          </w:rPr>
          <w:t>epartment’s website</w:t>
        </w:r>
      </w:hyperlink>
      <w:r w:rsidRPr="00597731">
        <w:t xml:space="preserve"> </w:t>
      </w:r>
      <w:r w:rsidR="00C221EA">
        <w:t>&lt;</w:t>
      </w:r>
      <w:r w:rsidRPr="00C221EA">
        <w:rPr>
          <w:rFonts w:eastAsia="Times New Roman"/>
        </w:rPr>
        <w:t>https://www.health.vic.gov.au/patient-care/non-emergency-patient-transport-review</w:t>
      </w:r>
      <w:r w:rsidR="00C221EA">
        <w:t>&gt;</w:t>
      </w:r>
      <w:r w:rsidRPr="00597731">
        <w:t xml:space="preserve">. </w:t>
      </w:r>
    </w:p>
  </w:footnote>
  <w:footnote w:id="2">
    <w:p w14:paraId="74624C28" w14:textId="77777777" w:rsidR="002E5FA3" w:rsidRPr="0087706D" w:rsidRDefault="002E5FA3" w:rsidP="00B1487A">
      <w:pPr>
        <w:pStyle w:val="FootnoteText"/>
      </w:pPr>
      <w:r>
        <w:rPr>
          <w:rStyle w:val="FootnoteReference"/>
        </w:rPr>
        <w:footnoteRef/>
      </w:r>
      <w:r>
        <w:t xml:space="preserve"> </w:t>
      </w:r>
      <w:r w:rsidRPr="0087706D">
        <w:t xml:space="preserve">Amendments to the </w:t>
      </w:r>
      <w:r w:rsidRPr="0087706D">
        <w:rPr>
          <w:i/>
        </w:rPr>
        <w:t>Non-Emergency Patient Transport and First Aid Services Act 2003</w:t>
      </w:r>
      <w:r w:rsidRPr="0087706D">
        <w:t xml:space="preserve"> (the Act) are not in scope of this review. The sunset review may identify constraints in the Act that impact on the effectiveness of the Regulations, but this process is not intended to directly address those constraints or other issues that may exist in the Act.</w:t>
      </w:r>
    </w:p>
  </w:footnote>
  <w:footnote w:id="3">
    <w:p w14:paraId="70E35293" w14:textId="77777777" w:rsidR="00D622BA" w:rsidRPr="00CB65DD" w:rsidRDefault="00D622BA" w:rsidP="00D622BA">
      <w:pPr>
        <w:pStyle w:val="FootnoteText"/>
      </w:pPr>
      <w:r>
        <w:rPr>
          <w:rStyle w:val="FootnoteReference"/>
        </w:rPr>
        <w:footnoteRef/>
      </w:r>
      <w:r>
        <w:t xml:space="preserve"> </w:t>
      </w:r>
      <w:r w:rsidRPr="00C26B14">
        <w:t xml:space="preserve">Amendments to the </w:t>
      </w:r>
      <w:r>
        <w:t xml:space="preserve">NEPT </w:t>
      </w:r>
      <w:r w:rsidRPr="00C26B14">
        <w:t>First Aid Services Regulations 2021 (FAS Regulations), which are created under the same Act as the NEPT Regulations, are also not in the scope of this review. The FAS Regulations have a separate scope of operation and do not expire until 2031.</w:t>
      </w:r>
    </w:p>
  </w:footnote>
  <w:footnote w:id="4">
    <w:p w14:paraId="1607FEE6" w14:textId="1538EC30" w:rsidR="00F9227B" w:rsidRPr="00F9227B" w:rsidRDefault="00F9227B">
      <w:pPr>
        <w:pStyle w:val="FootnoteText"/>
      </w:pPr>
      <w:r>
        <w:rPr>
          <w:rStyle w:val="FootnoteReference"/>
        </w:rPr>
        <w:footnoteRef/>
      </w:r>
      <w:r>
        <w:t xml:space="preserve"> Various, </w:t>
      </w:r>
      <w:r>
        <w:rPr>
          <w:i/>
          <w:iCs/>
        </w:rPr>
        <w:t xml:space="preserve">NEPT Annual Reporting 2024-25 </w:t>
      </w:r>
      <w:r>
        <w:t>[unpublished annual reports submitted to the Secretary], licen</w:t>
      </w:r>
      <w:r w:rsidR="00752920">
        <w:t>s</w:t>
      </w:r>
      <w:r>
        <w:t>ed NEPT providers, Victoria, 2025.</w:t>
      </w:r>
    </w:p>
  </w:footnote>
  <w:footnote w:id="5">
    <w:p w14:paraId="6EFBC718" w14:textId="4DC45A66" w:rsidR="009C1CF6" w:rsidRPr="009C1CF6" w:rsidRDefault="009C1CF6">
      <w:pPr>
        <w:pStyle w:val="FootnoteText"/>
      </w:pPr>
      <w:r>
        <w:rPr>
          <w:rStyle w:val="FootnoteReference"/>
        </w:rPr>
        <w:footnoteRef/>
      </w:r>
      <w:r>
        <w:t xml:space="preserve"> NEPT provider annual reporting data collected by the Department of Health</w:t>
      </w:r>
      <w:r w:rsidR="00C62C93">
        <w:t>.</w:t>
      </w:r>
    </w:p>
  </w:footnote>
  <w:footnote w:id="6">
    <w:p w14:paraId="526069BC" w14:textId="481854B5" w:rsidR="00245C1A" w:rsidRPr="007F5BDF" w:rsidRDefault="00245C1A">
      <w:pPr>
        <w:pStyle w:val="FootnoteText"/>
      </w:pPr>
      <w:r>
        <w:rPr>
          <w:rStyle w:val="FootnoteReference"/>
        </w:rPr>
        <w:footnoteRef/>
      </w:r>
      <w:r>
        <w:t xml:space="preserve"> </w:t>
      </w:r>
      <w:r w:rsidRPr="004B3C76">
        <w:rPr>
          <w:i/>
          <w:iCs/>
        </w:rPr>
        <w:t>NEPT clinical practice protocols 2024 supplement – NEPT crew member qualifications and skill mix</w:t>
      </w:r>
      <w:r w:rsidR="00E16368">
        <w:rPr>
          <w:i/>
          <w:iCs/>
        </w:rPr>
        <w:t xml:space="preserve">. </w:t>
      </w:r>
      <w:hyperlink r:id="rId2" w:history="1">
        <w:r w:rsidR="00E16368" w:rsidRPr="007F5BDF">
          <w:rPr>
            <w:rStyle w:val="Hyperlink"/>
          </w:rPr>
          <w:t>NEPT legislation and clinical practice protocols</w:t>
        </w:r>
      </w:hyperlink>
    </w:p>
  </w:footnote>
  <w:footnote w:id="7">
    <w:p w14:paraId="46E5AC3E" w14:textId="114D9B00" w:rsidR="00E1237E" w:rsidRPr="008A41F4" w:rsidRDefault="00E1237E">
      <w:pPr>
        <w:pStyle w:val="FootnoteText"/>
      </w:pPr>
      <w:r>
        <w:rPr>
          <w:rStyle w:val="FootnoteReference"/>
        </w:rPr>
        <w:footnoteRef/>
      </w:r>
      <w:r>
        <w:t xml:space="preserve"> </w:t>
      </w:r>
      <w:r w:rsidR="00D13AED">
        <w:t>Various</w:t>
      </w:r>
      <w:r w:rsidR="00A54D4F">
        <w:t>,</w:t>
      </w:r>
      <w:r w:rsidR="007C7BC7">
        <w:t xml:space="preserve"> </w:t>
      </w:r>
      <w:r w:rsidR="007C7BC7">
        <w:rPr>
          <w:i/>
          <w:iCs/>
        </w:rPr>
        <w:t>NEPT Annual Reporting 2024-25</w:t>
      </w:r>
      <w:r w:rsidR="00BF2D24">
        <w:rPr>
          <w:i/>
          <w:iCs/>
        </w:rPr>
        <w:t xml:space="preserve"> </w:t>
      </w:r>
      <w:r w:rsidR="00BF2D24">
        <w:t>[unpublished</w:t>
      </w:r>
      <w:r w:rsidR="004B1AE5">
        <w:t xml:space="preserve"> annual reports </w:t>
      </w:r>
      <w:r w:rsidR="00845D5F">
        <w:t>submitted to the Secretary]</w:t>
      </w:r>
      <w:r w:rsidR="00B61269">
        <w:t xml:space="preserve">, </w:t>
      </w:r>
      <w:r w:rsidR="00D13AED">
        <w:t>licen</w:t>
      </w:r>
      <w:r w:rsidR="00905818">
        <w:t>s</w:t>
      </w:r>
      <w:r w:rsidR="00D13AED">
        <w:t>ed NEPT providers</w:t>
      </w:r>
      <w:r w:rsidR="00BA7645">
        <w:t>, Victoria, 2025.</w:t>
      </w:r>
    </w:p>
  </w:footnote>
  <w:footnote w:id="8">
    <w:p w14:paraId="70EEA82F" w14:textId="77777777" w:rsidR="0003648B" w:rsidRPr="008A41F4" w:rsidRDefault="0003648B" w:rsidP="0003648B">
      <w:pPr>
        <w:pStyle w:val="FootnoteText"/>
      </w:pPr>
      <w:r w:rsidRPr="008A41F4">
        <w:rPr>
          <w:rStyle w:val="FootnoteReference"/>
        </w:rPr>
        <w:footnoteRef/>
      </w:r>
      <w:r w:rsidRPr="00B35F26">
        <w:t xml:space="preserve"> Clinic transport services move people who do not require specialist clinical care or monitoring during transport.</w:t>
      </w:r>
    </w:p>
  </w:footnote>
  <w:footnote w:id="9">
    <w:p w14:paraId="7E6E5F7F" w14:textId="1C550804" w:rsidR="00995AF8" w:rsidRDefault="00995AF8" w:rsidP="00995AF8">
      <w:pPr>
        <w:pStyle w:val="FootnoteText"/>
      </w:pPr>
      <w:r w:rsidRPr="00995AF8">
        <w:rPr>
          <w:rStyle w:val="FootnoteReference"/>
        </w:rPr>
        <w:footnoteRef/>
      </w:r>
      <w:r w:rsidRPr="00995AF8">
        <w:t xml:space="preserve"> An event that results in harm or injury to a patient. This does not routinely include adverse events relating to staff injury or vehicle accidents, unless the patient also suffered an adverse event.</w:t>
      </w:r>
    </w:p>
  </w:footnote>
  <w:footnote w:id="10">
    <w:p w14:paraId="400E9A5A" w14:textId="6AA5AD34" w:rsidR="0025699A" w:rsidRDefault="0025699A" w:rsidP="0025699A">
      <w:pPr>
        <w:pStyle w:val="FootnoteText"/>
      </w:pPr>
      <w:r>
        <w:rPr>
          <w:rStyle w:val="FootnoteReference"/>
        </w:rPr>
        <w:footnoteRef/>
      </w:r>
      <w:r>
        <w:t xml:space="preserve"> The data set is the providers’ annual reports 2024-25. It should be noted this data set may be incomplete, as events occurring during a transport conducted for Ambulance Victoria may not be included.</w:t>
      </w:r>
      <w:r w:rsidR="00221EE3">
        <w:t xml:space="preserve"> Transports for Ambulance Victoria account for approximately half </w:t>
      </w:r>
      <w:r w:rsidR="008A4FB3">
        <w:t xml:space="preserve">of </w:t>
      </w:r>
      <w:r w:rsidR="00221EE3">
        <w:t>all NEPT transports and are likely to be higher risk than</w:t>
      </w:r>
      <w:r w:rsidR="00861068">
        <w:t xml:space="preserve"> the transports for other contractors</w:t>
      </w:r>
      <w:r w:rsidR="00071F74">
        <w:t xml:space="preserve"> such as hospitals or clinics.</w:t>
      </w:r>
    </w:p>
  </w:footnote>
  <w:footnote w:id="11">
    <w:p w14:paraId="562CD3B7" w14:textId="3F7CC729" w:rsidR="00101123" w:rsidRPr="00D067AE" w:rsidRDefault="00101123">
      <w:pPr>
        <w:pStyle w:val="FootnoteText"/>
        <w:rPr>
          <w:lang w:val="en-US"/>
        </w:rPr>
      </w:pPr>
      <w:r>
        <w:rPr>
          <w:rStyle w:val="FootnoteReference"/>
        </w:rPr>
        <w:footnoteRef/>
      </w:r>
      <w:r>
        <w:t xml:space="preserve"> </w:t>
      </w:r>
      <w:r w:rsidR="00226FEB">
        <w:t>Safer Care Victoria</w:t>
      </w:r>
      <w:r w:rsidR="00385929">
        <w:t xml:space="preserve">, </w:t>
      </w:r>
      <w:r w:rsidR="00E1495C">
        <w:t>202</w:t>
      </w:r>
      <w:r w:rsidR="006E7B4B">
        <w:t>4</w:t>
      </w:r>
      <w:r w:rsidR="00691CE0">
        <w:t xml:space="preserve">, </w:t>
      </w:r>
      <w:hyperlink r:id="rId3" w:history="1">
        <w:r w:rsidR="00691CE0" w:rsidRPr="00691CE0">
          <w:rPr>
            <w:rStyle w:val="Hyperlink"/>
          </w:rPr>
          <w:t>Victorian sentinel events guide - version 2</w:t>
        </w:r>
      </w:hyperlink>
      <w:r w:rsidR="000A069B">
        <w:t>,</w:t>
      </w:r>
      <w:r w:rsidR="002276C7">
        <w:t xml:space="preserve"> &lt;</w:t>
      </w:r>
      <w:r w:rsidR="002276C7" w:rsidRPr="002276C7">
        <w:t>https://www.safercare.vic.gov.au/report-manage-issues/sentinel-events</w:t>
      </w:r>
      <w:r w:rsidR="002276C7">
        <w:t>&gt;</w:t>
      </w:r>
    </w:p>
  </w:footnote>
  <w:footnote w:id="12">
    <w:p w14:paraId="344E7EC0" w14:textId="5ADF926B" w:rsidR="003C2317" w:rsidRPr="00AA2EAC" w:rsidRDefault="003C2317">
      <w:pPr>
        <w:pStyle w:val="FootnoteText"/>
        <w:rPr>
          <w:lang w:val="en-US"/>
        </w:rPr>
      </w:pPr>
      <w:r>
        <w:rPr>
          <w:rStyle w:val="FootnoteReference"/>
        </w:rPr>
        <w:footnoteRef/>
      </w:r>
      <w:r>
        <w:t xml:space="preserve"> </w:t>
      </w:r>
      <w:r>
        <w:rPr>
          <w:lang w:val="en-US"/>
        </w:rPr>
        <w:t>Safer Care Victoria, 2023</w:t>
      </w:r>
      <w:r w:rsidR="00A76146">
        <w:rPr>
          <w:lang w:val="en-US"/>
        </w:rPr>
        <w:t xml:space="preserve">, </w:t>
      </w:r>
      <w:hyperlink r:id="rId4" w:history="1">
        <w:r w:rsidR="00A76146" w:rsidRPr="00A76146">
          <w:rPr>
            <w:rStyle w:val="Hyperlink"/>
            <w:lang w:val="en-US"/>
          </w:rPr>
          <w:t>Adverse Patient Safety Event policy</w:t>
        </w:r>
      </w:hyperlink>
      <w:r w:rsidR="000A069B">
        <w:rPr>
          <w:lang w:val="en-US"/>
        </w:rPr>
        <w:t>, &lt;</w:t>
      </w:r>
      <w:r w:rsidR="000A069B" w:rsidRPr="000A069B">
        <w:rPr>
          <w:lang w:val="en-US"/>
        </w:rPr>
        <w:t>https://www.safercare.vic.gov.au/report-manage-issues/sentinel-events</w:t>
      </w:r>
      <w:r w:rsidR="000A069B">
        <w:rPr>
          <w:lang w:val="en-US"/>
        </w:rPr>
        <w:t>&gt;</w:t>
      </w:r>
    </w:p>
  </w:footnote>
  <w:footnote w:id="13">
    <w:p w14:paraId="7A2507BA" w14:textId="2D36275C" w:rsidR="006A5447" w:rsidRPr="004E76CF" w:rsidRDefault="006A5447">
      <w:pPr>
        <w:pStyle w:val="FootnoteText"/>
        <w:rPr>
          <w:lang w:val="en-US"/>
        </w:rPr>
      </w:pPr>
      <w:r>
        <w:rPr>
          <w:rStyle w:val="FootnoteReference"/>
        </w:rPr>
        <w:footnoteRef/>
      </w:r>
      <w:r>
        <w:t xml:space="preserve"> </w:t>
      </w:r>
      <w:r w:rsidRPr="006A5447">
        <w:t>Better Regulation</w:t>
      </w:r>
      <w:r w:rsidR="00541647">
        <w:t xml:space="preserve"> Victoria</w:t>
      </w:r>
      <w:r w:rsidRPr="006A5447">
        <w:t>, 20</w:t>
      </w:r>
      <w:r w:rsidR="003B5930">
        <w:t>24</w:t>
      </w:r>
      <w:r w:rsidRPr="006A5447">
        <w:t xml:space="preserve">, </w:t>
      </w:r>
      <w:hyperlink r:id="rId5" w:history="1">
        <w:r w:rsidRPr="00882459">
          <w:rPr>
            <w:rStyle w:val="Hyperlink"/>
          </w:rPr>
          <w:t>Victorian Guide to Regulation: A handbook for policy makers in Victoria</w:t>
        </w:r>
      </w:hyperlink>
      <w:r w:rsidRPr="006A5447">
        <w:t xml:space="preserve">, </w:t>
      </w:r>
      <w:r w:rsidR="00FF50C4">
        <w:t>&lt;</w:t>
      </w:r>
      <w:r w:rsidR="00FF50C4" w:rsidRPr="00FF50C4">
        <w:t>https://www.vic.gov.au/victorian-guide-regulation</w:t>
      </w:r>
      <w:r w:rsidR="00FF50C4">
        <w:t>&gt;</w:t>
      </w:r>
    </w:p>
  </w:footnote>
  <w:footnote w:id="14">
    <w:p w14:paraId="267D1433" w14:textId="45D8F4DF" w:rsidR="00F21886" w:rsidRPr="00401C93" w:rsidRDefault="00F21886" w:rsidP="00F21886">
      <w:pPr>
        <w:pStyle w:val="FootnoteText"/>
      </w:pPr>
      <w:r>
        <w:rPr>
          <w:rStyle w:val="FootnoteReference"/>
        </w:rPr>
        <w:footnoteRef/>
      </w:r>
      <w:r>
        <w:t xml:space="preserve"> </w:t>
      </w:r>
      <w:r w:rsidR="002C7BCC" w:rsidRPr="00B35F26">
        <w:rPr>
          <w:sz w:val="16"/>
          <w:szCs w:val="14"/>
        </w:rPr>
        <w:t>Department of Health, January 2025</w:t>
      </w:r>
      <w:r w:rsidR="002C7BCC">
        <w:rPr>
          <w:sz w:val="16"/>
          <w:szCs w:val="14"/>
        </w:rPr>
        <w:t xml:space="preserve">, </w:t>
      </w:r>
      <w:hyperlink r:id="rId6" w:history="1">
        <w:r w:rsidRPr="004E52F6">
          <w:rPr>
            <w:rStyle w:val="Hyperlink"/>
            <w:sz w:val="16"/>
            <w:szCs w:val="14"/>
          </w:rPr>
          <w:t>Non-Emergency Patient Transport Review Final Report</w:t>
        </w:r>
      </w:hyperlink>
      <w:r w:rsidRPr="00B35F26">
        <w:rPr>
          <w:i/>
          <w:iCs/>
          <w:sz w:val="16"/>
          <w:szCs w:val="14"/>
        </w:rPr>
        <w:t>,</w:t>
      </w:r>
      <w:r w:rsidR="002C7BCC">
        <w:rPr>
          <w:sz w:val="16"/>
          <w:szCs w:val="14"/>
        </w:rPr>
        <w:t xml:space="preserve"> &lt;</w:t>
      </w:r>
      <w:r w:rsidR="00FF4320" w:rsidRPr="00FF4320">
        <w:rPr>
          <w:sz w:val="16"/>
          <w:szCs w:val="14"/>
        </w:rPr>
        <w:t>https://www.health.vic.gov.au/patient-care/non-emergency-patient-transport-review</w:t>
      </w:r>
      <w:r w:rsidR="00FF4320">
        <w:rPr>
          <w:sz w:val="16"/>
          <w:szCs w:val="14"/>
        </w:rPr>
        <w:t>&gt;</w:t>
      </w:r>
      <w:r w:rsidR="00FB26C3">
        <w:rPr>
          <w:sz w:val="16"/>
          <w:szCs w:val="14"/>
        </w:rPr>
        <w:t>.</w:t>
      </w:r>
      <w:r w:rsidRPr="00B35F26">
        <w:rPr>
          <w:i/>
          <w:iCs/>
          <w:sz w:val="16"/>
          <w:szCs w:val="14"/>
        </w:rPr>
        <w:t xml:space="preserve"> </w:t>
      </w:r>
    </w:p>
  </w:footnote>
  <w:footnote w:id="15">
    <w:p w14:paraId="60C9EA4B" w14:textId="3C4463A5" w:rsidR="00DB6C93" w:rsidRPr="00DB6C93" w:rsidRDefault="00DB6C93">
      <w:pPr>
        <w:pStyle w:val="FootnoteText"/>
        <w:rPr>
          <w:lang w:val="en-US"/>
        </w:rPr>
      </w:pPr>
      <w:r>
        <w:rPr>
          <w:rStyle w:val="FootnoteReference"/>
        </w:rPr>
        <w:footnoteRef/>
      </w:r>
      <w:r>
        <w:t xml:space="preserve"> </w:t>
      </w:r>
      <w:r w:rsidR="00563133">
        <w:t>I</w:t>
      </w:r>
      <w:r w:rsidRPr="006F52E5">
        <w:t xml:space="preserve">ntroduced by the </w:t>
      </w:r>
      <w:r w:rsidRPr="006F52E5">
        <w:rPr>
          <w:i/>
          <w:iCs/>
        </w:rPr>
        <w:t>Health Legislation Amendment (Quality and Safety) Act 2022</w:t>
      </w:r>
      <w:r>
        <w:t xml:space="preserve">; </w:t>
      </w:r>
      <w:r w:rsidRPr="006F52E5">
        <w:t>requires disclosure of SAPSEs to affected patients and families</w:t>
      </w:r>
      <w:r w:rsidR="005B4C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5446FA5A" w14:textId="77777777" w:rsidTr="55FD0A3D">
      <w:trPr>
        <w:trHeight w:val="300"/>
      </w:trPr>
      <w:tc>
        <w:tcPr>
          <w:tcW w:w="3095" w:type="dxa"/>
        </w:tcPr>
        <w:p w14:paraId="37D8D8FD" w14:textId="0F79F9DA" w:rsidR="55FD0A3D" w:rsidRDefault="55FD0A3D" w:rsidP="55FD0A3D">
          <w:pPr>
            <w:pStyle w:val="Header"/>
            <w:ind w:left="-115"/>
          </w:pPr>
        </w:p>
      </w:tc>
      <w:tc>
        <w:tcPr>
          <w:tcW w:w="3095" w:type="dxa"/>
        </w:tcPr>
        <w:p w14:paraId="1CC1A0D5" w14:textId="2C83B293" w:rsidR="55FD0A3D" w:rsidRDefault="55FD0A3D" w:rsidP="55FD0A3D">
          <w:pPr>
            <w:pStyle w:val="Header"/>
            <w:jc w:val="center"/>
          </w:pPr>
        </w:p>
      </w:tc>
      <w:tc>
        <w:tcPr>
          <w:tcW w:w="3095" w:type="dxa"/>
        </w:tcPr>
        <w:p w14:paraId="098E1CEF" w14:textId="3882BBC7" w:rsidR="55FD0A3D" w:rsidRDefault="55FD0A3D" w:rsidP="55FD0A3D">
          <w:pPr>
            <w:pStyle w:val="Header"/>
            <w:ind w:right="-115"/>
            <w:jc w:val="right"/>
          </w:pPr>
        </w:p>
      </w:tc>
    </w:tr>
  </w:tbl>
  <w:p w14:paraId="31DE0B73" w14:textId="0A467F18" w:rsidR="006F66FD" w:rsidRDefault="006F6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218A25D9" w14:textId="77777777" w:rsidTr="55FD0A3D">
      <w:trPr>
        <w:trHeight w:val="300"/>
      </w:trPr>
      <w:tc>
        <w:tcPr>
          <w:tcW w:w="3095" w:type="dxa"/>
        </w:tcPr>
        <w:p w14:paraId="34981E3C" w14:textId="60268BEA" w:rsidR="55FD0A3D" w:rsidRDefault="55FD0A3D" w:rsidP="55FD0A3D">
          <w:pPr>
            <w:pStyle w:val="Header"/>
            <w:ind w:left="-115"/>
          </w:pPr>
        </w:p>
      </w:tc>
      <w:tc>
        <w:tcPr>
          <w:tcW w:w="3095" w:type="dxa"/>
        </w:tcPr>
        <w:p w14:paraId="1235454D" w14:textId="5BCDC33B" w:rsidR="55FD0A3D" w:rsidRDefault="55FD0A3D" w:rsidP="55FD0A3D">
          <w:pPr>
            <w:pStyle w:val="Header"/>
            <w:jc w:val="center"/>
          </w:pPr>
        </w:p>
      </w:tc>
      <w:tc>
        <w:tcPr>
          <w:tcW w:w="3095" w:type="dxa"/>
        </w:tcPr>
        <w:p w14:paraId="546214E2" w14:textId="7C62F4AD" w:rsidR="55FD0A3D" w:rsidRDefault="55FD0A3D" w:rsidP="55FD0A3D">
          <w:pPr>
            <w:pStyle w:val="Header"/>
            <w:ind w:right="-115"/>
            <w:jc w:val="right"/>
          </w:pPr>
        </w:p>
      </w:tc>
    </w:tr>
  </w:tbl>
  <w:p w14:paraId="6E85A1F5" w14:textId="19714A3F" w:rsidR="006F66FD" w:rsidRDefault="006F6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C2D8" w14:textId="77777777" w:rsidR="00431A70" w:rsidRPr="00454A7D" w:rsidRDefault="00431A70" w:rsidP="00454A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AEC0" w14:textId="1021073F" w:rsidR="00562811" w:rsidRPr="008E45B0" w:rsidRDefault="00BF01C1" w:rsidP="0017674D">
    <w:pPr>
      <w:pStyle w:val="Header"/>
      <w:rPr>
        <w:sz w:val="16"/>
        <w:szCs w:val="16"/>
      </w:rPr>
    </w:pPr>
    <w:r w:rsidRPr="008C3910">
      <w:rPr>
        <w:sz w:val="16"/>
        <w:szCs w:val="16"/>
      </w:rPr>
      <w:t xml:space="preserve">Non-Emergency Patient </w:t>
    </w:r>
    <w:r w:rsidR="55FD0A3D" w:rsidRPr="008C3910">
      <w:rPr>
        <w:sz w:val="16"/>
        <w:szCs w:val="16"/>
      </w:rPr>
      <w:t xml:space="preserve">Transport </w:t>
    </w:r>
    <w:r w:rsidRPr="008C3910">
      <w:rPr>
        <w:sz w:val="16"/>
        <w:szCs w:val="16"/>
      </w:rPr>
      <w:t xml:space="preserve">Regulations </w:t>
    </w:r>
    <w:r w:rsidRPr="00CF53D5">
      <w:rPr>
        <w:sz w:val="16"/>
        <w:szCs w:val="16"/>
      </w:rPr>
      <w:t>20</w:t>
    </w:r>
    <w:r w:rsidR="00CF53D5" w:rsidRPr="00CF53D5">
      <w:rPr>
        <w:sz w:val="16"/>
        <w:szCs w:val="16"/>
      </w:rPr>
      <w:t>2</w:t>
    </w:r>
    <w:r w:rsidRPr="00CF53D5">
      <w:rPr>
        <w:sz w:val="16"/>
        <w:szCs w:val="16"/>
      </w:rPr>
      <w:t>6</w:t>
    </w:r>
    <w:r w:rsidRPr="008C3910">
      <w:rPr>
        <w:sz w:val="16"/>
        <w:szCs w:val="16"/>
      </w:rPr>
      <w:t xml:space="preserve"> Regulatory Impact Statement</w:t>
    </w:r>
    <w:r w:rsidR="00145BEF" w:rsidRPr="008C3910">
      <w:rPr>
        <w:sz w:val="16"/>
        <w:szCs w:val="16"/>
      </w:rPr>
      <w:t xml:space="preserve"> </w:t>
    </w:r>
    <w:r w:rsidR="00145BEF" w:rsidRPr="008C3910">
      <w:rPr>
        <w:sz w:val="16"/>
        <w:szCs w:val="16"/>
      </w:rPr>
      <w:tab/>
    </w:r>
    <w:r w:rsidR="004D597C">
      <w:tab/>
    </w:r>
    <w:r w:rsidR="008E45B0">
      <w:tab/>
    </w:r>
    <w:r w:rsidR="00B175CF">
      <w:t xml:space="preserve">        </w:t>
    </w:r>
    <w:r w:rsidR="00145BEF">
      <w:t xml:space="preserve">  </w:t>
    </w:r>
    <w:r w:rsidR="00562811" w:rsidRPr="55FD0A3D">
      <w:fldChar w:fldCharType="begin"/>
    </w:r>
    <w:r w:rsidR="00562811" w:rsidRPr="00DE6C85">
      <w:rPr>
        <w:bCs/>
      </w:rPr>
      <w:instrText xml:space="preserve"> PAGE </w:instrText>
    </w:r>
    <w:r w:rsidR="00562811" w:rsidRPr="55FD0A3D">
      <w:rPr>
        <w:b w:val="0"/>
        <w:bCs/>
      </w:rPr>
      <w:fldChar w:fldCharType="separate"/>
    </w:r>
    <w:r w:rsidR="00562811" w:rsidRPr="00DE6C85">
      <w:rPr>
        <w:bCs/>
      </w:rPr>
      <w:t>2</w:t>
    </w:r>
    <w:r w:rsidR="00562811" w:rsidRPr="55FD0A3D">
      <w:fldChar w:fldCharType="end"/>
    </w:r>
    <w:r w:rsidR="008E45B0">
      <w:t xml:space="preserve"> </w:t>
    </w:r>
    <w:r w:rsidR="008E45B0">
      <w:tab/>
    </w:r>
    <w:r w:rsidR="008E45B0">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5FD0A3D" w14:paraId="2F266798" w14:textId="77777777" w:rsidTr="55FD0A3D">
      <w:trPr>
        <w:trHeight w:val="300"/>
      </w:trPr>
      <w:tc>
        <w:tcPr>
          <w:tcW w:w="3095" w:type="dxa"/>
        </w:tcPr>
        <w:p w14:paraId="1141BE88" w14:textId="7C889785" w:rsidR="55FD0A3D" w:rsidRDefault="55FD0A3D" w:rsidP="55FD0A3D">
          <w:pPr>
            <w:pStyle w:val="Header"/>
            <w:ind w:left="-115"/>
          </w:pPr>
        </w:p>
      </w:tc>
      <w:tc>
        <w:tcPr>
          <w:tcW w:w="3095" w:type="dxa"/>
        </w:tcPr>
        <w:p w14:paraId="0B8DE8AE" w14:textId="6D3C9E8E" w:rsidR="55FD0A3D" w:rsidRDefault="55FD0A3D" w:rsidP="55FD0A3D">
          <w:pPr>
            <w:pStyle w:val="Header"/>
            <w:jc w:val="center"/>
          </w:pPr>
        </w:p>
      </w:tc>
      <w:tc>
        <w:tcPr>
          <w:tcW w:w="3095" w:type="dxa"/>
        </w:tcPr>
        <w:p w14:paraId="653A54CE" w14:textId="046CDE1D" w:rsidR="55FD0A3D" w:rsidRDefault="55FD0A3D" w:rsidP="55FD0A3D">
          <w:pPr>
            <w:pStyle w:val="Header"/>
            <w:ind w:right="-115"/>
            <w:jc w:val="right"/>
          </w:pPr>
        </w:p>
      </w:tc>
    </w:tr>
  </w:tbl>
  <w:p w14:paraId="493A3749" w14:textId="477513CF" w:rsidR="006F66FD" w:rsidRDefault="006F6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B8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FC31B0"/>
    <w:multiLevelType w:val="hybridMultilevel"/>
    <w:tmpl w:val="D278C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79E36C3"/>
    <w:multiLevelType w:val="hybridMultilevel"/>
    <w:tmpl w:val="1B2AA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DF5144"/>
    <w:multiLevelType w:val="hybridMultilevel"/>
    <w:tmpl w:val="AD9CBF66"/>
    <w:lvl w:ilvl="0" w:tplc="546E885E">
      <w:start w:val="1"/>
      <w:numFmt w:val="bullet"/>
      <w:lvlText w:val=""/>
      <w:lvlJc w:val="left"/>
      <w:pPr>
        <w:ind w:left="1080" w:hanging="360"/>
      </w:pPr>
      <w:rPr>
        <w:rFonts w:ascii="Symbol" w:hAnsi="Symbol"/>
      </w:rPr>
    </w:lvl>
    <w:lvl w:ilvl="1" w:tplc="0AC6A514">
      <w:start w:val="1"/>
      <w:numFmt w:val="bullet"/>
      <w:lvlText w:val=""/>
      <w:lvlJc w:val="left"/>
      <w:pPr>
        <w:ind w:left="1080" w:hanging="360"/>
      </w:pPr>
      <w:rPr>
        <w:rFonts w:ascii="Symbol" w:hAnsi="Symbol"/>
      </w:rPr>
    </w:lvl>
    <w:lvl w:ilvl="2" w:tplc="5DB20E30">
      <w:start w:val="1"/>
      <w:numFmt w:val="bullet"/>
      <w:lvlText w:val=""/>
      <w:lvlJc w:val="left"/>
      <w:pPr>
        <w:ind w:left="1080" w:hanging="360"/>
      </w:pPr>
      <w:rPr>
        <w:rFonts w:ascii="Symbol" w:hAnsi="Symbol"/>
      </w:rPr>
    </w:lvl>
    <w:lvl w:ilvl="3" w:tplc="C2920B92">
      <w:start w:val="1"/>
      <w:numFmt w:val="bullet"/>
      <w:lvlText w:val=""/>
      <w:lvlJc w:val="left"/>
      <w:pPr>
        <w:ind w:left="1080" w:hanging="360"/>
      </w:pPr>
      <w:rPr>
        <w:rFonts w:ascii="Symbol" w:hAnsi="Symbol"/>
      </w:rPr>
    </w:lvl>
    <w:lvl w:ilvl="4" w:tplc="4CEC6438">
      <w:start w:val="1"/>
      <w:numFmt w:val="bullet"/>
      <w:lvlText w:val=""/>
      <w:lvlJc w:val="left"/>
      <w:pPr>
        <w:ind w:left="1080" w:hanging="360"/>
      </w:pPr>
      <w:rPr>
        <w:rFonts w:ascii="Symbol" w:hAnsi="Symbol"/>
      </w:rPr>
    </w:lvl>
    <w:lvl w:ilvl="5" w:tplc="4EBE406C">
      <w:start w:val="1"/>
      <w:numFmt w:val="bullet"/>
      <w:lvlText w:val=""/>
      <w:lvlJc w:val="left"/>
      <w:pPr>
        <w:ind w:left="1080" w:hanging="360"/>
      </w:pPr>
      <w:rPr>
        <w:rFonts w:ascii="Symbol" w:hAnsi="Symbol"/>
      </w:rPr>
    </w:lvl>
    <w:lvl w:ilvl="6" w:tplc="EB304234">
      <w:start w:val="1"/>
      <w:numFmt w:val="bullet"/>
      <w:lvlText w:val=""/>
      <w:lvlJc w:val="left"/>
      <w:pPr>
        <w:ind w:left="1080" w:hanging="360"/>
      </w:pPr>
      <w:rPr>
        <w:rFonts w:ascii="Symbol" w:hAnsi="Symbol"/>
      </w:rPr>
    </w:lvl>
    <w:lvl w:ilvl="7" w:tplc="313879C2">
      <w:start w:val="1"/>
      <w:numFmt w:val="bullet"/>
      <w:lvlText w:val=""/>
      <w:lvlJc w:val="left"/>
      <w:pPr>
        <w:ind w:left="1080" w:hanging="360"/>
      </w:pPr>
      <w:rPr>
        <w:rFonts w:ascii="Symbol" w:hAnsi="Symbol"/>
      </w:rPr>
    </w:lvl>
    <w:lvl w:ilvl="8" w:tplc="691A8F3C">
      <w:start w:val="1"/>
      <w:numFmt w:val="bullet"/>
      <w:lvlText w:val=""/>
      <w:lvlJc w:val="left"/>
      <w:pPr>
        <w:ind w:left="1080" w:hanging="360"/>
      </w:pPr>
      <w:rPr>
        <w:rFonts w:ascii="Symbol" w:hAnsi="Symbol"/>
      </w:rPr>
    </w:lvl>
  </w:abstractNum>
  <w:abstractNum w:abstractNumId="5" w15:restartNumberingAfterBreak="0">
    <w:nsid w:val="2E2741DB"/>
    <w:multiLevelType w:val="hybridMultilevel"/>
    <w:tmpl w:val="72081654"/>
    <w:lvl w:ilvl="0" w:tplc="E13080DC">
      <w:start w:val="1"/>
      <w:numFmt w:val="bullet"/>
      <w:lvlText w:val=""/>
      <w:lvlJc w:val="left"/>
      <w:pPr>
        <w:ind w:left="1080" w:hanging="360"/>
      </w:pPr>
      <w:rPr>
        <w:rFonts w:ascii="Symbol" w:hAnsi="Symbol"/>
      </w:rPr>
    </w:lvl>
    <w:lvl w:ilvl="1" w:tplc="E85EDE32">
      <w:start w:val="1"/>
      <w:numFmt w:val="bullet"/>
      <w:lvlText w:val=""/>
      <w:lvlJc w:val="left"/>
      <w:pPr>
        <w:ind w:left="1080" w:hanging="360"/>
      </w:pPr>
      <w:rPr>
        <w:rFonts w:ascii="Symbol" w:hAnsi="Symbol"/>
      </w:rPr>
    </w:lvl>
    <w:lvl w:ilvl="2" w:tplc="CAC0CA26">
      <w:start w:val="1"/>
      <w:numFmt w:val="bullet"/>
      <w:lvlText w:val=""/>
      <w:lvlJc w:val="left"/>
      <w:pPr>
        <w:ind w:left="1080" w:hanging="360"/>
      </w:pPr>
      <w:rPr>
        <w:rFonts w:ascii="Symbol" w:hAnsi="Symbol"/>
      </w:rPr>
    </w:lvl>
    <w:lvl w:ilvl="3" w:tplc="AD5AE260">
      <w:start w:val="1"/>
      <w:numFmt w:val="bullet"/>
      <w:lvlText w:val=""/>
      <w:lvlJc w:val="left"/>
      <w:pPr>
        <w:ind w:left="1080" w:hanging="360"/>
      </w:pPr>
      <w:rPr>
        <w:rFonts w:ascii="Symbol" w:hAnsi="Symbol"/>
      </w:rPr>
    </w:lvl>
    <w:lvl w:ilvl="4" w:tplc="2D660866">
      <w:start w:val="1"/>
      <w:numFmt w:val="bullet"/>
      <w:lvlText w:val=""/>
      <w:lvlJc w:val="left"/>
      <w:pPr>
        <w:ind w:left="1080" w:hanging="360"/>
      </w:pPr>
      <w:rPr>
        <w:rFonts w:ascii="Symbol" w:hAnsi="Symbol"/>
      </w:rPr>
    </w:lvl>
    <w:lvl w:ilvl="5" w:tplc="6B749D38">
      <w:start w:val="1"/>
      <w:numFmt w:val="bullet"/>
      <w:lvlText w:val=""/>
      <w:lvlJc w:val="left"/>
      <w:pPr>
        <w:ind w:left="1080" w:hanging="360"/>
      </w:pPr>
      <w:rPr>
        <w:rFonts w:ascii="Symbol" w:hAnsi="Symbol"/>
      </w:rPr>
    </w:lvl>
    <w:lvl w:ilvl="6" w:tplc="F6C213EE">
      <w:start w:val="1"/>
      <w:numFmt w:val="bullet"/>
      <w:lvlText w:val=""/>
      <w:lvlJc w:val="left"/>
      <w:pPr>
        <w:ind w:left="1080" w:hanging="360"/>
      </w:pPr>
      <w:rPr>
        <w:rFonts w:ascii="Symbol" w:hAnsi="Symbol"/>
      </w:rPr>
    </w:lvl>
    <w:lvl w:ilvl="7" w:tplc="EEFA93B0">
      <w:start w:val="1"/>
      <w:numFmt w:val="bullet"/>
      <w:lvlText w:val=""/>
      <w:lvlJc w:val="left"/>
      <w:pPr>
        <w:ind w:left="1080" w:hanging="360"/>
      </w:pPr>
      <w:rPr>
        <w:rFonts w:ascii="Symbol" w:hAnsi="Symbol"/>
      </w:rPr>
    </w:lvl>
    <w:lvl w:ilvl="8" w:tplc="6AB884D8">
      <w:start w:val="1"/>
      <w:numFmt w:val="bullet"/>
      <w:lvlText w:val=""/>
      <w:lvlJc w:val="left"/>
      <w:pPr>
        <w:ind w:left="1080" w:hanging="360"/>
      </w:pPr>
      <w:rPr>
        <w:rFonts w:ascii="Symbol" w:hAnsi="Symbol"/>
      </w:rPr>
    </w:lvl>
  </w:abstractNum>
  <w:abstractNum w:abstractNumId="6" w15:restartNumberingAfterBreak="0">
    <w:nsid w:val="308D4FD4"/>
    <w:multiLevelType w:val="hybridMultilevel"/>
    <w:tmpl w:val="94D8A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F12BFC"/>
    <w:multiLevelType w:val="hybridMultilevel"/>
    <w:tmpl w:val="096A7E72"/>
    <w:lvl w:ilvl="0" w:tplc="16F03E3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B33A2DBC"/>
    <w:styleLink w:val="ZZQuotebullets"/>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alpha"/>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E7E0BDF"/>
    <w:multiLevelType w:val="hybridMultilevel"/>
    <w:tmpl w:val="50E85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hybridMultilevel"/>
    <w:tmpl w:val="F05C78C0"/>
    <w:styleLink w:val="ZZBullets"/>
    <w:lvl w:ilvl="0" w:tplc="0A886AFC">
      <w:start w:val="1"/>
      <w:numFmt w:val="bullet"/>
      <w:pStyle w:val="Bullet1"/>
      <w:lvlText w:val=""/>
      <w:lvlJc w:val="left"/>
      <w:pPr>
        <w:ind w:left="284" w:hanging="284"/>
      </w:pPr>
      <w:rPr>
        <w:rFonts w:ascii="Symbol" w:hAnsi="Symbol" w:hint="default"/>
      </w:rPr>
    </w:lvl>
    <w:lvl w:ilvl="1" w:tplc="9D80A6FA">
      <w:start w:val="1"/>
      <w:numFmt w:val="bullet"/>
      <w:lvlRestart w:val="0"/>
      <w:pStyle w:val="Bullet2"/>
      <w:lvlText w:val="–"/>
      <w:lvlJc w:val="left"/>
      <w:pPr>
        <w:ind w:left="567" w:hanging="283"/>
      </w:pPr>
      <w:rPr>
        <w:rFonts w:ascii="Calibri" w:hAnsi="Calibri" w:hint="default"/>
      </w:rPr>
    </w:lvl>
    <w:lvl w:ilvl="2" w:tplc="614AD4CE">
      <w:start w:val="1"/>
      <w:numFmt w:val="decimal"/>
      <w:lvlRestart w:val="0"/>
      <w:lvlText w:val=""/>
      <w:lvlJc w:val="left"/>
      <w:pPr>
        <w:ind w:left="-360" w:firstLine="0"/>
      </w:pPr>
    </w:lvl>
    <w:lvl w:ilvl="3" w:tplc="9C5AA5B6">
      <w:start w:val="1"/>
      <w:numFmt w:val="decimal"/>
      <w:lvlRestart w:val="0"/>
      <w:lvlText w:val=""/>
      <w:lvlJc w:val="left"/>
      <w:pPr>
        <w:ind w:left="-360" w:firstLine="0"/>
      </w:pPr>
    </w:lvl>
    <w:lvl w:ilvl="4" w:tplc="D0F85A66">
      <w:start w:val="1"/>
      <w:numFmt w:val="decimal"/>
      <w:lvlRestart w:val="0"/>
      <w:lvlText w:val=""/>
      <w:lvlJc w:val="left"/>
      <w:pPr>
        <w:ind w:left="-360" w:firstLine="0"/>
      </w:pPr>
    </w:lvl>
    <w:lvl w:ilvl="5" w:tplc="680C0994">
      <w:start w:val="1"/>
      <w:numFmt w:val="decimal"/>
      <w:lvlRestart w:val="0"/>
      <w:lvlText w:val=""/>
      <w:lvlJc w:val="left"/>
      <w:pPr>
        <w:ind w:left="-360" w:firstLine="0"/>
      </w:pPr>
    </w:lvl>
    <w:lvl w:ilvl="6" w:tplc="B086ADCE">
      <w:start w:val="1"/>
      <w:numFmt w:val="decimal"/>
      <w:lvlRestart w:val="0"/>
      <w:lvlText w:val=""/>
      <w:lvlJc w:val="left"/>
      <w:pPr>
        <w:ind w:left="-360" w:firstLine="0"/>
      </w:pPr>
    </w:lvl>
    <w:lvl w:ilvl="7" w:tplc="3E7A5894">
      <w:start w:val="1"/>
      <w:numFmt w:val="decimal"/>
      <w:lvlRestart w:val="0"/>
      <w:lvlText w:val=""/>
      <w:lvlJc w:val="left"/>
      <w:pPr>
        <w:ind w:left="-360" w:firstLine="0"/>
      </w:pPr>
    </w:lvl>
    <w:lvl w:ilvl="8" w:tplc="9056AD4E">
      <w:start w:val="1"/>
      <w:numFmt w:val="decimal"/>
      <w:lvlRestart w:val="0"/>
      <w:lvlText w:val=""/>
      <w:lvlJc w:val="left"/>
      <w:pPr>
        <w:ind w:left="-360" w:firstLine="0"/>
      </w:pPr>
    </w:lvl>
  </w:abstractNum>
  <w:abstractNum w:abstractNumId="13" w15:restartNumberingAfterBreak="0">
    <w:nsid w:val="5BE937CA"/>
    <w:multiLevelType w:val="hybridMultilevel"/>
    <w:tmpl w:val="ECDEA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6813A44"/>
    <w:multiLevelType w:val="multilevel"/>
    <w:tmpl w:val="F1DAC5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D237838"/>
    <w:multiLevelType w:val="hybridMultilevel"/>
    <w:tmpl w:val="BAA8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0170271">
    <w:abstractNumId w:val="8"/>
  </w:num>
  <w:num w:numId="2" w16cid:durableId="230314469">
    <w:abstractNumId w:val="12"/>
  </w:num>
  <w:num w:numId="3" w16cid:durableId="1124927907">
    <w:abstractNumId w:val="11"/>
  </w:num>
  <w:num w:numId="4" w16cid:durableId="524250103">
    <w:abstractNumId w:val="14"/>
  </w:num>
  <w:num w:numId="5" w16cid:durableId="599532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290146">
    <w:abstractNumId w:val="2"/>
  </w:num>
  <w:num w:numId="7" w16cid:durableId="2135099816">
    <w:abstractNumId w:val="15"/>
  </w:num>
  <w:num w:numId="8" w16cid:durableId="649672894">
    <w:abstractNumId w:val="7"/>
  </w:num>
  <w:num w:numId="9" w16cid:durableId="772669739">
    <w:abstractNumId w:val="16"/>
  </w:num>
  <w:num w:numId="10" w16cid:durableId="609971647">
    <w:abstractNumId w:val="3"/>
  </w:num>
  <w:num w:numId="11" w16cid:durableId="193686475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633542">
    <w:abstractNumId w:val="13"/>
  </w:num>
  <w:num w:numId="13" w16cid:durableId="237712757">
    <w:abstractNumId w:val="1"/>
  </w:num>
  <w:num w:numId="14" w16cid:durableId="83376830">
    <w:abstractNumId w:val="10"/>
  </w:num>
  <w:num w:numId="15" w16cid:durableId="364869374">
    <w:abstractNumId w:val="6"/>
  </w:num>
  <w:num w:numId="16" w16cid:durableId="1185167891">
    <w:abstractNumId w:val="0"/>
  </w:num>
  <w:num w:numId="17" w16cid:durableId="559874727">
    <w:abstractNumId w:val="9"/>
  </w:num>
  <w:num w:numId="18" w16cid:durableId="694893007">
    <w:abstractNumId w:val="4"/>
  </w:num>
  <w:num w:numId="19" w16cid:durableId="1507329243">
    <w:abstractNumId w:val="5"/>
  </w:num>
  <w:num w:numId="20" w16cid:durableId="203037366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08"/>
    <w:rsid w:val="00000182"/>
    <w:rsid w:val="0000021D"/>
    <w:rsid w:val="0000029C"/>
    <w:rsid w:val="000004EE"/>
    <w:rsid w:val="00000623"/>
    <w:rsid w:val="000006EE"/>
    <w:rsid w:val="00000719"/>
    <w:rsid w:val="000007CE"/>
    <w:rsid w:val="000008F6"/>
    <w:rsid w:val="00000A1C"/>
    <w:rsid w:val="00000AEA"/>
    <w:rsid w:val="00000B4A"/>
    <w:rsid w:val="00000BE8"/>
    <w:rsid w:val="00000D90"/>
    <w:rsid w:val="00000E92"/>
    <w:rsid w:val="00000EFA"/>
    <w:rsid w:val="00000F11"/>
    <w:rsid w:val="00000F7F"/>
    <w:rsid w:val="000010FC"/>
    <w:rsid w:val="00001263"/>
    <w:rsid w:val="000013F1"/>
    <w:rsid w:val="0000144D"/>
    <w:rsid w:val="00001494"/>
    <w:rsid w:val="00001542"/>
    <w:rsid w:val="00001775"/>
    <w:rsid w:val="00001827"/>
    <w:rsid w:val="000018AB"/>
    <w:rsid w:val="00001A83"/>
    <w:rsid w:val="00001A93"/>
    <w:rsid w:val="00001B41"/>
    <w:rsid w:val="00001BED"/>
    <w:rsid w:val="00001C05"/>
    <w:rsid w:val="00001C3E"/>
    <w:rsid w:val="00001CFF"/>
    <w:rsid w:val="00001E96"/>
    <w:rsid w:val="00001ED3"/>
    <w:rsid w:val="00001EDD"/>
    <w:rsid w:val="000021B5"/>
    <w:rsid w:val="000021F6"/>
    <w:rsid w:val="0000221B"/>
    <w:rsid w:val="00002221"/>
    <w:rsid w:val="0000227A"/>
    <w:rsid w:val="00002548"/>
    <w:rsid w:val="000025A5"/>
    <w:rsid w:val="00002719"/>
    <w:rsid w:val="0000272B"/>
    <w:rsid w:val="00002750"/>
    <w:rsid w:val="0000275B"/>
    <w:rsid w:val="0000277F"/>
    <w:rsid w:val="00002849"/>
    <w:rsid w:val="00002B4D"/>
    <w:rsid w:val="00002BCD"/>
    <w:rsid w:val="00002C39"/>
    <w:rsid w:val="00002D68"/>
    <w:rsid w:val="00002DD1"/>
    <w:rsid w:val="00003070"/>
    <w:rsid w:val="00003209"/>
    <w:rsid w:val="00003292"/>
    <w:rsid w:val="000033D6"/>
    <w:rsid w:val="000033F2"/>
    <w:rsid w:val="000033F7"/>
    <w:rsid w:val="00003403"/>
    <w:rsid w:val="0000340B"/>
    <w:rsid w:val="0000340E"/>
    <w:rsid w:val="0000342A"/>
    <w:rsid w:val="00003444"/>
    <w:rsid w:val="00003730"/>
    <w:rsid w:val="0000387B"/>
    <w:rsid w:val="00003880"/>
    <w:rsid w:val="00003A24"/>
    <w:rsid w:val="00003D8A"/>
    <w:rsid w:val="00003DC9"/>
    <w:rsid w:val="00003E52"/>
    <w:rsid w:val="00003E7E"/>
    <w:rsid w:val="00003E97"/>
    <w:rsid w:val="00004054"/>
    <w:rsid w:val="0000408B"/>
    <w:rsid w:val="00004168"/>
    <w:rsid w:val="000041EE"/>
    <w:rsid w:val="00004211"/>
    <w:rsid w:val="00004244"/>
    <w:rsid w:val="00004287"/>
    <w:rsid w:val="00004413"/>
    <w:rsid w:val="0000455D"/>
    <w:rsid w:val="0000469A"/>
    <w:rsid w:val="000046BE"/>
    <w:rsid w:val="000046EC"/>
    <w:rsid w:val="000047C2"/>
    <w:rsid w:val="000048DF"/>
    <w:rsid w:val="00004932"/>
    <w:rsid w:val="0000494A"/>
    <w:rsid w:val="00004A60"/>
    <w:rsid w:val="00004CE6"/>
    <w:rsid w:val="00004D75"/>
    <w:rsid w:val="00004D8A"/>
    <w:rsid w:val="00004DCC"/>
    <w:rsid w:val="00004DE2"/>
    <w:rsid w:val="00004F0A"/>
    <w:rsid w:val="00004F41"/>
    <w:rsid w:val="00004FE2"/>
    <w:rsid w:val="00005109"/>
    <w:rsid w:val="00005190"/>
    <w:rsid w:val="00005347"/>
    <w:rsid w:val="00005511"/>
    <w:rsid w:val="00005558"/>
    <w:rsid w:val="000056FD"/>
    <w:rsid w:val="0000577A"/>
    <w:rsid w:val="00005825"/>
    <w:rsid w:val="000058AA"/>
    <w:rsid w:val="000058DD"/>
    <w:rsid w:val="0000591B"/>
    <w:rsid w:val="00005955"/>
    <w:rsid w:val="00005ABB"/>
    <w:rsid w:val="00005CE1"/>
    <w:rsid w:val="00006057"/>
    <w:rsid w:val="00006124"/>
    <w:rsid w:val="0000625D"/>
    <w:rsid w:val="00006281"/>
    <w:rsid w:val="0000641B"/>
    <w:rsid w:val="0000644C"/>
    <w:rsid w:val="00006481"/>
    <w:rsid w:val="00006520"/>
    <w:rsid w:val="00006861"/>
    <w:rsid w:val="00006AC7"/>
    <w:rsid w:val="00006BBC"/>
    <w:rsid w:val="00006CA6"/>
    <w:rsid w:val="00006CB8"/>
    <w:rsid w:val="00006CB9"/>
    <w:rsid w:val="00006D16"/>
    <w:rsid w:val="00006E37"/>
    <w:rsid w:val="00006F47"/>
    <w:rsid w:val="00007246"/>
    <w:rsid w:val="000072B3"/>
    <w:rsid w:val="000072B6"/>
    <w:rsid w:val="00007580"/>
    <w:rsid w:val="00007625"/>
    <w:rsid w:val="00007882"/>
    <w:rsid w:val="00007AEE"/>
    <w:rsid w:val="00007BC2"/>
    <w:rsid w:val="00010108"/>
    <w:rsid w:val="000101DB"/>
    <w:rsid w:val="0001021B"/>
    <w:rsid w:val="000102F9"/>
    <w:rsid w:val="000102FA"/>
    <w:rsid w:val="00010669"/>
    <w:rsid w:val="0001068D"/>
    <w:rsid w:val="0001069B"/>
    <w:rsid w:val="0001073B"/>
    <w:rsid w:val="000107DE"/>
    <w:rsid w:val="00010827"/>
    <w:rsid w:val="0001085F"/>
    <w:rsid w:val="000108EC"/>
    <w:rsid w:val="0001093A"/>
    <w:rsid w:val="00010AA6"/>
    <w:rsid w:val="00010C55"/>
    <w:rsid w:val="00010C5F"/>
    <w:rsid w:val="00010D13"/>
    <w:rsid w:val="00010D8D"/>
    <w:rsid w:val="00010DE7"/>
    <w:rsid w:val="00010ED3"/>
    <w:rsid w:val="00010F6A"/>
    <w:rsid w:val="0001104E"/>
    <w:rsid w:val="000110C6"/>
    <w:rsid w:val="0001115F"/>
    <w:rsid w:val="00011445"/>
    <w:rsid w:val="0001148F"/>
    <w:rsid w:val="00011502"/>
    <w:rsid w:val="000115E1"/>
    <w:rsid w:val="00011715"/>
    <w:rsid w:val="00011716"/>
    <w:rsid w:val="0001188E"/>
    <w:rsid w:val="0001191C"/>
    <w:rsid w:val="000119B7"/>
    <w:rsid w:val="00011A87"/>
    <w:rsid w:val="00011CB4"/>
    <w:rsid w:val="00011D89"/>
    <w:rsid w:val="00011E56"/>
    <w:rsid w:val="00011E93"/>
    <w:rsid w:val="00011EB8"/>
    <w:rsid w:val="00011EDE"/>
    <w:rsid w:val="00011EFC"/>
    <w:rsid w:val="00011FE0"/>
    <w:rsid w:val="00012012"/>
    <w:rsid w:val="00012057"/>
    <w:rsid w:val="00012128"/>
    <w:rsid w:val="000122B6"/>
    <w:rsid w:val="000122E6"/>
    <w:rsid w:val="000123E5"/>
    <w:rsid w:val="0001243F"/>
    <w:rsid w:val="00012527"/>
    <w:rsid w:val="0001282D"/>
    <w:rsid w:val="0001289B"/>
    <w:rsid w:val="00012A2B"/>
    <w:rsid w:val="00012C60"/>
    <w:rsid w:val="00012DB7"/>
    <w:rsid w:val="00012F97"/>
    <w:rsid w:val="00012FDF"/>
    <w:rsid w:val="00012FF5"/>
    <w:rsid w:val="00013058"/>
    <w:rsid w:val="00013078"/>
    <w:rsid w:val="000131DF"/>
    <w:rsid w:val="0001338C"/>
    <w:rsid w:val="0001348F"/>
    <w:rsid w:val="000134BD"/>
    <w:rsid w:val="000134FD"/>
    <w:rsid w:val="00013569"/>
    <w:rsid w:val="000137EC"/>
    <w:rsid w:val="00013A07"/>
    <w:rsid w:val="00013A86"/>
    <w:rsid w:val="00013AD0"/>
    <w:rsid w:val="00013B01"/>
    <w:rsid w:val="00013BDA"/>
    <w:rsid w:val="00013CAD"/>
    <w:rsid w:val="00013EB2"/>
    <w:rsid w:val="00013F08"/>
    <w:rsid w:val="00013FE4"/>
    <w:rsid w:val="00014198"/>
    <w:rsid w:val="000141FB"/>
    <w:rsid w:val="00014318"/>
    <w:rsid w:val="00014345"/>
    <w:rsid w:val="000143B4"/>
    <w:rsid w:val="00014538"/>
    <w:rsid w:val="00014617"/>
    <w:rsid w:val="000147D5"/>
    <w:rsid w:val="00014A3B"/>
    <w:rsid w:val="00014A91"/>
    <w:rsid w:val="00014C58"/>
    <w:rsid w:val="00014D02"/>
    <w:rsid w:val="00014D78"/>
    <w:rsid w:val="00014DB5"/>
    <w:rsid w:val="00014E82"/>
    <w:rsid w:val="00014EF5"/>
    <w:rsid w:val="00014F94"/>
    <w:rsid w:val="00015091"/>
    <w:rsid w:val="000150B0"/>
    <w:rsid w:val="000150F7"/>
    <w:rsid w:val="00015203"/>
    <w:rsid w:val="000154FD"/>
    <w:rsid w:val="000157BF"/>
    <w:rsid w:val="00015834"/>
    <w:rsid w:val="00015A0A"/>
    <w:rsid w:val="00015B3E"/>
    <w:rsid w:val="00015E84"/>
    <w:rsid w:val="00015EB7"/>
    <w:rsid w:val="00015F4E"/>
    <w:rsid w:val="00015F7A"/>
    <w:rsid w:val="00016031"/>
    <w:rsid w:val="000160A5"/>
    <w:rsid w:val="000160C1"/>
    <w:rsid w:val="00016137"/>
    <w:rsid w:val="00016139"/>
    <w:rsid w:val="0001619E"/>
    <w:rsid w:val="000161A2"/>
    <w:rsid w:val="00016219"/>
    <w:rsid w:val="000162BC"/>
    <w:rsid w:val="00016325"/>
    <w:rsid w:val="000163E7"/>
    <w:rsid w:val="00016434"/>
    <w:rsid w:val="000167C8"/>
    <w:rsid w:val="000167D4"/>
    <w:rsid w:val="00016840"/>
    <w:rsid w:val="00016841"/>
    <w:rsid w:val="00016858"/>
    <w:rsid w:val="000168B7"/>
    <w:rsid w:val="00016AB2"/>
    <w:rsid w:val="00016B28"/>
    <w:rsid w:val="00016B29"/>
    <w:rsid w:val="00016B3C"/>
    <w:rsid w:val="00016C21"/>
    <w:rsid w:val="00016EB5"/>
    <w:rsid w:val="00016F37"/>
    <w:rsid w:val="00016FE5"/>
    <w:rsid w:val="00017039"/>
    <w:rsid w:val="0001706D"/>
    <w:rsid w:val="0001711F"/>
    <w:rsid w:val="000171F2"/>
    <w:rsid w:val="000172A8"/>
    <w:rsid w:val="000172E7"/>
    <w:rsid w:val="00017362"/>
    <w:rsid w:val="0001742A"/>
    <w:rsid w:val="000174C4"/>
    <w:rsid w:val="00017509"/>
    <w:rsid w:val="00017680"/>
    <w:rsid w:val="0001769C"/>
    <w:rsid w:val="000176C8"/>
    <w:rsid w:val="000176CC"/>
    <w:rsid w:val="0001778C"/>
    <w:rsid w:val="000177FA"/>
    <w:rsid w:val="00017A64"/>
    <w:rsid w:val="00017BF2"/>
    <w:rsid w:val="00017C0C"/>
    <w:rsid w:val="00017C80"/>
    <w:rsid w:val="00017FB5"/>
    <w:rsid w:val="00020150"/>
    <w:rsid w:val="00020338"/>
    <w:rsid w:val="000203A2"/>
    <w:rsid w:val="0002045D"/>
    <w:rsid w:val="00020597"/>
    <w:rsid w:val="00020668"/>
    <w:rsid w:val="0002083A"/>
    <w:rsid w:val="00020885"/>
    <w:rsid w:val="000208B5"/>
    <w:rsid w:val="00020983"/>
    <w:rsid w:val="00020A36"/>
    <w:rsid w:val="00020C17"/>
    <w:rsid w:val="00020D03"/>
    <w:rsid w:val="00020E74"/>
    <w:rsid w:val="00020EA1"/>
    <w:rsid w:val="00020F44"/>
    <w:rsid w:val="0002106F"/>
    <w:rsid w:val="00021222"/>
    <w:rsid w:val="00021298"/>
    <w:rsid w:val="000212D9"/>
    <w:rsid w:val="0002132A"/>
    <w:rsid w:val="000213E2"/>
    <w:rsid w:val="00021524"/>
    <w:rsid w:val="0002160A"/>
    <w:rsid w:val="00021699"/>
    <w:rsid w:val="000218F5"/>
    <w:rsid w:val="00021906"/>
    <w:rsid w:val="00021936"/>
    <w:rsid w:val="00021C25"/>
    <w:rsid w:val="00021C83"/>
    <w:rsid w:val="00021E99"/>
    <w:rsid w:val="00021ECF"/>
    <w:rsid w:val="00021FC9"/>
    <w:rsid w:val="000220CA"/>
    <w:rsid w:val="0002215D"/>
    <w:rsid w:val="00022192"/>
    <w:rsid w:val="000221CC"/>
    <w:rsid w:val="00022248"/>
    <w:rsid w:val="00022271"/>
    <w:rsid w:val="0002239E"/>
    <w:rsid w:val="0002258F"/>
    <w:rsid w:val="00022660"/>
    <w:rsid w:val="00022746"/>
    <w:rsid w:val="000227C2"/>
    <w:rsid w:val="000227DD"/>
    <w:rsid w:val="00022829"/>
    <w:rsid w:val="000228B4"/>
    <w:rsid w:val="000228E0"/>
    <w:rsid w:val="00022A78"/>
    <w:rsid w:val="00022A7F"/>
    <w:rsid w:val="00022AB9"/>
    <w:rsid w:val="00022B1D"/>
    <w:rsid w:val="00022B23"/>
    <w:rsid w:val="00022C29"/>
    <w:rsid w:val="00022C93"/>
    <w:rsid w:val="00022CC0"/>
    <w:rsid w:val="00022D50"/>
    <w:rsid w:val="00022FEA"/>
    <w:rsid w:val="0002305C"/>
    <w:rsid w:val="00023200"/>
    <w:rsid w:val="000232F4"/>
    <w:rsid w:val="000235E8"/>
    <w:rsid w:val="00023633"/>
    <w:rsid w:val="00023738"/>
    <w:rsid w:val="00023772"/>
    <w:rsid w:val="000237B3"/>
    <w:rsid w:val="000237C6"/>
    <w:rsid w:val="000239BC"/>
    <w:rsid w:val="00023A43"/>
    <w:rsid w:val="00023BD1"/>
    <w:rsid w:val="00023CF3"/>
    <w:rsid w:val="00023CFF"/>
    <w:rsid w:val="00023D68"/>
    <w:rsid w:val="00023DDB"/>
    <w:rsid w:val="00023E33"/>
    <w:rsid w:val="00023EDD"/>
    <w:rsid w:val="00023EF2"/>
    <w:rsid w:val="000241CF"/>
    <w:rsid w:val="00024275"/>
    <w:rsid w:val="00024278"/>
    <w:rsid w:val="00024289"/>
    <w:rsid w:val="0002432B"/>
    <w:rsid w:val="00024485"/>
    <w:rsid w:val="0002455A"/>
    <w:rsid w:val="000248A6"/>
    <w:rsid w:val="0002490E"/>
    <w:rsid w:val="000249EF"/>
    <w:rsid w:val="00024C22"/>
    <w:rsid w:val="00024C32"/>
    <w:rsid w:val="00024CC7"/>
    <w:rsid w:val="00024D6E"/>
    <w:rsid w:val="00024D89"/>
    <w:rsid w:val="00024DA8"/>
    <w:rsid w:val="00024E08"/>
    <w:rsid w:val="00024EA9"/>
    <w:rsid w:val="00024F2D"/>
    <w:rsid w:val="00024F44"/>
    <w:rsid w:val="00024FA0"/>
    <w:rsid w:val="00024FB7"/>
    <w:rsid w:val="00024FB8"/>
    <w:rsid w:val="0002505E"/>
    <w:rsid w:val="0002507C"/>
    <w:rsid w:val="000250B6"/>
    <w:rsid w:val="00025303"/>
    <w:rsid w:val="000253F9"/>
    <w:rsid w:val="0002556D"/>
    <w:rsid w:val="00025620"/>
    <w:rsid w:val="0002563C"/>
    <w:rsid w:val="00025715"/>
    <w:rsid w:val="00025780"/>
    <w:rsid w:val="00025A7F"/>
    <w:rsid w:val="00025B0B"/>
    <w:rsid w:val="00025B35"/>
    <w:rsid w:val="00025CDD"/>
    <w:rsid w:val="00025D1C"/>
    <w:rsid w:val="00025D48"/>
    <w:rsid w:val="00025DE0"/>
    <w:rsid w:val="00025E4A"/>
    <w:rsid w:val="00025EEC"/>
    <w:rsid w:val="00025F24"/>
    <w:rsid w:val="00026082"/>
    <w:rsid w:val="000260A3"/>
    <w:rsid w:val="00026158"/>
    <w:rsid w:val="00026250"/>
    <w:rsid w:val="000262B5"/>
    <w:rsid w:val="000262C1"/>
    <w:rsid w:val="00026419"/>
    <w:rsid w:val="00026481"/>
    <w:rsid w:val="0002652D"/>
    <w:rsid w:val="00026540"/>
    <w:rsid w:val="00026654"/>
    <w:rsid w:val="000266FC"/>
    <w:rsid w:val="00026700"/>
    <w:rsid w:val="0002685C"/>
    <w:rsid w:val="0002685E"/>
    <w:rsid w:val="00026917"/>
    <w:rsid w:val="0002697A"/>
    <w:rsid w:val="000269AA"/>
    <w:rsid w:val="000269F3"/>
    <w:rsid w:val="00026ABB"/>
    <w:rsid w:val="00026ACA"/>
    <w:rsid w:val="00026C7A"/>
    <w:rsid w:val="00026DE0"/>
    <w:rsid w:val="00026DE5"/>
    <w:rsid w:val="00026E44"/>
    <w:rsid w:val="00026E6D"/>
    <w:rsid w:val="00026FF0"/>
    <w:rsid w:val="00027314"/>
    <w:rsid w:val="00027414"/>
    <w:rsid w:val="000274D7"/>
    <w:rsid w:val="0002753E"/>
    <w:rsid w:val="000276BC"/>
    <w:rsid w:val="0002796E"/>
    <w:rsid w:val="00027A63"/>
    <w:rsid w:val="00027C45"/>
    <w:rsid w:val="00027CD5"/>
    <w:rsid w:val="00027D6E"/>
    <w:rsid w:val="00027DE1"/>
    <w:rsid w:val="00027E43"/>
    <w:rsid w:val="00030022"/>
    <w:rsid w:val="00030230"/>
    <w:rsid w:val="00030307"/>
    <w:rsid w:val="0003030D"/>
    <w:rsid w:val="0003052A"/>
    <w:rsid w:val="000306BD"/>
    <w:rsid w:val="0003076A"/>
    <w:rsid w:val="0003087E"/>
    <w:rsid w:val="00030AC4"/>
    <w:rsid w:val="00030AFD"/>
    <w:rsid w:val="00030B2A"/>
    <w:rsid w:val="00030BC2"/>
    <w:rsid w:val="00030BD1"/>
    <w:rsid w:val="00030CAD"/>
    <w:rsid w:val="00030CDD"/>
    <w:rsid w:val="00030D01"/>
    <w:rsid w:val="00030F84"/>
    <w:rsid w:val="00030FD2"/>
    <w:rsid w:val="000310F1"/>
    <w:rsid w:val="00031149"/>
    <w:rsid w:val="0003120D"/>
    <w:rsid w:val="00031247"/>
    <w:rsid w:val="00031439"/>
    <w:rsid w:val="00031635"/>
    <w:rsid w:val="00031644"/>
    <w:rsid w:val="00031700"/>
    <w:rsid w:val="00031748"/>
    <w:rsid w:val="0003179D"/>
    <w:rsid w:val="00031934"/>
    <w:rsid w:val="00031A53"/>
    <w:rsid w:val="00031A93"/>
    <w:rsid w:val="00031BA9"/>
    <w:rsid w:val="00031CBE"/>
    <w:rsid w:val="00031DDE"/>
    <w:rsid w:val="00031E97"/>
    <w:rsid w:val="00031EA2"/>
    <w:rsid w:val="00031F3C"/>
    <w:rsid w:val="00031F9E"/>
    <w:rsid w:val="00031FCA"/>
    <w:rsid w:val="0003201C"/>
    <w:rsid w:val="00032062"/>
    <w:rsid w:val="0003211D"/>
    <w:rsid w:val="0003220B"/>
    <w:rsid w:val="00032215"/>
    <w:rsid w:val="000322CA"/>
    <w:rsid w:val="00032398"/>
    <w:rsid w:val="000323EC"/>
    <w:rsid w:val="00032485"/>
    <w:rsid w:val="000324BF"/>
    <w:rsid w:val="0003252D"/>
    <w:rsid w:val="000325DA"/>
    <w:rsid w:val="00032647"/>
    <w:rsid w:val="00032666"/>
    <w:rsid w:val="0003273D"/>
    <w:rsid w:val="00032852"/>
    <w:rsid w:val="00032879"/>
    <w:rsid w:val="000328C7"/>
    <w:rsid w:val="000329D5"/>
    <w:rsid w:val="00032A24"/>
    <w:rsid w:val="00032A74"/>
    <w:rsid w:val="00032CDA"/>
    <w:rsid w:val="00032D03"/>
    <w:rsid w:val="00032DEB"/>
    <w:rsid w:val="00032E3A"/>
    <w:rsid w:val="00032E56"/>
    <w:rsid w:val="00032ED6"/>
    <w:rsid w:val="00032F74"/>
    <w:rsid w:val="00032FEF"/>
    <w:rsid w:val="000330C7"/>
    <w:rsid w:val="00033137"/>
    <w:rsid w:val="0003341A"/>
    <w:rsid w:val="0003349B"/>
    <w:rsid w:val="000334C9"/>
    <w:rsid w:val="000335D9"/>
    <w:rsid w:val="00033691"/>
    <w:rsid w:val="00033757"/>
    <w:rsid w:val="0003378D"/>
    <w:rsid w:val="00033793"/>
    <w:rsid w:val="00033810"/>
    <w:rsid w:val="000339E3"/>
    <w:rsid w:val="00033C86"/>
    <w:rsid w:val="00033D06"/>
    <w:rsid w:val="00033D81"/>
    <w:rsid w:val="00033DC9"/>
    <w:rsid w:val="00033E64"/>
    <w:rsid w:val="00033EAB"/>
    <w:rsid w:val="00034144"/>
    <w:rsid w:val="000341BD"/>
    <w:rsid w:val="0003435D"/>
    <w:rsid w:val="000343DC"/>
    <w:rsid w:val="00034402"/>
    <w:rsid w:val="0003445A"/>
    <w:rsid w:val="0003451D"/>
    <w:rsid w:val="0003460A"/>
    <w:rsid w:val="0003463F"/>
    <w:rsid w:val="00034737"/>
    <w:rsid w:val="00034813"/>
    <w:rsid w:val="0003483D"/>
    <w:rsid w:val="00034845"/>
    <w:rsid w:val="00034A45"/>
    <w:rsid w:val="00034B7C"/>
    <w:rsid w:val="00034BCC"/>
    <w:rsid w:val="00034BEA"/>
    <w:rsid w:val="00034CB0"/>
    <w:rsid w:val="00034F61"/>
    <w:rsid w:val="000350C3"/>
    <w:rsid w:val="000350F5"/>
    <w:rsid w:val="00035365"/>
    <w:rsid w:val="00035492"/>
    <w:rsid w:val="00035576"/>
    <w:rsid w:val="000355F2"/>
    <w:rsid w:val="000355FA"/>
    <w:rsid w:val="000356C6"/>
    <w:rsid w:val="0003570C"/>
    <w:rsid w:val="00035750"/>
    <w:rsid w:val="000357CA"/>
    <w:rsid w:val="000358E6"/>
    <w:rsid w:val="0003596D"/>
    <w:rsid w:val="000359CD"/>
    <w:rsid w:val="00035AA2"/>
    <w:rsid w:val="00035AAA"/>
    <w:rsid w:val="00035B2C"/>
    <w:rsid w:val="00035C4E"/>
    <w:rsid w:val="00035D17"/>
    <w:rsid w:val="00035D6C"/>
    <w:rsid w:val="0003616D"/>
    <w:rsid w:val="00036303"/>
    <w:rsid w:val="0003633E"/>
    <w:rsid w:val="00036393"/>
    <w:rsid w:val="000363B9"/>
    <w:rsid w:val="0003648B"/>
    <w:rsid w:val="0003653B"/>
    <w:rsid w:val="00036704"/>
    <w:rsid w:val="00036879"/>
    <w:rsid w:val="00036B1A"/>
    <w:rsid w:val="00036BCC"/>
    <w:rsid w:val="00036C3B"/>
    <w:rsid w:val="00036D1C"/>
    <w:rsid w:val="00036DE4"/>
    <w:rsid w:val="00036E90"/>
    <w:rsid w:val="00036EE5"/>
    <w:rsid w:val="000370CA"/>
    <w:rsid w:val="00037366"/>
    <w:rsid w:val="00037489"/>
    <w:rsid w:val="000374B5"/>
    <w:rsid w:val="000375C4"/>
    <w:rsid w:val="00037665"/>
    <w:rsid w:val="000378F9"/>
    <w:rsid w:val="00037C37"/>
    <w:rsid w:val="00037D6F"/>
    <w:rsid w:val="00037EFC"/>
    <w:rsid w:val="000401B7"/>
    <w:rsid w:val="000402D7"/>
    <w:rsid w:val="000402FD"/>
    <w:rsid w:val="0004032F"/>
    <w:rsid w:val="000404A2"/>
    <w:rsid w:val="000404BB"/>
    <w:rsid w:val="00040678"/>
    <w:rsid w:val="000406C6"/>
    <w:rsid w:val="00040720"/>
    <w:rsid w:val="000407DA"/>
    <w:rsid w:val="00040A17"/>
    <w:rsid w:val="00040BDD"/>
    <w:rsid w:val="00040C56"/>
    <w:rsid w:val="00040E5D"/>
    <w:rsid w:val="00040ED8"/>
    <w:rsid w:val="00040EFB"/>
    <w:rsid w:val="00040FA3"/>
    <w:rsid w:val="00041081"/>
    <w:rsid w:val="000410C2"/>
    <w:rsid w:val="000410CD"/>
    <w:rsid w:val="0004127F"/>
    <w:rsid w:val="000412B1"/>
    <w:rsid w:val="00041304"/>
    <w:rsid w:val="00041308"/>
    <w:rsid w:val="000418E8"/>
    <w:rsid w:val="00041973"/>
    <w:rsid w:val="00041975"/>
    <w:rsid w:val="00041BA2"/>
    <w:rsid w:val="00041BF0"/>
    <w:rsid w:val="00041C4B"/>
    <w:rsid w:val="00041CB3"/>
    <w:rsid w:val="00041D0D"/>
    <w:rsid w:val="00041D5D"/>
    <w:rsid w:val="00041DCF"/>
    <w:rsid w:val="00041E0D"/>
    <w:rsid w:val="00041EAE"/>
    <w:rsid w:val="00041F9B"/>
    <w:rsid w:val="000420F7"/>
    <w:rsid w:val="0004215E"/>
    <w:rsid w:val="000421A0"/>
    <w:rsid w:val="00042223"/>
    <w:rsid w:val="00042394"/>
    <w:rsid w:val="00042427"/>
    <w:rsid w:val="000424BC"/>
    <w:rsid w:val="000424FB"/>
    <w:rsid w:val="000424FC"/>
    <w:rsid w:val="00042662"/>
    <w:rsid w:val="000427AB"/>
    <w:rsid w:val="000427DA"/>
    <w:rsid w:val="000428B4"/>
    <w:rsid w:val="00042909"/>
    <w:rsid w:val="00042A08"/>
    <w:rsid w:val="00042C8A"/>
    <w:rsid w:val="00042CA3"/>
    <w:rsid w:val="00042CD4"/>
    <w:rsid w:val="00042D72"/>
    <w:rsid w:val="00042DD7"/>
    <w:rsid w:val="00042DE9"/>
    <w:rsid w:val="00042E7E"/>
    <w:rsid w:val="00042E9C"/>
    <w:rsid w:val="00042F83"/>
    <w:rsid w:val="00043167"/>
    <w:rsid w:val="000432C0"/>
    <w:rsid w:val="000432FB"/>
    <w:rsid w:val="00043347"/>
    <w:rsid w:val="0004336B"/>
    <w:rsid w:val="000433D7"/>
    <w:rsid w:val="000433E0"/>
    <w:rsid w:val="00043530"/>
    <w:rsid w:val="000435DD"/>
    <w:rsid w:val="00043624"/>
    <w:rsid w:val="0004375C"/>
    <w:rsid w:val="00043804"/>
    <w:rsid w:val="000438BA"/>
    <w:rsid w:val="0004393B"/>
    <w:rsid w:val="00043951"/>
    <w:rsid w:val="00043B08"/>
    <w:rsid w:val="00043B30"/>
    <w:rsid w:val="00043BEE"/>
    <w:rsid w:val="00043D43"/>
    <w:rsid w:val="00043E6B"/>
    <w:rsid w:val="00043EFD"/>
    <w:rsid w:val="0004406C"/>
    <w:rsid w:val="0004411F"/>
    <w:rsid w:val="0004423A"/>
    <w:rsid w:val="00044264"/>
    <w:rsid w:val="0004429D"/>
    <w:rsid w:val="00044475"/>
    <w:rsid w:val="00044596"/>
    <w:rsid w:val="00044688"/>
    <w:rsid w:val="00044820"/>
    <w:rsid w:val="00044A82"/>
    <w:rsid w:val="00044ABE"/>
    <w:rsid w:val="00044AE7"/>
    <w:rsid w:val="00044E24"/>
    <w:rsid w:val="00044E5B"/>
    <w:rsid w:val="00044E7A"/>
    <w:rsid w:val="00044FD5"/>
    <w:rsid w:val="00045000"/>
    <w:rsid w:val="0004514E"/>
    <w:rsid w:val="00045264"/>
    <w:rsid w:val="0004536B"/>
    <w:rsid w:val="00045554"/>
    <w:rsid w:val="0004578F"/>
    <w:rsid w:val="0004587A"/>
    <w:rsid w:val="000459A6"/>
    <w:rsid w:val="00045B9D"/>
    <w:rsid w:val="00045EBF"/>
    <w:rsid w:val="00045F7D"/>
    <w:rsid w:val="00045FD5"/>
    <w:rsid w:val="00046099"/>
    <w:rsid w:val="00046104"/>
    <w:rsid w:val="0004625F"/>
    <w:rsid w:val="00046279"/>
    <w:rsid w:val="00046302"/>
    <w:rsid w:val="0004644C"/>
    <w:rsid w:val="000464EC"/>
    <w:rsid w:val="000464F4"/>
    <w:rsid w:val="00046557"/>
    <w:rsid w:val="0004661B"/>
    <w:rsid w:val="0004662E"/>
    <w:rsid w:val="0004663F"/>
    <w:rsid w:val="00046673"/>
    <w:rsid w:val="000466E8"/>
    <w:rsid w:val="00046734"/>
    <w:rsid w:val="00046806"/>
    <w:rsid w:val="00046B46"/>
    <w:rsid w:val="00046B68"/>
    <w:rsid w:val="00046BD7"/>
    <w:rsid w:val="00046CF7"/>
    <w:rsid w:val="00046D93"/>
    <w:rsid w:val="00046EC2"/>
    <w:rsid w:val="0004707B"/>
    <w:rsid w:val="00047105"/>
    <w:rsid w:val="00047151"/>
    <w:rsid w:val="0004719B"/>
    <w:rsid w:val="00047297"/>
    <w:rsid w:val="0004732A"/>
    <w:rsid w:val="00047379"/>
    <w:rsid w:val="00047417"/>
    <w:rsid w:val="0004748B"/>
    <w:rsid w:val="0004752B"/>
    <w:rsid w:val="0004758C"/>
    <w:rsid w:val="0004769D"/>
    <w:rsid w:val="0004786F"/>
    <w:rsid w:val="000478D7"/>
    <w:rsid w:val="000479EF"/>
    <w:rsid w:val="00047AC0"/>
    <w:rsid w:val="00047BBD"/>
    <w:rsid w:val="00047BD8"/>
    <w:rsid w:val="00047C68"/>
    <w:rsid w:val="00047C87"/>
    <w:rsid w:val="00047CAE"/>
    <w:rsid w:val="00047D9D"/>
    <w:rsid w:val="00047E2C"/>
    <w:rsid w:val="00047E70"/>
    <w:rsid w:val="00047FE3"/>
    <w:rsid w:val="0005043F"/>
    <w:rsid w:val="0005046C"/>
    <w:rsid w:val="000504EB"/>
    <w:rsid w:val="00050568"/>
    <w:rsid w:val="0005058B"/>
    <w:rsid w:val="000505ED"/>
    <w:rsid w:val="0005097F"/>
    <w:rsid w:val="000509AC"/>
    <w:rsid w:val="000509C5"/>
    <w:rsid w:val="00050B03"/>
    <w:rsid w:val="00050B7A"/>
    <w:rsid w:val="00050B8D"/>
    <w:rsid w:val="00050D1C"/>
    <w:rsid w:val="00050DBD"/>
    <w:rsid w:val="00050DC1"/>
    <w:rsid w:val="00050E06"/>
    <w:rsid w:val="00050E8E"/>
    <w:rsid w:val="00050F22"/>
    <w:rsid w:val="0005104F"/>
    <w:rsid w:val="00051132"/>
    <w:rsid w:val="00051186"/>
    <w:rsid w:val="00051356"/>
    <w:rsid w:val="0005142B"/>
    <w:rsid w:val="00051443"/>
    <w:rsid w:val="0005151A"/>
    <w:rsid w:val="000517B4"/>
    <w:rsid w:val="000518F1"/>
    <w:rsid w:val="00051934"/>
    <w:rsid w:val="000519FE"/>
    <w:rsid w:val="00051A40"/>
    <w:rsid w:val="00051A45"/>
    <w:rsid w:val="00051BF9"/>
    <w:rsid w:val="00051CB7"/>
    <w:rsid w:val="00051DB6"/>
    <w:rsid w:val="00051DEA"/>
    <w:rsid w:val="00051EFD"/>
    <w:rsid w:val="00051FB6"/>
    <w:rsid w:val="00051FDA"/>
    <w:rsid w:val="000520C2"/>
    <w:rsid w:val="000520FC"/>
    <w:rsid w:val="0005231B"/>
    <w:rsid w:val="0005235C"/>
    <w:rsid w:val="00052373"/>
    <w:rsid w:val="00052403"/>
    <w:rsid w:val="0005250D"/>
    <w:rsid w:val="00052668"/>
    <w:rsid w:val="0005267F"/>
    <w:rsid w:val="000527AE"/>
    <w:rsid w:val="000527C3"/>
    <w:rsid w:val="000527DD"/>
    <w:rsid w:val="00052824"/>
    <w:rsid w:val="00052861"/>
    <w:rsid w:val="000529FC"/>
    <w:rsid w:val="00052B4E"/>
    <w:rsid w:val="00052B96"/>
    <w:rsid w:val="00052EDC"/>
    <w:rsid w:val="00052F8F"/>
    <w:rsid w:val="00053091"/>
    <w:rsid w:val="000530BA"/>
    <w:rsid w:val="000530DB"/>
    <w:rsid w:val="000532FA"/>
    <w:rsid w:val="00053396"/>
    <w:rsid w:val="0005351F"/>
    <w:rsid w:val="00053638"/>
    <w:rsid w:val="0005372B"/>
    <w:rsid w:val="00053915"/>
    <w:rsid w:val="00053948"/>
    <w:rsid w:val="000539C8"/>
    <w:rsid w:val="00053A5A"/>
    <w:rsid w:val="00053B3D"/>
    <w:rsid w:val="00053CC0"/>
    <w:rsid w:val="000540CC"/>
    <w:rsid w:val="000544E8"/>
    <w:rsid w:val="00054571"/>
    <w:rsid w:val="000545C2"/>
    <w:rsid w:val="000546C1"/>
    <w:rsid w:val="0005478D"/>
    <w:rsid w:val="000548CF"/>
    <w:rsid w:val="000548F4"/>
    <w:rsid w:val="00054922"/>
    <w:rsid w:val="00054996"/>
    <w:rsid w:val="00054AA2"/>
    <w:rsid w:val="00054C7B"/>
    <w:rsid w:val="00054DA9"/>
    <w:rsid w:val="00054F58"/>
    <w:rsid w:val="00055092"/>
    <w:rsid w:val="0005509B"/>
    <w:rsid w:val="0005513F"/>
    <w:rsid w:val="00055185"/>
    <w:rsid w:val="000551AE"/>
    <w:rsid w:val="00055332"/>
    <w:rsid w:val="00055337"/>
    <w:rsid w:val="00055431"/>
    <w:rsid w:val="00055538"/>
    <w:rsid w:val="00055790"/>
    <w:rsid w:val="00055811"/>
    <w:rsid w:val="000558B0"/>
    <w:rsid w:val="000558E2"/>
    <w:rsid w:val="0005596E"/>
    <w:rsid w:val="0005597D"/>
    <w:rsid w:val="000559C3"/>
    <w:rsid w:val="00055A16"/>
    <w:rsid w:val="00055ABB"/>
    <w:rsid w:val="00055AE8"/>
    <w:rsid w:val="00055B09"/>
    <w:rsid w:val="00055C64"/>
    <w:rsid w:val="00055D07"/>
    <w:rsid w:val="00055D35"/>
    <w:rsid w:val="00055EBA"/>
    <w:rsid w:val="00055F02"/>
    <w:rsid w:val="00055F3A"/>
    <w:rsid w:val="000560C7"/>
    <w:rsid w:val="00056189"/>
    <w:rsid w:val="00056190"/>
    <w:rsid w:val="000564D3"/>
    <w:rsid w:val="00056525"/>
    <w:rsid w:val="00056579"/>
    <w:rsid w:val="00056655"/>
    <w:rsid w:val="000566CA"/>
    <w:rsid w:val="0005670B"/>
    <w:rsid w:val="000567D6"/>
    <w:rsid w:val="00056813"/>
    <w:rsid w:val="0005699E"/>
    <w:rsid w:val="000569BB"/>
    <w:rsid w:val="00056AC4"/>
    <w:rsid w:val="00056C46"/>
    <w:rsid w:val="00056EC4"/>
    <w:rsid w:val="00056ED3"/>
    <w:rsid w:val="00056EF6"/>
    <w:rsid w:val="00056F56"/>
    <w:rsid w:val="0005700E"/>
    <w:rsid w:val="000574C9"/>
    <w:rsid w:val="0005756E"/>
    <w:rsid w:val="000575DD"/>
    <w:rsid w:val="00057755"/>
    <w:rsid w:val="00057808"/>
    <w:rsid w:val="000578B2"/>
    <w:rsid w:val="0005791D"/>
    <w:rsid w:val="00057BA9"/>
    <w:rsid w:val="00057CCA"/>
    <w:rsid w:val="00057D9A"/>
    <w:rsid w:val="00057DCD"/>
    <w:rsid w:val="00057E56"/>
    <w:rsid w:val="00057F9B"/>
    <w:rsid w:val="000600E9"/>
    <w:rsid w:val="0006017F"/>
    <w:rsid w:val="00060207"/>
    <w:rsid w:val="0006031A"/>
    <w:rsid w:val="00060372"/>
    <w:rsid w:val="000603DC"/>
    <w:rsid w:val="000603E3"/>
    <w:rsid w:val="00060402"/>
    <w:rsid w:val="00060430"/>
    <w:rsid w:val="0006054B"/>
    <w:rsid w:val="00060678"/>
    <w:rsid w:val="000606AF"/>
    <w:rsid w:val="000606FF"/>
    <w:rsid w:val="000607BB"/>
    <w:rsid w:val="000607DB"/>
    <w:rsid w:val="00060880"/>
    <w:rsid w:val="000608B6"/>
    <w:rsid w:val="0006091B"/>
    <w:rsid w:val="00060959"/>
    <w:rsid w:val="000609FE"/>
    <w:rsid w:val="00060A5A"/>
    <w:rsid w:val="00060A70"/>
    <w:rsid w:val="00060B4D"/>
    <w:rsid w:val="00060BCA"/>
    <w:rsid w:val="00060C28"/>
    <w:rsid w:val="00060C36"/>
    <w:rsid w:val="00060C8F"/>
    <w:rsid w:val="00060CB1"/>
    <w:rsid w:val="00060CF9"/>
    <w:rsid w:val="00060D48"/>
    <w:rsid w:val="00060E13"/>
    <w:rsid w:val="00060E1C"/>
    <w:rsid w:val="00060E65"/>
    <w:rsid w:val="00060E6E"/>
    <w:rsid w:val="00060FED"/>
    <w:rsid w:val="0006127F"/>
    <w:rsid w:val="0006132C"/>
    <w:rsid w:val="0006138E"/>
    <w:rsid w:val="0006147C"/>
    <w:rsid w:val="000614D5"/>
    <w:rsid w:val="0006154A"/>
    <w:rsid w:val="000617F2"/>
    <w:rsid w:val="00061811"/>
    <w:rsid w:val="00061929"/>
    <w:rsid w:val="00061944"/>
    <w:rsid w:val="00061967"/>
    <w:rsid w:val="00061A67"/>
    <w:rsid w:val="00061CD3"/>
    <w:rsid w:val="00061DA5"/>
    <w:rsid w:val="0006209F"/>
    <w:rsid w:val="000620AA"/>
    <w:rsid w:val="000620DE"/>
    <w:rsid w:val="000624C3"/>
    <w:rsid w:val="0006260A"/>
    <w:rsid w:val="00062635"/>
    <w:rsid w:val="000627C0"/>
    <w:rsid w:val="000628BD"/>
    <w:rsid w:val="000628CA"/>
    <w:rsid w:val="00062957"/>
    <w:rsid w:val="0006298A"/>
    <w:rsid w:val="00062A18"/>
    <w:rsid w:val="00062A2C"/>
    <w:rsid w:val="00062AE0"/>
    <w:rsid w:val="00062B57"/>
    <w:rsid w:val="00062BE9"/>
    <w:rsid w:val="00062C2F"/>
    <w:rsid w:val="00062C74"/>
    <w:rsid w:val="00062D07"/>
    <w:rsid w:val="00062D93"/>
    <w:rsid w:val="00062DC1"/>
    <w:rsid w:val="00062ED3"/>
    <w:rsid w:val="00062FB3"/>
    <w:rsid w:val="000630DB"/>
    <w:rsid w:val="000630E2"/>
    <w:rsid w:val="0006312B"/>
    <w:rsid w:val="00063255"/>
    <w:rsid w:val="000632FB"/>
    <w:rsid w:val="0006337F"/>
    <w:rsid w:val="000633B0"/>
    <w:rsid w:val="000633BD"/>
    <w:rsid w:val="00063476"/>
    <w:rsid w:val="00063523"/>
    <w:rsid w:val="00063620"/>
    <w:rsid w:val="00063737"/>
    <w:rsid w:val="00063778"/>
    <w:rsid w:val="00063822"/>
    <w:rsid w:val="000638AC"/>
    <w:rsid w:val="00063923"/>
    <w:rsid w:val="000639F4"/>
    <w:rsid w:val="00063A46"/>
    <w:rsid w:val="00063A4B"/>
    <w:rsid w:val="00063AA0"/>
    <w:rsid w:val="00063B29"/>
    <w:rsid w:val="00063BC7"/>
    <w:rsid w:val="00063C1E"/>
    <w:rsid w:val="00063C1F"/>
    <w:rsid w:val="00063C97"/>
    <w:rsid w:val="00063DD0"/>
    <w:rsid w:val="00063DD4"/>
    <w:rsid w:val="00063E74"/>
    <w:rsid w:val="00063E85"/>
    <w:rsid w:val="00063EBA"/>
    <w:rsid w:val="00063F36"/>
    <w:rsid w:val="0006420C"/>
    <w:rsid w:val="0006423E"/>
    <w:rsid w:val="00064257"/>
    <w:rsid w:val="0006449E"/>
    <w:rsid w:val="0006475C"/>
    <w:rsid w:val="0006479E"/>
    <w:rsid w:val="00064861"/>
    <w:rsid w:val="00064971"/>
    <w:rsid w:val="00064A22"/>
    <w:rsid w:val="00064A63"/>
    <w:rsid w:val="00064B1F"/>
    <w:rsid w:val="00064D11"/>
    <w:rsid w:val="00064D29"/>
    <w:rsid w:val="00064D45"/>
    <w:rsid w:val="00064DDB"/>
    <w:rsid w:val="00064E10"/>
    <w:rsid w:val="00064EC6"/>
    <w:rsid w:val="00064F1E"/>
    <w:rsid w:val="00064F6B"/>
    <w:rsid w:val="0006500A"/>
    <w:rsid w:val="000651E1"/>
    <w:rsid w:val="000652B0"/>
    <w:rsid w:val="000652B2"/>
    <w:rsid w:val="000652D8"/>
    <w:rsid w:val="000654DD"/>
    <w:rsid w:val="00065517"/>
    <w:rsid w:val="0006556C"/>
    <w:rsid w:val="00065712"/>
    <w:rsid w:val="00065780"/>
    <w:rsid w:val="0006586C"/>
    <w:rsid w:val="00065AC1"/>
    <w:rsid w:val="00065D66"/>
    <w:rsid w:val="00065EF9"/>
    <w:rsid w:val="00065F7A"/>
    <w:rsid w:val="00065FC6"/>
    <w:rsid w:val="00065FEE"/>
    <w:rsid w:val="00065FF4"/>
    <w:rsid w:val="0006605B"/>
    <w:rsid w:val="0006619F"/>
    <w:rsid w:val="0006636E"/>
    <w:rsid w:val="00066391"/>
    <w:rsid w:val="00066397"/>
    <w:rsid w:val="000663C0"/>
    <w:rsid w:val="000663CD"/>
    <w:rsid w:val="0006642A"/>
    <w:rsid w:val="000664F3"/>
    <w:rsid w:val="000667E8"/>
    <w:rsid w:val="00066893"/>
    <w:rsid w:val="000668BC"/>
    <w:rsid w:val="0006694A"/>
    <w:rsid w:val="00066995"/>
    <w:rsid w:val="00066F04"/>
    <w:rsid w:val="00066F0B"/>
    <w:rsid w:val="00066F6B"/>
    <w:rsid w:val="00066FD5"/>
    <w:rsid w:val="000670A4"/>
    <w:rsid w:val="00067772"/>
    <w:rsid w:val="000677A6"/>
    <w:rsid w:val="00067845"/>
    <w:rsid w:val="00067900"/>
    <w:rsid w:val="00067918"/>
    <w:rsid w:val="00067B1F"/>
    <w:rsid w:val="00067CE4"/>
    <w:rsid w:val="00070086"/>
    <w:rsid w:val="0007031C"/>
    <w:rsid w:val="000703E9"/>
    <w:rsid w:val="000705A4"/>
    <w:rsid w:val="00070621"/>
    <w:rsid w:val="0007070B"/>
    <w:rsid w:val="0007082E"/>
    <w:rsid w:val="000708AD"/>
    <w:rsid w:val="000708CD"/>
    <w:rsid w:val="000708D9"/>
    <w:rsid w:val="00070929"/>
    <w:rsid w:val="000709A5"/>
    <w:rsid w:val="00070A47"/>
    <w:rsid w:val="00070A50"/>
    <w:rsid w:val="00070C00"/>
    <w:rsid w:val="00070C47"/>
    <w:rsid w:val="00070DFC"/>
    <w:rsid w:val="00070EE5"/>
    <w:rsid w:val="0007116C"/>
    <w:rsid w:val="000711E5"/>
    <w:rsid w:val="00071389"/>
    <w:rsid w:val="00071503"/>
    <w:rsid w:val="00071553"/>
    <w:rsid w:val="00071C87"/>
    <w:rsid w:val="00071D95"/>
    <w:rsid w:val="00071E72"/>
    <w:rsid w:val="00071EDB"/>
    <w:rsid w:val="00071F58"/>
    <w:rsid w:val="00071F74"/>
    <w:rsid w:val="0007200E"/>
    <w:rsid w:val="0007207E"/>
    <w:rsid w:val="000721D9"/>
    <w:rsid w:val="000721FB"/>
    <w:rsid w:val="0007231F"/>
    <w:rsid w:val="000723B8"/>
    <w:rsid w:val="0007244C"/>
    <w:rsid w:val="0007245E"/>
    <w:rsid w:val="000726D7"/>
    <w:rsid w:val="000726F3"/>
    <w:rsid w:val="00072907"/>
    <w:rsid w:val="00072A4D"/>
    <w:rsid w:val="00072A56"/>
    <w:rsid w:val="00072E8C"/>
    <w:rsid w:val="00072EA0"/>
    <w:rsid w:val="00072F65"/>
    <w:rsid w:val="00073064"/>
    <w:rsid w:val="00073091"/>
    <w:rsid w:val="00073113"/>
    <w:rsid w:val="000731EA"/>
    <w:rsid w:val="00073270"/>
    <w:rsid w:val="000732DA"/>
    <w:rsid w:val="000733FE"/>
    <w:rsid w:val="00073415"/>
    <w:rsid w:val="00073434"/>
    <w:rsid w:val="0007343A"/>
    <w:rsid w:val="000734FF"/>
    <w:rsid w:val="0007367E"/>
    <w:rsid w:val="00073682"/>
    <w:rsid w:val="00073694"/>
    <w:rsid w:val="000736F4"/>
    <w:rsid w:val="0007372E"/>
    <w:rsid w:val="00073B0B"/>
    <w:rsid w:val="00073BDB"/>
    <w:rsid w:val="00073DD3"/>
    <w:rsid w:val="00073E06"/>
    <w:rsid w:val="00073EA4"/>
    <w:rsid w:val="00073F0F"/>
    <w:rsid w:val="00073FD4"/>
    <w:rsid w:val="000741ED"/>
    <w:rsid w:val="00074219"/>
    <w:rsid w:val="000743C3"/>
    <w:rsid w:val="00074554"/>
    <w:rsid w:val="00074607"/>
    <w:rsid w:val="00074631"/>
    <w:rsid w:val="00074739"/>
    <w:rsid w:val="0007473C"/>
    <w:rsid w:val="0007482B"/>
    <w:rsid w:val="000748A0"/>
    <w:rsid w:val="000748FE"/>
    <w:rsid w:val="00074955"/>
    <w:rsid w:val="00074CA2"/>
    <w:rsid w:val="00074D68"/>
    <w:rsid w:val="00074E8A"/>
    <w:rsid w:val="00074ECC"/>
    <w:rsid w:val="00074ED5"/>
    <w:rsid w:val="00075095"/>
    <w:rsid w:val="000752A3"/>
    <w:rsid w:val="00075382"/>
    <w:rsid w:val="000753BA"/>
    <w:rsid w:val="0007564B"/>
    <w:rsid w:val="000756EF"/>
    <w:rsid w:val="000756FE"/>
    <w:rsid w:val="00075740"/>
    <w:rsid w:val="00075917"/>
    <w:rsid w:val="00075983"/>
    <w:rsid w:val="00075B04"/>
    <w:rsid w:val="00075B73"/>
    <w:rsid w:val="00075C1B"/>
    <w:rsid w:val="00075EE5"/>
    <w:rsid w:val="00075F96"/>
    <w:rsid w:val="00076155"/>
    <w:rsid w:val="00076220"/>
    <w:rsid w:val="000765B5"/>
    <w:rsid w:val="0007662C"/>
    <w:rsid w:val="00076921"/>
    <w:rsid w:val="0007697E"/>
    <w:rsid w:val="000769F9"/>
    <w:rsid w:val="00076C28"/>
    <w:rsid w:val="00076D2F"/>
    <w:rsid w:val="00076DF1"/>
    <w:rsid w:val="00076EBE"/>
    <w:rsid w:val="00076FDF"/>
    <w:rsid w:val="0007724B"/>
    <w:rsid w:val="000772AA"/>
    <w:rsid w:val="0007733A"/>
    <w:rsid w:val="000774FF"/>
    <w:rsid w:val="00077501"/>
    <w:rsid w:val="0007755F"/>
    <w:rsid w:val="0007766D"/>
    <w:rsid w:val="000776AC"/>
    <w:rsid w:val="0007776E"/>
    <w:rsid w:val="000778C1"/>
    <w:rsid w:val="00077907"/>
    <w:rsid w:val="0007796A"/>
    <w:rsid w:val="000779E3"/>
    <w:rsid w:val="00077A52"/>
    <w:rsid w:val="00077A83"/>
    <w:rsid w:val="00077D9C"/>
    <w:rsid w:val="00077F40"/>
    <w:rsid w:val="00080275"/>
    <w:rsid w:val="000802C3"/>
    <w:rsid w:val="000802F6"/>
    <w:rsid w:val="00080630"/>
    <w:rsid w:val="000806DF"/>
    <w:rsid w:val="00080755"/>
    <w:rsid w:val="000807F8"/>
    <w:rsid w:val="000808E1"/>
    <w:rsid w:val="00080A75"/>
    <w:rsid w:val="00080C8A"/>
    <w:rsid w:val="00080D48"/>
    <w:rsid w:val="00080D92"/>
    <w:rsid w:val="00080ED9"/>
    <w:rsid w:val="0008109D"/>
    <w:rsid w:val="0008115A"/>
    <w:rsid w:val="00081204"/>
    <w:rsid w:val="00081303"/>
    <w:rsid w:val="0008145D"/>
    <w:rsid w:val="000818BC"/>
    <w:rsid w:val="00081930"/>
    <w:rsid w:val="000819CC"/>
    <w:rsid w:val="00081A31"/>
    <w:rsid w:val="00081BD6"/>
    <w:rsid w:val="00081D41"/>
    <w:rsid w:val="00081D92"/>
    <w:rsid w:val="00081ED4"/>
    <w:rsid w:val="00081F3B"/>
    <w:rsid w:val="00081F74"/>
    <w:rsid w:val="00081FD5"/>
    <w:rsid w:val="0008204A"/>
    <w:rsid w:val="0008204D"/>
    <w:rsid w:val="000820A8"/>
    <w:rsid w:val="0008225E"/>
    <w:rsid w:val="00082375"/>
    <w:rsid w:val="0008240F"/>
    <w:rsid w:val="000824D7"/>
    <w:rsid w:val="000825CE"/>
    <w:rsid w:val="00082854"/>
    <w:rsid w:val="00082A20"/>
    <w:rsid w:val="00082BAA"/>
    <w:rsid w:val="00082C75"/>
    <w:rsid w:val="00082E5C"/>
    <w:rsid w:val="00082E95"/>
    <w:rsid w:val="00082EF9"/>
    <w:rsid w:val="00082F3A"/>
    <w:rsid w:val="00082F91"/>
    <w:rsid w:val="000832D0"/>
    <w:rsid w:val="000832F3"/>
    <w:rsid w:val="0008332F"/>
    <w:rsid w:val="000834C9"/>
    <w:rsid w:val="000834E1"/>
    <w:rsid w:val="000836E2"/>
    <w:rsid w:val="00083773"/>
    <w:rsid w:val="0008379B"/>
    <w:rsid w:val="000837B7"/>
    <w:rsid w:val="00083891"/>
    <w:rsid w:val="000839B1"/>
    <w:rsid w:val="000839D1"/>
    <w:rsid w:val="00083BC0"/>
    <w:rsid w:val="00083BD0"/>
    <w:rsid w:val="00083CB8"/>
    <w:rsid w:val="00083E82"/>
    <w:rsid w:val="00083FB6"/>
    <w:rsid w:val="00084033"/>
    <w:rsid w:val="0008410E"/>
    <w:rsid w:val="00084412"/>
    <w:rsid w:val="00084593"/>
    <w:rsid w:val="000845E5"/>
    <w:rsid w:val="0008460A"/>
    <w:rsid w:val="0008461A"/>
    <w:rsid w:val="00084633"/>
    <w:rsid w:val="00084655"/>
    <w:rsid w:val="0008468B"/>
    <w:rsid w:val="000846C5"/>
    <w:rsid w:val="0008471D"/>
    <w:rsid w:val="000848F7"/>
    <w:rsid w:val="000849B5"/>
    <w:rsid w:val="00084A44"/>
    <w:rsid w:val="00084BA1"/>
    <w:rsid w:val="00084BB6"/>
    <w:rsid w:val="00084BE7"/>
    <w:rsid w:val="00084C51"/>
    <w:rsid w:val="00084CDC"/>
    <w:rsid w:val="00084D1F"/>
    <w:rsid w:val="00084DB6"/>
    <w:rsid w:val="00084F42"/>
    <w:rsid w:val="00084F88"/>
    <w:rsid w:val="00085041"/>
    <w:rsid w:val="0008508E"/>
    <w:rsid w:val="00085130"/>
    <w:rsid w:val="000851A2"/>
    <w:rsid w:val="000851E0"/>
    <w:rsid w:val="0008520A"/>
    <w:rsid w:val="000852E3"/>
    <w:rsid w:val="00085318"/>
    <w:rsid w:val="00085494"/>
    <w:rsid w:val="000854E7"/>
    <w:rsid w:val="00085592"/>
    <w:rsid w:val="0008559F"/>
    <w:rsid w:val="000855C2"/>
    <w:rsid w:val="00085699"/>
    <w:rsid w:val="000856BA"/>
    <w:rsid w:val="000857BF"/>
    <w:rsid w:val="0008591C"/>
    <w:rsid w:val="000859C8"/>
    <w:rsid w:val="00085A0E"/>
    <w:rsid w:val="00085B7C"/>
    <w:rsid w:val="00085B92"/>
    <w:rsid w:val="00085FDD"/>
    <w:rsid w:val="00086124"/>
    <w:rsid w:val="000861EB"/>
    <w:rsid w:val="00086272"/>
    <w:rsid w:val="00086366"/>
    <w:rsid w:val="0008637F"/>
    <w:rsid w:val="000864CC"/>
    <w:rsid w:val="000865CB"/>
    <w:rsid w:val="000865F1"/>
    <w:rsid w:val="0008690E"/>
    <w:rsid w:val="000869C5"/>
    <w:rsid w:val="00086B98"/>
    <w:rsid w:val="00086B9E"/>
    <w:rsid w:val="00086BCD"/>
    <w:rsid w:val="00086C5E"/>
    <w:rsid w:val="00086C8B"/>
    <w:rsid w:val="00086D10"/>
    <w:rsid w:val="00086F3C"/>
    <w:rsid w:val="00086FA7"/>
    <w:rsid w:val="00087192"/>
    <w:rsid w:val="0008719D"/>
    <w:rsid w:val="000871BC"/>
    <w:rsid w:val="000871BF"/>
    <w:rsid w:val="000871C5"/>
    <w:rsid w:val="000871F1"/>
    <w:rsid w:val="000873EC"/>
    <w:rsid w:val="00087746"/>
    <w:rsid w:val="000877B4"/>
    <w:rsid w:val="00087951"/>
    <w:rsid w:val="00087A39"/>
    <w:rsid w:val="00087AAD"/>
    <w:rsid w:val="00087AEF"/>
    <w:rsid w:val="00087B02"/>
    <w:rsid w:val="00087B11"/>
    <w:rsid w:val="00087B23"/>
    <w:rsid w:val="00087BB9"/>
    <w:rsid w:val="00087BF1"/>
    <w:rsid w:val="00087BFB"/>
    <w:rsid w:val="00087C8E"/>
    <w:rsid w:val="00087DEA"/>
    <w:rsid w:val="00087E9B"/>
    <w:rsid w:val="00087F44"/>
    <w:rsid w:val="00087FBA"/>
    <w:rsid w:val="00087FCB"/>
    <w:rsid w:val="000901C4"/>
    <w:rsid w:val="00090448"/>
    <w:rsid w:val="00090565"/>
    <w:rsid w:val="00090581"/>
    <w:rsid w:val="00090592"/>
    <w:rsid w:val="000905A9"/>
    <w:rsid w:val="00090644"/>
    <w:rsid w:val="00090A16"/>
    <w:rsid w:val="00090AA5"/>
    <w:rsid w:val="00090B20"/>
    <w:rsid w:val="00090C7F"/>
    <w:rsid w:val="00090D70"/>
    <w:rsid w:val="00090F55"/>
    <w:rsid w:val="00090FC4"/>
    <w:rsid w:val="0009113B"/>
    <w:rsid w:val="000912F5"/>
    <w:rsid w:val="0009155E"/>
    <w:rsid w:val="00091588"/>
    <w:rsid w:val="0009166D"/>
    <w:rsid w:val="00091676"/>
    <w:rsid w:val="00091780"/>
    <w:rsid w:val="000917A8"/>
    <w:rsid w:val="00091A33"/>
    <w:rsid w:val="00091AD7"/>
    <w:rsid w:val="00091B8C"/>
    <w:rsid w:val="00091C61"/>
    <w:rsid w:val="00091E3D"/>
    <w:rsid w:val="00091F53"/>
    <w:rsid w:val="00091FAF"/>
    <w:rsid w:val="00091FEA"/>
    <w:rsid w:val="00092041"/>
    <w:rsid w:val="000920EE"/>
    <w:rsid w:val="000920FC"/>
    <w:rsid w:val="000924EB"/>
    <w:rsid w:val="0009250E"/>
    <w:rsid w:val="00092530"/>
    <w:rsid w:val="00092537"/>
    <w:rsid w:val="00092559"/>
    <w:rsid w:val="0009257B"/>
    <w:rsid w:val="0009258A"/>
    <w:rsid w:val="000926F5"/>
    <w:rsid w:val="00092841"/>
    <w:rsid w:val="00092B96"/>
    <w:rsid w:val="00092C2D"/>
    <w:rsid w:val="00092C8D"/>
    <w:rsid w:val="00092CB0"/>
    <w:rsid w:val="00092D12"/>
    <w:rsid w:val="00092D3A"/>
    <w:rsid w:val="00092EE3"/>
    <w:rsid w:val="000930CA"/>
    <w:rsid w:val="0009313F"/>
    <w:rsid w:val="000931EE"/>
    <w:rsid w:val="00093257"/>
    <w:rsid w:val="0009333F"/>
    <w:rsid w:val="000933DD"/>
    <w:rsid w:val="00093402"/>
    <w:rsid w:val="00093474"/>
    <w:rsid w:val="0009347E"/>
    <w:rsid w:val="00093710"/>
    <w:rsid w:val="0009376A"/>
    <w:rsid w:val="0009398B"/>
    <w:rsid w:val="00093DAC"/>
    <w:rsid w:val="00093FF1"/>
    <w:rsid w:val="000941B3"/>
    <w:rsid w:val="00094294"/>
    <w:rsid w:val="000942F5"/>
    <w:rsid w:val="000943A9"/>
    <w:rsid w:val="0009458E"/>
    <w:rsid w:val="000945E4"/>
    <w:rsid w:val="000945FF"/>
    <w:rsid w:val="00094640"/>
    <w:rsid w:val="00094966"/>
    <w:rsid w:val="000949AA"/>
    <w:rsid w:val="00094A1B"/>
    <w:rsid w:val="00094A4B"/>
    <w:rsid w:val="00094B9B"/>
    <w:rsid w:val="00094BD6"/>
    <w:rsid w:val="00094C51"/>
    <w:rsid w:val="00094D32"/>
    <w:rsid w:val="00094D37"/>
    <w:rsid w:val="00094D57"/>
    <w:rsid w:val="00094DA3"/>
    <w:rsid w:val="00094F33"/>
    <w:rsid w:val="00094F38"/>
    <w:rsid w:val="00094F3F"/>
    <w:rsid w:val="00095090"/>
    <w:rsid w:val="000951B8"/>
    <w:rsid w:val="00095322"/>
    <w:rsid w:val="0009550A"/>
    <w:rsid w:val="0009563E"/>
    <w:rsid w:val="000956DD"/>
    <w:rsid w:val="0009573B"/>
    <w:rsid w:val="000957D0"/>
    <w:rsid w:val="00095872"/>
    <w:rsid w:val="00095877"/>
    <w:rsid w:val="00095955"/>
    <w:rsid w:val="000959F7"/>
    <w:rsid w:val="00095A00"/>
    <w:rsid w:val="00095A1D"/>
    <w:rsid w:val="00095B31"/>
    <w:rsid w:val="00095B47"/>
    <w:rsid w:val="00095B74"/>
    <w:rsid w:val="00095C78"/>
    <w:rsid w:val="00095CA7"/>
    <w:rsid w:val="00095D9D"/>
    <w:rsid w:val="00095E5B"/>
    <w:rsid w:val="00095F90"/>
    <w:rsid w:val="00095FB0"/>
    <w:rsid w:val="00095FC8"/>
    <w:rsid w:val="0009600C"/>
    <w:rsid w:val="0009602F"/>
    <w:rsid w:val="00096088"/>
    <w:rsid w:val="000960E8"/>
    <w:rsid w:val="0009624E"/>
    <w:rsid w:val="000964F8"/>
    <w:rsid w:val="0009656E"/>
    <w:rsid w:val="0009667E"/>
    <w:rsid w:val="00096707"/>
    <w:rsid w:val="000967BB"/>
    <w:rsid w:val="000967FB"/>
    <w:rsid w:val="0009691C"/>
    <w:rsid w:val="00096A67"/>
    <w:rsid w:val="00096BC1"/>
    <w:rsid w:val="00096BF9"/>
    <w:rsid w:val="00096C02"/>
    <w:rsid w:val="00096CD1"/>
    <w:rsid w:val="00096E63"/>
    <w:rsid w:val="00096F31"/>
    <w:rsid w:val="0009709B"/>
    <w:rsid w:val="0009716A"/>
    <w:rsid w:val="000971BF"/>
    <w:rsid w:val="000971F5"/>
    <w:rsid w:val="00097281"/>
    <w:rsid w:val="0009728B"/>
    <w:rsid w:val="00097413"/>
    <w:rsid w:val="000974AE"/>
    <w:rsid w:val="000974DF"/>
    <w:rsid w:val="00097650"/>
    <w:rsid w:val="00097661"/>
    <w:rsid w:val="00097689"/>
    <w:rsid w:val="00097753"/>
    <w:rsid w:val="000977E8"/>
    <w:rsid w:val="00097823"/>
    <w:rsid w:val="000978D0"/>
    <w:rsid w:val="000979E3"/>
    <w:rsid w:val="00097B3B"/>
    <w:rsid w:val="00097B73"/>
    <w:rsid w:val="00097C5A"/>
    <w:rsid w:val="00097C69"/>
    <w:rsid w:val="00097C87"/>
    <w:rsid w:val="00097D65"/>
    <w:rsid w:val="00097D93"/>
    <w:rsid w:val="00097DF9"/>
    <w:rsid w:val="00097F28"/>
    <w:rsid w:val="00097FFB"/>
    <w:rsid w:val="000A011F"/>
    <w:rsid w:val="000A012C"/>
    <w:rsid w:val="000A01EA"/>
    <w:rsid w:val="000A0352"/>
    <w:rsid w:val="000A069B"/>
    <w:rsid w:val="000A06F0"/>
    <w:rsid w:val="000A0709"/>
    <w:rsid w:val="000A0916"/>
    <w:rsid w:val="000A0939"/>
    <w:rsid w:val="000A094A"/>
    <w:rsid w:val="000A0AF2"/>
    <w:rsid w:val="000A0B24"/>
    <w:rsid w:val="000A0D71"/>
    <w:rsid w:val="000A0E63"/>
    <w:rsid w:val="000A0EB9"/>
    <w:rsid w:val="000A0F3F"/>
    <w:rsid w:val="000A10FA"/>
    <w:rsid w:val="000A1173"/>
    <w:rsid w:val="000A1243"/>
    <w:rsid w:val="000A125B"/>
    <w:rsid w:val="000A1346"/>
    <w:rsid w:val="000A13C5"/>
    <w:rsid w:val="000A1522"/>
    <w:rsid w:val="000A1569"/>
    <w:rsid w:val="000A15B9"/>
    <w:rsid w:val="000A164B"/>
    <w:rsid w:val="000A1765"/>
    <w:rsid w:val="000A186C"/>
    <w:rsid w:val="000A18AA"/>
    <w:rsid w:val="000A1987"/>
    <w:rsid w:val="000A1A7E"/>
    <w:rsid w:val="000A1A9B"/>
    <w:rsid w:val="000A1ACE"/>
    <w:rsid w:val="000A1B66"/>
    <w:rsid w:val="000A1DAB"/>
    <w:rsid w:val="000A1DE9"/>
    <w:rsid w:val="000A1EA4"/>
    <w:rsid w:val="000A1F37"/>
    <w:rsid w:val="000A1FEF"/>
    <w:rsid w:val="000A203A"/>
    <w:rsid w:val="000A210E"/>
    <w:rsid w:val="000A2159"/>
    <w:rsid w:val="000A22A9"/>
    <w:rsid w:val="000A22CC"/>
    <w:rsid w:val="000A2347"/>
    <w:rsid w:val="000A2476"/>
    <w:rsid w:val="000A2497"/>
    <w:rsid w:val="000A24B8"/>
    <w:rsid w:val="000A255A"/>
    <w:rsid w:val="000A25A6"/>
    <w:rsid w:val="000A2614"/>
    <w:rsid w:val="000A2666"/>
    <w:rsid w:val="000A2681"/>
    <w:rsid w:val="000A2961"/>
    <w:rsid w:val="000A2970"/>
    <w:rsid w:val="000A2BFF"/>
    <w:rsid w:val="000A2C2E"/>
    <w:rsid w:val="000A2CA4"/>
    <w:rsid w:val="000A2D53"/>
    <w:rsid w:val="000A2D81"/>
    <w:rsid w:val="000A2E51"/>
    <w:rsid w:val="000A30D3"/>
    <w:rsid w:val="000A30FD"/>
    <w:rsid w:val="000A31DF"/>
    <w:rsid w:val="000A31F2"/>
    <w:rsid w:val="000A3205"/>
    <w:rsid w:val="000A321A"/>
    <w:rsid w:val="000A32E4"/>
    <w:rsid w:val="000A33B7"/>
    <w:rsid w:val="000A3535"/>
    <w:rsid w:val="000A3696"/>
    <w:rsid w:val="000A3957"/>
    <w:rsid w:val="000A3A21"/>
    <w:rsid w:val="000A3B0A"/>
    <w:rsid w:val="000A3E56"/>
    <w:rsid w:val="000A402E"/>
    <w:rsid w:val="000A4134"/>
    <w:rsid w:val="000A413E"/>
    <w:rsid w:val="000A415E"/>
    <w:rsid w:val="000A41E4"/>
    <w:rsid w:val="000A420B"/>
    <w:rsid w:val="000A42B9"/>
    <w:rsid w:val="000A456E"/>
    <w:rsid w:val="000A4678"/>
    <w:rsid w:val="000A46FA"/>
    <w:rsid w:val="000A4800"/>
    <w:rsid w:val="000A48AE"/>
    <w:rsid w:val="000A4916"/>
    <w:rsid w:val="000A4AA5"/>
    <w:rsid w:val="000A4B31"/>
    <w:rsid w:val="000A4C88"/>
    <w:rsid w:val="000A4C96"/>
    <w:rsid w:val="000A4E7A"/>
    <w:rsid w:val="000A4F0F"/>
    <w:rsid w:val="000A4FD4"/>
    <w:rsid w:val="000A50BD"/>
    <w:rsid w:val="000A5110"/>
    <w:rsid w:val="000A514F"/>
    <w:rsid w:val="000A5286"/>
    <w:rsid w:val="000A5428"/>
    <w:rsid w:val="000A553E"/>
    <w:rsid w:val="000A56A9"/>
    <w:rsid w:val="000A5968"/>
    <w:rsid w:val="000A5A3D"/>
    <w:rsid w:val="000A5A81"/>
    <w:rsid w:val="000A5B31"/>
    <w:rsid w:val="000A5C2B"/>
    <w:rsid w:val="000A5C86"/>
    <w:rsid w:val="000A5D83"/>
    <w:rsid w:val="000A5E18"/>
    <w:rsid w:val="000A5E95"/>
    <w:rsid w:val="000A5F7F"/>
    <w:rsid w:val="000A60ED"/>
    <w:rsid w:val="000A61C0"/>
    <w:rsid w:val="000A63DC"/>
    <w:rsid w:val="000A6413"/>
    <w:rsid w:val="000A641A"/>
    <w:rsid w:val="000A6427"/>
    <w:rsid w:val="000A64CE"/>
    <w:rsid w:val="000A6576"/>
    <w:rsid w:val="000A67C1"/>
    <w:rsid w:val="000A681E"/>
    <w:rsid w:val="000A692E"/>
    <w:rsid w:val="000A69CC"/>
    <w:rsid w:val="000A69DB"/>
    <w:rsid w:val="000A6A1E"/>
    <w:rsid w:val="000A6C18"/>
    <w:rsid w:val="000A6C4E"/>
    <w:rsid w:val="000A6C9C"/>
    <w:rsid w:val="000A6CAA"/>
    <w:rsid w:val="000A6D04"/>
    <w:rsid w:val="000A6D52"/>
    <w:rsid w:val="000A6DBB"/>
    <w:rsid w:val="000A6E21"/>
    <w:rsid w:val="000A6E5E"/>
    <w:rsid w:val="000A6E6F"/>
    <w:rsid w:val="000A6E85"/>
    <w:rsid w:val="000A6F11"/>
    <w:rsid w:val="000A6F7D"/>
    <w:rsid w:val="000A6FDB"/>
    <w:rsid w:val="000A7094"/>
    <w:rsid w:val="000A7177"/>
    <w:rsid w:val="000A7317"/>
    <w:rsid w:val="000A7361"/>
    <w:rsid w:val="000A762D"/>
    <w:rsid w:val="000A7785"/>
    <w:rsid w:val="000A779D"/>
    <w:rsid w:val="000A7858"/>
    <w:rsid w:val="000A78C5"/>
    <w:rsid w:val="000A79A1"/>
    <w:rsid w:val="000A7B58"/>
    <w:rsid w:val="000A7BB2"/>
    <w:rsid w:val="000A7C68"/>
    <w:rsid w:val="000A7DE7"/>
    <w:rsid w:val="000A7E0E"/>
    <w:rsid w:val="000A7E98"/>
    <w:rsid w:val="000A7FFC"/>
    <w:rsid w:val="000B008C"/>
    <w:rsid w:val="000B00E8"/>
    <w:rsid w:val="000B02E8"/>
    <w:rsid w:val="000B03AE"/>
    <w:rsid w:val="000B04BB"/>
    <w:rsid w:val="000B0583"/>
    <w:rsid w:val="000B0625"/>
    <w:rsid w:val="000B064F"/>
    <w:rsid w:val="000B0830"/>
    <w:rsid w:val="000B0869"/>
    <w:rsid w:val="000B08C3"/>
    <w:rsid w:val="000B0B02"/>
    <w:rsid w:val="000B0B69"/>
    <w:rsid w:val="000B0B7B"/>
    <w:rsid w:val="000B0BEE"/>
    <w:rsid w:val="000B0BEF"/>
    <w:rsid w:val="000B1097"/>
    <w:rsid w:val="000B12B9"/>
    <w:rsid w:val="000B12DB"/>
    <w:rsid w:val="000B1324"/>
    <w:rsid w:val="000B1358"/>
    <w:rsid w:val="000B13D2"/>
    <w:rsid w:val="000B141E"/>
    <w:rsid w:val="000B15DF"/>
    <w:rsid w:val="000B16A1"/>
    <w:rsid w:val="000B172D"/>
    <w:rsid w:val="000B1973"/>
    <w:rsid w:val="000B199C"/>
    <w:rsid w:val="000B1CB8"/>
    <w:rsid w:val="000B1D81"/>
    <w:rsid w:val="000B1DE8"/>
    <w:rsid w:val="000B20F0"/>
    <w:rsid w:val="000B21C0"/>
    <w:rsid w:val="000B221A"/>
    <w:rsid w:val="000B2248"/>
    <w:rsid w:val="000B2287"/>
    <w:rsid w:val="000B22BB"/>
    <w:rsid w:val="000B2302"/>
    <w:rsid w:val="000B255B"/>
    <w:rsid w:val="000B25E2"/>
    <w:rsid w:val="000B25F1"/>
    <w:rsid w:val="000B25F7"/>
    <w:rsid w:val="000B2680"/>
    <w:rsid w:val="000B2690"/>
    <w:rsid w:val="000B26B2"/>
    <w:rsid w:val="000B26CE"/>
    <w:rsid w:val="000B2820"/>
    <w:rsid w:val="000B2B96"/>
    <w:rsid w:val="000B2C00"/>
    <w:rsid w:val="000B2CAC"/>
    <w:rsid w:val="000B2E53"/>
    <w:rsid w:val="000B2F1C"/>
    <w:rsid w:val="000B2F54"/>
    <w:rsid w:val="000B30D5"/>
    <w:rsid w:val="000B3271"/>
    <w:rsid w:val="000B32F2"/>
    <w:rsid w:val="000B34F7"/>
    <w:rsid w:val="000B357A"/>
    <w:rsid w:val="000B36ED"/>
    <w:rsid w:val="000B374B"/>
    <w:rsid w:val="000B379F"/>
    <w:rsid w:val="000B3871"/>
    <w:rsid w:val="000B3A19"/>
    <w:rsid w:val="000B3AB9"/>
    <w:rsid w:val="000B3ADC"/>
    <w:rsid w:val="000B3AF8"/>
    <w:rsid w:val="000B3B8C"/>
    <w:rsid w:val="000B3EDB"/>
    <w:rsid w:val="000B3FD3"/>
    <w:rsid w:val="000B4091"/>
    <w:rsid w:val="000B4122"/>
    <w:rsid w:val="000B42E4"/>
    <w:rsid w:val="000B435A"/>
    <w:rsid w:val="000B43EA"/>
    <w:rsid w:val="000B445E"/>
    <w:rsid w:val="000B449D"/>
    <w:rsid w:val="000B4568"/>
    <w:rsid w:val="000B4700"/>
    <w:rsid w:val="000B4704"/>
    <w:rsid w:val="000B47A5"/>
    <w:rsid w:val="000B49EC"/>
    <w:rsid w:val="000B4AB7"/>
    <w:rsid w:val="000B4BCD"/>
    <w:rsid w:val="000B4C14"/>
    <w:rsid w:val="000B4DD4"/>
    <w:rsid w:val="000B4E36"/>
    <w:rsid w:val="000B4F7F"/>
    <w:rsid w:val="000B4FB5"/>
    <w:rsid w:val="000B500C"/>
    <w:rsid w:val="000B52D5"/>
    <w:rsid w:val="000B543D"/>
    <w:rsid w:val="000B544A"/>
    <w:rsid w:val="000B5466"/>
    <w:rsid w:val="000B54E6"/>
    <w:rsid w:val="000B5507"/>
    <w:rsid w:val="000B55F9"/>
    <w:rsid w:val="000B55FD"/>
    <w:rsid w:val="000B5611"/>
    <w:rsid w:val="000B5793"/>
    <w:rsid w:val="000B57C1"/>
    <w:rsid w:val="000B588B"/>
    <w:rsid w:val="000B5AF3"/>
    <w:rsid w:val="000B5BF7"/>
    <w:rsid w:val="000B5D82"/>
    <w:rsid w:val="000B5DCC"/>
    <w:rsid w:val="000B5DD6"/>
    <w:rsid w:val="000B6111"/>
    <w:rsid w:val="000B626F"/>
    <w:rsid w:val="000B62BF"/>
    <w:rsid w:val="000B62E6"/>
    <w:rsid w:val="000B62F5"/>
    <w:rsid w:val="000B63B6"/>
    <w:rsid w:val="000B6404"/>
    <w:rsid w:val="000B64F7"/>
    <w:rsid w:val="000B6600"/>
    <w:rsid w:val="000B6766"/>
    <w:rsid w:val="000B6785"/>
    <w:rsid w:val="000B67A6"/>
    <w:rsid w:val="000B6817"/>
    <w:rsid w:val="000B684B"/>
    <w:rsid w:val="000B68C5"/>
    <w:rsid w:val="000B68FE"/>
    <w:rsid w:val="000B6A64"/>
    <w:rsid w:val="000B6B4F"/>
    <w:rsid w:val="000B6B5C"/>
    <w:rsid w:val="000B6BC8"/>
    <w:rsid w:val="000B6D34"/>
    <w:rsid w:val="000B6D6B"/>
    <w:rsid w:val="000B6FDD"/>
    <w:rsid w:val="000B731C"/>
    <w:rsid w:val="000B75B5"/>
    <w:rsid w:val="000B7705"/>
    <w:rsid w:val="000B784E"/>
    <w:rsid w:val="000B7863"/>
    <w:rsid w:val="000B7890"/>
    <w:rsid w:val="000B7978"/>
    <w:rsid w:val="000B7990"/>
    <w:rsid w:val="000B799F"/>
    <w:rsid w:val="000B79B2"/>
    <w:rsid w:val="000B7A11"/>
    <w:rsid w:val="000B7A48"/>
    <w:rsid w:val="000B7D05"/>
    <w:rsid w:val="000B7D9B"/>
    <w:rsid w:val="000B7F49"/>
    <w:rsid w:val="000C0148"/>
    <w:rsid w:val="000C01B9"/>
    <w:rsid w:val="000C029D"/>
    <w:rsid w:val="000C0303"/>
    <w:rsid w:val="000C0317"/>
    <w:rsid w:val="000C0608"/>
    <w:rsid w:val="000C0688"/>
    <w:rsid w:val="000C070C"/>
    <w:rsid w:val="000C08B2"/>
    <w:rsid w:val="000C08B3"/>
    <w:rsid w:val="000C0950"/>
    <w:rsid w:val="000C097B"/>
    <w:rsid w:val="000C0AF7"/>
    <w:rsid w:val="000C0B9C"/>
    <w:rsid w:val="000C0D31"/>
    <w:rsid w:val="000C0DAA"/>
    <w:rsid w:val="000C0E9D"/>
    <w:rsid w:val="000C0FC0"/>
    <w:rsid w:val="000C1043"/>
    <w:rsid w:val="000C1063"/>
    <w:rsid w:val="000C106D"/>
    <w:rsid w:val="000C1090"/>
    <w:rsid w:val="000C10FF"/>
    <w:rsid w:val="000C11D3"/>
    <w:rsid w:val="000C1220"/>
    <w:rsid w:val="000C135B"/>
    <w:rsid w:val="000C152C"/>
    <w:rsid w:val="000C1595"/>
    <w:rsid w:val="000C1722"/>
    <w:rsid w:val="000C1736"/>
    <w:rsid w:val="000C1785"/>
    <w:rsid w:val="000C1952"/>
    <w:rsid w:val="000C19DB"/>
    <w:rsid w:val="000C1A69"/>
    <w:rsid w:val="000C1E99"/>
    <w:rsid w:val="000C1EA7"/>
    <w:rsid w:val="000C1EE4"/>
    <w:rsid w:val="000C1EF0"/>
    <w:rsid w:val="000C1FEA"/>
    <w:rsid w:val="000C2009"/>
    <w:rsid w:val="000C2266"/>
    <w:rsid w:val="000C229B"/>
    <w:rsid w:val="000C230A"/>
    <w:rsid w:val="000C2487"/>
    <w:rsid w:val="000C2495"/>
    <w:rsid w:val="000C24B6"/>
    <w:rsid w:val="000C2502"/>
    <w:rsid w:val="000C2522"/>
    <w:rsid w:val="000C25D3"/>
    <w:rsid w:val="000C273B"/>
    <w:rsid w:val="000C279F"/>
    <w:rsid w:val="000C2909"/>
    <w:rsid w:val="000C2B1F"/>
    <w:rsid w:val="000C2C07"/>
    <w:rsid w:val="000C2C60"/>
    <w:rsid w:val="000C2C89"/>
    <w:rsid w:val="000C2D90"/>
    <w:rsid w:val="000C2FAE"/>
    <w:rsid w:val="000C30F3"/>
    <w:rsid w:val="000C315D"/>
    <w:rsid w:val="000C3436"/>
    <w:rsid w:val="000C35DF"/>
    <w:rsid w:val="000C35E2"/>
    <w:rsid w:val="000C3C98"/>
    <w:rsid w:val="000C3D60"/>
    <w:rsid w:val="000C3EE2"/>
    <w:rsid w:val="000C4046"/>
    <w:rsid w:val="000C4153"/>
    <w:rsid w:val="000C417D"/>
    <w:rsid w:val="000C42B8"/>
    <w:rsid w:val="000C42EA"/>
    <w:rsid w:val="000C434F"/>
    <w:rsid w:val="000C43F9"/>
    <w:rsid w:val="000C440D"/>
    <w:rsid w:val="000C4546"/>
    <w:rsid w:val="000C47EF"/>
    <w:rsid w:val="000C490E"/>
    <w:rsid w:val="000C4D79"/>
    <w:rsid w:val="000C4E1A"/>
    <w:rsid w:val="000C4F8A"/>
    <w:rsid w:val="000C519F"/>
    <w:rsid w:val="000C528A"/>
    <w:rsid w:val="000C5352"/>
    <w:rsid w:val="000C53F3"/>
    <w:rsid w:val="000C5622"/>
    <w:rsid w:val="000C56B7"/>
    <w:rsid w:val="000C5741"/>
    <w:rsid w:val="000C59D9"/>
    <w:rsid w:val="000C5A42"/>
    <w:rsid w:val="000C5DC3"/>
    <w:rsid w:val="000C5E78"/>
    <w:rsid w:val="000C6006"/>
    <w:rsid w:val="000C6102"/>
    <w:rsid w:val="000C61D6"/>
    <w:rsid w:val="000C640D"/>
    <w:rsid w:val="000C6575"/>
    <w:rsid w:val="000C6629"/>
    <w:rsid w:val="000C67C1"/>
    <w:rsid w:val="000C6823"/>
    <w:rsid w:val="000C6967"/>
    <w:rsid w:val="000C6B98"/>
    <w:rsid w:val="000C6BDC"/>
    <w:rsid w:val="000C6C48"/>
    <w:rsid w:val="000C6D58"/>
    <w:rsid w:val="000C6E6B"/>
    <w:rsid w:val="000C709F"/>
    <w:rsid w:val="000C70BF"/>
    <w:rsid w:val="000C71A0"/>
    <w:rsid w:val="000C7279"/>
    <w:rsid w:val="000C72BF"/>
    <w:rsid w:val="000C732F"/>
    <w:rsid w:val="000C73DA"/>
    <w:rsid w:val="000C7499"/>
    <w:rsid w:val="000C749F"/>
    <w:rsid w:val="000C74FC"/>
    <w:rsid w:val="000C7747"/>
    <w:rsid w:val="000C78C5"/>
    <w:rsid w:val="000C7901"/>
    <w:rsid w:val="000C791D"/>
    <w:rsid w:val="000C7922"/>
    <w:rsid w:val="000C7A10"/>
    <w:rsid w:val="000C7A1B"/>
    <w:rsid w:val="000C7BF5"/>
    <w:rsid w:val="000C7C92"/>
    <w:rsid w:val="000C7CA9"/>
    <w:rsid w:val="000C7E23"/>
    <w:rsid w:val="000C7E72"/>
    <w:rsid w:val="000C7EC3"/>
    <w:rsid w:val="000D002D"/>
    <w:rsid w:val="000D01D6"/>
    <w:rsid w:val="000D0337"/>
    <w:rsid w:val="000D040F"/>
    <w:rsid w:val="000D0412"/>
    <w:rsid w:val="000D0474"/>
    <w:rsid w:val="000D04AF"/>
    <w:rsid w:val="000D0563"/>
    <w:rsid w:val="000D056D"/>
    <w:rsid w:val="000D065F"/>
    <w:rsid w:val="000D06EC"/>
    <w:rsid w:val="000D0882"/>
    <w:rsid w:val="000D09D3"/>
    <w:rsid w:val="000D0BCB"/>
    <w:rsid w:val="000D0FA9"/>
    <w:rsid w:val="000D11C1"/>
    <w:rsid w:val="000D1242"/>
    <w:rsid w:val="000D1276"/>
    <w:rsid w:val="000D1452"/>
    <w:rsid w:val="000D152A"/>
    <w:rsid w:val="000D155B"/>
    <w:rsid w:val="000D161B"/>
    <w:rsid w:val="000D1697"/>
    <w:rsid w:val="000D1793"/>
    <w:rsid w:val="000D18EC"/>
    <w:rsid w:val="000D190F"/>
    <w:rsid w:val="000D1A68"/>
    <w:rsid w:val="000D1BC3"/>
    <w:rsid w:val="000D1BD2"/>
    <w:rsid w:val="000D1C9D"/>
    <w:rsid w:val="000D1D5D"/>
    <w:rsid w:val="000D1E6D"/>
    <w:rsid w:val="000D1F0C"/>
    <w:rsid w:val="000D2087"/>
    <w:rsid w:val="000D2151"/>
    <w:rsid w:val="000D2164"/>
    <w:rsid w:val="000D21DE"/>
    <w:rsid w:val="000D226B"/>
    <w:rsid w:val="000D22DC"/>
    <w:rsid w:val="000D24C5"/>
    <w:rsid w:val="000D25E6"/>
    <w:rsid w:val="000D260E"/>
    <w:rsid w:val="000D271F"/>
    <w:rsid w:val="000D27AD"/>
    <w:rsid w:val="000D2977"/>
    <w:rsid w:val="000D2ABA"/>
    <w:rsid w:val="000D2ACF"/>
    <w:rsid w:val="000D2C12"/>
    <w:rsid w:val="000D2DDD"/>
    <w:rsid w:val="000D2ECB"/>
    <w:rsid w:val="000D3128"/>
    <w:rsid w:val="000D317E"/>
    <w:rsid w:val="000D3390"/>
    <w:rsid w:val="000D343A"/>
    <w:rsid w:val="000D3501"/>
    <w:rsid w:val="000D3559"/>
    <w:rsid w:val="000D35AA"/>
    <w:rsid w:val="000D3600"/>
    <w:rsid w:val="000D363F"/>
    <w:rsid w:val="000D36A1"/>
    <w:rsid w:val="000D3781"/>
    <w:rsid w:val="000D37E9"/>
    <w:rsid w:val="000D38B5"/>
    <w:rsid w:val="000D38BC"/>
    <w:rsid w:val="000D3992"/>
    <w:rsid w:val="000D3B66"/>
    <w:rsid w:val="000D3C91"/>
    <w:rsid w:val="000D3D6F"/>
    <w:rsid w:val="000D3E26"/>
    <w:rsid w:val="000D3E4D"/>
    <w:rsid w:val="000D3F01"/>
    <w:rsid w:val="000D3FC7"/>
    <w:rsid w:val="000D3FE5"/>
    <w:rsid w:val="000D42B2"/>
    <w:rsid w:val="000D4330"/>
    <w:rsid w:val="000D4334"/>
    <w:rsid w:val="000D4497"/>
    <w:rsid w:val="000D46BA"/>
    <w:rsid w:val="000D46BD"/>
    <w:rsid w:val="000D47B5"/>
    <w:rsid w:val="000D4925"/>
    <w:rsid w:val="000D492E"/>
    <w:rsid w:val="000D4969"/>
    <w:rsid w:val="000D4A6A"/>
    <w:rsid w:val="000D4A9D"/>
    <w:rsid w:val="000D4B26"/>
    <w:rsid w:val="000D4B54"/>
    <w:rsid w:val="000D4BF7"/>
    <w:rsid w:val="000D4C0F"/>
    <w:rsid w:val="000D4C69"/>
    <w:rsid w:val="000D4D0B"/>
    <w:rsid w:val="000D4D9A"/>
    <w:rsid w:val="000D4EB8"/>
    <w:rsid w:val="000D4F63"/>
    <w:rsid w:val="000D5236"/>
    <w:rsid w:val="000D54D5"/>
    <w:rsid w:val="000D5891"/>
    <w:rsid w:val="000D5A88"/>
    <w:rsid w:val="000D6000"/>
    <w:rsid w:val="000D6194"/>
    <w:rsid w:val="000D61F7"/>
    <w:rsid w:val="000D6277"/>
    <w:rsid w:val="000D62D7"/>
    <w:rsid w:val="000D62F0"/>
    <w:rsid w:val="000D630C"/>
    <w:rsid w:val="000D63A3"/>
    <w:rsid w:val="000D6405"/>
    <w:rsid w:val="000D6494"/>
    <w:rsid w:val="000D65E4"/>
    <w:rsid w:val="000D6604"/>
    <w:rsid w:val="000D67B7"/>
    <w:rsid w:val="000D6844"/>
    <w:rsid w:val="000D6846"/>
    <w:rsid w:val="000D6AFC"/>
    <w:rsid w:val="000D6CEF"/>
    <w:rsid w:val="000D6CFF"/>
    <w:rsid w:val="000D703D"/>
    <w:rsid w:val="000D70C5"/>
    <w:rsid w:val="000D70D1"/>
    <w:rsid w:val="000D72B1"/>
    <w:rsid w:val="000D7330"/>
    <w:rsid w:val="000D74B4"/>
    <w:rsid w:val="000D764D"/>
    <w:rsid w:val="000D7652"/>
    <w:rsid w:val="000D7718"/>
    <w:rsid w:val="000D77EA"/>
    <w:rsid w:val="000D7852"/>
    <w:rsid w:val="000D7855"/>
    <w:rsid w:val="000D789A"/>
    <w:rsid w:val="000D7E35"/>
    <w:rsid w:val="000D7EA2"/>
    <w:rsid w:val="000D7FA1"/>
    <w:rsid w:val="000E02EC"/>
    <w:rsid w:val="000E049A"/>
    <w:rsid w:val="000E05F0"/>
    <w:rsid w:val="000E06AA"/>
    <w:rsid w:val="000E072F"/>
    <w:rsid w:val="000E0840"/>
    <w:rsid w:val="000E094D"/>
    <w:rsid w:val="000E0970"/>
    <w:rsid w:val="000E0A4B"/>
    <w:rsid w:val="000E0A84"/>
    <w:rsid w:val="000E0B24"/>
    <w:rsid w:val="000E0C22"/>
    <w:rsid w:val="000E0CD4"/>
    <w:rsid w:val="000E0D3F"/>
    <w:rsid w:val="000E0E36"/>
    <w:rsid w:val="000E0E83"/>
    <w:rsid w:val="000E0FB8"/>
    <w:rsid w:val="000E0FBE"/>
    <w:rsid w:val="000E1108"/>
    <w:rsid w:val="000E1346"/>
    <w:rsid w:val="000E141C"/>
    <w:rsid w:val="000E151E"/>
    <w:rsid w:val="000E15D7"/>
    <w:rsid w:val="000E1645"/>
    <w:rsid w:val="000E16D1"/>
    <w:rsid w:val="000E1702"/>
    <w:rsid w:val="000E1B53"/>
    <w:rsid w:val="000E1B80"/>
    <w:rsid w:val="000E1BA4"/>
    <w:rsid w:val="000E1C60"/>
    <w:rsid w:val="000E1CE2"/>
    <w:rsid w:val="000E1CF3"/>
    <w:rsid w:val="000E1D80"/>
    <w:rsid w:val="000E1DC2"/>
    <w:rsid w:val="000E1E8D"/>
    <w:rsid w:val="000E2094"/>
    <w:rsid w:val="000E211D"/>
    <w:rsid w:val="000E21ED"/>
    <w:rsid w:val="000E227D"/>
    <w:rsid w:val="000E2336"/>
    <w:rsid w:val="000E235C"/>
    <w:rsid w:val="000E23B2"/>
    <w:rsid w:val="000E23F9"/>
    <w:rsid w:val="000E25BF"/>
    <w:rsid w:val="000E268E"/>
    <w:rsid w:val="000E2715"/>
    <w:rsid w:val="000E2733"/>
    <w:rsid w:val="000E280B"/>
    <w:rsid w:val="000E280D"/>
    <w:rsid w:val="000E283C"/>
    <w:rsid w:val="000E2923"/>
    <w:rsid w:val="000E29DF"/>
    <w:rsid w:val="000E2B8B"/>
    <w:rsid w:val="000E2BC6"/>
    <w:rsid w:val="000E2E0A"/>
    <w:rsid w:val="000E2EF2"/>
    <w:rsid w:val="000E307E"/>
    <w:rsid w:val="000E30B4"/>
    <w:rsid w:val="000E326D"/>
    <w:rsid w:val="000E3304"/>
    <w:rsid w:val="000E3381"/>
    <w:rsid w:val="000E343F"/>
    <w:rsid w:val="000E34E6"/>
    <w:rsid w:val="000E3671"/>
    <w:rsid w:val="000E3802"/>
    <w:rsid w:val="000E386A"/>
    <w:rsid w:val="000E3870"/>
    <w:rsid w:val="000E388E"/>
    <w:rsid w:val="000E38CC"/>
    <w:rsid w:val="000E38D9"/>
    <w:rsid w:val="000E3B15"/>
    <w:rsid w:val="000E3B9F"/>
    <w:rsid w:val="000E3C1B"/>
    <w:rsid w:val="000E3C6D"/>
    <w:rsid w:val="000E3CA1"/>
    <w:rsid w:val="000E3CC7"/>
    <w:rsid w:val="000E3E1F"/>
    <w:rsid w:val="000E40BB"/>
    <w:rsid w:val="000E4138"/>
    <w:rsid w:val="000E42B6"/>
    <w:rsid w:val="000E42B8"/>
    <w:rsid w:val="000E42CD"/>
    <w:rsid w:val="000E438F"/>
    <w:rsid w:val="000E45B6"/>
    <w:rsid w:val="000E45DA"/>
    <w:rsid w:val="000E45E8"/>
    <w:rsid w:val="000E4639"/>
    <w:rsid w:val="000E46D1"/>
    <w:rsid w:val="000E4A3A"/>
    <w:rsid w:val="000E4A69"/>
    <w:rsid w:val="000E4C54"/>
    <w:rsid w:val="000E4CD5"/>
    <w:rsid w:val="000E4D3B"/>
    <w:rsid w:val="000E4D6B"/>
    <w:rsid w:val="000E4E2E"/>
    <w:rsid w:val="000E506F"/>
    <w:rsid w:val="000E53C6"/>
    <w:rsid w:val="000E5550"/>
    <w:rsid w:val="000E55F1"/>
    <w:rsid w:val="000E563A"/>
    <w:rsid w:val="000E5692"/>
    <w:rsid w:val="000E5836"/>
    <w:rsid w:val="000E58BD"/>
    <w:rsid w:val="000E592B"/>
    <w:rsid w:val="000E5932"/>
    <w:rsid w:val="000E59F9"/>
    <w:rsid w:val="000E5A98"/>
    <w:rsid w:val="000E5B0F"/>
    <w:rsid w:val="000E5B48"/>
    <w:rsid w:val="000E5B80"/>
    <w:rsid w:val="000E5C3A"/>
    <w:rsid w:val="000E5C93"/>
    <w:rsid w:val="000E5F91"/>
    <w:rsid w:val="000E607C"/>
    <w:rsid w:val="000E60C8"/>
    <w:rsid w:val="000E6148"/>
    <w:rsid w:val="000E6202"/>
    <w:rsid w:val="000E6265"/>
    <w:rsid w:val="000E631D"/>
    <w:rsid w:val="000E6426"/>
    <w:rsid w:val="000E64C9"/>
    <w:rsid w:val="000E69FB"/>
    <w:rsid w:val="000E6BA1"/>
    <w:rsid w:val="000E6BCD"/>
    <w:rsid w:val="000E6BD4"/>
    <w:rsid w:val="000E6CE1"/>
    <w:rsid w:val="000E6D6D"/>
    <w:rsid w:val="000E6EA2"/>
    <w:rsid w:val="000E6EED"/>
    <w:rsid w:val="000E6F66"/>
    <w:rsid w:val="000E7075"/>
    <w:rsid w:val="000E70D2"/>
    <w:rsid w:val="000E711E"/>
    <w:rsid w:val="000E735E"/>
    <w:rsid w:val="000E740C"/>
    <w:rsid w:val="000E760C"/>
    <w:rsid w:val="000E7797"/>
    <w:rsid w:val="000E77E4"/>
    <w:rsid w:val="000E7815"/>
    <w:rsid w:val="000E7860"/>
    <w:rsid w:val="000E7887"/>
    <w:rsid w:val="000E7963"/>
    <w:rsid w:val="000E7FA5"/>
    <w:rsid w:val="000E7FAD"/>
    <w:rsid w:val="000E7FFE"/>
    <w:rsid w:val="000F0094"/>
    <w:rsid w:val="000F013B"/>
    <w:rsid w:val="000F0284"/>
    <w:rsid w:val="000F030D"/>
    <w:rsid w:val="000F03B0"/>
    <w:rsid w:val="000F046B"/>
    <w:rsid w:val="000F049B"/>
    <w:rsid w:val="000F04D7"/>
    <w:rsid w:val="000F0505"/>
    <w:rsid w:val="000F0837"/>
    <w:rsid w:val="000F08D9"/>
    <w:rsid w:val="000F0AA2"/>
    <w:rsid w:val="000F0C26"/>
    <w:rsid w:val="000F0CD1"/>
    <w:rsid w:val="000F0D14"/>
    <w:rsid w:val="000F0DF3"/>
    <w:rsid w:val="000F0F11"/>
    <w:rsid w:val="000F0F42"/>
    <w:rsid w:val="000F10EC"/>
    <w:rsid w:val="000F11FD"/>
    <w:rsid w:val="000F12C7"/>
    <w:rsid w:val="000F12EF"/>
    <w:rsid w:val="000F13B9"/>
    <w:rsid w:val="000F15C2"/>
    <w:rsid w:val="000F16C2"/>
    <w:rsid w:val="000F1A8F"/>
    <w:rsid w:val="000F1D37"/>
    <w:rsid w:val="000F1EDB"/>
    <w:rsid w:val="000F1F1C"/>
    <w:rsid w:val="000F1F1E"/>
    <w:rsid w:val="000F1F8A"/>
    <w:rsid w:val="000F1FF8"/>
    <w:rsid w:val="000F205B"/>
    <w:rsid w:val="000F21AE"/>
    <w:rsid w:val="000F2259"/>
    <w:rsid w:val="000F2274"/>
    <w:rsid w:val="000F2342"/>
    <w:rsid w:val="000F2446"/>
    <w:rsid w:val="000F2590"/>
    <w:rsid w:val="000F25C3"/>
    <w:rsid w:val="000F26C6"/>
    <w:rsid w:val="000F275E"/>
    <w:rsid w:val="000F2775"/>
    <w:rsid w:val="000F28A9"/>
    <w:rsid w:val="000F28CE"/>
    <w:rsid w:val="000F2AA0"/>
    <w:rsid w:val="000F2B91"/>
    <w:rsid w:val="000F2C97"/>
    <w:rsid w:val="000F2C99"/>
    <w:rsid w:val="000F2DC5"/>
    <w:rsid w:val="000F2DDA"/>
    <w:rsid w:val="000F2DDD"/>
    <w:rsid w:val="000F2EA0"/>
    <w:rsid w:val="000F2EBD"/>
    <w:rsid w:val="000F2EF2"/>
    <w:rsid w:val="000F2F11"/>
    <w:rsid w:val="000F2F62"/>
    <w:rsid w:val="000F2F7D"/>
    <w:rsid w:val="000F2FC2"/>
    <w:rsid w:val="000F2FCF"/>
    <w:rsid w:val="000F2FEB"/>
    <w:rsid w:val="000F303C"/>
    <w:rsid w:val="000F311E"/>
    <w:rsid w:val="000F3186"/>
    <w:rsid w:val="000F31CB"/>
    <w:rsid w:val="000F330F"/>
    <w:rsid w:val="000F33D9"/>
    <w:rsid w:val="000F33DA"/>
    <w:rsid w:val="000F342E"/>
    <w:rsid w:val="000F34F9"/>
    <w:rsid w:val="000F3789"/>
    <w:rsid w:val="000F38DA"/>
    <w:rsid w:val="000F3A0D"/>
    <w:rsid w:val="000F3A0E"/>
    <w:rsid w:val="000F3A9D"/>
    <w:rsid w:val="000F3BC9"/>
    <w:rsid w:val="000F3BF7"/>
    <w:rsid w:val="000F3D38"/>
    <w:rsid w:val="000F3D9A"/>
    <w:rsid w:val="000F3DBF"/>
    <w:rsid w:val="000F3DCE"/>
    <w:rsid w:val="000F3EE7"/>
    <w:rsid w:val="000F3F03"/>
    <w:rsid w:val="000F3F39"/>
    <w:rsid w:val="000F4008"/>
    <w:rsid w:val="000F40B7"/>
    <w:rsid w:val="000F422C"/>
    <w:rsid w:val="000F4400"/>
    <w:rsid w:val="000F44F1"/>
    <w:rsid w:val="000F46F6"/>
    <w:rsid w:val="000F473A"/>
    <w:rsid w:val="000F4792"/>
    <w:rsid w:val="000F48B3"/>
    <w:rsid w:val="000F492D"/>
    <w:rsid w:val="000F49B1"/>
    <w:rsid w:val="000F4AD5"/>
    <w:rsid w:val="000F4B9B"/>
    <w:rsid w:val="000F4BA3"/>
    <w:rsid w:val="000F4BBB"/>
    <w:rsid w:val="000F4C19"/>
    <w:rsid w:val="000F4C7D"/>
    <w:rsid w:val="000F4D74"/>
    <w:rsid w:val="000F4DDC"/>
    <w:rsid w:val="000F50AC"/>
    <w:rsid w:val="000F50DE"/>
    <w:rsid w:val="000F5204"/>
    <w:rsid w:val="000F5213"/>
    <w:rsid w:val="000F523A"/>
    <w:rsid w:val="000F5260"/>
    <w:rsid w:val="000F5314"/>
    <w:rsid w:val="000F5451"/>
    <w:rsid w:val="000F5456"/>
    <w:rsid w:val="000F5644"/>
    <w:rsid w:val="000F56F7"/>
    <w:rsid w:val="000F5703"/>
    <w:rsid w:val="000F5767"/>
    <w:rsid w:val="000F5833"/>
    <w:rsid w:val="000F58DC"/>
    <w:rsid w:val="000F5948"/>
    <w:rsid w:val="000F5990"/>
    <w:rsid w:val="000F5AD5"/>
    <w:rsid w:val="000F5BD4"/>
    <w:rsid w:val="000F5D9C"/>
    <w:rsid w:val="000F5F7C"/>
    <w:rsid w:val="000F607E"/>
    <w:rsid w:val="000F6182"/>
    <w:rsid w:val="000F622A"/>
    <w:rsid w:val="000F62D2"/>
    <w:rsid w:val="000F6316"/>
    <w:rsid w:val="000F63B5"/>
    <w:rsid w:val="000F63D8"/>
    <w:rsid w:val="000F64C9"/>
    <w:rsid w:val="000F6507"/>
    <w:rsid w:val="000F6555"/>
    <w:rsid w:val="000F6656"/>
    <w:rsid w:val="000F671B"/>
    <w:rsid w:val="000F671F"/>
    <w:rsid w:val="000F67F5"/>
    <w:rsid w:val="000F68DB"/>
    <w:rsid w:val="000F69C6"/>
    <w:rsid w:val="000F6BD4"/>
    <w:rsid w:val="000F6C4B"/>
    <w:rsid w:val="000F6D40"/>
    <w:rsid w:val="000F6D54"/>
    <w:rsid w:val="000F6E0C"/>
    <w:rsid w:val="000F712E"/>
    <w:rsid w:val="000F719C"/>
    <w:rsid w:val="000F71D0"/>
    <w:rsid w:val="000F7370"/>
    <w:rsid w:val="000F738F"/>
    <w:rsid w:val="000F73B3"/>
    <w:rsid w:val="000F7487"/>
    <w:rsid w:val="000F75D4"/>
    <w:rsid w:val="000F7605"/>
    <w:rsid w:val="000F7750"/>
    <w:rsid w:val="000F7914"/>
    <w:rsid w:val="000F798F"/>
    <w:rsid w:val="000F79AF"/>
    <w:rsid w:val="000F7A26"/>
    <w:rsid w:val="000F7B07"/>
    <w:rsid w:val="000F7C63"/>
    <w:rsid w:val="000F7C92"/>
    <w:rsid w:val="000F7D1C"/>
    <w:rsid w:val="000F7D95"/>
    <w:rsid w:val="000F7DB9"/>
    <w:rsid w:val="000F7E93"/>
    <w:rsid w:val="000F7EAA"/>
    <w:rsid w:val="000F7F34"/>
    <w:rsid w:val="00100156"/>
    <w:rsid w:val="00100295"/>
    <w:rsid w:val="00100399"/>
    <w:rsid w:val="001003CF"/>
    <w:rsid w:val="001003E2"/>
    <w:rsid w:val="0010057D"/>
    <w:rsid w:val="00100581"/>
    <w:rsid w:val="0010058D"/>
    <w:rsid w:val="00100688"/>
    <w:rsid w:val="0010081F"/>
    <w:rsid w:val="001009CD"/>
    <w:rsid w:val="00100B05"/>
    <w:rsid w:val="00100B52"/>
    <w:rsid w:val="00100BDB"/>
    <w:rsid w:val="00100DF1"/>
    <w:rsid w:val="00100F9E"/>
    <w:rsid w:val="00101001"/>
    <w:rsid w:val="00101031"/>
    <w:rsid w:val="0010109B"/>
    <w:rsid w:val="00101121"/>
    <w:rsid w:val="00101123"/>
    <w:rsid w:val="0010119E"/>
    <w:rsid w:val="001011E2"/>
    <w:rsid w:val="0010120B"/>
    <w:rsid w:val="0010137A"/>
    <w:rsid w:val="001013B8"/>
    <w:rsid w:val="001015FF"/>
    <w:rsid w:val="0010164C"/>
    <w:rsid w:val="0010178B"/>
    <w:rsid w:val="001019F3"/>
    <w:rsid w:val="00101ABA"/>
    <w:rsid w:val="00101C47"/>
    <w:rsid w:val="00101CBC"/>
    <w:rsid w:val="00101D5E"/>
    <w:rsid w:val="00101E58"/>
    <w:rsid w:val="00101ED7"/>
    <w:rsid w:val="00101F7F"/>
    <w:rsid w:val="00102077"/>
    <w:rsid w:val="001020D7"/>
    <w:rsid w:val="0010218B"/>
    <w:rsid w:val="00102246"/>
    <w:rsid w:val="00102272"/>
    <w:rsid w:val="00102276"/>
    <w:rsid w:val="0010236F"/>
    <w:rsid w:val="00102543"/>
    <w:rsid w:val="001025CB"/>
    <w:rsid w:val="0010268B"/>
    <w:rsid w:val="001026AC"/>
    <w:rsid w:val="0010290A"/>
    <w:rsid w:val="00102BAB"/>
    <w:rsid w:val="00102BD2"/>
    <w:rsid w:val="00102C2E"/>
    <w:rsid w:val="00102CA5"/>
    <w:rsid w:val="00102E15"/>
    <w:rsid w:val="00103276"/>
    <w:rsid w:val="001032FD"/>
    <w:rsid w:val="0010331D"/>
    <w:rsid w:val="0010342F"/>
    <w:rsid w:val="001034A4"/>
    <w:rsid w:val="001034AE"/>
    <w:rsid w:val="001035E7"/>
    <w:rsid w:val="00103639"/>
    <w:rsid w:val="001036FB"/>
    <w:rsid w:val="00103730"/>
    <w:rsid w:val="001037B3"/>
    <w:rsid w:val="0010392D"/>
    <w:rsid w:val="0010397C"/>
    <w:rsid w:val="00103B14"/>
    <w:rsid w:val="00103B68"/>
    <w:rsid w:val="00103BBD"/>
    <w:rsid w:val="00103CC7"/>
    <w:rsid w:val="00103D15"/>
    <w:rsid w:val="00103E32"/>
    <w:rsid w:val="00103EDA"/>
    <w:rsid w:val="00103F77"/>
    <w:rsid w:val="00103F8A"/>
    <w:rsid w:val="0010401E"/>
    <w:rsid w:val="0010411C"/>
    <w:rsid w:val="00104207"/>
    <w:rsid w:val="001042D2"/>
    <w:rsid w:val="0010432B"/>
    <w:rsid w:val="001043B2"/>
    <w:rsid w:val="00104469"/>
    <w:rsid w:val="0010447F"/>
    <w:rsid w:val="00104484"/>
    <w:rsid w:val="001044BB"/>
    <w:rsid w:val="00104753"/>
    <w:rsid w:val="001047F1"/>
    <w:rsid w:val="00104873"/>
    <w:rsid w:val="00104910"/>
    <w:rsid w:val="00104A1B"/>
    <w:rsid w:val="00104A29"/>
    <w:rsid w:val="00104AB4"/>
    <w:rsid w:val="00104B41"/>
    <w:rsid w:val="00104BF7"/>
    <w:rsid w:val="00104D5F"/>
    <w:rsid w:val="00104E4C"/>
    <w:rsid w:val="00104FE3"/>
    <w:rsid w:val="0010500F"/>
    <w:rsid w:val="00105097"/>
    <w:rsid w:val="001050ED"/>
    <w:rsid w:val="00105265"/>
    <w:rsid w:val="0010529F"/>
    <w:rsid w:val="001052CF"/>
    <w:rsid w:val="001052FE"/>
    <w:rsid w:val="001053FA"/>
    <w:rsid w:val="00105583"/>
    <w:rsid w:val="001056FB"/>
    <w:rsid w:val="00105707"/>
    <w:rsid w:val="0010578F"/>
    <w:rsid w:val="0010579C"/>
    <w:rsid w:val="0010580C"/>
    <w:rsid w:val="00105883"/>
    <w:rsid w:val="001059C6"/>
    <w:rsid w:val="00105BE9"/>
    <w:rsid w:val="00105C2B"/>
    <w:rsid w:val="00105C54"/>
    <w:rsid w:val="00105DF5"/>
    <w:rsid w:val="00105E26"/>
    <w:rsid w:val="00105E68"/>
    <w:rsid w:val="00105F8B"/>
    <w:rsid w:val="0010602E"/>
    <w:rsid w:val="001060F8"/>
    <w:rsid w:val="001061B3"/>
    <w:rsid w:val="00106387"/>
    <w:rsid w:val="001063DD"/>
    <w:rsid w:val="001063FA"/>
    <w:rsid w:val="001064AD"/>
    <w:rsid w:val="00106554"/>
    <w:rsid w:val="00106786"/>
    <w:rsid w:val="001067DF"/>
    <w:rsid w:val="00106A0A"/>
    <w:rsid w:val="00106DE6"/>
    <w:rsid w:val="00106F70"/>
    <w:rsid w:val="001070B9"/>
    <w:rsid w:val="001070BB"/>
    <w:rsid w:val="00107132"/>
    <w:rsid w:val="0010714F"/>
    <w:rsid w:val="001071A7"/>
    <w:rsid w:val="001071B2"/>
    <w:rsid w:val="001075AD"/>
    <w:rsid w:val="001077DC"/>
    <w:rsid w:val="0010789B"/>
    <w:rsid w:val="001078A8"/>
    <w:rsid w:val="001079A6"/>
    <w:rsid w:val="00107ABA"/>
    <w:rsid w:val="00107AC0"/>
    <w:rsid w:val="00107B66"/>
    <w:rsid w:val="00107C0D"/>
    <w:rsid w:val="00107C8F"/>
    <w:rsid w:val="00107C96"/>
    <w:rsid w:val="00107D0F"/>
    <w:rsid w:val="00107E03"/>
    <w:rsid w:val="00107F5C"/>
    <w:rsid w:val="00107F87"/>
    <w:rsid w:val="00107FF6"/>
    <w:rsid w:val="00110029"/>
    <w:rsid w:val="001100DD"/>
    <w:rsid w:val="0011011C"/>
    <w:rsid w:val="00110191"/>
    <w:rsid w:val="001103D7"/>
    <w:rsid w:val="0011047C"/>
    <w:rsid w:val="0011058C"/>
    <w:rsid w:val="001105FC"/>
    <w:rsid w:val="001106C9"/>
    <w:rsid w:val="0011071A"/>
    <w:rsid w:val="001107E2"/>
    <w:rsid w:val="00110971"/>
    <w:rsid w:val="00110A8C"/>
    <w:rsid w:val="00110A9F"/>
    <w:rsid w:val="00110BD7"/>
    <w:rsid w:val="00110C6A"/>
    <w:rsid w:val="00110CF6"/>
    <w:rsid w:val="00110ED0"/>
    <w:rsid w:val="00110F65"/>
    <w:rsid w:val="00110FEC"/>
    <w:rsid w:val="00111396"/>
    <w:rsid w:val="001113D7"/>
    <w:rsid w:val="001113F6"/>
    <w:rsid w:val="0011158C"/>
    <w:rsid w:val="00111620"/>
    <w:rsid w:val="001116EC"/>
    <w:rsid w:val="001116ED"/>
    <w:rsid w:val="00111A50"/>
    <w:rsid w:val="00111B1F"/>
    <w:rsid w:val="00111BA2"/>
    <w:rsid w:val="00111CD2"/>
    <w:rsid w:val="00111D00"/>
    <w:rsid w:val="00111D6D"/>
    <w:rsid w:val="00111E57"/>
    <w:rsid w:val="00111ED5"/>
    <w:rsid w:val="00111EE0"/>
    <w:rsid w:val="00112003"/>
    <w:rsid w:val="00112056"/>
    <w:rsid w:val="001120C5"/>
    <w:rsid w:val="00112129"/>
    <w:rsid w:val="00112314"/>
    <w:rsid w:val="001124F8"/>
    <w:rsid w:val="00112617"/>
    <w:rsid w:val="0011275A"/>
    <w:rsid w:val="001127E5"/>
    <w:rsid w:val="00112879"/>
    <w:rsid w:val="0011288F"/>
    <w:rsid w:val="0011298A"/>
    <w:rsid w:val="00112A7C"/>
    <w:rsid w:val="00112AC8"/>
    <w:rsid w:val="00112B12"/>
    <w:rsid w:val="00112B71"/>
    <w:rsid w:val="00112D86"/>
    <w:rsid w:val="00112FA6"/>
    <w:rsid w:val="00113092"/>
    <w:rsid w:val="001130BC"/>
    <w:rsid w:val="001133FE"/>
    <w:rsid w:val="00113430"/>
    <w:rsid w:val="00113596"/>
    <w:rsid w:val="001136BD"/>
    <w:rsid w:val="00113748"/>
    <w:rsid w:val="001137D7"/>
    <w:rsid w:val="001138CB"/>
    <w:rsid w:val="00113AAB"/>
    <w:rsid w:val="00113C1B"/>
    <w:rsid w:val="00113C1F"/>
    <w:rsid w:val="00113E7A"/>
    <w:rsid w:val="00113F09"/>
    <w:rsid w:val="001140C4"/>
    <w:rsid w:val="001141B2"/>
    <w:rsid w:val="001142DE"/>
    <w:rsid w:val="00114350"/>
    <w:rsid w:val="00114381"/>
    <w:rsid w:val="0011444A"/>
    <w:rsid w:val="001147D3"/>
    <w:rsid w:val="0011490C"/>
    <w:rsid w:val="00114924"/>
    <w:rsid w:val="00114B6D"/>
    <w:rsid w:val="00114B71"/>
    <w:rsid w:val="00115040"/>
    <w:rsid w:val="00115064"/>
    <w:rsid w:val="001152C1"/>
    <w:rsid w:val="0011532A"/>
    <w:rsid w:val="00115593"/>
    <w:rsid w:val="001156B5"/>
    <w:rsid w:val="00115A4D"/>
    <w:rsid w:val="00115D71"/>
    <w:rsid w:val="00115E17"/>
    <w:rsid w:val="00115EF5"/>
    <w:rsid w:val="00115F36"/>
    <w:rsid w:val="00115F7C"/>
    <w:rsid w:val="0011615A"/>
    <w:rsid w:val="001163F3"/>
    <w:rsid w:val="001164E7"/>
    <w:rsid w:val="00116509"/>
    <w:rsid w:val="001166E8"/>
    <w:rsid w:val="0011681E"/>
    <w:rsid w:val="001168D6"/>
    <w:rsid w:val="001168FD"/>
    <w:rsid w:val="00116944"/>
    <w:rsid w:val="00116CE3"/>
    <w:rsid w:val="00116CE4"/>
    <w:rsid w:val="00116D86"/>
    <w:rsid w:val="00116D8C"/>
    <w:rsid w:val="00116E9A"/>
    <w:rsid w:val="00116EDC"/>
    <w:rsid w:val="00116F00"/>
    <w:rsid w:val="00117010"/>
    <w:rsid w:val="00117094"/>
    <w:rsid w:val="001170ED"/>
    <w:rsid w:val="0011711A"/>
    <w:rsid w:val="0011711F"/>
    <w:rsid w:val="0011716E"/>
    <w:rsid w:val="001171B7"/>
    <w:rsid w:val="001172B5"/>
    <w:rsid w:val="00117334"/>
    <w:rsid w:val="001173CD"/>
    <w:rsid w:val="0011740F"/>
    <w:rsid w:val="001174CD"/>
    <w:rsid w:val="00117720"/>
    <w:rsid w:val="00117820"/>
    <w:rsid w:val="00117954"/>
    <w:rsid w:val="00117B24"/>
    <w:rsid w:val="00117CF6"/>
    <w:rsid w:val="00117EAE"/>
    <w:rsid w:val="00117F80"/>
    <w:rsid w:val="00117FE7"/>
    <w:rsid w:val="0012001D"/>
    <w:rsid w:val="001200D4"/>
    <w:rsid w:val="0012036A"/>
    <w:rsid w:val="0012045E"/>
    <w:rsid w:val="001204FB"/>
    <w:rsid w:val="001206E8"/>
    <w:rsid w:val="00120855"/>
    <w:rsid w:val="0012092A"/>
    <w:rsid w:val="001209BD"/>
    <w:rsid w:val="00120A91"/>
    <w:rsid w:val="00120AAA"/>
    <w:rsid w:val="00120AF8"/>
    <w:rsid w:val="00120B5E"/>
    <w:rsid w:val="00120BD3"/>
    <w:rsid w:val="00120D5D"/>
    <w:rsid w:val="00120E3E"/>
    <w:rsid w:val="00120E49"/>
    <w:rsid w:val="00120E65"/>
    <w:rsid w:val="00120EEF"/>
    <w:rsid w:val="00120F31"/>
    <w:rsid w:val="0012105A"/>
    <w:rsid w:val="00121202"/>
    <w:rsid w:val="001212BB"/>
    <w:rsid w:val="00121355"/>
    <w:rsid w:val="00121556"/>
    <w:rsid w:val="001216D5"/>
    <w:rsid w:val="0012179A"/>
    <w:rsid w:val="001217C0"/>
    <w:rsid w:val="001217E8"/>
    <w:rsid w:val="0012191F"/>
    <w:rsid w:val="0012192B"/>
    <w:rsid w:val="00121960"/>
    <w:rsid w:val="00121978"/>
    <w:rsid w:val="00121ABE"/>
    <w:rsid w:val="00121B8E"/>
    <w:rsid w:val="00121BEC"/>
    <w:rsid w:val="00121CBC"/>
    <w:rsid w:val="00121FCD"/>
    <w:rsid w:val="0012201E"/>
    <w:rsid w:val="00122023"/>
    <w:rsid w:val="0012215E"/>
    <w:rsid w:val="00122220"/>
    <w:rsid w:val="00122327"/>
    <w:rsid w:val="00122366"/>
    <w:rsid w:val="00122504"/>
    <w:rsid w:val="00122510"/>
    <w:rsid w:val="00122922"/>
    <w:rsid w:val="0012296C"/>
    <w:rsid w:val="00122B5E"/>
    <w:rsid w:val="00122C49"/>
    <w:rsid w:val="00122C68"/>
    <w:rsid w:val="00122CB6"/>
    <w:rsid w:val="00122E6B"/>
    <w:rsid w:val="00122E97"/>
    <w:rsid w:val="00122FE8"/>
    <w:rsid w:val="00122FEA"/>
    <w:rsid w:val="0012305D"/>
    <w:rsid w:val="00123105"/>
    <w:rsid w:val="00123157"/>
    <w:rsid w:val="0012319C"/>
    <w:rsid w:val="001231CB"/>
    <w:rsid w:val="001232BD"/>
    <w:rsid w:val="0012336C"/>
    <w:rsid w:val="001236B1"/>
    <w:rsid w:val="001236DC"/>
    <w:rsid w:val="001237A1"/>
    <w:rsid w:val="00123816"/>
    <w:rsid w:val="00123852"/>
    <w:rsid w:val="001238DA"/>
    <w:rsid w:val="00123954"/>
    <w:rsid w:val="001239C6"/>
    <w:rsid w:val="001239CE"/>
    <w:rsid w:val="001239F2"/>
    <w:rsid w:val="00123B6E"/>
    <w:rsid w:val="00123BB2"/>
    <w:rsid w:val="00123CBB"/>
    <w:rsid w:val="00123D24"/>
    <w:rsid w:val="00123D56"/>
    <w:rsid w:val="00123E97"/>
    <w:rsid w:val="00123F52"/>
    <w:rsid w:val="00123F85"/>
    <w:rsid w:val="001242D7"/>
    <w:rsid w:val="00124477"/>
    <w:rsid w:val="001244DA"/>
    <w:rsid w:val="001244ED"/>
    <w:rsid w:val="00124555"/>
    <w:rsid w:val="001246E7"/>
    <w:rsid w:val="00124804"/>
    <w:rsid w:val="0012482D"/>
    <w:rsid w:val="00124984"/>
    <w:rsid w:val="00124A6D"/>
    <w:rsid w:val="00124B86"/>
    <w:rsid w:val="00124BBD"/>
    <w:rsid w:val="00124CAB"/>
    <w:rsid w:val="00124CC4"/>
    <w:rsid w:val="00124DEF"/>
    <w:rsid w:val="00124E5F"/>
    <w:rsid w:val="00124EC0"/>
    <w:rsid w:val="00124ED5"/>
    <w:rsid w:val="00124F1E"/>
    <w:rsid w:val="0012502F"/>
    <w:rsid w:val="00125036"/>
    <w:rsid w:val="001250FB"/>
    <w:rsid w:val="001251AF"/>
    <w:rsid w:val="001251C5"/>
    <w:rsid w:val="001251EA"/>
    <w:rsid w:val="00125415"/>
    <w:rsid w:val="0012556C"/>
    <w:rsid w:val="0012567A"/>
    <w:rsid w:val="00125A2F"/>
    <w:rsid w:val="00125AC1"/>
    <w:rsid w:val="00125AFE"/>
    <w:rsid w:val="00125BA2"/>
    <w:rsid w:val="00125CB7"/>
    <w:rsid w:val="00125D21"/>
    <w:rsid w:val="00125D7F"/>
    <w:rsid w:val="00125DD8"/>
    <w:rsid w:val="00125EE4"/>
    <w:rsid w:val="00125F30"/>
    <w:rsid w:val="00125F85"/>
    <w:rsid w:val="00126232"/>
    <w:rsid w:val="00126246"/>
    <w:rsid w:val="001262B0"/>
    <w:rsid w:val="001263C4"/>
    <w:rsid w:val="0012656E"/>
    <w:rsid w:val="00126587"/>
    <w:rsid w:val="00126601"/>
    <w:rsid w:val="0012660E"/>
    <w:rsid w:val="0012684C"/>
    <w:rsid w:val="0012687F"/>
    <w:rsid w:val="001268BB"/>
    <w:rsid w:val="001268E0"/>
    <w:rsid w:val="001269C2"/>
    <w:rsid w:val="00126B29"/>
    <w:rsid w:val="00126B59"/>
    <w:rsid w:val="00126C21"/>
    <w:rsid w:val="00126C39"/>
    <w:rsid w:val="00126FE1"/>
    <w:rsid w:val="001270D8"/>
    <w:rsid w:val="001271B4"/>
    <w:rsid w:val="00127239"/>
    <w:rsid w:val="001273B4"/>
    <w:rsid w:val="001276EE"/>
    <w:rsid w:val="001276FA"/>
    <w:rsid w:val="0012779A"/>
    <w:rsid w:val="00127837"/>
    <w:rsid w:val="001278EF"/>
    <w:rsid w:val="00127AFE"/>
    <w:rsid w:val="00127E98"/>
    <w:rsid w:val="00127EE6"/>
    <w:rsid w:val="00127EF3"/>
    <w:rsid w:val="0013035F"/>
    <w:rsid w:val="0013041E"/>
    <w:rsid w:val="001305ED"/>
    <w:rsid w:val="00130707"/>
    <w:rsid w:val="00130846"/>
    <w:rsid w:val="001309B2"/>
    <w:rsid w:val="00130C3E"/>
    <w:rsid w:val="00130C69"/>
    <w:rsid w:val="00130CF6"/>
    <w:rsid w:val="00130D22"/>
    <w:rsid w:val="00130E78"/>
    <w:rsid w:val="00130EC9"/>
    <w:rsid w:val="001312E9"/>
    <w:rsid w:val="0013136A"/>
    <w:rsid w:val="00131457"/>
    <w:rsid w:val="00131466"/>
    <w:rsid w:val="00131519"/>
    <w:rsid w:val="001315C2"/>
    <w:rsid w:val="00131680"/>
    <w:rsid w:val="001316D7"/>
    <w:rsid w:val="00131744"/>
    <w:rsid w:val="0013174E"/>
    <w:rsid w:val="00131773"/>
    <w:rsid w:val="00131938"/>
    <w:rsid w:val="0013195D"/>
    <w:rsid w:val="00131989"/>
    <w:rsid w:val="00131AB7"/>
    <w:rsid w:val="00131CD6"/>
    <w:rsid w:val="00131EEF"/>
    <w:rsid w:val="00131FC6"/>
    <w:rsid w:val="00132136"/>
    <w:rsid w:val="001321C2"/>
    <w:rsid w:val="001321EF"/>
    <w:rsid w:val="00132200"/>
    <w:rsid w:val="00132354"/>
    <w:rsid w:val="0013236E"/>
    <w:rsid w:val="00132441"/>
    <w:rsid w:val="00132493"/>
    <w:rsid w:val="0013250A"/>
    <w:rsid w:val="001326AF"/>
    <w:rsid w:val="0013283E"/>
    <w:rsid w:val="00132D6D"/>
    <w:rsid w:val="00132D76"/>
    <w:rsid w:val="00132D9C"/>
    <w:rsid w:val="00132DA2"/>
    <w:rsid w:val="00132E4C"/>
    <w:rsid w:val="00132F84"/>
    <w:rsid w:val="00132FBF"/>
    <w:rsid w:val="00133159"/>
    <w:rsid w:val="0013346C"/>
    <w:rsid w:val="0013355F"/>
    <w:rsid w:val="00133674"/>
    <w:rsid w:val="001336AD"/>
    <w:rsid w:val="0013375F"/>
    <w:rsid w:val="0013390F"/>
    <w:rsid w:val="001339FB"/>
    <w:rsid w:val="00133A96"/>
    <w:rsid w:val="00133C16"/>
    <w:rsid w:val="00133CB4"/>
    <w:rsid w:val="00133D4C"/>
    <w:rsid w:val="00133D5C"/>
    <w:rsid w:val="00133F05"/>
    <w:rsid w:val="00134074"/>
    <w:rsid w:val="00134079"/>
    <w:rsid w:val="00134211"/>
    <w:rsid w:val="0013438B"/>
    <w:rsid w:val="001344A3"/>
    <w:rsid w:val="00134626"/>
    <w:rsid w:val="00134661"/>
    <w:rsid w:val="001346F6"/>
    <w:rsid w:val="00134781"/>
    <w:rsid w:val="001347FA"/>
    <w:rsid w:val="0013484F"/>
    <w:rsid w:val="00134877"/>
    <w:rsid w:val="00134B6A"/>
    <w:rsid w:val="00134B85"/>
    <w:rsid w:val="00134CB9"/>
    <w:rsid w:val="00134D77"/>
    <w:rsid w:val="001350C8"/>
    <w:rsid w:val="001350F0"/>
    <w:rsid w:val="001351E5"/>
    <w:rsid w:val="001352BB"/>
    <w:rsid w:val="001352C7"/>
    <w:rsid w:val="001353B7"/>
    <w:rsid w:val="001355F7"/>
    <w:rsid w:val="00135676"/>
    <w:rsid w:val="001356BC"/>
    <w:rsid w:val="001358D1"/>
    <w:rsid w:val="00135A19"/>
    <w:rsid w:val="00135A4A"/>
    <w:rsid w:val="00135B0F"/>
    <w:rsid w:val="00135D1C"/>
    <w:rsid w:val="00135D7F"/>
    <w:rsid w:val="00135E02"/>
    <w:rsid w:val="00135FDB"/>
    <w:rsid w:val="00136015"/>
    <w:rsid w:val="001360E5"/>
    <w:rsid w:val="001360F5"/>
    <w:rsid w:val="00136116"/>
    <w:rsid w:val="0013614D"/>
    <w:rsid w:val="001361CE"/>
    <w:rsid w:val="0013628A"/>
    <w:rsid w:val="00136396"/>
    <w:rsid w:val="00136471"/>
    <w:rsid w:val="0013674B"/>
    <w:rsid w:val="0013685E"/>
    <w:rsid w:val="001369EE"/>
    <w:rsid w:val="00136C24"/>
    <w:rsid w:val="00136C49"/>
    <w:rsid w:val="00136F04"/>
    <w:rsid w:val="00137173"/>
    <w:rsid w:val="00137222"/>
    <w:rsid w:val="001374DA"/>
    <w:rsid w:val="00137659"/>
    <w:rsid w:val="0013768A"/>
    <w:rsid w:val="001376DA"/>
    <w:rsid w:val="001376F8"/>
    <w:rsid w:val="0013775A"/>
    <w:rsid w:val="0013789E"/>
    <w:rsid w:val="00137A45"/>
    <w:rsid w:val="00137A59"/>
    <w:rsid w:val="00137BA6"/>
    <w:rsid w:val="00137C62"/>
    <w:rsid w:val="00137C9F"/>
    <w:rsid w:val="00137D5C"/>
    <w:rsid w:val="00137EA1"/>
    <w:rsid w:val="00137EAC"/>
    <w:rsid w:val="00137EC5"/>
    <w:rsid w:val="00137F28"/>
    <w:rsid w:val="00137FCC"/>
    <w:rsid w:val="0014008F"/>
    <w:rsid w:val="00140138"/>
    <w:rsid w:val="001401C5"/>
    <w:rsid w:val="00140261"/>
    <w:rsid w:val="001402B6"/>
    <w:rsid w:val="001402D5"/>
    <w:rsid w:val="0014033A"/>
    <w:rsid w:val="0014045D"/>
    <w:rsid w:val="001404FF"/>
    <w:rsid w:val="001406ED"/>
    <w:rsid w:val="001409B6"/>
    <w:rsid w:val="00140A5F"/>
    <w:rsid w:val="00140B18"/>
    <w:rsid w:val="00140B6C"/>
    <w:rsid w:val="00140C3C"/>
    <w:rsid w:val="00140C44"/>
    <w:rsid w:val="00140CC5"/>
    <w:rsid w:val="00140E89"/>
    <w:rsid w:val="00140EE4"/>
    <w:rsid w:val="00141070"/>
    <w:rsid w:val="0014108F"/>
    <w:rsid w:val="0014117F"/>
    <w:rsid w:val="001411D8"/>
    <w:rsid w:val="00141206"/>
    <w:rsid w:val="001414BE"/>
    <w:rsid w:val="001418CC"/>
    <w:rsid w:val="00141937"/>
    <w:rsid w:val="00141991"/>
    <w:rsid w:val="00141A89"/>
    <w:rsid w:val="00141C64"/>
    <w:rsid w:val="00141C81"/>
    <w:rsid w:val="00141E30"/>
    <w:rsid w:val="00142043"/>
    <w:rsid w:val="001421F9"/>
    <w:rsid w:val="0014224A"/>
    <w:rsid w:val="00142289"/>
    <w:rsid w:val="001422B8"/>
    <w:rsid w:val="001423FB"/>
    <w:rsid w:val="00142450"/>
    <w:rsid w:val="001424D5"/>
    <w:rsid w:val="00142523"/>
    <w:rsid w:val="00142554"/>
    <w:rsid w:val="00142577"/>
    <w:rsid w:val="001425F4"/>
    <w:rsid w:val="00142645"/>
    <w:rsid w:val="0014266C"/>
    <w:rsid w:val="00142768"/>
    <w:rsid w:val="001427EF"/>
    <w:rsid w:val="00142986"/>
    <w:rsid w:val="001429CA"/>
    <w:rsid w:val="00142AC4"/>
    <w:rsid w:val="00142D0F"/>
    <w:rsid w:val="00142D76"/>
    <w:rsid w:val="00142E81"/>
    <w:rsid w:val="00142EB1"/>
    <w:rsid w:val="00142FEF"/>
    <w:rsid w:val="0014301E"/>
    <w:rsid w:val="001430D2"/>
    <w:rsid w:val="001430DC"/>
    <w:rsid w:val="001430ED"/>
    <w:rsid w:val="0014323C"/>
    <w:rsid w:val="00143285"/>
    <w:rsid w:val="001432CF"/>
    <w:rsid w:val="00143325"/>
    <w:rsid w:val="00143377"/>
    <w:rsid w:val="00143445"/>
    <w:rsid w:val="0014351C"/>
    <w:rsid w:val="00143530"/>
    <w:rsid w:val="001435CD"/>
    <w:rsid w:val="001436CC"/>
    <w:rsid w:val="00143727"/>
    <w:rsid w:val="0014386F"/>
    <w:rsid w:val="0014390B"/>
    <w:rsid w:val="001439B7"/>
    <w:rsid w:val="00143A7B"/>
    <w:rsid w:val="00143AC1"/>
    <w:rsid w:val="00143B00"/>
    <w:rsid w:val="00143B2F"/>
    <w:rsid w:val="00143C17"/>
    <w:rsid w:val="00143CDB"/>
    <w:rsid w:val="00143CF5"/>
    <w:rsid w:val="00143E55"/>
    <w:rsid w:val="00144040"/>
    <w:rsid w:val="001440B1"/>
    <w:rsid w:val="001440EC"/>
    <w:rsid w:val="0014414B"/>
    <w:rsid w:val="00144250"/>
    <w:rsid w:val="001443F4"/>
    <w:rsid w:val="001444E8"/>
    <w:rsid w:val="00144500"/>
    <w:rsid w:val="00144756"/>
    <w:rsid w:val="001447B3"/>
    <w:rsid w:val="00144911"/>
    <w:rsid w:val="001449E6"/>
    <w:rsid w:val="001449F6"/>
    <w:rsid w:val="00144B72"/>
    <w:rsid w:val="00144B94"/>
    <w:rsid w:val="00144BE6"/>
    <w:rsid w:val="00144C42"/>
    <w:rsid w:val="00144F73"/>
    <w:rsid w:val="00144FD6"/>
    <w:rsid w:val="0014508D"/>
    <w:rsid w:val="001451AD"/>
    <w:rsid w:val="001452AE"/>
    <w:rsid w:val="001452D5"/>
    <w:rsid w:val="001458CC"/>
    <w:rsid w:val="00145945"/>
    <w:rsid w:val="001459DE"/>
    <w:rsid w:val="00145A95"/>
    <w:rsid w:val="00145AA0"/>
    <w:rsid w:val="00145AC4"/>
    <w:rsid w:val="00145BEF"/>
    <w:rsid w:val="00145C59"/>
    <w:rsid w:val="00145CAA"/>
    <w:rsid w:val="00145CEE"/>
    <w:rsid w:val="00145F3A"/>
    <w:rsid w:val="00145FB1"/>
    <w:rsid w:val="00146114"/>
    <w:rsid w:val="0014618C"/>
    <w:rsid w:val="001462EF"/>
    <w:rsid w:val="00146378"/>
    <w:rsid w:val="00146423"/>
    <w:rsid w:val="00146433"/>
    <w:rsid w:val="00146541"/>
    <w:rsid w:val="0014664D"/>
    <w:rsid w:val="001467E2"/>
    <w:rsid w:val="00146934"/>
    <w:rsid w:val="00146A06"/>
    <w:rsid w:val="00146B04"/>
    <w:rsid w:val="00146B40"/>
    <w:rsid w:val="00146CAD"/>
    <w:rsid w:val="00146CB5"/>
    <w:rsid w:val="00146CEE"/>
    <w:rsid w:val="00146EA7"/>
    <w:rsid w:val="00147263"/>
    <w:rsid w:val="0014731A"/>
    <w:rsid w:val="001473F3"/>
    <w:rsid w:val="0014741A"/>
    <w:rsid w:val="00147463"/>
    <w:rsid w:val="00147472"/>
    <w:rsid w:val="001476A1"/>
    <w:rsid w:val="0014775E"/>
    <w:rsid w:val="001477A4"/>
    <w:rsid w:val="00147815"/>
    <w:rsid w:val="0014784E"/>
    <w:rsid w:val="00147ADC"/>
    <w:rsid w:val="00147C10"/>
    <w:rsid w:val="00147D5A"/>
    <w:rsid w:val="00147D70"/>
    <w:rsid w:val="00147D74"/>
    <w:rsid w:val="00147EAA"/>
    <w:rsid w:val="0015017D"/>
    <w:rsid w:val="0015029A"/>
    <w:rsid w:val="001502DA"/>
    <w:rsid w:val="001503DC"/>
    <w:rsid w:val="00150632"/>
    <w:rsid w:val="0015069F"/>
    <w:rsid w:val="001506B4"/>
    <w:rsid w:val="00150776"/>
    <w:rsid w:val="00150814"/>
    <w:rsid w:val="00150ABB"/>
    <w:rsid w:val="00150B99"/>
    <w:rsid w:val="00150BA3"/>
    <w:rsid w:val="00150E7F"/>
    <w:rsid w:val="0015106F"/>
    <w:rsid w:val="00151154"/>
    <w:rsid w:val="001512DD"/>
    <w:rsid w:val="0015132B"/>
    <w:rsid w:val="001514AE"/>
    <w:rsid w:val="00151532"/>
    <w:rsid w:val="0015153E"/>
    <w:rsid w:val="001517C7"/>
    <w:rsid w:val="00151A18"/>
    <w:rsid w:val="00151AC1"/>
    <w:rsid w:val="00151AF2"/>
    <w:rsid w:val="00151B20"/>
    <w:rsid w:val="00151BBC"/>
    <w:rsid w:val="00151C22"/>
    <w:rsid w:val="00151CDA"/>
    <w:rsid w:val="00151E4E"/>
    <w:rsid w:val="00151F4B"/>
    <w:rsid w:val="00151FAD"/>
    <w:rsid w:val="00152073"/>
    <w:rsid w:val="00152122"/>
    <w:rsid w:val="00152128"/>
    <w:rsid w:val="001521C3"/>
    <w:rsid w:val="0015227F"/>
    <w:rsid w:val="00152329"/>
    <w:rsid w:val="00152501"/>
    <w:rsid w:val="001525B3"/>
    <w:rsid w:val="00152664"/>
    <w:rsid w:val="0015273A"/>
    <w:rsid w:val="001527ED"/>
    <w:rsid w:val="001527F1"/>
    <w:rsid w:val="001528E5"/>
    <w:rsid w:val="00152939"/>
    <w:rsid w:val="00152A27"/>
    <w:rsid w:val="00152A6D"/>
    <w:rsid w:val="00152AC9"/>
    <w:rsid w:val="00152B59"/>
    <w:rsid w:val="00152D58"/>
    <w:rsid w:val="00152DF7"/>
    <w:rsid w:val="00152E08"/>
    <w:rsid w:val="00152E9F"/>
    <w:rsid w:val="0015311F"/>
    <w:rsid w:val="0015320F"/>
    <w:rsid w:val="001532AD"/>
    <w:rsid w:val="001532AF"/>
    <w:rsid w:val="001532F4"/>
    <w:rsid w:val="00153331"/>
    <w:rsid w:val="00153340"/>
    <w:rsid w:val="0015344B"/>
    <w:rsid w:val="001534AD"/>
    <w:rsid w:val="001534B6"/>
    <w:rsid w:val="001534CF"/>
    <w:rsid w:val="00153570"/>
    <w:rsid w:val="001537EE"/>
    <w:rsid w:val="00153887"/>
    <w:rsid w:val="00153A4C"/>
    <w:rsid w:val="00153D11"/>
    <w:rsid w:val="00153E20"/>
    <w:rsid w:val="00153ECD"/>
    <w:rsid w:val="001540B2"/>
    <w:rsid w:val="0015419A"/>
    <w:rsid w:val="00154318"/>
    <w:rsid w:val="00154366"/>
    <w:rsid w:val="001543FA"/>
    <w:rsid w:val="00154442"/>
    <w:rsid w:val="001544A7"/>
    <w:rsid w:val="001544E4"/>
    <w:rsid w:val="00154541"/>
    <w:rsid w:val="0015459A"/>
    <w:rsid w:val="0015481C"/>
    <w:rsid w:val="00154852"/>
    <w:rsid w:val="0015488A"/>
    <w:rsid w:val="0015491C"/>
    <w:rsid w:val="00154B89"/>
    <w:rsid w:val="00154C18"/>
    <w:rsid w:val="00154C7C"/>
    <w:rsid w:val="00154CF8"/>
    <w:rsid w:val="00154D5E"/>
    <w:rsid w:val="00154DB7"/>
    <w:rsid w:val="00154E06"/>
    <w:rsid w:val="00154E9A"/>
    <w:rsid w:val="00154EB0"/>
    <w:rsid w:val="00155083"/>
    <w:rsid w:val="001551BF"/>
    <w:rsid w:val="001552BC"/>
    <w:rsid w:val="00155321"/>
    <w:rsid w:val="00155361"/>
    <w:rsid w:val="001553D3"/>
    <w:rsid w:val="00155412"/>
    <w:rsid w:val="001554B3"/>
    <w:rsid w:val="00155544"/>
    <w:rsid w:val="001556B6"/>
    <w:rsid w:val="0015586B"/>
    <w:rsid w:val="0015593D"/>
    <w:rsid w:val="001559BD"/>
    <w:rsid w:val="00155A2B"/>
    <w:rsid w:val="00155AE8"/>
    <w:rsid w:val="00155DD1"/>
    <w:rsid w:val="00155E52"/>
    <w:rsid w:val="00155E82"/>
    <w:rsid w:val="00156029"/>
    <w:rsid w:val="00156094"/>
    <w:rsid w:val="001561A5"/>
    <w:rsid w:val="00156215"/>
    <w:rsid w:val="001562FD"/>
    <w:rsid w:val="0015645F"/>
    <w:rsid w:val="0015651B"/>
    <w:rsid w:val="00156598"/>
    <w:rsid w:val="001565B4"/>
    <w:rsid w:val="0015661E"/>
    <w:rsid w:val="0015688A"/>
    <w:rsid w:val="001568B4"/>
    <w:rsid w:val="00156A54"/>
    <w:rsid w:val="00156B3E"/>
    <w:rsid w:val="00156B69"/>
    <w:rsid w:val="00156D21"/>
    <w:rsid w:val="00156E36"/>
    <w:rsid w:val="001570E4"/>
    <w:rsid w:val="001570E5"/>
    <w:rsid w:val="00157523"/>
    <w:rsid w:val="00157587"/>
    <w:rsid w:val="001575D6"/>
    <w:rsid w:val="0015763C"/>
    <w:rsid w:val="0015769D"/>
    <w:rsid w:val="0015775B"/>
    <w:rsid w:val="001577B3"/>
    <w:rsid w:val="001577DC"/>
    <w:rsid w:val="00157898"/>
    <w:rsid w:val="001578D3"/>
    <w:rsid w:val="0015799E"/>
    <w:rsid w:val="001579F3"/>
    <w:rsid w:val="00157A3C"/>
    <w:rsid w:val="00157AAD"/>
    <w:rsid w:val="00157BAD"/>
    <w:rsid w:val="00157C8C"/>
    <w:rsid w:val="00157CDF"/>
    <w:rsid w:val="00157D3D"/>
    <w:rsid w:val="00157E0A"/>
    <w:rsid w:val="00157E4E"/>
    <w:rsid w:val="00157F00"/>
    <w:rsid w:val="00160034"/>
    <w:rsid w:val="0016036F"/>
    <w:rsid w:val="001604C7"/>
    <w:rsid w:val="001605D2"/>
    <w:rsid w:val="00160739"/>
    <w:rsid w:val="001607B5"/>
    <w:rsid w:val="001609F9"/>
    <w:rsid w:val="00160BA3"/>
    <w:rsid w:val="00160BB8"/>
    <w:rsid w:val="00160D2F"/>
    <w:rsid w:val="00160D80"/>
    <w:rsid w:val="00160EB7"/>
    <w:rsid w:val="00160F52"/>
    <w:rsid w:val="001611BF"/>
    <w:rsid w:val="001612A3"/>
    <w:rsid w:val="001615BE"/>
    <w:rsid w:val="001615D3"/>
    <w:rsid w:val="00161630"/>
    <w:rsid w:val="00161640"/>
    <w:rsid w:val="001616D2"/>
    <w:rsid w:val="0016173E"/>
    <w:rsid w:val="0016177F"/>
    <w:rsid w:val="0016183F"/>
    <w:rsid w:val="0016184A"/>
    <w:rsid w:val="00161939"/>
    <w:rsid w:val="00161A80"/>
    <w:rsid w:val="00161AA0"/>
    <w:rsid w:val="00161AD5"/>
    <w:rsid w:val="00161BA2"/>
    <w:rsid w:val="00161C36"/>
    <w:rsid w:val="00161C6E"/>
    <w:rsid w:val="00161D2E"/>
    <w:rsid w:val="00161F3E"/>
    <w:rsid w:val="00162093"/>
    <w:rsid w:val="001621AD"/>
    <w:rsid w:val="00162240"/>
    <w:rsid w:val="001622E3"/>
    <w:rsid w:val="001623B5"/>
    <w:rsid w:val="00162568"/>
    <w:rsid w:val="001626EE"/>
    <w:rsid w:val="001626F5"/>
    <w:rsid w:val="00162792"/>
    <w:rsid w:val="00162AA4"/>
    <w:rsid w:val="00162AE1"/>
    <w:rsid w:val="00162B1F"/>
    <w:rsid w:val="00162B40"/>
    <w:rsid w:val="00162C59"/>
    <w:rsid w:val="00162CA9"/>
    <w:rsid w:val="00162CC4"/>
    <w:rsid w:val="00162DA0"/>
    <w:rsid w:val="00162DB9"/>
    <w:rsid w:val="00162E63"/>
    <w:rsid w:val="00162E8C"/>
    <w:rsid w:val="00162FBE"/>
    <w:rsid w:val="00163195"/>
    <w:rsid w:val="001631D1"/>
    <w:rsid w:val="00163240"/>
    <w:rsid w:val="00163298"/>
    <w:rsid w:val="00163464"/>
    <w:rsid w:val="00163576"/>
    <w:rsid w:val="0016371F"/>
    <w:rsid w:val="001639C3"/>
    <w:rsid w:val="001639C9"/>
    <w:rsid w:val="00163BCB"/>
    <w:rsid w:val="00163C47"/>
    <w:rsid w:val="00163CBC"/>
    <w:rsid w:val="00163CC8"/>
    <w:rsid w:val="00163CFB"/>
    <w:rsid w:val="00163D59"/>
    <w:rsid w:val="00163F78"/>
    <w:rsid w:val="00163FA0"/>
    <w:rsid w:val="00163FCE"/>
    <w:rsid w:val="0016410C"/>
    <w:rsid w:val="00164172"/>
    <w:rsid w:val="001642EE"/>
    <w:rsid w:val="00164332"/>
    <w:rsid w:val="0016436F"/>
    <w:rsid w:val="0016438F"/>
    <w:rsid w:val="00164A45"/>
    <w:rsid w:val="00164C1E"/>
    <w:rsid w:val="00164DCC"/>
    <w:rsid w:val="00164E57"/>
    <w:rsid w:val="00164ED4"/>
    <w:rsid w:val="0016504D"/>
    <w:rsid w:val="00165114"/>
    <w:rsid w:val="001652EB"/>
    <w:rsid w:val="0016538A"/>
    <w:rsid w:val="00165459"/>
    <w:rsid w:val="00165491"/>
    <w:rsid w:val="0016572D"/>
    <w:rsid w:val="001658EF"/>
    <w:rsid w:val="001659D5"/>
    <w:rsid w:val="00165A57"/>
    <w:rsid w:val="00165A5E"/>
    <w:rsid w:val="00165BF1"/>
    <w:rsid w:val="00165C53"/>
    <w:rsid w:val="00165CCE"/>
    <w:rsid w:val="00165CF3"/>
    <w:rsid w:val="00165DD6"/>
    <w:rsid w:val="00165DEB"/>
    <w:rsid w:val="00165F58"/>
    <w:rsid w:val="0016601A"/>
    <w:rsid w:val="0016602D"/>
    <w:rsid w:val="00166202"/>
    <w:rsid w:val="0016632E"/>
    <w:rsid w:val="0016642F"/>
    <w:rsid w:val="0016648F"/>
    <w:rsid w:val="001664EB"/>
    <w:rsid w:val="001665B4"/>
    <w:rsid w:val="00166785"/>
    <w:rsid w:val="001667DD"/>
    <w:rsid w:val="00166876"/>
    <w:rsid w:val="00166A97"/>
    <w:rsid w:val="00166AA5"/>
    <w:rsid w:val="00166CBD"/>
    <w:rsid w:val="00166CCF"/>
    <w:rsid w:val="00166CE6"/>
    <w:rsid w:val="00166CF8"/>
    <w:rsid w:val="00166D55"/>
    <w:rsid w:val="00166EBB"/>
    <w:rsid w:val="00166FA8"/>
    <w:rsid w:val="0016714F"/>
    <w:rsid w:val="00167251"/>
    <w:rsid w:val="00167255"/>
    <w:rsid w:val="00167280"/>
    <w:rsid w:val="0016741E"/>
    <w:rsid w:val="001674A3"/>
    <w:rsid w:val="001674B7"/>
    <w:rsid w:val="00167561"/>
    <w:rsid w:val="001675AE"/>
    <w:rsid w:val="001675CF"/>
    <w:rsid w:val="00167633"/>
    <w:rsid w:val="001676C7"/>
    <w:rsid w:val="001676D0"/>
    <w:rsid w:val="00167704"/>
    <w:rsid w:val="001678F4"/>
    <w:rsid w:val="00167BED"/>
    <w:rsid w:val="00167C53"/>
    <w:rsid w:val="0016ECD7"/>
    <w:rsid w:val="001700AF"/>
    <w:rsid w:val="001701D8"/>
    <w:rsid w:val="00170200"/>
    <w:rsid w:val="001702A9"/>
    <w:rsid w:val="001702F4"/>
    <w:rsid w:val="0017049A"/>
    <w:rsid w:val="001704AA"/>
    <w:rsid w:val="0017055D"/>
    <w:rsid w:val="001705FA"/>
    <w:rsid w:val="001705FC"/>
    <w:rsid w:val="001706D3"/>
    <w:rsid w:val="001706F3"/>
    <w:rsid w:val="001706F9"/>
    <w:rsid w:val="0017072A"/>
    <w:rsid w:val="00170822"/>
    <w:rsid w:val="00170939"/>
    <w:rsid w:val="00170950"/>
    <w:rsid w:val="00170998"/>
    <w:rsid w:val="001709A3"/>
    <w:rsid w:val="00170A69"/>
    <w:rsid w:val="00170B72"/>
    <w:rsid w:val="00170C30"/>
    <w:rsid w:val="00170CF6"/>
    <w:rsid w:val="00170CFD"/>
    <w:rsid w:val="00170EE4"/>
    <w:rsid w:val="00170F3B"/>
    <w:rsid w:val="0017104C"/>
    <w:rsid w:val="00171129"/>
    <w:rsid w:val="001711A3"/>
    <w:rsid w:val="001711B0"/>
    <w:rsid w:val="00171248"/>
    <w:rsid w:val="0017125E"/>
    <w:rsid w:val="001712AD"/>
    <w:rsid w:val="001712C2"/>
    <w:rsid w:val="0017134B"/>
    <w:rsid w:val="00171386"/>
    <w:rsid w:val="001713A5"/>
    <w:rsid w:val="00171468"/>
    <w:rsid w:val="001714EA"/>
    <w:rsid w:val="00171703"/>
    <w:rsid w:val="0017171E"/>
    <w:rsid w:val="00171798"/>
    <w:rsid w:val="001718C3"/>
    <w:rsid w:val="00171A80"/>
    <w:rsid w:val="00171B60"/>
    <w:rsid w:val="00171C72"/>
    <w:rsid w:val="00171CD1"/>
    <w:rsid w:val="00171D34"/>
    <w:rsid w:val="00171DD5"/>
    <w:rsid w:val="00171E5B"/>
    <w:rsid w:val="00171F7D"/>
    <w:rsid w:val="001720D0"/>
    <w:rsid w:val="00172205"/>
    <w:rsid w:val="0017245A"/>
    <w:rsid w:val="001725EE"/>
    <w:rsid w:val="001726A6"/>
    <w:rsid w:val="001728A0"/>
    <w:rsid w:val="001728F6"/>
    <w:rsid w:val="0017291B"/>
    <w:rsid w:val="00172B8B"/>
    <w:rsid w:val="00172BAF"/>
    <w:rsid w:val="00172BF9"/>
    <w:rsid w:val="00172D28"/>
    <w:rsid w:val="00172DFA"/>
    <w:rsid w:val="00172E97"/>
    <w:rsid w:val="00173084"/>
    <w:rsid w:val="001730B8"/>
    <w:rsid w:val="00173294"/>
    <w:rsid w:val="001732B5"/>
    <w:rsid w:val="001733CD"/>
    <w:rsid w:val="00173571"/>
    <w:rsid w:val="00173599"/>
    <w:rsid w:val="001735E5"/>
    <w:rsid w:val="001736E6"/>
    <w:rsid w:val="0017372C"/>
    <w:rsid w:val="00173862"/>
    <w:rsid w:val="001739B7"/>
    <w:rsid w:val="00173A17"/>
    <w:rsid w:val="00173A73"/>
    <w:rsid w:val="00173AA8"/>
    <w:rsid w:val="00173C94"/>
    <w:rsid w:val="00173D7C"/>
    <w:rsid w:val="00173DFF"/>
    <w:rsid w:val="00173EDC"/>
    <w:rsid w:val="00174114"/>
    <w:rsid w:val="00174143"/>
    <w:rsid w:val="00174413"/>
    <w:rsid w:val="001744B7"/>
    <w:rsid w:val="00174602"/>
    <w:rsid w:val="0017470B"/>
    <w:rsid w:val="0017486C"/>
    <w:rsid w:val="001748B8"/>
    <w:rsid w:val="00174B07"/>
    <w:rsid w:val="00174BDB"/>
    <w:rsid w:val="00174BFA"/>
    <w:rsid w:val="00174F22"/>
    <w:rsid w:val="00175053"/>
    <w:rsid w:val="00175192"/>
    <w:rsid w:val="00175216"/>
    <w:rsid w:val="00175327"/>
    <w:rsid w:val="001754C3"/>
    <w:rsid w:val="001754D3"/>
    <w:rsid w:val="0017559F"/>
    <w:rsid w:val="00175628"/>
    <w:rsid w:val="00175722"/>
    <w:rsid w:val="001757BD"/>
    <w:rsid w:val="0017589B"/>
    <w:rsid w:val="00175A24"/>
    <w:rsid w:val="00175A67"/>
    <w:rsid w:val="00175B0B"/>
    <w:rsid w:val="00175B50"/>
    <w:rsid w:val="00175B52"/>
    <w:rsid w:val="00175C6E"/>
    <w:rsid w:val="00175E3C"/>
    <w:rsid w:val="00175E44"/>
    <w:rsid w:val="00175FEA"/>
    <w:rsid w:val="00176041"/>
    <w:rsid w:val="0017606F"/>
    <w:rsid w:val="00176116"/>
    <w:rsid w:val="001762BC"/>
    <w:rsid w:val="001762D0"/>
    <w:rsid w:val="00176600"/>
    <w:rsid w:val="0017674D"/>
    <w:rsid w:val="001767A4"/>
    <w:rsid w:val="001767AF"/>
    <w:rsid w:val="0017685C"/>
    <w:rsid w:val="0017685F"/>
    <w:rsid w:val="001768EA"/>
    <w:rsid w:val="00176A04"/>
    <w:rsid w:val="00176B2B"/>
    <w:rsid w:val="00176BD0"/>
    <w:rsid w:val="00176C0E"/>
    <w:rsid w:val="00176DA9"/>
    <w:rsid w:val="00176E6B"/>
    <w:rsid w:val="00176EBE"/>
    <w:rsid w:val="00176FD4"/>
    <w:rsid w:val="00176FD5"/>
    <w:rsid w:val="00177081"/>
    <w:rsid w:val="00177112"/>
    <w:rsid w:val="00177188"/>
    <w:rsid w:val="001771DD"/>
    <w:rsid w:val="001773A8"/>
    <w:rsid w:val="0017749C"/>
    <w:rsid w:val="001774AD"/>
    <w:rsid w:val="001774B1"/>
    <w:rsid w:val="001775BA"/>
    <w:rsid w:val="001777DF"/>
    <w:rsid w:val="00177995"/>
    <w:rsid w:val="00177A8C"/>
    <w:rsid w:val="00177CDE"/>
    <w:rsid w:val="00177D13"/>
    <w:rsid w:val="00177D8F"/>
    <w:rsid w:val="00177DAE"/>
    <w:rsid w:val="00177DFB"/>
    <w:rsid w:val="00177E82"/>
    <w:rsid w:val="00177EA6"/>
    <w:rsid w:val="00177FD4"/>
    <w:rsid w:val="00180417"/>
    <w:rsid w:val="001804C5"/>
    <w:rsid w:val="00180688"/>
    <w:rsid w:val="00180710"/>
    <w:rsid w:val="0018074E"/>
    <w:rsid w:val="0018078E"/>
    <w:rsid w:val="00180929"/>
    <w:rsid w:val="00180B83"/>
    <w:rsid w:val="00180DE3"/>
    <w:rsid w:val="00180E2E"/>
    <w:rsid w:val="00180F02"/>
    <w:rsid w:val="00181021"/>
    <w:rsid w:val="0018114F"/>
    <w:rsid w:val="00181206"/>
    <w:rsid w:val="0018124C"/>
    <w:rsid w:val="0018128F"/>
    <w:rsid w:val="00181390"/>
    <w:rsid w:val="00181447"/>
    <w:rsid w:val="001817A8"/>
    <w:rsid w:val="001817C0"/>
    <w:rsid w:val="001817D6"/>
    <w:rsid w:val="00181A1A"/>
    <w:rsid w:val="00181A23"/>
    <w:rsid w:val="00181B24"/>
    <w:rsid w:val="00181C57"/>
    <w:rsid w:val="00181CFD"/>
    <w:rsid w:val="00181E71"/>
    <w:rsid w:val="00181E79"/>
    <w:rsid w:val="00181E86"/>
    <w:rsid w:val="00181E9C"/>
    <w:rsid w:val="00181F32"/>
    <w:rsid w:val="00181F42"/>
    <w:rsid w:val="0018216E"/>
    <w:rsid w:val="001821F6"/>
    <w:rsid w:val="00182239"/>
    <w:rsid w:val="001822D4"/>
    <w:rsid w:val="0018244E"/>
    <w:rsid w:val="001827EE"/>
    <w:rsid w:val="001828DE"/>
    <w:rsid w:val="00182935"/>
    <w:rsid w:val="0018293A"/>
    <w:rsid w:val="00182DC5"/>
    <w:rsid w:val="00182F4B"/>
    <w:rsid w:val="00182F99"/>
    <w:rsid w:val="001830A5"/>
    <w:rsid w:val="001830C6"/>
    <w:rsid w:val="00183270"/>
    <w:rsid w:val="00183307"/>
    <w:rsid w:val="001833BC"/>
    <w:rsid w:val="00183574"/>
    <w:rsid w:val="0018358C"/>
    <w:rsid w:val="001835A1"/>
    <w:rsid w:val="00183678"/>
    <w:rsid w:val="00183792"/>
    <w:rsid w:val="00183939"/>
    <w:rsid w:val="00183955"/>
    <w:rsid w:val="00183978"/>
    <w:rsid w:val="00183999"/>
    <w:rsid w:val="001839F9"/>
    <w:rsid w:val="00183B00"/>
    <w:rsid w:val="00183B03"/>
    <w:rsid w:val="00183BDD"/>
    <w:rsid w:val="00183C9C"/>
    <w:rsid w:val="00183E4A"/>
    <w:rsid w:val="00183EB4"/>
    <w:rsid w:val="00184027"/>
    <w:rsid w:val="0018467A"/>
    <w:rsid w:val="0018467E"/>
    <w:rsid w:val="0018471F"/>
    <w:rsid w:val="001849C9"/>
    <w:rsid w:val="00184C09"/>
    <w:rsid w:val="00184E1C"/>
    <w:rsid w:val="00184F53"/>
    <w:rsid w:val="00184F64"/>
    <w:rsid w:val="0018501D"/>
    <w:rsid w:val="001850FB"/>
    <w:rsid w:val="0018529D"/>
    <w:rsid w:val="001853ED"/>
    <w:rsid w:val="00185485"/>
    <w:rsid w:val="001854A3"/>
    <w:rsid w:val="001854F0"/>
    <w:rsid w:val="001855DC"/>
    <w:rsid w:val="001856C3"/>
    <w:rsid w:val="001857A4"/>
    <w:rsid w:val="0018586F"/>
    <w:rsid w:val="001858CB"/>
    <w:rsid w:val="00185A5F"/>
    <w:rsid w:val="00185A64"/>
    <w:rsid w:val="00185A85"/>
    <w:rsid w:val="00185AF1"/>
    <w:rsid w:val="00185B46"/>
    <w:rsid w:val="00185BCF"/>
    <w:rsid w:val="00185D42"/>
    <w:rsid w:val="00185E67"/>
    <w:rsid w:val="00185EEB"/>
    <w:rsid w:val="00186029"/>
    <w:rsid w:val="001860AC"/>
    <w:rsid w:val="00186143"/>
    <w:rsid w:val="00186201"/>
    <w:rsid w:val="0018622E"/>
    <w:rsid w:val="0018623F"/>
    <w:rsid w:val="0018631F"/>
    <w:rsid w:val="00186365"/>
    <w:rsid w:val="0018651A"/>
    <w:rsid w:val="00186524"/>
    <w:rsid w:val="001868E7"/>
    <w:rsid w:val="0018690A"/>
    <w:rsid w:val="0018691B"/>
    <w:rsid w:val="00186A46"/>
    <w:rsid w:val="00186A78"/>
    <w:rsid w:val="00186AA3"/>
    <w:rsid w:val="00186B33"/>
    <w:rsid w:val="00186B6D"/>
    <w:rsid w:val="00186CD1"/>
    <w:rsid w:val="00186D71"/>
    <w:rsid w:val="00186EB6"/>
    <w:rsid w:val="00186F04"/>
    <w:rsid w:val="00186FEA"/>
    <w:rsid w:val="00187085"/>
    <w:rsid w:val="001872CB"/>
    <w:rsid w:val="0018733F"/>
    <w:rsid w:val="00187696"/>
    <w:rsid w:val="0018773C"/>
    <w:rsid w:val="001878D1"/>
    <w:rsid w:val="00187921"/>
    <w:rsid w:val="00187937"/>
    <w:rsid w:val="00187943"/>
    <w:rsid w:val="00187AB2"/>
    <w:rsid w:val="00187CC9"/>
    <w:rsid w:val="00187D1B"/>
    <w:rsid w:val="00187D7C"/>
    <w:rsid w:val="00187D88"/>
    <w:rsid w:val="00187E78"/>
    <w:rsid w:val="00187E98"/>
    <w:rsid w:val="00187EB1"/>
    <w:rsid w:val="0018C762"/>
    <w:rsid w:val="001900B2"/>
    <w:rsid w:val="0019015E"/>
    <w:rsid w:val="001901B1"/>
    <w:rsid w:val="0019025E"/>
    <w:rsid w:val="00190384"/>
    <w:rsid w:val="001903BF"/>
    <w:rsid w:val="00190620"/>
    <w:rsid w:val="0019065D"/>
    <w:rsid w:val="00190693"/>
    <w:rsid w:val="001906F3"/>
    <w:rsid w:val="0019074B"/>
    <w:rsid w:val="001909A9"/>
    <w:rsid w:val="001909E3"/>
    <w:rsid w:val="00190A5C"/>
    <w:rsid w:val="00190AD1"/>
    <w:rsid w:val="00190C5B"/>
    <w:rsid w:val="00190C97"/>
    <w:rsid w:val="00190E1C"/>
    <w:rsid w:val="00190EB6"/>
    <w:rsid w:val="00190EC4"/>
    <w:rsid w:val="00190F73"/>
    <w:rsid w:val="00191062"/>
    <w:rsid w:val="00191075"/>
    <w:rsid w:val="00191193"/>
    <w:rsid w:val="001912A7"/>
    <w:rsid w:val="00191300"/>
    <w:rsid w:val="0019139C"/>
    <w:rsid w:val="00191457"/>
    <w:rsid w:val="00191654"/>
    <w:rsid w:val="00191785"/>
    <w:rsid w:val="00191878"/>
    <w:rsid w:val="00191947"/>
    <w:rsid w:val="00191994"/>
    <w:rsid w:val="001919D8"/>
    <w:rsid w:val="00191A22"/>
    <w:rsid w:val="00191B17"/>
    <w:rsid w:val="00191BC1"/>
    <w:rsid w:val="00191C7F"/>
    <w:rsid w:val="00191CFA"/>
    <w:rsid w:val="00191D40"/>
    <w:rsid w:val="001921A3"/>
    <w:rsid w:val="001921A6"/>
    <w:rsid w:val="001921BF"/>
    <w:rsid w:val="001921EC"/>
    <w:rsid w:val="001922DE"/>
    <w:rsid w:val="001923E5"/>
    <w:rsid w:val="0019247B"/>
    <w:rsid w:val="0019260D"/>
    <w:rsid w:val="00192689"/>
    <w:rsid w:val="00192751"/>
    <w:rsid w:val="00192816"/>
    <w:rsid w:val="00192878"/>
    <w:rsid w:val="00192902"/>
    <w:rsid w:val="00192915"/>
    <w:rsid w:val="00192921"/>
    <w:rsid w:val="0019294D"/>
    <w:rsid w:val="0019296F"/>
    <w:rsid w:val="001929D1"/>
    <w:rsid w:val="001929DB"/>
    <w:rsid w:val="00192A19"/>
    <w:rsid w:val="00192BF5"/>
    <w:rsid w:val="00192C60"/>
    <w:rsid w:val="00192E0B"/>
    <w:rsid w:val="00192F9D"/>
    <w:rsid w:val="00193017"/>
    <w:rsid w:val="00193020"/>
    <w:rsid w:val="00193025"/>
    <w:rsid w:val="0019302F"/>
    <w:rsid w:val="001930BE"/>
    <w:rsid w:val="001931FC"/>
    <w:rsid w:val="0019329E"/>
    <w:rsid w:val="001934A4"/>
    <w:rsid w:val="00193593"/>
    <w:rsid w:val="001935D6"/>
    <w:rsid w:val="001937C9"/>
    <w:rsid w:val="001938FB"/>
    <w:rsid w:val="00193908"/>
    <w:rsid w:val="00193976"/>
    <w:rsid w:val="001939AC"/>
    <w:rsid w:val="00193A50"/>
    <w:rsid w:val="00193D9F"/>
    <w:rsid w:val="00193E02"/>
    <w:rsid w:val="00194137"/>
    <w:rsid w:val="001941D2"/>
    <w:rsid w:val="001942E9"/>
    <w:rsid w:val="001942FD"/>
    <w:rsid w:val="0019448A"/>
    <w:rsid w:val="001944CA"/>
    <w:rsid w:val="00194557"/>
    <w:rsid w:val="001945F9"/>
    <w:rsid w:val="00194607"/>
    <w:rsid w:val="00194652"/>
    <w:rsid w:val="0019466C"/>
    <w:rsid w:val="00194686"/>
    <w:rsid w:val="0019475C"/>
    <w:rsid w:val="00194775"/>
    <w:rsid w:val="0019499B"/>
    <w:rsid w:val="00194A8C"/>
    <w:rsid w:val="00194C04"/>
    <w:rsid w:val="00194D29"/>
    <w:rsid w:val="00194EFD"/>
    <w:rsid w:val="00195081"/>
    <w:rsid w:val="00195175"/>
    <w:rsid w:val="0019521A"/>
    <w:rsid w:val="0019527F"/>
    <w:rsid w:val="001952E4"/>
    <w:rsid w:val="0019540B"/>
    <w:rsid w:val="00195629"/>
    <w:rsid w:val="001956CA"/>
    <w:rsid w:val="00195793"/>
    <w:rsid w:val="001957EF"/>
    <w:rsid w:val="00195A63"/>
    <w:rsid w:val="00195AA1"/>
    <w:rsid w:val="00195B09"/>
    <w:rsid w:val="00195CD3"/>
    <w:rsid w:val="00195D5E"/>
    <w:rsid w:val="00195E1E"/>
    <w:rsid w:val="0019600B"/>
    <w:rsid w:val="001964A4"/>
    <w:rsid w:val="001966A8"/>
    <w:rsid w:val="00196791"/>
    <w:rsid w:val="00196818"/>
    <w:rsid w:val="00196878"/>
    <w:rsid w:val="00196947"/>
    <w:rsid w:val="00196955"/>
    <w:rsid w:val="00196966"/>
    <w:rsid w:val="00196AAB"/>
    <w:rsid w:val="00196B82"/>
    <w:rsid w:val="00196D0C"/>
    <w:rsid w:val="00196E48"/>
    <w:rsid w:val="00196EB8"/>
    <w:rsid w:val="00196EFB"/>
    <w:rsid w:val="00197022"/>
    <w:rsid w:val="00197049"/>
    <w:rsid w:val="00197439"/>
    <w:rsid w:val="00197509"/>
    <w:rsid w:val="00197954"/>
    <w:rsid w:val="0019798F"/>
    <w:rsid w:val="001979FF"/>
    <w:rsid w:val="00197B17"/>
    <w:rsid w:val="00197BFF"/>
    <w:rsid w:val="00197CD6"/>
    <w:rsid w:val="00197F58"/>
    <w:rsid w:val="001A01AF"/>
    <w:rsid w:val="001A01CD"/>
    <w:rsid w:val="001A036A"/>
    <w:rsid w:val="001A040A"/>
    <w:rsid w:val="001A04CD"/>
    <w:rsid w:val="001A054A"/>
    <w:rsid w:val="001A0552"/>
    <w:rsid w:val="001A05EA"/>
    <w:rsid w:val="001A071D"/>
    <w:rsid w:val="001A0966"/>
    <w:rsid w:val="001A0C14"/>
    <w:rsid w:val="001A0C74"/>
    <w:rsid w:val="001A0D1E"/>
    <w:rsid w:val="001A0D9D"/>
    <w:rsid w:val="001A0FDC"/>
    <w:rsid w:val="001A0FF3"/>
    <w:rsid w:val="001A1000"/>
    <w:rsid w:val="001A1077"/>
    <w:rsid w:val="001A11F6"/>
    <w:rsid w:val="001A1254"/>
    <w:rsid w:val="001A126F"/>
    <w:rsid w:val="001A12E8"/>
    <w:rsid w:val="001A14DB"/>
    <w:rsid w:val="001A155C"/>
    <w:rsid w:val="001A1788"/>
    <w:rsid w:val="001A17B2"/>
    <w:rsid w:val="001A17BC"/>
    <w:rsid w:val="001A17C7"/>
    <w:rsid w:val="001A1844"/>
    <w:rsid w:val="001A188A"/>
    <w:rsid w:val="001A189A"/>
    <w:rsid w:val="001A1950"/>
    <w:rsid w:val="001A1B64"/>
    <w:rsid w:val="001A1BB2"/>
    <w:rsid w:val="001A1C54"/>
    <w:rsid w:val="001A1CCD"/>
    <w:rsid w:val="001A1CE0"/>
    <w:rsid w:val="001A1DD3"/>
    <w:rsid w:val="001A1E47"/>
    <w:rsid w:val="001A1EE0"/>
    <w:rsid w:val="001A1F0A"/>
    <w:rsid w:val="001A1FDA"/>
    <w:rsid w:val="001A2175"/>
    <w:rsid w:val="001A2393"/>
    <w:rsid w:val="001A2602"/>
    <w:rsid w:val="001A271A"/>
    <w:rsid w:val="001A2816"/>
    <w:rsid w:val="001A291E"/>
    <w:rsid w:val="001A2AB2"/>
    <w:rsid w:val="001A2AEC"/>
    <w:rsid w:val="001A2B50"/>
    <w:rsid w:val="001A2C4B"/>
    <w:rsid w:val="001A2CEA"/>
    <w:rsid w:val="001A2D87"/>
    <w:rsid w:val="001A2E6F"/>
    <w:rsid w:val="001A319C"/>
    <w:rsid w:val="001A32DB"/>
    <w:rsid w:val="001A33E9"/>
    <w:rsid w:val="001A33EA"/>
    <w:rsid w:val="001A346C"/>
    <w:rsid w:val="001A349A"/>
    <w:rsid w:val="001A3612"/>
    <w:rsid w:val="001A3621"/>
    <w:rsid w:val="001A363A"/>
    <w:rsid w:val="001A3725"/>
    <w:rsid w:val="001A381D"/>
    <w:rsid w:val="001A389D"/>
    <w:rsid w:val="001A39D9"/>
    <w:rsid w:val="001A3A7D"/>
    <w:rsid w:val="001A3ACE"/>
    <w:rsid w:val="001A3C2C"/>
    <w:rsid w:val="001A3C5A"/>
    <w:rsid w:val="001A3C99"/>
    <w:rsid w:val="001A3E45"/>
    <w:rsid w:val="001A3ED0"/>
    <w:rsid w:val="001A3ED3"/>
    <w:rsid w:val="001A4288"/>
    <w:rsid w:val="001A448C"/>
    <w:rsid w:val="001A4555"/>
    <w:rsid w:val="001A45D6"/>
    <w:rsid w:val="001A47A5"/>
    <w:rsid w:val="001A4891"/>
    <w:rsid w:val="001A493D"/>
    <w:rsid w:val="001A49C2"/>
    <w:rsid w:val="001A4A38"/>
    <w:rsid w:val="001A4BE6"/>
    <w:rsid w:val="001A4D35"/>
    <w:rsid w:val="001A4E58"/>
    <w:rsid w:val="001A4EBB"/>
    <w:rsid w:val="001A5073"/>
    <w:rsid w:val="001A519E"/>
    <w:rsid w:val="001A5246"/>
    <w:rsid w:val="001A52CA"/>
    <w:rsid w:val="001A543F"/>
    <w:rsid w:val="001A5472"/>
    <w:rsid w:val="001A5625"/>
    <w:rsid w:val="001A5677"/>
    <w:rsid w:val="001A5701"/>
    <w:rsid w:val="001A570F"/>
    <w:rsid w:val="001A58EF"/>
    <w:rsid w:val="001A59A7"/>
    <w:rsid w:val="001A5A15"/>
    <w:rsid w:val="001A5CF9"/>
    <w:rsid w:val="001A5D83"/>
    <w:rsid w:val="001A5E04"/>
    <w:rsid w:val="001A5E72"/>
    <w:rsid w:val="001A5F9E"/>
    <w:rsid w:val="001A5FB0"/>
    <w:rsid w:val="001A616E"/>
    <w:rsid w:val="001A61A4"/>
    <w:rsid w:val="001A61E4"/>
    <w:rsid w:val="001A624A"/>
    <w:rsid w:val="001A6272"/>
    <w:rsid w:val="001A6565"/>
    <w:rsid w:val="001A664D"/>
    <w:rsid w:val="001A66F9"/>
    <w:rsid w:val="001A6797"/>
    <w:rsid w:val="001A67FC"/>
    <w:rsid w:val="001A6921"/>
    <w:rsid w:val="001A6A7E"/>
    <w:rsid w:val="001A6B5C"/>
    <w:rsid w:val="001A6C97"/>
    <w:rsid w:val="001A6FEF"/>
    <w:rsid w:val="001A707C"/>
    <w:rsid w:val="001A713C"/>
    <w:rsid w:val="001A71A9"/>
    <w:rsid w:val="001A726D"/>
    <w:rsid w:val="001A7304"/>
    <w:rsid w:val="001A73A7"/>
    <w:rsid w:val="001A74F8"/>
    <w:rsid w:val="001A7700"/>
    <w:rsid w:val="001A7803"/>
    <w:rsid w:val="001A7BF0"/>
    <w:rsid w:val="001B0020"/>
    <w:rsid w:val="001B005A"/>
    <w:rsid w:val="001B008C"/>
    <w:rsid w:val="001B00D9"/>
    <w:rsid w:val="001B0195"/>
    <w:rsid w:val="001B0196"/>
    <w:rsid w:val="001B02E9"/>
    <w:rsid w:val="001B0427"/>
    <w:rsid w:val="001B0563"/>
    <w:rsid w:val="001B058F"/>
    <w:rsid w:val="001B05A4"/>
    <w:rsid w:val="001B05D0"/>
    <w:rsid w:val="001B0621"/>
    <w:rsid w:val="001B0834"/>
    <w:rsid w:val="001B0913"/>
    <w:rsid w:val="001B09AC"/>
    <w:rsid w:val="001B0A8D"/>
    <w:rsid w:val="001B0A95"/>
    <w:rsid w:val="001B0C7C"/>
    <w:rsid w:val="001B0D62"/>
    <w:rsid w:val="001B0E45"/>
    <w:rsid w:val="001B0FD5"/>
    <w:rsid w:val="001B10C6"/>
    <w:rsid w:val="001B11BA"/>
    <w:rsid w:val="001B1243"/>
    <w:rsid w:val="001B1390"/>
    <w:rsid w:val="001B16BA"/>
    <w:rsid w:val="001B16CB"/>
    <w:rsid w:val="001B17FD"/>
    <w:rsid w:val="001B1AB0"/>
    <w:rsid w:val="001B1B76"/>
    <w:rsid w:val="001B1BA0"/>
    <w:rsid w:val="001B1BA5"/>
    <w:rsid w:val="001B1D7E"/>
    <w:rsid w:val="001B2205"/>
    <w:rsid w:val="001B223A"/>
    <w:rsid w:val="001B22E4"/>
    <w:rsid w:val="001B2348"/>
    <w:rsid w:val="001B2492"/>
    <w:rsid w:val="001B2493"/>
    <w:rsid w:val="001B275A"/>
    <w:rsid w:val="001B29AD"/>
    <w:rsid w:val="001B29DF"/>
    <w:rsid w:val="001B2A5E"/>
    <w:rsid w:val="001B2A81"/>
    <w:rsid w:val="001B2AB9"/>
    <w:rsid w:val="001B2B77"/>
    <w:rsid w:val="001B2C07"/>
    <w:rsid w:val="001B2C60"/>
    <w:rsid w:val="001B2CA1"/>
    <w:rsid w:val="001B2E82"/>
    <w:rsid w:val="001B3102"/>
    <w:rsid w:val="001B3240"/>
    <w:rsid w:val="001B32E5"/>
    <w:rsid w:val="001B345D"/>
    <w:rsid w:val="001B356C"/>
    <w:rsid w:val="001B3699"/>
    <w:rsid w:val="001B36C2"/>
    <w:rsid w:val="001B395F"/>
    <w:rsid w:val="001B3A54"/>
    <w:rsid w:val="001B3B5B"/>
    <w:rsid w:val="001B3C1D"/>
    <w:rsid w:val="001B3E1A"/>
    <w:rsid w:val="001B3E44"/>
    <w:rsid w:val="001B3FC5"/>
    <w:rsid w:val="001B3FDE"/>
    <w:rsid w:val="001B401D"/>
    <w:rsid w:val="001B4020"/>
    <w:rsid w:val="001B424D"/>
    <w:rsid w:val="001B42A2"/>
    <w:rsid w:val="001B4315"/>
    <w:rsid w:val="001B4478"/>
    <w:rsid w:val="001B45DB"/>
    <w:rsid w:val="001B46E9"/>
    <w:rsid w:val="001B4799"/>
    <w:rsid w:val="001B47AE"/>
    <w:rsid w:val="001B49FB"/>
    <w:rsid w:val="001B4A28"/>
    <w:rsid w:val="001B4BC7"/>
    <w:rsid w:val="001B4D65"/>
    <w:rsid w:val="001B4E72"/>
    <w:rsid w:val="001B4E7F"/>
    <w:rsid w:val="001B4FFE"/>
    <w:rsid w:val="001B502C"/>
    <w:rsid w:val="001B5125"/>
    <w:rsid w:val="001B5224"/>
    <w:rsid w:val="001B5409"/>
    <w:rsid w:val="001B5463"/>
    <w:rsid w:val="001B5555"/>
    <w:rsid w:val="001B5582"/>
    <w:rsid w:val="001B560C"/>
    <w:rsid w:val="001B563A"/>
    <w:rsid w:val="001B5695"/>
    <w:rsid w:val="001B56D1"/>
    <w:rsid w:val="001B56EA"/>
    <w:rsid w:val="001B577B"/>
    <w:rsid w:val="001B57B2"/>
    <w:rsid w:val="001B5ACF"/>
    <w:rsid w:val="001B5B0F"/>
    <w:rsid w:val="001B5D9E"/>
    <w:rsid w:val="001B5F17"/>
    <w:rsid w:val="001B60FD"/>
    <w:rsid w:val="001B615E"/>
    <w:rsid w:val="001B619E"/>
    <w:rsid w:val="001B6324"/>
    <w:rsid w:val="001B635C"/>
    <w:rsid w:val="001B63F0"/>
    <w:rsid w:val="001B641D"/>
    <w:rsid w:val="001B646E"/>
    <w:rsid w:val="001B6688"/>
    <w:rsid w:val="001B66B6"/>
    <w:rsid w:val="001B66FB"/>
    <w:rsid w:val="001B675C"/>
    <w:rsid w:val="001B698C"/>
    <w:rsid w:val="001B6A31"/>
    <w:rsid w:val="001B6A6D"/>
    <w:rsid w:val="001B6B96"/>
    <w:rsid w:val="001B6C0D"/>
    <w:rsid w:val="001B6D39"/>
    <w:rsid w:val="001B6DF8"/>
    <w:rsid w:val="001B6F43"/>
    <w:rsid w:val="001B7033"/>
    <w:rsid w:val="001B71C8"/>
    <w:rsid w:val="001B72D1"/>
    <w:rsid w:val="001B72E7"/>
    <w:rsid w:val="001B7322"/>
    <w:rsid w:val="001B738B"/>
    <w:rsid w:val="001B73FF"/>
    <w:rsid w:val="001B748B"/>
    <w:rsid w:val="001B757D"/>
    <w:rsid w:val="001B75D3"/>
    <w:rsid w:val="001B7620"/>
    <w:rsid w:val="001B7701"/>
    <w:rsid w:val="001B7804"/>
    <w:rsid w:val="001B78D9"/>
    <w:rsid w:val="001B797E"/>
    <w:rsid w:val="001B7A23"/>
    <w:rsid w:val="001B7A41"/>
    <w:rsid w:val="001B7D3E"/>
    <w:rsid w:val="001B7DDF"/>
    <w:rsid w:val="001B7E7E"/>
    <w:rsid w:val="001B7EBF"/>
    <w:rsid w:val="001B7F6A"/>
    <w:rsid w:val="001C002D"/>
    <w:rsid w:val="001C0070"/>
    <w:rsid w:val="001C009B"/>
    <w:rsid w:val="001C0144"/>
    <w:rsid w:val="001C03C5"/>
    <w:rsid w:val="001C048C"/>
    <w:rsid w:val="001C04C2"/>
    <w:rsid w:val="001C054F"/>
    <w:rsid w:val="001C0690"/>
    <w:rsid w:val="001C072A"/>
    <w:rsid w:val="001C082A"/>
    <w:rsid w:val="001C08D3"/>
    <w:rsid w:val="001C09DB"/>
    <w:rsid w:val="001C0CED"/>
    <w:rsid w:val="001C0EF1"/>
    <w:rsid w:val="001C1034"/>
    <w:rsid w:val="001C109F"/>
    <w:rsid w:val="001C1116"/>
    <w:rsid w:val="001C11CC"/>
    <w:rsid w:val="001C11E7"/>
    <w:rsid w:val="001C1204"/>
    <w:rsid w:val="001C12ED"/>
    <w:rsid w:val="001C1490"/>
    <w:rsid w:val="001C15B9"/>
    <w:rsid w:val="001C163D"/>
    <w:rsid w:val="001C185C"/>
    <w:rsid w:val="001C1874"/>
    <w:rsid w:val="001C19FA"/>
    <w:rsid w:val="001C1ADF"/>
    <w:rsid w:val="001C1C09"/>
    <w:rsid w:val="001C1C1D"/>
    <w:rsid w:val="001C1C22"/>
    <w:rsid w:val="001C1C98"/>
    <w:rsid w:val="001C1CCA"/>
    <w:rsid w:val="001C1D99"/>
    <w:rsid w:val="001C1F9E"/>
    <w:rsid w:val="001C204B"/>
    <w:rsid w:val="001C2196"/>
    <w:rsid w:val="001C25DB"/>
    <w:rsid w:val="001C265A"/>
    <w:rsid w:val="001C2737"/>
    <w:rsid w:val="001C274A"/>
    <w:rsid w:val="001C277E"/>
    <w:rsid w:val="001C27E2"/>
    <w:rsid w:val="001C2814"/>
    <w:rsid w:val="001C2917"/>
    <w:rsid w:val="001C2954"/>
    <w:rsid w:val="001C2A19"/>
    <w:rsid w:val="001C2A72"/>
    <w:rsid w:val="001C2ABF"/>
    <w:rsid w:val="001C2D01"/>
    <w:rsid w:val="001C2D41"/>
    <w:rsid w:val="001C2E0F"/>
    <w:rsid w:val="001C2E88"/>
    <w:rsid w:val="001C2EEF"/>
    <w:rsid w:val="001C3080"/>
    <w:rsid w:val="001C31B7"/>
    <w:rsid w:val="001C330A"/>
    <w:rsid w:val="001C343C"/>
    <w:rsid w:val="001C34DE"/>
    <w:rsid w:val="001C3573"/>
    <w:rsid w:val="001C35E0"/>
    <w:rsid w:val="001C3658"/>
    <w:rsid w:val="001C3671"/>
    <w:rsid w:val="001C39B1"/>
    <w:rsid w:val="001C3A71"/>
    <w:rsid w:val="001C3ABA"/>
    <w:rsid w:val="001C3C03"/>
    <w:rsid w:val="001C3CFB"/>
    <w:rsid w:val="001C3E8F"/>
    <w:rsid w:val="001C3F0A"/>
    <w:rsid w:val="001C3F88"/>
    <w:rsid w:val="001C3FBA"/>
    <w:rsid w:val="001C3FBC"/>
    <w:rsid w:val="001C3FE8"/>
    <w:rsid w:val="001C4141"/>
    <w:rsid w:val="001C42A1"/>
    <w:rsid w:val="001C43CF"/>
    <w:rsid w:val="001C45AF"/>
    <w:rsid w:val="001C46BE"/>
    <w:rsid w:val="001C4703"/>
    <w:rsid w:val="001C48B7"/>
    <w:rsid w:val="001C4952"/>
    <w:rsid w:val="001C4999"/>
    <w:rsid w:val="001C4A09"/>
    <w:rsid w:val="001C4A82"/>
    <w:rsid w:val="001C4AFC"/>
    <w:rsid w:val="001C4B18"/>
    <w:rsid w:val="001C4B1E"/>
    <w:rsid w:val="001C4D09"/>
    <w:rsid w:val="001C4D0A"/>
    <w:rsid w:val="001C4E23"/>
    <w:rsid w:val="001C5043"/>
    <w:rsid w:val="001C505D"/>
    <w:rsid w:val="001C509C"/>
    <w:rsid w:val="001C52D0"/>
    <w:rsid w:val="001C55AE"/>
    <w:rsid w:val="001C563E"/>
    <w:rsid w:val="001C566A"/>
    <w:rsid w:val="001C582E"/>
    <w:rsid w:val="001C596B"/>
    <w:rsid w:val="001C5A46"/>
    <w:rsid w:val="001C5A99"/>
    <w:rsid w:val="001C5B20"/>
    <w:rsid w:val="001C5B5A"/>
    <w:rsid w:val="001C5C1A"/>
    <w:rsid w:val="001C5DD8"/>
    <w:rsid w:val="001C5F3A"/>
    <w:rsid w:val="001C60E4"/>
    <w:rsid w:val="001C6172"/>
    <w:rsid w:val="001C630F"/>
    <w:rsid w:val="001C637F"/>
    <w:rsid w:val="001C6397"/>
    <w:rsid w:val="001C63A9"/>
    <w:rsid w:val="001C63AB"/>
    <w:rsid w:val="001C63D9"/>
    <w:rsid w:val="001C669A"/>
    <w:rsid w:val="001C689B"/>
    <w:rsid w:val="001C69FC"/>
    <w:rsid w:val="001C6B3D"/>
    <w:rsid w:val="001C6B6C"/>
    <w:rsid w:val="001C6BA5"/>
    <w:rsid w:val="001C7010"/>
    <w:rsid w:val="001C7297"/>
    <w:rsid w:val="001C72C5"/>
    <w:rsid w:val="001C72CB"/>
    <w:rsid w:val="001C736D"/>
    <w:rsid w:val="001C73AC"/>
    <w:rsid w:val="001C73F6"/>
    <w:rsid w:val="001C746E"/>
    <w:rsid w:val="001C748E"/>
    <w:rsid w:val="001C75DE"/>
    <w:rsid w:val="001C77CC"/>
    <w:rsid w:val="001C7879"/>
    <w:rsid w:val="001C7A35"/>
    <w:rsid w:val="001C7BD5"/>
    <w:rsid w:val="001C7C22"/>
    <w:rsid w:val="001C7D2B"/>
    <w:rsid w:val="001C7D3D"/>
    <w:rsid w:val="001C7D98"/>
    <w:rsid w:val="001C7E38"/>
    <w:rsid w:val="001C7EB8"/>
    <w:rsid w:val="001C7FA3"/>
    <w:rsid w:val="001C7FE4"/>
    <w:rsid w:val="001D000D"/>
    <w:rsid w:val="001D008D"/>
    <w:rsid w:val="001D0127"/>
    <w:rsid w:val="001D0189"/>
    <w:rsid w:val="001D0203"/>
    <w:rsid w:val="001D0372"/>
    <w:rsid w:val="001D0544"/>
    <w:rsid w:val="001D05D5"/>
    <w:rsid w:val="001D0691"/>
    <w:rsid w:val="001D0770"/>
    <w:rsid w:val="001D081B"/>
    <w:rsid w:val="001D0870"/>
    <w:rsid w:val="001D0AFC"/>
    <w:rsid w:val="001D0B75"/>
    <w:rsid w:val="001D0C3E"/>
    <w:rsid w:val="001D0DFC"/>
    <w:rsid w:val="001D0F2B"/>
    <w:rsid w:val="001D1021"/>
    <w:rsid w:val="001D116C"/>
    <w:rsid w:val="001D1348"/>
    <w:rsid w:val="001D13AE"/>
    <w:rsid w:val="001D13D6"/>
    <w:rsid w:val="001D148C"/>
    <w:rsid w:val="001D1509"/>
    <w:rsid w:val="001D1511"/>
    <w:rsid w:val="001D1748"/>
    <w:rsid w:val="001D176B"/>
    <w:rsid w:val="001D1881"/>
    <w:rsid w:val="001D1994"/>
    <w:rsid w:val="001D1AA7"/>
    <w:rsid w:val="001D1B12"/>
    <w:rsid w:val="001D1D1C"/>
    <w:rsid w:val="001D1DAC"/>
    <w:rsid w:val="001D1F2C"/>
    <w:rsid w:val="001D1F35"/>
    <w:rsid w:val="001D1FB4"/>
    <w:rsid w:val="001D203C"/>
    <w:rsid w:val="001D203E"/>
    <w:rsid w:val="001D2140"/>
    <w:rsid w:val="001D247B"/>
    <w:rsid w:val="001D2820"/>
    <w:rsid w:val="001D2825"/>
    <w:rsid w:val="001D2829"/>
    <w:rsid w:val="001D2986"/>
    <w:rsid w:val="001D2B45"/>
    <w:rsid w:val="001D2BAC"/>
    <w:rsid w:val="001D2D4F"/>
    <w:rsid w:val="001D2DE3"/>
    <w:rsid w:val="001D3025"/>
    <w:rsid w:val="001D3069"/>
    <w:rsid w:val="001D30B3"/>
    <w:rsid w:val="001D30CB"/>
    <w:rsid w:val="001D3105"/>
    <w:rsid w:val="001D3135"/>
    <w:rsid w:val="001D33F5"/>
    <w:rsid w:val="001D33F9"/>
    <w:rsid w:val="001D34D5"/>
    <w:rsid w:val="001D3646"/>
    <w:rsid w:val="001D36CB"/>
    <w:rsid w:val="001D38EC"/>
    <w:rsid w:val="001D3906"/>
    <w:rsid w:val="001D39A5"/>
    <w:rsid w:val="001D3BAB"/>
    <w:rsid w:val="001D3C09"/>
    <w:rsid w:val="001D3C9F"/>
    <w:rsid w:val="001D3D32"/>
    <w:rsid w:val="001D3E09"/>
    <w:rsid w:val="001D3E63"/>
    <w:rsid w:val="001D3E68"/>
    <w:rsid w:val="001D3E8C"/>
    <w:rsid w:val="001D401C"/>
    <w:rsid w:val="001D40B3"/>
    <w:rsid w:val="001D40FD"/>
    <w:rsid w:val="001D423A"/>
    <w:rsid w:val="001D4298"/>
    <w:rsid w:val="001D42C7"/>
    <w:rsid w:val="001D437B"/>
    <w:rsid w:val="001D43C4"/>
    <w:rsid w:val="001D44C3"/>
    <w:rsid w:val="001D44E8"/>
    <w:rsid w:val="001D454B"/>
    <w:rsid w:val="001D45EF"/>
    <w:rsid w:val="001D460B"/>
    <w:rsid w:val="001D463E"/>
    <w:rsid w:val="001D467F"/>
    <w:rsid w:val="001D478B"/>
    <w:rsid w:val="001D47FC"/>
    <w:rsid w:val="001D4854"/>
    <w:rsid w:val="001D485E"/>
    <w:rsid w:val="001D4943"/>
    <w:rsid w:val="001D4A0E"/>
    <w:rsid w:val="001D4A71"/>
    <w:rsid w:val="001D4A7F"/>
    <w:rsid w:val="001D4B51"/>
    <w:rsid w:val="001D4BCA"/>
    <w:rsid w:val="001D4C78"/>
    <w:rsid w:val="001D4E19"/>
    <w:rsid w:val="001D5086"/>
    <w:rsid w:val="001D50CA"/>
    <w:rsid w:val="001D544F"/>
    <w:rsid w:val="001D559A"/>
    <w:rsid w:val="001D55FB"/>
    <w:rsid w:val="001D569F"/>
    <w:rsid w:val="001D5757"/>
    <w:rsid w:val="001D5882"/>
    <w:rsid w:val="001D58A0"/>
    <w:rsid w:val="001D59D0"/>
    <w:rsid w:val="001D5B24"/>
    <w:rsid w:val="001D5B67"/>
    <w:rsid w:val="001D5D37"/>
    <w:rsid w:val="001D5E06"/>
    <w:rsid w:val="001D5EC5"/>
    <w:rsid w:val="001D606A"/>
    <w:rsid w:val="001D60BB"/>
    <w:rsid w:val="001D60EC"/>
    <w:rsid w:val="001D61E9"/>
    <w:rsid w:val="001D61F2"/>
    <w:rsid w:val="001D621D"/>
    <w:rsid w:val="001D6334"/>
    <w:rsid w:val="001D6342"/>
    <w:rsid w:val="001D63F2"/>
    <w:rsid w:val="001D64AE"/>
    <w:rsid w:val="001D6692"/>
    <w:rsid w:val="001D66D4"/>
    <w:rsid w:val="001D6734"/>
    <w:rsid w:val="001D6762"/>
    <w:rsid w:val="001D6813"/>
    <w:rsid w:val="001D6B42"/>
    <w:rsid w:val="001D6B81"/>
    <w:rsid w:val="001D6BB4"/>
    <w:rsid w:val="001D6CC3"/>
    <w:rsid w:val="001D6CDD"/>
    <w:rsid w:val="001D6D4F"/>
    <w:rsid w:val="001D6D80"/>
    <w:rsid w:val="001D6E08"/>
    <w:rsid w:val="001D6E3C"/>
    <w:rsid w:val="001D6EFB"/>
    <w:rsid w:val="001D6F59"/>
    <w:rsid w:val="001D7181"/>
    <w:rsid w:val="001D7215"/>
    <w:rsid w:val="001D72AB"/>
    <w:rsid w:val="001D72BD"/>
    <w:rsid w:val="001D7556"/>
    <w:rsid w:val="001D75F9"/>
    <w:rsid w:val="001D7658"/>
    <w:rsid w:val="001D7753"/>
    <w:rsid w:val="001D7754"/>
    <w:rsid w:val="001D77C0"/>
    <w:rsid w:val="001D7A4C"/>
    <w:rsid w:val="001D7B0D"/>
    <w:rsid w:val="001D7B66"/>
    <w:rsid w:val="001D7BBE"/>
    <w:rsid w:val="001D7D79"/>
    <w:rsid w:val="001D7DF7"/>
    <w:rsid w:val="001D7E28"/>
    <w:rsid w:val="001E00BD"/>
    <w:rsid w:val="001E022F"/>
    <w:rsid w:val="001E02FD"/>
    <w:rsid w:val="001E041A"/>
    <w:rsid w:val="001E0463"/>
    <w:rsid w:val="001E053C"/>
    <w:rsid w:val="001E060B"/>
    <w:rsid w:val="001E0696"/>
    <w:rsid w:val="001E0771"/>
    <w:rsid w:val="001E0853"/>
    <w:rsid w:val="001E0B66"/>
    <w:rsid w:val="001E0BD4"/>
    <w:rsid w:val="001E0BF7"/>
    <w:rsid w:val="001E0C56"/>
    <w:rsid w:val="001E0C63"/>
    <w:rsid w:val="001E0D28"/>
    <w:rsid w:val="001E0EC7"/>
    <w:rsid w:val="001E0EF5"/>
    <w:rsid w:val="001E11FF"/>
    <w:rsid w:val="001E1257"/>
    <w:rsid w:val="001E132F"/>
    <w:rsid w:val="001E1397"/>
    <w:rsid w:val="001E13EC"/>
    <w:rsid w:val="001E140B"/>
    <w:rsid w:val="001E1498"/>
    <w:rsid w:val="001E16CD"/>
    <w:rsid w:val="001E1992"/>
    <w:rsid w:val="001E1AD4"/>
    <w:rsid w:val="001E1AEC"/>
    <w:rsid w:val="001E1C7D"/>
    <w:rsid w:val="001E1C94"/>
    <w:rsid w:val="001E1D2E"/>
    <w:rsid w:val="001E1EE8"/>
    <w:rsid w:val="001E20D0"/>
    <w:rsid w:val="001E220B"/>
    <w:rsid w:val="001E2300"/>
    <w:rsid w:val="001E230B"/>
    <w:rsid w:val="001E2441"/>
    <w:rsid w:val="001E26CB"/>
    <w:rsid w:val="001E274A"/>
    <w:rsid w:val="001E27A7"/>
    <w:rsid w:val="001E280B"/>
    <w:rsid w:val="001E289A"/>
    <w:rsid w:val="001E2BC8"/>
    <w:rsid w:val="001E2EA4"/>
    <w:rsid w:val="001E302D"/>
    <w:rsid w:val="001E305A"/>
    <w:rsid w:val="001E3151"/>
    <w:rsid w:val="001E336E"/>
    <w:rsid w:val="001E33E7"/>
    <w:rsid w:val="001E341F"/>
    <w:rsid w:val="001E34DA"/>
    <w:rsid w:val="001E3767"/>
    <w:rsid w:val="001E37AF"/>
    <w:rsid w:val="001E3ABC"/>
    <w:rsid w:val="001E3ADD"/>
    <w:rsid w:val="001E3B61"/>
    <w:rsid w:val="001E3B74"/>
    <w:rsid w:val="001E3BC1"/>
    <w:rsid w:val="001E3D9F"/>
    <w:rsid w:val="001E41DE"/>
    <w:rsid w:val="001E422C"/>
    <w:rsid w:val="001E437A"/>
    <w:rsid w:val="001E4405"/>
    <w:rsid w:val="001E44BA"/>
    <w:rsid w:val="001E44DF"/>
    <w:rsid w:val="001E46A8"/>
    <w:rsid w:val="001E4C43"/>
    <w:rsid w:val="001E4C55"/>
    <w:rsid w:val="001E4CE8"/>
    <w:rsid w:val="001E4D3F"/>
    <w:rsid w:val="001E5264"/>
    <w:rsid w:val="001E52FB"/>
    <w:rsid w:val="001E53C0"/>
    <w:rsid w:val="001E54A1"/>
    <w:rsid w:val="001E55B8"/>
    <w:rsid w:val="001E55E4"/>
    <w:rsid w:val="001E56FE"/>
    <w:rsid w:val="001E5986"/>
    <w:rsid w:val="001E5D1C"/>
    <w:rsid w:val="001E5EBD"/>
    <w:rsid w:val="001E5F4B"/>
    <w:rsid w:val="001E5FE7"/>
    <w:rsid w:val="001E60C1"/>
    <w:rsid w:val="001E63C5"/>
    <w:rsid w:val="001E644D"/>
    <w:rsid w:val="001E6468"/>
    <w:rsid w:val="001E6530"/>
    <w:rsid w:val="001E6536"/>
    <w:rsid w:val="001E6549"/>
    <w:rsid w:val="001E6752"/>
    <w:rsid w:val="001E680A"/>
    <w:rsid w:val="001E68A0"/>
    <w:rsid w:val="001E68A5"/>
    <w:rsid w:val="001E6A02"/>
    <w:rsid w:val="001E6B0A"/>
    <w:rsid w:val="001E6B38"/>
    <w:rsid w:val="001E6B61"/>
    <w:rsid w:val="001E6BB0"/>
    <w:rsid w:val="001E6BEC"/>
    <w:rsid w:val="001E6C5F"/>
    <w:rsid w:val="001E6D8D"/>
    <w:rsid w:val="001E6D9C"/>
    <w:rsid w:val="001E6DED"/>
    <w:rsid w:val="001E6EE2"/>
    <w:rsid w:val="001E6EEA"/>
    <w:rsid w:val="001E6F76"/>
    <w:rsid w:val="001E6F91"/>
    <w:rsid w:val="001E6FBF"/>
    <w:rsid w:val="001E6FF8"/>
    <w:rsid w:val="001E6FF9"/>
    <w:rsid w:val="001E70CC"/>
    <w:rsid w:val="001E7282"/>
    <w:rsid w:val="001E7399"/>
    <w:rsid w:val="001E74CD"/>
    <w:rsid w:val="001E752D"/>
    <w:rsid w:val="001E7543"/>
    <w:rsid w:val="001E75BA"/>
    <w:rsid w:val="001E76F0"/>
    <w:rsid w:val="001E7753"/>
    <w:rsid w:val="001E783B"/>
    <w:rsid w:val="001E7889"/>
    <w:rsid w:val="001E79FF"/>
    <w:rsid w:val="001E7A1A"/>
    <w:rsid w:val="001E7B95"/>
    <w:rsid w:val="001E7D7C"/>
    <w:rsid w:val="001E7DF7"/>
    <w:rsid w:val="001E7EF1"/>
    <w:rsid w:val="001F0068"/>
    <w:rsid w:val="001F00C7"/>
    <w:rsid w:val="001F00CA"/>
    <w:rsid w:val="001F00DA"/>
    <w:rsid w:val="001F018B"/>
    <w:rsid w:val="001F01C8"/>
    <w:rsid w:val="001F01FF"/>
    <w:rsid w:val="001F022E"/>
    <w:rsid w:val="001F0440"/>
    <w:rsid w:val="001F04CA"/>
    <w:rsid w:val="001F0659"/>
    <w:rsid w:val="001F065E"/>
    <w:rsid w:val="001F0679"/>
    <w:rsid w:val="001F0703"/>
    <w:rsid w:val="001F08D2"/>
    <w:rsid w:val="001F094A"/>
    <w:rsid w:val="001F0ACA"/>
    <w:rsid w:val="001F0B4F"/>
    <w:rsid w:val="001F0CE0"/>
    <w:rsid w:val="001F0D80"/>
    <w:rsid w:val="001F0D94"/>
    <w:rsid w:val="001F0E5A"/>
    <w:rsid w:val="001F10C5"/>
    <w:rsid w:val="001F10CD"/>
    <w:rsid w:val="001F11E0"/>
    <w:rsid w:val="001F13CB"/>
    <w:rsid w:val="001F16F2"/>
    <w:rsid w:val="001F1729"/>
    <w:rsid w:val="001F176B"/>
    <w:rsid w:val="001F19CF"/>
    <w:rsid w:val="001F1C46"/>
    <w:rsid w:val="001F1D23"/>
    <w:rsid w:val="001F1F27"/>
    <w:rsid w:val="001F1FAE"/>
    <w:rsid w:val="001F1FF6"/>
    <w:rsid w:val="001F2061"/>
    <w:rsid w:val="001F21B9"/>
    <w:rsid w:val="001F21DE"/>
    <w:rsid w:val="001F222B"/>
    <w:rsid w:val="001F2359"/>
    <w:rsid w:val="001F23D9"/>
    <w:rsid w:val="001F23F4"/>
    <w:rsid w:val="001F242C"/>
    <w:rsid w:val="001F2616"/>
    <w:rsid w:val="001F2726"/>
    <w:rsid w:val="001F2809"/>
    <w:rsid w:val="001F29EA"/>
    <w:rsid w:val="001F2A67"/>
    <w:rsid w:val="001F2B62"/>
    <w:rsid w:val="001F2D2D"/>
    <w:rsid w:val="001F2D9F"/>
    <w:rsid w:val="001F2E34"/>
    <w:rsid w:val="001F2E3F"/>
    <w:rsid w:val="001F2EC9"/>
    <w:rsid w:val="001F2EFB"/>
    <w:rsid w:val="001F3039"/>
    <w:rsid w:val="001F3067"/>
    <w:rsid w:val="001F30FE"/>
    <w:rsid w:val="001F317B"/>
    <w:rsid w:val="001F3347"/>
    <w:rsid w:val="001F344A"/>
    <w:rsid w:val="001F34C5"/>
    <w:rsid w:val="001F35A9"/>
    <w:rsid w:val="001F35CE"/>
    <w:rsid w:val="001F3766"/>
    <w:rsid w:val="001F37D9"/>
    <w:rsid w:val="001F3826"/>
    <w:rsid w:val="001F389F"/>
    <w:rsid w:val="001F3A65"/>
    <w:rsid w:val="001F3B0F"/>
    <w:rsid w:val="001F3B48"/>
    <w:rsid w:val="001F3DC1"/>
    <w:rsid w:val="001F3E18"/>
    <w:rsid w:val="001F409F"/>
    <w:rsid w:val="001F4166"/>
    <w:rsid w:val="001F4258"/>
    <w:rsid w:val="001F43AF"/>
    <w:rsid w:val="001F4429"/>
    <w:rsid w:val="001F4689"/>
    <w:rsid w:val="001F468B"/>
    <w:rsid w:val="001F469A"/>
    <w:rsid w:val="001F472A"/>
    <w:rsid w:val="001F4888"/>
    <w:rsid w:val="001F50F2"/>
    <w:rsid w:val="001F50F8"/>
    <w:rsid w:val="001F5287"/>
    <w:rsid w:val="001F52B4"/>
    <w:rsid w:val="001F52D1"/>
    <w:rsid w:val="001F5308"/>
    <w:rsid w:val="001F53B3"/>
    <w:rsid w:val="001F579A"/>
    <w:rsid w:val="001F57E0"/>
    <w:rsid w:val="001F5901"/>
    <w:rsid w:val="001F5986"/>
    <w:rsid w:val="001F5A06"/>
    <w:rsid w:val="001F5A6D"/>
    <w:rsid w:val="001F5A75"/>
    <w:rsid w:val="001F5A77"/>
    <w:rsid w:val="001F5AA4"/>
    <w:rsid w:val="001F5AC2"/>
    <w:rsid w:val="001F5B0C"/>
    <w:rsid w:val="001F5C54"/>
    <w:rsid w:val="001F5C61"/>
    <w:rsid w:val="001F5C83"/>
    <w:rsid w:val="001F5D90"/>
    <w:rsid w:val="001F5E84"/>
    <w:rsid w:val="001F5EE7"/>
    <w:rsid w:val="001F5F1B"/>
    <w:rsid w:val="001F5FEB"/>
    <w:rsid w:val="001F61F9"/>
    <w:rsid w:val="001F6271"/>
    <w:rsid w:val="001F631E"/>
    <w:rsid w:val="001F641F"/>
    <w:rsid w:val="001F6577"/>
    <w:rsid w:val="001F6609"/>
    <w:rsid w:val="001F668C"/>
    <w:rsid w:val="001F672D"/>
    <w:rsid w:val="001F6750"/>
    <w:rsid w:val="001F6808"/>
    <w:rsid w:val="001F69EC"/>
    <w:rsid w:val="001F6ABC"/>
    <w:rsid w:val="001F6BCC"/>
    <w:rsid w:val="001F6BDC"/>
    <w:rsid w:val="001F6C52"/>
    <w:rsid w:val="001F6C91"/>
    <w:rsid w:val="001F6E46"/>
    <w:rsid w:val="001F6E88"/>
    <w:rsid w:val="001F6FCF"/>
    <w:rsid w:val="001F703C"/>
    <w:rsid w:val="001F727F"/>
    <w:rsid w:val="001F730E"/>
    <w:rsid w:val="001F7362"/>
    <w:rsid w:val="001F736D"/>
    <w:rsid w:val="001F740D"/>
    <w:rsid w:val="001F76E8"/>
    <w:rsid w:val="001F770E"/>
    <w:rsid w:val="001F7977"/>
    <w:rsid w:val="001F7989"/>
    <w:rsid w:val="001F7B07"/>
    <w:rsid w:val="001F7B97"/>
    <w:rsid w:val="001F7BD7"/>
    <w:rsid w:val="001F7BF6"/>
    <w:rsid w:val="001F7C91"/>
    <w:rsid w:val="001F7CCC"/>
    <w:rsid w:val="001F7D5A"/>
    <w:rsid w:val="001F7D63"/>
    <w:rsid w:val="001F7D74"/>
    <w:rsid w:val="001F7D9B"/>
    <w:rsid w:val="001F7DC4"/>
    <w:rsid w:val="001F7E41"/>
    <w:rsid w:val="001F7E6C"/>
    <w:rsid w:val="001F7EA3"/>
    <w:rsid w:val="0020042D"/>
    <w:rsid w:val="00200489"/>
    <w:rsid w:val="002004B1"/>
    <w:rsid w:val="0020057B"/>
    <w:rsid w:val="0020065E"/>
    <w:rsid w:val="0020069A"/>
    <w:rsid w:val="0020086F"/>
    <w:rsid w:val="002008D1"/>
    <w:rsid w:val="0020098D"/>
    <w:rsid w:val="00200E86"/>
    <w:rsid w:val="00200EC3"/>
    <w:rsid w:val="00200F13"/>
    <w:rsid w:val="00200F54"/>
    <w:rsid w:val="00200F67"/>
    <w:rsid w:val="0020101B"/>
    <w:rsid w:val="0020112E"/>
    <w:rsid w:val="00201399"/>
    <w:rsid w:val="002013C4"/>
    <w:rsid w:val="0020150F"/>
    <w:rsid w:val="00201643"/>
    <w:rsid w:val="002016BF"/>
    <w:rsid w:val="002017A2"/>
    <w:rsid w:val="0020181F"/>
    <w:rsid w:val="002018A6"/>
    <w:rsid w:val="00201A72"/>
    <w:rsid w:val="00201A94"/>
    <w:rsid w:val="00201AEA"/>
    <w:rsid w:val="00201B72"/>
    <w:rsid w:val="00201C4C"/>
    <w:rsid w:val="00201DC3"/>
    <w:rsid w:val="00201DEA"/>
    <w:rsid w:val="00201E33"/>
    <w:rsid w:val="00201FB5"/>
    <w:rsid w:val="0020217A"/>
    <w:rsid w:val="00202429"/>
    <w:rsid w:val="00202569"/>
    <w:rsid w:val="0020283F"/>
    <w:rsid w:val="002028D9"/>
    <w:rsid w:val="00202930"/>
    <w:rsid w:val="00202938"/>
    <w:rsid w:val="00202A80"/>
    <w:rsid w:val="00202BEA"/>
    <w:rsid w:val="00202C23"/>
    <w:rsid w:val="00202C73"/>
    <w:rsid w:val="00202CC1"/>
    <w:rsid w:val="00202D1E"/>
    <w:rsid w:val="00202D4F"/>
    <w:rsid w:val="00202DEC"/>
    <w:rsid w:val="00202E02"/>
    <w:rsid w:val="0020301D"/>
    <w:rsid w:val="00203083"/>
    <w:rsid w:val="002031F1"/>
    <w:rsid w:val="002033B7"/>
    <w:rsid w:val="0020348D"/>
    <w:rsid w:val="0020358C"/>
    <w:rsid w:val="0020359A"/>
    <w:rsid w:val="002035AF"/>
    <w:rsid w:val="002035FE"/>
    <w:rsid w:val="0020363F"/>
    <w:rsid w:val="002037CA"/>
    <w:rsid w:val="00203A77"/>
    <w:rsid w:val="00203AE9"/>
    <w:rsid w:val="00203C18"/>
    <w:rsid w:val="00203E8E"/>
    <w:rsid w:val="00203ED7"/>
    <w:rsid w:val="00203F32"/>
    <w:rsid w:val="00204041"/>
    <w:rsid w:val="002040D0"/>
    <w:rsid w:val="00204242"/>
    <w:rsid w:val="00204260"/>
    <w:rsid w:val="00204277"/>
    <w:rsid w:val="0020427C"/>
    <w:rsid w:val="00204573"/>
    <w:rsid w:val="00204753"/>
    <w:rsid w:val="00204829"/>
    <w:rsid w:val="0020484A"/>
    <w:rsid w:val="00204927"/>
    <w:rsid w:val="002049AE"/>
    <w:rsid w:val="002049B9"/>
    <w:rsid w:val="00204A1D"/>
    <w:rsid w:val="00204A31"/>
    <w:rsid w:val="00204AA4"/>
    <w:rsid w:val="00204B40"/>
    <w:rsid w:val="00204C30"/>
    <w:rsid w:val="00204EB0"/>
    <w:rsid w:val="00204F06"/>
    <w:rsid w:val="00205045"/>
    <w:rsid w:val="00205076"/>
    <w:rsid w:val="002050B7"/>
    <w:rsid w:val="0020513A"/>
    <w:rsid w:val="00205165"/>
    <w:rsid w:val="002053A1"/>
    <w:rsid w:val="002053C5"/>
    <w:rsid w:val="00205448"/>
    <w:rsid w:val="002055F0"/>
    <w:rsid w:val="00205633"/>
    <w:rsid w:val="002056B6"/>
    <w:rsid w:val="002056EE"/>
    <w:rsid w:val="002056F9"/>
    <w:rsid w:val="00205CFC"/>
    <w:rsid w:val="00205EF3"/>
    <w:rsid w:val="00205F67"/>
    <w:rsid w:val="00205F7B"/>
    <w:rsid w:val="00205FA3"/>
    <w:rsid w:val="00206016"/>
    <w:rsid w:val="00206032"/>
    <w:rsid w:val="0020621B"/>
    <w:rsid w:val="002062AE"/>
    <w:rsid w:val="0020637E"/>
    <w:rsid w:val="00206463"/>
    <w:rsid w:val="002066B3"/>
    <w:rsid w:val="0020688F"/>
    <w:rsid w:val="00206903"/>
    <w:rsid w:val="0020690A"/>
    <w:rsid w:val="00206A01"/>
    <w:rsid w:val="00206A83"/>
    <w:rsid w:val="00206ABA"/>
    <w:rsid w:val="00206B48"/>
    <w:rsid w:val="00206F2F"/>
    <w:rsid w:val="00207454"/>
    <w:rsid w:val="0020745B"/>
    <w:rsid w:val="00207545"/>
    <w:rsid w:val="00207552"/>
    <w:rsid w:val="00207570"/>
    <w:rsid w:val="002075D9"/>
    <w:rsid w:val="002076D3"/>
    <w:rsid w:val="00207717"/>
    <w:rsid w:val="0020772C"/>
    <w:rsid w:val="0020775F"/>
    <w:rsid w:val="002077E9"/>
    <w:rsid w:val="002078CD"/>
    <w:rsid w:val="00207C5D"/>
    <w:rsid w:val="00207D26"/>
    <w:rsid w:val="00207D47"/>
    <w:rsid w:val="00207E06"/>
    <w:rsid w:val="00207E09"/>
    <w:rsid w:val="00207F27"/>
    <w:rsid w:val="00210397"/>
    <w:rsid w:val="0021049F"/>
    <w:rsid w:val="002104E4"/>
    <w:rsid w:val="0021053D"/>
    <w:rsid w:val="00210586"/>
    <w:rsid w:val="002105F1"/>
    <w:rsid w:val="002105F3"/>
    <w:rsid w:val="0021061E"/>
    <w:rsid w:val="00210644"/>
    <w:rsid w:val="0021067D"/>
    <w:rsid w:val="002106C7"/>
    <w:rsid w:val="002107C9"/>
    <w:rsid w:val="00210A7C"/>
    <w:rsid w:val="00210A92"/>
    <w:rsid w:val="00210B55"/>
    <w:rsid w:val="00210B9F"/>
    <w:rsid w:val="00210C2F"/>
    <w:rsid w:val="00210C64"/>
    <w:rsid w:val="00210C8F"/>
    <w:rsid w:val="00210CB4"/>
    <w:rsid w:val="00210CF4"/>
    <w:rsid w:val="00210D63"/>
    <w:rsid w:val="00210E0D"/>
    <w:rsid w:val="0021109C"/>
    <w:rsid w:val="002111C7"/>
    <w:rsid w:val="002111F7"/>
    <w:rsid w:val="00211301"/>
    <w:rsid w:val="00211325"/>
    <w:rsid w:val="00211443"/>
    <w:rsid w:val="002114F4"/>
    <w:rsid w:val="00211561"/>
    <w:rsid w:val="00211642"/>
    <w:rsid w:val="002116C3"/>
    <w:rsid w:val="0021174D"/>
    <w:rsid w:val="00211852"/>
    <w:rsid w:val="002118F9"/>
    <w:rsid w:val="00211A81"/>
    <w:rsid w:val="00211A8B"/>
    <w:rsid w:val="00211CC4"/>
    <w:rsid w:val="00211ECA"/>
    <w:rsid w:val="002120FB"/>
    <w:rsid w:val="0021229C"/>
    <w:rsid w:val="00212424"/>
    <w:rsid w:val="0021244D"/>
    <w:rsid w:val="00212561"/>
    <w:rsid w:val="002125B1"/>
    <w:rsid w:val="00212AA2"/>
    <w:rsid w:val="00212B95"/>
    <w:rsid w:val="00212C00"/>
    <w:rsid w:val="00212C11"/>
    <w:rsid w:val="00212DB1"/>
    <w:rsid w:val="00213143"/>
    <w:rsid w:val="002131E5"/>
    <w:rsid w:val="00213718"/>
    <w:rsid w:val="00213A25"/>
    <w:rsid w:val="00213A53"/>
    <w:rsid w:val="00213A7C"/>
    <w:rsid w:val="00213A96"/>
    <w:rsid w:val="00213B19"/>
    <w:rsid w:val="00213B82"/>
    <w:rsid w:val="00213C81"/>
    <w:rsid w:val="00213E35"/>
    <w:rsid w:val="002140D5"/>
    <w:rsid w:val="00214198"/>
    <w:rsid w:val="002141F4"/>
    <w:rsid w:val="00214232"/>
    <w:rsid w:val="0021424B"/>
    <w:rsid w:val="00214381"/>
    <w:rsid w:val="00214409"/>
    <w:rsid w:val="00214499"/>
    <w:rsid w:val="0021451A"/>
    <w:rsid w:val="002146A7"/>
    <w:rsid w:val="002146CA"/>
    <w:rsid w:val="00214732"/>
    <w:rsid w:val="0021474C"/>
    <w:rsid w:val="002147BD"/>
    <w:rsid w:val="0021485A"/>
    <w:rsid w:val="00214A80"/>
    <w:rsid w:val="00214B9A"/>
    <w:rsid w:val="00214BD9"/>
    <w:rsid w:val="00214BE9"/>
    <w:rsid w:val="00214DF7"/>
    <w:rsid w:val="002151AF"/>
    <w:rsid w:val="002153B0"/>
    <w:rsid w:val="00215483"/>
    <w:rsid w:val="002154B5"/>
    <w:rsid w:val="00215528"/>
    <w:rsid w:val="0021560B"/>
    <w:rsid w:val="0021591C"/>
    <w:rsid w:val="00215A77"/>
    <w:rsid w:val="00215AB9"/>
    <w:rsid w:val="00215B85"/>
    <w:rsid w:val="00215CC8"/>
    <w:rsid w:val="00215EBF"/>
    <w:rsid w:val="00215F8A"/>
    <w:rsid w:val="00215FE6"/>
    <w:rsid w:val="00216046"/>
    <w:rsid w:val="0021606C"/>
    <w:rsid w:val="002161E8"/>
    <w:rsid w:val="00216227"/>
    <w:rsid w:val="0021648F"/>
    <w:rsid w:val="00216600"/>
    <w:rsid w:val="00216663"/>
    <w:rsid w:val="002167BA"/>
    <w:rsid w:val="0021681C"/>
    <w:rsid w:val="00216909"/>
    <w:rsid w:val="002169E4"/>
    <w:rsid w:val="00216AB8"/>
    <w:rsid w:val="00216AE4"/>
    <w:rsid w:val="00216B78"/>
    <w:rsid w:val="00216C03"/>
    <w:rsid w:val="00216D46"/>
    <w:rsid w:val="00216D8F"/>
    <w:rsid w:val="00216DA1"/>
    <w:rsid w:val="00216E34"/>
    <w:rsid w:val="00216ED4"/>
    <w:rsid w:val="00217107"/>
    <w:rsid w:val="0021719D"/>
    <w:rsid w:val="002171B9"/>
    <w:rsid w:val="0021733E"/>
    <w:rsid w:val="002173C0"/>
    <w:rsid w:val="002173C9"/>
    <w:rsid w:val="00217495"/>
    <w:rsid w:val="002175AF"/>
    <w:rsid w:val="002176CB"/>
    <w:rsid w:val="00217750"/>
    <w:rsid w:val="00217802"/>
    <w:rsid w:val="00217948"/>
    <w:rsid w:val="0021795A"/>
    <w:rsid w:val="00217A66"/>
    <w:rsid w:val="00217C2F"/>
    <w:rsid w:val="00217D45"/>
    <w:rsid w:val="00217E3E"/>
    <w:rsid w:val="00217F21"/>
    <w:rsid w:val="00220018"/>
    <w:rsid w:val="00220130"/>
    <w:rsid w:val="00220395"/>
    <w:rsid w:val="00220422"/>
    <w:rsid w:val="0022044D"/>
    <w:rsid w:val="0022054E"/>
    <w:rsid w:val="00220739"/>
    <w:rsid w:val="00220799"/>
    <w:rsid w:val="002207A8"/>
    <w:rsid w:val="00220844"/>
    <w:rsid w:val="0022093C"/>
    <w:rsid w:val="00220A1A"/>
    <w:rsid w:val="00220BAB"/>
    <w:rsid w:val="00220BAC"/>
    <w:rsid w:val="00220C04"/>
    <w:rsid w:val="00220E55"/>
    <w:rsid w:val="00220F1D"/>
    <w:rsid w:val="00221071"/>
    <w:rsid w:val="0022131E"/>
    <w:rsid w:val="002215EF"/>
    <w:rsid w:val="002216BB"/>
    <w:rsid w:val="0022176E"/>
    <w:rsid w:val="00221827"/>
    <w:rsid w:val="00221876"/>
    <w:rsid w:val="002218F3"/>
    <w:rsid w:val="002219F1"/>
    <w:rsid w:val="00221A40"/>
    <w:rsid w:val="00221A63"/>
    <w:rsid w:val="00221D4A"/>
    <w:rsid w:val="00221DFF"/>
    <w:rsid w:val="00221E78"/>
    <w:rsid w:val="00221EC8"/>
    <w:rsid w:val="00221EE3"/>
    <w:rsid w:val="0022215F"/>
    <w:rsid w:val="00222226"/>
    <w:rsid w:val="00222229"/>
    <w:rsid w:val="0022234F"/>
    <w:rsid w:val="002223BD"/>
    <w:rsid w:val="0022259D"/>
    <w:rsid w:val="002225FE"/>
    <w:rsid w:val="0022262B"/>
    <w:rsid w:val="0022267F"/>
    <w:rsid w:val="002226AC"/>
    <w:rsid w:val="002226D9"/>
    <w:rsid w:val="0022278D"/>
    <w:rsid w:val="00222951"/>
    <w:rsid w:val="00222B05"/>
    <w:rsid w:val="00222D8E"/>
    <w:rsid w:val="00222E0D"/>
    <w:rsid w:val="00222F69"/>
    <w:rsid w:val="00222F9F"/>
    <w:rsid w:val="00223254"/>
    <w:rsid w:val="00223354"/>
    <w:rsid w:val="00223522"/>
    <w:rsid w:val="002235C9"/>
    <w:rsid w:val="00223631"/>
    <w:rsid w:val="0022363F"/>
    <w:rsid w:val="00223689"/>
    <w:rsid w:val="002236B0"/>
    <w:rsid w:val="0022374B"/>
    <w:rsid w:val="00223767"/>
    <w:rsid w:val="0022399F"/>
    <w:rsid w:val="002239DC"/>
    <w:rsid w:val="00223CD3"/>
    <w:rsid w:val="00223E62"/>
    <w:rsid w:val="00223F74"/>
    <w:rsid w:val="002241D5"/>
    <w:rsid w:val="00224209"/>
    <w:rsid w:val="002246F6"/>
    <w:rsid w:val="00224711"/>
    <w:rsid w:val="00224863"/>
    <w:rsid w:val="00224C4A"/>
    <w:rsid w:val="00224C59"/>
    <w:rsid w:val="00224D59"/>
    <w:rsid w:val="0022502F"/>
    <w:rsid w:val="00225060"/>
    <w:rsid w:val="00225318"/>
    <w:rsid w:val="00225476"/>
    <w:rsid w:val="00225477"/>
    <w:rsid w:val="0022550D"/>
    <w:rsid w:val="002255F5"/>
    <w:rsid w:val="002256A3"/>
    <w:rsid w:val="002257EE"/>
    <w:rsid w:val="0022591D"/>
    <w:rsid w:val="00225994"/>
    <w:rsid w:val="002259A2"/>
    <w:rsid w:val="00225B77"/>
    <w:rsid w:val="00225DC5"/>
    <w:rsid w:val="00225FE5"/>
    <w:rsid w:val="0022614F"/>
    <w:rsid w:val="00226279"/>
    <w:rsid w:val="0022642E"/>
    <w:rsid w:val="002266C8"/>
    <w:rsid w:val="002266CE"/>
    <w:rsid w:val="0022679E"/>
    <w:rsid w:val="00226879"/>
    <w:rsid w:val="002268E9"/>
    <w:rsid w:val="00226B78"/>
    <w:rsid w:val="00226BC9"/>
    <w:rsid w:val="00226CFE"/>
    <w:rsid w:val="00226E56"/>
    <w:rsid w:val="00226F7D"/>
    <w:rsid w:val="00226FBC"/>
    <w:rsid w:val="00226FEB"/>
    <w:rsid w:val="0022701F"/>
    <w:rsid w:val="0022715C"/>
    <w:rsid w:val="0022716C"/>
    <w:rsid w:val="002271DD"/>
    <w:rsid w:val="002271F9"/>
    <w:rsid w:val="002272A1"/>
    <w:rsid w:val="00227380"/>
    <w:rsid w:val="002273D3"/>
    <w:rsid w:val="00227635"/>
    <w:rsid w:val="0022763C"/>
    <w:rsid w:val="002276C7"/>
    <w:rsid w:val="00227715"/>
    <w:rsid w:val="0022779E"/>
    <w:rsid w:val="002277BD"/>
    <w:rsid w:val="002277E1"/>
    <w:rsid w:val="00227827"/>
    <w:rsid w:val="00227918"/>
    <w:rsid w:val="00227979"/>
    <w:rsid w:val="00227997"/>
    <w:rsid w:val="002279BF"/>
    <w:rsid w:val="002279E8"/>
    <w:rsid w:val="00227BEE"/>
    <w:rsid w:val="00227C68"/>
    <w:rsid w:val="00227C6C"/>
    <w:rsid w:val="00227D54"/>
    <w:rsid w:val="00227DF6"/>
    <w:rsid w:val="00227DFA"/>
    <w:rsid w:val="00227F12"/>
    <w:rsid w:val="002300A1"/>
    <w:rsid w:val="002300BD"/>
    <w:rsid w:val="002301BB"/>
    <w:rsid w:val="002301CC"/>
    <w:rsid w:val="002301E8"/>
    <w:rsid w:val="002301FA"/>
    <w:rsid w:val="00230259"/>
    <w:rsid w:val="002303D6"/>
    <w:rsid w:val="002304CF"/>
    <w:rsid w:val="00230511"/>
    <w:rsid w:val="00230569"/>
    <w:rsid w:val="00230617"/>
    <w:rsid w:val="00230803"/>
    <w:rsid w:val="002308B8"/>
    <w:rsid w:val="00230A91"/>
    <w:rsid w:val="00230C0A"/>
    <w:rsid w:val="00230C6D"/>
    <w:rsid w:val="00230D15"/>
    <w:rsid w:val="00230D24"/>
    <w:rsid w:val="00230D2B"/>
    <w:rsid w:val="00230D98"/>
    <w:rsid w:val="00230F28"/>
    <w:rsid w:val="00230F69"/>
    <w:rsid w:val="00230FDD"/>
    <w:rsid w:val="002310EB"/>
    <w:rsid w:val="0023112C"/>
    <w:rsid w:val="0023114C"/>
    <w:rsid w:val="002311CB"/>
    <w:rsid w:val="002311F5"/>
    <w:rsid w:val="002315C2"/>
    <w:rsid w:val="002316BB"/>
    <w:rsid w:val="002316F9"/>
    <w:rsid w:val="00231720"/>
    <w:rsid w:val="0023172A"/>
    <w:rsid w:val="002317E8"/>
    <w:rsid w:val="00231815"/>
    <w:rsid w:val="002318BA"/>
    <w:rsid w:val="002318D8"/>
    <w:rsid w:val="00231A9A"/>
    <w:rsid w:val="00231BFF"/>
    <w:rsid w:val="00231E44"/>
    <w:rsid w:val="00232109"/>
    <w:rsid w:val="0023219D"/>
    <w:rsid w:val="0023222F"/>
    <w:rsid w:val="00232361"/>
    <w:rsid w:val="00232366"/>
    <w:rsid w:val="0023239F"/>
    <w:rsid w:val="002329E3"/>
    <w:rsid w:val="00232BE2"/>
    <w:rsid w:val="00232CC7"/>
    <w:rsid w:val="00232E01"/>
    <w:rsid w:val="00232EA5"/>
    <w:rsid w:val="00232EDD"/>
    <w:rsid w:val="00233067"/>
    <w:rsid w:val="002330BC"/>
    <w:rsid w:val="002330EF"/>
    <w:rsid w:val="00233310"/>
    <w:rsid w:val="002333F2"/>
    <w:rsid w:val="002333F5"/>
    <w:rsid w:val="00233457"/>
    <w:rsid w:val="002336F4"/>
    <w:rsid w:val="00233724"/>
    <w:rsid w:val="00233B54"/>
    <w:rsid w:val="00233D32"/>
    <w:rsid w:val="00233D73"/>
    <w:rsid w:val="00233E43"/>
    <w:rsid w:val="00233EF5"/>
    <w:rsid w:val="00233EFA"/>
    <w:rsid w:val="00233FE5"/>
    <w:rsid w:val="0023408F"/>
    <w:rsid w:val="0023418B"/>
    <w:rsid w:val="0023424A"/>
    <w:rsid w:val="00234483"/>
    <w:rsid w:val="002344B4"/>
    <w:rsid w:val="00234705"/>
    <w:rsid w:val="00234766"/>
    <w:rsid w:val="002349C9"/>
    <w:rsid w:val="00234B4E"/>
    <w:rsid w:val="00234BE0"/>
    <w:rsid w:val="00234C1B"/>
    <w:rsid w:val="00234C34"/>
    <w:rsid w:val="00234C86"/>
    <w:rsid w:val="00234D81"/>
    <w:rsid w:val="0023502A"/>
    <w:rsid w:val="002350D9"/>
    <w:rsid w:val="002355B3"/>
    <w:rsid w:val="0023572D"/>
    <w:rsid w:val="0023573D"/>
    <w:rsid w:val="00235768"/>
    <w:rsid w:val="0023580A"/>
    <w:rsid w:val="0023581A"/>
    <w:rsid w:val="0023582C"/>
    <w:rsid w:val="002358B9"/>
    <w:rsid w:val="00235999"/>
    <w:rsid w:val="002359A8"/>
    <w:rsid w:val="00235BAE"/>
    <w:rsid w:val="00235BEE"/>
    <w:rsid w:val="00235E3B"/>
    <w:rsid w:val="00235E56"/>
    <w:rsid w:val="00235EA1"/>
    <w:rsid w:val="00235FD0"/>
    <w:rsid w:val="00235FEB"/>
    <w:rsid w:val="002361B3"/>
    <w:rsid w:val="002361E2"/>
    <w:rsid w:val="002362E9"/>
    <w:rsid w:val="00236476"/>
    <w:rsid w:val="002364FF"/>
    <w:rsid w:val="00236539"/>
    <w:rsid w:val="002365B4"/>
    <w:rsid w:val="0023669E"/>
    <w:rsid w:val="002366AE"/>
    <w:rsid w:val="002366C1"/>
    <w:rsid w:val="002366E1"/>
    <w:rsid w:val="002367C6"/>
    <w:rsid w:val="0023696D"/>
    <w:rsid w:val="002369A3"/>
    <w:rsid w:val="002369D0"/>
    <w:rsid w:val="002369E7"/>
    <w:rsid w:val="00236A20"/>
    <w:rsid w:val="00236B35"/>
    <w:rsid w:val="00236B78"/>
    <w:rsid w:val="00236BE4"/>
    <w:rsid w:val="00236C00"/>
    <w:rsid w:val="00236C31"/>
    <w:rsid w:val="00236C62"/>
    <w:rsid w:val="00236C8B"/>
    <w:rsid w:val="00236DD4"/>
    <w:rsid w:val="00236DDC"/>
    <w:rsid w:val="00236F2B"/>
    <w:rsid w:val="00237073"/>
    <w:rsid w:val="0023714D"/>
    <w:rsid w:val="0023733C"/>
    <w:rsid w:val="0023743D"/>
    <w:rsid w:val="002374BD"/>
    <w:rsid w:val="00237728"/>
    <w:rsid w:val="0023795B"/>
    <w:rsid w:val="00237A57"/>
    <w:rsid w:val="00237A81"/>
    <w:rsid w:val="00237B2F"/>
    <w:rsid w:val="00237BDF"/>
    <w:rsid w:val="00237CEB"/>
    <w:rsid w:val="00237D2C"/>
    <w:rsid w:val="00237DE4"/>
    <w:rsid w:val="00237ECA"/>
    <w:rsid w:val="00237FC8"/>
    <w:rsid w:val="002402C3"/>
    <w:rsid w:val="00240313"/>
    <w:rsid w:val="0024068A"/>
    <w:rsid w:val="00240935"/>
    <w:rsid w:val="00240C86"/>
    <w:rsid w:val="00240DCA"/>
    <w:rsid w:val="00240E52"/>
    <w:rsid w:val="00240F0E"/>
    <w:rsid w:val="00240F2C"/>
    <w:rsid w:val="00240F62"/>
    <w:rsid w:val="00240F64"/>
    <w:rsid w:val="00240F8D"/>
    <w:rsid w:val="0024101C"/>
    <w:rsid w:val="002411C2"/>
    <w:rsid w:val="00241380"/>
    <w:rsid w:val="00241498"/>
    <w:rsid w:val="002414E5"/>
    <w:rsid w:val="0024157B"/>
    <w:rsid w:val="00241707"/>
    <w:rsid w:val="00241817"/>
    <w:rsid w:val="00241849"/>
    <w:rsid w:val="00241BA4"/>
    <w:rsid w:val="00241CBB"/>
    <w:rsid w:val="00241D5C"/>
    <w:rsid w:val="0024203C"/>
    <w:rsid w:val="0024214E"/>
    <w:rsid w:val="002421FA"/>
    <w:rsid w:val="00242431"/>
    <w:rsid w:val="00242503"/>
    <w:rsid w:val="00242508"/>
    <w:rsid w:val="002425B4"/>
    <w:rsid w:val="0024265C"/>
    <w:rsid w:val="00242AB7"/>
    <w:rsid w:val="00242CEE"/>
    <w:rsid w:val="00242E8B"/>
    <w:rsid w:val="00243126"/>
    <w:rsid w:val="002432E1"/>
    <w:rsid w:val="002432FA"/>
    <w:rsid w:val="00243532"/>
    <w:rsid w:val="00243553"/>
    <w:rsid w:val="002435C5"/>
    <w:rsid w:val="0024373E"/>
    <w:rsid w:val="002437EF"/>
    <w:rsid w:val="00243818"/>
    <w:rsid w:val="0024385E"/>
    <w:rsid w:val="002438B6"/>
    <w:rsid w:val="002438FB"/>
    <w:rsid w:val="00243999"/>
    <w:rsid w:val="002439F8"/>
    <w:rsid w:val="00243B0D"/>
    <w:rsid w:val="00243BBE"/>
    <w:rsid w:val="00243D5E"/>
    <w:rsid w:val="00243DEC"/>
    <w:rsid w:val="00243DF9"/>
    <w:rsid w:val="00243F5E"/>
    <w:rsid w:val="0024402F"/>
    <w:rsid w:val="00244033"/>
    <w:rsid w:val="002440AF"/>
    <w:rsid w:val="0024413B"/>
    <w:rsid w:val="00244257"/>
    <w:rsid w:val="002442CC"/>
    <w:rsid w:val="0024439B"/>
    <w:rsid w:val="00244510"/>
    <w:rsid w:val="002445CE"/>
    <w:rsid w:val="00244825"/>
    <w:rsid w:val="00244840"/>
    <w:rsid w:val="0024485B"/>
    <w:rsid w:val="00244905"/>
    <w:rsid w:val="00244A8E"/>
    <w:rsid w:val="00244AA0"/>
    <w:rsid w:val="00244AD1"/>
    <w:rsid w:val="00244AEE"/>
    <w:rsid w:val="00244D8E"/>
    <w:rsid w:val="00244E81"/>
    <w:rsid w:val="00244EA2"/>
    <w:rsid w:val="00245103"/>
    <w:rsid w:val="002451A2"/>
    <w:rsid w:val="00245238"/>
    <w:rsid w:val="0024523D"/>
    <w:rsid w:val="00245242"/>
    <w:rsid w:val="002452DE"/>
    <w:rsid w:val="002452ED"/>
    <w:rsid w:val="002453FC"/>
    <w:rsid w:val="00245413"/>
    <w:rsid w:val="0024546D"/>
    <w:rsid w:val="0024546E"/>
    <w:rsid w:val="002454BF"/>
    <w:rsid w:val="002454D6"/>
    <w:rsid w:val="00245626"/>
    <w:rsid w:val="002456D0"/>
    <w:rsid w:val="002457AF"/>
    <w:rsid w:val="00245968"/>
    <w:rsid w:val="00245981"/>
    <w:rsid w:val="00245A88"/>
    <w:rsid w:val="00245AC3"/>
    <w:rsid w:val="00245B9C"/>
    <w:rsid w:val="00245C1A"/>
    <w:rsid w:val="00245C21"/>
    <w:rsid w:val="00245C98"/>
    <w:rsid w:val="00245CA2"/>
    <w:rsid w:val="00246046"/>
    <w:rsid w:val="002460A0"/>
    <w:rsid w:val="002461A3"/>
    <w:rsid w:val="00246207"/>
    <w:rsid w:val="00246217"/>
    <w:rsid w:val="002462BA"/>
    <w:rsid w:val="002462D7"/>
    <w:rsid w:val="002462EB"/>
    <w:rsid w:val="0024632C"/>
    <w:rsid w:val="002463FB"/>
    <w:rsid w:val="00246991"/>
    <w:rsid w:val="00246A3C"/>
    <w:rsid w:val="00246C5E"/>
    <w:rsid w:val="00246D27"/>
    <w:rsid w:val="00246D80"/>
    <w:rsid w:val="00246DB3"/>
    <w:rsid w:val="00247030"/>
    <w:rsid w:val="002470C9"/>
    <w:rsid w:val="00247122"/>
    <w:rsid w:val="00247284"/>
    <w:rsid w:val="00247298"/>
    <w:rsid w:val="00247410"/>
    <w:rsid w:val="0024741F"/>
    <w:rsid w:val="0024746F"/>
    <w:rsid w:val="0024770C"/>
    <w:rsid w:val="002478B9"/>
    <w:rsid w:val="00247A5B"/>
    <w:rsid w:val="00247B5B"/>
    <w:rsid w:val="00247B94"/>
    <w:rsid w:val="00247DC7"/>
    <w:rsid w:val="00247E49"/>
    <w:rsid w:val="00247E8A"/>
    <w:rsid w:val="00247EDB"/>
    <w:rsid w:val="0024C304"/>
    <w:rsid w:val="002500F9"/>
    <w:rsid w:val="00250138"/>
    <w:rsid w:val="00250232"/>
    <w:rsid w:val="0025036A"/>
    <w:rsid w:val="0025055B"/>
    <w:rsid w:val="002505B5"/>
    <w:rsid w:val="00250606"/>
    <w:rsid w:val="00250709"/>
    <w:rsid w:val="0025070B"/>
    <w:rsid w:val="00250774"/>
    <w:rsid w:val="00250960"/>
    <w:rsid w:val="00250A69"/>
    <w:rsid w:val="00250C0F"/>
    <w:rsid w:val="00250CF8"/>
    <w:rsid w:val="00250D8A"/>
    <w:rsid w:val="00250F21"/>
    <w:rsid w:val="0025103A"/>
    <w:rsid w:val="00251071"/>
    <w:rsid w:val="0025119F"/>
    <w:rsid w:val="002511A9"/>
    <w:rsid w:val="00251343"/>
    <w:rsid w:val="0025144C"/>
    <w:rsid w:val="002516D6"/>
    <w:rsid w:val="002518A6"/>
    <w:rsid w:val="002518A8"/>
    <w:rsid w:val="0025194F"/>
    <w:rsid w:val="0025199F"/>
    <w:rsid w:val="00251A21"/>
    <w:rsid w:val="00251A35"/>
    <w:rsid w:val="00251BAA"/>
    <w:rsid w:val="00251E7D"/>
    <w:rsid w:val="0025201F"/>
    <w:rsid w:val="0025207D"/>
    <w:rsid w:val="002520F8"/>
    <w:rsid w:val="0025239C"/>
    <w:rsid w:val="00252425"/>
    <w:rsid w:val="00252540"/>
    <w:rsid w:val="00252784"/>
    <w:rsid w:val="00252AA8"/>
    <w:rsid w:val="00252BD1"/>
    <w:rsid w:val="00252C8F"/>
    <w:rsid w:val="00252D51"/>
    <w:rsid w:val="00252DF8"/>
    <w:rsid w:val="00252E3C"/>
    <w:rsid w:val="00252E6D"/>
    <w:rsid w:val="00252EC3"/>
    <w:rsid w:val="00252FB6"/>
    <w:rsid w:val="0025305E"/>
    <w:rsid w:val="002530C2"/>
    <w:rsid w:val="0025310B"/>
    <w:rsid w:val="00253336"/>
    <w:rsid w:val="0025347C"/>
    <w:rsid w:val="002535ED"/>
    <w:rsid w:val="002536A4"/>
    <w:rsid w:val="00253811"/>
    <w:rsid w:val="0025388C"/>
    <w:rsid w:val="002538CF"/>
    <w:rsid w:val="002539AB"/>
    <w:rsid w:val="00253A25"/>
    <w:rsid w:val="00253A5D"/>
    <w:rsid w:val="00253A78"/>
    <w:rsid w:val="00253D20"/>
    <w:rsid w:val="00253D65"/>
    <w:rsid w:val="00253E56"/>
    <w:rsid w:val="00253E6B"/>
    <w:rsid w:val="00253ECC"/>
    <w:rsid w:val="00253EF1"/>
    <w:rsid w:val="00253FC1"/>
    <w:rsid w:val="00254144"/>
    <w:rsid w:val="0025418B"/>
    <w:rsid w:val="00254261"/>
    <w:rsid w:val="002542E7"/>
    <w:rsid w:val="00254310"/>
    <w:rsid w:val="002543AF"/>
    <w:rsid w:val="00254477"/>
    <w:rsid w:val="0025450D"/>
    <w:rsid w:val="00254915"/>
    <w:rsid w:val="00254999"/>
    <w:rsid w:val="00254A3D"/>
    <w:rsid w:val="00254A4C"/>
    <w:rsid w:val="00254A8A"/>
    <w:rsid w:val="00254BC9"/>
    <w:rsid w:val="00254DC4"/>
    <w:rsid w:val="00254E72"/>
    <w:rsid w:val="00254F58"/>
    <w:rsid w:val="00254F9B"/>
    <w:rsid w:val="002550E4"/>
    <w:rsid w:val="00255165"/>
    <w:rsid w:val="00255197"/>
    <w:rsid w:val="002553B1"/>
    <w:rsid w:val="0025545E"/>
    <w:rsid w:val="0025565E"/>
    <w:rsid w:val="00255668"/>
    <w:rsid w:val="002556B1"/>
    <w:rsid w:val="00255756"/>
    <w:rsid w:val="002557FE"/>
    <w:rsid w:val="00255A40"/>
    <w:rsid w:val="00255B39"/>
    <w:rsid w:val="00255B5D"/>
    <w:rsid w:val="00255BF5"/>
    <w:rsid w:val="00255CA5"/>
    <w:rsid w:val="00255DAF"/>
    <w:rsid w:val="00255E15"/>
    <w:rsid w:val="00255E48"/>
    <w:rsid w:val="0025620C"/>
    <w:rsid w:val="002562CB"/>
    <w:rsid w:val="00256869"/>
    <w:rsid w:val="00256872"/>
    <w:rsid w:val="00256889"/>
    <w:rsid w:val="002568AB"/>
    <w:rsid w:val="002568B6"/>
    <w:rsid w:val="002568ED"/>
    <w:rsid w:val="0025699A"/>
    <w:rsid w:val="00256AAE"/>
    <w:rsid w:val="00256AF4"/>
    <w:rsid w:val="00256D9E"/>
    <w:rsid w:val="00256DCA"/>
    <w:rsid w:val="00256DE4"/>
    <w:rsid w:val="00256E3D"/>
    <w:rsid w:val="00256E6C"/>
    <w:rsid w:val="00256E87"/>
    <w:rsid w:val="00256F66"/>
    <w:rsid w:val="002570DB"/>
    <w:rsid w:val="002570DF"/>
    <w:rsid w:val="00257194"/>
    <w:rsid w:val="00257508"/>
    <w:rsid w:val="00257509"/>
    <w:rsid w:val="00257599"/>
    <w:rsid w:val="002576E7"/>
    <w:rsid w:val="0025774E"/>
    <w:rsid w:val="002577CA"/>
    <w:rsid w:val="00257965"/>
    <w:rsid w:val="002579B8"/>
    <w:rsid w:val="00257AC0"/>
    <w:rsid w:val="00257C24"/>
    <w:rsid w:val="00257C48"/>
    <w:rsid w:val="00257D2F"/>
    <w:rsid w:val="00257E1E"/>
    <w:rsid w:val="00257E71"/>
    <w:rsid w:val="00257F55"/>
    <w:rsid w:val="00257F5A"/>
    <w:rsid w:val="00260053"/>
    <w:rsid w:val="00260142"/>
    <w:rsid w:val="0026026D"/>
    <w:rsid w:val="0026043F"/>
    <w:rsid w:val="00260466"/>
    <w:rsid w:val="0026048D"/>
    <w:rsid w:val="002604D7"/>
    <w:rsid w:val="00260527"/>
    <w:rsid w:val="00260569"/>
    <w:rsid w:val="00260597"/>
    <w:rsid w:val="0026059B"/>
    <w:rsid w:val="002605D7"/>
    <w:rsid w:val="0026061C"/>
    <w:rsid w:val="002606CC"/>
    <w:rsid w:val="002607A8"/>
    <w:rsid w:val="002607B0"/>
    <w:rsid w:val="002607B3"/>
    <w:rsid w:val="002609D9"/>
    <w:rsid w:val="00260BDC"/>
    <w:rsid w:val="00260DD5"/>
    <w:rsid w:val="00260F8C"/>
    <w:rsid w:val="00261036"/>
    <w:rsid w:val="002610E9"/>
    <w:rsid w:val="0026115C"/>
    <w:rsid w:val="00261200"/>
    <w:rsid w:val="002612EE"/>
    <w:rsid w:val="00261382"/>
    <w:rsid w:val="00261395"/>
    <w:rsid w:val="00261520"/>
    <w:rsid w:val="00261522"/>
    <w:rsid w:val="0026171F"/>
    <w:rsid w:val="00261761"/>
    <w:rsid w:val="00261826"/>
    <w:rsid w:val="00261B3B"/>
    <w:rsid w:val="00261B5D"/>
    <w:rsid w:val="00261C16"/>
    <w:rsid w:val="00261C30"/>
    <w:rsid w:val="00261E32"/>
    <w:rsid w:val="00261E66"/>
    <w:rsid w:val="00261EAA"/>
    <w:rsid w:val="00261F1C"/>
    <w:rsid w:val="0026208E"/>
    <w:rsid w:val="002620BC"/>
    <w:rsid w:val="00262155"/>
    <w:rsid w:val="00262189"/>
    <w:rsid w:val="002622F4"/>
    <w:rsid w:val="00262368"/>
    <w:rsid w:val="002624DD"/>
    <w:rsid w:val="0026262D"/>
    <w:rsid w:val="002626A2"/>
    <w:rsid w:val="002626CF"/>
    <w:rsid w:val="00262779"/>
    <w:rsid w:val="00262783"/>
    <w:rsid w:val="00262802"/>
    <w:rsid w:val="002629A8"/>
    <w:rsid w:val="00262AF0"/>
    <w:rsid w:val="00262D6E"/>
    <w:rsid w:val="00262D91"/>
    <w:rsid w:val="00263023"/>
    <w:rsid w:val="002630B0"/>
    <w:rsid w:val="00263224"/>
    <w:rsid w:val="002632AA"/>
    <w:rsid w:val="00263380"/>
    <w:rsid w:val="0026338C"/>
    <w:rsid w:val="002634A6"/>
    <w:rsid w:val="0026364C"/>
    <w:rsid w:val="00263655"/>
    <w:rsid w:val="002638EB"/>
    <w:rsid w:val="00263900"/>
    <w:rsid w:val="002639C9"/>
    <w:rsid w:val="00263A90"/>
    <w:rsid w:val="00263AF7"/>
    <w:rsid w:val="00263BC0"/>
    <w:rsid w:val="00263C89"/>
    <w:rsid w:val="00263DEE"/>
    <w:rsid w:val="00263FB1"/>
    <w:rsid w:val="00263FEA"/>
    <w:rsid w:val="0026408B"/>
    <w:rsid w:val="002640E7"/>
    <w:rsid w:val="0026412F"/>
    <w:rsid w:val="0026419F"/>
    <w:rsid w:val="002641E7"/>
    <w:rsid w:val="00264258"/>
    <w:rsid w:val="002643E5"/>
    <w:rsid w:val="002645C8"/>
    <w:rsid w:val="00264641"/>
    <w:rsid w:val="002646B7"/>
    <w:rsid w:val="00264778"/>
    <w:rsid w:val="0026482B"/>
    <w:rsid w:val="00264833"/>
    <w:rsid w:val="0026484C"/>
    <w:rsid w:val="0026486D"/>
    <w:rsid w:val="00264C22"/>
    <w:rsid w:val="00264C45"/>
    <w:rsid w:val="00264C4B"/>
    <w:rsid w:val="00264C99"/>
    <w:rsid w:val="00264EB4"/>
    <w:rsid w:val="00264EFC"/>
    <w:rsid w:val="00264F96"/>
    <w:rsid w:val="00265193"/>
    <w:rsid w:val="00265370"/>
    <w:rsid w:val="00265552"/>
    <w:rsid w:val="0026567F"/>
    <w:rsid w:val="002658BA"/>
    <w:rsid w:val="00265A38"/>
    <w:rsid w:val="00265D25"/>
    <w:rsid w:val="00265DED"/>
    <w:rsid w:val="00265E7E"/>
    <w:rsid w:val="00265E90"/>
    <w:rsid w:val="002660AD"/>
    <w:rsid w:val="002661F7"/>
    <w:rsid w:val="00266272"/>
    <w:rsid w:val="002665C6"/>
    <w:rsid w:val="002665D1"/>
    <w:rsid w:val="00266625"/>
    <w:rsid w:val="00266655"/>
    <w:rsid w:val="0026674A"/>
    <w:rsid w:val="00266830"/>
    <w:rsid w:val="002668DB"/>
    <w:rsid w:val="00266980"/>
    <w:rsid w:val="00266A95"/>
    <w:rsid w:val="00266C82"/>
    <w:rsid w:val="00266D5A"/>
    <w:rsid w:val="00266DF6"/>
    <w:rsid w:val="00266F0A"/>
    <w:rsid w:val="00266F3E"/>
    <w:rsid w:val="00266F61"/>
    <w:rsid w:val="0026712C"/>
    <w:rsid w:val="00267207"/>
    <w:rsid w:val="00267271"/>
    <w:rsid w:val="00267315"/>
    <w:rsid w:val="00267533"/>
    <w:rsid w:val="002677E7"/>
    <w:rsid w:val="00267A2F"/>
    <w:rsid w:val="00267A99"/>
    <w:rsid w:val="00267C3E"/>
    <w:rsid w:val="00267C57"/>
    <w:rsid w:val="00267C66"/>
    <w:rsid w:val="00267D7C"/>
    <w:rsid w:val="00267E02"/>
    <w:rsid w:val="00267FEF"/>
    <w:rsid w:val="00270119"/>
    <w:rsid w:val="002702CD"/>
    <w:rsid w:val="002702EF"/>
    <w:rsid w:val="00270403"/>
    <w:rsid w:val="002704A4"/>
    <w:rsid w:val="00270636"/>
    <w:rsid w:val="002706FE"/>
    <w:rsid w:val="00270732"/>
    <w:rsid w:val="00270920"/>
    <w:rsid w:val="0027096E"/>
    <w:rsid w:val="002709A7"/>
    <w:rsid w:val="002709BB"/>
    <w:rsid w:val="00270AE2"/>
    <w:rsid w:val="00270BBC"/>
    <w:rsid w:val="00270BD1"/>
    <w:rsid w:val="00270C53"/>
    <w:rsid w:val="00270D81"/>
    <w:rsid w:val="00270F2D"/>
    <w:rsid w:val="00271311"/>
    <w:rsid w:val="0027131C"/>
    <w:rsid w:val="002714CA"/>
    <w:rsid w:val="002714E4"/>
    <w:rsid w:val="002716C2"/>
    <w:rsid w:val="00271820"/>
    <w:rsid w:val="002718AC"/>
    <w:rsid w:val="00271A14"/>
    <w:rsid w:val="00271B5D"/>
    <w:rsid w:val="00271C03"/>
    <w:rsid w:val="00271C57"/>
    <w:rsid w:val="00271CD5"/>
    <w:rsid w:val="00272104"/>
    <w:rsid w:val="00272113"/>
    <w:rsid w:val="00272157"/>
    <w:rsid w:val="00272187"/>
    <w:rsid w:val="00272261"/>
    <w:rsid w:val="00272314"/>
    <w:rsid w:val="002723F6"/>
    <w:rsid w:val="002724C4"/>
    <w:rsid w:val="002727A1"/>
    <w:rsid w:val="002728DA"/>
    <w:rsid w:val="0027291F"/>
    <w:rsid w:val="00272921"/>
    <w:rsid w:val="00272961"/>
    <w:rsid w:val="00272AEE"/>
    <w:rsid w:val="00272C2C"/>
    <w:rsid w:val="00272C4D"/>
    <w:rsid w:val="00272C61"/>
    <w:rsid w:val="00272CC7"/>
    <w:rsid w:val="00272E0F"/>
    <w:rsid w:val="00272E21"/>
    <w:rsid w:val="00272E3C"/>
    <w:rsid w:val="00272E46"/>
    <w:rsid w:val="00272F6F"/>
    <w:rsid w:val="0027309B"/>
    <w:rsid w:val="002731D3"/>
    <w:rsid w:val="0027322A"/>
    <w:rsid w:val="00273665"/>
    <w:rsid w:val="00273728"/>
    <w:rsid w:val="00273853"/>
    <w:rsid w:val="002738D8"/>
    <w:rsid w:val="00273A69"/>
    <w:rsid w:val="00273B4F"/>
    <w:rsid w:val="00273B8F"/>
    <w:rsid w:val="00273BAC"/>
    <w:rsid w:val="00273E67"/>
    <w:rsid w:val="00273F0B"/>
    <w:rsid w:val="00273F82"/>
    <w:rsid w:val="00273F88"/>
    <w:rsid w:val="00274048"/>
    <w:rsid w:val="00274075"/>
    <w:rsid w:val="002740CB"/>
    <w:rsid w:val="00274114"/>
    <w:rsid w:val="00274125"/>
    <w:rsid w:val="002743D9"/>
    <w:rsid w:val="0027446B"/>
    <w:rsid w:val="00274501"/>
    <w:rsid w:val="00274556"/>
    <w:rsid w:val="0027463C"/>
    <w:rsid w:val="002746E8"/>
    <w:rsid w:val="002746FA"/>
    <w:rsid w:val="0027492E"/>
    <w:rsid w:val="0027493A"/>
    <w:rsid w:val="00274AAB"/>
    <w:rsid w:val="00274B2B"/>
    <w:rsid w:val="00274B9A"/>
    <w:rsid w:val="00274C6C"/>
    <w:rsid w:val="00274D12"/>
    <w:rsid w:val="00274D26"/>
    <w:rsid w:val="00274DD0"/>
    <w:rsid w:val="00274E9F"/>
    <w:rsid w:val="00274F70"/>
    <w:rsid w:val="00274FB0"/>
    <w:rsid w:val="00274FD6"/>
    <w:rsid w:val="002750C8"/>
    <w:rsid w:val="0027525D"/>
    <w:rsid w:val="002752F7"/>
    <w:rsid w:val="00275566"/>
    <w:rsid w:val="002755B7"/>
    <w:rsid w:val="0027562F"/>
    <w:rsid w:val="00275735"/>
    <w:rsid w:val="00275771"/>
    <w:rsid w:val="002757CA"/>
    <w:rsid w:val="0027584F"/>
    <w:rsid w:val="002758FC"/>
    <w:rsid w:val="00275A27"/>
    <w:rsid w:val="00275A8B"/>
    <w:rsid w:val="00275B47"/>
    <w:rsid w:val="00275BF3"/>
    <w:rsid w:val="00275C51"/>
    <w:rsid w:val="00275C6D"/>
    <w:rsid w:val="00275D85"/>
    <w:rsid w:val="00275DF1"/>
    <w:rsid w:val="0027615E"/>
    <w:rsid w:val="002763B3"/>
    <w:rsid w:val="002764CA"/>
    <w:rsid w:val="00276729"/>
    <w:rsid w:val="00276A49"/>
    <w:rsid w:val="00276B3F"/>
    <w:rsid w:val="00276B9B"/>
    <w:rsid w:val="00276D85"/>
    <w:rsid w:val="00276DA5"/>
    <w:rsid w:val="00276E72"/>
    <w:rsid w:val="00276FA6"/>
    <w:rsid w:val="0027717C"/>
    <w:rsid w:val="002771AC"/>
    <w:rsid w:val="0027725C"/>
    <w:rsid w:val="00277265"/>
    <w:rsid w:val="00277299"/>
    <w:rsid w:val="00277315"/>
    <w:rsid w:val="00277368"/>
    <w:rsid w:val="002773C2"/>
    <w:rsid w:val="002773C3"/>
    <w:rsid w:val="0027742A"/>
    <w:rsid w:val="002775F5"/>
    <w:rsid w:val="00277616"/>
    <w:rsid w:val="00277654"/>
    <w:rsid w:val="002776EB"/>
    <w:rsid w:val="00277702"/>
    <w:rsid w:val="0027781C"/>
    <w:rsid w:val="002778EF"/>
    <w:rsid w:val="00277997"/>
    <w:rsid w:val="002779FA"/>
    <w:rsid w:val="00277B49"/>
    <w:rsid w:val="00277B4C"/>
    <w:rsid w:val="00277BBE"/>
    <w:rsid w:val="00277CBD"/>
    <w:rsid w:val="00277D67"/>
    <w:rsid w:val="00277E16"/>
    <w:rsid w:val="00277E8E"/>
    <w:rsid w:val="00277EE3"/>
    <w:rsid w:val="00277EF0"/>
    <w:rsid w:val="00277F89"/>
    <w:rsid w:val="00280124"/>
    <w:rsid w:val="0028016D"/>
    <w:rsid w:val="00280179"/>
    <w:rsid w:val="00280204"/>
    <w:rsid w:val="00280258"/>
    <w:rsid w:val="002802E3"/>
    <w:rsid w:val="00280400"/>
    <w:rsid w:val="002804DF"/>
    <w:rsid w:val="00280525"/>
    <w:rsid w:val="00280612"/>
    <w:rsid w:val="002806B3"/>
    <w:rsid w:val="00280723"/>
    <w:rsid w:val="00280746"/>
    <w:rsid w:val="002807D2"/>
    <w:rsid w:val="0028080E"/>
    <w:rsid w:val="0028082E"/>
    <w:rsid w:val="00280872"/>
    <w:rsid w:val="00280B2F"/>
    <w:rsid w:val="00280C0F"/>
    <w:rsid w:val="00280C30"/>
    <w:rsid w:val="00280C58"/>
    <w:rsid w:val="00280CF8"/>
    <w:rsid w:val="00280DA2"/>
    <w:rsid w:val="00280E06"/>
    <w:rsid w:val="00280E2D"/>
    <w:rsid w:val="002810D8"/>
    <w:rsid w:val="00281116"/>
    <w:rsid w:val="00281318"/>
    <w:rsid w:val="0028143A"/>
    <w:rsid w:val="00281441"/>
    <w:rsid w:val="0028148F"/>
    <w:rsid w:val="002814BE"/>
    <w:rsid w:val="002814F6"/>
    <w:rsid w:val="0028169D"/>
    <w:rsid w:val="00281977"/>
    <w:rsid w:val="00281A1C"/>
    <w:rsid w:val="00281A9C"/>
    <w:rsid w:val="00281AB4"/>
    <w:rsid w:val="00281B07"/>
    <w:rsid w:val="00281D09"/>
    <w:rsid w:val="00281D26"/>
    <w:rsid w:val="0028203F"/>
    <w:rsid w:val="0028213D"/>
    <w:rsid w:val="002821B8"/>
    <w:rsid w:val="00282214"/>
    <w:rsid w:val="0028246C"/>
    <w:rsid w:val="00282538"/>
    <w:rsid w:val="00282550"/>
    <w:rsid w:val="00282729"/>
    <w:rsid w:val="0028276D"/>
    <w:rsid w:val="0028280E"/>
    <w:rsid w:val="00282902"/>
    <w:rsid w:val="002829E9"/>
    <w:rsid w:val="002829F1"/>
    <w:rsid w:val="00282AA1"/>
    <w:rsid w:val="00282AF3"/>
    <w:rsid w:val="00282BC6"/>
    <w:rsid w:val="00282C00"/>
    <w:rsid w:val="00282C68"/>
    <w:rsid w:val="00282C84"/>
    <w:rsid w:val="00282D00"/>
    <w:rsid w:val="00282D9D"/>
    <w:rsid w:val="00282DC5"/>
    <w:rsid w:val="00282E3B"/>
    <w:rsid w:val="00282F58"/>
    <w:rsid w:val="00282F75"/>
    <w:rsid w:val="00282F79"/>
    <w:rsid w:val="00282FF6"/>
    <w:rsid w:val="002830B2"/>
    <w:rsid w:val="002830B6"/>
    <w:rsid w:val="00283324"/>
    <w:rsid w:val="00283334"/>
    <w:rsid w:val="00283336"/>
    <w:rsid w:val="002833B3"/>
    <w:rsid w:val="002834D4"/>
    <w:rsid w:val="002835DF"/>
    <w:rsid w:val="002836C4"/>
    <w:rsid w:val="0028377F"/>
    <w:rsid w:val="00283867"/>
    <w:rsid w:val="00283955"/>
    <w:rsid w:val="00283AD1"/>
    <w:rsid w:val="00283BC6"/>
    <w:rsid w:val="00283D16"/>
    <w:rsid w:val="00283ED9"/>
    <w:rsid w:val="0028402F"/>
    <w:rsid w:val="00284135"/>
    <w:rsid w:val="00284406"/>
    <w:rsid w:val="0028467A"/>
    <w:rsid w:val="0028469D"/>
    <w:rsid w:val="0028481D"/>
    <w:rsid w:val="00284861"/>
    <w:rsid w:val="0028486A"/>
    <w:rsid w:val="00284927"/>
    <w:rsid w:val="00284A75"/>
    <w:rsid w:val="00284EFD"/>
    <w:rsid w:val="00284FF7"/>
    <w:rsid w:val="00285321"/>
    <w:rsid w:val="00285397"/>
    <w:rsid w:val="002853F8"/>
    <w:rsid w:val="00285695"/>
    <w:rsid w:val="002856A0"/>
    <w:rsid w:val="0028573B"/>
    <w:rsid w:val="00285872"/>
    <w:rsid w:val="0028589D"/>
    <w:rsid w:val="00285905"/>
    <w:rsid w:val="00285B34"/>
    <w:rsid w:val="00285B84"/>
    <w:rsid w:val="00285C2B"/>
    <w:rsid w:val="00285CCA"/>
    <w:rsid w:val="00285CDA"/>
    <w:rsid w:val="00285D85"/>
    <w:rsid w:val="00285E1D"/>
    <w:rsid w:val="00285EC9"/>
    <w:rsid w:val="00285F2A"/>
    <w:rsid w:val="00285F99"/>
    <w:rsid w:val="00286091"/>
    <w:rsid w:val="002860C5"/>
    <w:rsid w:val="00286155"/>
    <w:rsid w:val="00286294"/>
    <w:rsid w:val="002862F1"/>
    <w:rsid w:val="0028632B"/>
    <w:rsid w:val="00286340"/>
    <w:rsid w:val="0028637F"/>
    <w:rsid w:val="002863E9"/>
    <w:rsid w:val="00286468"/>
    <w:rsid w:val="00286516"/>
    <w:rsid w:val="0028653F"/>
    <w:rsid w:val="00286623"/>
    <w:rsid w:val="00286626"/>
    <w:rsid w:val="00286640"/>
    <w:rsid w:val="00286661"/>
    <w:rsid w:val="00286941"/>
    <w:rsid w:val="002869EE"/>
    <w:rsid w:val="00286A9E"/>
    <w:rsid w:val="00286ABD"/>
    <w:rsid w:val="00286BC0"/>
    <w:rsid w:val="00286CB3"/>
    <w:rsid w:val="00286CCE"/>
    <w:rsid w:val="00286E1B"/>
    <w:rsid w:val="00286F14"/>
    <w:rsid w:val="00287015"/>
    <w:rsid w:val="002871BA"/>
    <w:rsid w:val="0028727C"/>
    <w:rsid w:val="00287342"/>
    <w:rsid w:val="002873FC"/>
    <w:rsid w:val="00287761"/>
    <w:rsid w:val="0028789C"/>
    <w:rsid w:val="002879A3"/>
    <w:rsid w:val="002879AD"/>
    <w:rsid w:val="00287A4E"/>
    <w:rsid w:val="00287D3A"/>
    <w:rsid w:val="00287F52"/>
    <w:rsid w:val="00290011"/>
    <w:rsid w:val="002903DE"/>
    <w:rsid w:val="00290605"/>
    <w:rsid w:val="002906DB"/>
    <w:rsid w:val="002907B9"/>
    <w:rsid w:val="00290829"/>
    <w:rsid w:val="00290885"/>
    <w:rsid w:val="00290A69"/>
    <w:rsid w:val="00290AD6"/>
    <w:rsid w:val="00290C0B"/>
    <w:rsid w:val="00290D42"/>
    <w:rsid w:val="00290D84"/>
    <w:rsid w:val="00290DCE"/>
    <w:rsid w:val="00290E04"/>
    <w:rsid w:val="00290F03"/>
    <w:rsid w:val="002910DE"/>
    <w:rsid w:val="002912E3"/>
    <w:rsid w:val="0029132E"/>
    <w:rsid w:val="00291373"/>
    <w:rsid w:val="002913B6"/>
    <w:rsid w:val="002913FA"/>
    <w:rsid w:val="002915FE"/>
    <w:rsid w:val="0029169F"/>
    <w:rsid w:val="00291824"/>
    <w:rsid w:val="002918DB"/>
    <w:rsid w:val="0029190E"/>
    <w:rsid w:val="00291923"/>
    <w:rsid w:val="0029197A"/>
    <w:rsid w:val="002919D5"/>
    <w:rsid w:val="00291B10"/>
    <w:rsid w:val="00291C88"/>
    <w:rsid w:val="00291CC4"/>
    <w:rsid w:val="00291D1D"/>
    <w:rsid w:val="00291E2C"/>
    <w:rsid w:val="00291F6D"/>
    <w:rsid w:val="00291F77"/>
    <w:rsid w:val="00291FCB"/>
    <w:rsid w:val="00292015"/>
    <w:rsid w:val="002922CE"/>
    <w:rsid w:val="0029248F"/>
    <w:rsid w:val="00292541"/>
    <w:rsid w:val="0029266D"/>
    <w:rsid w:val="00292756"/>
    <w:rsid w:val="00292931"/>
    <w:rsid w:val="002929DA"/>
    <w:rsid w:val="00292A41"/>
    <w:rsid w:val="00292C1F"/>
    <w:rsid w:val="00292CDD"/>
    <w:rsid w:val="00293022"/>
    <w:rsid w:val="0029304A"/>
    <w:rsid w:val="002930DB"/>
    <w:rsid w:val="0029339D"/>
    <w:rsid w:val="002934A5"/>
    <w:rsid w:val="00293757"/>
    <w:rsid w:val="002938C1"/>
    <w:rsid w:val="002939E9"/>
    <w:rsid w:val="00293AE5"/>
    <w:rsid w:val="00293CAB"/>
    <w:rsid w:val="00293D1E"/>
    <w:rsid w:val="00293D6C"/>
    <w:rsid w:val="00293DA3"/>
    <w:rsid w:val="00293E60"/>
    <w:rsid w:val="00293E68"/>
    <w:rsid w:val="00293EA8"/>
    <w:rsid w:val="00293F3E"/>
    <w:rsid w:val="00294023"/>
    <w:rsid w:val="0029403F"/>
    <w:rsid w:val="0029406F"/>
    <w:rsid w:val="002940B2"/>
    <w:rsid w:val="002941A4"/>
    <w:rsid w:val="002941BB"/>
    <w:rsid w:val="002941DD"/>
    <w:rsid w:val="0029421B"/>
    <w:rsid w:val="00294289"/>
    <w:rsid w:val="00294362"/>
    <w:rsid w:val="00294383"/>
    <w:rsid w:val="00294473"/>
    <w:rsid w:val="0029451E"/>
    <w:rsid w:val="002945FA"/>
    <w:rsid w:val="002947CD"/>
    <w:rsid w:val="00294D12"/>
    <w:rsid w:val="00294D61"/>
    <w:rsid w:val="00294E8E"/>
    <w:rsid w:val="00294EC0"/>
    <w:rsid w:val="002950D1"/>
    <w:rsid w:val="0029517D"/>
    <w:rsid w:val="00295206"/>
    <w:rsid w:val="002952BB"/>
    <w:rsid w:val="00295392"/>
    <w:rsid w:val="0029542A"/>
    <w:rsid w:val="00295438"/>
    <w:rsid w:val="0029562C"/>
    <w:rsid w:val="0029568D"/>
    <w:rsid w:val="002957D4"/>
    <w:rsid w:val="00295888"/>
    <w:rsid w:val="002958A1"/>
    <w:rsid w:val="002958D6"/>
    <w:rsid w:val="0029597D"/>
    <w:rsid w:val="00295AA4"/>
    <w:rsid w:val="00295BE5"/>
    <w:rsid w:val="00295DAB"/>
    <w:rsid w:val="00295EFB"/>
    <w:rsid w:val="00295F14"/>
    <w:rsid w:val="00296038"/>
    <w:rsid w:val="00296070"/>
    <w:rsid w:val="00296090"/>
    <w:rsid w:val="0029622C"/>
    <w:rsid w:val="00296263"/>
    <w:rsid w:val="0029627F"/>
    <w:rsid w:val="002962C3"/>
    <w:rsid w:val="002962DD"/>
    <w:rsid w:val="00296444"/>
    <w:rsid w:val="002965A4"/>
    <w:rsid w:val="002966BF"/>
    <w:rsid w:val="00296845"/>
    <w:rsid w:val="002968F2"/>
    <w:rsid w:val="00296A3E"/>
    <w:rsid w:val="00296AA9"/>
    <w:rsid w:val="00296B14"/>
    <w:rsid w:val="00296B26"/>
    <w:rsid w:val="00296C23"/>
    <w:rsid w:val="00296D16"/>
    <w:rsid w:val="00296D20"/>
    <w:rsid w:val="00296E80"/>
    <w:rsid w:val="00296EDA"/>
    <w:rsid w:val="00296F5A"/>
    <w:rsid w:val="00296FD3"/>
    <w:rsid w:val="00297493"/>
    <w:rsid w:val="002974E7"/>
    <w:rsid w:val="002974E9"/>
    <w:rsid w:val="0029751A"/>
    <w:rsid w:val="0029752B"/>
    <w:rsid w:val="002975C3"/>
    <w:rsid w:val="002978DF"/>
    <w:rsid w:val="002978ED"/>
    <w:rsid w:val="00297AA8"/>
    <w:rsid w:val="00297B07"/>
    <w:rsid w:val="00297B42"/>
    <w:rsid w:val="00297BA3"/>
    <w:rsid w:val="00297BF5"/>
    <w:rsid w:val="00297CE0"/>
    <w:rsid w:val="002A0060"/>
    <w:rsid w:val="002A006B"/>
    <w:rsid w:val="002A00AC"/>
    <w:rsid w:val="002A017D"/>
    <w:rsid w:val="002A0216"/>
    <w:rsid w:val="002A0243"/>
    <w:rsid w:val="002A0344"/>
    <w:rsid w:val="002A039D"/>
    <w:rsid w:val="002A04D7"/>
    <w:rsid w:val="002A05A0"/>
    <w:rsid w:val="002A0603"/>
    <w:rsid w:val="002A06AF"/>
    <w:rsid w:val="002A084F"/>
    <w:rsid w:val="002A08F0"/>
    <w:rsid w:val="002A098E"/>
    <w:rsid w:val="002A0A9C"/>
    <w:rsid w:val="002A0A9F"/>
    <w:rsid w:val="002A0B5C"/>
    <w:rsid w:val="002A0C57"/>
    <w:rsid w:val="002A0D0B"/>
    <w:rsid w:val="002A0D16"/>
    <w:rsid w:val="002A0EA5"/>
    <w:rsid w:val="002A0EF5"/>
    <w:rsid w:val="002A0F7C"/>
    <w:rsid w:val="002A1034"/>
    <w:rsid w:val="002A1104"/>
    <w:rsid w:val="002A12A5"/>
    <w:rsid w:val="002A12F8"/>
    <w:rsid w:val="002A1341"/>
    <w:rsid w:val="002A1493"/>
    <w:rsid w:val="002A14A9"/>
    <w:rsid w:val="002A1606"/>
    <w:rsid w:val="002A1773"/>
    <w:rsid w:val="002A1AAA"/>
    <w:rsid w:val="002A1AE3"/>
    <w:rsid w:val="002A1D74"/>
    <w:rsid w:val="002A1EBD"/>
    <w:rsid w:val="002A1F6C"/>
    <w:rsid w:val="002A2124"/>
    <w:rsid w:val="002A2173"/>
    <w:rsid w:val="002A21E3"/>
    <w:rsid w:val="002A22D9"/>
    <w:rsid w:val="002A239B"/>
    <w:rsid w:val="002A26C8"/>
    <w:rsid w:val="002A272C"/>
    <w:rsid w:val="002A287A"/>
    <w:rsid w:val="002A2927"/>
    <w:rsid w:val="002A2A56"/>
    <w:rsid w:val="002A2D3B"/>
    <w:rsid w:val="002A2E25"/>
    <w:rsid w:val="002A2F28"/>
    <w:rsid w:val="002A2FCC"/>
    <w:rsid w:val="002A3137"/>
    <w:rsid w:val="002A31A8"/>
    <w:rsid w:val="002A31A9"/>
    <w:rsid w:val="002A34B2"/>
    <w:rsid w:val="002A3521"/>
    <w:rsid w:val="002A35E8"/>
    <w:rsid w:val="002A379C"/>
    <w:rsid w:val="002A38BA"/>
    <w:rsid w:val="002A38DE"/>
    <w:rsid w:val="002A38E8"/>
    <w:rsid w:val="002A390C"/>
    <w:rsid w:val="002A3960"/>
    <w:rsid w:val="002A3A03"/>
    <w:rsid w:val="002A3A6C"/>
    <w:rsid w:val="002A3B0A"/>
    <w:rsid w:val="002A3B93"/>
    <w:rsid w:val="002A3DD8"/>
    <w:rsid w:val="002A3FC9"/>
    <w:rsid w:val="002A4193"/>
    <w:rsid w:val="002A4366"/>
    <w:rsid w:val="002A440A"/>
    <w:rsid w:val="002A4698"/>
    <w:rsid w:val="002A4745"/>
    <w:rsid w:val="002A483C"/>
    <w:rsid w:val="002A48A1"/>
    <w:rsid w:val="002A4912"/>
    <w:rsid w:val="002A4943"/>
    <w:rsid w:val="002A4A39"/>
    <w:rsid w:val="002A4AF7"/>
    <w:rsid w:val="002A4BCB"/>
    <w:rsid w:val="002A4C11"/>
    <w:rsid w:val="002A4C22"/>
    <w:rsid w:val="002A4D1D"/>
    <w:rsid w:val="002A4F51"/>
    <w:rsid w:val="002A4F58"/>
    <w:rsid w:val="002A4F76"/>
    <w:rsid w:val="002A4F77"/>
    <w:rsid w:val="002A508F"/>
    <w:rsid w:val="002A5214"/>
    <w:rsid w:val="002A52C5"/>
    <w:rsid w:val="002A538E"/>
    <w:rsid w:val="002A53F7"/>
    <w:rsid w:val="002A5444"/>
    <w:rsid w:val="002A5455"/>
    <w:rsid w:val="002A54AD"/>
    <w:rsid w:val="002A550D"/>
    <w:rsid w:val="002A5610"/>
    <w:rsid w:val="002A57F3"/>
    <w:rsid w:val="002A5826"/>
    <w:rsid w:val="002A5889"/>
    <w:rsid w:val="002A59B9"/>
    <w:rsid w:val="002A5ADB"/>
    <w:rsid w:val="002A5BC8"/>
    <w:rsid w:val="002A5C9E"/>
    <w:rsid w:val="002A5D08"/>
    <w:rsid w:val="002A5DAF"/>
    <w:rsid w:val="002A5E1F"/>
    <w:rsid w:val="002A5EB0"/>
    <w:rsid w:val="002A602E"/>
    <w:rsid w:val="002A643A"/>
    <w:rsid w:val="002A67E2"/>
    <w:rsid w:val="002A67EF"/>
    <w:rsid w:val="002A6808"/>
    <w:rsid w:val="002A6927"/>
    <w:rsid w:val="002A6A4B"/>
    <w:rsid w:val="002A6AC1"/>
    <w:rsid w:val="002A6B76"/>
    <w:rsid w:val="002A6F49"/>
    <w:rsid w:val="002A6F7E"/>
    <w:rsid w:val="002A703C"/>
    <w:rsid w:val="002A7135"/>
    <w:rsid w:val="002A7193"/>
    <w:rsid w:val="002A73A2"/>
    <w:rsid w:val="002A753A"/>
    <w:rsid w:val="002A75D9"/>
    <w:rsid w:val="002A7810"/>
    <w:rsid w:val="002A79D3"/>
    <w:rsid w:val="002A7D00"/>
    <w:rsid w:val="002A7D4E"/>
    <w:rsid w:val="002A7F30"/>
    <w:rsid w:val="002B00DF"/>
    <w:rsid w:val="002B0132"/>
    <w:rsid w:val="002B016A"/>
    <w:rsid w:val="002B0242"/>
    <w:rsid w:val="002B0291"/>
    <w:rsid w:val="002B02BE"/>
    <w:rsid w:val="002B02E9"/>
    <w:rsid w:val="002B038E"/>
    <w:rsid w:val="002B050A"/>
    <w:rsid w:val="002B06A1"/>
    <w:rsid w:val="002B07BB"/>
    <w:rsid w:val="002B08D1"/>
    <w:rsid w:val="002B0941"/>
    <w:rsid w:val="002B0944"/>
    <w:rsid w:val="002B0A44"/>
    <w:rsid w:val="002B0AB1"/>
    <w:rsid w:val="002B0B92"/>
    <w:rsid w:val="002B0C55"/>
    <w:rsid w:val="002B0C7C"/>
    <w:rsid w:val="002B0D17"/>
    <w:rsid w:val="002B0E85"/>
    <w:rsid w:val="002B0F05"/>
    <w:rsid w:val="002B0F2A"/>
    <w:rsid w:val="002B0F6D"/>
    <w:rsid w:val="002B1105"/>
    <w:rsid w:val="002B1302"/>
    <w:rsid w:val="002B134F"/>
    <w:rsid w:val="002B147D"/>
    <w:rsid w:val="002B1489"/>
    <w:rsid w:val="002B1521"/>
    <w:rsid w:val="002B1729"/>
    <w:rsid w:val="002B1803"/>
    <w:rsid w:val="002B1973"/>
    <w:rsid w:val="002B19B4"/>
    <w:rsid w:val="002B19EF"/>
    <w:rsid w:val="002B19F5"/>
    <w:rsid w:val="002B1AB1"/>
    <w:rsid w:val="002B1B0C"/>
    <w:rsid w:val="002B1C08"/>
    <w:rsid w:val="002B1C3F"/>
    <w:rsid w:val="002B1CEF"/>
    <w:rsid w:val="002B1D4C"/>
    <w:rsid w:val="002B1E31"/>
    <w:rsid w:val="002B1EBE"/>
    <w:rsid w:val="002B1F0F"/>
    <w:rsid w:val="002B2120"/>
    <w:rsid w:val="002B2209"/>
    <w:rsid w:val="002B2325"/>
    <w:rsid w:val="002B2432"/>
    <w:rsid w:val="002B2469"/>
    <w:rsid w:val="002B2670"/>
    <w:rsid w:val="002B2788"/>
    <w:rsid w:val="002B281E"/>
    <w:rsid w:val="002B29B9"/>
    <w:rsid w:val="002B2C85"/>
    <w:rsid w:val="002B2CC0"/>
    <w:rsid w:val="002B2EDB"/>
    <w:rsid w:val="002B2F51"/>
    <w:rsid w:val="002B30E7"/>
    <w:rsid w:val="002B3198"/>
    <w:rsid w:val="002B3362"/>
    <w:rsid w:val="002B36C7"/>
    <w:rsid w:val="002B36FC"/>
    <w:rsid w:val="002B3729"/>
    <w:rsid w:val="002B376D"/>
    <w:rsid w:val="002B3788"/>
    <w:rsid w:val="002B3867"/>
    <w:rsid w:val="002B3891"/>
    <w:rsid w:val="002B396F"/>
    <w:rsid w:val="002B3A8B"/>
    <w:rsid w:val="002B3C02"/>
    <w:rsid w:val="002B3D07"/>
    <w:rsid w:val="002B3E79"/>
    <w:rsid w:val="002B3E7C"/>
    <w:rsid w:val="002B401C"/>
    <w:rsid w:val="002B40BD"/>
    <w:rsid w:val="002B40F4"/>
    <w:rsid w:val="002B412D"/>
    <w:rsid w:val="002B4343"/>
    <w:rsid w:val="002B4453"/>
    <w:rsid w:val="002B4761"/>
    <w:rsid w:val="002B4925"/>
    <w:rsid w:val="002B4BEA"/>
    <w:rsid w:val="002B4CA1"/>
    <w:rsid w:val="002B4DAE"/>
    <w:rsid w:val="002B4DD4"/>
    <w:rsid w:val="002B4E88"/>
    <w:rsid w:val="002B4FB2"/>
    <w:rsid w:val="002B4FE1"/>
    <w:rsid w:val="002B513A"/>
    <w:rsid w:val="002B51B3"/>
    <w:rsid w:val="002B5277"/>
    <w:rsid w:val="002B52C2"/>
    <w:rsid w:val="002B532B"/>
    <w:rsid w:val="002B5375"/>
    <w:rsid w:val="002B541D"/>
    <w:rsid w:val="002B5441"/>
    <w:rsid w:val="002B5448"/>
    <w:rsid w:val="002B5688"/>
    <w:rsid w:val="002B56AF"/>
    <w:rsid w:val="002B595E"/>
    <w:rsid w:val="002B59B6"/>
    <w:rsid w:val="002B5A87"/>
    <w:rsid w:val="002B5C84"/>
    <w:rsid w:val="002B5CAC"/>
    <w:rsid w:val="002B5F83"/>
    <w:rsid w:val="002B5FCD"/>
    <w:rsid w:val="002B6322"/>
    <w:rsid w:val="002B64C8"/>
    <w:rsid w:val="002B64F3"/>
    <w:rsid w:val="002B65E3"/>
    <w:rsid w:val="002B6618"/>
    <w:rsid w:val="002B67F5"/>
    <w:rsid w:val="002B6CBD"/>
    <w:rsid w:val="002B6E4C"/>
    <w:rsid w:val="002B6F94"/>
    <w:rsid w:val="002B6FDB"/>
    <w:rsid w:val="002B7038"/>
    <w:rsid w:val="002B70F3"/>
    <w:rsid w:val="002B72C7"/>
    <w:rsid w:val="002B7318"/>
    <w:rsid w:val="002B73F3"/>
    <w:rsid w:val="002B74DF"/>
    <w:rsid w:val="002B74F5"/>
    <w:rsid w:val="002B761B"/>
    <w:rsid w:val="002B770F"/>
    <w:rsid w:val="002B77C1"/>
    <w:rsid w:val="002B77F7"/>
    <w:rsid w:val="002B785B"/>
    <w:rsid w:val="002B787F"/>
    <w:rsid w:val="002B7881"/>
    <w:rsid w:val="002B7909"/>
    <w:rsid w:val="002B7920"/>
    <w:rsid w:val="002B796E"/>
    <w:rsid w:val="002B79E2"/>
    <w:rsid w:val="002B7A99"/>
    <w:rsid w:val="002B7F23"/>
    <w:rsid w:val="002B7F9B"/>
    <w:rsid w:val="002B7FC5"/>
    <w:rsid w:val="002C001E"/>
    <w:rsid w:val="002C0041"/>
    <w:rsid w:val="002C0090"/>
    <w:rsid w:val="002C024D"/>
    <w:rsid w:val="002C0503"/>
    <w:rsid w:val="002C0529"/>
    <w:rsid w:val="002C057E"/>
    <w:rsid w:val="002C06E7"/>
    <w:rsid w:val="002C070C"/>
    <w:rsid w:val="002C0728"/>
    <w:rsid w:val="002C08A9"/>
    <w:rsid w:val="002C0AD1"/>
    <w:rsid w:val="002C0B6C"/>
    <w:rsid w:val="002C0CAB"/>
    <w:rsid w:val="002C0ED7"/>
    <w:rsid w:val="002C101B"/>
    <w:rsid w:val="002C108D"/>
    <w:rsid w:val="002C10C6"/>
    <w:rsid w:val="002C11A9"/>
    <w:rsid w:val="002C1280"/>
    <w:rsid w:val="002C12C2"/>
    <w:rsid w:val="002C1303"/>
    <w:rsid w:val="002C132D"/>
    <w:rsid w:val="002C13D3"/>
    <w:rsid w:val="002C1476"/>
    <w:rsid w:val="002C14B7"/>
    <w:rsid w:val="002C1515"/>
    <w:rsid w:val="002C16B8"/>
    <w:rsid w:val="002C17FD"/>
    <w:rsid w:val="002C194B"/>
    <w:rsid w:val="002C19E3"/>
    <w:rsid w:val="002C1A4E"/>
    <w:rsid w:val="002C1A61"/>
    <w:rsid w:val="002C1A90"/>
    <w:rsid w:val="002C1AF6"/>
    <w:rsid w:val="002C1CA6"/>
    <w:rsid w:val="002C1DCE"/>
    <w:rsid w:val="002C1E48"/>
    <w:rsid w:val="002C2510"/>
    <w:rsid w:val="002C2567"/>
    <w:rsid w:val="002C2728"/>
    <w:rsid w:val="002C29CE"/>
    <w:rsid w:val="002C2A89"/>
    <w:rsid w:val="002C2B4C"/>
    <w:rsid w:val="002C2BFE"/>
    <w:rsid w:val="002C2C04"/>
    <w:rsid w:val="002C2C9D"/>
    <w:rsid w:val="002C2CA4"/>
    <w:rsid w:val="002C2CAD"/>
    <w:rsid w:val="002C2D90"/>
    <w:rsid w:val="002C2E47"/>
    <w:rsid w:val="002C2E98"/>
    <w:rsid w:val="002C2E9E"/>
    <w:rsid w:val="002C2FCB"/>
    <w:rsid w:val="002C30C4"/>
    <w:rsid w:val="002C31EE"/>
    <w:rsid w:val="002C31F4"/>
    <w:rsid w:val="002C3229"/>
    <w:rsid w:val="002C32DE"/>
    <w:rsid w:val="002C335F"/>
    <w:rsid w:val="002C3478"/>
    <w:rsid w:val="002C36A7"/>
    <w:rsid w:val="002C36C5"/>
    <w:rsid w:val="002C37E7"/>
    <w:rsid w:val="002C3881"/>
    <w:rsid w:val="002C3896"/>
    <w:rsid w:val="002C3B78"/>
    <w:rsid w:val="002C3C64"/>
    <w:rsid w:val="002C3C71"/>
    <w:rsid w:val="002C3DBF"/>
    <w:rsid w:val="002C3DE6"/>
    <w:rsid w:val="002C4049"/>
    <w:rsid w:val="002C4065"/>
    <w:rsid w:val="002C40BE"/>
    <w:rsid w:val="002C4181"/>
    <w:rsid w:val="002C42D7"/>
    <w:rsid w:val="002C46CD"/>
    <w:rsid w:val="002C4713"/>
    <w:rsid w:val="002C4726"/>
    <w:rsid w:val="002C4730"/>
    <w:rsid w:val="002C4741"/>
    <w:rsid w:val="002C4761"/>
    <w:rsid w:val="002C47FD"/>
    <w:rsid w:val="002C48B6"/>
    <w:rsid w:val="002C48D4"/>
    <w:rsid w:val="002C4A16"/>
    <w:rsid w:val="002C4A50"/>
    <w:rsid w:val="002C4C7E"/>
    <w:rsid w:val="002C4E15"/>
    <w:rsid w:val="002C4E2E"/>
    <w:rsid w:val="002C4EE0"/>
    <w:rsid w:val="002C5009"/>
    <w:rsid w:val="002C530A"/>
    <w:rsid w:val="002C5391"/>
    <w:rsid w:val="002C53A0"/>
    <w:rsid w:val="002C53AB"/>
    <w:rsid w:val="002C54AC"/>
    <w:rsid w:val="002C54CB"/>
    <w:rsid w:val="002C5534"/>
    <w:rsid w:val="002C5571"/>
    <w:rsid w:val="002C557A"/>
    <w:rsid w:val="002C5697"/>
    <w:rsid w:val="002C57BD"/>
    <w:rsid w:val="002C57F5"/>
    <w:rsid w:val="002C5822"/>
    <w:rsid w:val="002C583D"/>
    <w:rsid w:val="002C590D"/>
    <w:rsid w:val="002C5B7C"/>
    <w:rsid w:val="002C5BD2"/>
    <w:rsid w:val="002C5E19"/>
    <w:rsid w:val="002C5E1E"/>
    <w:rsid w:val="002C5EAB"/>
    <w:rsid w:val="002C5FE0"/>
    <w:rsid w:val="002C601A"/>
    <w:rsid w:val="002C60DB"/>
    <w:rsid w:val="002C616A"/>
    <w:rsid w:val="002C61E4"/>
    <w:rsid w:val="002C61ED"/>
    <w:rsid w:val="002C6288"/>
    <w:rsid w:val="002C6296"/>
    <w:rsid w:val="002C63B4"/>
    <w:rsid w:val="002C6535"/>
    <w:rsid w:val="002C6560"/>
    <w:rsid w:val="002C6706"/>
    <w:rsid w:val="002C677C"/>
    <w:rsid w:val="002C6784"/>
    <w:rsid w:val="002C6807"/>
    <w:rsid w:val="002C6872"/>
    <w:rsid w:val="002C6921"/>
    <w:rsid w:val="002C6B2B"/>
    <w:rsid w:val="002C6B43"/>
    <w:rsid w:val="002C6D32"/>
    <w:rsid w:val="002C6E78"/>
    <w:rsid w:val="002C71FD"/>
    <w:rsid w:val="002C7230"/>
    <w:rsid w:val="002C7233"/>
    <w:rsid w:val="002C72F6"/>
    <w:rsid w:val="002C736E"/>
    <w:rsid w:val="002C745C"/>
    <w:rsid w:val="002C74B9"/>
    <w:rsid w:val="002C755D"/>
    <w:rsid w:val="002C7593"/>
    <w:rsid w:val="002C75B7"/>
    <w:rsid w:val="002C76B4"/>
    <w:rsid w:val="002C780B"/>
    <w:rsid w:val="002C782E"/>
    <w:rsid w:val="002C7850"/>
    <w:rsid w:val="002C7923"/>
    <w:rsid w:val="002C7B0C"/>
    <w:rsid w:val="002C7B2B"/>
    <w:rsid w:val="002C7B35"/>
    <w:rsid w:val="002C7B4E"/>
    <w:rsid w:val="002C7BCC"/>
    <w:rsid w:val="002C7C52"/>
    <w:rsid w:val="002C7D41"/>
    <w:rsid w:val="002C7E98"/>
    <w:rsid w:val="002C7F47"/>
    <w:rsid w:val="002D0030"/>
    <w:rsid w:val="002D0190"/>
    <w:rsid w:val="002D0389"/>
    <w:rsid w:val="002D0403"/>
    <w:rsid w:val="002D079E"/>
    <w:rsid w:val="002D09BF"/>
    <w:rsid w:val="002D09CB"/>
    <w:rsid w:val="002D0AEF"/>
    <w:rsid w:val="002D0C1C"/>
    <w:rsid w:val="002D0CF6"/>
    <w:rsid w:val="002D0E11"/>
    <w:rsid w:val="002D0E20"/>
    <w:rsid w:val="002D0E76"/>
    <w:rsid w:val="002D0EFF"/>
    <w:rsid w:val="002D0FD0"/>
    <w:rsid w:val="002D110F"/>
    <w:rsid w:val="002D1111"/>
    <w:rsid w:val="002D1199"/>
    <w:rsid w:val="002D1380"/>
    <w:rsid w:val="002D13DF"/>
    <w:rsid w:val="002D1501"/>
    <w:rsid w:val="002D1628"/>
    <w:rsid w:val="002D1673"/>
    <w:rsid w:val="002D16A2"/>
    <w:rsid w:val="002D17CB"/>
    <w:rsid w:val="002D18E3"/>
    <w:rsid w:val="002D1A8E"/>
    <w:rsid w:val="002D1B2F"/>
    <w:rsid w:val="002D1B75"/>
    <w:rsid w:val="002D1C97"/>
    <w:rsid w:val="002D1DE0"/>
    <w:rsid w:val="002D1E0D"/>
    <w:rsid w:val="002D1E10"/>
    <w:rsid w:val="002D220E"/>
    <w:rsid w:val="002D2298"/>
    <w:rsid w:val="002D22B8"/>
    <w:rsid w:val="002D236C"/>
    <w:rsid w:val="002D241E"/>
    <w:rsid w:val="002D24A1"/>
    <w:rsid w:val="002D2611"/>
    <w:rsid w:val="002D2627"/>
    <w:rsid w:val="002D2680"/>
    <w:rsid w:val="002D2697"/>
    <w:rsid w:val="002D26AB"/>
    <w:rsid w:val="002D284D"/>
    <w:rsid w:val="002D2917"/>
    <w:rsid w:val="002D298F"/>
    <w:rsid w:val="002D29A5"/>
    <w:rsid w:val="002D2A18"/>
    <w:rsid w:val="002D2B75"/>
    <w:rsid w:val="002D2C2C"/>
    <w:rsid w:val="002D2D06"/>
    <w:rsid w:val="002D2D88"/>
    <w:rsid w:val="002D2D92"/>
    <w:rsid w:val="002D2D99"/>
    <w:rsid w:val="002D2DE9"/>
    <w:rsid w:val="002D2DF4"/>
    <w:rsid w:val="002D2F90"/>
    <w:rsid w:val="002D2FC9"/>
    <w:rsid w:val="002D3042"/>
    <w:rsid w:val="002D31E3"/>
    <w:rsid w:val="002D31E4"/>
    <w:rsid w:val="002D3250"/>
    <w:rsid w:val="002D3287"/>
    <w:rsid w:val="002D32E1"/>
    <w:rsid w:val="002D32E6"/>
    <w:rsid w:val="002D3304"/>
    <w:rsid w:val="002D338B"/>
    <w:rsid w:val="002D3457"/>
    <w:rsid w:val="002D35E3"/>
    <w:rsid w:val="002D35F3"/>
    <w:rsid w:val="002D365B"/>
    <w:rsid w:val="002D3706"/>
    <w:rsid w:val="002D3837"/>
    <w:rsid w:val="002D397A"/>
    <w:rsid w:val="002D3AFC"/>
    <w:rsid w:val="002D3B0F"/>
    <w:rsid w:val="002D3CF7"/>
    <w:rsid w:val="002D3FC2"/>
    <w:rsid w:val="002D4040"/>
    <w:rsid w:val="002D4068"/>
    <w:rsid w:val="002D40B4"/>
    <w:rsid w:val="002D42D2"/>
    <w:rsid w:val="002D4474"/>
    <w:rsid w:val="002D4552"/>
    <w:rsid w:val="002D45EA"/>
    <w:rsid w:val="002D46CA"/>
    <w:rsid w:val="002D4A1C"/>
    <w:rsid w:val="002D4BAB"/>
    <w:rsid w:val="002D5006"/>
    <w:rsid w:val="002D5061"/>
    <w:rsid w:val="002D5088"/>
    <w:rsid w:val="002D517E"/>
    <w:rsid w:val="002D524E"/>
    <w:rsid w:val="002D5313"/>
    <w:rsid w:val="002D53F6"/>
    <w:rsid w:val="002D55DB"/>
    <w:rsid w:val="002D58DC"/>
    <w:rsid w:val="002D5A3C"/>
    <w:rsid w:val="002D5AAB"/>
    <w:rsid w:val="002D5C29"/>
    <w:rsid w:val="002D5D6B"/>
    <w:rsid w:val="002D5DF2"/>
    <w:rsid w:val="002D5E10"/>
    <w:rsid w:val="002D5E67"/>
    <w:rsid w:val="002D5F61"/>
    <w:rsid w:val="002D61F0"/>
    <w:rsid w:val="002D6244"/>
    <w:rsid w:val="002D626F"/>
    <w:rsid w:val="002D628B"/>
    <w:rsid w:val="002D6360"/>
    <w:rsid w:val="002D64D2"/>
    <w:rsid w:val="002D657D"/>
    <w:rsid w:val="002D65B3"/>
    <w:rsid w:val="002D65EE"/>
    <w:rsid w:val="002D66EC"/>
    <w:rsid w:val="002D6980"/>
    <w:rsid w:val="002D69FD"/>
    <w:rsid w:val="002D6AE3"/>
    <w:rsid w:val="002D6B21"/>
    <w:rsid w:val="002D6C11"/>
    <w:rsid w:val="002D6C75"/>
    <w:rsid w:val="002D6E23"/>
    <w:rsid w:val="002D6ED8"/>
    <w:rsid w:val="002D703F"/>
    <w:rsid w:val="002D7135"/>
    <w:rsid w:val="002D727B"/>
    <w:rsid w:val="002D7531"/>
    <w:rsid w:val="002D7751"/>
    <w:rsid w:val="002D77B6"/>
    <w:rsid w:val="002D7B41"/>
    <w:rsid w:val="002D7BD6"/>
    <w:rsid w:val="002D7BE0"/>
    <w:rsid w:val="002D7BE6"/>
    <w:rsid w:val="002D7C0D"/>
    <w:rsid w:val="002D7C61"/>
    <w:rsid w:val="002D7C6B"/>
    <w:rsid w:val="002D7D60"/>
    <w:rsid w:val="002E00B0"/>
    <w:rsid w:val="002E01D0"/>
    <w:rsid w:val="002E0288"/>
    <w:rsid w:val="002E0440"/>
    <w:rsid w:val="002E049D"/>
    <w:rsid w:val="002E04F9"/>
    <w:rsid w:val="002E053E"/>
    <w:rsid w:val="002E05BF"/>
    <w:rsid w:val="002E06C0"/>
    <w:rsid w:val="002E07AC"/>
    <w:rsid w:val="002E07B3"/>
    <w:rsid w:val="002E083F"/>
    <w:rsid w:val="002E0B85"/>
    <w:rsid w:val="002E0CD5"/>
    <w:rsid w:val="002E0F7A"/>
    <w:rsid w:val="002E0F90"/>
    <w:rsid w:val="002E1045"/>
    <w:rsid w:val="002E10E4"/>
    <w:rsid w:val="002E11A5"/>
    <w:rsid w:val="002E133A"/>
    <w:rsid w:val="002E1363"/>
    <w:rsid w:val="002E152D"/>
    <w:rsid w:val="002E161D"/>
    <w:rsid w:val="002E1654"/>
    <w:rsid w:val="002E1673"/>
    <w:rsid w:val="002E16B4"/>
    <w:rsid w:val="002E1722"/>
    <w:rsid w:val="002E172D"/>
    <w:rsid w:val="002E174F"/>
    <w:rsid w:val="002E178F"/>
    <w:rsid w:val="002E17E0"/>
    <w:rsid w:val="002E17E3"/>
    <w:rsid w:val="002E1803"/>
    <w:rsid w:val="002E18B9"/>
    <w:rsid w:val="002E191F"/>
    <w:rsid w:val="002E1979"/>
    <w:rsid w:val="002E1B38"/>
    <w:rsid w:val="002E1D43"/>
    <w:rsid w:val="002E1F2A"/>
    <w:rsid w:val="002E1F4F"/>
    <w:rsid w:val="002E1FC4"/>
    <w:rsid w:val="002E1FE0"/>
    <w:rsid w:val="002E2344"/>
    <w:rsid w:val="002E250B"/>
    <w:rsid w:val="002E281B"/>
    <w:rsid w:val="002E2821"/>
    <w:rsid w:val="002E28A2"/>
    <w:rsid w:val="002E292F"/>
    <w:rsid w:val="002E2938"/>
    <w:rsid w:val="002E29C1"/>
    <w:rsid w:val="002E2A3A"/>
    <w:rsid w:val="002E2A4A"/>
    <w:rsid w:val="002E2AA3"/>
    <w:rsid w:val="002E2B61"/>
    <w:rsid w:val="002E2C20"/>
    <w:rsid w:val="002E2CA4"/>
    <w:rsid w:val="002E2CFB"/>
    <w:rsid w:val="002E2D9C"/>
    <w:rsid w:val="002E2DE4"/>
    <w:rsid w:val="002E3100"/>
    <w:rsid w:val="002E316E"/>
    <w:rsid w:val="002E3241"/>
    <w:rsid w:val="002E3258"/>
    <w:rsid w:val="002E330F"/>
    <w:rsid w:val="002E340A"/>
    <w:rsid w:val="002E35EE"/>
    <w:rsid w:val="002E3632"/>
    <w:rsid w:val="002E370D"/>
    <w:rsid w:val="002E3750"/>
    <w:rsid w:val="002E3815"/>
    <w:rsid w:val="002E3870"/>
    <w:rsid w:val="002E39E5"/>
    <w:rsid w:val="002E39F9"/>
    <w:rsid w:val="002E3A2E"/>
    <w:rsid w:val="002E3A4B"/>
    <w:rsid w:val="002E3B1C"/>
    <w:rsid w:val="002E3BF4"/>
    <w:rsid w:val="002E3C4E"/>
    <w:rsid w:val="002E3DCB"/>
    <w:rsid w:val="002E3F4A"/>
    <w:rsid w:val="002E3F60"/>
    <w:rsid w:val="002E42DA"/>
    <w:rsid w:val="002E46F0"/>
    <w:rsid w:val="002E4768"/>
    <w:rsid w:val="002E4812"/>
    <w:rsid w:val="002E495B"/>
    <w:rsid w:val="002E4A12"/>
    <w:rsid w:val="002E4A96"/>
    <w:rsid w:val="002E4AC9"/>
    <w:rsid w:val="002E4CBB"/>
    <w:rsid w:val="002E4D99"/>
    <w:rsid w:val="002E4E13"/>
    <w:rsid w:val="002E4F29"/>
    <w:rsid w:val="002E5060"/>
    <w:rsid w:val="002E512D"/>
    <w:rsid w:val="002E56DC"/>
    <w:rsid w:val="002E57E4"/>
    <w:rsid w:val="002E5809"/>
    <w:rsid w:val="002E582A"/>
    <w:rsid w:val="002E58BD"/>
    <w:rsid w:val="002E5958"/>
    <w:rsid w:val="002E5A18"/>
    <w:rsid w:val="002E5A84"/>
    <w:rsid w:val="002E5C4F"/>
    <w:rsid w:val="002E5CA1"/>
    <w:rsid w:val="002E5CDA"/>
    <w:rsid w:val="002E5CDE"/>
    <w:rsid w:val="002E5D89"/>
    <w:rsid w:val="002E5FA3"/>
    <w:rsid w:val="002E60B3"/>
    <w:rsid w:val="002E62C8"/>
    <w:rsid w:val="002E64CB"/>
    <w:rsid w:val="002E65FB"/>
    <w:rsid w:val="002E661F"/>
    <w:rsid w:val="002E67C3"/>
    <w:rsid w:val="002E692A"/>
    <w:rsid w:val="002E6A07"/>
    <w:rsid w:val="002E6A27"/>
    <w:rsid w:val="002E6AC3"/>
    <w:rsid w:val="002E6B7F"/>
    <w:rsid w:val="002E6BBF"/>
    <w:rsid w:val="002E6C70"/>
    <w:rsid w:val="002E6C95"/>
    <w:rsid w:val="002E6D69"/>
    <w:rsid w:val="002E6D75"/>
    <w:rsid w:val="002E6DE0"/>
    <w:rsid w:val="002E700A"/>
    <w:rsid w:val="002E7225"/>
    <w:rsid w:val="002E7359"/>
    <w:rsid w:val="002E736B"/>
    <w:rsid w:val="002E738B"/>
    <w:rsid w:val="002E74B0"/>
    <w:rsid w:val="002E74F1"/>
    <w:rsid w:val="002E75A6"/>
    <w:rsid w:val="002E77FA"/>
    <w:rsid w:val="002E781F"/>
    <w:rsid w:val="002E79B5"/>
    <w:rsid w:val="002E7AD8"/>
    <w:rsid w:val="002E7BB0"/>
    <w:rsid w:val="002E7C36"/>
    <w:rsid w:val="002E7C3C"/>
    <w:rsid w:val="002E7C3E"/>
    <w:rsid w:val="002E7DED"/>
    <w:rsid w:val="002E7E49"/>
    <w:rsid w:val="002E7EAE"/>
    <w:rsid w:val="002E7F4F"/>
    <w:rsid w:val="002E7F5B"/>
    <w:rsid w:val="002E7FD7"/>
    <w:rsid w:val="002E7FE3"/>
    <w:rsid w:val="002F00BE"/>
    <w:rsid w:val="002F0146"/>
    <w:rsid w:val="002F01E1"/>
    <w:rsid w:val="002F02E3"/>
    <w:rsid w:val="002F032E"/>
    <w:rsid w:val="002F035C"/>
    <w:rsid w:val="002F0505"/>
    <w:rsid w:val="002F056B"/>
    <w:rsid w:val="002F063F"/>
    <w:rsid w:val="002F0747"/>
    <w:rsid w:val="002F0759"/>
    <w:rsid w:val="002F088E"/>
    <w:rsid w:val="002F0894"/>
    <w:rsid w:val="002F09BC"/>
    <w:rsid w:val="002F0A0C"/>
    <w:rsid w:val="002F0A1B"/>
    <w:rsid w:val="002F0B0E"/>
    <w:rsid w:val="002F0B25"/>
    <w:rsid w:val="002F0B52"/>
    <w:rsid w:val="002F0D48"/>
    <w:rsid w:val="002F0E3B"/>
    <w:rsid w:val="002F0E47"/>
    <w:rsid w:val="002F0F2F"/>
    <w:rsid w:val="002F0FE2"/>
    <w:rsid w:val="002F104C"/>
    <w:rsid w:val="002F1085"/>
    <w:rsid w:val="002F1098"/>
    <w:rsid w:val="002F109D"/>
    <w:rsid w:val="002F114B"/>
    <w:rsid w:val="002F13C0"/>
    <w:rsid w:val="002F153E"/>
    <w:rsid w:val="002F1702"/>
    <w:rsid w:val="002F1775"/>
    <w:rsid w:val="002F1782"/>
    <w:rsid w:val="002F17FD"/>
    <w:rsid w:val="002F1899"/>
    <w:rsid w:val="002F18E3"/>
    <w:rsid w:val="002F198C"/>
    <w:rsid w:val="002F19FC"/>
    <w:rsid w:val="002F1BE4"/>
    <w:rsid w:val="002F1D00"/>
    <w:rsid w:val="002F1DCF"/>
    <w:rsid w:val="002F1F00"/>
    <w:rsid w:val="002F1F44"/>
    <w:rsid w:val="002F203F"/>
    <w:rsid w:val="002F20E8"/>
    <w:rsid w:val="002F235D"/>
    <w:rsid w:val="002F23D2"/>
    <w:rsid w:val="002F2432"/>
    <w:rsid w:val="002F26CE"/>
    <w:rsid w:val="002F276F"/>
    <w:rsid w:val="002F2796"/>
    <w:rsid w:val="002F2A05"/>
    <w:rsid w:val="002F2B05"/>
    <w:rsid w:val="002F2C9F"/>
    <w:rsid w:val="002F2CAC"/>
    <w:rsid w:val="002F2CEE"/>
    <w:rsid w:val="002F2D2C"/>
    <w:rsid w:val="002F2ED2"/>
    <w:rsid w:val="002F2FAD"/>
    <w:rsid w:val="002F3033"/>
    <w:rsid w:val="002F3148"/>
    <w:rsid w:val="002F322A"/>
    <w:rsid w:val="002F328E"/>
    <w:rsid w:val="002F33D0"/>
    <w:rsid w:val="002F35A3"/>
    <w:rsid w:val="002F35E0"/>
    <w:rsid w:val="002F3684"/>
    <w:rsid w:val="002F379F"/>
    <w:rsid w:val="002F37FD"/>
    <w:rsid w:val="002F395E"/>
    <w:rsid w:val="002F3C60"/>
    <w:rsid w:val="002F3D32"/>
    <w:rsid w:val="002F3D34"/>
    <w:rsid w:val="002F3F73"/>
    <w:rsid w:val="002F3FC6"/>
    <w:rsid w:val="002F3FF2"/>
    <w:rsid w:val="002F4105"/>
    <w:rsid w:val="002F433D"/>
    <w:rsid w:val="002F4475"/>
    <w:rsid w:val="002F4580"/>
    <w:rsid w:val="002F45DA"/>
    <w:rsid w:val="002F4650"/>
    <w:rsid w:val="002F46B9"/>
    <w:rsid w:val="002F4765"/>
    <w:rsid w:val="002F47A4"/>
    <w:rsid w:val="002F492B"/>
    <w:rsid w:val="002F4968"/>
    <w:rsid w:val="002F4A49"/>
    <w:rsid w:val="002F4CF3"/>
    <w:rsid w:val="002F4DF5"/>
    <w:rsid w:val="002F4DFB"/>
    <w:rsid w:val="002F4E84"/>
    <w:rsid w:val="002F502E"/>
    <w:rsid w:val="002F503C"/>
    <w:rsid w:val="002F504E"/>
    <w:rsid w:val="002F509C"/>
    <w:rsid w:val="002F51A3"/>
    <w:rsid w:val="002F5222"/>
    <w:rsid w:val="002F5334"/>
    <w:rsid w:val="002F5528"/>
    <w:rsid w:val="002F552F"/>
    <w:rsid w:val="002F55EA"/>
    <w:rsid w:val="002F5677"/>
    <w:rsid w:val="002F56C9"/>
    <w:rsid w:val="002F56DD"/>
    <w:rsid w:val="002F579C"/>
    <w:rsid w:val="002F58C9"/>
    <w:rsid w:val="002F592D"/>
    <w:rsid w:val="002F5A26"/>
    <w:rsid w:val="002F5AA2"/>
    <w:rsid w:val="002F5AB0"/>
    <w:rsid w:val="002F5D97"/>
    <w:rsid w:val="002F5EE5"/>
    <w:rsid w:val="002F5F17"/>
    <w:rsid w:val="002F5F31"/>
    <w:rsid w:val="002F5F46"/>
    <w:rsid w:val="002F5FD8"/>
    <w:rsid w:val="002F6132"/>
    <w:rsid w:val="002F61BA"/>
    <w:rsid w:val="002F61CD"/>
    <w:rsid w:val="002F6252"/>
    <w:rsid w:val="002F62AD"/>
    <w:rsid w:val="002F6378"/>
    <w:rsid w:val="002F6653"/>
    <w:rsid w:val="002F66A2"/>
    <w:rsid w:val="002F6766"/>
    <w:rsid w:val="002F6776"/>
    <w:rsid w:val="002F67A3"/>
    <w:rsid w:val="002F67E1"/>
    <w:rsid w:val="002F68D4"/>
    <w:rsid w:val="002F6B61"/>
    <w:rsid w:val="002F70D6"/>
    <w:rsid w:val="002F7195"/>
    <w:rsid w:val="002F71C4"/>
    <w:rsid w:val="002F71E3"/>
    <w:rsid w:val="002F72C6"/>
    <w:rsid w:val="002F744D"/>
    <w:rsid w:val="002F7666"/>
    <w:rsid w:val="002F76C2"/>
    <w:rsid w:val="002F7858"/>
    <w:rsid w:val="002F79BB"/>
    <w:rsid w:val="002F7A50"/>
    <w:rsid w:val="002F7A59"/>
    <w:rsid w:val="002F7B5F"/>
    <w:rsid w:val="002F7B89"/>
    <w:rsid w:val="002F7D04"/>
    <w:rsid w:val="002F7D72"/>
    <w:rsid w:val="002F7D8A"/>
    <w:rsid w:val="002F7DDA"/>
    <w:rsid w:val="002F7E99"/>
    <w:rsid w:val="003000AC"/>
    <w:rsid w:val="0030018F"/>
    <w:rsid w:val="003004E7"/>
    <w:rsid w:val="003005C3"/>
    <w:rsid w:val="003006AA"/>
    <w:rsid w:val="00300734"/>
    <w:rsid w:val="0030092D"/>
    <w:rsid w:val="0030093B"/>
    <w:rsid w:val="00300973"/>
    <w:rsid w:val="00300A93"/>
    <w:rsid w:val="00300AD6"/>
    <w:rsid w:val="00300C78"/>
    <w:rsid w:val="00300CE6"/>
    <w:rsid w:val="00300D5C"/>
    <w:rsid w:val="00300DA8"/>
    <w:rsid w:val="00301021"/>
    <w:rsid w:val="00301346"/>
    <w:rsid w:val="0030139D"/>
    <w:rsid w:val="003013AD"/>
    <w:rsid w:val="00301494"/>
    <w:rsid w:val="00301605"/>
    <w:rsid w:val="00301643"/>
    <w:rsid w:val="003016A5"/>
    <w:rsid w:val="003016FB"/>
    <w:rsid w:val="00301812"/>
    <w:rsid w:val="00301B2C"/>
    <w:rsid w:val="00301BCC"/>
    <w:rsid w:val="00301BFE"/>
    <w:rsid w:val="00301C14"/>
    <w:rsid w:val="00301FA3"/>
    <w:rsid w:val="00302013"/>
    <w:rsid w:val="003021D6"/>
    <w:rsid w:val="00302216"/>
    <w:rsid w:val="00302229"/>
    <w:rsid w:val="00302279"/>
    <w:rsid w:val="00302321"/>
    <w:rsid w:val="003024AD"/>
    <w:rsid w:val="003024DE"/>
    <w:rsid w:val="003025F7"/>
    <w:rsid w:val="003026B8"/>
    <w:rsid w:val="003026EC"/>
    <w:rsid w:val="00302867"/>
    <w:rsid w:val="00302A7D"/>
    <w:rsid w:val="00302A82"/>
    <w:rsid w:val="00302AAD"/>
    <w:rsid w:val="00302B58"/>
    <w:rsid w:val="00302C48"/>
    <w:rsid w:val="00302DD1"/>
    <w:rsid w:val="00302E43"/>
    <w:rsid w:val="00302F96"/>
    <w:rsid w:val="00303064"/>
    <w:rsid w:val="00303129"/>
    <w:rsid w:val="00303136"/>
    <w:rsid w:val="003031C8"/>
    <w:rsid w:val="003032ED"/>
    <w:rsid w:val="00303512"/>
    <w:rsid w:val="00303614"/>
    <w:rsid w:val="00303683"/>
    <w:rsid w:val="00303773"/>
    <w:rsid w:val="0030387B"/>
    <w:rsid w:val="00303889"/>
    <w:rsid w:val="00303954"/>
    <w:rsid w:val="00303A9C"/>
    <w:rsid w:val="00303C05"/>
    <w:rsid w:val="00303C86"/>
    <w:rsid w:val="00303CBE"/>
    <w:rsid w:val="00303E06"/>
    <w:rsid w:val="00303E53"/>
    <w:rsid w:val="0030405B"/>
    <w:rsid w:val="003040A9"/>
    <w:rsid w:val="0030417A"/>
    <w:rsid w:val="0030423E"/>
    <w:rsid w:val="00304395"/>
    <w:rsid w:val="003044F3"/>
    <w:rsid w:val="00304599"/>
    <w:rsid w:val="003046CE"/>
    <w:rsid w:val="0030476E"/>
    <w:rsid w:val="003048EF"/>
    <w:rsid w:val="00304B2D"/>
    <w:rsid w:val="00304B56"/>
    <w:rsid w:val="00304D09"/>
    <w:rsid w:val="00304DD2"/>
    <w:rsid w:val="00304E71"/>
    <w:rsid w:val="00304EDC"/>
    <w:rsid w:val="003050A1"/>
    <w:rsid w:val="00305175"/>
    <w:rsid w:val="0030555C"/>
    <w:rsid w:val="003057F6"/>
    <w:rsid w:val="00305856"/>
    <w:rsid w:val="0030585F"/>
    <w:rsid w:val="00305873"/>
    <w:rsid w:val="00305AC9"/>
    <w:rsid w:val="00305CC1"/>
    <w:rsid w:val="00305D42"/>
    <w:rsid w:val="00305E0C"/>
    <w:rsid w:val="00305E39"/>
    <w:rsid w:val="00305F36"/>
    <w:rsid w:val="00305F62"/>
    <w:rsid w:val="00306016"/>
    <w:rsid w:val="00306110"/>
    <w:rsid w:val="0030612D"/>
    <w:rsid w:val="00306170"/>
    <w:rsid w:val="00306199"/>
    <w:rsid w:val="00306207"/>
    <w:rsid w:val="00306371"/>
    <w:rsid w:val="00306498"/>
    <w:rsid w:val="003064B5"/>
    <w:rsid w:val="003065E4"/>
    <w:rsid w:val="00306729"/>
    <w:rsid w:val="00306744"/>
    <w:rsid w:val="003068BF"/>
    <w:rsid w:val="00306925"/>
    <w:rsid w:val="00306A45"/>
    <w:rsid w:val="00306C0B"/>
    <w:rsid w:val="00306CAE"/>
    <w:rsid w:val="00306E5F"/>
    <w:rsid w:val="00307003"/>
    <w:rsid w:val="00307400"/>
    <w:rsid w:val="0030748C"/>
    <w:rsid w:val="003074EE"/>
    <w:rsid w:val="003079F5"/>
    <w:rsid w:val="00307A61"/>
    <w:rsid w:val="00307E14"/>
    <w:rsid w:val="00307E47"/>
    <w:rsid w:val="00307F1F"/>
    <w:rsid w:val="00307F77"/>
    <w:rsid w:val="0031008F"/>
    <w:rsid w:val="003100FA"/>
    <w:rsid w:val="00310257"/>
    <w:rsid w:val="0031048E"/>
    <w:rsid w:val="0031055C"/>
    <w:rsid w:val="00310587"/>
    <w:rsid w:val="0031059A"/>
    <w:rsid w:val="003105DB"/>
    <w:rsid w:val="003106FB"/>
    <w:rsid w:val="00310769"/>
    <w:rsid w:val="003107CC"/>
    <w:rsid w:val="0031081F"/>
    <w:rsid w:val="00310828"/>
    <w:rsid w:val="0031099A"/>
    <w:rsid w:val="003109EC"/>
    <w:rsid w:val="00310A42"/>
    <w:rsid w:val="00310A56"/>
    <w:rsid w:val="00310A71"/>
    <w:rsid w:val="00310BF4"/>
    <w:rsid w:val="00310C2A"/>
    <w:rsid w:val="00310CD4"/>
    <w:rsid w:val="00310DC3"/>
    <w:rsid w:val="00310DC4"/>
    <w:rsid w:val="00310E78"/>
    <w:rsid w:val="00310E84"/>
    <w:rsid w:val="00310F51"/>
    <w:rsid w:val="0031101E"/>
    <w:rsid w:val="003110FE"/>
    <w:rsid w:val="0031115B"/>
    <w:rsid w:val="00311189"/>
    <w:rsid w:val="003112C1"/>
    <w:rsid w:val="003113BF"/>
    <w:rsid w:val="003113E5"/>
    <w:rsid w:val="00311506"/>
    <w:rsid w:val="003115BA"/>
    <w:rsid w:val="00311614"/>
    <w:rsid w:val="00311733"/>
    <w:rsid w:val="00311789"/>
    <w:rsid w:val="003117CD"/>
    <w:rsid w:val="0031192A"/>
    <w:rsid w:val="00311A3B"/>
    <w:rsid w:val="00311A5F"/>
    <w:rsid w:val="00311AAC"/>
    <w:rsid w:val="00311BD1"/>
    <w:rsid w:val="00311CA7"/>
    <w:rsid w:val="00311CDB"/>
    <w:rsid w:val="00311DE4"/>
    <w:rsid w:val="003121BC"/>
    <w:rsid w:val="0031220E"/>
    <w:rsid w:val="00312281"/>
    <w:rsid w:val="00312301"/>
    <w:rsid w:val="0031230A"/>
    <w:rsid w:val="003123A1"/>
    <w:rsid w:val="003124BD"/>
    <w:rsid w:val="0031252C"/>
    <w:rsid w:val="0031268E"/>
    <w:rsid w:val="00312778"/>
    <w:rsid w:val="003129BE"/>
    <w:rsid w:val="00312A0C"/>
    <w:rsid w:val="00312AFB"/>
    <w:rsid w:val="00312B64"/>
    <w:rsid w:val="00312C5A"/>
    <w:rsid w:val="00312D02"/>
    <w:rsid w:val="00312D30"/>
    <w:rsid w:val="00312E7D"/>
    <w:rsid w:val="0031302D"/>
    <w:rsid w:val="0031314B"/>
    <w:rsid w:val="00313177"/>
    <w:rsid w:val="0031328D"/>
    <w:rsid w:val="00313341"/>
    <w:rsid w:val="00313405"/>
    <w:rsid w:val="0031340F"/>
    <w:rsid w:val="00313479"/>
    <w:rsid w:val="00313703"/>
    <w:rsid w:val="0031385D"/>
    <w:rsid w:val="0031389C"/>
    <w:rsid w:val="003138F2"/>
    <w:rsid w:val="00313952"/>
    <w:rsid w:val="00313A4E"/>
    <w:rsid w:val="00313A87"/>
    <w:rsid w:val="00313B6D"/>
    <w:rsid w:val="00313DF7"/>
    <w:rsid w:val="00313F84"/>
    <w:rsid w:val="00313FA3"/>
    <w:rsid w:val="00313FB1"/>
    <w:rsid w:val="00314054"/>
    <w:rsid w:val="00314089"/>
    <w:rsid w:val="003140DE"/>
    <w:rsid w:val="00314110"/>
    <w:rsid w:val="0031413A"/>
    <w:rsid w:val="00314168"/>
    <w:rsid w:val="00314181"/>
    <w:rsid w:val="0031433B"/>
    <w:rsid w:val="003144BC"/>
    <w:rsid w:val="00314542"/>
    <w:rsid w:val="00314657"/>
    <w:rsid w:val="00314662"/>
    <w:rsid w:val="0031471F"/>
    <w:rsid w:val="003147F0"/>
    <w:rsid w:val="003149E2"/>
    <w:rsid w:val="00314B53"/>
    <w:rsid w:val="00314B56"/>
    <w:rsid w:val="00314BE8"/>
    <w:rsid w:val="00314CFF"/>
    <w:rsid w:val="00314D43"/>
    <w:rsid w:val="00314D7D"/>
    <w:rsid w:val="00314ECD"/>
    <w:rsid w:val="00314F58"/>
    <w:rsid w:val="00314F8D"/>
    <w:rsid w:val="00314FC3"/>
    <w:rsid w:val="00314FE1"/>
    <w:rsid w:val="00315332"/>
    <w:rsid w:val="0031540E"/>
    <w:rsid w:val="00315471"/>
    <w:rsid w:val="00315503"/>
    <w:rsid w:val="00315558"/>
    <w:rsid w:val="00315567"/>
    <w:rsid w:val="003155A1"/>
    <w:rsid w:val="00315B40"/>
    <w:rsid w:val="00315CC0"/>
    <w:rsid w:val="00315CF7"/>
    <w:rsid w:val="00315D2E"/>
    <w:rsid w:val="00315E7B"/>
    <w:rsid w:val="00315F0E"/>
    <w:rsid w:val="00315F9C"/>
    <w:rsid w:val="0031604C"/>
    <w:rsid w:val="0031623A"/>
    <w:rsid w:val="003162C1"/>
    <w:rsid w:val="003164B9"/>
    <w:rsid w:val="003169FF"/>
    <w:rsid w:val="00316A0D"/>
    <w:rsid w:val="00316A19"/>
    <w:rsid w:val="00316A9C"/>
    <w:rsid w:val="00316AD6"/>
    <w:rsid w:val="00316AFE"/>
    <w:rsid w:val="00316CFA"/>
    <w:rsid w:val="00316D49"/>
    <w:rsid w:val="00316F14"/>
    <w:rsid w:val="00316F27"/>
    <w:rsid w:val="00316FE4"/>
    <w:rsid w:val="003171B8"/>
    <w:rsid w:val="0031721E"/>
    <w:rsid w:val="003172A3"/>
    <w:rsid w:val="0031736E"/>
    <w:rsid w:val="003173BF"/>
    <w:rsid w:val="003173E6"/>
    <w:rsid w:val="0031755E"/>
    <w:rsid w:val="0031760F"/>
    <w:rsid w:val="00317709"/>
    <w:rsid w:val="0031774B"/>
    <w:rsid w:val="003177D7"/>
    <w:rsid w:val="00317824"/>
    <w:rsid w:val="003178C7"/>
    <w:rsid w:val="00317981"/>
    <w:rsid w:val="00317989"/>
    <w:rsid w:val="003179BF"/>
    <w:rsid w:val="00317A06"/>
    <w:rsid w:val="00317B2D"/>
    <w:rsid w:val="00317B69"/>
    <w:rsid w:val="00317B6B"/>
    <w:rsid w:val="00317BD1"/>
    <w:rsid w:val="00317BD4"/>
    <w:rsid w:val="00317BF7"/>
    <w:rsid w:val="00317C6B"/>
    <w:rsid w:val="00317CD3"/>
    <w:rsid w:val="00317CD6"/>
    <w:rsid w:val="00317D6A"/>
    <w:rsid w:val="00317E60"/>
    <w:rsid w:val="00317EDB"/>
    <w:rsid w:val="00320019"/>
    <w:rsid w:val="0032014D"/>
    <w:rsid w:val="003201C0"/>
    <w:rsid w:val="00320431"/>
    <w:rsid w:val="0032048E"/>
    <w:rsid w:val="003206EF"/>
    <w:rsid w:val="003207CA"/>
    <w:rsid w:val="0032087F"/>
    <w:rsid w:val="003208C7"/>
    <w:rsid w:val="003209B1"/>
    <w:rsid w:val="00320A8F"/>
    <w:rsid w:val="00320AF8"/>
    <w:rsid w:val="00320B39"/>
    <w:rsid w:val="00320B9C"/>
    <w:rsid w:val="00320EDE"/>
    <w:rsid w:val="003211C9"/>
    <w:rsid w:val="003211E1"/>
    <w:rsid w:val="00321219"/>
    <w:rsid w:val="0032121C"/>
    <w:rsid w:val="0032122A"/>
    <w:rsid w:val="0032134F"/>
    <w:rsid w:val="00321455"/>
    <w:rsid w:val="0032149C"/>
    <w:rsid w:val="003214F1"/>
    <w:rsid w:val="0032174A"/>
    <w:rsid w:val="00321787"/>
    <w:rsid w:val="00321926"/>
    <w:rsid w:val="0032193B"/>
    <w:rsid w:val="00321B95"/>
    <w:rsid w:val="00321B9A"/>
    <w:rsid w:val="00321C0B"/>
    <w:rsid w:val="00321C7F"/>
    <w:rsid w:val="00321D56"/>
    <w:rsid w:val="00321D8A"/>
    <w:rsid w:val="00321EE7"/>
    <w:rsid w:val="00321F84"/>
    <w:rsid w:val="00321F9C"/>
    <w:rsid w:val="0032208B"/>
    <w:rsid w:val="003220D4"/>
    <w:rsid w:val="0032217C"/>
    <w:rsid w:val="0032217D"/>
    <w:rsid w:val="0032218E"/>
    <w:rsid w:val="00322217"/>
    <w:rsid w:val="00322246"/>
    <w:rsid w:val="003222B9"/>
    <w:rsid w:val="003222DC"/>
    <w:rsid w:val="003222E2"/>
    <w:rsid w:val="00322438"/>
    <w:rsid w:val="0032247B"/>
    <w:rsid w:val="0032275B"/>
    <w:rsid w:val="00322845"/>
    <w:rsid w:val="00322921"/>
    <w:rsid w:val="0032294D"/>
    <w:rsid w:val="00322AC0"/>
    <w:rsid w:val="00322B3F"/>
    <w:rsid w:val="00322BAE"/>
    <w:rsid w:val="00322C21"/>
    <w:rsid w:val="00322C52"/>
    <w:rsid w:val="00322CB0"/>
    <w:rsid w:val="00322E4B"/>
    <w:rsid w:val="00322EA5"/>
    <w:rsid w:val="00322F10"/>
    <w:rsid w:val="00322F43"/>
    <w:rsid w:val="00322F44"/>
    <w:rsid w:val="00323000"/>
    <w:rsid w:val="0032304F"/>
    <w:rsid w:val="00323119"/>
    <w:rsid w:val="0032323F"/>
    <w:rsid w:val="0032337D"/>
    <w:rsid w:val="003233CB"/>
    <w:rsid w:val="003233EB"/>
    <w:rsid w:val="00323555"/>
    <w:rsid w:val="00323591"/>
    <w:rsid w:val="003235F5"/>
    <w:rsid w:val="0032385A"/>
    <w:rsid w:val="00323933"/>
    <w:rsid w:val="00323975"/>
    <w:rsid w:val="00323A25"/>
    <w:rsid w:val="00323AB0"/>
    <w:rsid w:val="00323BC8"/>
    <w:rsid w:val="00323DEE"/>
    <w:rsid w:val="00323E5B"/>
    <w:rsid w:val="00323F02"/>
    <w:rsid w:val="00323F5B"/>
    <w:rsid w:val="00324266"/>
    <w:rsid w:val="00324288"/>
    <w:rsid w:val="003242D1"/>
    <w:rsid w:val="00324318"/>
    <w:rsid w:val="00324574"/>
    <w:rsid w:val="00324631"/>
    <w:rsid w:val="00324665"/>
    <w:rsid w:val="00324839"/>
    <w:rsid w:val="00324D2F"/>
    <w:rsid w:val="00324DC1"/>
    <w:rsid w:val="00324E0A"/>
    <w:rsid w:val="00324E3C"/>
    <w:rsid w:val="00324E95"/>
    <w:rsid w:val="00325075"/>
    <w:rsid w:val="0032511D"/>
    <w:rsid w:val="0032532F"/>
    <w:rsid w:val="0032545A"/>
    <w:rsid w:val="003254D0"/>
    <w:rsid w:val="003256AF"/>
    <w:rsid w:val="00325B25"/>
    <w:rsid w:val="00325B8F"/>
    <w:rsid w:val="003260BF"/>
    <w:rsid w:val="003261DD"/>
    <w:rsid w:val="003261EB"/>
    <w:rsid w:val="003262C2"/>
    <w:rsid w:val="003262CE"/>
    <w:rsid w:val="00326545"/>
    <w:rsid w:val="003265DB"/>
    <w:rsid w:val="00326692"/>
    <w:rsid w:val="00326701"/>
    <w:rsid w:val="0032674B"/>
    <w:rsid w:val="003267C0"/>
    <w:rsid w:val="0032685B"/>
    <w:rsid w:val="00326872"/>
    <w:rsid w:val="00326900"/>
    <w:rsid w:val="003269D6"/>
    <w:rsid w:val="00326A49"/>
    <w:rsid w:val="00326B81"/>
    <w:rsid w:val="00327086"/>
    <w:rsid w:val="00327111"/>
    <w:rsid w:val="003272B4"/>
    <w:rsid w:val="00327372"/>
    <w:rsid w:val="003273B3"/>
    <w:rsid w:val="0032752E"/>
    <w:rsid w:val="0032754C"/>
    <w:rsid w:val="003275BC"/>
    <w:rsid w:val="003276E5"/>
    <w:rsid w:val="00327870"/>
    <w:rsid w:val="003279A2"/>
    <w:rsid w:val="00327A48"/>
    <w:rsid w:val="00327A9A"/>
    <w:rsid w:val="00327AC4"/>
    <w:rsid w:val="00327B63"/>
    <w:rsid w:val="00327C83"/>
    <w:rsid w:val="00327EA7"/>
    <w:rsid w:val="00327F0A"/>
    <w:rsid w:val="0033005D"/>
    <w:rsid w:val="00330086"/>
    <w:rsid w:val="003300B7"/>
    <w:rsid w:val="00330273"/>
    <w:rsid w:val="00330340"/>
    <w:rsid w:val="00330370"/>
    <w:rsid w:val="0033048C"/>
    <w:rsid w:val="003304DB"/>
    <w:rsid w:val="003305AF"/>
    <w:rsid w:val="003305ED"/>
    <w:rsid w:val="00330653"/>
    <w:rsid w:val="0033079D"/>
    <w:rsid w:val="00330986"/>
    <w:rsid w:val="003309A3"/>
    <w:rsid w:val="00330D7E"/>
    <w:rsid w:val="00330DDE"/>
    <w:rsid w:val="00330E38"/>
    <w:rsid w:val="00330E3A"/>
    <w:rsid w:val="00330F06"/>
    <w:rsid w:val="00330F91"/>
    <w:rsid w:val="00331046"/>
    <w:rsid w:val="00331198"/>
    <w:rsid w:val="003313D9"/>
    <w:rsid w:val="003313E6"/>
    <w:rsid w:val="00331472"/>
    <w:rsid w:val="00331491"/>
    <w:rsid w:val="003314BC"/>
    <w:rsid w:val="00331533"/>
    <w:rsid w:val="00331546"/>
    <w:rsid w:val="00331579"/>
    <w:rsid w:val="003315DE"/>
    <w:rsid w:val="0033168E"/>
    <w:rsid w:val="00331782"/>
    <w:rsid w:val="00331C91"/>
    <w:rsid w:val="00331C92"/>
    <w:rsid w:val="003320E0"/>
    <w:rsid w:val="0033259D"/>
    <w:rsid w:val="003326EE"/>
    <w:rsid w:val="00332725"/>
    <w:rsid w:val="0033282B"/>
    <w:rsid w:val="00332892"/>
    <w:rsid w:val="00332933"/>
    <w:rsid w:val="003329F0"/>
    <w:rsid w:val="00332AD8"/>
    <w:rsid w:val="00332BF9"/>
    <w:rsid w:val="00332BFA"/>
    <w:rsid w:val="00332C3F"/>
    <w:rsid w:val="00332D48"/>
    <w:rsid w:val="00332D4E"/>
    <w:rsid w:val="00332D7E"/>
    <w:rsid w:val="00332F55"/>
    <w:rsid w:val="00332F7B"/>
    <w:rsid w:val="003331F0"/>
    <w:rsid w:val="00333289"/>
    <w:rsid w:val="003332DE"/>
    <w:rsid w:val="003333D2"/>
    <w:rsid w:val="003334AB"/>
    <w:rsid w:val="003335A9"/>
    <w:rsid w:val="00333631"/>
    <w:rsid w:val="0033367E"/>
    <w:rsid w:val="00333A55"/>
    <w:rsid w:val="00333ABF"/>
    <w:rsid w:val="00333BE5"/>
    <w:rsid w:val="00333BE6"/>
    <w:rsid w:val="00333CDD"/>
    <w:rsid w:val="00333EC9"/>
    <w:rsid w:val="00333FF7"/>
    <w:rsid w:val="0033405F"/>
    <w:rsid w:val="00334105"/>
    <w:rsid w:val="003341C2"/>
    <w:rsid w:val="003341CC"/>
    <w:rsid w:val="0033442D"/>
    <w:rsid w:val="003344C4"/>
    <w:rsid w:val="0033452B"/>
    <w:rsid w:val="00334564"/>
    <w:rsid w:val="00334685"/>
    <w:rsid w:val="00334686"/>
    <w:rsid w:val="003346B2"/>
    <w:rsid w:val="00334761"/>
    <w:rsid w:val="0033477E"/>
    <w:rsid w:val="00334886"/>
    <w:rsid w:val="00334896"/>
    <w:rsid w:val="0033494C"/>
    <w:rsid w:val="00334958"/>
    <w:rsid w:val="00334991"/>
    <w:rsid w:val="003349FA"/>
    <w:rsid w:val="00334B55"/>
    <w:rsid w:val="00334CD4"/>
    <w:rsid w:val="00334D0A"/>
    <w:rsid w:val="00334F4F"/>
    <w:rsid w:val="003350A4"/>
    <w:rsid w:val="003351F6"/>
    <w:rsid w:val="0033525F"/>
    <w:rsid w:val="0033532E"/>
    <w:rsid w:val="0033553D"/>
    <w:rsid w:val="003355AD"/>
    <w:rsid w:val="003356A0"/>
    <w:rsid w:val="00335710"/>
    <w:rsid w:val="003357C2"/>
    <w:rsid w:val="00335985"/>
    <w:rsid w:val="0033598F"/>
    <w:rsid w:val="00335A3A"/>
    <w:rsid w:val="00335C3D"/>
    <w:rsid w:val="00335D69"/>
    <w:rsid w:val="00335ED9"/>
    <w:rsid w:val="00335F93"/>
    <w:rsid w:val="00336127"/>
    <w:rsid w:val="003362C5"/>
    <w:rsid w:val="003362DA"/>
    <w:rsid w:val="0033631F"/>
    <w:rsid w:val="00336414"/>
    <w:rsid w:val="00336447"/>
    <w:rsid w:val="0033651C"/>
    <w:rsid w:val="0033653C"/>
    <w:rsid w:val="003365FE"/>
    <w:rsid w:val="0033663C"/>
    <w:rsid w:val="003367FB"/>
    <w:rsid w:val="00336881"/>
    <w:rsid w:val="003368B6"/>
    <w:rsid w:val="00336AC6"/>
    <w:rsid w:val="00336B63"/>
    <w:rsid w:val="00336B86"/>
    <w:rsid w:val="00336C74"/>
    <w:rsid w:val="00336DD1"/>
    <w:rsid w:val="00336F1A"/>
    <w:rsid w:val="003370C6"/>
    <w:rsid w:val="003370CB"/>
    <w:rsid w:val="003370EA"/>
    <w:rsid w:val="003371A0"/>
    <w:rsid w:val="0033728D"/>
    <w:rsid w:val="003372DA"/>
    <w:rsid w:val="0033732C"/>
    <w:rsid w:val="00337339"/>
    <w:rsid w:val="003373DE"/>
    <w:rsid w:val="00337400"/>
    <w:rsid w:val="00337428"/>
    <w:rsid w:val="0033752B"/>
    <w:rsid w:val="00337810"/>
    <w:rsid w:val="00337A22"/>
    <w:rsid w:val="00337AE4"/>
    <w:rsid w:val="00337AF2"/>
    <w:rsid w:val="00337ED5"/>
    <w:rsid w:val="00340066"/>
    <w:rsid w:val="00340131"/>
    <w:rsid w:val="003401B0"/>
    <w:rsid w:val="0034029E"/>
    <w:rsid w:val="00340345"/>
    <w:rsid w:val="00340529"/>
    <w:rsid w:val="0034066D"/>
    <w:rsid w:val="003406C6"/>
    <w:rsid w:val="00340746"/>
    <w:rsid w:val="00340752"/>
    <w:rsid w:val="00340782"/>
    <w:rsid w:val="00340E13"/>
    <w:rsid w:val="00341048"/>
    <w:rsid w:val="00341196"/>
    <w:rsid w:val="003412E9"/>
    <w:rsid w:val="00341344"/>
    <w:rsid w:val="00341434"/>
    <w:rsid w:val="00341453"/>
    <w:rsid w:val="0034178D"/>
    <w:rsid w:val="00341855"/>
    <w:rsid w:val="003418CC"/>
    <w:rsid w:val="00341C8E"/>
    <w:rsid w:val="00341DAC"/>
    <w:rsid w:val="00341DB8"/>
    <w:rsid w:val="00341F07"/>
    <w:rsid w:val="00341F22"/>
    <w:rsid w:val="00341FA6"/>
    <w:rsid w:val="0034213B"/>
    <w:rsid w:val="00342364"/>
    <w:rsid w:val="003425A1"/>
    <w:rsid w:val="0034260B"/>
    <w:rsid w:val="0034262A"/>
    <w:rsid w:val="0034265E"/>
    <w:rsid w:val="00342699"/>
    <w:rsid w:val="003426CD"/>
    <w:rsid w:val="0034279D"/>
    <w:rsid w:val="00342863"/>
    <w:rsid w:val="00342886"/>
    <w:rsid w:val="00342A01"/>
    <w:rsid w:val="00342A6E"/>
    <w:rsid w:val="00342AD8"/>
    <w:rsid w:val="00342B1C"/>
    <w:rsid w:val="00342C2C"/>
    <w:rsid w:val="00342C4B"/>
    <w:rsid w:val="00342CEF"/>
    <w:rsid w:val="00342E15"/>
    <w:rsid w:val="00342F28"/>
    <w:rsid w:val="00343009"/>
    <w:rsid w:val="003432BB"/>
    <w:rsid w:val="00343324"/>
    <w:rsid w:val="00343466"/>
    <w:rsid w:val="003434EE"/>
    <w:rsid w:val="00343704"/>
    <w:rsid w:val="0034374A"/>
    <w:rsid w:val="00343798"/>
    <w:rsid w:val="0034379A"/>
    <w:rsid w:val="00343860"/>
    <w:rsid w:val="0034397C"/>
    <w:rsid w:val="00343A6B"/>
    <w:rsid w:val="00343ADC"/>
    <w:rsid w:val="00343B20"/>
    <w:rsid w:val="00343BA3"/>
    <w:rsid w:val="00343C37"/>
    <w:rsid w:val="00343C50"/>
    <w:rsid w:val="00343CAF"/>
    <w:rsid w:val="00343CF5"/>
    <w:rsid w:val="00343D10"/>
    <w:rsid w:val="00343E5D"/>
    <w:rsid w:val="00344086"/>
    <w:rsid w:val="00344284"/>
    <w:rsid w:val="003442EE"/>
    <w:rsid w:val="003445DE"/>
    <w:rsid w:val="00344623"/>
    <w:rsid w:val="0034469C"/>
    <w:rsid w:val="0034478F"/>
    <w:rsid w:val="00344798"/>
    <w:rsid w:val="003448C6"/>
    <w:rsid w:val="0034492A"/>
    <w:rsid w:val="0034493A"/>
    <w:rsid w:val="003449E4"/>
    <w:rsid w:val="00344AF9"/>
    <w:rsid w:val="00344C2F"/>
    <w:rsid w:val="00344D52"/>
    <w:rsid w:val="0034511F"/>
    <w:rsid w:val="00345137"/>
    <w:rsid w:val="0034515C"/>
    <w:rsid w:val="0034524D"/>
    <w:rsid w:val="003454F6"/>
    <w:rsid w:val="003455CF"/>
    <w:rsid w:val="003456A0"/>
    <w:rsid w:val="00345963"/>
    <w:rsid w:val="003459BD"/>
    <w:rsid w:val="00345B20"/>
    <w:rsid w:val="00345B96"/>
    <w:rsid w:val="00345BDE"/>
    <w:rsid w:val="00345EB1"/>
    <w:rsid w:val="00345FC3"/>
    <w:rsid w:val="00346027"/>
    <w:rsid w:val="0034619B"/>
    <w:rsid w:val="003461C6"/>
    <w:rsid w:val="00346201"/>
    <w:rsid w:val="00346371"/>
    <w:rsid w:val="003463CE"/>
    <w:rsid w:val="00346430"/>
    <w:rsid w:val="0034643B"/>
    <w:rsid w:val="00346470"/>
    <w:rsid w:val="003465CE"/>
    <w:rsid w:val="00346632"/>
    <w:rsid w:val="00346811"/>
    <w:rsid w:val="00346834"/>
    <w:rsid w:val="003468D3"/>
    <w:rsid w:val="0034692D"/>
    <w:rsid w:val="003469DB"/>
    <w:rsid w:val="00346A79"/>
    <w:rsid w:val="00346A98"/>
    <w:rsid w:val="00346CE5"/>
    <w:rsid w:val="00346E3C"/>
    <w:rsid w:val="00346E86"/>
    <w:rsid w:val="00346E8D"/>
    <w:rsid w:val="00346F4D"/>
    <w:rsid w:val="00347164"/>
    <w:rsid w:val="003471CE"/>
    <w:rsid w:val="00347283"/>
    <w:rsid w:val="003473BF"/>
    <w:rsid w:val="00347491"/>
    <w:rsid w:val="0034754E"/>
    <w:rsid w:val="00347554"/>
    <w:rsid w:val="003475AC"/>
    <w:rsid w:val="003475BA"/>
    <w:rsid w:val="003475FB"/>
    <w:rsid w:val="003477D1"/>
    <w:rsid w:val="00347845"/>
    <w:rsid w:val="00347909"/>
    <w:rsid w:val="00347CFF"/>
    <w:rsid w:val="00347E7A"/>
    <w:rsid w:val="00347F20"/>
    <w:rsid w:val="00350038"/>
    <w:rsid w:val="003500E9"/>
    <w:rsid w:val="003501C3"/>
    <w:rsid w:val="0035028F"/>
    <w:rsid w:val="003502FD"/>
    <w:rsid w:val="003503C4"/>
    <w:rsid w:val="00350403"/>
    <w:rsid w:val="0035047B"/>
    <w:rsid w:val="0035055C"/>
    <w:rsid w:val="00350634"/>
    <w:rsid w:val="003508C5"/>
    <w:rsid w:val="00350A0E"/>
    <w:rsid w:val="00350B00"/>
    <w:rsid w:val="00350B1D"/>
    <w:rsid w:val="00350B6D"/>
    <w:rsid w:val="00350BB5"/>
    <w:rsid w:val="00350D38"/>
    <w:rsid w:val="00350E5C"/>
    <w:rsid w:val="00350E76"/>
    <w:rsid w:val="00350F42"/>
    <w:rsid w:val="0035100E"/>
    <w:rsid w:val="00351135"/>
    <w:rsid w:val="003513DC"/>
    <w:rsid w:val="00351492"/>
    <w:rsid w:val="00351567"/>
    <w:rsid w:val="0035180B"/>
    <w:rsid w:val="0035181F"/>
    <w:rsid w:val="0035197D"/>
    <w:rsid w:val="00351B34"/>
    <w:rsid w:val="00351B36"/>
    <w:rsid w:val="00351C26"/>
    <w:rsid w:val="00351D0A"/>
    <w:rsid w:val="00351EF8"/>
    <w:rsid w:val="00351F83"/>
    <w:rsid w:val="00352051"/>
    <w:rsid w:val="0035218A"/>
    <w:rsid w:val="003522E8"/>
    <w:rsid w:val="003523A6"/>
    <w:rsid w:val="003523BB"/>
    <w:rsid w:val="00352477"/>
    <w:rsid w:val="0035258B"/>
    <w:rsid w:val="0035284E"/>
    <w:rsid w:val="003528DB"/>
    <w:rsid w:val="003528E2"/>
    <w:rsid w:val="00352B4E"/>
    <w:rsid w:val="00352C3B"/>
    <w:rsid w:val="00352D3C"/>
    <w:rsid w:val="00352F63"/>
    <w:rsid w:val="0035303D"/>
    <w:rsid w:val="0035305F"/>
    <w:rsid w:val="003530C0"/>
    <w:rsid w:val="00353117"/>
    <w:rsid w:val="00353133"/>
    <w:rsid w:val="00353147"/>
    <w:rsid w:val="00353178"/>
    <w:rsid w:val="0035327B"/>
    <w:rsid w:val="003532A2"/>
    <w:rsid w:val="0035332A"/>
    <w:rsid w:val="003533EE"/>
    <w:rsid w:val="0035348A"/>
    <w:rsid w:val="003534E2"/>
    <w:rsid w:val="003535FD"/>
    <w:rsid w:val="00353884"/>
    <w:rsid w:val="003538F6"/>
    <w:rsid w:val="00353A0C"/>
    <w:rsid w:val="00353AE9"/>
    <w:rsid w:val="00353B6B"/>
    <w:rsid w:val="00353B84"/>
    <w:rsid w:val="00353BA8"/>
    <w:rsid w:val="00353C50"/>
    <w:rsid w:val="00353D19"/>
    <w:rsid w:val="00353D33"/>
    <w:rsid w:val="00353D73"/>
    <w:rsid w:val="00353DED"/>
    <w:rsid w:val="00353FC3"/>
    <w:rsid w:val="003541F8"/>
    <w:rsid w:val="0035420B"/>
    <w:rsid w:val="00354282"/>
    <w:rsid w:val="00354597"/>
    <w:rsid w:val="00354613"/>
    <w:rsid w:val="00354631"/>
    <w:rsid w:val="003546CC"/>
    <w:rsid w:val="003549D9"/>
    <w:rsid w:val="00354B0F"/>
    <w:rsid w:val="00354BFB"/>
    <w:rsid w:val="00354C07"/>
    <w:rsid w:val="00354D1E"/>
    <w:rsid w:val="00354DC1"/>
    <w:rsid w:val="003550F1"/>
    <w:rsid w:val="0035512A"/>
    <w:rsid w:val="00355281"/>
    <w:rsid w:val="003552E0"/>
    <w:rsid w:val="00355336"/>
    <w:rsid w:val="00355349"/>
    <w:rsid w:val="003553B9"/>
    <w:rsid w:val="003556F7"/>
    <w:rsid w:val="003559A1"/>
    <w:rsid w:val="003559DB"/>
    <w:rsid w:val="00355B1B"/>
    <w:rsid w:val="00355B22"/>
    <w:rsid w:val="00355C70"/>
    <w:rsid w:val="00355CF2"/>
    <w:rsid w:val="00355DB0"/>
    <w:rsid w:val="00355DB1"/>
    <w:rsid w:val="00355E0A"/>
    <w:rsid w:val="00355E48"/>
    <w:rsid w:val="00355EAC"/>
    <w:rsid w:val="00355F00"/>
    <w:rsid w:val="00356010"/>
    <w:rsid w:val="00356039"/>
    <w:rsid w:val="003560D8"/>
    <w:rsid w:val="003560F8"/>
    <w:rsid w:val="0035615A"/>
    <w:rsid w:val="003562BE"/>
    <w:rsid w:val="0035630D"/>
    <w:rsid w:val="003563E8"/>
    <w:rsid w:val="00356449"/>
    <w:rsid w:val="00356463"/>
    <w:rsid w:val="003564E3"/>
    <w:rsid w:val="003564EB"/>
    <w:rsid w:val="0035651F"/>
    <w:rsid w:val="00356581"/>
    <w:rsid w:val="00356599"/>
    <w:rsid w:val="003565DC"/>
    <w:rsid w:val="0035665A"/>
    <w:rsid w:val="0035673E"/>
    <w:rsid w:val="0035681E"/>
    <w:rsid w:val="0035694E"/>
    <w:rsid w:val="00356C6F"/>
    <w:rsid w:val="00356CC3"/>
    <w:rsid w:val="00356DBF"/>
    <w:rsid w:val="0035700F"/>
    <w:rsid w:val="003570D5"/>
    <w:rsid w:val="003575C2"/>
    <w:rsid w:val="0035766C"/>
    <w:rsid w:val="003577C9"/>
    <w:rsid w:val="00357891"/>
    <w:rsid w:val="00357926"/>
    <w:rsid w:val="0035799F"/>
    <w:rsid w:val="00357B4E"/>
    <w:rsid w:val="00357B8B"/>
    <w:rsid w:val="00357C3F"/>
    <w:rsid w:val="00357CCF"/>
    <w:rsid w:val="00357D42"/>
    <w:rsid w:val="00357DEF"/>
    <w:rsid w:val="00357E5D"/>
    <w:rsid w:val="00357E74"/>
    <w:rsid w:val="00357E80"/>
    <w:rsid w:val="00357E82"/>
    <w:rsid w:val="003600F4"/>
    <w:rsid w:val="003601D3"/>
    <w:rsid w:val="003601DB"/>
    <w:rsid w:val="003601F0"/>
    <w:rsid w:val="003602BD"/>
    <w:rsid w:val="00360319"/>
    <w:rsid w:val="0036037B"/>
    <w:rsid w:val="00360406"/>
    <w:rsid w:val="0036040F"/>
    <w:rsid w:val="003605AB"/>
    <w:rsid w:val="00360902"/>
    <w:rsid w:val="0036095D"/>
    <w:rsid w:val="003609C2"/>
    <w:rsid w:val="00360A16"/>
    <w:rsid w:val="00360B13"/>
    <w:rsid w:val="00360B21"/>
    <w:rsid w:val="00360D02"/>
    <w:rsid w:val="00361043"/>
    <w:rsid w:val="00361055"/>
    <w:rsid w:val="0036107C"/>
    <w:rsid w:val="003611BC"/>
    <w:rsid w:val="003611FA"/>
    <w:rsid w:val="0036127A"/>
    <w:rsid w:val="0036137C"/>
    <w:rsid w:val="003613C3"/>
    <w:rsid w:val="0036144F"/>
    <w:rsid w:val="003614E7"/>
    <w:rsid w:val="003614EF"/>
    <w:rsid w:val="003615AA"/>
    <w:rsid w:val="003615CD"/>
    <w:rsid w:val="00361610"/>
    <w:rsid w:val="00361611"/>
    <w:rsid w:val="00361850"/>
    <w:rsid w:val="00361930"/>
    <w:rsid w:val="003619AD"/>
    <w:rsid w:val="003619D5"/>
    <w:rsid w:val="00361BC2"/>
    <w:rsid w:val="00361C5E"/>
    <w:rsid w:val="00361CD1"/>
    <w:rsid w:val="00361E25"/>
    <w:rsid w:val="00361E6F"/>
    <w:rsid w:val="00361EE5"/>
    <w:rsid w:val="00362073"/>
    <w:rsid w:val="0036263C"/>
    <w:rsid w:val="003627E1"/>
    <w:rsid w:val="00362BC6"/>
    <w:rsid w:val="00362CA2"/>
    <w:rsid w:val="00362D30"/>
    <w:rsid w:val="00362D58"/>
    <w:rsid w:val="00362EB3"/>
    <w:rsid w:val="00362ED6"/>
    <w:rsid w:val="0036305F"/>
    <w:rsid w:val="0036309F"/>
    <w:rsid w:val="00363113"/>
    <w:rsid w:val="00363144"/>
    <w:rsid w:val="00363366"/>
    <w:rsid w:val="00363394"/>
    <w:rsid w:val="003633B5"/>
    <w:rsid w:val="00363690"/>
    <w:rsid w:val="003636F9"/>
    <w:rsid w:val="00363710"/>
    <w:rsid w:val="003637E0"/>
    <w:rsid w:val="00363826"/>
    <w:rsid w:val="00363946"/>
    <w:rsid w:val="003639B9"/>
    <w:rsid w:val="00363AEA"/>
    <w:rsid w:val="00363B4D"/>
    <w:rsid w:val="00363CCF"/>
    <w:rsid w:val="00363CF3"/>
    <w:rsid w:val="00363D0B"/>
    <w:rsid w:val="00363DAE"/>
    <w:rsid w:val="00363E88"/>
    <w:rsid w:val="00363E91"/>
    <w:rsid w:val="00363EFD"/>
    <w:rsid w:val="00364156"/>
    <w:rsid w:val="00364300"/>
    <w:rsid w:val="00364382"/>
    <w:rsid w:val="003643D4"/>
    <w:rsid w:val="0036443C"/>
    <w:rsid w:val="00364535"/>
    <w:rsid w:val="0036461F"/>
    <w:rsid w:val="003649B7"/>
    <w:rsid w:val="00364AF3"/>
    <w:rsid w:val="00364BF3"/>
    <w:rsid w:val="00364C1C"/>
    <w:rsid w:val="00364C81"/>
    <w:rsid w:val="00364CDC"/>
    <w:rsid w:val="00364DCD"/>
    <w:rsid w:val="00364DEC"/>
    <w:rsid w:val="00364F15"/>
    <w:rsid w:val="00364FB4"/>
    <w:rsid w:val="00365011"/>
    <w:rsid w:val="003650DE"/>
    <w:rsid w:val="00365243"/>
    <w:rsid w:val="00365349"/>
    <w:rsid w:val="0036542A"/>
    <w:rsid w:val="00365447"/>
    <w:rsid w:val="0036546A"/>
    <w:rsid w:val="003654D0"/>
    <w:rsid w:val="00365505"/>
    <w:rsid w:val="00365514"/>
    <w:rsid w:val="0036560F"/>
    <w:rsid w:val="00365AFA"/>
    <w:rsid w:val="00365B84"/>
    <w:rsid w:val="00365CD1"/>
    <w:rsid w:val="00365E1B"/>
    <w:rsid w:val="00366446"/>
    <w:rsid w:val="00366453"/>
    <w:rsid w:val="0036645B"/>
    <w:rsid w:val="003665AA"/>
    <w:rsid w:val="003665AC"/>
    <w:rsid w:val="0036664C"/>
    <w:rsid w:val="003666AC"/>
    <w:rsid w:val="0036683F"/>
    <w:rsid w:val="0036685F"/>
    <w:rsid w:val="0036687E"/>
    <w:rsid w:val="0036697F"/>
    <w:rsid w:val="003669E6"/>
    <w:rsid w:val="00366D12"/>
    <w:rsid w:val="00366E2F"/>
    <w:rsid w:val="00366F38"/>
    <w:rsid w:val="00367018"/>
    <w:rsid w:val="00367163"/>
    <w:rsid w:val="00367492"/>
    <w:rsid w:val="003674D8"/>
    <w:rsid w:val="0036759D"/>
    <w:rsid w:val="003675D6"/>
    <w:rsid w:val="00367826"/>
    <w:rsid w:val="00367828"/>
    <w:rsid w:val="0036783F"/>
    <w:rsid w:val="00367C5A"/>
    <w:rsid w:val="00367C92"/>
    <w:rsid w:val="00367D82"/>
    <w:rsid w:val="00367DFE"/>
    <w:rsid w:val="00367EE1"/>
    <w:rsid w:val="00367F04"/>
    <w:rsid w:val="00367F0A"/>
    <w:rsid w:val="00367F87"/>
    <w:rsid w:val="00367F9A"/>
    <w:rsid w:val="00367FA3"/>
    <w:rsid w:val="00367FBB"/>
    <w:rsid w:val="003701A2"/>
    <w:rsid w:val="00370206"/>
    <w:rsid w:val="00370283"/>
    <w:rsid w:val="00370362"/>
    <w:rsid w:val="003704F3"/>
    <w:rsid w:val="00370505"/>
    <w:rsid w:val="00370572"/>
    <w:rsid w:val="003705D5"/>
    <w:rsid w:val="0037086F"/>
    <w:rsid w:val="00370892"/>
    <w:rsid w:val="00370896"/>
    <w:rsid w:val="003709A2"/>
    <w:rsid w:val="003709D2"/>
    <w:rsid w:val="00370A09"/>
    <w:rsid w:val="00370B19"/>
    <w:rsid w:val="00370BC9"/>
    <w:rsid w:val="00370CEB"/>
    <w:rsid w:val="00370D33"/>
    <w:rsid w:val="00370D9C"/>
    <w:rsid w:val="00370E83"/>
    <w:rsid w:val="00370F3E"/>
    <w:rsid w:val="00371022"/>
    <w:rsid w:val="0037104D"/>
    <w:rsid w:val="00371051"/>
    <w:rsid w:val="00371221"/>
    <w:rsid w:val="00371474"/>
    <w:rsid w:val="00371613"/>
    <w:rsid w:val="00371687"/>
    <w:rsid w:val="003716DA"/>
    <w:rsid w:val="003716E1"/>
    <w:rsid w:val="003716FD"/>
    <w:rsid w:val="0037171E"/>
    <w:rsid w:val="00371942"/>
    <w:rsid w:val="00371997"/>
    <w:rsid w:val="00371A4D"/>
    <w:rsid w:val="00371A80"/>
    <w:rsid w:val="00371AEC"/>
    <w:rsid w:val="00371B3F"/>
    <w:rsid w:val="00371F01"/>
    <w:rsid w:val="00371F07"/>
    <w:rsid w:val="0037204A"/>
    <w:rsid w:val="0037204B"/>
    <w:rsid w:val="003720AC"/>
    <w:rsid w:val="003720BB"/>
    <w:rsid w:val="003720E9"/>
    <w:rsid w:val="003723D3"/>
    <w:rsid w:val="00372451"/>
    <w:rsid w:val="00372489"/>
    <w:rsid w:val="003724FE"/>
    <w:rsid w:val="00372530"/>
    <w:rsid w:val="00372545"/>
    <w:rsid w:val="0037264B"/>
    <w:rsid w:val="00372651"/>
    <w:rsid w:val="003726D9"/>
    <w:rsid w:val="00372730"/>
    <w:rsid w:val="003727FD"/>
    <w:rsid w:val="00372BCB"/>
    <w:rsid w:val="00372C7C"/>
    <w:rsid w:val="00372CBA"/>
    <w:rsid w:val="00372CC5"/>
    <w:rsid w:val="00372CFC"/>
    <w:rsid w:val="00372DA4"/>
    <w:rsid w:val="00372DEA"/>
    <w:rsid w:val="00372E12"/>
    <w:rsid w:val="00372ED5"/>
    <w:rsid w:val="00373092"/>
    <w:rsid w:val="00373117"/>
    <w:rsid w:val="00373140"/>
    <w:rsid w:val="0037316A"/>
    <w:rsid w:val="003732FA"/>
    <w:rsid w:val="003733BF"/>
    <w:rsid w:val="00373406"/>
    <w:rsid w:val="00373454"/>
    <w:rsid w:val="0037353D"/>
    <w:rsid w:val="0037355A"/>
    <w:rsid w:val="00373628"/>
    <w:rsid w:val="00373717"/>
    <w:rsid w:val="00373750"/>
    <w:rsid w:val="003738DB"/>
    <w:rsid w:val="00373BCB"/>
    <w:rsid w:val="00373C0C"/>
    <w:rsid w:val="00373C53"/>
    <w:rsid w:val="00373D5A"/>
    <w:rsid w:val="00373EAE"/>
    <w:rsid w:val="00374160"/>
    <w:rsid w:val="003742B1"/>
    <w:rsid w:val="003742FC"/>
    <w:rsid w:val="00374474"/>
    <w:rsid w:val="0037448E"/>
    <w:rsid w:val="003744CF"/>
    <w:rsid w:val="0037470C"/>
    <w:rsid w:val="00374717"/>
    <w:rsid w:val="003747B8"/>
    <w:rsid w:val="00374851"/>
    <w:rsid w:val="00374864"/>
    <w:rsid w:val="003749A2"/>
    <w:rsid w:val="00374A06"/>
    <w:rsid w:val="00374A54"/>
    <w:rsid w:val="00374B10"/>
    <w:rsid w:val="00374BE1"/>
    <w:rsid w:val="00374C24"/>
    <w:rsid w:val="00374DA1"/>
    <w:rsid w:val="00374DA7"/>
    <w:rsid w:val="00374EAC"/>
    <w:rsid w:val="00374F2A"/>
    <w:rsid w:val="00374F6E"/>
    <w:rsid w:val="0037509A"/>
    <w:rsid w:val="003750CB"/>
    <w:rsid w:val="003753E2"/>
    <w:rsid w:val="00375474"/>
    <w:rsid w:val="0037555F"/>
    <w:rsid w:val="0037573C"/>
    <w:rsid w:val="00375CD3"/>
    <w:rsid w:val="00375F2C"/>
    <w:rsid w:val="00375F4B"/>
    <w:rsid w:val="00376043"/>
    <w:rsid w:val="0037611F"/>
    <w:rsid w:val="003761CD"/>
    <w:rsid w:val="003762D0"/>
    <w:rsid w:val="003762F7"/>
    <w:rsid w:val="00376325"/>
    <w:rsid w:val="00376525"/>
    <w:rsid w:val="003766A3"/>
    <w:rsid w:val="003766C1"/>
    <w:rsid w:val="0037676C"/>
    <w:rsid w:val="003767D7"/>
    <w:rsid w:val="00376838"/>
    <w:rsid w:val="00376899"/>
    <w:rsid w:val="003768DD"/>
    <w:rsid w:val="00376A2C"/>
    <w:rsid w:val="00376B31"/>
    <w:rsid w:val="00376C49"/>
    <w:rsid w:val="00376C8A"/>
    <w:rsid w:val="00376CA3"/>
    <w:rsid w:val="00376EB9"/>
    <w:rsid w:val="00376F82"/>
    <w:rsid w:val="00376FC5"/>
    <w:rsid w:val="003771F5"/>
    <w:rsid w:val="003772BB"/>
    <w:rsid w:val="003776F5"/>
    <w:rsid w:val="003776FD"/>
    <w:rsid w:val="00377736"/>
    <w:rsid w:val="003779E7"/>
    <w:rsid w:val="00377B23"/>
    <w:rsid w:val="00377C7B"/>
    <w:rsid w:val="00377CAF"/>
    <w:rsid w:val="00377CC3"/>
    <w:rsid w:val="00377D1F"/>
    <w:rsid w:val="00377DA5"/>
    <w:rsid w:val="00377EA6"/>
    <w:rsid w:val="00377EED"/>
    <w:rsid w:val="0038017D"/>
    <w:rsid w:val="00380196"/>
    <w:rsid w:val="003802A8"/>
    <w:rsid w:val="003802A9"/>
    <w:rsid w:val="00380407"/>
    <w:rsid w:val="003804F6"/>
    <w:rsid w:val="003805C9"/>
    <w:rsid w:val="00380660"/>
    <w:rsid w:val="003808F9"/>
    <w:rsid w:val="00380997"/>
    <w:rsid w:val="003809CF"/>
    <w:rsid w:val="00380B0C"/>
    <w:rsid w:val="00380B23"/>
    <w:rsid w:val="00380BE2"/>
    <w:rsid w:val="00380CD3"/>
    <w:rsid w:val="00380D27"/>
    <w:rsid w:val="00380E61"/>
    <w:rsid w:val="00380ED1"/>
    <w:rsid w:val="00380ED3"/>
    <w:rsid w:val="00381043"/>
    <w:rsid w:val="00381046"/>
    <w:rsid w:val="00381157"/>
    <w:rsid w:val="003812F9"/>
    <w:rsid w:val="0038132A"/>
    <w:rsid w:val="0038137D"/>
    <w:rsid w:val="00381408"/>
    <w:rsid w:val="00381435"/>
    <w:rsid w:val="0038156A"/>
    <w:rsid w:val="0038164A"/>
    <w:rsid w:val="0038197F"/>
    <w:rsid w:val="00381A96"/>
    <w:rsid w:val="00381BE8"/>
    <w:rsid w:val="00381C80"/>
    <w:rsid w:val="00381D8E"/>
    <w:rsid w:val="00381DFB"/>
    <w:rsid w:val="00381E02"/>
    <w:rsid w:val="00381EB2"/>
    <w:rsid w:val="00381F0D"/>
    <w:rsid w:val="00381FD8"/>
    <w:rsid w:val="00381FE2"/>
    <w:rsid w:val="00382051"/>
    <w:rsid w:val="0038208D"/>
    <w:rsid w:val="003820BC"/>
    <w:rsid w:val="00382216"/>
    <w:rsid w:val="00382232"/>
    <w:rsid w:val="00382348"/>
    <w:rsid w:val="0038241F"/>
    <w:rsid w:val="00382488"/>
    <w:rsid w:val="003824CC"/>
    <w:rsid w:val="003824D2"/>
    <w:rsid w:val="003824EF"/>
    <w:rsid w:val="003825C9"/>
    <w:rsid w:val="00382601"/>
    <w:rsid w:val="00382710"/>
    <w:rsid w:val="00382761"/>
    <w:rsid w:val="003827B8"/>
    <w:rsid w:val="0038282F"/>
    <w:rsid w:val="00382960"/>
    <w:rsid w:val="003829E5"/>
    <w:rsid w:val="00382A0F"/>
    <w:rsid w:val="00382A14"/>
    <w:rsid w:val="00382B6A"/>
    <w:rsid w:val="00382C6F"/>
    <w:rsid w:val="00382DD8"/>
    <w:rsid w:val="00382DDA"/>
    <w:rsid w:val="00382E42"/>
    <w:rsid w:val="00382E80"/>
    <w:rsid w:val="00382EAE"/>
    <w:rsid w:val="00382F60"/>
    <w:rsid w:val="00382FEA"/>
    <w:rsid w:val="003830D5"/>
    <w:rsid w:val="0038314B"/>
    <w:rsid w:val="00383153"/>
    <w:rsid w:val="003831BF"/>
    <w:rsid w:val="00383488"/>
    <w:rsid w:val="00383601"/>
    <w:rsid w:val="0038360A"/>
    <w:rsid w:val="0038376D"/>
    <w:rsid w:val="003837D7"/>
    <w:rsid w:val="003838CA"/>
    <w:rsid w:val="003838DC"/>
    <w:rsid w:val="00383B08"/>
    <w:rsid w:val="00383FDF"/>
    <w:rsid w:val="0038407C"/>
    <w:rsid w:val="0038409C"/>
    <w:rsid w:val="00384155"/>
    <w:rsid w:val="003841E7"/>
    <w:rsid w:val="0038426D"/>
    <w:rsid w:val="0038427E"/>
    <w:rsid w:val="00384369"/>
    <w:rsid w:val="00384483"/>
    <w:rsid w:val="0038478F"/>
    <w:rsid w:val="003847F6"/>
    <w:rsid w:val="0038498D"/>
    <w:rsid w:val="003849CF"/>
    <w:rsid w:val="003849E9"/>
    <w:rsid w:val="00384A19"/>
    <w:rsid w:val="00384A4D"/>
    <w:rsid w:val="00384B66"/>
    <w:rsid w:val="00384B98"/>
    <w:rsid w:val="00384CBB"/>
    <w:rsid w:val="00384FA2"/>
    <w:rsid w:val="00385109"/>
    <w:rsid w:val="00385479"/>
    <w:rsid w:val="00385681"/>
    <w:rsid w:val="003857ED"/>
    <w:rsid w:val="0038582A"/>
    <w:rsid w:val="003858B2"/>
    <w:rsid w:val="00385929"/>
    <w:rsid w:val="0038594E"/>
    <w:rsid w:val="00385B86"/>
    <w:rsid w:val="00385C62"/>
    <w:rsid w:val="00385CB6"/>
    <w:rsid w:val="00385E0B"/>
    <w:rsid w:val="003860AB"/>
    <w:rsid w:val="003860C1"/>
    <w:rsid w:val="00386109"/>
    <w:rsid w:val="0038629A"/>
    <w:rsid w:val="003862E9"/>
    <w:rsid w:val="00386311"/>
    <w:rsid w:val="003863F5"/>
    <w:rsid w:val="00386411"/>
    <w:rsid w:val="0038656A"/>
    <w:rsid w:val="003865FB"/>
    <w:rsid w:val="00386616"/>
    <w:rsid w:val="0038666C"/>
    <w:rsid w:val="0038668D"/>
    <w:rsid w:val="00386768"/>
    <w:rsid w:val="003868C8"/>
    <w:rsid w:val="00386944"/>
    <w:rsid w:val="0038694C"/>
    <w:rsid w:val="00386986"/>
    <w:rsid w:val="003869E4"/>
    <w:rsid w:val="00386AA2"/>
    <w:rsid w:val="00386AD0"/>
    <w:rsid w:val="00386B56"/>
    <w:rsid w:val="00386BB5"/>
    <w:rsid w:val="00386BB8"/>
    <w:rsid w:val="00386C4E"/>
    <w:rsid w:val="00386CB7"/>
    <w:rsid w:val="00386CF1"/>
    <w:rsid w:val="00386D2F"/>
    <w:rsid w:val="00386DE6"/>
    <w:rsid w:val="00386E45"/>
    <w:rsid w:val="00387030"/>
    <w:rsid w:val="00387055"/>
    <w:rsid w:val="003870AC"/>
    <w:rsid w:val="003870CA"/>
    <w:rsid w:val="0038710D"/>
    <w:rsid w:val="003871E8"/>
    <w:rsid w:val="0038720A"/>
    <w:rsid w:val="0038725D"/>
    <w:rsid w:val="003872BC"/>
    <w:rsid w:val="00387330"/>
    <w:rsid w:val="00387384"/>
    <w:rsid w:val="0038754D"/>
    <w:rsid w:val="00387609"/>
    <w:rsid w:val="0038764C"/>
    <w:rsid w:val="003876EF"/>
    <w:rsid w:val="00387720"/>
    <w:rsid w:val="00387748"/>
    <w:rsid w:val="0038788F"/>
    <w:rsid w:val="00387892"/>
    <w:rsid w:val="003878DC"/>
    <w:rsid w:val="0038798B"/>
    <w:rsid w:val="00387A5E"/>
    <w:rsid w:val="00387A6B"/>
    <w:rsid w:val="00387A94"/>
    <w:rsid w:val="00387AF4"/>
    <w:rsid w:val="00387B03"/>
    <w:rsid w:val="00387B6D"/>
    <w:rsid w:val="00387BBF"/>
    <w:rsid w:val="00387C07"/>
    <w:rsid w:val="00387CA6"/>
    <w:rsid w:val="00387CB0"/>
    <w:rsid w:val="00387D70"/>
    <w:rsid w:val="0039009E"/>
    <w:rsid w:val="00390129"/>
    <w:rsid w:val="003902A1"/>
    <w:rsid w:val="00390658"/>
    <w:rsid w:val="00390916"/>
    <w:rsid w:val="0039091E"/>
    <w:rsid w:val="0039091F"/>
    <w:rsid w:val="00390991"/>
    <w:rsid w:val="00390BA0"/>
    <w:rsid w:val="00390DC3"/>
    <w:rsid w:val="00390E5C"/>
    <w:rsid w:val="00390F58"/>
    <w:rsid w:val="003910DF"/>
    <w:rsid w:val="003911BE"/>
    <w:rsid w:val="003912CA"/>
    <w:rsid w:val="003915EF"/>
    <w:rsid w:val="0039169A"/>
    <w:rsid w:val="003917DD"/>
    <w:rsid w:val="0039185A"/>
    <w:rsid w:val="003919CC"/>
    <w:rsid w:val="00391B70"/>
    <w:rsid w:val="00391B9C"/>
    <w:rsid w:val="00391D42"/>
    <w:rsid w:val="00391FE0"/>
    <w:rsid w:val="00392009"/>
    <w:rsid w:val="00392185"/>
    <w:rsid w:val="003921FC"/>
    <w:rsid w:val="0039225C"/>
    <w:rsid w:val="003922E7"/>
    <w:rsid w:val="0039273E"/>
    <w:rsid w:val="003927CD"/>
    <w:rsid w:val="00392929"/>
    <w:rsid w:val="003929F5"/>
    <w:rsid w:val="00392A21"/>
    <w:rsid w:val="00392A84"/>
    <w:rsid w:val="00392A93"/>
    <w:rsid w:val="00392AD0"/>
    <w:rsid w:val="00392B54"/>
    <w:rsid w:val="00392C13"/>
    <w:rsid w:val="00392DC7"/>
    <w:rsid w:val="00392DEF"/>
    <w:rsid w:val="00392E9F"/>
    <w:rsid w:val="00392F44"/>
    <w:rsid w:val="00392FE8"/>
    <w:rsid w:val="003930EC"/>
    <w:rsid w:val="0039312E"/>
    <w:rsid w:val="003934AE"/>
    <w:rsid w:val="003934DD"/>
    <w:rsid w:val="003936FD"/>
    <w:rsid w:val="00393734"/>
    <w:rsid w:val="003937AC"/>
    <w:rsid w:val="003939C7"/>
    <w:rsid w:val="00393CCF"/>
    <w:rsid w:val="00393D9F"/>
    <w:rsid w:val="00393E5D"/>
    <w:rsid w:val="00393E88"/>
    <w:rsid w:val="00393EFC"/>
    <w:rsid w:val="00393F99"/>
    <w:rsid w:val="0039409D"/>
    <w:rsid w:val="0039414D"/>
    <w:rsid w:val="003941C9"/>
    <w:rsid w:val="00394260"/>
    <w:rsid w:val="00394376"/>
    <w:rsid w:val="0039437B"/>
    <w:rsid w:val="00394401"/>
    <w:rsid w:val="003945F3"/>
    <w:rsid w:val="003945F8"/>
    <w:rsid w:val="0039470E"/>
    <w:rsid w:val="003949BD"/>
    <w:rsid w:val="00394AE8"/>
    <w:rsid w:val="00394B30"/>
    <w:rsid w:val="00394B79"/>
    <w:rsid w:val="00394C06"/>
    <w:rsid w:val="00394C07"/>
    <w:rsid w:val="00394C6B"/>
    <w:rsid w:val="00394D61"/>
    <w:rsid w:val="00394D6F"/>
    <w:rsid w:val="003950ED"/>
    <w:rsid w:val="0039511E"/>
    <w:rsid w:val="0039513D"/>
    <w:rsid w:val="00395251"/>
    <w:rsid w:val="0039526F"/>
    <w:rsid w:val="003952E2"/>
    <w:rsid w:val="003952FE"/>
    <w:rsid w:val="00395366"/>
    <w:rsid w:val="00395438"/>
    <w:rsid w:val="00395475"/>
    <w:rsid w:val="00395536"/>
    <w:rsid w:val="003955CB"/>
    <w:rsid w:val="003956CC"/>
    <w:rsid w:val="003959FD"/>
    <w:rsid w:val="00395A8F"/>
    <w:rsid w:val="00395AE7"/>
    <w:rsid w:val="00395C4F"/>
    <w:rsid w:val="00395C9A"/>
    <w:rsid w:val="00395CC0"/>
    <w:rsid w:val="00395D1E"/>
    <w:rsid w:val="00395D9E"/>
    <w:rsid w:val="00395DE8"/>
    <w:rsid w:val="00395E0B"/>
    <w:rsid w:val="00395E49"/>
    <w:rsid w:val="003961E0"/>
    <w:rsid w:val="00396365"/>
    <w:rsid w:val="0039636E"/>
    <w:rsid w:val="00396474"/>
    <w:rsid w:val="00396502"/>
    <w:rsid w:val="00396554"/>
    <w:rsid w:val="0039655B"/>
    <w:rsid w:val="00396801"/>
    <w:rsid w:val="00396A25"/>
    <w:rsid w:val="00396A6A"/>
    <w:rsid w:val="00396AAB"/>
    <w:rsid w:val="00396B18"/>
    <w:rsid w:val="00396DE8"/>
    <w:rsid w:val="00396EAA"/>
    <w:rsid w:val="00397265"/>
    <w:rsid w:val="003972BC"/>
    <w:rsid w:val="003973CC"/>
    <w:rsid w:val="003973ED"/>
    <w:rsid w:val="00397421"/>
    <w:rsid w:val="003975A4"/>
    <w:rsid w:val="003976C0"/>
    <w:rsid w:val="00397934"/>
    <w:rsid w:val="0039793A"/>
    <w:rsid w:val="00397AA9"/>
    <w:rsid w:val="00397B83"/>
    <w:rsid w:val="00397D40"/>
    <w:rsid w:val="00397DC8"/>
    <w:rsid w:val="00397E10"/>
    <w:rsid w:val="00397EC8"/>
    <w:rsid w:val="003A0009"/>
    <w:rsid w:val="003A0074"/>
    <w:rsid w:val="003A01D5"/>
    <w:rsid w:val="003A01F1"/>
    <w:rsid w:val="003A01F2"/>
    <w:rsid w:val="003A02A2"/>
    <w:rsid w:val="003A030A"/>
    <w:rsid w:val="003A05A1"/>
    <w:rsid w:val="003A0677"/>
    <w:rsid w:val="003A0853"/>
    <w:rsid w:val="003A0972"/>
    <w:rsid w:val="003A0BD7"/>
    <w:rsid w:val="003A0C0B"/>
    <w:rsid w:val="003A0CF1"/>
    <w:rsid w:val="003A0D69"/>
    <w:rsid w:val="003A11B9"/>
    <w:rsid w:val="003A1262"/>
    <w:rsid w:val="003A129D"/>
    <w:rsid w:val="003A12AD"/>
    <w:rsid w:val="003A1320"/>
    <w:rsid w:val="003A1471"/>
    <w:rsid w:val="003A15AF"/>
    <w:rsid w:val="003A15C3"/>
    <w:rsid w:val="003A1819"/>
    <w:rsid w:val="003A1973"/>
    <w:rsid w:val="003A19F7"/>
    <w:rsid w:val="003A1B13"/>
    <w:rsid w:val="003A1B59"/>
    <w:rsid w:val="003A1B63"/>
    <w:rsid w:val="003A1B6F"/>
    <w:rsid w:val="003A1B9A"/>
    <w:rsid w:val="003A1C97"/>
    <w:rsid w:val="003A1DF4"/>
    <w:rsid w:val="003A1F60"/>
    <w:rsid w:val="003A2066"/>
    <w:rsid w:val="003A208E"/>
    <w:rsid w:val="003A20B3"/>
    <w:rsid w:val="003A2196"/>
    <w:rsid w:val="003A21BA"/>
    <w:rsid w:val="003A2276"/>
    <w:rsid w:val="003A22D1"/>
    <w:rsid w:val="003A240D"/>
    <w:rsid w:val="003A245A"/>
    <w:rsid w:val="003A2508"/>
    <w:rsid w:val="003A25C2"/>
    <w:rsid w:val="003A25C6"/>
    <w:rsid w:val="003A2730"/>
    <w:rsid w:val="003A2741"/>
    <w:rsid w:val="003A285F"/>
    <w:rsid w:val="003A28C6"/>
    <w:rsid w:val="003A2E0B"/>
    <w:rsid w:val="003A2E0E"/>
    <w:rsid w:val="003A2E65"/>
    <w:rsid w:val="003A2EF9"/>
    <w:rsid w:val="003A2FA7"/>
    <w:rsid w:val="003A2FCB"/>
    <w:rsid w:val="003A2FCE"/>
    <w:rsid w:val="003A3053"/>
    <w:rsid w:val="003A3200"/>
    <w:rsid w:val="003A3242"/>
    <w:rsid w:val="003A3466"/>
    <w:rsid w:val="003A350C"/>
    <w:rsid w:val="003A385C"/>
    <w:rsid w:val="003A399E"/>
    <w:rsid w:val="003A39AE"/>
    <w:rsid w:val="003A3B88"/>
    <w:rsid w:val="003A3E32"/>
    <w:rsid w:val="003A400D"/>
    <w:rsid w:val="003A40C3"/>
    <w:rsid w:val="003A4492"/>
    <w:rsid w:val="003A452E"/>
    <w:rsid w:val="003A4547"/>
    <w:rsid w:val="003A46A3"/>
    <w:rsid w:val="003A46A9"/>
    <w:rsid w:val="003A46E7"/>
    <w:rsid w:val="003A4965"/>
    <w:rsid w:val="003A497B"/>
    <w:rsid w:val="003A49AF"/>
    <w:rsid w:val="003A4B31"/>
    <w:rsid w:val="003A4BA7"/>
    <w:rsid w:val="003A4C08"/>
    <w:rsid w:val="003A4C1C"/>
    <w:rsid w:val="003A4C3B"/>
    <w:rsid w:val="003A4DD8"/>
    <w:rsid w:val="003A4EE6"/>
    <w:rsid w:val="003A4FD1"/>
    <w:rsid w:val="003A503A"/>
    <w:rsid w:val="003A50F2"/>
    <w:rsid w:val="003A5134"/>
    <w:rsid w:val="003A5195"/>
    <w:rsid w:val="003A5238"/>
    <w:rsid w:val="003A5245"/>
    <w:rsid w:val="003A525E"/>
    <w:rsid w:val="003A52C9"/>
    <w:rsid w:val="003A5337"/>
    <w:rsid w:val="003A5389"/>
    <w:rsid w:val="003A54DF"/>
    <w:rsid w:val="003A5643"/>
    <w:rsid w:val="003A5687"/>
    <w:rsid w:val="003A5735"/>
    <w:rsid w:val="003A594C"/>
    <w:rsid w:val="003A5AE9"/>
    <w:rsid w:val="003A5B92"/>
    <w:rsid w:val="003A5F29"/>
    <w:rsid w:val="003A5FFC"/>
    <w:rsid w:val="003A5FFF"/>
    <w:rsid w:val="003A6053"/>
    <w:rsid w:val="003A608C"/>
    <w:rsid w:val="003A6132"/>
    <w:rsid w:val="003A61EB"/>
    <w:rsid w:val="003A621C"/>
    <w:rsid w:val="003A6281"/>
    <w:rsid w:val="003A638A"/>
    <w:rsid w:val="003A6702"/>
    <w:rsid w:val="003A68A3"/>
    <w:rsid w:val="003A68BA"/>
    <w:rsid w:val="003A6A24"/>
    <w:rsid w:val="003A6A9B"/>
    <w:rsid w:val="003A6B46"/>
    <w:rsid w:val="003A6B67"/>
    <w:rsid w:val="003A6B72"/>
    <w:rsid w:val="003A6C9C"/>
    <w:rsid w:val="003A6CD8"/>
    <w:rsid w:val="003A6D01"/>
    <w:rsid w:val="003A6DFE"/>
    <w:rsid w:val="003A6FFF"/>
    <w:rsid w:val="003A7047"/>
    <w:rsid w:val="003A7056"/>
    <w:rsid w:val="003A7060"/>
    <w:rsid w:val="003A70B7"/>
    <w:rsid w:val="003A7155"/>
    <w:rsid w:val="003A7251"/>
    <w:rsid w:val="003A74DD"/>
    <w:rsid w:val="003A7501"/>
    <w:rsid w:val="003A7511"/>
    <w:rsid w:val="003A7616"/>
    <w:rsid w:val="003A76DA"/>
    <w:rsid w:val="003A7783"/>
    <w:rsid w:val="003A792F"/>
    <w:rsid w:val="003A79AC"/>
    <w:rsid w:val="003A7A02"/>
    <w:rsid w:val="003A7AAF"/>
    <w:rsid w:val="003A7D92"/>
    <w:rsid w:val="003A7E56"/>
    <w:rsid w:val="003A7FCF"/>
    <w:rsid w:val="003B00AA"/>
    <w:rsid w:val="003B00F0"/>
    <w:rsid w:val="003B018D"/>
    <w:rsid w:val="003B0203"/>
    <w:rsid w:val="003B0349"/>
    <w:rsid w:val="003B0379"/>
    <w:rsid w:val="003B03B6"/>
    <w:rsid w:val="003B041D"/>
    <w:rsid w:val="003B0428"/>
    <w:rsid w:val="003B0466"/>
    <w:rsid w:val="003B04CF"/>
    <w:rsid w:val="003B05BB"/>
    <w:rsid w:val="003B067E"/>
    <w:rsid w:val="003B06FC"/>
    <w:rsid w:val="003B0759"/>
    <w:rsid w:val="003B0766"/>
    <w:rsid w:val="003B0A01"/>
    <w:rsid w:val="003B0A75"/>
    <w:rsid w:val="003B0AE4"/>
    <w:rsid w:val="003B0B15"/>
    <w:rsid w:val="003B0B67"/>
    <w:rsid w:val="003B0B6D"/>
    <w:rsid w:val="003B0D45"/>
    <w:rsid w:val="003B0D6C"/>
    <w:rsid w:val="003B0F43"/>
    <w:rsid w:val="003B0FEE"/>
    <w:rsid w:val="003B10BA"/>
    <w:rsid w:val="003B110B"/>
    <w:rsid w:val="003B11F4"/>
    <w:rsid w:val="003B1254"/>
    <w:rsid w:val="003B127C"/>
    <w:rsid w:val="003B129F"/>
    <w:rsid w:val="003B12B2"/>
    <w:rsid w:val="003B132F"/>
    <w:rsid w:val="003B13B6"/>
    <w:rsid w:val="003B14C3"/>
    <w:rsid w:val="003B15A9"/>
    <w:rsid w:val="003B15E6"/>
    <w:rsid w:val="003B15F3"/>
    <w:rsid w:val="003B1846"/>
    <w:rsid w:val="003B1929"/>
    <w:rsid w:val="003B1AD3"/>
    <w:rsid w:val="003B1ADE"/>
    <w:rsid w:val="003B1AE4"/>
    <w:rsid w:val="003B1B66"/>
    <w:rsid w:val="003B1C8B"/>
    <w:rsid w:val="003B1DF1"/>
    <w:rsid w:val="003B20E6"/>
    <w:rsid w:val="003B21A3"/>
    <w:rsid w:val="003B21AD"/>
    <w:rsid w:val="003B2250"/>
    <w:rsid w:val="003B228F"/>
    <w:rsid w:val="003B22EF"/>
    <w:rsid w:val="003B2458"/>
    <w:rsid w:val="003B2488"/>
    <w:rsid w:val="003B2536"/>
    <w:rsid w:val="003B2578"/>
    <w:rsid w:val="003B257C"/>
    <w:rsid w:val="003B25CA"/>
    <w:rsid w:val="003B2620"/>
    <w:rsid w:val="003B26B9"/>
    <w:rsid w:val="003B26F5"/>
    <w:rsid w:val="003B285D"/>
    <w:rsid w:val="003B2A84"/>
    <w:rsid w:val="003B2D01"/>
    <w:rsid w:val="003B2D82"/>
    <w:rsid w:val="003B2D89"/>
    <w:rsid w:val="003B2DCD"/>
    <w:rsid w:val="003B3078"/>
    <w:rsid w:val="003B309D"/>
    <w:rsid w:val="003B31D4"/>
    <w:rsid w:val="003B3283"/>
    <w:rsid w:val="003B3285"/>
    <w:rsid w:val="003B328F"/>
    <w:rsid w:val="003B33A0"/>
    <w:rsid w:val="003B3419"/>
    <w:rsid w:val="003B341D"/>
    <w:rsid w:val="003B3498"/>
    <w:rsid w:val="003B3689"/>
    <w:rsid w:val="003B37A7"/>
    <w:rsid w:val="003B37CE"/>
    <w:rsid w:val="003B37CF"/>
    <w:rsid w:val="003B3879"/>
    <w:rsid w:val="003B3912"/>
    <w:rsid w:val="003B3978"/>
    <w:rsid w:val="003B3A38"/>
    <w:rsid w:val="003B3BD2"/>
    <w:rsid w:val="003B3BE8"/>
    <w:rsid w:val="003B3BE9"/>
    <w:rsid w:val="003B3C8C"/>
    <w:rsid w:val="003B3CAE"/>
    <w:rsid w:val="003B3D2E"/>
    <w:rsid w:val="003B3E94"/>
    <w:rsid w:val="003B3FE3"/>
    <w:rsid w:val="003B408A"/>
    <w:rsid w:val="003B40CA"/>
    <w:rsid w:val="003B42BE"/>
    <w:rsid w:val="003B4330"/>
    <w:rsid w:val="003B43E6"/>
    <w:rsid w:val="003B443B"/>
    <w:rsid w:val="003B44B6"/>
    <w:rsid w:val="003B4507"/>
    <w:rsid w:val="003B45EC"/>
    <w:rsid w:val="003B46D3"/>
    <w:rsid w:val="003B46FB"/>
    <w:rsid w:val="003B481E"/>
    <w:rsid w:val="003B485A"/>
    <w:rsid w:val="003B4988"/>
    <w:rsid w:val="003B49A2"/>
    <w:rsid w:val="003B4A43"/>
    <w:rsid w:val="003B4A7B"/>
    <w:rsid w:val="003B4AE5"/>
    <w:rsid w:val="003B4B96"/>
    <w:rsid w:val="003B4C0E"/>
    <w:rsid w:val="003B4C3C"/>
    <w:rsid w:val="003B4E62"/>
    <w:rsid w:val="003B4FC3"/>
    <w:rsid w:val="003B4FE2"/>
    <w:rsid w:val="003B5099"/>
    <w:rsid w:val="003B5155"/>
    <w:rsid w:val="003B5162"/>
    <w:rsid w:val="003B52C7"/>
    <w:rsid w:val="003B530C"/>
    <w:rsid w:val="003B55B9"/>
    <w:rsid w:val="003B55F8"/>
    <w:rsid w:val="003B573B"/>
    <w:rsid w:val="003B583E"/>
    <w:rsid w:val="003B5930"/>
    <w:rsid w:val="003B5984"/>
    <w:rsid w:val="003B5B93"/>
    <w:rsid w:val="003B5D57"/>
    <w:rsid w:val="003B5D8B"/>
    <w:rsid w:val="003B5E3F"/>
    <w:rsid w:val="003B5EBC"/>
    <w:rsid w:val="003B5F39"/>
    <w:rsid w:val="003B5F80"/>
    <w:rsid w:val="003B5F85"/>
    <w:rsid w:val="003B6020"/>
    <w:rsid w:val="003B6053"/>
    <w:rsid w:val="003B6118"/>
    <w:rsid w:val="003B615F"/>
    <w:rsid w:val="003B62AB"/>
    <w:rsid w:val="003B62BF"/>
    <w:rsid w:val="003B6358"/>
    <w:rsid w:val="003B63C6"/>
    <w:rsid w:val="003B651F"/>
    <w:rsid w:val="003B65E2"/>
    <w:rsid w:val="003B66EA"/>
    <w:rsid w:val="003B66EF"/>
    <w:rsid w:val="003B66F9"/>
    <w:rsid w:val="003B6843"/>
    <w:rsid w:val="003B6960"/>
    <w:rsid w:val="003B6AE2"/>
    <w:rsid w:val="003B6B8C"/>
    <w:rsid w:val="003B6DFB"/>
    <w:rsid w:val="003B6E0C"/>
    <w:rsid w:val="003B70AB"/>
    <w:rsid w:val="003B713F"/>
    <w:rsid w:val="003B7235"/>
    <w:rsid w:val="003B7340"/>
    <w:rsid w:val="003B73D2"/>
    <w:rsid w:val="003B751B"/>
    <w:rsid w:val="003B757C"/>
    <w:rsid w:val="003B759C"/>
    <w:rsid w:val="003B7663"/>
    <w:rsid w:val="003B77CF"/>
    <w:rsid w:val="003B77D9"/>
    <w:rsid w:val="003B796C"/>
    <w:rsid w:val="003B79D6"/>
    <w:rsid w:val="003B7A7F"/>
    <w:rsid w:val="003B7A97"/>
    <w:rsid w:val="003B7B95"/>
    <w:rsid w:val="003B7BDC"/>
    <w:rsid w:val="003B7C27"/>
    <w:rsid w:val="003B7E6D"/>
    <w:rsid w:val="003B7F64"/>
    <w:rsid w:val="003C0007"/>
    <w:rsid w:val="003C01F9"/>
    <w:rsid w:val="003C0226"/>
    <w:rsid w:val="003C025B"/>
    <w:rsid w:val="003C0269"/>
    <w:rsid w:val="003C02FB"/>
    <w:rsid w:val="003C03D6"/>
    <w:rsid w:val="003C0603"/>
    <w:rsid w:val="003C071D"/>
    <w:rsid w:val="003C08A2"/>
    <w:rsid w:val="003C0900"/>
    <w:rsid w:val="003C0985"/>
    <w:rsid w:val="003C0A37"/>
    <w:rsid w:val="003C0AAD"/>
    <w:rsid w:val="003C0BA1"/>
    <w:rsid w:val="003C11A5"/>
    <w:rsid w:val="003C1269"/>
    <w:rsid w:val="003C1275"/>
    <w:rsid w:val="003C1355"/>
    <w:rsid w:val="003C13A4"/>
    <w:rsid w:val="003C149C"/>
    <w:rsid w:val="003C1586"/>
    <w:rsid w:val="003C1734"/>
    <w:rsid w:val="003C1886"/>
    <w:rsid w:val="003C1ACB"/>
    <w:rsid w:val="003C1B22"/>
    <w:rsid w:val="003C1BBD"/>
    <w:rsid w:val="003C1CBE"/>
    <w:rsid w:val="003C1D29"/>
    <w:rsid w:val="003C1EA9"/>
    <w:rsid w:val="003C1FE5"/>
    <w:rsid w:val="003C2045"/>
    <w:rsid w:val="003C21F1"/>
    <w:rsid w:val="003C2315"/>
    <w:rsid w:val="003C2317"/>
    <w:rsid w:val="003C24AE"/>
    <w:rsid w:val="003C2625"/>
    <w:rsid w:val="003C2694"/>
    <w:rsid w:val="003C2760"/>
    <w:rsid w:val="003C276F"/>
    <w:rsid w:val="003C296A"/>
    <w:rsid w:val="003C2B2A"/>
    <w:rsid w:val="003C2D20"/>
    <w:rsid w:val="003C2F18"/>
    <w:rsid w:val="003C2F1D"/>
    <w:rsid w:val="003C2FE8"/>
    <w:rsid w:val="003C3085"/>
    <w:rsid w:val="003C34AD"/>
    <w:rsid w:val="003C34DC"/>
    <w:rsid w:val="003C37BD"/>
    <w:rsid w:val="003C37CA"/>
    <w:rsid w:val="003C39A6"/>
    <w:rsid w:val="003C39F6"/>
    <w:rsid w:val="003C3C00"/>
    <w:rsid w:val="003C3FA8"/>
    <w:rsid w:val="003C4155"/>
    <w:rsid w:val="003C4276"/>
    <w:rsid w:val="003C42AD"/>
    <w:rsid w:val="003C4303"/>
    <w:rsid w:val="003C434C"/>
    <w:rsid w:val="003C43A1"/>
    <w:rsid w:val="003C43F3"/>
    <w:rsid w:val="003C452E"/>
    <w:rsid w:val="003C459F"/>
    <w:rsid w:val="003C4830"/>
    <w:rsid w:val="003C4928"/>
    <w:rsid w:val="003C4A32"/>
    <w:rsid w:val="003C4ACF"/>
    <w:rsid w:val="003C4B4A"/>
    <w:rsid w:val="003C4D15"/>
    <w:rsid w:val="003C4F2F"/>
    <w:rsid w:val="003C4F4F"/>
    <w:rsid w:val="003C4FC0"/>
    <w:rsid w:val="003C502B"/>
    <w:rsid w:val="003C508D"/>
    <w:rsid w:val="003C50CC"/>
    <w:rsid w:val="003C50DC"/>
    <w:rsid w:val="003C50E1"/>
    <w:rsid w:val="003C512E"/>
    <w:rsid w:val="003C5141"/>
    <w:rsid w:val="003C54FF"/>
    <w:rsid w:val="003C55F4"/>
    <w:rsid w:val="003C5679"/>
    <w:rsid w:val="003C56CC"/>
    <w:rsid w:val="003C5820"/>
    <w:rsid w:val="003C591A"/>
    <w:rsid w:val="003C59E8"/>
    <w:rsid w:val="003C5A92"/>
    <w:rsid w:val="003C5A94"/>
    <w:rsid w:val="003C5A99"/>
    <w:rsid w:val="003C5C5E"/>
    <w:rsid w:val="003C5CBB"/>
    <w:rsid w:val="003C5CE1"/>
    <w:rsid w:val="003C5DA8"/>
    <w:rsid w:val="003C60AE"/>
    <w:rsid w:val="003C61B5"/>
    <w:rsid w:val="003C62B7"/>
    <w:rsid w:val="003C6351"/>
    <w:rsid w:val="003C639E"/>
    <w:rsid w:val="003C63D3"/>
    <w:rsid w:val="003C643D"/>
    <w:rsid w:val="003C6448"/>
    <w:rsid w:val="003C644D"/>
    <w:rsid w:val="003C6491"/>
    <w:rsid w:val="003C6554"/>
    <w:rsid w:val="003C65C9"/>
    <w:rsid w:val="003C6629"/>
    <w:rsid w:val="003C662E"/>
    <w:rsid w:val="003C6659"/>
    <w:rsid w:val="003C66C5"/>
    <w:rsid w:val="003C6811"/>
    <w:rsid w:val="003C6819"/>
    <w:rsid w:val="003C6AB1"/>
    <w:rsid w:val="003C6BCB"/>
    <w:rsid w:val="003C6CA4"/>
    <w:rsid w:val="003C6E81"/>
    <w:rsid w:val="003C6E87"/>
    <w:rsid w:val="003C6EB2"/>
    <w:rsid w:val="003C6F20"/>
    <w:rsid w:val="003C7025"/>
    <w:rsid w:val="003C702A"/>
    <w:rsid w:val="003C7131"/>
    <w:rsid w:val="003C718E"/>
    <w:rsid w:val="003C71A1"/>
    <w:rsid w:val="003C72DE"/>
    <w:rsid w:val="003C7346"/>
    <w:rsid w:val="003C73DA"/>
    <w:rsid w:val="003C74DA"/>
    <w:rsid w:val="003C752D"/>
    <w:rsid w:val="003C752F"/>
    <w:rsid w:val="003C75A3"/>
    <w:rsid w:val="003C75C9"/>
    <w:rsid w:val="003C7627"/>
    <w:rsid w:val="003C7642"/>
    <w:rsid w:val="003C7651"/>
    <w:rsid w:val="003C7664"/>
    <w:rsid w:val="003C768E"/>
    <w:rsid w:val="003C7709"/>
    <w:rsid w:val="003C7782"/>
    <w:rsid w:val="003C77C7"/>
    <w:rsid w:val="003C7897"/>
    <w:rsid w:val="003C7964"/>
    <w:rsid w:val="003C79F5"/>
    <w:rsid w:val="003C7A3F"/>
    <w:rsid w:val="003C7BF6"/>
    <w:rsid w:val="003C7C04"/>
    <w:rsid w:val="003C7D1F"/>
    <w:rsid w:val="003C7D33"/>
    <w:rsid w:val="003C7D6E"/>
    <w:rsid w:val="003C7D8C"/>
    <w:rsid w:val="003C7DBA"/>
    <w:rsid w:val="003C7DDA"/>
    <w:rsid w:val="003C7E0A"/>
    <w:rsid w:val="003C7E16"/>
    <w:rsid w:val="003C7FF5"/>
    <w:rsid w:val="003D0000"/>
    <w:rsid w:val="003D0080"/>
    <w:rsid w:val="003D025F"/>
    <w:rsid w:val="003D0297"/>
    <w:rsid w:val="003D02B7"/>
    <w:rsid w:val="003D0431"/>
    <w:rsid w:val="003D048D"/>
    <w:rsid w:val="003D04F3"/>
    <w:rsid w:val="003D060E"/>
    <w:rsid w:val="003D0818"/>
    <w:rsid w:val="003D0894"/>
    <w:rsid w:val="003D0B43"/>
    <w:rsid w:val="003D0B46"/>
    <w:rsid w:val="003D0BB5"/>
    <w:rsid w:val="003D0CBD"/>
    <w:rsid w:val="003D0D2A"/>
    <w:rsid w:val="003D0E1A"/>
    <w:rsid w:val="003D0E2B"/>
    <w:rsid w:val="003D0E46"/>
    <w:rsid w:val="003D0E79"/>
    <w:rsid w:val="003D0E9D"/>
    <w:rsid w:val="003D0EAD"/>
    <w:rsid w:val="003D1065"/>
    <w:rsid w:val="003D10EB"/>
    <w:rsid w:val="003D10FD"/>
    <w:rsid w:val="003D129F"/>
    <w:rsid w:val="003D1365"/>
    <w:rsid w:val="003D140F"/>
    <w:rsid w:val="003D142D"/>
    <w:rsid w:val="003D154A"/>
    <w:rsid w:val="003D155A"/>
    <w:rsid w:val="003D1614"/>
    <w:rsid w:val="003D1697"/>
    <w:rsid w:val="003D187E"/>
    <w:rsid w:val="003D188D"/>
    <w:rsid w:val="003D1AE9"/>
    <w:rsid w:val="003D1B9F"/>
    <w:rsid w:val="003D1BCE"/>
    <w:rsid w:val="003D1C81"/>
    <w:rsid w:val="003D1D6E"/>
    <w:rsid w:val="003D1D73"/>
    <w:rsid w:val="003D1E42"/>
    <w:rsid w:val="003D1E4B"/>
    <w:rsid w:val="003D1E85"/>
    <w:rsid w:val="003D2100"/>
    <w:rsid w:val="003D2493"/>
    <w:rsid w:val="003D2551"/>
    <w:rsid w:val="003D2766"/>
    <w:rsid w:val="003D2822"/>
    <w:rsid w:val="003D2865"/>
    <w:rsid w:val="003D28E0"/>
    <w:rsid w:val="003D2A74"/>
    <w:rsid w:val="003D2C66"/>
    <w:rsid w:val="003D2C6C"/>
    <w:rsid w:val="003D2E17"/>
    <w:rsid w:val="003D2ECD"/>
    <w:rsid w:val="003D3175"/>
    <w:rsid w:val="003D31CE"/>
    <w:rsid w:val="003D3302"/>
    <w:rsid w:val="003D33CB"/>
    <w:rsid w:val="003D366D"/>
    <w:rsid w:val="003D36F8"/>
    <w:rsid w:val="003D3745"/>
    <w:rsid w:val="003D3953"/>
    <w:rsid w:val="003D3ABA"/>
    <w:rsid w:val="003D3C33"/>
    <w:rsid w:val="003D3C7A"/>
    <w:rsid w:val="003D3CFB"/>
    <w:rsid w:val="003D3D88"/>
    <w:rsid w:val="003D3E8F"/>
    <w:rsid w:val="003D3F55"/>
    <w:rsid w:val="003D3FA0"/>
    <w:rsid w:val="003D3FCB"/>
    <w:rsid w:val="003D404B"/>
    <w:rsid w:val="003D404F"/>
    <w:rsid w:val="003D41E4"/>
    <w:rsid w:val="003D41F2"/>
    <w:rsid w:val="003D4202"/>
    <w:rsid w:val="003D431B"/>
    <w:rsid w:val="003D43C5"/>
    <w:rsid w:val="003D444A"/>
    <w:rsid w:val="003D44D8"/>
    <w:rsid w:val="003D454C"/>
    <w:rsid w:val="003D4907"/>
    <w:rsid w:val="003D4BA9"/>
    <w:rsid w:val="003D4BD9"/>
    <w:rsid w:val="003D4CDE"/>
    <w:rsid w:val="003D4D35"/>
    <w:rsid w:val="003D4D4A"/>
    <w:rsid w:val="003D4DCF"/>
    <w:rsid w:val="003D4E1F"/>
    <w:rsid w:val="003D5090"/>
    <w:rsid w:val="003D51BE"/>
    <w:rsid w:val="003D52A5"/>
    <w:rsid w:val="003D53A8"/>
    <w:rsid w:val="003D54EB"/>
    <w:rsid w:val="003D56C3"/>
    <w:rsid w:val="003D5732"/>
    <w:rsid w:val="003D57D2"/>
    <w:rsid w:val="003D57E9"/>
    <w:rsid w:val="003D588D"/>
    <w:rsid w:val="003D58DA"/>
    <w:rsid w:val="003D58F5"/>
    <w:rsid w:val="003D5AFB"/>
    <w:rsid w:val="003D5B00"/>
    <w:rsid w:val="003D5BE1"/>
    <w:rsid w:val="003D5D7C"/>
    <w:rsid w:val="003D5E0B"/>
    <w:rsid w:val="003D5F0F"/>
    <w:rsid w:val="003D5F47"/>
    <w:rsid w:val="003D5FAF"/>
    <w:rsid w:val="003D5FD5"/>
    <w:rsid w:val="003D5FD7"/>
    <w:rsid w:val="003D60F7"/>
    <w:rsid w:val="003D615D"/>
    <w:rsid w:val="003D6475"/>
    <w:rsid w:val="003D6587"/>
    <w:rsid w:val="003D6A08"/>
    <w:rsid w:val="003D6BB5"/>
    <w:rsid w:val="003D6BDB"/>
    <w:rsid w:val="003D6CAF"/>
    <w:rsid w:val="003D6EE6"/>
    <w:rsid w:val="003D6FDC"/>
    <w:rsid w:val="003D72B7"/>
    <w:rsid w:val="003D76D6"/>
    <w:rsid w:val="003D7741"/>
    <w:rsid w:val="003D77F3"/>
    <w:rsid w:val="003D782E"/>
    <w:rsid w:val="003D7960"/>
    <w:rsid w:val="003D7AB4"/>
    <w:rsid w:val="003D7B23"/>
    <w:rsid w:val="003D7C21"/>
    <w:rsid w:val="003D7FAB"/>
    <w:rsid w:val="003E0093"/>
    <w:rsid w:val="003E024B"/>
    <w:rsid w:val="003E0283"/>
    <w:rsid w:val="003E02E0"/>
    <w:rsid w:val="003E03E9"/>
    <w:rsid w:val="003E0462"/>
    <w:rsid w:val="003E0477"/>
    <w:rsid w:val="003E0494"/>
    <w:rsid w:val="003E0552"/>
    <w:rsid w:val="003E05A4"/>
    <w:rsid w:val="003E0611"/>
    <w:rsid w:val="003E06AE"/>
    <w:rsid w:val="003E08A2"/>
    <w:rsid w:val="003E0A28"/>
    <w:rsid w:val="003E0A36"/>
    <w:rsid w:val="003E0A42"/>
    <w:rsid w:val="003E0A53"/>
    <w:rsid w:val="003E0C1D"/>
    <w:rsid w:val="003E0C2F"/>
    <w:rsid w:val="003E0C3B"/>
    <w:rsid w:val="003E0C4F"/>
    <w:rsid w:val="003E0D45"/>
    <w:rsid w:val="003E0DA5"/>
    <w:rsid w:val="003E0DCB"/>
    <w:rsid w:val="003E0F01"/>
    <w:rsid w:val="003E0FA1"/>
    <w:rsid w:val="003E1091"/>
    <w:rsid w:val="003E1097"/>
    <w:rsid w:val="003E1209"/>
    <w:rsid w:val="003E1237"/>
    <w:rsid w:val="003E12E3"/>
    <w:rsid w:val="003E135D"/>
    <w:rsid w:val="003E1435"/>
    <w:rsid w:val="003E1506"/>
    <w:rsid w:val="003E1584"/>
    <w:rsid w:val="003E1608"/>
    <w:rsid w:val="003E1695"/>
    <w:rsid w:val="003E1724"/>
    <w:rsid w:val="003E178E"/>
    <w:rsid w:val="003E17AB"/>
    <w:rsid w:val="003E1832"/>
    <w:rsid w:val="003E1B08"/>
    <w:rsid w:val="003E1B27"/>
    <w:rsid w:val="003E1C32"/>
    <w:rsid w:val="003E1C8A"/>
    <w:rsid w:val="003E1C8F"/>
    <w:rsid w:val="003E1C91"/>
    <w:rsid w:val="003E1CA9"/>
    <w:rsid w:val="003E1CC3"/>
    <w:rsid w:val="003E1CE1"/>
    <w:rsid w:val="003E1D20"/>
    <w:rsid w:val="003E1E40"/>
    <w:rsid w:val="003E20E7"/>
    <w:rsid w:val="003E213B"/>
    <w:rsid w:val="003E22E8"/>
    <w:rsid w:val="003E2395"/>
    <w:rsid w:val="003E249A"/>
    <w:rsid w:val="003E254F"/>
    <w:rsid w:val="003E256B"/>
    <w:rsid w:val="003E25DE"/>
    <w:rsid w:val="003E2844"/>
    <w:rsid w:val="003E29F3"/>
    <w:rsid w:val="003E2B8F"/>
    <w:rsid w:val="003E2BD3"/>
    <w:rsid w:val="003E2EAA"/>
    <w:rsid w:val="003E2F88"/>
    <w:rsid w:val="003E305C"/>
    <w:rsid w:val="003E3130"/>
    <w:rsid w:val="003E318F"/>
    <w:rsid w:val="003E31AD"/>
    <w:rsid w:val="003E328D"/>
    <w:rsid w:val="003E33A2"/>
    <w:rsid w:val="003E33FF"/>
    <w:rsid w:val="003E3428"/>
    <w:rsid w:val="003E356B"/>
    <w:rsid w:val="003E375C"/>
    <w:rsid w:val="003E3825"/>
    <w:rsid w:val="003E3965"/>
    <w:rsid w:val="003E396A"/>
    <w:rsid w:val="003E399B"/>
    <w:rsid w:val="003E39A6"/>
    <w:rsid w:val="003E3BB7"/>
    <w:rsid w:val="003E3CC4"/>
    <w:rsid w:val="003E3DFF"/>
    <w:rsid w:val="003E3E0A"/>
    <w:rsid w:val="003E3E1B"/>
    <w:rsid w:val="003E3E5E"/>
    <w:rsid w:val="003E3F86"/>
    <w:rsid w:val="003E3FF3"/>
    <w:rsid w:val="003E4086"/>
    <w:rsid w:val="003E429A"/>
    <w:rsid w:val="003E43F4"/>
    <w:rsid w:val="003E44C8"/>
    <w:rsid w:val="003E4507"/>
    <w:rsid w:val="003E4555"/>
    <w:rsid w:val="003E45DD"/>
    <w:rsid w:val="003E4632"/>
    <w:rsid w:val="003E4658"/>
    <w:rsid w:val="003E49BC"/>
    <w:rsid w:val="003E4A0A"/>
    <w:rsid w:val="003E4A14"/>
    <w:rsid w:val="003E4A1B"/>
    <w:rsid w:val="003E4B0A"/>
    <w:rsid w:val="003E4BD8"/>
    <w:rsid w:val="003E4CCF"/>
    <w:rsid w:val="003E4E58"/>
    <w:rsid w:val="003E4E74"/>
    <w:rsid w:val="003E4FE1"/>
    <w:rsid w:val="003E5168"/>
    <w:rsid w:val="003E51EA"/>
    <w:rsid w:val="003E5203"/>
    <w:rsid w:val="003E5226"/>
    <w:rsid w:val="003E522B"/>
    <w:rsid w:val="003E5391"/>
    <w:rsid w:val="003E54D2"/>
    <w:rsid w:val="003E54F1"/>
    <w:rsid w:val="003E5537"/>
    <w:rsid w:val="003E5750"/>
    <w:rsid w:val="003E57F4"/>
    <w:rsid w:val="003E59B1"/>
    <w:rsid w:val="003E59E7"/>
    <w:rsid w:val="003E5A8E"/>
    <w:rsid w:val="003E5A9A"/>
    <w:rsid w:val="003E5AFA"/>
    <w:rsid w:val="003E5B63"/>
    <w:rsid w:val="003E5C52"/>
    <w:rsid w:val="003E5D9E"/>
    <w:rsid w:val="003E5E68"/>
    <w:rsid w:val="003E5F32"/>
    <w:rsid w:val="003E6082"/>
    <w:rsid w:val="003E60D8"/>
    <w:rsid w:val="003E6127"/>
    <w:rsid w:val="003E61CB"/>
    <w:rsid w:val="003E6333"/>
    <w:rsid w:val="003E639E"/>
    <w:rsid w:val="003E64F8"/>
    <w:rsid w:val="003E655E"/>
    <w:rsid w:val="003E65AE"/>
    <w:rsid w:val="003E661B"/>
    <w:rsid w:val="003E666C"/>
    <w:rsid w:val="003E683C"/>
    <w:rsid w:val="003E68DD"/>
    <w:rsid w:val="003E6A07"/>
    <w:rsid w:val="003E6BF3"/>
    <w:rsid w:val="003E6E11"/>
    <w:rsid w:val="003E6F1B"/>
    <w:rsid w:val="003E6F47"/>
    <w:rsid w:val="003E7002"/>
    <w:rsid w:val="003E71E5"/>
    <w:rsid w:val="003E7225"/>
    <w:rsid w:val="003E7237"/>
    <w:rsid w:val="003E72F4"/>
    <w:rsid w:val="003E7335"/>
    <w:rsid w:val="003E7446"/>
    <w:rsid w:val="003E7591"/>
    <w:rsid w:val="003E7632"/>
    <w:rsid w:val="003E76B3"/>
    <w:rsid w:val="003E7727"/>
    <w:rsid w:val="003E773D"/>
    <w:rsid w:val="003E7833"/>
    <w:rsid w:val="003E7955"/>
    <w:rsid w:val="003E7997"/>
    <w:rsid w:val="003E7A94"/>
    <w:rsid w:val="003E7AC7"/>
    <w:rsid w:val="003E7AF9"/>
    <w:rsid w:val="003E7D3E"/>
    <w:rsid w:val="003E7D46"/>
    <w:rsid w:val="003E7D8D"/>
    <w:rsid w:val="003F0106"/>
    <w:rsid w:val="003F0188"/>
    <w:rsid w:val="003F0250"/>
    <w:rsid w:val="003F033E"/>
    <w:rsid w:val="003F03F4"/>
    <w:rsid w:val="003F0435"/>
    <w:rsid w:val="003F0445"/>
    <w:rsid w:val="003F04A9"/>
    <w:rsid w:val="003F06F0"/>
    <w:rsid w:val="003F0739"/>
    <w:rsid w:val="003F08CD"/>
    <w:rsid w:val="003F094D"/>
    <w:rsid w:val="003F09C7"/>
    <w:rsid w:val="003F0A72"/>
    <w:rsid w:val="003F0B26"/>
    <w:rsid w:val="003F0B5A"/>
    <w:rsid w:val="003F0CF0"/>
    <w:rsid w:val="003F0DE4"/>
    <w:rsid w:val="003F0E8B"/>
    <w:rsid w:val="003F0F26"/>
    <w:rsid w:val="003F0F42"/>
    <w:rsid w:val="003F10FF"/>
    <w:rsid w:val="003F116E"/>
    <w:rsid w:val="003F1297"/>
    <w:rsid w:val="003F1409"/>
    <w:rsid w:val="003F1471"/>
    <w:rsid w:val="003F14B1"/>
    <w:rsid w:val="003F14E8"/>
    <w:rsid w:val="003F150B"/>
    <w:rsid w:val="003F15E7"/>
    <w:rsid w:val="003F1630"/>
    <w:rsid w:val="003F1855"/>
    <w:rsid w:val="003F188B"/>
    <w:rsid w:val="003F18F8"/>
    <w:rsid w:val="003F1984"/>
    <w:rsid w:val="003F1A64"/>
    <w:rsid w:val="003F1B7E"/>
    <w:rsid w:val="003F1C5E"/>
    <w:rsid w:val="003F1CE4"/>
    <w:rsid w:val="003F1CE9"/>
    <w:rsid w:val="003F1EDA"/>
    <w:rsid w:val="003F2068"/>
    <w:rsid w:val="003F21F2"/>
    <w:rsid w:val="003F22AF"/>
    <w:rsid w:val="003F24A4"/>
    <w:rsid w:val="003F264C"/>
    <w:rsid w:val="003F267A"/>
    <w:rsid w:val="003F2847"/>
    <w:rsid w:val="003F2861"/>
    <w:rsid w:val="003F28BB"/>
    <w:rsid w:val="003F29EB"/>
    <w:rsid w:val="003F2B20"/>
    <w:rsid w:val="003F2B63"/>
    <w:rsid w:val="003F2C60"/>
    <w:rsid w:val="003F2C9F"/>
    <w:rsid w:val="003F2D13"/>
    <w:rsid w:val="003F2D4D"/>
    <w:rsid w:val="003F2DC3"/>
    <w:rsid w:val="003F2DFD"/>
    <w:rsid w:val="003F307F"/>
    <w:rsid w:val="003F3141"/>
    <w:rsid w:val="003F3169"/>
    <w:rsid w:val="003F3184"/>
    <w:rsid w:val="003F3251"/>
    <w:rsid w:val="003F3289"/>
    <w:rsid w:val="003F328F"/>
    <w:rsid w:val="003F32EF"/>
    <w:rsid w:val="003F33C9"/>
    <w:rsid w:val="003F33EB"/>
    <w:rsid w:val="003F3458"/>
    <w:rsid w:val="003F349B"/>
    <w:rsid w:val="003F34CA"/>
    <w:rsid w:val="003F351D"/>
    <w:rsid w:val="003F357B"/>
    <w:rsid w:val="003F358F"/>
    <w:rsid w:val="003F362C"/>
    <w:rsid w:val="003F3725"/>
    <w:rsid w:val="003F37BB"/>
    <w:rsid w:val="003F3845"/>
    <w:rsid w:val="003F3852"/>
    <w:rsid w:val="003F39AB"/>
    <w:rsid w:val="003F39DB"/>
    <w:rsid w:val="003F39F0"/>
    <w:rsid w:val="003F3BB8"/>
    <w:rsid w:val="003F3C62"/>
    <w:rsid w:val="003F3EF5"/>
    <w:rsid w:val="003F3F65"/>
    <w:rsid w:val="003F3F98"/>
    <w:rsid w:val="003F40CA"/>
    <w:rsid w:val="003F4100"/>
    <w:rsid w:val="003F4151"/>
    <w:rsid w:val="003F4154"/>
    <w:rsid w:val="003F41F2"/>
    <w:rsid w:val="003F43EB"/>
    <w:rsid w:val="003F450B"/>
    <w:rsid w:val="003F458C"/>
    <w:rsid w:val="003F477E"/>
    <w:rsid w:val="003F478D"/>
    <w:rsid w:val="003F4847"/>
    <w:rsid w:val="003F48FF"/>
    <w:rsid w:val="003F4ACD"/>
    <w:rsid w:val="003F4AF2"/>
    <w:rsid w:val="003F4B75"/>
    <w:rsid w:val="003F4B9F"/>
    <w:rsid w:val="003F4DD2"/>
    <w:rsid w:val="003F4E3B"/>
    <w:rsid w:val="003F4E8D"/>
    <w:rsid w:val="003F52D8"/>
    <w:rsid w:val="003F533C"/>
    <w:rsid w:val="003F5418"/>
    <w:rsid w:val="003F5594"/>
    <w:rsid w:val="003F55A8"/>
    <w:rsid w:val="003F55B3"/>
    <w:rsid w:val="003F579E"/>
    <w:rsid w:val="003F57AC"/>
    <w:rsid w:val="003F5929"/>
    <w:rsid w:val="003F5AD8"/>
    <w:rsid w:val="003F5ADE"/>
    <w:rsid w:val="003F5C62"/>
    <w:rsid w:val="003F5CB9"/>
    <w:rsid w:val="003F5D38"/>
    <w:rsid w:val="003F5E15"/>
    <w:rsid w:val="003F5E6A"/>
    <w:rsid w:val="003F5EDD"/>
    <w:rsid w:val="003F60C7"/>
    <w:rsid w:val="003F60D1"/>
    <w:rsid w:val="003F6105"/>
    <w:rsid w:val="003F612B"/>
    <w:rsid w:val="003F61EB"/>
    <w:rsid w:val="003F6314"/>
    <w:rsid w:val="003F6417"/>
    <w:rsid w:val="003F6439"/>
    <w:rsid w:val="003F658B"/>
    <w:rsid w:val="003F696E"/>
    <w:rsid w:val="003F6AE8"/>
    <w:rsid w:val="003F6D2E"/>
    <w:rsid w:val="003F6D58"/>
    <w:rsid w:val="003F6E7E"/>
    <w:rsid w:val="003F6EAE"/>
    <w:rsid w:val="003F6ED1"/>
    <w:rsid w:val="003F6ED7"/>
    <w:rsid w:val="003F6EDE"/>
    <w:rsid w:val="003F6EFF"/>
    <w:rsid w:val="003F6F0B"/>
    <w:rsid w:val="003F7005"/>
    <w:rsid w:val="003F7006"/>
    <w:rsid w:val="003F70B2"/>
    <w:rsid w:val="003F71E3"/>
    <w:rsid w:val="003F73EB"/>
    <w:rsid w:val="003F7442"/>
    <w:rsid w:val="003F746A"/>
    <w:rsid w:val="003F7813"/>
    <w:rsid w:val="003F7893"/>
    <w:rsid w:val="003F7909"/>
    <w:rsid w:val="003F7921"/>
    <w:rsid w:val="003F7A4B"/>
    <w:rsid w:val="003F7C98"/>
    <w:rsid w:val="003F7D78"/>
    <w:rsid w:val="003F7D7C"/>
    <w:rsid w:val="003F7E7A"/>
    <w:rsid w:val="003F7E9D"/>
    <w:rsid w:val="00400000"/>
    <w:rsid w:val="0040010C"/>
    <w:rsid w:val="004001BE"/>
    <w:rsid w:val="00400353"/>
    <w:rsid w:val="00400387"/>
    <w:rsid w:val="0040039F"/>
    <w:rsid w:val="004004D6"/>
    <w:rsid w:val="00400504"/>
    <w:rsid w:val="00400547"/>
    <w:rsid w:val="0040056F"/>
    <w:rsid w:val="00400625"/>
    <w:rsid w:val="00400651"/>
    <w:rsid w:val="004006CE"/>
    <w:rsid w:val="004007B5"/>
    <w:rsid w:val="0040083F"/>
    <w:rsid w:val="00400B02"/>
    <w:rsid w:val="00400B16"/>
    <w:rsid w:val="00400FB4"/>
    <w:rsid w:val="00401042"/>
    <w:rsid w:val="00401053"/>
    <w:rsid w:val="00401178"/>
    <w:rsid w:val="004011CE"/>
    <w:rsid w:val="004012EA"/>
    <w:rsid w:val="004012EE"/>
    <w:rsid w:val="0040136B"/>
    <w:rsid w:val="004013C7"/>
    <w:rsid w:val="004017A8"/>
    <w:rsid w:val="004017D8"/>
    <w:rsid w:val="004017EF"/>
    <w:rsid w:val="00401915"/>
    <w:rsid w:val="00401A98"/>
    <w:rsid w:val="00401B05"/>
    <w:rsid w:val="00401C67"/>
    <w:rsid w:val="00401C93"/>
    <w:rsid w:val="00401D2B"/>
    <w:rsid w:val="00401DF9"/>
    <w:rsid w:val="00401E86"/>
    <w:rsid w:val="00401ED4"/>
    <w:rsid w:val="00401EE2"/>
    <w:rsid w:val="00401F33"/>
    <w:rsid w:val="00401FCF"/>
    <w:rsid w:val="004020EA"/>
    <w:rsid w:val="00402193"/>
    <w:rsid w:val="0040232F"/>
    <w:rsid w:val="004024FC"/>
    <w:rsid w:val="00402984"/>
    <w:rsid w:val="00402AD8"/>
    <w:rsid w:val="00402CD1"/>
    <w:rsid w:val="00402E2A"/>
    <w:rsid w:val="00402EA9"/>
    <w:rsid w:val="00402ED2"/>
    <w:rsid w:val="00403014"/>
    <w:rsid w:val="0040302D"/>
    <w:rsid w:val="00403091"/>
    <w:rsid w:val="00403104"/>
    <w:rsid w:val="004032A8"/>
    <w:rsid w:val="00403398"/>
    <w:rsid w:val="0040339D"/>
    <w:rsid w:val="0040348C"/>
    <w:rsid w:val="00403666"/>
    <w:rsid w:val="0040366B"/>
    <w:rsid w:val="0040374D"/>
    <w:rsid w:val="0040388A"/>
    <w:rsid w:val="004038BB"/>
    <w:rsid w:val="004038CF"/>
    <w:rsid w:val="0040390A"/>
    <w:rsid w:val="00403A40"/>
    <w:rsid w:val="00403A8C"/>
    <w:rsid w:val="00403AE5"/>
    <w:rsid w:val="00403BD8"/>
    <w:rsid w:val="00403BF4"/>
    <w:rsid w:val="00403C00"/>
    <w:rsid w:val="00403C92"/>
    <w:rsid w:val="00403CE1"/>
    <w:rsid w:val="00403D05"/>
    <w:rsid w:val="00403EAE"/>
    <w:rsid w:val="00403EE5"/>
    <w:rsid w:val="00403FBD"/>
    <w:rsid w:val="00404055"/>
    <w:rsid w:val="00404110"/>
    <w:rsid w:val="0040414B"/>
    <w:rsid w:val="0040423D"/>
    <w:rsid w:val="004043DB"/>
    <w:rsid w:val="0040442E"/>
    <w:rsid w:val="0040465A"/>
    <w:rsid w:val="00404670"/>
    <w:rsid w:val="0040477F"/>
    <w:rsid w:val="00404900"/>
    <w:rsid w:val="00404932"/>
    <w:rsid w:val="00404B59"/>
    <w:rsid w:val="00404C3C"/>
    <w:rsid w:val="00404E59"/>
    <w:rsid w:val="00404F75"/>
    <w:rsid w:val="00404F8C"/>
    <w:rsid w:val="00404F9E"/>
    <w:rsid w:val="004050C7"/>
    <w:rsid w:val="0040527A"/>
    <w:rsid w:val="004052BF"/>
    <w:rsid w:val="00405368"/>
    <w:rsid w:val="004053F8"/>
    <w:rsid w:val="00405473"/>
    <w:rsid w:val="004055A8"/>
    <w:rsid w:val="00405646"/>
    <w:rsid w:val="004057B9"/>
    <w:rsid w:val="004058C7"/>
    <w:rsid w:val="004058EB"/>
    <w:rsid w:val="004058FD"/>
    <w:rsid w:val="00405964"/>
    <w:rsid w:val="00405D16"/>
    <w:rsid w:val="00405E16"/>
    <w:rsid w:val="00405E3A"/>
    <w:rsid w:val="00405E5C"/>
    <w:rsid w:val="00405F26"/>
    <w:rsid w:val="00405F75"/>
    <w:rsid w:val="00406112"/>
    <w:rsid w:val="00406285"/>
    <w:rsid w:val="0040635C"/>
    <w:rsid w:val="004063E3"/>
    <w:rsid w:val="004063F7"/>
    <w:rsid w:val="00406414"/>
    <w:rsid w:val="00406534"/>
    <w:rsid w:val="004065FE"/>
    <w:rsid w:val="0040663D"/>
    <w:rsid w:val="00406755"/>
    <w:rsid w:val="004069ED"/>
    <w:rsid w:val="00406A1B"/>
    <w:rsid w:val="00406CCA"/>
    <w:rsid w:val="00406CFD"/>
    <w:rsid w:val="00406D10"/>
    <w:rsid w:val="00406EA6"/>
    <w:rsid w:val="004071B9"/>
    <w:rsid w:val="00407208"/>
    <w:rsid w:val="00407244"/>
    <w:rsid w:val="00407498"/>
    <w:rsid w:val="004074D5"/>
    <w:rsid w:val="004076F2"/>
    <w:rsid w:val="00407700"/>
    <w:rsid w:val="0040799F"/>
    <w:rsid w:val="00407A84"/>
    <w:rsid w:val="00407CA2"/>
    <w:rsid w:val="00407D06"/>
    <w:rsid w:val="00407DC8"/>
    <w:rsid w:val="00407EA6"/>
    <w:rsid w:val="00407FBA"/>
    <w:rsid w:val="00410015"/>
    <w:rsid w:val="004102C6"/>
    <w:rsid w:val="004102FB"/>
    <w:rsid w:val="004106C5"/>
    <w:rsid w:val="00410708"/>
    <w:rsid w:val="00410789"/>
    <w:rsid w:val="004109DC"/>
    <w:rsid w:val="00410ABB"/>
    <w:rsid w:val="00410AE1"/>
    <w:rsid w:val="00410B94"/>
    <w:rsid w:val="00410BD4"/>
    <w:rsid w:val="00410BFC"/>
    <w:rsid w:val="00410C76"/>
    <w:rsid w:val="00410CB9"/>
    <w:rsid w:val="00410DDD"/>
    <w:rsid w:val="00410FA2"/>
    <w:rsid w:val="004110CD"/>
    <w:rsid w:val="00411151"/>
    <w:rsid w:val="004114B1"/>
    <w:rsid w:val="004114B6"/>
    <w:rsid w:val="004115A2"/>
    <w:rsid w:val="004115FB"/>
    <w:rsid w:val="0041164B"/>
    <w:rsid w:val="00411706"/>
    <w:rsid w:val="004117A8"/>
    <w:rsid w:val="004117DC"/>
    <w:rsid w:val="00411924"/>
    <w:rsid w:val="00411C54"/>
    <w:rsid w:val="00411C7E"/>
    <w:rsid w:val="00411D85"/>
    <w:rsid w:val="00411DE4"/>
    <w:rsid w:val="00411E33"/>
    <w:rsid w:val="00411F13"/>
    <w:rsid w:val="00411FCB"/>
    <w:rsid w:val="0041200A"/>
    <w:rsid w:val="00412078"/>
    <w:rsid w:val="00412121"/>
    <w:rsid w:val="00412255"/>
    <w:rsid w:val="004125B3"/>
    <w:rsid w:val="004127CC"/>
    <w:rsid w:val="00412817"/>
    <w:rsid w:val="00412984"/>
    <w:rsid w:val="00412AC2"/>
    <w:rsid w:val="00412BEB"/>
    <w:rsid w:val="00412C31"/>
    <w:rsid w:val="00412C71"/>
    <w:rsid w:val="00412CD1"/>
    <w:rsid w:val="00412CF2"/>
    <w:rsid w:val="00412D65"/>
    <w:rsid w:val="00412D9B"/>
    <w:rsid w:val="00412EA7"/>
    <w:rsid w:val="00413114"/>
    <w:rsid w:val="00413117"/>
    <w:rsid w:val="004133A8"/>
    <w:rsid w:val="004133BD"/>
    <w:rsid w:val="004136C3"/>
    <w:rsid w:val="00413789"/>
    <w:rsid w:val="004137AB"/>
    <w:rsid w:val="004137E1"/>
    <w:rsid w:val="004138E7"/>
    <w:rsid w:val="00413923"/>
    <w:rsid w:val="00413A7F"/>
    <w:rsid w:val="00413A87"/>
    <w:rsid w:val="00413AF1"/>
    <w:rsid w:val="00413AF7"/>
    <w:rsid w:val="00413D80"/>
    <w:rsid w:val="00413E48"/>
    <w:rsid w:val="00413E51"/>
    <w:rsid w:val="00413F88"/>
    <w:rsid w:val="00413FB0"/>
    <w:rsid w:val="004140DE"/>
    <w:rsid w:val="00414194"/>
    <w:rsid w:val="004142AC"/>
    <w:rsid w:val="004143BA"/>
    <w:rsid w:val="00414523"/>
    <w:rsid w:val="004148C3"/>
    <w:rsid w:val="004148D3"/>
    <w:rsid w:val="004148F9"/>
    <w:rsid w:val="004149C4"/>
    <w:rsid w:val="004149D5"/>
    <w:rsid w:val="00414A41"/>
    <w:rsid w:val="00414A9A"/>
    <w:rsid w:val="00414ABD"/>
    <w:rsid w:val="00414C32"/>
    <w:rsid w:val="00414C62"/>
    <w:rsid w:val="00414CBE"/>
    <w:rsid w:val="00414D14"/>
    <w:rsid w:val="00414E65"/>
    <w:rsid w:val="00415013"/>
    <w:rsid w:val="00415339"/>
    <w:rsid w:val="0041545F"/>
    <w:rsid w:val="004154ED"/>
    <w:rsid w:val="0041562C"/>
    <w:rsid w:val="00415645"/>
    <w:rsid w:val="0041569A"/>
    <w:rsid w:val="004156F8"/>
    <w:rsid w:val="00415929"/>
    <w:rsid w:val="00415946"/>
    <w:rsid w:val="0041595C"/>
    <w:rsid w:val="00415963"/>
    <w:rsid w:val="00415A24"/>
    <w:rsid w:val="00415A37"/>
    <w:rsid w:val="00415A61"/>
    <w:rsid w:val="00415C9F"/>
    <w:rsid w:val="00415D81"/>
    <w:rsid w:val="00415EE8"/>
    <w:rsid w:val="00415F67"/>
    <w:rsid w:val="00416072"/>
    <w:rsid w:val="00416074"/>
    <w:rsid w:val="004161A6"/>
    <w:rsid w:val="004161EE"/>
    <w:rsid w:val="004161F7"/>
    <w:rsid w:val="00416259"/>
    <w:rsid w:val="004162B9"/>
    <w:rsid w:val="004163BA"/>
    <w:rsid w:val="004163BE"/>
    <w:rsid w:val="004163E8"/>
    <w:rsid w:val="00416683"/>
    <w:rsid w:val="004167DB"/>
    <w:rsid w:val="0041696C"/>
    <w:rsid w:val="0041696F"/>
    <w:rsid w:val="00416C03"/>
    <w:rsid w:val="00416CE7"/>
    <w:rsid w:val="00416D13"/>
    <w:rsid w:val="00416D55"/>
    <w:rsid w:val="00416D6F"/>
    <w:rsid w:val="00416E40"/>
    <w:rsid w:val="004170A0"/>
    <w:rsid w:val="0041710F"/>
    <w:rsid w:val="00417159"/>
    <w:rsid w:val="00417350"/>
    <w:rsid w:val="00417487"/>
    <w:rsid w:val="004174B1"/>
    <w:rsid w:val="004176B8"/>
    <w:rsid w:val="004177C2"/>
    <w:rsid w:val="00417872"/>
    <w:rsid w:val="00417A14"/>
    <w:rsid w:val="00417A87"/>
    <w:rsid w:val="00417B2D"/>
    <w:rsid w:val="00417C59"/>
    <w:rsid w:val="00417C60"/>
    <w:rsid w:val="00417D01"/>
    <w:rsid w:val="00417D94"/>
    <w:rsid w:val="00417F3C"/>
    <w:rsid w:val="00417FEE"/>
    <w:rsid w:val="0042002E"/>
    <w:rsid w:val="00420150"/>
    <w:rsid w:val="00420160"/>
    <w:rsid w:val="00420177"/>
    <w:rsid w:val="004201AA"/>
    <w:rsid w:val="00420430"/>
    <w:rsid w:val="00420482"/>
    <w:rsid w:val="00420640"/>
    <w:rsid w:val="00420715"/>
    <w:rsid w:val="0042084E"/>
    <w:rsid w:val="0042091C"/>
    <w:rsid w:val="004209C0"/>
    <w:rsid w:val="00420A78"/>
    <w:rsid w:val="00420AC6"/>
    <w:rsid w:val="00420C43"/>
    <w:rsid w:val="00420CDF"/>
    <w:rsid w:val="00420DBF"/>
    <w:rsid w:val="00420DDE"/>
    <w:rsid w:val="00420E64"/>
    <w:rsid w:val="00420F9E"/>
    <w:rsid w:val="00421027"/>
    <w:rsid w:val="00421075"/>
    <w:rsid w:val="004210BC"/>
    <w:rsid w:val="00421390"/>
    <w:rsid w:val="00421399"/>
    <w:rsid w:val="004213F0"/>
    <w:rsid w:val="0042158A"/>
    <w:rsid w:val="00421870"/>
    <w:rsid w:val="004218E8"/>
    <w:rsid w:val="004218FE"/>
    <w:rsid w:val="00421A98"/>
    <w:rsid w:val="00421D64"/>
    <w:rsid w:val="00421D90"/>
    <w:rsid w:val="00421DA9"/>
    <w:rsid w:val="00421ED7"/>
    <w:rsid w:val="00421EE9"/>
    <w:rsid w:val="00421EEF"/>
    <w:rsid w:val="00422321"/>
    <w:rsid w:val="0042238F"/>
    <w:rsid w:val="004223F0"/>
    <w:rsid w:val="0042244A"/>
    <w:rsid w:val="00422663"/>
    <w:rsid w:val="0042269A"/>
    <w:rsid w:val="004226E5"/>
    <w:rsid w:val="00422712"/>
    <w:rsid w:val="00422863"/>
    <w:rsid w:val="00422A43"/>
    <w:rsid w:val="00422A99"/>
    <w:rsid w:val="00422D89"/>
    <w:rsid w:val="004231C2"/>
    <w:rsid w:val="00423224"/>
    <w:rsid w:val="00423293"/>
    <w:rsid w:val="00423299"/>
    <w:rsid w:val="00423300"/>
    <w:rsid w:val="0042331F"/>
    <w:rsid w:val="00423321"/>
    <w:rsid w:val="0042349A"/>
    <w:rsid w:val="004236CA"/>
    <w:rsid w:val="004237A5"/>
    <w:rsid w:val="004237AA"/>
    <w:rsid w:val="004237CA"/>
    <w:rsid w:val="00423811"/>
    <w:rsid w:val="00423925"/>
    <w:rsid w:val="004239D1"/>
    <w:rsid w:val="004239EB"/>
    <w:rsid w:val="00423A59"/>
    <w:rsid w:val="00423AB8"/>
    <w:rsid w:val="00423BC3"/>
    <w:rsid w:val="00423CED"/>
    <w:rsid w:val="00423EA1"/>
    <w:rsid w:val="004240AA"/>
    <w:rsid w:val="00424230"/>
    <w:rsid w:val="00424425"/>
    <w:rsid w:val="00424439"/>
    <w:rsid w:val="00424736"/>
    <w:rsid w:val="00424763"/>
    <w:rsid w:val="00424944"/>
    <w:rsid w:val="004249C1"/>
    <w:rsid w:val="004249C4"/>
    <w:rsid w:val="00424B5D"/>
    <w:rsid w:val="00424BD0"/>
    <w:rsid w:val="00424D4C"/>
    <w:rsid w:val="00424D65"/>
    <w:rsid w:val="00424D6A"/>
    <w:rsid w:val="00424DE3"/>
    <w:rsid w:val="00424DF1"/>
    <w:rsid w:val="00424E6D"/>
    <w:rsid w:val="0042513F"/>
    <w:rsid w:val="0042515C"/>
    <w:rsid w:val="00425292"/>
    <w:rsid w:val="0042533E"/>
    <w:rsid w:val="00425354"/>
    <w:rsid w:val="00425497"/>
    <w:rsid w:val="00425544"/>
    <w:rsid w:val="00425559"/>
    <w:rsid w:val="00425579"/>
    <w:rsid w:val="004255FF"/>
    <w:rsid w:val="00425610"/>
    <w:rsid w:val="00425628"/>
    <w:rsid w:val="0042567B"/>
    <w:rsid w:val="0042569D"/>
    <w:rsid w:val="00425723"/>
    <w:rsid w:val="00425753"/>
    <w:rsid w:val="004257ED"/>
    <w:rsid w:val="004259AB"/>
    <w:rsid w:val="00425A1F"/>
    <w:rsid w:val="00425A9E"/>
    <w:rsid w:val="00425E6B"/>
    <w:rsid w:val="00426049"/>
    <w:rsid w:val="0042605F"/>
    <w:rsid w:val="004260E9"/>
    <w:rsid w:val="004261EA"/>
    <w:rsid w:val="0042628F"/>
    <w:rsid w:val="004262BD"/>
    <w:rsid w:val="004262FE"/>
    <w:rsid w:val="00426477"/>
    <w:rsid w:val="0042648B"/>
    <w:rsid w:val="0042654D"/>
    <w:rsid w:val="0042661E"/>
    <w:rsid w:val="004267B1"/>
    <w:rsid w:val="00426AB7"/>
    <w:rsid w:val="00426CCB"/>
    <w:rsid w:val="00426E95"/>
    <w:rsid w:val="00426EC7"/>
    <w:rsid w:val="00426FFD"/>
    <w:rsid w:val="00427131"/>
    <w:rsid w:val="00427272"/>
    <w:rsid w:val="00427392"/>
    <w:rsid w:val="004273F2"/>
    <w:rsid w:val="0042746B"/>
    <w:rsid w:val="004274AB"/>
    <w:rsid w:val="004274EE"/>
    <w:rsid w:val="004274F2"/>
    <w:rsid w:val="00427586"/>
    <w:rsid w:val="00427629"/>
    <w:rsid w:val="004276AE"/>
    <w:rsid w:val="004276E6"/>
    <w:rsid w:val="0042773E"/>
    <w:rsid w:val="00427748"/>
    <w:rsid w:val="00427884"/>
    <w:rsid w:val="004278B4"/>
    <w:rsid w:val="004278C2"/>
    <w:rsid w:val="00427901"/>
    <w:rsid w:val="0042790D"/>
    <w:rsid w:val="00427A76"/>
    <w:rsid w:val="00427D56"/>
    <w:rsid w:val="00427E3E"/>
    <w:rsid w:val="00427E98"/>
    <w:rsid w:val="0043013E"/>
    <w:rsid w:val="00430185"/>
    <w:rsid w:val="00430235"/>
    <w:rsid w:val="00430393"/>
    <w:rsid w:val="004305A0"/>
    <w:rsid w:val="0043072E"/>
    <w:rsid w:val="0043098A"/>
    <w:rsid w:val="004309F3"/>
    <w:rsid w:val="00430A7E"/>
    <w:rsid w:val="00430B52"/>
    <w:rsid w:val="00430B66"/>
    <w:rsid w:val="00430CA4"/>
    <w:rsid w:val="00430CB8"/>
    <w:rsid w:val="00430CC7"/>
    <w:rsid w:val="00430D0F"/>
    <w:rsid w:val="00430DC8"/>
    <w:rsid w:val="00430F32"/>
    <w:rsid w:val="00430FC1"/>
    <w:rsid w:val="00431237"/>
    <w:rsid w:val="00431330"/>
    <w:rsid w:val="004314CA"/>
    <w:rsid w:val="0043163B"/>
    <w:rsid w:val="00431753"/>
    <w:rsid w:val="00431756"/>
    <w:rsid w:val="00431806"/>
    <w:rsid w:val="00431822"/>
    <w:rsid w:val="0043191B"/>
    <w:rsid w:val="00431A31"/>
    <w:rsid w:val="00431A40"/>
    <w:rsid w:val="00431A70"/>
    <w:rsid w:val="00431A8B"/>
    <w:rsid w:val="00431B6A"/>
    <w:rsid w:val="00431E1D"/>
    <w:rsid w:val="00431F42"/>
    <w:rsid w:val="00432038"/>
    <w:rsid w:val="004320BA"/>
    <w:rsid w:val="0043213A"/>
    <w:rsid w:val="0043214B"/>
    <w:rsid w:val="00432190"/>
    <w:rsid w:val="004323C8"/>
    <w:rsid w:val="00432569"/>
    <w:rsid w:val="0043256C"/>
    <w:rsid w:val="004325A0"/>
    <w:rsid w:val="00432639"/>
    <w:rsid w:val="004327CC"/>
    <w:rsid w:val="004327D6"/>
    <w:rsid w:val="004328E3"/>
    <w:rsid w:val="00432997"/>
    <w:rsid w:val="0043299B"/>
    <w:rsid w:val="004329C7"/>
    <w:rsid w:val="00432AE5"/>
    <w:rsid w:val="00432E34"/>
    <w:rsid w:val="004330DF"/>
    <w:rsid w:val="004330EB"/>
    <w:rsid w:val="00433177"/>
    <w:rsid w:val="00433200"/>
    <w:rsid w:val="00433322"/>
    <w:rsid w:val="00433480"/>
    <w:rsid w:val="004335B5"/>
    <w:rsid w:val="00433621"/>
    <w:rsid w:val="0043371D"/>
    <w:rsid w:val="00433921"/>
    <w:rsid w:val="00433B26"/>
    <w:rsid w:val="00433FF3"/>
    <w:rsid w:val="00434011"/>
    <w:rsid w:val="004340E8"/>
    <w:rsid w:val="0043412B"/>
    <w:rsid w:val="0043421C"/>
    <w:rsid w:val="0043439E"/>
    <w:rsid w:val="004343A5"/>
    <w:rsid w:val="00434483"/>
    <w:rsid w:val="004344B7"/>
    <w:rsid w:val="004348CD"/>
    <w:rsid w:val="004348FC"/>
    <w:rsid w:val="0043490F"/>
    <w:rsid w:val="00434A02"/>
    <w:rsid w:val="00434A4E"/>
    <w:rsid w:val="00434D04"/>
    <w:rsid w:val="00434D99"/>
    <w:rsid w:val="00434E12"/>
    <w:rsid w:val="00434F3B"/>
    <w:rsid w:val="00435147"/>
    <w:rsid w:val="00435213"/>
    <w:rsid w:val="00435513"/>
    <w:rsid w:val="0043567A"/>
    <w:rsid w:val="0043567F"/>
    <w:rsid w:val="0043568C"/>
    <w:rsid w:val="004356B2"/>
    <w:rsid w:val="004356D6"/>
    <w:rsid w:val="004359FC"/>
    <w:rsid w:val="00435B17"/>
    <w:rsid w:val="00435BA5"/>
    <w:rsid w:val="00435CFE"/>
    <w:rsid w:val="00435D20"/>
    <w:rsid w:val="00435E8D"/>
    <w:rsid w:val="00435E9A"/>
    <w:rsid w:val="00435F64"/>
    <w:rsid w:val="004360B5"/>
    <w:rsid w:val="00436158"/>
    <w:rsid w:val="0043624F"/>
    <w:rsid w:val="00436368"/>
    <w:rsid w:val="004363BC"/>
    <w:rsid w:val="004363F7"/>
    <w:rsid w:val="0043644A"/>
    <w:rsid w:val="00436699"/>
    <w:rsid w:val="004367A4"/>
    <w:rsid w:val="0043684A"/>
    <w:rsid w:val="0043692C"/>
    <w:rsid w:val="00436A71"/>
    <w:rsid w:val="00436B85"/>
    <w:rsid w:val="00436BFA"/>
    <w:rsid w:val="00436C36"/>
    <w:rsid w:val="00436C7C"/>
    <w:rsid w:val="00436CB2"/>
    <w:rsid w:val="00436CD1"/>
    <w:rsid w:val="00436CFB"/>
    <w:rsid w:val="00436DF0"/>
    <w:rsid w:val="00436F38"/>
    <w:rsid w:val="004370B9"/>
    <w:rsid w:val="0043711E"/>
    <w:rsid w:val="004371ED"/>
    <w:rsid w:val="00437311"/>
    <w:rsid w:val="00437358"/>
    <w:rsid w:val="00437376"/>
    <w:rsid w:val="00437493"/>
    <w:rsid w:val="00437654"/>
    <w:rsid w:val="0043778D"/>
    <w:rsid w:val="00437894"/>
    <w:rsid w:val="004378CE"/>
    <w:rsid w:val="00437D32"/>
    <w:rsid w:val="00437E78"/>
    <w:rsid w:val="00437F95"/>
    <w:rsid w:val="0043DDBE"/>
    <w:rsid w:val="004400C9"/>
    <w:rsid w:val="0044014B"/>
    <w:rsid w:val="004401A7"/>
    <w:rsid w:val="00440262"/>
    <w:rsid w:val="004402CD"/>
    <w:rsid w:val="0044046F"/>
    <w:rsid w:val="00440560"/>
    <w:rsid w:val="004405B8"/>
    <w:rsid w:val="004405CB"/>
    <w:rsid w:val="0044060A"/>
    <w:rsid w:val="0044068E"/>
    <w:rsid w:val="00440A89"/>
    <w:rsid w:val="00440ABE"/>
    <w:rsid w:val="00440BBB"/>
    <w:rsid w:val="00440BD8"/>
    <w:rsid w:val="00440E16"/>
    <w:rsid w:val="00440F5B"/>
    <w:rsid w:val="004410DE"/>
    <w:rsid w:val="00441203"/>
    <w:rsid w:val="004412B8"/>
    <w:rsid w:val="0044139D"/>
    <w:rsid w:val="0044142F"/>
    <w:rsid w:val="0044149A"/>
    <w:rsid w:val="00441702"/>
    <w:rsid w:val="00441715"/>
    <w:rsid w:val="00441878"/>
    <w:rsid w:val="004418DE"/>
    <w:rsid w:val="004419CC"/>
    <w:rsid w:val="00441A2F"/>
    <w:rsid w:val="00441AD0"/>
    <w:rsid w:val="00441AF2"/>
    <w:rsid w:val="00441C67"/>
    <w:rsid w:val="00441DFB"/>
    <w:rsid w:val="00441E00"/>
    <w:rsid w:val="00441E03"/>
    <w:rsid w:val="00441F14"/>
    <w:rsid w:val="00442026"/>
    <w:rsid w:val="0044220E"/>
    <w:rsid w:val="004422AF"/>
    <w:rsid w:val="00442332"/>
    <w:rsid w:val="00442411"/>
    <w:rsid w:val="0044276A"/>
    <w:rsid w:val="0044277F"/>
    <w:rsid w:val="004428B4"/>
    <w:rsid w:val="004428D6"/>
    <w:rsid w:val="00442996"/>
    <w:rsid w:val="00442A36"/>
    <w:rsid w:val="00442C6C"/>
    <w:rsid w:val="00442CDD"/>
    <w:rsid w:val="00442DCB"/>
    <w:rsid w:val="00442F6D"/>
    <w:rsid w:val="00442FF5"/>
    <w:rsid w:val="00443047"/>
    <w:rsid w:val="004430FB"/>
    <w:rsid w:val="00443165"/>
    <w:rsid w:val="0044320C"/>
    <w:rsid w:val="0044321B"/>
    <w:rsid w:val="0044335D"/>
    <w:rsid w:val="00443421"/>
    <w:rsid w:val="00443502"/>
    <w:rsid w:val="00443514"/>
    <w:rsid w:val="0044358C"/>
    <w:rsid w:val="0044364E"/>
    <w:rsid w:val="0044373E"/>
    <w:rsid w:val="0044378F"/>
    <w:rsid w:val="00443889"/>
    <w:rsid w:val="004438C9"/>
    <w:rsid w:val="004438D1"/>
    <w:rsid w:val="00443926"/>
    <w:rsid w:val="0044397C"/>
    <w:rsid w:val="004439A6"/>
    <w:rsid w:val="004439B7"/>
    <w:rsid w:val="00443B1E"/>
    <w:rsid w:val="00443B8C"/>
    <w:rsid w:val="00443BF0"/>
    <w:rsid w:val="00443CBE"/>
    <w:rsid w:val="00443E8A"/>
    <w:rsid w:val="00443F63"/>
    <w:rsid w:val="00443FAC"/>
    <w:rsid w:val="0044409A"/>
    <w:rsid w:val="0044410D"/>
    <w:rsid w:val="00444120"/>
    <w:rsid w:val="004441BC"/>
    <w:rsid w:val="0044423D"/>
    <w:rsid w:val="0044429C"/>
    <w:rsid w:val="004442B0"/>
    <w:rsid w:val="0044432A"/>
    <w:rsid w:val="004444C6"/>
    <w:rsid w:val="0044452E"/>
    <w:rsid w:val="00444554"/>
    <w:rsid w:val="004445C9"/>
    <w:rsid w:val="004445FB"/>
    <w:rsid w:val="004446B4"/>
    <w:rsid w:val="004448BD"/>
    <w:rsid w:val="004448C0"/>
    <w:rsid w:val="00444A46"/>
    <w:rsid w:val="00444AAF"/>
    <w:rsid w:val="00444BDC"/>
    <w:rsid w:val="00444CC8"/>
    <w:rsid w:val="00444F5C"/>
    <w:rsid w:val="00444F82"/>
    <w:rsid w:val="004450E1"/>
    <w:rsid w:val="00445110"/>
    <w:rsid w:val="0044514A"/>
    <w:rsid w:val="0044515E"/>
    <w:rsid w:val="004453D4"/>
    <w:rsid w:val="00445521"/>
    <w:rsid w:val="00445538"/>
    <w:rsid w:val="00445688"/>
    <w:rsid w:val="0044574A"/>
    <w:rsid w:val="0044579B"/>
    <w:rsid w:val="0044591A"/>
    <w:rsid w:val="004459E1"/>
    <w:rsid w:val="00445AF2"/>
    <w:rsid w:val="00445D52"/>
    <w:rsid w:val="00445DFD"/>
    <w:rsid w:val="00445F91"/>
    <w:rsid w:val="0044606F"/>
    <w:rsid w:val="004460E7"/>
    <w:rsid w:val="00446113"/>
    <w:rsid w:val="00446128"/>
    <w:rsid w:val="00446146"/>
    <w:rsid w:val="00446278"/>
    <w:rsid w:val="004464D9"/>
    <w:rsid w:val="00446706"/>
    <w:rsid w:val="0044682E"/>
    <w:rsid w:val="00446834"/>
    <w:rsid w:val="004468B4"/>
    <w:rsid w:val="0044692D"/>
    <w:rsid w:val="00446942"/>
    <w:rsid w:val="004469B3"/>
    <w:rsid w:val="00446B39"/>
    <w:rsid w:val="00446B90"/>
    <w:rsid w:val="00446BC5"/>
    <w:rsid w:val="00446C5C"/>
    <w:rsid w:val="00446D86"/>
    <w:rsid w:val="0044704E"/>
    <w:rsid w:val="004470F4"/>
    <w:rsid w:val="00447177"/>
    <w:rsid w:val="00447203"/>
    <w:rsid w:val="004472BE"/>
    <w:rsid w:val="0044735C"/>
    <w:rsid w:val="00447435"/>
    <w:rsid w:val="004475F8"/>
    <w:rsid w:val="00447615"/>
    <w:rsid w:val="0044765F"/>
    <w:rsid w:val="00447660"/>
    <w:rsid w:val="004476C1"/>
    <w:rsid w:val="004477EE"/>
    <w:rsid w:val="004477F3"/>
    <w:rsid w:val="00447831"/>
    <w:rsid w:val="004478EC"/>
    <w:rsid w:val="00447B29"/>
    <w:rsid w:val="00447D9A"/>
    <w:rsid w:val="00447E21"/>
    <w:rsid w:val="00447E7E"/>
    <w:rsid w:val="00447ED4"/>
    <w:rsid w:val="00447EFB"/>
    <w:rsid w:val="00449775"/>
    <w:rsid w:val="00450055"/>
    <w:rsid w:val="00450181"/>
    <w:rsid w:val="0045022D"/>
    <w:rsid w:val="0045030A"/>
    <w:rsid w:val="0045031B"/>
    <w:rsid w:val="00450460"/>
    <w:rsid w:val="0045047E"/>
    <w:rsid w:val="00450559"/>
    <w:rsid w:val="00450785"/>
    <w:rsid w:val="00450894"/>
    <w:rsid w:val="0045097C"/>
    <w:rsid w:val="00450A9F"/>
    <w:rsid w:val="00450AA2"/>
    <w:rsid w:val="00450C40"/>
    <w:rsid w:val="00450C63"/>
    <w:rsid w:val="00450CE8"/>
    <w:rsid w:val="00450D63"/>
    <w:rsid w:val="00450DB8"/>
    <w:rsid w:val="00450E62"/>
    <w:rsid w:val="00450EBD"/>
    <w:rsid w:val="00450ED8"/>
    <w:rsid w:val="00450F4B"/>
    <w:rsid w:val="00450F78"/>
    <w:rsid w:val="00450F85"/>
    <w:rsid w:val="00450F88"/>
    <w:rsid w:val="00451048"/>
    <w:rsid w:val="004510B5"/>
    <w:rsid w:val="00451104"/>
    <w:rsid w:val="0045116B"/>
    <w:rsid w:val="004511FD"/>
    <w:rsid w:val="00451285"/>
    <w:rsid w:val="00451393"/>
    <w:rsid w:val="00451423"/>
    <w:rsid w:val="00451471"/>
    <w:rsid w:val="00451611"/>
    <w:rsid w:val="0045167C"/>
    <w:rsid w:val="00451696"/>
    <w:rsid w:val="00451700"/>
    <w:rsid w:val="004517BB"/>
    <w:rsid w:val="004517CF"/>
    <w:rsid w:val="004519C0"/>
    <w:rsid w:val="00451A08"/>
    <w:rsid w:val="00451B4C"/>
    <w:rsid w:val="00451BE2"/>
    <w:rsid w:val="00451C66"/>
    <w:rsid w:val="00451D4D"/>
    <w:rsid w:val="00451E15"/>
    <w:rsid w:val="00451E91"/>
    <w:rsid w:val="004520AD"/>
    <w:rsid w:val="0045210A"/>
    <w:rsid w:val="0045217F"/>
    <w:rsid w:val="004522B8"/>
    <w:rsid w:val="004522C2"/>
    <w:rsid w:val="0045230A"/>
    <w:rsid w:val="00452355"/>
    <w:rsid w:val="0045238E"/>
    <w:rsid w:val="004523E9"/>
    <w:rsid w:val="004524B2"/>
    <w:rsid w:val="004524DF"/>
    <w:rsid w:val="00452536"/>
    <w:rsid w:val="0045257D"/>
    <w:rsid w:val="00452679"/>
    <w:rsid w:val="004529D3"/>
    <w:rsid w:val="004529F6"/>
    <w:rsid w:val="00452A65"/>
    <w:rsid w:val="00452C12"/>
    <w:rsid w:val="00452CD5"/>
    <w:rsid w:val="00452CF3"/>
    <w:rsid w:val="0045304A"/>
    <w:rsid w:val="0045320E"/>
    <w:rsid w:val="00453278"/>
    <w:rsid w:val="0045352E"/>
    <w:rsid w:val="0045364E"/>
    <w:rsid w:val="00453675"/>
    <w:rsid w:val="00453751"/>
    <w:rsid w:val="0045379B"/>
    <w:rsid w:val="0045379C"/>
    <w:rsid w:val="004537CF"/>
    <w:rsid w:val="0045399C"/>
    <w:rsid w:val="00453A57"/>
    <w:rsid w:val="00453A72"/>
    <w:rsid w:val="00453A87"/>
    <w:rsid w:val="00453B3A"/>
    <w:rsid w:val="00453CBA"/>
    <w:rsid w:val="00453D33"/>
    <w:rsid w:val="004542A1"/>
    <w:rsid w:val="004542D3"/>
    <w:rsid w:val="004545C6"/>
    <w:rsid w:val="0045468D"/>
    <w:rsid w:val="004546B8"/>
    <w:rsid w:val="00454849"/>
    <w:rsid w:val="004549EC"/>
    <w:rsid w:val="00454A7D"/>
    <w:rsid w:val="00454AD0"/>
    <w:rsid w:val="00454ADB"/>
    <w:rsid w:val="00454AEB"/>
    <w:rsid w:val="00454D23"/>
    <w:rsid w:val="00454DEB"/>
    <w:rsid w:val="00454E96"/>
    <w:rsid w:val="00454F30"/>
    <w:rsid w:val="00454FF8"/>
    <w:rsid w:val="00455052"/>
    <w:rsid w:val="00455193"/>
    <w:rsid w:val="00455224"/>
    <w:rsid w:val="004553AA"/>
    <w:rsid w:val="004553E9"/>
    <w:rsid w:val="004554B5"/>
    <w:rsid w:val="00455628"/>
    <w:rsid w:val="00455693"/>
    <w:rsid w:val="004557F3"/>
    <w:rsid w:val="00455954"/>
    <w:rsid w:val="00455A35"/>
    <w:rsid w:val="00455B11"/>
    <w:rsid w:val="00455BFD"/>
    <w:rsid w:val="00455C24"/>
    <w:rsid w:val="00455C86"/>
    <w:rsid w:val="00455CBD"/>
    <w:rsid w:val="00455CE7"/>
    <w:rsid w:val="00455E8F"/>
    <w:rsid w:val="00455F15"/>
    <w:rsid w:val="00455FC5"/>
    <w:rsid w:val="00456135"/>
    <w:rsid w:val="00456257"/>
    <w:rsid w:val="00456352"/>
    <w:rsid w:val="00456524"/>
    <w:rsid w:val="00456535"/>
    <w:rsid w:val="004565AA"/>
    <w:rsid w:val="004565AD"/>
    <w:rsid w:val="004568AD"/>
    <w:rsid w:val="004569BC"/>
    <w:rsid w:val="00456A2B"/>
    <w:rsid w:val="00456B15"/>
    <w:rsid w:val="00456B6D"/>
    <w:rsid w:val="00456F6F"/>
    <w:rsid w:val="00457047"/>
    <w:rsid w:val="004570B4"/>
    <w:rsid w:val="004570F8"/>
    <w:rsid w:val="0045712B"/>
    <w:rsid w:val="0045717B"/>
    <w:rsid w:val="00457337"/>
    <w:rsid w:val="0045737C"/>
    <w:rsid w:val="00457395"/>
    <w:rsid w:val="004573DB"/>
    <w:rsid w:val="0045741F"/>
    <w:rsid w:val="00457597"/>
    <w:rsid w:val="00457639"/>
    <w:rsid w:val="00457678"/>
    <w:rsid w:val="004576B5"/>
    <w:rsid w:val="004576BD"/>
    <w:rsid w:val="00457730"/>
    <w:rsid w:val="004577BE"/>
    <w:rsid w:val="0045795B"/>
    <w:rsid w:val="00457AA1"/>
    <w:rsid w:val="00457BC6"/>
    <w:rsid w:val="00457BDE"/>
    <w:rsid w:val="00457C93"/>
    <w:rsid w:val="00457D44"/>
    <w:rsid w:val="00457DF2"/>
    <w:rsid w:val="00457EFD"/>
    <w:rsid w:val="00457FE8"/>
    <w:rsid w:val="00460016"/>
    <w:rsid w:val="00460191"/>
    <w:rsid w:val="0046019F"/>
    <w:rsid w:val="004601E5"/>
    <w:rsid w:val="00460207"/>
    <w:rsid w:val="004603BA"/>
    <w:rsid w:val="00460483"/>
    <w:rsid w:val="004609A7"/>
    <w:rsid w:val="00460B69"/>
    <w:rsid w:val="00460BA2"/>
    <w:rsid w:val="00460C27"/>
    <w:rsid w:val="00460CAC"/>
    <w:rsid w:val="00460D05"/>
    <w:rsid w:val="00460D66"/>
    <w:rsid w:val="00460DC8"/>
    <w:rsid w:val="00460E3C"/>
    <w:rsid w:val="00461052"/>
    <w:rsid w:val="0046113D"/>
    <w:rsid w:val="00461192"/>
    <w:rsid w:val="00461359"/>
    <w:rsid w:val="00461478"/>
    <w:rsid w:val="004615C6"/>
    <w:rsid w:val="004616D2"/>
    <w:rsid w:val="00461902"/>
    <w:rsid w:val="00461980"/>
    <w:rsid w:val="00461A0A"/>
    <w:rsid w:val="00461C3F"/>
    <w:rsid w:val="00461D06"/>
    <w:rsid w:val="00461D13"/>
    <w:rsid w:val="00461EC9"/>
    <w:rsid w:val="00461F66"/>
    <w:rsid w:val="00461F89"/>
    <w:rsid w:val="00462018"/>
    <w:rsid w:val="00462019"/>
    <w:rsid w:val="00462084"/>
    <w:rsid w:val="0046210B"/>
    <w:rsid w:val="0046221B"/>
    <w:rsid w:val="0046230A"/>
    <w:rsid w:val="0046233B"/>
    <w:rsid w:val="004623A0"/>
    <w:rsid w:val="00462514"/>
    <w:rsid w:val="004626B5"/>
    <w:rsid w:val="0046273D"/>
    <w:rsid w:val="00462853"/>
    <w:rsid w:val="0046287D"/>
    <w:rsid w:val="004628F7"/>
    <w:rsid w:val="00462A33"/>
    <w:rsid w:val="00462A75"/>
    <w:rsid w:val="00462B79"/>
    <w:rsid w:val="00462C89"/>
    <w:rsid w:val="00462DF9"/>
    <w:rsid w:val="00462E3D"/>
    <w:rsid w:val="00462EA5"/>
    <w:rsid w:val="00462F0B"/>
    <w:rsid w:val="00462F3B"/>
    <w:rsid w:val="00462F9A"/>
    <w:rsid w:val="004631B3"/>
    <w:rsid w:val="00463260"/>
    <w:rsid w:val="00463331"/>
    <w:rsid w:val="00463611"/>
    <w:rsid w:val="0046375F"/>
    <w:rsid w:val="0046384C"/>
    <w:rsid w:val="004638BD"/>
    <w:rsid w:val="00463AB7"/>
    <w:rsid w:val="00463B39"/>
    <w:rsid w:val="00463E52"/>
    <w:rsid w:val="00463EE8"/>
    <w:rsid w:val="0046401A"/>
    <w:rsid w:val="00464095"/>
    <w:rsid w:val="004641AD"/>
    <w:rsid w:val="004641D0"/>
    <w:rsid w:val="00464298"/>
    <w:rsid w:val="004642AF"/>
    <w:rsid w:val="004642C6"/>
    <w:rsid w:val="004642D2"/>
    <w:rsid w:val="00464333"/>
    <w:rsid w:val="00464491"/>
    <w:rsid w:val="004645B1"/>
    <w:rsid w:val="0046465B"/>
    <w:rsid w:val="00464840"/>
    <w:rsid w:val="00464850"/>
    <w:rsid w:val="00464925"/>
    <w:rsid w:val="00464AA7"/>
    <w:rsid w:val="00464B5C"/>
    <w:rsid w:val="00464D50"/>
    <w:rsid w:val="00464D76"/>
    <w:rsid w:val="00464DEC"/>
    <w:rsid w:val="00464DF6"/>
    <w:rsid w:val="00465023"/>
    <w:rsid w:val="004650BA"/>
    <w:rsid w:val="0046514D"/>
    <w:rsid w:val="004651D7"/>
    <w:rsid w:val="0046520C"/>
    <w:rsid w:val="00465289"/>
    <w:rsid w:val="004652EE"/>
    <w:rsid w:val="00465351"/>
    <w:rsid w:val="0046545D"/>
    <w:rsid w:val="00465540"/>
    <w:rsid w:val="0046554E"/>
    <w:rsid w:val="0046562A"/>
    <w:rsid w:val="00465640"/>
    <w:rsid w:val="0046567D"/>
    <w:rsid w:val="004656A5"/>
    <w:rsid w:val="00465724"/>
    <w:rsid w:val="004657C2"/>
    <w:rsid w:val="004657CA"/>
    <w:rsid w:val="00465919"/>
    <w:rsid w:val="00465B78"/>
    <w:rsid w:val="00465BD4"/>
    <w:rsid w:val="00465BEB"/>
    <w:rsid w:val="00465EC2"/>
    <w:rsid w:val="00465F58"/>
    <w:rsid w:val="0046606C"/>
    <w:rsid w:val="004660DA"/>
    <w:rsid w:val="0046628C"/>
    <w:rsid w:val="004664C7"/>
    <w:rsid w:val="0046651A"/>
    <w:rsid w:val="004665B7"/>
    <w:rsid w:val="004665F7"/>
    <w:rsid w:val="00466698"/>
    <w:rsid w:val="00466776"/>
    <w:rsid w:val="00466876"/>
    <w:rsid w:val="00466886"/>
    <w:rsid w:val="00466952"/>
    <w:rsid w:val="004669A7"/>
    <w:rsid w:val="004669FA"/>
    <w:rsid w:val="00466CDC"/>
    <w:rsid w:val="00466D33"/>
    <w:rsid w:val="00466D81"/>
    <w:rsid w:val="00466E24"/>
    <w:rsid w:val="00466E79"/>
    <w:rsid w:val="00466EF6"/>
    <w:rsid w:val="00466F1D"/>
    <w:rsid w:val="004670B4"/>
    <w:rsid w:val="0046716B"/>
    <w:rsid w:val="004672D4"/>
    <w:rsid w:val="00467322"/>
    <w:rsid w:val="00467612"/>
    <w:rsid w:val="00467750"/>
    <w:rsid w:val="004677D3"/>
    <w:rsid w:val="004677D8"/>
    <w:rsid w:val="00467841"/>
    <w:rsid w:val="0046789C"/>
    <w:rsid w:val="0046790B"/>
    <w:rsid w:val="00467A34"/>
    <w:rsid w:val="00467B2B"/>
    <w:rsid w:val="00467B9B"/>
    <w:rsid w:val="00467C1F"/>
    <w:rsid w:val="00467D79"/>
    <w:rsid w:val="00467D7E"/>
    <w:rsid w:val="0047001B"/>
    <w:rsid w:val="004700D0"/>
    <w:rsid w:val="00470138"/>
    <w:rsid w:val="004701CB"/>
    <w:rsid w:val="004701FD"/>
    <w:rsid w:val="00470221"/>
    <w:rsid w:val="00470270"/>
    <w:rsid w:val="00470397"/>
    <w:rsid w:val="004703F6"/>
    <w:rsid w:val="00470406"/>
    <w:rsid w:val="00470474"/>
    <w:rsid w:val="00470661"/>
    <w:rsid w:val="004706BF"/>
    <w:rsid w:val="0047088D"/>
    <w:rsid w:val="00470914"/>
    <w:rsid w:val="0047091E"/>
    <w:rsid w:val="00470B3D"/>
    <w:rsid w:val="00470C21"/>
    <w:rsid w:val="00470CD6"/>
    <w:rsid w:val="00470D7D"/>
    <w:rsid w:val="00470FA5"/>
    <w:rsid w:val="0047120F"/>
    <w:rsid w:val="004712A2"/>
    <w:rsid w:val="004714A9"/>
    <w:rsid w:val="0047150E"/>
    <w:rsid w:val="0047155B"/>
    <w:rsid w:val="0047156F"/>
    <w:rsid w:val="00471619"/>
    <w:rsid w:val="00471715"/>
    <w:rsid w:val="00471725"/>
    <w:rsid w:val="004718BC"/>
    <w:rsid w:val="004719E2"/>
    <w:rsid w:val="00471AC6"/>
    <w:rsid w:val="00471C74"/>
    <w:rsid w:val="00471DA3"/>
    <w:rsid w:val="00471ED1"/>
    <w:rsid w:val="00471F27"/>
    <w:rsid w:val="004720C2"/>
    <w:rsid w:val="004720E3"/>
    <w:rsid w:val="00472194"/>
    <w:rsid w:val="004721E5"/>
    <w:rsid w:val="004721FF"/>
    <w:rsid w:val="00472276"/>
    <w:rsid w:val="0047229F"/>
    <w:rsid w:val="00472384"/>
    <w:rsid w:val="00472465"/>
    <w:rsid w:val="0047246F"/>
    <w:rsid w:val="00472471"/>
    <w:rsid w:val="004724A2"/>
    <w:rsid w:val="004725B2"/>
    <w:rsid w:val="004725E5"/>
    <w:rsid w:val="0047260C"/>
    <w:rsid w:val="00472637"/>
    <w:rsid w:val="0047281B"/>
    <w:rsid w:val="00472856"/>
    <w:rsid w:val="004728D7"/>
    <w:rsid w:val="00472914"/>
    <w:rsid w:val="004729A8"/>
    <w:rsid w:val="00472B67"/>
    <w:rsid w:val="00472B84"/>
    <w:rsid w:val="00472DBA"/>
    <w:rsid w:val="00472DD8"/>
    <w:rsid w:val="004730AC"/>
    <w:rsid w:val="004731B5"/>
    <w:rsid w:val="004731B8"/>
    <w:rsid w:val="004734A0"/>
    <w:rsid w:val="00473578"/>
    <w:rsid w:val="004735DC"/>
    <w:rsid w:val="00473627"/>
    <w:rsid w:val="004736FB"/>
    <w:rsid w:val="0047372D"/>
    <w:rsid w:val="0047377C"/>
    <w:rsid w:val="0047387C"/>
    <w:rsid w:val="004738B9"/>
    <w:rsid w:val="0047398A"/>
    <w:rsid w:val="004739FA"/>
    <w:rsid w:val="00473BA3"/>
    <w:rsid w:val="00473C9B"/>
    <w:rsid w:val="00473D89"/>
    <w:rsid w:val="0047407C"/>
    <w:rsid w:val="00474095"/>
    <w:rsid w:val="004740FA"/>
    <w:rsid w:val="00474108"/>
    <w:rsid w:val="00474174"/>
    <w:rsid w:val="00474337"/>
    <w:rsid w:val="00474393"/>
    <w:rsid w:val="004743DD"/>
    <w:rsid w:val="004745B1"/>
    <w:rsid w:val="00474640"/>
    <w:rsid w:val="004746EC"/>
    <w:rsid w:val="00474A43"/>
    <w:rsid w:val="00474AB2"/>
    <w:rsid w:val="00474C85"/>
    <w:rsid w:val="00474CEA"/>
    <w:rsid w:val="00474D2D"/>
    <w:rsid w:val="00474D2F"/>
    <w:rsid w:val="00474DB4"/>
    <w:rsid w:val="00474F19"/>
    <w:rsid w:val="00474F1E"/>
    <w:rsid w:val="00474FD3"/>
    <w:rsid w:val="004750AA"/>
    <w:rsid w:val="00475117"/>
    <w:rsid w:val="0047515A"/>
    <w:rsid w:val="0047533F"/>
    <w:rsid w:val="00475422"/>
    <w:rsid w:val="00475433"/>
    <w:rsid w:val="004755A8"/>
    <w:rsid w:val="00475742"/>
    <w:rsid w:val="004757A4"/>
    <w:rsid w:val="004757B9"/>
    <w:rsid w:val="004758B3"/>
    <w:rsid w:val="004758D6"/>
    <w:rsid w:val="004758FD"/>
    <w:rsid w:val="00475914"/>
    <w:rsid w:val="004759E0"/>
    <w:rsid w:val="00475BC5"/>
    <w:rsid w:val="00475C38"/>
    <w:rsid w:val="00475CE8"/>
    <w:rsid w:val="00475EE2"/>
    <w:rsid w:val="00475EFE"/>
    <w:rsid w:val="00475F36"/>
    <w:rsid w:val="00475F6E"/>
    <w:rsid w:val="0047600B"/>
    <w:rsid w:val="004760A9"/>
    <w:rsid w:val="004760D9"/>
    <w:rsid w:val="0047611A"/>
    <w:rsid w:val="004761F3"/>
    <w:rsid w:val="0047623B"/>
    <w:rsid w:val="0047630D"/>
    <w:rsid w:val="0047668A"/>
    <w:rsid w:val="00476724"/>
    <w:rsid w:val="004767AC"/>
    <w:rsid w:val="004767B2"/>
    <w:rsid w:val="004767B6"/>
    <w:rsid w:val="004767CF"/>
    <w:rsid w:val="00476835"/>
    <w:rsid w:val="00476BAB"/>
    <w:rsid w:val="00476C54"/>
    <w:rsid w:val="00476CB7"/>
    <w:rsid w:val="00476F1F"/>
    <w:rsid w:val="004772AB"/>
    <w:rsid w:val="00477310"/>
    <w:rsid w:val="004773D2"/>
    <w:rsid w:val="00477489"/>
    <w:rsid w:val="00477491"/>
    <w:rsid w:val="004776B8"/>
    <w:rsid w:val="00477782"/>
    <w:rsid w:val="004777A6"/>
    <w:rsid w:val="0047785E"/>
    <w:rsid w:val="0047789E"/>
    <w:rsid w:val="004778D7"/>
    <w:rsid w:val="00477901"/>
    <w:rsid w:val="00477954"/>
    <w:rsid w:val="00477BC6"/>
    <w:rsid w:val="00477DE5"/>
    <w:rsid w:val="00477EAC"/>
    <w:rsid w:val="00477FE8"/>
    <w:rsid w:val="00480025"/>
    <w:rsid w:val="00480035"/>
    <w:rsid w:val="00480050"/>
    <w:rsid w:val="00480059"/>
    <w:rsid w:val="00480132"/>
    <w:rsid w:val="00480178"/>
    <w:rsid w:val="0048023B"/>
    <w:rsid w:val="004802A4"/>
    <w:rsid w:val="0048030C"/>
    <w:rsid w:val="004803BA"/>
    <w:rsid w:val="00480406"/>
    <w:rsid w:val="0048040F"/>
    <w:rsid w:val="00480410"/>
    <w:rsid w:val="0048046A"/>
    <w:rsid w:val="00480485"/>
    <w:rsid w:val="00480517"/>
    <w:rsid w:val="0048068E"/>
    <w:rsid w:val="004806D5"/>
    <w:rsid w:val="00480760"/>
    <w:rsid w:val="0048082E"/>
    <w:rsid w:val="00480895"/>
    <w:rsid w:val="0048092E"/>
    <w:rsid w:val="00480957"/>
    <w:rsid w:val="0048097A"/>
    <w:rsid w:val="00480A8E"/>
    <w:rsid w:val="00480AA9"/>
    <w:rsid w:val="00480B75"/>
    <w:rsid w:val="00480BD6"/>
    <w:rsid w:val="00480CF3"/>
    <w:rsid w:val="00480D0A"/>
    <w:rsid w:val="00480D6C"/>
    <w:rsid w:val="00480DFB"/>
    <w:rsid w:val="00480E35"/>
    <w:rsid w:val="004813D0"/>
    <w:rsid w:val="0048158E"/>
    <w:rsid w:val="004815E5"/>
    <w:rsid w:val="00481657"/>
    <w:rsid w:val="0048174F"/>
    <w:rsid w:val="004817A0"/>
    <w:rsid w:val="004817B7"/>
    <w:rsid w:val="00481863"/>
    <w:rsid w:val="00481AED"/>
    <w:rsid w:val="00481B59"/>
    <w:rsid w:val="00481B6C"/>
    <w:rsid w:val="00481BBD"/>
    <w:rsid w:val="00481CC5"/>
    <w:rsid w:val="00481D79"/>
    <w:rsid w:val="00481F9C"/>
    <w:rsid w:val="00482178"/>
    <w:rsid w:val="00482344"/>
    <w:rsid w:val="00482357"/>
    <w:rsid w:val="004823F5"/>
    <w:rsid w:val="00482601"/>
    <w:rsid w:val="0048284A"/>
    <w:rsid w:val="00482939"/>
    <w:rsid w:val="00482AC0"/>
    <w:rsid w:val="00482B49"/>
    <w:rsid w:val="00482CA3"/>
    <w:rsid w:val="00482D4E"/>
    <w:rsid w:val="00482F5C"/>
    <w:rsid w:val="00482FB8"/>
    <w:rsid w:val="00482FF9"/>
    <w:rsid w:val="00483007"/>
    <w:rsid w:val="0048329F"/>
    <w:rsid w:val="004834EC"/>
    <w:rsid w:val="0048351F"/>
    <w:rsid w:val="00483644"/>
    <w:rsid w:val="00483689"/>
    <w:rsid w:val="004836E0"/>
    <w:rsid w:val="00483808"/>
    <w:rsid w:val="00483968"/>
    <w:rsid w:val="0048396F"/>
    <w:rsid w:val="004839EE"/>
    <w:rsid w:val="00483A22"/>
    <w:rsid w:val="00483CE7"/>
    <w:rsid w:val="00483E79"/>
    <w:rsid w:val="00483ECE"/>
    <w:rsid w:val="00484043"/>
    <w:rsid w:val="0048405D"/>
    <w:rsid w:val="004841BE"/>
    <w:rsid w:val="004841DB"/>
    <w:rsid w:val="004844D1"/>
    <w:rsid w:val="00484544"/>
    <w:rsid w:val="0048458A"/>
    <w:rsid w:val="00484783"/>
    <w:rsid w:val="00484867"/>
    <w:rsid w:val="004848E4"/>
    <w:rsid w:val="0048490A"/>
    <w:rsid w:val="00484A25"/>
    <w:rsid w:val="00484A32"/>
    <w:rsid w:val="00484AB2"/>
    <w:rsid w:val="00484CFB"/>
    <w:rsid w:val="00484EAF"/>
    <w:rsid w:val="00484F86"/>
    <w:rsid w:val="00484F97"/>
    <w:rsid w:val="00485010"/>
    <w:rsid w:val="00485025"/>
    <w:rsid w:val="00485033"/>
    <w:rsid w:val="004850B3"/>
    <w:rsid w:val="00485260"/>
    <w:rsid w:val="004852B5"/>
    <w:rsid w:val="00485356"/>
    <w:rsid w:val="0048540D"/>
    <w:rsid w:val="004855B8"/>
    <w:rsid w:val="004857F4"/>
    <w:rsid w:val="00485C25"/>
    <w:rsid w:val="00485D25"/>
    <w:rsid w:val="00485E4B"/>
    <w:rsid w:val="00485ED5"/>
    <w:rsid w:val="00486085"/>
    <w:rsid w:val="00486465"/>
    <w:rsid w:val="004864B6"/>
    <w:rsid w:val="004864BC"/>
    <w:rsid w:val="004864FF"/>
    <w:rsid w:val="004865DD"/>
    <w:rsid w:val="00486783"/>
    <w:rsid w:val="0048678E"/>
    <w:rsid w:val="00486A3B"/>
    <w:rsid w:val="00486A40"/>
    <w:rsid w:val="00486B64"/>
    <w:rsid w:val="00486B88"/>
    <w:rsid w:val="00486C3B"/>
    <w:rsid w:val="00486C4B"/>
    <w:rsid w:val="00486C84"/>
    <w:rsid w:val="00486D40"/>
    <w:rsid w:val="00486DAE"/>
    <w:rsid w:val="00486F23"/>
    <w:rsid w:val="00486F57"/>
    <w:rsid w:val="00487027"/>
    <w:rsid w:val="004871BB"/>
    <w:rsid w:val="004872E5"/>
    <w:rsid w:val="004872FE"/>
    <w:rsid w:val="004873BE"/>
    <w:rsid w:val="004873E1"/>
    <w:rsid w:val="00487479"/>
    <w:rsid w:val="00487559"/>
    <w:rsid w:val="00487593"/>
    <w:rsid w:val="004876B6"/>
    <w:rsid w:val="00487744"/>
    <w:rsid w:val="00487811"/>
    <w:rsid w:val="004878A8"/>
    <w:rsid w:val="00487955"/>
    <w:rsid w:val="00487974"/>
    <w:rsid w:val="00487B1B"/>
    <w:rsid w:val="00487C26"/>
    <w:rsid w:val="00487CF7"/>
    <w:rsid w:val="00487CF8"/>
    <w:rsid w:val="00487DEB"/>
    <w:rsid w:val="00487F76"/>
    <w:rsid w:val="00487FEB"/>
    <w:rsid w:val="00487FF4"/>
    <w:rsid w:val="004902D5"/>
    <w:rsid w:val="00490394"/>
    <w:rsid w:val="0049057B"/>
    <w:rsid w:val="00490746"/>
    <w:rsid w:val="00490766"/>
    <w:rsid w:val="00490852"/>
    <w:rsid w:val="004908BA"/>
    <w:rsid w:val="00490901"/>
    <w:rsid w:val="0049093D"/>
    <w:rsid w:val="0049094A"/>
    <w:rsid w:val="00490AD7"/>
    <w:rsid w:val="00490BFE"/>
    <w:rsid w:val="00490E90"/>
    <w:rsid w:val="00490EB5"/>
    <w:rsid w:val="00490F81"/>
    <w:rsid w:val="004912A4"/>
    <w:rsid w:val="004912A7"/>
    <w:rsid w:val="004912BE"/>
    <w:rsid w:val="004913AB"/>
    <w:rsid w:val="004914B7"/>
    <w:rsid w:val="00491658"/>
    <w:rsid w:val="00491681"/>
    <w:rsid w:val="00491689"/>
    <w:rsid w:val="004919B5"/>
    <w:rsid w:val="00491B40"/>
    <w:rsid w:val="00491B6A"/>
    <w:rsid w:val="00491C9C"/>
    <w:rsid w:val="00491CEA"/>
    <w:rsid w:val="00491DF2"/>
    <w:rsid w:val="00492026"/>
    <w:rsid w:val="0049215A"/>
    <w:rsid w:val="00492289"/>
    <w:rsid w:val="004922F3"/>
    <w:rsid w:val="00492470"/>
    <w:rsid w:val="0049247F"/>
    <w:rsid w:val="004924C0"/>
    <w:rsid w:val="004924FF"/>
    <w:rsid w:val="00492537"/>
    <w:rsid w:val="004925A7"/>
    <w:rsid w:val="00492610"/>
    <w:rsid w:val="00492714"/>
    <w:rsid w:val="0049274D"/>
    <w:rsid w:val="004927D5"/>
    <w:rsid w:val="004929A7"/>
    <w:rsid w:val="004929B0"/>
    <w:rsid w:val="00492A80"/>
    <w:rsid w:val="00492BBF"/>
    <w:rsid w:val="00492D40"/>
    <w:rsid w:val="00492E6C"/>
    <w:rsid w:val="00492EA5"/>
    <w:rsid w:val="00492EBB"/>
    <w:rsid w:val="00492EE8"/>
    <w:rsid w:val="00492F30"/>
    <w:rsid w:val="00493026"/>
    <w:rsid w:val="0049309F"/>
    <w:rsid w:val="00493118"/>
    <w:rsid w:val="0049311A"/>
    <w:rsid w:val="00493206"/>
    <w:rsid w:val="0049321F"/>
    <w:rsid w:val="004932E9"/>
    <w:rsid w:val="00493449"/>
    <w:rsid w:val="004934B8"/>
    <w:rsid w:val="0049350B"/>
    <w:rsid w:val="00493587"/>
    <w:rsid w:val="004935C6"/>
    <w:rsid w:val="00493655"/>
    <w:rsid w:val="00493674"/>
    <w:rsid w:val="004936EB"/>
    <w:rsid w:val="00493980"/>
    <w:rsid w:val="00493AF9"/>
    <w:rsid w:val="00493E46"/>
    <w:rsid w:val="00493EC2"/>
    <w:rsid w:val="004940AE"/>
    <w:rsid w:val="0049417C"/>
    <w:rsid w:val="004941A7"/>
    <w:rsid w:val="004942B3"/>
    <w:rsid w:val="004942CA"/>
    <w:rsid w:val="004945E4"/>
    <w:rsid w:val="004946F1"/>
    <w:rsid w:val="004946F4"/>
    <w:rsid w:val="0049477E"/>
    <w:rsid w:val="004947B2"/>
    <w:rsid w:val="004947FB"/>
    <w:rsid w:val="0049487E"/>
    <w:rsid w:val="004948BF"/>
    <w:rsid w:val="004948CF"/>
    <w:rsid w:val="0049490A"/>
    <w:rsid w:val="00494A47"/>
    <w:rsid w:val="00494CD9"/>
    <w:rsid w:val="00494F6A"/>
    <w:rsid w:val="00495044"/>
    <w:rsid w:val="004950F1"/>
    <w:rsid w:val="0049517A"/>
    <w:rsid w:val="00495186"/>
    <w:rsid w:val="00495266"/>
    <w:rsid w:val="0049532B"/>
    <w:rsid w:val="004953D6"/>
    <w:rsid w:val="004954AA"/>
    <w:rsid w:val="0049561F"/>
    <w:rsid w:val="0049582C"/>
    <w:rsid w:val="00495887"/>
    <w:rsid w:val="0049589A"/>
    <w:rsid w:val="004958B1"/>
    <w:rsid w:val="004958DB"/>
    <w:rsid w:val="00495A06"/>
    <w:rsid w:val="00495ABC"/>
    <w:rsid w:val="00495B83"/>
    <w:rsid w:val="00495FA8"/>
    <w:rsid w:val="0049618C"/>
    <w:rsid w:val="004961B0"/>
    <w:rsid w:val="00496217"/>
    <w:rsid w:val="00496264"/>
    <w:rsid w:val="004962B4"/>
    <w:rsid w:val="004963A3"/>
    <w:rsid w:val="0049640D"/>
    <w:rsid w:val="00496635"/>
    <w:rsid w:val="004968DF"/>
    <w:rsid w:val="00496994"/>
    <w:rsid w:val="004969BD"/>
    <w:rsid w:val="00496AB1"/>
    <w:rsid w:val="00496ACB"/>
    <w:rsid w:val="00496BC1"/>
    <w:rsid w:val="00496CB9"/>
    <w:rsid w:val="00496E9C"/>
    <w:rsid w:val="00496F26"/>
    <w:rsid w:val="00496F8E"/>
    <w:rsid w:val="00497089"/>
    <w:rsid w:val="00497184"/>
    <w:rsid w:val="0049721F"/>
    <w:rsid w:val="0049753B"/>
    <w:rsid w:val="00497554"/>
    <w:rsid w:val="0049756E"/>
    <w:rsid w:val="004975BC"/>
    <w:rsid w:val="004977A2"/>
    <w:rsid w:val="0049781D"/>
    <w:rsid w:val="0049789A"/>
    <w:rsid w:val="00497AA3"/>
    <w:rsid w:val="00497B17"/>
    <w:rsid w:val="00497B1C"/>
    <w:rsid w:val="00497C57"/>
    <w:rsid w:val="00497D14"/>
    <w:rsid w:val="00497E4B"/>
    <w:rsid w:val="00497FCB"/>
    <w:rsid w:val="004A0128"/>
    <w:rsid w:val="004A0181"/>
    <w:rsid w:val="004A0207"/>
    <w:rsid w:val="004A03DC"/>
    <w:rsid w:val="004A05A5"/>
    <w:rsid w:val="004A05DE"/>
    <w:rsid w:val="004A0632"/>
    <w:rsid w:val="004A0A8F"/>
    <w:rsid w:val="004A0AE7"/>
    <w:rsid w:val="004A0B21"/>
    <w:rsid w:val="004A0BDA"/>
    <w:rsid w:val="004A0DB1"/>
    <w:rsid w:val="004A0DEF"/>
    <w:rsid w:val="004A0E36"/>
    <w:rsid w:val="004A0FC0"/>
    <w:rsid w:val="004A0FF9"/>
    <w:rsid w:val="004A101D"/>
    <w:rsid w:val="004A108C"/>
    <w:rsid w:val="004A13C9"/>
    <w:rsid w:val="004A148D"/>
    <w:rsid w:val="004A160D"/>
    <w:rsid w:val="004A162A"/>
    <w:rsid w:val="004A1684"/>
    <w:rsid w:val="004A16BD"/>
    <w:rsid w:val="004A178C"/>
    <w:rsid w:val="004A1805"/>
    <w:rsid w:val="004A199B"/>
    <w:rsid w:val="004A1B14"/>
    <w:rsid w:val="004A1B4D"/>
    <w:rsid w:val="004A1B64"/>
    <w:rsid w:val="004A1C15"/>
    <w:rsid w:val="004A1E25"/>
    <w:rsid w:val="004A2074"/>
    <w:rsid w:val="004A21F0"/>
    <w:rsid w:val="004A2416"/>
    <w:rsid w:val="004A251D"/>
    <w:rsid w:val="004A2573"/>
    <w:rsid w:val="004A25CE"/>
    <w:rsid w:val="004A2645"/>
    <w:rsid w:val="004A266A"/>
    <w:rsid w:val="004A299C"/>
    <w:rsid w:val="004A2A6D"/>
    <w:rsid w:val="004A2E32"/>
    <w:rsid w:val="004A2E55"/>
    <w:rsid w:val="004A2EF3"/>
    <w:rsid w:val="004A3000"/>
    <w:rsid w:val="004A30CF"/>
    <w:rsid w:val="004A313C"/>
    <w:rsid w:val="004A33D4"/>
    <w:rsid w:val="004A341F"/>
    <w:rsid w:val="004A346E"/>
    <w:rsid w:val="004A346F"/>
    <w:rsid w:val="004A34CC"/>
    <w:rsid w:val="004A3591"/>
    <w:rsid w:val="004A35DF"/>
    <w:rsid w:val="004A3714"/>
    <w:rsid w:val="004A3795"/>
    <w:rsid w:val="004A37A4"/>
    <w:rsid w:val="004A37D5"/>
    <w:rsid w:val="004A3980"/>
    <w:rsid w:val="004A3ABD"/>
    <w:rsid w:val="004A3B2C"/>
    <w:rsid w:val="004A3B32"/>
    <w:rsid w:val="004A3B59"/>
    <w:rsid w:val="004A3BD7"/>
    <w:rsid w:val="004A3BF5"/>
    <w:rsid w:val="004A3D5A"/>
    <w:rsid w:val="004A3E46"/>
    <w:rsid w:val="004A3E81"/>
    <w:rsid w:val="004A3F64"/>
    <w:rsid w:val="004A4195"/>
    <w:rsid w:val="004A43B3"/>
    <w:rsid w:val="004A44AC"/>
    <w:rsid w:val="004A44BA"/>
    <w:rsid w:val="004A45BC"/>
    <w:rsid w:val="004A4638"/>
    <w:rsid w:val="004A47BA"/>
    <w:rsid w:val="004A4861"/>
    <w:rsid w:val="004A4970"/>
    <w:rsid w:val="004A4B01"/>
    <w:rsid w:val="004A4C49"/>
    <w:rsid w:val="004A4CAE"/>
    <w:rsid w:val="004A4DC2"/>
    <w:rsid w:val="004A4E23"/>
    <w:rsid w:val="004A5090"/>
    <w:rsid w:val="004A5177"/>
    <w:rsid w:val="004A52C0"/>
    <w:rsid w:val="004A5431"/>
    <w:rsid w:val="004A55DD"/>
    <w:rsid w:val="004A5643"/>
    <w:rsid w:val="004A5878"/>
    <w:rsid w:val="004A5879"/>
    <w:rsid w:val="004A59B5"/>
    <w:rsid w:val="004A5A18"/>
    <w:rsid w:val="004A5A3B"/>
    <w:rsid w:val="004A5BD8"/>
    <w:rsid w:val="004A5BF0"/>
    <w:rsid w:val="004A5C62"/>
    <w:rsid w:val="004A5CC7"/>
    <w:rsid w:val="004A5CE5"/>
    <w:rsid w:val="004A5F0C"/>
    <w:rsid w:val="004A610D"/>
    <w:rsid w:val="004A635A"/>
    <w:rsid w:val="004A64D6"/>
    <w:rsid w:val="004A658F"/>
    <w:rsid w:val="004A65A8"/>
    <w:rsid w:val="004A6662"/>
    <w:rsid w:val="004A6668"/>
    <w:rsid w:val="004A691A"/>
    <w:rsid w:val="004A69A5"/>
    <w:rsid w:val="004A6A9E"/>
    <w:rsid w:val="004A6B7F"/>
    <w:rsid w:val="004A6BEC"/>
    <w:rsid w:val="004A6C1B"/>
    <w:rsid w:val="004A701E"/>
    <w:rsid w:val="004A707D"/>
    <w:rsid w:val="004A7102"/>
    <w:rsid w:val="004A722C"/>
    <w:rsid w:val="004A7349"/>
    <w:rsid w:val="004A7356"/>
    <w:rsid w:val="004A736F"/>
    <w:rsid w:val="004A7812"/>
    <w:rsid w:val="004A789D"/>
    <w:rsid w:val="004A798D"/>
    <w:rsid w:val="004A7A32"/>
    <w:rsid w:val="004A7A4E"/>
    <w:rsid w:val="004A7AA0"/>
    <w:rsid w:val="004A7B62"/>
    <w:rsid w:val="004A7B9E"/>
    <w:rsid w:val="004A7D68"/>
    <w:rsid w:val="004A7EB4"/>
    <w:rsid w:val="004A7F6F"/>
    <w:rsid w:val="004B0152"/>
    <w:rsid w:val="004B029A"/>
    <w:rsid w:val="004B02CA"/>
    <w:rsid w:val="004B037A"/>
    <w:rsid w:val="004B04D9"/>
    <w:rsid w:val="004B086B"/>
    <w:rsid w:val="004B08C5"/>
    <w:rsid w:val="004B08FF"/>
    <w:rsid w:val="004B0974"/>
    <w:rsid w:val="004B0B8D"/>
    <w:rsid w:val="004B0BEE"/>
    <w:rsid w:val="004B0C69"/>
    <w:rsid w:val="004B0C93"/>
    <w:rsid w:val="004B0CDE"/>
    <w:rsid w:val="004B0F3B"/>
    <w:rsid w:val="004B0F53"/>
    <w:rsid w:val="004B0F5E"/>
    <w:rsid w:val="004B106C"/>
    <w:rsid w:val="004B10F0"/>
    <w:rsid w:val="004B10F5"/>
    <w:rsid w:val="004B1188"/>
    <w:rsid w:val="004B122E"/>
    <w:rsid w:val="004B13A3"/>
    <w:rsid w:val="004B13DE"/>
    <w:rsid w:val="004B14E0"/>
    <w:rsid w:val="004B155B"/>
    <w:rsid w:val="004B15BD"/>
    <w:rsid w:val="004B1877"/>
    <w:rsid w:val="004B18C2"/>
    <w:rsid w:val="004B1916"/>
    <w:rsid w:val="004B1976"/>
    <w:rsid w:val="004B1AE5"/>
    <w:rsid w:val="004B1B0D"/>
    <w:rsid w:val="004B1BFF"/>
    <w:rsid w:val="004B1C0D"/>
    <w:rsid w:val="004B1CBD"/>
    <w:rsid w:val="004B1DDD"/>
    <w:rsid w:val="004B1E1E"/>
    <w:rsid w:val="004B1EFD"/>
    <w:rsid w:val="004B2209"/>
    <w:rsid w:val="004B2387"/>
    <w:rsid w:val="004B26C4"/>
    <w:rsid w:val="004B26D4"/>
    <w:rsid w:val="004B286C"/>
    <w:rsid w:val="004B2983"/>
    <w:rsid w:val="004B2BAE"/>
    <w:rsid w:val="004B2BE3"/>
    <w:rsid w:val="004B2CA7"/>
    <w:rsid w:val="004B2DC8"/>
    <w:rsid w:val="004B2E73"/>
    <w:rsid w:val="004B2E88"/>
    <w:rsid w:val="004B2FA2"/>
    <w:rsid w:val="004B3028"/>
    <w:rsid w:val="004B3076"/>
    <w:rsid w:val="004B30D0"/>
    <w:rsid w:val="004B31C5"/>
    <w:rsid w:val="004B3251"/>
    <w:rsid w:val="004B33C2"/>
    <w:rsid w:val="004B34CB"/>
    <w:rsid w:val="004B354B"/>
    <w:rsid w:val="004B3607"/>
    <w:rsid w:val="004B3748"/>
    <w:rsid w:val="004B375B"/>
    <w:rsid w:val="004B37B8"/>
    <w:rsid w:val="004B37DC"/>
    <w:rsid w:val="004B39B1"/>
    <w:rsid w:val="004B3A6C"/>
    <w:rsid w:val="004B3AF8"/>
    <w:rsid w:val="004B3C28"/>
    <w:rsid w:val="004B3C76"/>
    <w:rsid w:val="004B3E7D"/>
    <w:rsid w:val="004B3F25"/>
    <w:rsid w:val="004B3F3F"/>
    <w:rsid w:val="004B40A7"/>
    <w:rsid w:val="004B4185"/>
    <w:rsid w:val="004B41B3"/>
    <w:rsid w:val="004B41E9"/>
    <w:rsid w:val="004B428B"/>
    <w:rsid w:val="004B42EB"/>
    <w:rsid w:val="004B42F5"/>
    <w:rsid w:val="004B4384"/>
    <w:rsid w:val="004B4504"/>
    <w:rsid w:val="004B45A5"/>
    <w:rsid w:val="004B45CA"/>
    <w:rsid w:val="004B45D6"/>
    <w:rsid w:val="004B4624"/>
    <w:rsid w:val="004B46EC"/>
    <w:rsid w:val="004B4847"/>
    <w:rsid w:val="004B48C4"/>
    <w:rsid w:val="004B4B34"/>
    <w:rsid w:val="004B4C3C"/>
    <w:rsid w:val="004B4C5A"/>
    <w:rsid w:val="004B4E3B"/>
    <w:rsid w:val="004B4E99"/>
    <w:rsid w:val="004B5082"/>
    <w:rsid w:val="004B51C9"/>
    <w:rsid w:val="004B524C"/>
    <w:rsid w:val="004B5290"/>
    <w:rsid w:val="004B52FE"/>
    <w:rsid w:val="004B53D0"/>
    <w:rsid w:val="004B53D6"/>
    <w:rsid w:val="004B5462"/>
    <w:rsid w:val="004B573C"/>
    <w:rsid w:val="004B57B6"/>
    <w:rsid w:val="004B5898"/>
    <w:rsid w:val="004B59B8"/>
    <w:rsid w:val="004B5B89"/>
    <w:rsid w:val="004B5D93"/>
    <w:rsid w:val="004B5E43"/>
    <w:rsid w:val="004B5E52"/>
    <w:rsid w:val="004B5ED5"/>
    <w:rsid w:val="004B5F04"/>
    <w:rsid w:val="004B6009"/>
    <w:rsid w:val="004B6153"/>
    <w:rsid w:val="004B61FE"/>
    <w:rsid w:val="004B645E"/>
    <w:rsid w:val="004B64FD"/>
    <w:rsid w:val="004B6618"/>
    <w:rsid w:val="004B6665"/>
    <w:rsid w:val="004B6679"/>
    <w:rsid w:val="004B6773"/>
    <w:rsid w:val="004B694E"/>
    <w:rsid w:val="004B6A96"/>
    <w:rsid w:val="004B6DD1"/>
    <w:rsid w:val="004B6DE7"/>
    <w:rsid w:val="004B6E96"/>
    <w:rsid w:val="004B6ECD"/>
    <w:rsid w:val="004B6F35"/>
    <w:rsid w:val="004B6FAA"/>
    <w:rsid w:val="004B7192"/>
    <w:rsid w:val="004B72B6"/>
    <w:rsid w:val="004B730C"/>
    <w:rsid w:val="004B758E"/>
    <w:rsid w:val="004B765D"/>
    <w:rsid w:val="004B7B51"/>
    <w:rsid w:val="004B7B72"/>
    <w:rsid w:val="004B7C1D"/>
    <w:rsid w:val="004B7C6C"/>
    <w:rsid w:val="004B7CD0"/>
    <w:rsid w:val="004B7DA6"/>
    <w:rsid w:val="004B7E18"/>
    <w:rsid w:val="004B7F29"/>
    <w:rsid w:val="004C001A"/>
    <w:rsid w:val="004C001B"/>
    <w:rsid w:val="004C00A1"/>
    <w:rsid w:val="004C00B3"/>
    <w:rsid w:val="004C01E5"/>
    <w:rsid w:val="004C0430"/>
    <w:rsid w:val="004C057D"/>
    <w:rsid w:val="004C06A8"/>
    <w:rsid w:val="004C06D8"/>
    <w:rsid w:val="004C07C8"/>
    <w:rsid w:val="004C0B3F"/>
    <w:rsid w:val="004C0B57"/>
    <w:rsid w:val="004C0E49"/>
    <w:rsid w:val="004C0F03"/>
    <w:rsid w:val="004C10AA"/>
    <w:rsid w:val="004C1235"/>
    <w:rsid w:val="004C12A7"/>
    <w:rsid w:val="004C12BD"/>
    <w:rsid w:val="004C12DA"/>
    <w:rsid w:val="004C136A"/>
    <w:rsid w:val="004C1577"/>
    <w:rsid w:val="004C1799"/>
    <w:rsid w:val="004C17B8"/>
    <w:rsid w:val="004C17DD"/>
    <w:rsid w:val="004C185B"/>
    <w:rsid w:val="004C188D"/>
    <w:rsid w:val="004C19E6"/>
    <w:rsid w:val="004C1AC4"/>
    <w:rsid w:val="004C1DA1"/>
    <w:rsid w:val="004C2010"/>
    <w:rsid w:val="004C2157"/>
    <w:rsid w:val="004C22E1"/>
    <w:rsid w:val="004C23A2"/>
    <w:rsid w:val="004C288E"/>
    <w:rsid w:val="004C28BC"/>
    <w:rsid w:val="004C2916"/>
    <w:rsid w:val="004C2939"/>
    <w:rsid w:val="004C2A44"/>
    <w:rsid w:val="004C2CAE"/>
    <w:rsid w:val="004C2CF1"/>
    <w:rsid w:val="004C2D66"/>
    <w:rsid w:val="004C2DFA"/>
    <w:rsid w:val="004C2E12"/>
    <w:rsid w:val="004C2EAE"/>
    <w:rsid w:val="004C2EB5"/>
    <w:rsid w:val="004C301C"/>
    <w:rsid w:val="004C3116"/>
    <w:rsid w:val="004C3269"/>
    <w:rsid w:val="004C32CE"/>
    <w:rsid w:val="004C32F4"/>
    <w:rsid w:val="004C335C"/>
    <w:rsid w:val="004C3398"/>
    <w:rsid w:val="004C346F"/>
    <w:rsid w:val="004C35DE"/>
    <w:rsid w:val="004C35F2"/>
    <w:rsid w:val="004C361B"/>
    <w:rsid w:val="004C3ACE"/>
    <w:rsid w:val="004C3B07"/>
    <w:rsid w:val="004C3CD0"/>
    <w:rsid w:val="004C41FB"/>
    <w:rsid w:val="004C4268"/>
    <w:rsid w:val="004C427C"/>
    <w:rsid w:val="004C43FB"/>
    <w:rsid w:val="004C454E"/>
    <w:rsid w:val="004C45F5"/>
    <w:rsid w:val="004C4625"/>
    <w:rsid w:val="004C4656"/>
    <w:rsid w:val="004C466C"/>
    <w:rsid w:val="004C467C"/>
    <w:rsid w:val="004C4862"/>
    <w:rsid w:val="004C49A4"/>
    <w:rsid w:val="004C4A05"/>
    <w:rsid w:val="004C4A6C"/>
    <w:rsid w:val="004C4BBF"/>
    <w:rsid w:val="004C4D75"/>
    <w:rsid w:val="004C4EA3"/>
    <w:rsid w:val="004C4F6E"/>
    <w:rsid w:val="004C51AD"/>
    <w:rsid w:val="004C51B0"/>
    <w:rsid w:val="004C51C3"/>
    <w:rsid w:val="004C5329"/>
    <w:rsid w:val="004C53D0"/>
    <w:rsid w:val="004C5483"/>
    <w:rsid w:val="004C54E0"/>
    <w:rsid w:val="004C5541"/>
    <w:rsid w:val="004C55EC"/>
    <w:rsid w:val="004C5647"/>
    <w:rsid w:val="004C57DF"/>
    <w:rsid w:val="004C5805"/>
    <w:rsid w:val="004C58B4"/>
    <w:rsid w:val="004C59AA"/>
    <w:rsid w:val="004C5AA8"/>
    <w:rsid w:val="004C5B13"/>
    <w:rsid w:val="004C5B4B"/>
    <w:rsid w:val="004C5B7A"/>
    <w:rsid w:val="004C5E72"/>
    <w:rsid w:val="004C5EE2"/>
    <w:rsid w:val="004C5F14"/>
    <w:rsid w:val="004C5FA1"/>
    <w:rsid w:val="004C5FEA"/>
    <w:rsid w:val="004C5FFE"/>
    <w:rsid w:val="004C61DD"/>
    <w:rsid w:val="004C63B1"/>
    <w:rsid w:val="004C65B3"/>
    <w:rsid w:val="004C65BB"/>
    <w:rsid w:val="004C6672"/>
    <w:rsid w:val="004C6899"/>
    <w:rsid w:val="004C6923"/>
    <w:rsid w:val="004C69A8"/>
    <w:rsid w:val="004C6A03"/>
    <w:rsid w:val="004C6ABB"/>
    <w:rsid w:val="004C6BE7"/>
    <w:rsid w:val="004C6DB5"/>
    <w:rsid w:val="004C6E01"/>
    <w:rsid w:val="004C6E29"/>
    <w:rsid w:val="004C6EEE"/>
    <w:rsid w:val="004C6F9F"/>
    <w:rsid w:val="004C702B"/>
    <w:rsid w:val="004C70E0"/>
    <w:rsid w:val="004C7250"/>
    <w:rsid w:val="004C7266"/>
    <w:rsid w:val="004C726F"/>
    <w:rsid w:val="004C73F6"/>
    <w:rsid w:val="004C7543"/>
    <w:rsid w:val="004C75CE"/>
    <w:rsid w:val="004C763A"/>
    <w:rsid w:val="004C7683"/>
    <w:rsid w:val="004C77BC"/>
    <w:rsid w:val="004C77F4"/>
    <w:rsid w:val="004C7809"/>
    <w:rsid w:val="004C7860"/>
    <w:rsid w:val="004C787E"/>
    <w:rsid w:val="004C7903"/>
    <w:rsid w:val="004C7BD9"/>
    <w:rsid w:val="004C7C1C"/>
    <w:rsid w:val="004C7C57"/>
    <w:rsid w:val="004C7E1B"/>
    <w:rsid w:val="004C7F86"/>
    <w:rsid w:val="004D0033"/>
    <w:rsid w:val="004D016B"/>
    <w:rsid w:val="004D017E"/>
    <w:rsid w:val="004D0263"/>
    <w:rsid w:val="004D029B"/>
    <w:rsid w:val="004D0386"/>
    <w:rsid w:val="004D05FE"/>
    <w:rsid w:val="004D0744"/>
    <w:rsid w:val="004D0C81"/>
    <w:rsid w:val="004D0C89"/>
    <w:rsid w:val="004D0DA6"/>
    <w:rsid w:val="004D0E9F"/>
    <w:rsid w:val="004D0ECA"/>
    <w:rsid w:val="004D0EE6"/>
    <w:rsid w:val="004D0F11"/>
    <w:rsid w:val="004D10D8"/>
    <w:rsid w:val="004D10EE"/>
    <w:rsid w:val="004D12A2"/>
    <w:rsid w:val="004D12DC"/>
    <w:rsid w:val="004D1351"/>
    <w:rsid w:val="004D158D"/>
    <w:rsid w:val="004D1710"/>
    <w:rsid w:val="004D1725"/>
    <w:rsid w:val="004D1861"/>
    <w:rsid w:val="004D188C"/>
    <w:rsid w:val="004D19A0"/>
    <w:rsid w:val="004D1A7D"/>
    <w:rsid w:val="004D1B22"/>
    <w:rsid w:val="004D1B94"/>
    <w:rsid w:val="004D1BC8"/>
    <w:rsid w:val="004D1BEA"/>
    <w:rsid w:val="004D1BF7"/>
    <w:rsid w:val="004D1C5F"/>
    <w:rsid w:val="004D1DC2"/>
    <w:rsid w:val="004D1EFB"/>
    <w:rsid w:val="004D1F37"/>
    <w:rsid w:val="004D1F69"/>
    <w:rsid w:val="004D1FF4"/>
    <w:rsid w:val="004D2093"/>
    <w:rsid w:val="004D20C4"/>
    <w:rsid w:val="004D20EE"/>
    <w:rsid w:val="004D2202"/>
    <w:rsid w:val="004D22C8"/>
    <w:rsid w:val="004D2326"/>
    <w:rsid w:val="004D238F"/>
    <w:rsid w:val="004D239E"/>
    <w:rsid w:val="004D23CC"/>
    <w:rsid w:val="004D23CD"/>
    <w:rsid w:val="004D24B4"/>
    <w:rsid w:val="004D261F"/>
    <w:rsid w:val="004D2641"/>
    <w:rsid w:val="004D26CF"/>
    <w:rsid w:val="004D279D"/>
    <w:rsid w:val="004D27DD"/>
    <w:rsid w:val="004D2810"/>
    <w:rsid w:val="004D2BBD"/>
    <w:rsid w:val="004D2C37"/>
    <w:rsid w:val="004D2C82"/>
    <w:rsid w:val="004D2CF9"/>
    <w:rsid w:val="004D3120"/>
    <w:rsid w:val="004D33E0"/>
    <w:rsid w:val="004D3428"/>
    <w:rsid w:val="004D3452"/>
    <w:rsid w:val="004D34AD"/>
    <w:rsid w:val="004D35DF"/>
    <w:rsid w:val="004D35F3"/>
    <w:rsid w:val="004D36F2"/>
    <w:rsid w:val="004D38D6"/>
    <w:rsid w:val="004D3B26"/>
    <w:rsid w:val="004D3B30"/>
    <w:rsid w:val="004D3BC0"/>
    <w:rsid w:val="004D3BE7"/>
    <w:rsid w:val="004D3BF5"/>
    <w:rsid w:val="004D3CD6"/>
    <w:rsid w:val="004D3D30"/>
    <w:rsid w:val="004D3E2C"/>
    <w:rsid w:val="004D3F14"/>
    <w:rsid w:val="004D3FB1"/>
    <w:rsid w:val="004D412B"/>
    <w:rsid w:val="004D4468"/>
    <w:rsid w:val="004D4521"/>
    <w:rsid w:val="004D4531"/>
    <w:rsid w:val="004D45AF"/>
    <w:rsid w:val="004D45BC"/>
    <w:rsid w:val="004D45C2"/>
    <w:rsid w:val="004D45D1"/>
    <w:rsid w:val="004D45D3"/>
    <w:rsid w:val="004D480B"/>
    <w:rsid w:val="004D499B"/>
    <w:rsid w:val="004D4A60"/>
    <w:rsid w:val="004D4A98"/>
    <w:rsid w:val="004D4AE5"/>
    <w:rsid w:val="004D4AF4"/>
    <w:rsid w:val="004D4B63"/>
    <w:rsid w:val="004D4DA4"/>
    <w:rsid w:val="004D4EA0"/>
    <w:rsid w:val="004D50CA"/>
    <w:rsid w:val="004D5130"/>
    <w:rsid w:val="004D51AA"/>
    <w:rsid w:val="004D52EB"/>
    <w:rsid w:val="004D52FD"/>
    <w:rsid w:val="004D53ED"/>
    <w:rsid w:val="004D5400"/>
    <w:rsid w:val="004D552F"/>
    <w:rsid w:val="004D5557"/>
    <w:rsid w:val="004D5641"/>
    <w:rsid w:val="004D568B"/>
    <w:rsid w:val="004D56C4"/>
    <w:rsid w:val="004D57FD"/>
    <w:rsid w:val="004D597C"/>
    <w:rsid w:val="004D599A"/>
    <w:rsid w:val="004D59D4"/>
    <w:rsid w:val="004D5D05"/>
    <w:rsid w:val="004D5D13"/>
    <w:rsid w:val="004D5DB3"/>
    <w:rsid w:val="004D5E86"/>
    <w:rsid w:val="004D5EE1"/>
    <w:rsid w:val="004D6004"/>
    <w:rsid w:val="004D6189"/>
    <w:rsid w:val="004D61AC"/>
    <w:rsid w:val="004D625D"/>
    <w:rsid w:val="004D62A6"/>
    <w:rsid w:val="004D6337"/>
    <w:rsid w:val="004D6481"/>
    <w:rsid w:val="004D6590"/>
    <w:rsid w:val="004D65C1"/>
    <w:rsid w:val="004D65C3"/>
    <w:rsid w:val="004D6669"/>
    <w:rsid w:val="004D66C9"/>
    <w:rsid w:val="004D6834"/>
    <w:rsid w:val="004D6875"/>
    <w:rsid w:val="004D68A7"/>
    <w:rsid w:val="004D6991"/>
    <w:rsid w:val="004D69E4"/>
    <w:rsid w:val="004D6AA1"/>
    <w:rsid w:val="004D6B66"/>
    <w:rsid w:val="004D6C40"/>
    <w:rsid w:val="004D6CDD"/>
    <w:rsid w:val="004D6D90"/>
    <w:rsid w:val="004D6DDB"/>
    <w:rsid w:val="004D6E83"/>
    <w:rsid w:val="004D6ED2"/>
    <w:rsid w:val="004D721B"/>
    <w:rsid w:val="004D736E"/>
    <w:rsid w:val="004D7424"/>
    <w:rsid w:val="004D7427"/>
    <w:rsid w:val="004D746C"/>
    <w:rsid w:val="004D7478"/>
    <w:rsid w:val="004D755E"/>
    <w:rsid w:val="004D76A3"/>
    <w:rsid w:val="004D76E0"/>
    <w:rsid w:val="004D76FE"/>
    <w:rsid w:val="004D798D"/>
    <w:rsid w:val="004D79CA"/>
    <w:rsid w:val="004D7D30"/>
    <w:rsid w:val="004D7DC2"/>
    <w:rsid w:val="004D7E7E"/>
    <w:rsid w:val="004D7EA7"/>
    <w:rsid w:val="004D7F10"/>
    <w:rsid w:val="004E0005"/>
    <w:rsid w:val="004E00E0"/>
    <w:rsid w:val="004E00EE"/>
    <w:rsid w:val="004E0128"/>
    <w:rsid w:val="004E01FC"/>
    <w:rsid w:val="004E0385"/>
    <w:rsid w:val="004E0591"/>
    <w:rsid w:val="004E05E0"/>
    <w:rsid w:val="004E0A1D"/>
    <w:rsid w:val="004E0B45"/>
    <w:rsid w:val="004E0B5C"/>
    <w:rsid w:val="004E0CA6"/>
    <w:rsid w:val="004E0D55"/>
    <w:rsid w:val="004E0E65"/>
    <w:rsid w:val="004E0F00"/>
    <w:rsid w:val="004E0F66"/>
    <w:rsid w:val="004E0FE7"/>
    <w:rsid w:val="004E0FF4"/>
    <w:rsid w:val="004E10DF"/>
    <w:rsid w:val="004E1106"/>
    <w:rsid w:val="004E1112"/>
    <w:rsid w:val="004E115E"/>
    <w:rsid w:val="004E11A8"/>
    <w:rsid w:val="004E138F"/>
    <w:rsid w:val="004E14CF"/>
    <w:rsid w:val="004E155B"/>
    <w:rsid w:val="004E156C"/>
    <w:rsid w:val="004E15E4"/>
    <w:rsid w:val="004E177A"/>
    <w:rsid w:val="004E1807"/>
    <w:rsid w:val="004E1854"/>
    <w:rsid w:val="004E18E6"/>
    <w:rsid w:val="004E19CD"/>
    <w:rsid w:val="004E1C63"/>
    <w:rsid w:val="004E1D8E"/>
    <w:rsid w:val="004E1E08"/>
    <w:rsid w:val="004E1F0F"/>
    <w:rsid w:val="004E1F3C"/>
    <w:rsid w:val="004E20C0"/>
    <w:rsid w:val="004E218F"/>
    <w:rsid w:val="004E2211"/>
    <w:rsid w:val="004E254D"/>
    <w:rsid w:val="004E2597"/>
    <w:rsid w:val="004E2602"/>
    <w:rsid w:val="004E26A7"/>
    <w:rsid w:val="004E27C9"/>
    <w:rsid w:val="004E27EA"/>
    <w:rsid w:val="004E27F3"/>
    <w:rsid w:val="004E281E"/>
    <w:rsid w:val="004E2B30"/>
    <w:rsid w:val="004E2C95"/>
    <w:rsid w:val="004E2D10"/>
    <w:rsid w:val="004E308E"/>
    <w:rsid w:val="004E3115"/>
    <w:rsid w:val="004E3199"/>
    <w:rsid w:val="004E330F"/>
    <w:rsid w:val="004E343D"/>
    <w:rsid w:val="004E3458"/>
    <w:rsid w:val="004E34CB"/>
    <w:rsid w:val="004E3623"/>
    <w:rsid w:val="004E364B"/>
    <w:rsid w:val="004E3715"/>
    <w:rsid w:val="004E3831"/>
    <w:rsid w:val="004E3845"/>
    <w:rsid w:val="004E3934"/>
    <w:rsid w:val="004E3971"/>
    <w:rsid w:val="004E3B03"/>
    <w:rsid w:val="004E3B59"/>
    <w:rsid w:val="004E3BC6"/>
    <w:rsid w:val="004E3C71"/>
    <w:rsid w:val="004E3CA4"/>
    <w:rsid w:val="004E3F04"/>
    <w:rsid w:val="004E3FCD"/>
    <w:rsid w:val="004E4124"/>
    <w:rsid w:val="004E41B3"/>
    <w:rsid w:val="004E42E1"/>
    <w:rsid w:val="004E4305"/>
    <w:rsid w:val="004E43E0"/>
    <w:rsid w:val="004E4649"/>
    <w:rsid w:val="004E47C1"/>
    <w:rsid w:val="004E4814"/>
    <w:rsid w:val="004E48B8"/>
    <w:rsid w:val="004E48BE"/>
    <w:rsid w:val="004E4907"/>
    <w:rsid w:val="004E4C28"/>
    <w:rsid w:val="004E4D1F"/>
    <w:rsid w:val="004E4D2C"/>
    <w:rsid w:val="004E4FA8"/>
    <w:rsid w:val="004E5021"/>
    <w:rsid w:val="004E5066"/>
    <w:rsid w:val="004E5116"/>
    <w:rsid w:val="004E514C"/>
    <w:rsid w:val="004E5258"/>
    <w:rsid w:val="004E528F"/>
    <w:rsid w:val="004E52F6"/>
    <w:rsid w:val="004E5311"/>
    <w:rsid w:val="004E53D5"/>
    <w:rsid w:val="004E5419"/>
    <w:rsid w:val="004E54B7"/>
    <w:rsid w:val="004E54B8"/>
    <w:rsid w:val="004E5660"/>
    <w:rsid w:val="004E5893"/>
    <w:rsid w:val="004E58D1"/>
    <w:rsid w:val="004E5901"/>
    <w:rsid w:val="004E5918"/>
    <w:rsid w:val="004E597D"/>
    <w:rsid w:val="004E59C9"/>
    <w:rsid w:val="004E5C2B"/>
    <w:rsid w:val="004E5F11"/>
    <w:rsid w:val="004E6179"/>
    <w:rsid w:val="004E62ED"/>
    <w:rsid w:val="004E632E"/>
    <w:rsid w:val="004E6369"/>
    <w:rsid w:val="004E63B1"/>
    <w:rsid w:val="004E63BD"/>
    <w:rsid w:val="004E644A"/>
    <w:rsid w:val="004E6464"/>
    <w:rsid w:val="004E65D3"/>
    <w:rsid w:val="004E6671"/>
    <w:rsid w:val="004E6818"/>
    <w:rsid w:val="004E68C3"/>
    <w:rsid w:val="004E6966"/>
    <w:rsid w:val="004E6B83"/>
    <w:rsid w:val="004E6C19"/>
    <w:rsid w:val="004E6DAF"/>
    <w:rsid w:val="004E6DC3"/>
    <w:rsid w:val="004E6DF8"/>
    <w:rsid w:val="004E6E8C"/>
    <w:rsid w:val="004E6E98"/>
    <w:rsid w:val="004E6F98"/>
    <w:rsid w:val="004E70FC"/>
    <w:rsid w:val="004E71E7"/>
    <w:rsid w:val="004E728B"/>
    <w:rsid w:val="004E7404"/>
    <w:rsid w:val="004E74CD"/>
    <w:rsid w:val="004E7526"/>
    <w:rsid w:val="004E7624"/>
    <w:rsid w:val="004E764D"/>
    <w:rsid w:val="004E769A"/>
    <w:rsid w:val="004E76CF"/>
    <w:rsid w:val="004E7871"/>
    <w:rsid w:val="004E7958"/>
    <w:rsid w:val="004E79E7"/>
    <w:rsid w:val="004E7AFE"/>
    <w:rsid w:val="004E7CEA"/>
    <w:rsid w:val="004E7E9D"/>
    <w:rsid w:val="004E7ECF"/>
    <w:rsid w:val="004E7ED2"/>
    <w:rsid w:val="004E7EE6"/>
    <w:rsid w:val="004F005D"/>
    <w:rsid w:val="004F00DD"/>
    <w:rsid w:val="004F026A"/>
    <w:rsid w:val="004F02B0"/>
    <w:rsid w:val="004F03D0"/>
    <w:rsid w:val="004F0539"/>
    <w:rsid w:val="004F0577"/>
    <w:rsid w:val="004F06CD"/>
    <w:rsid w:val="004F077F"/>
    <w:rsid w:val="004F079D"/>
    <w:rsid w:val="004F0845"/>
    <w:rsid w:val="004F093E"/>
    <w:rsid w:val="004F0A29"/>
    <w:rsid w:val="004F0A7B"/>
    <w:rsid w:val="004F0AB1"/>
    <w:rsid w:val="004F0AD1"/>
    <w:rsid w:val="004F0E41"/>
    <w:rsid w:val="004F0E4A"/>
    <w:rsid w:val="004F0E77"/>
    <w:rsid w:val="004F0ED1"/>
    <w:rsid w:val="004F0FB1"/>
    <w:rsid w:val="004F0FBB"/>
    <w:rsid w:val="004F0FC8"/>
    <w:rsid w:val="004F1154"/>
    <w:rsid w:val="004F11EF"/>
    <w:rsid w:val="004F12BE"/>
    <w:rsid w:val="004F1303"/>
    <w:rsid w:val="004F1391"/>
    <w:rsid w:val="004F1530"/>
    <w:rsid w:val="004F16AC"/>
    <w:rsid w:val="004F16AF"/>
    <w:rsid w:val="004F180D"/>
    <w:rsid w:val="004F1872"/>
    <w:rsid w:val="004F18FD"/>
    <w:rsid w:val="004F1A95"/>
    <w:rsid w:val="004F1B57"/>
    <w:rsid w:val="004F1C21"/>
    <w:rsid w:val="004F1C9F"/>
    <w:rsid w:val="004F1D5D"/>
    <w:rsid w:val="004F1DF1"/>
    <w:rsid w:val="004F1FE6"/>
    <w:rsid w:val="004F207E"/>
    <w:rsid w:val="004F2133"/>
    <w:rsid w:val="004F2198"/>
    <w:rsid w:val="004F2306"/>
    <w:rsid w:val="004F2411"/>
    <w:rsid w:val="004F25E6"/>
    <w:rsid w:val="004F25F0"/>
    <w:rsid w:val="004F26ED"/>
    <w:rsid w:val="004F27C0"/>
    <w:rsid w:val="004F2800"/>
    <w:rsid w:val="004F2860"/>
    <w:rsid w:val="004F2C11"/>
    <w:rsid w:val="004F2CB2"/>
    <w:rsid w:val="004F2E30"/>
    <w:rsid w:val="004F2F2D"/>
    <w:rsid w:val="004F3000"/>
    <w:rsid w:val="004F30F7"/>
    <w:rsid w:val="004F31D3"/>
    <w:rsid w:val="004F3318"/>
    <w:rsid w:val="004F33F9"/>
    <w:rsid w:val="004F3567"/>
    <w:rsid w:val="004F35CA"/>
    <w:rsid w:val="004F35F9"/>
    <w:rsid w:val="004F3602"/>
    <w:rsid w:val="004F3636"/>
    <w:rsid w:val="004F3642"/>
    <w:rsid w:val="004F3654"/>
    <w:rsid w:val="004F3811"/>
    <w:rsid w:val="004F38FC"/>
    <w:rsid w:val="004F396E"/>
    <w:rsid w:val="004F3A87"/>
    <w:rsid w:val="004F3AD5"/>
    <w:rsid w:val="004F3BA0"/>
    <w:rsid w:val="004F3C3D"/>
    <w:rsid w:val="004F3CE7"/>
    <w:rsid w:val="004F3CF5"/>
    <w:rsid w:val="004F3EA0"/>
    <w:rsid w:val="004F4020"/>
    <w:rsid w:val="004F4127"/>
    <w:rsid w:val="004F416A"/>
    <w:rsid w:val="004F41B2"/>
    <w:rsid w:val="004F41E4"/>
    <w:rsid w:val="004F42B2"/>
    <w:rsid w:val="004F43BD"/>
    <w:rsid w:val="004F4415"/>
    <w:rsid w:val="004F442A"/>
    <w:rsid w:val="004F4480"/>
    <w:rsid w:val="004F44AB"/>
    <w:rsid w:val="004F4523"/>
    <w:rsid w:val="004F45F2"/>
    <w:rsid w:val="004F467E"/>
    <w:rsid w:val="004F47AC"/>
    <w:rsid w:val="004F485D"/>
    <w:rsid w:val="004F48B7"/>
    <w:rsid w:val="004F499A"/>
    <w:rsid w:val="004F4A91"/>
    <w:rsid w:val="004F4AAB"/>
    <w:rsid w:val="004F4B40"/>
    <w:rsid w:val="004F4B87"/>
    <w:rsid w:val="004F4C2F"/>
    <w:rsid w:val="004F504B"/>
    <w:rsid w:val="004F5172"/>
    <w:rsid w:val="004F5256"/>
    <w:rsid w:val="004F529F"/>
    <w:rsid w:val="004F5398"/>
    <w:rsid w:val="004F54A9"/>
    <w:rsid w:val="004F55F1"/>
    <w:rsid w:val="004F5742"/>
    <w:rsid w:val="004F5780"/>
    <w:rsid w:val="004F5923"/>
    <w:rsid w:val="004F5A5A"/>
    <w:rsid w:val="004F5B0B"/>
    <w:rsid w:val="004F5B98"/>
    <w:rsid w:val="004F5C24"/>
    <w:rsid w:val="004F5CEA"/>
    <w:rsid w:val="004F5EEE"/>
    <w:rsid w:val="004F5F00"/>
    <w:rsid w:val="004F5F05"/>
    <w:rsid w:val="004F5FDF"/>
    <w:rsid w:val="004F60A0"/>
    <w:rsid w:val="004F621E"/>
    <w:rsid w:val="004F6263"/>
    <w:rsid w:val="004F62D5"/>
    <w:rsid w:val="004F63D3"/>
    <w:rsid w:val="004F64BB"/>
    <w:rsid w:val="004F6620"/>
    <w:rsid w:val="004F6687"/>
    <w:rsid w:val="004F669C"/>
    <w:rsid w:val="004F67C6"/>
    <w:rsid w:val="004F6936"/>
    <w:rsid w:val="004F6A88"/>
    <w:rsid w:val="004F6B2E"/>
    <w:rsid w:val="004F6B5A"/>
    <w:rsid w:val="004F6F1C"/>
    <w:rsid w:val="004F6F35"/>
    <w:rsid w:val="004F6F53"/>
    <w:rsid w:val="004F6FD9"/>
    <w:rsid w:val="004F705F"/>
    <w:rsid w:val="004F7379"/>
    <w:rsid w:val="004F73B9"/>
    <w:rsid w:val="004F73C9"/>
    <w:rsid w:val="004F7489"/>
    <w:rsid w:val="004F7512"/>
    <w:rsid w:val="004F75DE"/>
    <w:rsid w:val="004F7740"/>
    <w:rsid w:val="004F7759"/>
    <w:rsid w:val="004F79D6"/>
    <w:rsid w:val="004F7AF9"/>
    <w:rsid w:val="004F7D00"/>
    <w:rsid w:val="004F7F4B"/>
    <w:rsid w:val="004F7F50"/>
    <w:rsid w:val="005000F5"/>
    <w:rsid w:val="0050010F"/>
    <w:rsid w:val="00500192"/>
    <w:rsid w:val="0050022E"/>
    <w:rsid w:val="00500270"/>
    <w:rsid w:val="00500322"/>
    <w:rsid w:val="00500639"/>
    <w:rsid w:val="0050076C"/>
    <w:rsid w:val="00500872"/>
    <w:rsid w:val="005008FD"/>
    <w:rsid w:val="0050095F"/>
    <w:rsid w:val="0050097B"/>
    <w:rsid w:val="00500BAF"/>
    <w:rsid w:val="00500D5B"/>
    <w:rsid w:val="00500DEB"/>
    <w:rsid w:val="00501173"/>
    <w:rsid w:val="005011C5"/>
    <w:rsid w:val="00501289"/>
    <w:rsid w:val="00501297"/>
    <w:rsid w:val="00501335"/>
    <w:rsid w:val="0050133B"/>
    <w:rsid w:val="00501468"/>
    <w:rsid w:val="0050164E"/>
    <w:rsid w:val="005017FC"/>
    <w:rsid w:val="005018DF"/>
    <w:rsid w:val="00501947"/>
    <w:rsid w:val="005019E1"/>
    <w:rsid w:val="00501BB3"/>
    <w:rsid w:val="00501C97"/>
    <w:rsid w:val="00501D3C"/>
    <w:rsid w:val="00501EB0"/>
    <w:rsid w:val="00501FA1"/>
    <w:rsid w:val="0050207D"/>
    <w:rsid w:val="0050243D"/>
    <w:rsid w:val="00502652"/>
    <w:rsid w:val="0050269F"/>
    <w:rsid w:val="00502A0A"/>
    <w:rsid w:val="00502AD2"/>
    <w:rsid w:val="00502D0F"/>
    <w:rsid w:val="00502D19"/>
    <w:rsid w:val="00502D6E"/>
    <w:rsid w:val="00502F15"/>
    <w:rsid w:val="00502F38"/>
    <w:rsid w:val="00503048"/>
    <w:rsid w:val="005030F5"/>
    <w:rsid w:val="0050315F"/>
    <w:rsid w:val="00503389"/>
    <w:rsid w:val="00503429"/>
    <w:rsid w:val="0050358B"/>
    <w:rsid w:val="005036DE"/>
    <w:rsid w:val="00503769"/>
    <w:rsid w:val="005037C0"/>
    <w:rsid w:val="0050382A"/>
    <w:rsid w:val="005038BA"/>
    <w:rsid w:val="005038D1"/>
    <w:rsid w:val="00503920"/>
    <w:rsid w:val="00503A0E"/>
    <w:rsid w:val="00503B63"/>
    <w:rsid w:val="00503D30"/>
    <w:rsid w:val="00503DC6"/>
    <w:rsid w:val="00503E6C"/>
    <w:rsid w:val="00503EA4"/>
    <w:rsid w:val="00503F6E"/>
    <w:rsid w:val="005040FC"/>
    <w:rsid w:val="005042F6"/>
    <w:rsid w:val="0050432D"/>
    <w:rsid w:val="00504571"/>
    <w:rsid w:val="0050458D"/>
    <w:rsid w:val="00504674"/>
    <w:rsid w:val="0050493E"/>
    <w:rsid w:val="00504953"/>
    <w:rsid w:val="00504971"/>
    <w:rsid w:val="00504A0B"/>
    <w:rsid w:val="00504AB9"/>
    <w:rsid w:val="00504B72"/>
    <w:rsid w:val="00504B87"/>
    <w:rsid w:val="00504CE8"/>
    <w:rsid w:val="00504D71"/>
    <w:rsid w:val="00504E32"/>
    <w:rsid w:val="00504E87"/>
    <w:rsid w:val="00504FBF"/>
    <w:rsid w:val="0050511F"/>
    <w:rsid w:val="0050526E"/>
    <w:rsid w:val="005052A8"/>
    <w:rsid w:val="0050541D"/>
    <w:rsid w:val="00505463"/>
    <w:rsid w:val="00505484"/>
    <w:rsid w:val="005054F6"/>
    <w:rsid w:val="005056A8"/>
    <w:rsid w:val="0050570B"/>
    <w:rsid w:val="005059ED"/>
    <w:rsid w:val="00505A32"/>
    <w:rsid w:val="00505ADC"/>
    <w:rsid w:val="00505BE4"/>
    <w:rsid w:val="00505CA3"/>
    <w:rsid w:val="00505DCF"/>
    <w:rsid w:val="00505ED4"/>
    <w:rsid w:val="00505FDF"/>
    <w:rsid w:val="0050602F"/>
    <w:rsid w:val="005060A6"/>
    <w:rsid w:val="005060F8"/>
    <w:rsid w:val="0050614C"/>
    <w:rsid w:val="00506200"/>
    <w:rsid w:val="00506312"/>
    <w:rsid w:val="00506387"/>
    <w:rsid w:val="005065CD"/>
    <w:rsid w:val="00506611"/>
    <w:rsid w:val="005066CC"/>
    <w:rsid w:val="0050685E"/>
    <w:rsid w:val="00506921"/>
    <w:rsid w:val="00506973"/>
    <w:rsid w:val="00506B09"/>
    <w:rsid w:val="00506D0B"/>
    <w:rsid w:val="00506EA0"/>
    <w:rsid w:val="00506F4A"/>
    <w:rsid w:val="00506F5D"/>
    <w:rsid w:val="00506FF1"/>
    <w:rsid w:val="00507035"/>
    <w:rsid w:val="0050707C"/>
    <w:rsid w:val="0050717B"/>
    <w:rsid w:val="005073E2"/>
    <w:rsid w:val="00507594"/>
    <w:rsid w:val="00507599"/>
    <w:rsid w:val="00507624"/>
    <w:rsid w:val="005078BD"/>
    <w:rsid w:val="005079EC"/>
    <w:rsid w:val="00507A1F"/>
    <w:rsid w:val="00507AA4"/>
    <w:rsid w:val="00507AC4"/>
    <w:rsid w:val="00507B16"/>
    <w:rsid w:val="00507BC7"/>
    <w:rsid w:val="00507C88"/>
    <w:rsid w:val="00507D56"/>
    <w:rsid w:val="00507D87"/>
    <w:rsid w:val="00507DA8"/>
    <w:rsid w:val="00507F65"/>
    <w:rsid w:val="00510113"/>
    <w:rsid w:val="00510152"/>
    <w:rsid w:val="0051019C"/>
    <w:rsid w:val="0051024F"/>
    <w:rsid w:val="005103C1"/>
    <w:rsid w:val="00510408"/>
    <w:rsid w:val="005105C5"/>
    <w:rsid w:val="0051060F"/>
    <w:rsid w:val="00510656"/>
    <w:rsid w:val="005107B9"/>
    <w:rsid w:val="0051083F"/>
    <w:rsid w:val="005108AA"/>
    <w:rsid w:val="005108F5"/>
    <w:rsid w:val="00510B73"/>
    <w:rsid w:val="00510C37"/>
    <w:rsid w:val="00510D98"/>
    <w:rsid w:val="00510E10"/>
    <w:rsid w:val="00510F20"/>
    <w:rsid w:val="00510FAC"/>
    <w:rsid w:val="0051108B"/>
    <w:rsid w:val="00511282"/>
    <w:rsid w:val="0051156C"/>
    <w:rsid w:val="00511663"/>
    <w:rsid w:val="005116C9"/>
    <w:rsid w:val="00511829"/>
    <w:rsid w:val="005119F0"/>
    <w:rsid w:val="00511BBD"/>
    <w:rsid w:val="00511BDA"/>
    <w:rsid w:val="00511D27"/>
    <w:rsid w:val="00511EA9"/>
    <w:rsid w:val="00511EC6"/>
    <w:rsid w:val="00511F3E"/>
    <w:rsid w:val="00511FAB"/>
    <w:rsid w:val="00512276"/>
    <w:rsid w:val="00512282"/>
    <w:rsid w:val="005122D6"/>
    <w:rsid w:val="00512432"/>
    <w:rsid w:val="00512680"/>
    <w:rsid w:val="005126D0"/>
    <w:rsid w:val="005127A6"/>
    <w:rsid w:val="005127D9"/>
    <w:rsid w:val="005128ED"/>
    <w:rsid w:val="00512946"/>
    <w:rsid w:val="00512B52"/>
    <w:rsid w:val="00512BD8"/>
    <w:rsid w:val="00512C17"/>
    <w:rsid w:val="00512C58"/>
    <w:rsid w:val="00512D26"/>
    <w:rsid w:val="00512E09"/>
    <w:rsid w:val="00512EA4"/>
    <w:rsid w:val="00513307"/>
    <w:rsid w:val="0051338E"/>
    <w:rsid w:val="00513398"/>
    <w:rsid w:val="0051353B"/>
    <w:rsid w:val="005136D0"/>
    <w:rsid w:val="005136F6"/>
    <w:rsid w:val="005137F1"/>
    <w:rsid w:val="00513854"/>
    <w:rsid w:val="005138B8"/>
    <w:rsid w:val="005138CB"/>
    <w:rsid w:val="005139C5"/>
    <w:rsid w:val="00513A25"/>
    <w:rsid w:val="00513A6B"/>
    <w:rsid w:val="00513A80"/>
    <w:rsid w:val="00513AD5"/>
    <w:rsid w:val="00513B98"/>
    <w:rsid w:val="00513CB4"/>
    <w:rsid w:val="00513CBF"/>
    <w:rsid w:val="00513CDC"/>
    <w:rsid w:val="00514070"/>
    <w:rsid w:val="00514186"/>
    <w:rsid w:val="005141A2"/>
    <w:rsid w:val="005141A6"/>
    <w:rsid w:val="00514361"/>
    <w:rsid w:val="0051440F"/>
    <w:rsid w:val="005144C0"/>
    <w:rsid w:val="005145A5"/>
    <w:rsid w:val="00514667"/>
    <w:rsid w:val="0051466C"/>
    <w:rsid w:val="0051474B"/>
    <w:rsid w:val="005148E4"/>
    <w:rsid w:val="00514932"/>
    <w:rsid w:val="0051494E"/>
    <w:rsid w:val="00514AFC"/>
    <w:rsid w:val="00514B4F"/>
    <w:rsid w:val="00514C78"/>
    <w:rsid w:val="00514DBF"/>
    <w:rsid w:val="00514EC2"/>
    <w:rsid w:val="00514EFC"/>
    <w:rsid w:val="00514FB0"/>
    <w:rsid w:val="005152FE"/>
    <w:rsid w:val="00515398"/>
    <w:rsid w:val="0051544D"/>
    <w:rsid w:val="00515502"/>
    <w:rsid w:val="00515521"/>
    <w:rsid w:val="0051566F"/>
    <w:rsid w:val="0051568D"/>
    <w:rsid w:val="005156A4"/>
    <w:rsid w:val="005157C8"/>
    <w:rsid w:val="005157F7"/>
    <w:rsid w:val="00515A14"/>
    <w:rsid w:val="00515B55"/>
    <w:rsid w:val="00515C00"/>
    <w:rsid w:val="00515D4F"/>
    <w:rsid w:val="00515D8A"/>
    <w:rsid w:val="00515F4F"/>
    <w:rsid w:val="0051606B"/>
    <w:rsid w:val="00516090"/>
    <w:rsid w:val="00516101"/>
    <w:rsid w:val="00516248"/>
    <w:rsid w:val="00516288"/>
    <w:rsid w:val="005162B9"/>
    <w:rsid w:val="00516421"/>
    <w:rsid w:val="00516468"/>
    <w:rsid w:val="0051647F"/>
    <w:rsid w:val="005164A5"/>
    <w:rsid w:val="00516938"/>
    <w:rsid w:val="005169EA"/>
    <w:rsid w:val="00516A83"/>
    <w:rsid w:val="00516B2C"/>
    <w:rsid w:val="00516C24"/>
    <w:rsid w:val="00516C75"/>
    <w:rsid w:val="00516DB3"/>
    <w:rsid w:val="00516EF1"/>
    <w:rsid w:val="005170F9"/>
    <w:rsid w:val="00517307"/>
    <w:rsid w:val="00517376"/>
    <w:rsid w:val="0051758E"/>
    <w:rsid w:val="00517882"/>
    <w:rsid w:val="00517896"/>
    <w:rsid w:val="00517984"/>
    <w:rsid w:val="005179C9"/>
    <w:rsid w:val="00517B1D"/>
    <w:rsid w:val="00517B41"/>
    <w:rsid w:val="00517D71"/>
    <w:rsid w:val="00517E0D"/>
    <w:rsid w:val="00517E3A"/>
    <w:rsid w:val="00517E5C"/>
    <w:rsid w:val="005201E0"/>
    <w:rsid w:val="005202FB"/>
    <w:rsid w:val="005204AE"/>
    <w:rsid w:val="00520641"/>
    <w:rsid w:val="00520808"/>
    <w:rsid w:val="0052090C"/>
    <w:rsid w:val="00520A7D"/>
    <w:rsid w:val="00520ABC"/>
    <w:rsid w:val="00520D9A"/>
    <w:rsid w:val="00520DE2"/>
    <w:rsid w:val="00520FC1"/>
    <w:rsid w:val="00521040"/>
    <w:rsid w:val="00521102"/>
    <w:rsid w:val="00521111"/>
    <w:rsid w:val="0052145B"/>
    <w:rsid w:val="0052150A"/>
    <w:rsid w:val="0052152B"/>
    <w:rsid w:val="005215AC"/>
    <w:rsid w:val="0052162C"/>
    <w:rsid w:val="0052174C"/>
    <w:rsid w:val="0052181D"/>
    <w:rsid w:val="00521868"/>
    <w:rsid w:val="00521A79"/>
    <w:rsid w:val="00521D15"/>
    <w:rsid w:val="00521D48"/>
    <w:rsid w:val="00521DEC"/>
    <w:rsid w:val="00521E4F"/>
    <w:rsid w:val="00521E5F"/>
    <w:rsid w:val="00521F21"/>
    <w:rsid w:val="0052206A"/>
    <w:rsid w:val="005220F8"/>
    <w:rsid w:val="00522114"/>
    <w:rsid w:val="00522180"/>
    <w:rsid w:val="005224D5"/>
    <w:rsid w:val="005226A9"/>
    <w:rsid w:val="005228A2"/>
    <w:rsid w:val="005228A7"/>
    <w:rsid w:val="005229B0"/>
    <w:rsid w:val="00522A3A"/>
    <w:rsid w:val="00522A68"/>
    <w:rsid w:val="00522B66"/>
    <w:rsid w:val="00522B71"/>
    <w:rsid w:val="00522D84"/>
    <w:rsid w:val="00522EC6"/>
    <w:rsid w:val="00522FDB"/>
    <w:rsid w:val="0052312A"/>
    <w:rsid w:val="00523158"/>
    <w:rsid w:val="0052327D"/>
    <w:rsid w:val="0052329E"/>
    <w:rsid w:val="00523390"/>
    <w:rsid w:val="0052345F"/>
    <w:rsid w:val="00523518"/>
    <w:rsid w:val="00523538"/>
    <w:rsid w:val="0052353C"/>
    <w:rsid w:val="00523545"/>
    <w:rsid w:val="0052369C"/>
    <w:rsid w:val="005236E2"/>
    <w:rsid w:val="005238C3"/>
    <w:rsid w:val="00523909"/>
    <w:rsid w:val="005239C7"/>
    <w:rsid w:val="00523B3C"/>
    <w:rsid w:val="00523CAD"/>
    <w:rsid w:val="00523CEC"/>
    <w:rsid w:val="00523D3B"/>
    <w:rsid w:val="00523D6E"/>
    <w:rsid w:val="00523E79"/>
    <w:rsid w:val="00523F55"/>
    <w:rsid w:val="0052406E"/>
    <w:rsid w:val="0052411A"/>
    <w:rsid w:val="0052421D"/>
    <w:rsid w:val="0052458A"/>
    <w:rsid w:val="00524880"/>
    <w:rsid w:val="00524942"/>
    <w:rsid w:val="00524A59"/>
    <w:rsid w:val="00524B0C"/>
    <w:rsid w:val="00524B0D"/>
    <w:rsid w:val="00524BB2"/>
    <w:rsid w:val="00524CE4"/>
    <w:rsid w:val="00524D01"/>
    <w:rsid w:val="00524E4A"/>
    <w:rsid w:val="00524F85"/>
    <w:rsid w:val="00525021"/>
    <w:rsid w:val="00525306"/>
    <w:rsid w:val="00525365"/>
    <w:rsid w:val="00525558"/>
    <w:rsid w:val="005256CD"/>
    <w:rsid w:val="005258A8"/>
    <w:rsid w:val="00525ABE"/>
    <w:rsid w:val="00525B23"/>
    <w:rsid w:val="00525D03"/>
    <w:rsid w:val="00525D10"/>
    <w:rsid w:val="00525D70"/>
    <w:rsid w:val="00525D96"/>
    <w:rsid w:val="00525E15"/>
    <w:rsid w:val="00525E39"/>
    <w:rsid w:val="00525E60"/>
    <w:rsid w:val="00525FDD"/>
    <w:rsid w:val="005261BC"/>
    <w:rsid w:val="00526470"/>
    <w:rsid w:val="0052667B"/>
    <w:rsid w:val="00526739"/>
    <w:rsid w:val="00526852"/>
    <w:rsid w:val="00526974"/>
    <w:rsid w:val="00526A86"/>
    <w:rsid w:val="00526AC7"/>
    <w:rsid w:val="00526B75"/>
    <w:rsid w:val="00526C15"/>
    <w:rsid w:val="00526CAA"/>
    <w:rsid w:val="00526CF4"/>
    <w:rsid w:val="00526DFA"/>
    <w:rsid w:val="00526EF6"/>
    <w:rsid w:val="00526FDA"/>
    <w:rsid w:val="005276DA"/>
    <w:rsid w:val="005277C7"/>
    <w:rsid w:val="00527979"/>
    <w:rsid w:val="00527982"/>
    <w:rsid w:val="00527AE4"/>
    <w:rsid w:val="00527BF0"/>
    <w:rsid w:val="00527D4F"/>
    <w:rsid w:val="00527D5E"/>
    <w:rsid w:val="00527EFC"/>
    <w:rsid w:val="00527FEF"/>
    <w:rsid w:val="00530233"/>
    <w:rsid w:val="0053030A"/>
    <w:rsid w:val="0053032F"/>
    <w:rsid w:val="00530351"/>
    <w:rsid w:val="00530390"/>
    <w:rsid w:val="005303BC"/>
    <w:rsid w:val="00530625"/>
    <w:rsid w:val="00530794"/>
    <w:rsid w:val="005307A7"/>
    <w:rsid w:val="005307D0"/>
    <w:rsid w:val="005307ED"/>
    <w:rsid w:val="00530880"/>
    <w:rsid w:val="0053093B"/>
    <w:rsid w:val="00530AC1"/>
    <w:rsid w:val="00530AEA"/>
    <w:rsid w:val="00530B11"/>
    <w:rsid w:val="00530DED"/>
    <w:rsid w:val="00530E35"/>
    <w:rsid w:val="00530EB6"/>
    <w:rsid w:val="00530EF4"/>
    <w:rsid w:val="00530F69"/>
    <w:rsid w:val="0053109B"/>
    <w:rsid w:val="005310C3"/>
    <w:rsid w:val="0053111E"/>
    <w:rsid w:val="005311DA"/>
    <w:rsid w:val="0053120E"/>
    <w:rsid w:val="00531250"/>
    <w:rsid w:val="00531271"/>
    <w:rsid w:val="00531361"/>
    <w:rsid w:val="00531383"/>
    <w:rsid w:val="00531475"/>
    <w:rsid w:val="0053153F"/>
    <w:rsid w:val="00531605"/>
    <w:rsid w:val="005317C4"/>
    <w:rsid w:val="005317EC"/>
    <w:rsid w:val="0053189E"/>
    <w:rsid w:val="00531995"/>
    <w:rsid w:val="005319AB"/>
    <w:rsid w:val="005319D8"/>
    <w:rsid w:val="00531A28"/>
    <w:rsid w:val="00531A95"/>
    <w:rsid w:val="00531AE6"/>
    <w:rsid w:val="00531B79"/>
    <w:rsid w:val="00531BBA"/>
    <w:rsid w:val="00531C39"/>
    <w:rsid w:val="00531C53"/>
    <w:rsid w:val="00531CE8"/>
    <w:rsid w:val="00531D44"/>
    <w:rsid w:val="00531F59"/>
    <w:rsid w:val="00532074"/>
    <w:rsid w:val="00532084"/>
    <w:rsid w:val="00532258"/>
    <w:rsid w:val="00532331"/>
    <w:rsid w:val="0053233F"/>
    <w:rsid w:val="00532366"/>
    <w:rsid w:val="00532480"/>
    <w:rsid w:val="00532774"/>
    <w:rsid w:val="00532806"/>
    <w:rsid w:val="00532941"/>
    <w:rsid w:val="00532A73"/>
    <w:rsid w:val="00532CD1"/>
    <w:rsid w:val="00532D3A"/>
    <w:rsid w:val="00532D92"/>
    <w:rsid w:val="00532D9D"/>
    <w:rsid w:val="00532DAA"/>
    <w:rsid w:val="00532F04"/>
    <w:rsid w:val="00532F4E"/>
    <w:rsid w:val="00532F70"/>
    <w:rsid w:val="00533036"/>
    <w:rsid w:val="005330EC"/>
    <w:rsid w:val="0053317F"/>
    <w:rsid w:val="0053336F"/>
    <w:rsid w:val="00533467"/>
    <w:rsid w:val="005334E8"/>
    <w:rsid w:val="00533576"/>
    <w:rsid w:val="005336E3"/>
    <w:rsid w:val="00533947"/>
    <w:rsid w:val="00533ACB"/>
    <w:rsid w:val="00533B80"/>
    <w:rsid w:val="00533C73"/>
    <w:rsid w:val="00533CFE"/>
    <w:rsid w:val="00533E89"/>
    <w:rsid w:val="00533F53"/>
    <w:rsid w:val="00534053"/>
    <w:rsid w:val="0053426D"/>
    <w:rsid w:val="005342AD"/>
    <w:rsid w:val="0053437B"/>
    <w:rsid w:val="005343C4"/>
    <w:rsid w:val="005344EA"/>
    <w:rsid w:val="0053450F"/>
    <w:rsid w:val="00534597"/>
    <w:rsid w:val="005346E4"/>
    <w:rsid w:val="00534988"/>
    <w:rsid w:val="005349FC"/>
    <w:rsid w:val="00534A2A"/>
    <w:rsid w:val="00534D1A"/>
    <w:rsid w:val="00534E45"/>
    <w:rsid w:val="00534F38"/>
    <w:rsid w:val="00534F3A"/>
    <w:rsid w:val="00534F7A"/>
    <w:rsid w:val="00534FC1"/>
    <w:rsid w:val="00535035"/>
    <w:rsid w:val="0053509E"/>
    <w:rsid w:val="005350BF"/>
    <w:rsid w:val="00535295"/>
    <w:rsid w:val="005352F6"/>
    <w:rsid w:val="0053536B"/>
    <w:rsid w:val="0053541F"/>
    <w:rsid w:val="0053543B"/>
    <w:rsid w:val="005354EC"/>
    <w:rsid w:val="0053551A"/>
    <w:rsid w:val="0053572F"/>
    <w:rsid w:val="005357AE"/>
    <w:rsid w:val="005357D1"/>
    <w:rsid w:val="00535875"/>
    <w:rsid w:val="00535893"/>
    <w:rsid w:val="005358D8"/>
    <w:rsid w:val="0053591C"/>
    <w:rsid w:val="005359EC"/>
    <w:rsid w:val="00535B2C"/>
    <w:rsid w:val="00535B86"/>
    <w:rsid w:val="00535BDD"/>
    <w:rsid w:val="00535E6F"/>
    <w:rsid w:val="00535F66"/>
    <w:rsid w:val="00535F6F"/>
    <w:rsid w:val="00535FCB"/>
    <w:rsid w:val="0053605D"/>
    <w:rsid w:val="00536233"/>
    <w:rsid w:val="005362AE"/>
    <w:rsid w:val="005363CA"/>
    <w:rsid w:val="00536499"/>
    <w:rsid w:val="00536613"/>
    <w:rsid w:val="005366FC"/>
    <w:rsid w:val="0053678B"/>
    <w:rsid w:val="005367A2"/>
    <w:rsid w:val="0053688F"/>
    <w:rsid w:val="005368D6"/>
    <w:rsid w:val="00536919"/>
    <w:rsid w:val="00536930"/>
    <w:rsid w:val="0053697A"/>
    <w:rsid w:val="00536984"/>
    <w:rsid w:val="00536BFD"/>
    <w:rsid w:val="00536E63"/>
    <w:rsid w:val="00536F1A"/>
    <w:rsid w:val="00536F4B"/>
    <w:rsid w:val="00537164"/>
    <w:rsid w:val="005371C4"/>
    <w:rsid w:val="00537237"/>
    <w:rsid w:val="00537278"/>
    <w:rsid w:val="005372FD"/>
    <w:rsid w:val="00537457"/>
    <w:rsid w:val="00537523"/>
    <w:rsid w:val="00537555"/>
    <w:rsid w:val="005375CC"/>
    <w:rsid w:val="0053768D"/>
    <w:rsid w:val="0053777D"/>
    <w:rsid w:val="005378A7"/>
    <w:rsid w:val="005379BE"/>
    <w:rsid w:val="00537AA3"/>
    <w:rsid w:val="00537ACF"/>
    <w:rsid w:val="00537C82"/>
    <w:rsid w:val="00537CC8"/>
    <w:rsid w:val="00537D58"/>
    <w:rsid w:val="00537F0C"/>
    <w:rsid w:val="005400EC"/>
    <w:rsid w:val="0054026A"/>
    <w:rsid w:val="00540287"/>
    <w:rsid w:val="005402E3"/>
    <w:rsid w:val="0054034D"/>
    <w:rsid w:val="0054037B"/>
    <w:rsid w:val="005405A7"/>
    <w:rsid w:val="005405D8"/>
    <w:rsid w:val="00540642"/>
    <w:rsid w:val="005407FE"/>
    <w:rsid w:val="0054081B"/>
    <w:rsid w:val="00540854"/>
    <w:rsid w:val="00540AA1"/>
    <w:rsid w:val="00540BD0"/>
    <w:rsid w:val="00540C4E"/>
    <w:rsid w:val="00540C8F"/>
    <w:rsid w:val="00540D97"/>
    <w:rsid w:val="00540E69"/>
    <w:rsid w:val="00540EE7"/>
    <w:rsid w:val="00540EF9"/>
    <w:rsid w:val="00540F96"/>
    <w:rsid w:val="00540FCB"/>
    <w:rsid w:val="00541012"/>
    <w:rsid w:val="00541065"/>
    <w:rsid w:val="00541088"/>
    <w:rsid w:val="005410C1"/>
    <w:rsid w:val="0054111B"/>
    <w:rsid w:val="0054123C"/>
    <w:rsid w:val="0054124B"/>
    <w:rsid w:val="00541326"/>
    <w:rsid w:val="00541396"/>
    <w:rsid w:val="0054148E"/>
    <w:rsid w:val="00541647"/>
    <w:rsid w:val="0054168E"/>
    <w:rsid w:val="00541707"/>
    <w:rsid w:val="00541771"/>
    <w:rsid w:val="005417BC"/>
    <w:rsid w:val="0054198A"/>
    <w:rsid w:val="00541A25"/>
    <w:rsid w:val="00541A30"/>
    <w:rsid w:val="00541AF1"/>
    <w:rsid w:val="00541B4D"/>
    <w:rsid w:val="00541BC2"/>
    <w:rsid w:val="00541BE4"/>
    <w:rsid w:val="00541CB4"/>
    <w:rsid w:val="00541CE7"/>
    <w:rsid w:val="00541E36"/>
    <w:rsid w:val="00541E6C"/>
    <w:rsid w:val="00541E89"/>
    <w:rsid w:val="00541FA9"/>
    <w:rsid w:val="005420D0"/>
    <w:rsid w:val="00542201"/>
    <w:rsid w:val="0054227B"/>
    <w:rsid w:val="00542328"/>
    <w:rsid w:val="005423B1"/>
    <w:rsid w:val="00542475"/>
    <w:rsid w:val="005424CD"/>
    <w:rsid w:val="005425ED"/>
    <w:rsid w:val="005425FA"/>
    <w:rsid w:val="00542627"/>
    <w:rsid w:val="0054265D"/>
    <w:rsid w:val="00542666"/>
    <w:rsid w:val="005426ED"/>
    <w:rsid w:val="0054277C"/>
    <w:rsid w:val="0054297A"/>
    <w:rsid w:val="00542A03"/>
    <w:rsid w:val="00542B85"/>
    <w:rsid w:val="00542C6A"/>
    <w:rsid w:val="00542C83"/>
    <w:rsid w:val="00542D0E"/>
    <w:rsid w:val="00542D60"/>
    <w:rsid w:val="00542D85"/>
    <w:rsid w:val="00542F0D"/>
    <w:rsid w:val="00542FFE"/>
    <w:rsid w:val="00543008"/>
    <w:rsid w:val="00543026"/>
    <w:rsid w:val="0054315B"/>
    <w:rsid w:val="00543168"/>
    <w:rsid w:val="00543170"/>
    <w:rsid w:val="005431A0"/>
    <w:rsid w:val="00543205"/>
    <w:rsid w:val="00543385"/>
    <w:rsid w:val="005433D0"/>
    <w:rsid w:val="0054363B"/>
    <w:rsid w:val="005436CD"/>
    <w:rsid w:val="005436F6"/>
    <w:rsid w:val="00543851"/>
    <w:rsid w:val="00543903"/>
    <w:rsid w:val="00543A14"/>
    <w:rsid w:val="00543A75"/>
    <w:rsid w:val="00543A89"/>
    <w:rsid w:val="00543AE8"/>
    <w:rsid w:val="00543B7E"/>
    <w:rsid w:val="00543BCC"/>
    <w:rsid w:val="00543C20"/>
    <w:rsid w:val="00543C73"/>
    <w:rsid w:val="00543CF1"/>
    <w:rsid w:val="00543D84"/>
    <w:rsid w:val="00543DC1"/>
    <w:rsid w:val="00543F11"/>
    <w:rsid w:val="005440B5"/>
    <w:rsid w:val="00544135"/>
    <w:rsid w:val="005442CE"/>
    <w:rsid w:val="00544341"/>
    <w:rsid w:val="005443CD"/>
    <w:rsid w:val="005443FA"/>
    <w:rsid w:val="005444B9"/>
    <w:rsid w:val="005446C0"/>
    <w:rsid w:val="00544826"/>
    <w:rsid w:val="0054483C"/>
    <w:rsid w:val="005449F7"/>
    <w:rsid w:val="00544AC1"/>
    <w:rsid w:val="00544AD0"/>
    <w:rsid w:val="00544BE1"/>
    <w:rsid w:val="00544C8C"/>
    <w:rsid w:val="00544CAB"/>
    <w:rsid w:val="00544EA5"/>
    <w:rsid w:val="00544F48"/>
    <w:rsid w:val="0054501D"/>
    <w:rsid w:val="005450E5"/>
    <w:rsid w:val="00545107"/>
    <w:rsid w:val="00545339"/>
    <w:rsid w:val="0054533F"/>
    <w:rsid w:val="005455CA"/>
    <w:rsid w:val="005455E7"/>
    <w:rsid w:val="00545600"/>
    <w:rsid w:val="0054561B"/>
    <w:rsid w:val="00545626"/>
    <w:rsid w:val="0054566C"/>
    <w:rsid w:val="0054568B"/>
    <w:rsid w:val="0054569D"/>
    <w:rsid w:val="005456A7"/>
    <w:rsid w:val="005456FD"/>
    <w:rsid w:val="0054585E"/>
    <w:rsid w:val="00545896"/>
    <w:rsid w:val="00545C4C"/>
    <w:rsid w:val="00545C81"/>
    <w:rsid w:val="00545FD1"/>
    <w:rsid w:val="0054607E"/>
    <w:rsid w:val="00546305"/>
    <w:rsid w:val="0054646F"/>
    <w:rsid w:val="00546492"/>
    <w:rsid w:val="00546512"/>
    <w:rsid w:val="00546516"/>
    <w:rsid w:val="005466D5"/>
    <w:rsid w:val="00546812"/>
    <w:rsid w:val="0054687E"/>
    <w:rsid w:val="00546907"/>
    <w:rsid w:val="00546922"/>
    <w:rsid w:val="005469E4"/>
    <w:rsid w:val="00546A6C"/>
    <w:rsid w:val="00546ACD"/>
    <w:rsid w:val="00546B55"/>
    <w:rsid w:val="00546C9C"/>
    <w:rsid w:val="00546D0F"/>
    <w:rsid w:val="00546E5F"/>
    <w:rsid w:val="00546E87"/>
    <w:rsid w:val="00546F83"/>
    <w:rsid w:val="005470D2"/>
    <w:rsid w:val="005472EC"/>
    <w:rsid w:val="00547332"/>
    <w:rsid w:val="00547437"/>
    <w:rsid w:val="005475E7"/>
    <w:rsid w:val="00547608"/>
    <w:rsid w:val="0054769F"/>
    <w:rsid w:val="005476BC"/>
    <w:rsid w:val="0054781B"/>
    <w:rsid w:val="00547978"/>
    <w:rsid w:val="00547999"/>
    <w:rsid w:val="00547A19"/>
    <w:rsid w:val="00547A95"/>
    <w:rsid w:val="00547B0B"/>
    <w:rsid w:val="00547DB5"/>
    <w:rsid w:val="00547E0C"/>
    <w:rsid w:val="00547F62"/>
    <w:rsid w:val="00547F75"/>
    <w:rsid w:val="00547F93"/>
    <w:rsid w:val="00547F97"/>
    <w:rsid w:val="0055012E"/>
    <w:rsid w:val="0055031F"/>
    <w:rsid w:val="005504ED"/>
    <w:rsid w:val="0055052B"/>
    <w:rsid w:val="005505FD"/>
    <w:rsid w:val="005506A1"/>
    <w:rsid w:val="005506E7"/>
    <w:rsid w:val="005507EC"/>
    <w:rsid w:val="005509BC"/>
    <w:rsid w:val="005509D4"/>
    <w:rsid w:val="005509DB"/>
    <w:rsid w:val="00550A9A"/>
    <w:rsid w:val="00550AE4"/>
    <w:rsid w:val="00550C48"/>
    <w:rsid w:val="00550CF0"/>
    <w:rsid w:val="00550CF9"/>
    <w:rsid w:val="00550DFA"/>
    <w:rsid w:val="00550E17"/>
    <w:rsid w:val="00550F59"/>
    <w:rsid w:val="00550F6E"/>
    <w:rsid w:val="005510D1"/>
    <w:rsid w:val="005510F1"/>
    <w:rsid w:val="00551185"/>
    <w:rsid w:val="0055119B"/>
    <w:rsid w:val="005512AE"/>
    <w:rsid w:val="005512FE"/>
    <w:rsid w:val="00551420"/>
    <w:rsid w:val="0055151B"/>
    <w:rsid w:val="00551621"/>
    <w:rsid w:val="00551634"/>
    <w:rsid w:val="00551876"/>
    <w:rsid w:val="00551B6C"/>
    <w:rsid w:val="00551BBB"/>
    <w:rsid w:val="00551BCD"/>
    <w:rsid w:val="00551BFB"/>
    <w:rsid w:val="00551CD5"/>
    <w:rsid w:val="00551F9E"/>
    <w:rsid w:val="00552063"/>
    <w:rsid w:val="005520B2"/>
    <w:rsid w:val="005520E4"/>
    <w:rsid w:val="005522A4"/>
    <w:rsid w:val="0055231E"/>
    <w:rsid w:val="0055232E"/>
    <w:rsid w:val="00552362"/>
    <w:rsid w:val="005526E5"/>
    <w:rsid w:val="0055282C"/>
    <w:rsid w:val="005529CF"/>
    <w:rsid w:val="00552AB2"/>
    <w:rsid w:val="00552AE0"/>
    <w:rsid w:val="00552B0E"/>
    <w:rsid w:val="00552BED"/>
    <w:rsid w:val="00552F4D"/>
    <w:rsid w:val="00552F6A"/>
    <w:rsid w:val="00553144"/>
    <w:rsid w:val="0055314D"/>
    <w:rsid w:val="00553192"/>
    <w:rsid w:val="00553382"/>
    <w:rsid w:val="00553451"/>
    <w:rsid w:val="005538D1"/>
    <w:rsid w:val="0055399F"/>
    <w:rsid w:val="00553B6E"/>
    <w:rsid w:val="00553BC3"/>
    <w:rsid w:val="00553BD1"/>
    <w:rsid w:val="00553D3A"/>
    <w:rsid w:val="00553EBC"/>
    <w:rsid w:val="005540CD"/>
    <w:rsid w:val="00554245"/>
    <w:rsid w:val="005542EC"/>
    <w:rsid w:val="00554346"/>
    <w:rsid w:val="0055438C"/>
    <w:rsid w:val="00554411"/>
    <w:rsid w:val="0055454C"/>
    <w:rsid w:val="00554585"/>
    <w:rsid w:val="00554676"/>
    <w:rsid w:val="00554717"/>
    <w:rsid w:val="00554842"/>
    <w:rsid w:val="00554903"/>
    <w:rsid w:val="00554977"/>
    <w:rsid w:val="00554C50"/>
    <w:rsid w:val="00554D1D"/>
    <w:rsid w:val="00554D43"/>
    <w:rsid w:val="00554D48"/>
    <w:rsid w:val="00554E43"/>
    <w:rsid w:val="00554E4E"/>
    <w:rsid w:val="00554F1D"/>
    <w:rsid w:val="00554F25"/>
    <w:rsid w:val="005550EF"/>
    <w:rsid w:val="00555215"/>
    <w:rsid w:val="0055524B"/>
    <w:rsid w:val="00555267"/>
    <w:rsid w:val="0055528B"/>
    <w:rsid w:val="0055540F"/>
    <w:rsid w:val="005554E7"/>
    <w:rsid w:val="00555618"/>
    <w:rsid w:val="0055564E"/>
    <w:rsid w:val="00555662"/>
    <w:rsid w:val="0055591B"/>
    <w:rsid w:val="00555A18"/>
    <w:rsid w:val="00555A33"/>
    <w:rsid w:val="00555B19"/>
    <w:rsid w:val="00555BB5"/>
    <w:rsid w:val="00555BEF"/>
    <w:rsid w:val="00555BFA"/>
    <w:rsid w:val="00555C5D"/>
    <w:rsid w:val="00555D1A"/>
    <w:rsid w:val="00555ED5"/>
    <w:rsid w:val="0055602B"/>
    <w:rsid w:val="00556131"/>
    <w:rsid w:val="0055628B"/>
    <w:rsid w:val="005562D0"/>
    <w:rsid w:val="005563E9"/>
    <w:rsid w:val="0055640A"/>
    <w:rsid w:val="0055646A"/>
    <w:rsid w:val="005564DD"/>
    <w:rsid w:val="005565F1"/>
    <w:rsid w:val="00556609"/>
    <w:rsid w:val="0055683B"/>
    <w:rsid w:val="00556851"/>
    <w:rsid w:val="005568B9"/>
    <w:rsid w:val="0055698E"/>
    <w:rsid w:val="005569BB"/>
    <w:rsid w:val="00556BA5"/>
    <w:rsid w:val="00556BD2"/>
    <w:rsid w:val="00556C31"/>
    <w:rsid w:val="00556C8D"/>
    <w:rsid w:val="00556D03"/>
    <w:rsid w:val="00556E42"/>
    <w:rsid w:val="00556F07"/>
    <w:rsid w:val="00556F51"/>
    <w:rsid w:val="00557131"/>
    <w:rsid w:val="00557169"/>
    <w:rsid w:val="005574A3"/>
    <w:rsid w:val="005574BB"/>
    <w:rsid w:val="005574F5"/>
    <w:rsid w:val="005575A5"/>
    <w:rsid w:val="0055777F"/>
    <w:rsid w:val="005578C9"/>
    <w:rsid w:val="0055795E"/>
    <w:rsid w:val="00557A91"/>
    <w:rsid w:val="00557BC2"/>
    <w:rsid w:val="00557C33"/>
    <w:rsid w:val="00557D37"/>
    <w:rsid w:val="00557E9B"/>
    <w:rsid w:val="00557EB8"/>
    <w:rsid w:val="00557F14"/>
    <w:rsid w:val="005600CD"/>
    <w:rsid w:val="005602ED"/>
    <w:rsid w:val="005603C1"/>
    <w:rsid w:val="0056066E"/>
    <w:rsid w:val="00560747"/>
    <w:rsid w:val="005607FD"/>
    <w:rsid w:val="00560A3F"/>
    <w:rsid w:val="00560AAB"/>
    <w:rsid w:val="00560B6C"/>
    <w:rsid w:val="00560B6F"/>
    <w:rsid w:val="00560CEB"/>
    <w:rsid w:val="00560D70"/>
    <w:rsid w:val="00560D7A"/>
    <w:rsid w:val="00560F06"/>
    <w:rsid w:val="00561172"/>
    <w:rsid w:val="005611E8"/>
    <w:rsid w:val="00561202"/>
    <w:rsid w:val="00561290"/>
    <w:rsid w:val="00561555"/>
    <w:rsid w:val="0056170B"/>
    <w:rsid w:val="00561778"/>
    <w:rsid w:val="005618DB"/>
    <w:rsid w:val="00561BB3"/>
    <w:rsid w:val="00561C92"/>
    <w:rsid w:val="00561CCE"/>
    <w:rsid w:val="005620A2"/>
    <w:rsid w:val="0056225E"/>
    <w:rsid w:val="00562507"/>
    <w:rsid w:val="0056251C"/>
    <w:rsid w:val="00562811"/>
    <w:rsid w:val="0056288A"/>
    <w:rsid w:val="00562977"/>
    <w:rsid w:val="0056299D"/>
    <w:rsid w:val="00562A43"/>
    <w:rsid w:val="00562A6A"/>
    <w:rsid w:val="00562B3F"/>
    <w:rsid w:val="00562F5B"/>
    <w:rsid w:val="00562F5C"/>
    <w:rsid w:val="0056307A"/>
    <w:rsid w:val="00563081"/>
    <w:rsid w:val="0056310D"/>
    <w:rsid w:val="00563133"/>
    <w:rsid w:val="00563168"/>
    <w:rsid w:val="005631FF"/>
    <w:rsid w:val="00563217"/>
    <w:rsid w:val="00563372"/>
    <w:rsid w:val="00563388"/>
    <w:rsid w:val="005633DA"/>
    <w:rsid w:val="005633F2"/>
    <w:rsid w:val="0056367F"/>
    <w:rsid w:val="00563688"/>
    <w:rsid w:val="0056369D"/>
    <w:rsid w:val="00563748"/>
    <w:rsid w:val="0056395C"/>
    <w:rsid w:val="00563A8A"/>
    <w:rsid w:val="00563CA6"/>
    <w:rsid w:val="00563CA8"/>
    <w:rsid w:val="0056406B"/>
    <w:rsid w:val="005641B0"/>
    <w:rsid w:val="0056426C"/>
    <w:rsid w:val="0056433D"/>
    <w:rsid w:val="00564365"/>
    <w:rsid w:val="00564418"/>
    <w:rsid w:val="00564436"/>
    <w:rsid w:val="005644BB"/>
    <w:rsid w:val="00564532"/>
    <w:rsid w:val="0056454C"/>
    <w:rsid w:val="0056467B"/>
    <w:rsid w:val="00564829"/>
    <w:rsid w:val="00564979"/>
    <w:rsid w:val="00564A0C"/>
    <w:rsid w:val="00564B78"/>
    <w:rsid w:val="00564BC7"/>
    <w:rsid w:val="00564BCD"/>
    <w:rsid w:val="00564CBE"/>
    <w:rsid w:val="005651B8"/>
    <w:rsid w:val="00565220"/>
    <w:rsid w:val="005652F1"/>
    <w:rsid w:val="00565316"/>
    <w:rsid w:val="00565532"/>
    <w:rsid w:val="005655F6"/>
    <w:rsid w:val="00565734"/>
    <w:rsid w:val="0056586D"/>
    <w:rsid w:val="005658E0"/>
    <w:rsid w:val="00565953"/>
    <w:rsid w:val="00565B31"/>
    <w:rsid w:val="00565C1D"/>
    <w:rsid w:val="00565C3C"/>
    <w:rsid w:val="00565E3F"/>
    <w:rsid w:val="00565EC2"/>
    <w:rsid w:val="00566152"/>
    <w:rsid w:val="0056624C"/>
    <w:rsid w:val="00566267"/>
    <w:rsid w:val="0056655E"/>
    <w:rsid w:val="00566582"/>
    <w:rsid w:val="00566710"/>
    <w:rsid w:val="00566738"/>
    <w:rsid w:val="0056677A"/>
    <w:rsid w:val="00566A88"/>
    <w:rsid w:val="00566AB5"/>
    <w:rsid w:val="00566ABF"/>
    <w:rsid w:val="00566B72"/>
    <w:rsid w:val="00566BC5"/>
    <w:rsid w:val="00566BFA"/>
    <w:rsid w:val="00566C55"/>
    <w:rsid w:val="00566CDF"/>
    <w:rsid w:val="00566D82"/>
    <w:rsid w:val="00566F2B"/>
    <w:rsid w:val="00566F94"/>
    <w:rsid w:val="0056712A"/>
    <w:rsid w:val="005671C0"/>
    <w:rsid w:val="005672D4"/>
    <w:rsid w:val="00567313"/>
    <w:rsid w:val="005673D4"/>
    <w:rsid w:val="0056743A"/>
    <w:rsid w:val="0056747B"/>
    <w:rsid w:val="0056776B"/>
    <w:rsid w:val="0056793E"/>
    <w:rsid w:val="00567AC3"/>
    <w:rsid w:val="00567AF4"/>
    <w:rsid w:val="00567B0B"/>
    <w:rsid w:val="00567C20"/>
    <w:rsid w:val="00567C7E"/>
    <w:rsid w:val="00567D46"/>
    <w:rsid w:val="00567D98"/>
    <w:rsid w:val="00570460"/>
    <w:rsid w:val="00570541"/>
    <w:rsid w:val="005705A4"/>
    <w:rsid w:val="005705C7"/>
    <w:rsid w:val="00570626"/>
    <w:rsid w:val="00570726"/>
    <w:rsid w:val="00570811"/>
    <w:rsid w:val="0057085C"/>
    <w:rsid w:val="0057090E"/>
    <w:rsid w:val="00570AD6"/>
    <w:rsid w:val="00570CD7"/>
    <w:rsid w:val="00570D58"/>
    <w:rsid w:val="00570DD7"/>
    <w:rsid w:val="0057107F"/>
    <w:rsid w:val="005711F4"/>
    <w:rsid w:val="00571332"/>
    <w:rsid w:val="0057136C"/>
    <w:rsid w:val="0057137F"/>
    <w:rsid w:val="0057139E"/>
    <w:rsid w:val="00571479"/>
    <w:rsid w:val="00571632"/>
    <w:rsid w:val="0057169D"/>
    <w:rsid w:val="0057183C"/>
    <w:rsid w:val="005718ED"/>
    <w:rsid w:val="005719A6"/>
    <w:rsid w:val="00571B15"/>
    <w:rsid w:val="00571BC6"/>
    <w:rsid w:val="00571BFE"/>
    <w:rsid w:val="00571C20"/>
    <w:rsid w:val="00571CD3"/>
    <w:rsid w:val="00571D7C"/>
    <w:rsid w:val="00571D7D"/>
    <w:rsid w:val="00571EAC"/>
    <w:rsid w:val="00571F78"/>
    <w:rsid w:val="00572031"/>
    <w:rsid w:val="005720B6"/>
    <w:rsid w:val="00572282"/>
    <w:rsid w:val="005722CD"/>
    <w:rsid w:val="005723CF"/>
    <w:rsid w:val="00572453"/>
    <w:rsid w:val="0057245A"/>
    <w:rsid w:val="0057257E"/>
    <w:rsid w:val="00572618"/>
    <w:rsid w:val="0057268D"/>
    <w:rsid w:val="005726A2"/>
    <w:rsid w:val="005726A6"/>
    <w:rsid w:val="00572757"/>
    <w:rsid w:val="005729D4"/>
    <w:rsid w:val="00572B06"/>
    <w:rsid w:val="00572BFF"/>
    <w:rsid w:val="00572DA1"/>
    <w:rsid w:val="00573133"/>
    <w:rsid w:val="005731DE"/>
    <w:rsid w:val="005731FD"/>
    <w:rsid w:val="005732B9"/>
    <w:rsid w:val="0057345F"/>
    <w:rsid w:val="00573504"/>
    <w:rsid w:val="005737C0"/>
    <w:rsid w:val="00573838"/>
    <w:rsid w:val="00573939"/>
    <w:rsid w:val="00573990"/>
    <w:rsid w:val="00573B4C"/>
    <w:rsid w:val="00573BB4"/>
    <w:rsid w:val="00573C03"/>
    <w:rsid w:val="00573C6D"/>
    <w:rsid w:val="00573C8D"/>
    <w:rsid w:val="00573C94"/>
    <w:rsid w:val="00573CA3"/>
    <w:rsid w:val="00573CE3"/>
    <w:rsid w:val="00573F45"/>
    <w:rsid w:val="00574045"/>
    <w:rsid w:val="00574174"/>
    <w:rsid w:val="0057437B"/>
    <w:rsid w:val="00574515"/>
    <w:rsid w:val="00574537"/>
    <w:rsid w:val="0057460E"/>
    <w:rsid w:val="00574807"/>
    <w:rsid w:val="0057488F"/>
    <w:rsid w:val="00574BAB"/>
    <w:rsid w:val="00574D49"/>
    <w:rsid w:val="00574EBE"/>
    <w:rsid w:val="00575028"/>
    <w:rsid w:val="00575103"/>
    <w:rsid w:val="0057511B"/>
    <w:rsid w:val="005751E7"/>
    <w:rsid w:val="00575218"/>
    <w:rsid w:val="0057526F"/>
    <w:rsid w:val="00575270"/>
    <w:rsid w:val="005752D4"/>
    <w:rsid w:val="005752F2"/>
    <w:rsid w:val="00575470"/>
    <w:rsid w:val="00575529"/>
    <w:rsid w:val="00575603"/>
    <w:rsid w:val="0057569E"/>
    <w:rsid w:val="00575824"/>
    <w:rsid w:val="005758EB"/>
    <w:rsid w:val="00575A7A"/>
    <w:rsid w:val="00575BD1"/>
    <w:rsid w:val="00575CB3"/>
    <w:rsid w:val="00575D60"/>
    <w:rsid w:val="00575DBB"/>
    <w:rsid w:val="00575ED8"/>
    <w:rsid w:val="005760DD"/>
    <w:rsid w:val="00576217"/>
    <w:rsid w:val="0057624C"/>
    <w:rsid w:val="005763F5"/>
    <w:rsid w:val="005764F3"/>
    <w:rsid w:val="00576696"/>
    <w:rsid w:val="00576816"/>
    <w:rsid w:val="00576872"/>
    <w:rsid w:val="005769D8"/>
    <w:rsid w:val="00576B6C"/>
    <w:rsid w:val="00576B72"/>
    <w:rsid w:val="00576B99"/>
    <w:rsid w:val="00576CBA"/>
    <w:rsid w:val="00576E84"/>
    <w:rsid w:val="0057709B"/>
    <w:rsid w:val="0057715D"/>
    <w:rsid w:val="00577247"/>
    <w:rsid w:val="00577366"/>
    <w:rsid w:val="005773EB"/>
    <w:rsid w:val="00577500"/>
    <w:rsid w:val="005775E4"/>
    <w:rsid w:val="00577760"/>
    <w:rsid w:val="00577B54"/>
    <w:rsid w:val="00577BDB"/>
    <w:rsid w:val="00577E55"/>
    <w:rsid w:val="00577E6A"/>
    <w:rsid w:val="00577EAF"/>
    <w:rsid w:val="0058008C"/>
    <w:rsid w:val="005801E8"/>
    <w:rsid w:val="005802C3"/>
    <w:rsid w:val="0058032E"/>
    <w:rsid w:val="0058035A"/>
    <w:rsid w:val="00580394"/>
    <w:rsid w:val="005803AF"/>
    <w:rsid w:val="00580625"/>
    <w:rsid w:val="005806D0"/>
    <w:rsid w:val="005808D1"/>
    <w:rsid w:val="0058090B"/>
    <w:rsid w:val="005809CD"/>
    <w:rsid w:val="005809D0"/>
    <w:rsid w:val="005809ED"/>
    <w:rsid w:val="00580B99"/>
    <w:rsid w:val="00580D1E"/>
    <w:rsid w:val="00580FB2"/>
    <w:rsid w:val="00580FDB"/>
    <w:rsid w:val="00580FF5"/>
    <w:rsid w:val="00581186"/>
    <w:rsid w:val="005812B2"/>
    <w:rsid w:val="00581316"/>
    <w:rsid w:val="00581333"/>
    <w:rsid w:val="00581615"/>
    <w:rsid w:val="005816B7"/>
    <w:rsid w:val="0058180F"/>
    <w:rsid w:val="00581955"/>
    <w:rsid w:val="00581BA4"/>
    <w:rsid w:val="00581CF4"/>
    <w:rsid w:val="00581D8C"/>
    <w:rsid w:val="00581E96"/>
    <w:rsid w:val="00581EC1"/>
    <w:rsid w:val="00581EE9"/>
    <w:rsid w:val="005820AC"/>
    <w:rsid w:val="00582115"/>
    <w:rsid w:val="00582117"/>
    <w:rsid w:val="0058216E"/>
    <w:rsid w:val="00582204"/>
    <w:rsid w:val="00582335"/>
    <w:rsid w:val="00582453"/>
    <w:rsid w:val="005824E1"/>
    <w:rsid w:val="00582529"/>
    <w:rsid w:val="005826A5"/>
    <w:rsid w:val="005826E5"/>
    <w:rsid w:val="005826EA"/>
    <w:rsid w:val="005827BA"/>
    <w:rsid w:val="0058282B"/>
    <w:rsid w:val="00582A21"/>
    <w:rsid w:val="00582AEE"/>
    <w:rsid w:val="00582B23"/>
    <w:rsid w:val="00582B8C"/>
    <w:rsid w:val="00582CD6"/>
    <w:rsid w:val="00582D6D"/>
    <w:rsid w:val="00582DB0"/>
    <w:rsid w:val="00582DF5"/>
    <w:rsid w:val="00582E19"/>
    <w:rsid w:val="00582F91"/>
    <w:rsid w:val="00582FF1"/>
    <w:rsid w:val="00583081"/>
    <w:rsid w:val="005830D7"/>
    <w:rsid w:val="00583186"/>
    <w:rsid w:val="005831DB"/>
    <w:rsid w:val="00583207"/>
    <w:rsid w:val="00583363"/>
    <w:rsid w:val="005833E7"/>
    <w:rsid w:val="00583417"/>
    <w:rsid w:val="0058343B"/>
    <w:rsid w:val="0058349B"/>
    <w:rsid w:val="005835E9"/>
    <w:rsid w:val="00583729"/>
    <w:rsid w:val="005837BC"/>
    <w:rsid w:val="00583BE1"/>
    <w:rsid w:val="00583C12"/>
    <w:rsid w:val="00583C64"/>
    <w:rsid w:val="00583D5A"/>
    <w:rsid w:val="00583D88"/>
    <w:rsid w:val="00583DA6"/>
    <w:rsid w:val="00583E54"/>
    <w:rsid w:val="00583E80"/>
    <w:rsid w:val="00583FC0"/>
    <w:rsid w:val="0058403F"/>
    <w:rsid w:val="00584054"/>
    <w:rsid w:val="00584291"/>
    <w:rsid w:val="00584334"/>
    <w:rsid w:val="0058468C"/>
    <w:rsid w:val="0058488E"/>
    <w:rsid w:val="0058494F"/>
    <w:rsid w:val="00584998"/>
    <w:rsid w:val="0058499A"/>
    <w:rsid w:val="00584AB5"/>
    <w:rsid w:val="00584C12"/>
    <w:rsid w:val="00584C64"/>
    <w:rsid w:val="00584C87"/>
    <w:rsid w:val="00584D77"/>
    <w:rsid w:val="00584D7C"/>
    <w:rsid w:val="00584F1C"/>
    <w:rsid w:val="00584F63"/>
    <w:rsid w:val="00585017"/>
    <w:rsid w:val="00585089"/>
    <w:rsid w:val="005851CE"/>
    <w:rsid w:val="0058523F"/>
    <w:rsid w:val="0058526D"/>
    <w:rsid w:val="005852F9"/>
    <w:rsid w:val="00585406"/>
    <w:rsid w:val="0058552B"/>
    <w:rsid w:val="005855DE"/>
    <w:rsid w:val="0058571A"/>
    <w:rsid w:val="005857CA"/>
    <w:rsid w:val="005857E6"/>
    <w:rsid w:val="00585A6B"/>
    <w:rsid w:val="00585C20"/>
    <w:rsid w:val="00585D4A"/>
    <w:rsid w:val="00585D65"/>
    <w:rsid w:val="00585EAE"/>
    <w:rsid w:val="00586026"/>
    <w:rsid w:val="00586090"/>
    <w:rsid w:val="005860C4"/>
    <w:rsid w:val="005861FA"/>
    <w:rsid w:val="00586214"/>
    <w:rsid w:val="00586331"/>
    <w:rsid w:val="00586356"/>
    <w:rsid w:val="005863B6"/>
    <w:rsid w:val="005864B4"/>
    <w:rsid w:val="0058663D"/>
    <w:rsid w:val="0058677E"/>
    <w:rsid w:val="005867DB"/>
    <w:rsid w:val="00586A17"/>
    <w:rsid w:val="00586A30"/>
    <w:rsid w:val="00586A82"/>
    <w:rsid w:val="00586ADA"/>
    <w:rsid w:val="00586C64"/>
    <w:rsid w:val="00587148"/>
    <w:rsid w:val="00587299"/>
    <w:rsid w:val="005873EC"/>
    <w:rsid w:val="005874A1"/>
    <w:rsid w:val="0058757E"/>
    <w:rsid w:val="005876B8"/>
    <w:rsid w:val="005877DF"/>
    <w:rsid w:val="0058782D"/>
    <w:rsid w:val="00587A22"/>
    <w:rsid w:val="00587C50"/>
    <w:rsid w:val="00587E5A"/>
    <w:rsid w:val="00587EDA"/>
    <w:rsid w:val="00590026"/>
    <w:rsid w:val="00590052"/>
    <w:rsid w:val="005902CB"/>
    <w:rsid w:val="005903B3"/>
    <w:rsid w:val="005903E7"/>
    <w:rsid w:val="0059047D"/>
    <w:rsid w:val="005905D9"/>
    <w:rsid w:val="0059061D"/>
    <w:rsid w:val="005906A3"/>
    <w:rsid w:val="005906F6"/>
    <w:rsid w:val="0059088B"/>
    <w:rsid w:val="00590895"/>
    <w:rsid w:val="00590A11"/>
    <w:rsid w:val="00590B5C"/>
    <w:rsid w:val="00590BE1"/>
    <w:rsid w:val="00590FF7"/>
    <w:rsid w:val="00591059"/>
    <w:rsid w:val="0059118B"/>
    <w:rsid w:val="0059119C"/>
    <w:rsid w:val="005913B6"/>
    <w:rsid w:val="00591634"/>
    <w:rsid w:val="005916F3"/>
    <w:rsid w:val="00591722"/>
    <w:rsid w:val="005919C1"/>
    <w:rsid w:val="00591A8A"/>
    <w:rsid w:val="00591B72"/>
    <w:rsid w:val="00591BAB"/>
    <w:rsid w:val="00591D9C"/>
    <w:rsid w:val="00591E1D"/>
    <w:rsid w:val="00591F29"/>
    <w:rsid w:val="00592052"/>
    <w:rsid w:val="0059221A"/>
    <w:rsid w:val="00592257"/>
    <w:rsid w:val="00592275"/>
    <w:rsid w:val="005922F5"/>
    <w:rsid w:val="00592342"/>
    <w:rsid w:val="00592498"/>
    <w:rsid w:val="005924EC"/>
    <w:rsid w:val="0059254F"/>
    <w:rsid w:val="005925BE"/>
    <w:rsid w:val="00592644"/>
    <w:rsid w:val="005926E2"/>
    <w:rsid w:val="00592730"/>
    <w:rsid w:val="005927A7"/>
    <w:rsid w:val="005927C7"/>
    <w:rsid w:val="005927E0"/>
    <w:rsid w:val="00592909"/>
    <w:rsid w:val="005929C0"/>
    <w:rsid w:val="00592A7D"/>
    <w:rsid w:val="00592D7E"/>
    <w:rsid w:val="00592DF9"/>
    <w:rsid w:val="00592F8A"/>
    <w:rsid w:val="00592FF6"/>
    <w:rsid w:val="00593115"/>
    <w:rsid w:val="0059315F"/>
    <w:rsid w:val="0059321E"/>
    <w:rsid w:val="005932F7"/>
    <w:rsid w:val="005935A6"/>
    <w:rsid w:val="005936D9"/>
    <w:rsid w:val="00593749"/>
    <w:rsid w:val="00593797"/>
    <w:rsid w:val="005937D5"/>
    <w:rsid w:val="00593844"/>
    <w:rsid w:val="00593938"/>
    <w:rsid w:val="00593954"/>
    <w:rsid w:val="00593A90"/>
    <w:rsid w:val="00593CAF"/>
    <w:rsid w:val="00593CC6"/>
    <w:rsid w:val="00593FA6"/>
    <w:rsid w:val="005941DE"/>
    <w:rsid w:val="00594289"/>
    <w:rsid w:val="005945ED"/>
    <w:rsid w:val="00594918"/>
    <w:rsid w:val="005949E0"/>
    <w:rsid w:val="00594A50"/>
    <w:rsid w:val="00594A52"/>
    <w:rsid w:val="00594B0B"/>
    <w:rsid w:val="00594B5E"/>
    <w:rsid w:val="00594BB4"/>
    <w:rsid w:val="00594BCB"/>
    <w:rsid w:val="00594BF9"/>
    <w:rsid w:val="00594F57"/>
    <w:rsid w:val="0059512A"/>
    <w:rsid w:val="005951FF"/>
    <w:rsid w:val="0059527F"/>
    <w:rsid w:val="005952F1"/>
    <w:rsid w:val="005953DB"/>
    <w:rsid w:val="005954C2"/>
    <w:rsid w:val="005956C6"/>
    <w:rsid w:val="00595717"/>
    <w:rsid w:val="0059584C"/>
    <w:rsid w:val="00595888"/>
    <w:rsid w:val="00595921"/>
    <w:rsid w:val="00595B08"/>
    <w:rsid w:val="00595B0B"/>
    <w:rsid w:val="00595BED"/>
    <w:rsid w:val="00595BF6"/>
    <w:rsid w:val="00595FDA"/>
    <w:rsid w:val="00596011"/>
    <w:rsid w:val="0059613C"/>
    <w:rsid w:val="005961EB"/>
    <w:rsid w:val="00596209"/>
    <w:rsid w:val="00596282"/>
    <w:rsid w:val="005964DC"/>
    <w:rsid w:val="00596505"/>
    <w:rsid w:val="00596510"/>
    <w:rsid w:val="0059668E"/>
    <w:rsid w:val="005966BD"/>
    <w:rsid w:val="005966C6"/>
    <w:rsid w:val="005967D4"/>
    <w:rsid w:val="005967F1"/>
    <w:rsid w:val="005968D3"/>
    <w:rsid w:val="00596997"/>
    <w:rsid w:val="0059699D"/>
    <w:rsid w:val="00596A0B"/>
    <w:rsid w:val="00596A4B"/>
    <w:rsid w:val="00596AD9"/>
    <w:rsid w:val="00596BD8"/>
    <w:rsid w:val="00596BE0"/>
    <w:rsid w:val="00596CD7"/>
    <w:rsid w:val="00597168"/>
    <w:rsid w:val="00597322"/>
    <w:rsid w:val="005974F9"/>
    <w:rsid w:val="00597507"/>
    <w:rsid w:val="00597528"/>
    <w:rsid w:val="00597577"/>
    <w:rsid w:val="005975D2"/>
    <w:rsid w:val="00597731"/>
    <w:rsid w:val="00597817"/>
    <w:rsid w:val="00597874"/>
    <w:rsid w:val="005979FA"/>
    <w:rsid w:val="00597A9E"/>
    <w:rsid w:val="00597E81"/>
    <w:rsid w:val="00597F00"/>
    <w:rsid w:val="00597FAE"/>
    <w:rsid w:val="005A001C"/>
    <w:rsid w:val="005A005A"/>
    <w:rsid w:val="005A006F"/>
    <w:rsid w:val="005A01C1"/>
    <w:rsid w:val="005A028C"/>
    <w:rsid w:val="005A0360"/>
    <w:rsid w:val="005A0386"/>
    <w:rsid w:val="005A03FC"/>
    <w:rsid w:val="005A0475"/>
    <w:rsid w:val="005A05B8"/>
    <w:rsid w:val="005A069F"/>
    <w:rsid w:val="005A0720"/>
    <w:rsid w:val="005A0781"/>
    <w:rsid w:val="005A0820"/>
    <w:rsid w:val="005A08BE"/>
    <w:rsid w:val="005A0BF3"/>
    <w:rsid w:val="005A0E9C"/>
    <w:rsid w:val="005A0EFA"/>
    <w:rsid w:val="005A108D"/>
    <w:rsid w:val="005A113B"/>
    <w:rsid w:val="005A1263"/>
    <w:rsid w:val="005A13BF"/>
    <w:rsid w:val="005A13C6"/>
    <w:rsid w:val="005A152F"/>
    <w:rsid w:val="005A1554"/>
    <w:rsid w:val="005A173C"/>
    <w:rsid w:val="005A18AE"/>
    <w:rsid w:val="005A18B7"/>
    <w:rsid w:val="005A18BA"/>
    <w:rsid w:val="005A19A1"/>
    <w:rsid w:val="005A19D1"/>
    <w:rsid w:val="005A1B1D"/>
    <w:rsid w:val="005A1B87"/>
    <w:rsid w:val="005A1BA1"/>
    <w:rsid w:val="005A1BDE"/>
    <w:rsid w:val="005A1C70"/>
    <w:rsid w:val="005A1E77"/>
    <w:rsid w:val="005A1F73"/>
    <w:rsid w:val="005A1F78"/>
    <w:rsid w:val="005A1FAF"/>
    <w:rsid w:val="005A1FC5"/>
    <w:rsid w:val="005A20D7"/>
    <w:rsid w:val="005A2122"/>
    <w:rsid w:val="005A22FB"/>
    <w:rsid w:val="005A2403"/>
    <w:rsid w:val="005A2469"/>
    <w:rsid w:val="005A2483"/>
    <w:rsid w:val="005A2780"/>
    <w:rsid w:val="005A28EB"/>
    <w:rsid w:val="005A292B"/>
    <w:rsid w:val="005A2933"/>
    <w:rsid w:val="005A29BC"/>
    <w:rsid w:val="005A2B52"/>
    <w:rsid w:val="005A2B97"/>
    <w:rsid w:val="005A2BD0"/>
    <w:rsid w:val="005A2BF3"/>
    <w:rsid w:val="005A2ED7"/>
    <w:rsid w:val="005A2EFF"/>
    <w:rsid w:val="005A2F28"/>
    <w:rsid w:val="005A2F93"/>
    <w:rsid w:val="005A3242"/>
    <w:rsid w:val="005A328A"/>
    <w:rsid w:val="005A341F"/>
    <w:rsid w:val="005A363A"/>
    <w:rsid w:val="005A3670"/>
    <w:rsid w:val="005A3770"/>
    <w:rsid w:val="005A380C"/>
    <w:rsid w:val="005A3937"/>
    <w:rsid w:val="005A3947"/>
    <w:rsid w:val="005A3B8A"/>
    <w:rsid w:val="005A3D34"/>
    <w:rsid w:val="005A3D40"/>
    <w:rsid w:val="005A3F46"/>
    <w:rsid w:val="005A3F67"/>
    <w:rsid w:val="005A3F98"/>
    <w:rsid w:val="005A402F"/>
    <w:rsid w:val="005A408A"/>
    <w:rsid w:val="005A40C3"/>
    <w:rsid w:val="005A4206"/>
    <w:rsid w:val="005A427C"/>
    <w:rsid w:val="005A43D9"/>
    <w:rsid w:val="005A441F"/>
    <w:rsid w:val="005A4703"/>
    <w:rsid w:val="005A479D"/>
    <w:rsid w:val="005A47A7"/>
    <w:rsid w:val="005A4813"/>
    <w:rsid w:val="005A482B"/>
    <w:rsid w:val="005A4859"/>
    <w:rsid w:val="005A4C2D"/>
    <w:rsid w:val="005A4E4C"/>
    <w:rsid w:val="005A4E52"/>
    <w:rsid w:val="005A4E94"/>
    <w:rsid w:val="005A4F1A"/>
    <w:rsid w:val="005A5075"/>
    <w:rsid w:val="005A50C5"/>
    <w:rsid w:val="005A50EE"/>
    <w:rsid w:val="005A5122"/>
    <w:rsid w:val="005A5161"/>
    <w:rsid w:val="005A53B2"/>
    <w:rsid w:val="005A5616"/>
    <w:rsid w:val="005A5636"/>
    <w:rsid w:val="005A56E7"/>
    <w:rsid w:val="005A5741"/>
    <w:rsid w:val="005A580C"/>
    <w:rsid w:val="005A5832"/>
    <w:rsid w:val="005A5945"/>
    <w:rsid w:val="005A5995"/>
    <w:rsid w:val="005A5B76"/>
    <w:rsid w:val="005A5BF2"/>
    <w:rsid w:val="005A5C00"/>
    <w:rsid w:val="005A5D7B"/>
    <w:rsid w:val="005A607B"/>
    <w:rsid w:val="005A607E"/>
    <w:rsid w:val="005A6087"/>
    <w:rsid w:val="005A60DF"/>
    <w:rsid w:val="005A6242"/>
    <w:rsid w:val="005A640C"/>
    <w:rsid w:val="005A6553"/>
    <w:rsid w:val="005A66A3"/>
    <w:rsid w:val="005A6782"/>
    <w:rsid w:val="005A682E"/>
    <w:rsid w:val="005A6995"/>
    <w:rsid w:val="005A6A98"/>
    <w:rsid w:val="005A6AC1"/>
    <w:rsid w:val="005A6AC2"/>
    <w:rsid w:val="005A6C8C"/>
    <w:rsid w:val="005A6D3C"/>
    <w:rsid w:val="005A6E13"/>
    <w:rsid w:val="005A6FA3"/>
    <w:rsid w:val="005A6FD8"/>
    <w:rsid w:val="005A7000"/>
    <w:rsid w:val="005A70A2"/>
    <w:rsid w:val="005A71E3"/>
    <w:rsid w:val="005A7218"/>
    <w:rsid w:val="005A72D4"/>
    <w:rsid w:val="005A73CD"/>
    <w:rsid w:val="005A7424"/>
    <w:rsid w:val="005A744A"/>
    <w:rsid w:val="005A77E7"/>
    <w:rsid w:val="005A77ED"/>
    <w:rsid w:val="005A78D0"/>
    <w:rsid w:val="005A7B08"/>
    <w:rsid w:val="005A7B81"/>
    <w:rsid w:val="005A7C8B"/>
    <w:rsid w:val="005A7F98"/>
    <w:rsid w:val="005B0005"/>
    <w:rsid w:val="005B0087"/>
    <w:rsid w:val="005B015D"/>
    <w:rsid w:val="005B01A0"/>
    <w:rsid w:val="005B020D"/>
    <w:rsid w:val="005B024A"/>
    <w:rsid w:val="005B0279"/>
    <w:rsid w:val="005B037C"/>
    <w:rsid w:val="005B03BB"/>
    <w:rsid w:val="005B03DD"/>
    <w:rsid w:val="005B053A"/>
    <w:rsid w:val="005B0690"/>
    <w:rsid w:val="005B07A4"/>
    <w:rsid w:val="005B0889"/>
    <w:rsid w:val="005B0985"/>
    <w:rsid w:val="005B0A02"/>
    <w:rsid w:val="005B0A48"/>
    <w:rsid w:val="005B0D1D"/>
    <w:rsid w:val="005B0DB8"/>
    <w:rsid w:val="005B0FBB"/>
    <w:rsid w:val="005B0FBE"/>
    <w:rsid w:val="005B10B3"/>
    <w:rsid w:val="005B10B8"/>
    <w:rsid w:val="005B1249"/>
    <w:rsid w:val="005B1318"/>
    <w:rsid w:val="005B138A"/>
    <w:rsid w:val="005B13C4"/>
    <w:rsid w:val="005B140A"/>
    <w:rsid w:val="005B1449"/>
    <w:rsid w:val="005B1471"/>
    <w:rsid w:val="005B17A0"/>
    <w:rsid w:val="005B1841"/>
    <w:rsid w:val="005B1C6D"/>
    <w:rsid w:val="005B1CB1"/>
    <w:rsid w:val="005B1D35"/>
    <w:rsid w:val="005B1E1D"/>
    <w:rsid w:val="005B1E63"/>
    <w:rsid w:val="005B1E70"/>
    <w:rsid w:val="005B1F34"/>
    <w:rsid w:val="005B1F9A"/>
    <w:rsid w:val="005B1FFD"/>
    <w:rsid w:val="005B2025"/>
    <w:rsid w:val="005B2144"/>
    <w:rsid w:val="005B2197"/>
    <w:rsid w:val="005B21B6"/>
    <w:rsid w:val="005B2272"/>
    <w:rsid w:val="005B22E0"/>
    <w:rsid w:val="005B24EA"/>
    <w:rsid w:val="005B258E"/>
    <w:rsid w:val="005B2606"/>
    <w:rsid w:val="005B26C3"/>
    <w:rsid w:val="005B2756"/>
    <w:rsid w:val="005B2932"/>
    <w:rsid w:val="005B29E2"/>
    <w:rsid w:val="005B2ED8"/>
    <w:rsid w:val="005B2F59"/>
    <w:rsid w:val="005B2FB4"/>
    <w:rsid w:val="005B301F"/>
    <w:rsid w:val="005B3053"/>
    <w:rsid w:val="005B30DB"/>
    <w:rsid w:val="005B3136"/>
    <w:rsid w:val="005B318B"/>
    <w:rsid w:val="005B31E7"/>
    <w:rsid w:val="005B3240"/>
    <w:rsid w:val="005B3308"/>
    <w:rsid w:val="005B3321"/>
    <w:rsid w:val="005B33DD"/>
    <w:rsid w:val="005B3579"/>
    <w:rsid w:val="005B35BD"/>
    <w:rsid w:val="005B3685"/>
    <w:rsid w:val="005B380F"/>
    <w:rsid w:val="005B38F3"/>
    <w:rsid w:val="005B3A08"/>
    <w:rsid w:val="005B3A22"/>
    <w:rsid w:val="005B3A2A"/>
    <w:rsid w:val="005B3AAC"/>
    <w:rsid w:val="005B3B32"/>
    <w:rsid w:val="005B3B42"/>
    <w:rsid w:val="005B3B98"/>
    <w:rsid w:val="005B3CC3"/>
    <w:rsid w:val="005B3D11"/>
    <w:rsid w:val="005B40AE"/>
    <w:rsid w:val="005B423D"/>
    <w:rsid w:val="005B429A"/>
    <w:rsid w:val="005B43A5"/>
    <w:rsid w:val="005B447D"/>
    <w:rsid w:val="005B4540"/>
    <w:rsid w:val="005B4584"/>
    <w:rsid w:val="005B46D0"/>
    <w:rsid w:val="005B4761"/>
    <w:rsid w:val="005B4921"/>
    <w:rsid w:val="005B49A9"/>
    <w:rsid w:val="005B4B29"/>
    <w:rsid w:val="005B4B88"/>
    <w:rsid w:val="005B4CD6"/>
    <w:rsid w:val="005B4E5E"/>
    <w:rsid w:val="005B5047"/>
    <w:rsid w:val="005B5281"/>
    <w:rsid w:val="005B5313"/>
    <w:rsid w:val="005B5738"/>
    <w:rsid w:val="005B5B23"/>
    <w:rsid w:val="005B5EF2"/>
    <w:rsid w:val="005B5F00"/>
    <w:rsid w:val="005B61D8"/>
    <w:rsid w:val="005B61F3"/>
    <w:rsid w:val="005B631C"/>
    <w:rsid w:val="005B66F9"/>
    <w:rsid w:val="005B692D"/>
    <w:rsid w:val="005B69F1"/>
    <w:rsid w:val="005B6A1E"/>
    <w:rsid w:val="005B6ADF"/>
    <w:rsid w:val="005B6B08"/>
    <w:rsid w:val="005B6BD1"/>
    <w:rsid w:val="005B7022"/>
    <w:rsid w:val="005B71A4"/>
    <w:rsid w:val="005B726C"/>
    <w:rsid w:val="005B732B"/>
    <w:rsid w:val="005B7470"/>
    <w:rsid w:val="005B7627"/>
    <w:rsid w:val="005B7714"/>
    <w:rsid w:val="005B781B"/>
    <w:rsid w:val="005B7A2D"/>
    <w:rsid w:val="005B7A63"/>
    <w:rsid w:val="005B7C1A"/>
    <w:rsid w:val="005B7C54"/>
    <w:rsid w:val="005B7C83"/>
    <w:rsid w:val="005B7CEF"/>
    <w:rsid w:val="005B7E70"/>
    <w:rsid w:val="005B7EE9"/>
    <w:rsid w:val="005B7F91"/>
    <w:rsid w:val="005C01CE"/>
    <w:rsid w:val="005C0235"/>
    <w:rsid w:val="005C0389"/>
    <w:rsid w:val="005C04C6"/>
    <w:rsid w:val="005C069C"/>
    <w:rsid w:val="005C074C"/>
    <w:rsid w:val="005C0774"/>
    <w:rsid w:val="005C0832"/>
    <w:rsid w:val="005C08AD"/>
    <w:rsid w:val="005C0955"/>
    <w:rsid w:val="005C0A17"/>
    <w:rsid w:val="005C0BC2"/>
    <w:rsid w:val="005C0D4D"/>
    <w:rsid w:val="005C0DBF"/>
    <w:rsid w:val="005C0E5C"/>
    <w:rsid w:val="005C0ECF"/>
    <w:rsid w:val="005C0F98"/>
    <w:rsid w:val="005C0FC2"/>
    <w:rsid w:val="005C1263"/>
    <w:rsid w:val="005C18CD"/>
    <w:rsid w:val="005C1A95"/>
    <w:rsid w:val="005C1BDA"/>
    <w:rsid w:val="005C203F"/>
    <w:rsid w:val="005C20AB"/>
    <w:rsid w:val="005C215D"/>
    <w:rsid w:val="005C21D3"/>
    <w:rsid w:val="005C2201"/>
    <w:rsid w:val="005C226C"/>
    <w:rsid w:val="005C232D"/>
    <w:rsid w:val="005C23B9"/>
    <w:rsid w:val="005C2472"/>
    <w:rsid w:val="005C2726"/>
    <w:rsid w:val="005C28C8"/>
    <w:rsid w:val="005C2C53"/>
    <w:rsid w:val="005C2D26"/>
    <w:rsid w:val="005C2DE6"/>
    <w:rsid w:val="005C2DFD"/>
    <w:rsid w:val="005C2EE2"/>
    <w:rsid w:val="005C2F3C"/>
    <w:rsid w:val="005C2F65"/>
    <w:rsid w:val="005C2F6B"/>
    <w:rsid w:val="005C3109"/>
    <w:rsid w:val="005C317A"/>
    <w:rsid w:val="005C321D"/>
    <w:rsid w:val="005C3291"/>
    <w:rsid w:val="005C32A4"/>
    <w:rsid w:val="005C338A"/>
    <w:rsid w:val="005C33DB"/>
    <w:rsid w:val="005C3518"/>
    <w:rsid w:val="005C36D2"/>
    <w:rsid w:val="005C36DE"/>
    <w:rsid w:val="005C36FE"/>
    <w:rsid w:val="005C377D"/>
    <w:rsid w:val="005C395E"/>
    <w:rsid w:val="005C3AA0"/>
    <w:rsid w:val="005C3AF5"/>
    <w:rsid w:val="005C3B4C"/>
    <w:rsid w:val="005C3C4A"/>
    <w:rsid w:val="005C3DB1"/>
    <w:rsid w:val="005C3E20"/>
    <w:rsid w:val="005C3ED8"/>
    <w:rsid w:val="005C3FC3"/>
    <w:rsid w:val="005C3FE0"/>
    <w:rsid w:val="005C40D5"/>
    <w:rsid w:val="005C410A"/>
    <w:rsid w:val="005C4167"/>
    <w:rsid w:val="005C4189"/>
    <w:rsid w:val="005C41B3"/>
    <w:rsid w:val="005C42CB"/>
    <w:rsid w:val="005C42EE"/>
    <w:rsid w:val="005C4382"/>
    <w:rsid w:val="005C43C4"/>
    <w:rsid w:val="005C46A3"/>
    <w:rsid w:val="005C48CB"/>
    <w:rsid w:val="005C491D"/>
    <w:rsid w:val="005C49DA"/>
    <w:rsid w:val="005C4BB7"/>
    <w:rsid w:val="005C4BDE"/>
    <w:rsid w:val="005C4DF2"/>
    <w:rsid w:val="005C4E03"/>
    <w:rsid w:val="005C4EDB"/>
    <w:rsid w:val="005C4FFB"/>
    <w:rsid w:val="005C5093"/>
    <w:rsid w:val="005C5096"/>
    <w:rsid w:val="005C50F3"/>
    <w:rsid w:val="005C511F"/>
    <w:rsid w:val="005C516C"/>
    <w:rsid w:val="005C5381"/>
    <w:rsid w:val="005C53E2"/>
    <w:rsid w:val="005C541A"/>
    <w:rsid w:val="005C54B5"/>
    <w:rsid w:val="005C54BC"/>
    <w:rsid w:val="005C54CA"/>
    <w:rsid w:val="005C54CB"/>
    <w:rsid w:val="005C54CD"/>
    <w:rsid w:val="005C558F"/>
    <w:rsid w:val="005C55F6"/>
    <w:rsid w:val="005C5643"/>
    <w:rsid w:val="005C565F"/>
    <w:rsid w:val="005C58CB"/>
    <w:rsid w:val="005C58D2"/>
    <w:rsid w:val="005C58DD"/>
    <w:rsid w:val="005C5941"/>
    <w:rsid w:val="005C5B66"/>
    <w:rsid w:val="005C5BD1"/>
    <w:rsid w:val="005C5C2E"/>
    <w:rsid w:val="005C5CDC"/>
    <w:rsid w:val="005C5D80"/>
    <w:rsid w:val="005C5D91"/>
    <w:rsid w:val="005C5EB0"/>
    <w:rsid w:val="005C5EFE"/>
    <w:rsid w:val="005C5F36"/>
    <w:rsid w:val="005C5F91"/>
    <w:rsid w:val="005C5FED"/>
    <w:rsid w:val="005C6114"/>
    <w:rsid w:val="005C61BD"/>
    <w:rsid w:val="005C6228"/>
    <w:rsid w:val="005C6305"/>
    <w:rsid w:val="005C6460"/>
    <w:rsid w:val="005C649B"/>
    <w:rsid w:val="005C6532"/>
    <w:rsid w:val="005C6613"/>
    <w:rsid w:val="005C67CB"/>
    <w:rsid w:val="005C6992"/>
    <w:rsid w:val="005C69A7"/>
    <w:rsid w:val="005C6A27"/>
    <w:rsid w:val="005C6B17"/>
    <w:rsid w:val="005C6B45"/>
    <w:rsid w:val="005C6B64"/>
    <w:rsid w:val="005C6B7D"/>
    <w:rsid w:val="005C6BD2"/>
    <w:rsid w:val="005C6C08"/>
    <w:rsid w:val="005C6C68"/>
    <w:rsid w:val="005C6E08"/>
    <w:rsid w:val="005C6FD2"/>
    <w:rsid w:val="005C6FE2"/>
    <w:rsid w:val="005C722B"/>
    <w:rsid w:val="005C728A"/>
    <w:rsid w:val="005C737A"/>
    <w:rsid w:val="005C75B8"/>
    <w:rsid w:val="005C7675"/>
    <w:rsid w:val="005C76D2"/>
    <w:rsid w:val="005C7738"/>
    <w:rsid w:val="005C7743"/>
    <w:rsid w:val="005C7751"/>
    <w:rsid w:val="005C7A9C"/>
    <w:rsid w:val="005C7B56"/>
    <w:rsid w:val="005C7B78"/>
    <w:rsid w:val="005C7B7E"/>
    <w:rsid w:val="005C7B94"/>
    <w:rsid w:val="005C7BB6"/>
    <w:rsid w:val="005C7CFA"/>
    <w:rsid w:val="005C7D31"/>
    <w:rsid w:val="005C7E48"/>
    <w:rsid w:val="005C7F82"/>
    <w:rsid w:val="005D0045"/>
    <w:rsid w:val="005D0060"/>
    <w:rsid w:val="005D00C8"/>
    <w:rsid w:val="005D00FA"/>
    <w:rsid w:val="005D02BA"/>
    <w:rsid w:val="005D02E7"/>
    <w:rsid w:val="005D0330"/>
    <w:rsid w:val="005D051F"/>
    <w:rsid w:val="005D0550"/>
    <w:rsid w:val="005D0577"/>
    <w:rsid w:val="005D06DD"/>
    <w:rsid w:val="005D076A"/>
    <w:rsid w:val="005D07B8"/>
    <w:rsid w:val="005D0830"/>
    <w:rsid w:val="005D0984"/>
    <w:rsid w:val="005D0A3F"/>
    <w:rsid w:val="005D0BA7"/>
    <w:rsid w:val="005D0BE5"/>
    <w:rsid w:val="005D0DA6"/>
    <w:rsid w:val="005D0E78"/>
    <w:rsid w:val="005D0F9D"/>
    <w:rsid w:val="005D0FE6"/>
    <w:rsid w:val="005D10E5"/>
    <w:rsid w:val="005D1176"/>
    <w:rsid w:val="005D123C"/>
    <w:rsid w:val="005D125C"/>
    <w:rsid w:val="005D1378"/>
    <w:rsid w:val="005D1395"/>
    <w:rsid w:val="005D150E"/>
    <w:rsid w:val="005D1624"/>
    <w:rsid w:val="005D16FF"/>
    <w:rsid w:val="005D170A"/>
    <w:rsid w:val="005D176B"/>
    <w:rsid w:val="005D17AA"/>
    <w:rsid w:val="005D1956"/>
    <w:rsid w:val="005D196C"/>
    <w:rsid w:val="005D19B5"/>
    <w:rsid w:val="005D19F8"/>
    <w:rsid w:val="005D1A9E"/>
    <w:rsid w:val="005D1B55"/>
    <w:rsid w:val="005D1BD4"/>
    <w:rsid w:val="005D1C3E"/>
    <w:rsid w:val="005D1D5B"/>
    <w:rsid w:val="005D1D9D"/>
    <w:rsid w:val="005D1E4B"/>
    <w:rsid w:val="005D1E75"/>
    <w:rsid w:val="005D1F4E"/>
    <w:rsid w:val="005D1F70"/>
    <w:rsid w:val="005D2064"/>
    <w:rsid w:val="005D21FA"/>
    <w:rsid w:val="005D22B4"/>
    <w:rsid w:val="005D2384"/>
    <w:rsid w:val="005D23A9"/>
    <w:rsid w:val="005D242B"/>
    <w:rsid w:val="005D246E"/>
    <w:rsid w:val="005D26B4"/>
    <w:rsid w:val="005D280C"/>
    <w:rsid w:val="005D2838"/>
    <w:rsid w:val="005D2929"/>
    <w:rsid w:val="005D2A52"/>
    <w:rsid w:val="005D2A78"/>
    <w:rsid w:val="005D2B3C"/>
    <w:rsid w:val="005D2B67"/>
    <w:rsid w:val="005D2BD2"/>
    <w:rsid w:val="005D2BF7"/>
    <w:rsid w:val="005D2D96"/>
    <w:rsid w:val="005D2DC5"/>
    <w:rsid w:val="005D2DFE"/>
    <w:rsid w:val="005D2EAE"/>
    <w:rsid w:val="005D2EB1"/>
    <w:rsid w:val="005D2FDB"/>
    <w:rsid w:val="005D3011"/>
    <w:rsid w:val="005D3018"/>
    <w:rsid w:val="005D30EB"/>
    <w:rsid w:val="005D32AF"/>
    <w:rsid w:val="005D32D0"/>
    <w:rsid w:val="005D32D1"/>
    <w:rsid w:val="005D33B3"/>
    <w:rsid w:val="005D33FB"/>
    <w:rsid w:val="005D349E"/>
    <w:rsid w:val="005D35C3"/>
    <w:rsid w:val="005D36A0"/>
    <w:rsid w:val="005D36A2"/>
    <w:rsid w:val="005D39D5"/>
    <w:rsid w:val="005D3A22"/>
    <w:rsid w:val="005D3D43"/>
    <w:rsid w:val="005D3D63"/>
    <w:rsid w:val="005D4428"/>
    <w:rsid w:val="005D4550"/>
    <w:rsid w:val="005D45BB"/>
    <w:rsid w:val="005D4623"/>
    <w:rsid w:val="005D4930"/>
    <w:rsid w:val="005D4A54"/>
    <w:rsid w:val="005D4C7F"/>
    <w:rsid w:val="005D4CAA"/>
    <w:rsid w:val="005D4E29"/>
    <w:rsid w:val="005D4EDB"/>
    <w:rsid w:val="005D4F40"/>
    <w:rsid w:val="005D4FDA"/>
    <w:rsid w:val="005D509D"/>
    <w:rsid w:val="005D50B7"/>
    <w:rsid w:val="005D5249"/>
    <w:rsid w:val="005D5315"/>
    <w:rsid w:val="005D5458"/>
    <w:rsid w:val="005D5593"/>
    <w:rsid w:val="005D5633"/>
    <w:rsid w:val="005D568F"/>
    <w:rsid w:val="005D56E4"/>
    <w:rsid w:val="005D58C8"/>
    <w:rsid w:val="005D59CA"/>
    <w:rsid w:val="005D59D0"/>
    <w:rsid w:val="005D5A9D"/>
    <w:rsid w:val="005D5C33"/>
    <w:rsid w:val="005D5C3B"/>
    <w:rsid w:val="005D5D86"/>
    <w:rsid w:val="005D5DD4"/>
    <w:rsid w:val="005D5FBA"/>
    <w:rsid w:val="005D60EF"/>
    <w:rsid w:val="005D61AB"/>
    <w:rsid w:val="005D61C6"/>
    <w:rsid w:val="005D636E"/>
    <w:rsid w:val="005D6571"/>
    <w:rsid w:val="005D6597"/>
    <w:rsid w:val="005D65EB"/>
    <w:rsid w:val="005D6691"/>
    <w:rsid w:val="005D66BB"/>
    <w:rsid w:val="005D6745"/>
    <w:rsid w:val="005D67D8"/>
    <w:rsid w:val="005D681E"/>
    <w:rsid w:val="005D6824"/>
    <w:rsid w:val="005D68D8"/>
    <w:rsid w:val="005D69F2"/>
    <w:rsid w:val="005D6B7B"/>
    <w:rsid w:val="005D6B8C"/>
    <w:rsid w:val="005D6D57"/>
    <w:rsid w:val="005D6F39"/>
    <w:rsid w:val="005D7146"/>
    <w:rsid w:val="005D72CA"/>
    <w:rsid w:val="005D72EA"/>
    <w:rsid w:val="005D7304"/>
    <w:rsid w:val="005D741A"/>
    <w:rsid w:val="005D749C"/>
    <w:rsid w:val="005D74B8"/>
    <w:rsid w:val="005D74E7"/>
    <w:rsid w:val="005D76B9"/>
    <w:rsid w:val="005D774B"/>
    <w:rsid w:val="005D77E2"/>
    <w:rsid w:val="005D7921"/>
    <w:rsid w:val="005D7A91"/>
    <w:rsid w:val="005D7B65"/>
    <w:rsid w:val="005D7B9B"/>
    <w:rsid w:val="005D7CB5"/>
    <w:rsid w:val="005D7D9D"/>
    <w:rsid w:val="005D7E64"/>
    <w:rsid w:val="005D7EDD"/>
    <w:rsid w:val="005E00EA"/>
    <w:rsid w:val="005E0118"/>
    <w:rsid w:val="005E0139"/>
    <w:rsid w:val="005E0169"/>
    <w:rsid w:val="005E02E4"/>
    <w:rsid w:val="005E041F"/>
    <w:rsid w:val="005E04B7"/>
    <w:rsid w:val="005E0644"/>
    <w:rsid w:val="005E06A8"/>
    <w:rsid w:val="005E0778"/>
    <w:rsid w:val="005E086E"/>
    <w:rsid w:val="005E0E3B"/>
    <w:rsid w:val="005E0E51"/>
    <w:rsid w:val="005E1002"/>
    <w:rsid w:val="005E1086"/>
    <w:rsid w:val="005E10BB"/>
    <w:rsid w:val="005E1215"/>
    <w:rsid w:val="005E12E2"/>
    <w:rsid w:val="005E13E4"/>
    <w:rsid w:val="005E14B3"/>
    <w:rsid w:val="005E14E7"/>
    <w:rsid w:val="005E14E8"/>
    <w:rsid w:val="005E14F4"/>
    <w:rsid w:val="005E1508"/>
    <w:rsid w:val="005E153D"/>
    <w:rsid w:val="005E156F"/>
    <w:rsid w:val="005E1606"/>
    <w:rsid w:val="005E162E"/>
    <w:rsid w:val="005E16B5"/>
    <w:rsid w:val="005E1877"/>
    <w:rsid w:val="005E18DE"/>
    <w:rsid w:val="005E19FD"/>
    <w:rsid w:val="005E1D69"/>
    <w:rsid w:val="005E1E54"/>
    <w:rsid w:val="005E1E6F"/>
    <w:rsid w:val="005E1F85"/>
    <w:rsid w:val="005E1FE0"/>
    <w:rsid w:val="005E2041"/>
    <w:rsid w:val="005E2251"/>
    <w:rsid w:val="005E2549"/>
    <w:rsid w:val="005E25DD"/>
    <w:rsid w:val="005E2670"/>
    <w:rsid w:val="005E26A3"/>
    <w:rsid w:val="005E26E9"/>
    <w:rsid w:val="005E273D"/>
    <w:rsid w:val="005E28C4"/>
    <w:rsid w:val="005E28D6"/>
    <w:rsid w:val="005E29D2"/>
    <w:rsid w:val="005E2ACA"/>
    <w:rsid w:val="005E2BF6"/>
    <w:rsid w:val="005E2C00"/>
    <w:rsid w:val="005E2ECB"/>
    <w:rsid w:val="005E2F25"/>
    <w:rsid w:val="005E2F2A"/>
    <w:rsid w:val="005E2FA0"/>
    <w:rsid w:val="005E2FF1"/>
    <w:rsid w:val="005E3172"/>
    <w:rsid w:val="005E3190"/>
    <w:rsid w:val="005E32FC"/>
    <w:rsid w:val="005E3497"/>
    <w:rsid w:val="005E359F"/>
    <w:rsid w:val="005E35D7"/>
    <w:rsid w:val="005E363E"/>
    <w:rsid w:val="005E3767"/>
    <w:rsid w:val="005E38B8"/>
    <w:rsid w:val="005E3C27"/>
    <w:rsid w:val="005E3C38"/>
    <w:rsid w:val="005E3E49"/>
    <w:rsid w:val="005E3F05"/>
    <w:rsid w:val="005E3F97"/>
    <w:rsid w:val="005E402C"/>
    <w:rsid w:val="005E4056"/>
    <w:rsid w:val="005E40BF"/>
    <w:rsid w:val="005E417E"/>
    <w:rsid w:val="005E420E"/>
    <w:rsid w:val="005E4241"/>
    <w:rsid w:val="005E43B1"/>
    <w:rsid w:val="005E43D1"/>
    <w:rsid w:val="005E43DA"/>
    <w:rsid w:val="005E447E"/>
    <w:rsid w:val="005E4606"/>
    <w:rsid w:val="005E47A2"/>
    <w:rsid w:val="005E48E2"/>
    <w:rsid w:val="005E4903"/>
    <w:rsid w:val="005E4A90"/>
    <w:rsid w:val="005E4B7E"/>
    <w:rsid w:val="005E4D9B"/>
    <w:rsid w:val="005E4E03"/>
    <w:rsid w:val="005E4F32"/>
    <w:rsid w:val="005E4F3D"/>
    <w:rsid w:val="005E4FD1"/>
    <w:rsid w:val="005E5030"/>
    <w:rsid w:val="005E5053"/>
    <w:rsid w:val="005E50F4"/>
    <w:rsid w:val="005E515B"/>
    <w:rsid w:val="005E52B1"/>
    <w:rsid w:val="005E53DA"/>
    <w:rsid w:val="005E5628"/>
    <w:rsid w:val="005E5642"/>
    <w:rsid w:val="005E568E"/>
    <w:rsid w:val="005E56AD"/>
    <w:rsid w:val="005E5719"/>
    <w:rsid w:val="005E5817"/>
    <w:rsid w:val="005E583B"/>
    <w:rsid w:val="005E59C1"/>
    <w:rsid w:val="005E5A15"/>
    <w:rsid w:val="005E5AFA"/>
    <w:rsid w:val="005E5C11"/>
    <w:rsid w:val="005E5D88"/>
    <w:rsid w:val="005E5E4D"/>
    <w:rsid w:val="005E6065"/>
    <w:rsid w:val="005E623C"/>
    <w:rsid w:val="005E6375"/>
    <w:rsid w:val="005E6522"/>
    <w:rsid w:val="005E680F"/>
    <w:rsid w:val="005E6812"/>
    <w:rsid w:val="005E6B06"/>
    <w:rsid w:val="005E6B5F"/>
    <w:rsid w:val="005E6B8E"/>
    <w:rsid w:val="005E6BEA"/>
    <w:rsid w:val="005E6C0E"/>
    <w:rsid w:val="005E6D24"/>
    <w:rsid w:val="005E6DF2"/>
    <w:rsid w:val="005E6EA8"/>
    <w:rsid w:val="005E6F02"/>
    <w:rsid w:val="005E7126"/>
    <w:rsid w:val="005E71A8"/>
    <w:rsid w:val="005E734B"/>
    <w:rsid w:val="005E739B"/>
    <w:rsid w:val="005E73A7"/>
    <w:rsid w:val="005E757D"/>
    <w:rsid w:val="005E7588"/>
    <w:rsid w:val="005E75C7"/>
    <w:rsid w:val="005E766D"/>
    <w:rsid w:val="005E7694"/>
    <w:rsid w:val="005E76A3"/>
    <w:rsid w:val="005E77F3"/>
    <w:rsid w:val="005E7819"/>
    <w:rsid w:val="005E783B"/>
    <w:rsid w:val="005E785E"/>
    <w:rsid w:val="005E78A8"/>
    <w:rsid w:val="005E79F3"/>
    <w:rsid w:val="005E7EE8"/>
    <w:rsid w:val="005E7F46"/>
    <w:rsid w:val="005E7F78"/>
    <w:rsid w:val="005F017E"/>
    <w:rsid w:val="005F01A7"/>
    <w:rsid w:val="005F0387"/>
    <w:rsid w:val="005F075A"/>
    <w:rsid w:val="005F0775"/>
    <w:rsid w:val="005F0816"/>
    <w:rsid w:val="005F0859"/>
    <w:rsid w:val="005F087C"/>
    <w:rsid w:val="005F0911"/>
    <w:rsid w:val="005F09A8"/>
    <w:rsid w:val="005F0A24"/>
    <w:rsid w:val="005F0ACB"/>
    <w:rsid w:val="005F0B0F"/>
    <w:rsid w:val="005F0C26"/>
    <w:rsid w:val="005F0CF5"/>
    <w:rsid w:val="005F0E29"/>
    <w:rsid w:val="005F0FAF"/>
    <w:rsid w:val="005F0FB2"/>
    <w:rsid w:val="005F105A"/>
    <w:rsid w:val="005F1103"/>
    <w:rsid w:val="005F112D"/>
    <w:rsid w:val="005F12B8"/>
    <w:rsid w:val="005F12E6"/>
    <w:rsid w:val="005F12F9"/>
    <w:rsid w:val="005F14CD"/>
    <w:rsid w:val="005F153C"/>
    <w:rsid w:val="005F16F3"/>
    <w:rsid w:val="005F1712"/>
    <w:rsid w:val="005F180C"/>
    <w:rsid w:val="005F1859"/>
    <w:rsid w:val="005F197C"/>
    <w:rsid w:val="005F1A67"/>
    <w:rsid w:val="005F1A97"/>
    <w:rsid w:val="005F1AFF"/>
    <w:rsid w:val="005F1C29"/>
    <w:rsid w:val="005F1D16"/>
    <w:rsid w:val="005F1D1E"/>
    <w:rsid w:val="005F1D9D"/>
    <w:rsid w:val="005F1E0A"/>
    <w:rsid w:val="005F1ECC"/>
    <w:rsid w:val="005F1F1A"/>
    <w:rsid w:val="005F2126"/>
    <w:rsid w:val="005F21EB"/>
    <w:rsid w:val="005F2355"/>
    <w:rsid w:val="005F246F"/>
    <w:rsid w:val="005F25DD"/>
    <w:rsid w:val="005F262D"/>
    <w:rsid w:val="005F2689"/>
    <w:rsid w:val="005F28C3"/>
    <w:rsid w:val="005F2919"/>
    <w:rsid w:val="005F2976"/>
    <w:rsid w:val="005F2A18"/>
    <w:rsid w:val="005F2BFA"/>
    <w:rsid w:val="005F2D4B"/>
    <w:rsid w:val="005F2DC8"/>
    <w:rsid w:val="005F2E95"/>
    <w:rsid w:val="005F2F30"/>
    <w:rsid w:val="005F2F7D"/>
    <w:rsid w:val="005F30E1"/>
    <w:rsid w:val="005F3200"/>
    <w:rsid w:val="005F3247"/>
    <w:rsid w:val="005F33E3"/>
    <w:rsid w:val="005F347C"/>
    <w:rsid w:val="005F3575"/>
    <w:rsid w:val="005F35D7"/>
    <w:rsid w:val="005F3730"/>
    <w:rsid w:val="005F38C2"/>
    <w:rsid w:val="005F3AC4"/>
    <w:rsid w:val="005F3C1A"/>
    <w:rsid w:val="005F3E8E"/>
    <w:rsid w:val="005F3EF2"/>
    <w:rsid w:val="005F3F4C"/>
    <w:rsid w:val="005F3FC7"/>
    <w:rsid w:val="005F4061"/>
    <w:rsid w:val="005F424B"/>
    <w:rsid w:val="005F4290"/>
    <w:rsid w:val="005F43CA"/>
    <w:rsid w:val="005F4454"/>
    <w:rsid w:val="005F44B7"/>
    <w:rsid w:val="005F44F4"/>
    <w:rsid w:val="005F45A7"/>
    <w:rsid w:val="005F46D1"/>
    <w:rsid w:val="005F4772"/>
    <w:rsid w:val="005F488C"/>
    <w:rsid w:val="005F4915"/>
    <w:rsid w:val="005F49C1"/>
    <w:rsid w:val="005F4A2B"/>
    <w:rsid w:val="005F4B06"/>
    <w:rsid w:val="005F4BC9"/>
    <w:rsid w:val="005F4F9A"/>
    <w:rsid w:val="005F50DE"/>
    <w:rsid w:val="005F52E3"/>
    <w:rsid w:val="005F55D4"/>
    <w:rsid w:val="005F55D6"/>
    <w:rsid w:val="005F5687"/>
    <w:rsid w:val="005F59B8"/>
    <w:rsid w:val="005F5CAC"/>
    <w:rsid w:val="005F5E1C"/>
    <w:rsid w:val="005F5E46"/>
    <w:rsid w:val="005F5EF1"/>
    <w:rsid w:val="005F6068"/>
    <w:rsid w:val="005F6108"/>
    <w:rsid w:val="005F615B"/>
    <w:rsid w:val="005F649F"/>
    <w:rsid w:val="005F64CF"/>
    <w:rsid w:val="005F6517"/>
    <w:rsid w:val="005F6690"/>
    <w:rsid w:val="005F669F"/>
    <w:rsid w:val="005F66EB"/>
    <w:rsid w:val="005F67B4"/>
    <w:rsid w:val="005F68FE"/>
    <w:rsid w:val="005F6916"/>
    <w:rsid w:val="005F696F"/>
    <w:rsid w:val="005F6A0A"/>
    <w:rsid w:val="005F6ADA"/>
    <w:rsid w:val="005F6C54"/>
    <w:rsid w:val="005F6C5F"/>
    <w:rsid w:val="005F6E0E"/>
    <w:rsid w:val="005F6E75"/>
    <w:rsid w:val="005F6EF2"/>
    <w:rsid w:val="005F6F30"/>
    <w:rsid w:val="005F6FAE"/>
    <w:rsid w:val="005F6FD7"/>
    <w:rsid w:val="005F705A"/>
    <w:rsid w:val="005F716F"/>
    <w:rsid w:val="005F71E3"/>
    <w:rsid w:val="005F7342"/>
    <w:rsid w:val="005F7360"/>
    <w:rsid w:val="005F75DF"/>
    <w:rsid w:val="005F7724"/>
    <w:rsid w:val="005F787B"/>
    <w:rsid w:val="005F7902"/>
    <w:rsid w:val="005F7908"/>
    <w:rsid w:val="005F79BD"/>
    <w:rsid w:val="005F7A34"/>
    <w:rsid w:val="005F7AE8"/>
    <w:rsid w:val="005F7B46"/>
    <w:rsid w:val="005F7E4D"/>
    <w:rsid w:val="005F7F19"/>
    <w:rsid w:val="005F7F41"/>
    <w:rsid w:val="006000E1"/>
    <w:rsid w:val="00600159"/>
    <w:rsid w:val="0060015F"/>
    <w:rsid w:val="00600169"/>
    <w:rsid w:val="00600319"/>
    <w:rsid w:val="006003F6"/>
    <w:rsid w:val="0060057B"/>
    <w:rsid w:val="00600690"/>
    <w:rsid w:val="006008C0"/>
    <w:rsid w:val="006008C8"/>
    <w:rsid w:val="0060092F"/>
    <w:rsid w:val="00600939"/>
    <w:rsid w:val="006009F2"/>
    <w:rsid w:val="00600B4F"/>
    <w:rsid w:val="00600B86"/>
    <w:rsid w:val="00600BFA"/>
    <w:rsid w:val="00600C87"/>
    <w:rsid w:val="00600CBA"/>
    <w:rsid w:val="00600CFA"/>
    <w:rsid w:val="00600FB5"/>
    <w:rsid w:val="0060102A"/>
    <w:rsid w:val="0060107B"/>
    <w:rsid w:val="00601085"/>
    <w:rsid w:val="006011D1"/>
    <w:rsid w:val="006012BA"/>
    <w:rsid w:val="0060137E"/>
    <w:rsid w:val="006016D3"/>
    <w:rsid w:val="00601852"/>
    <w:rsid w:val="0060187A"/>
    <w:rsid w:val="00601A14"/>
    <w:rsid w:val="00601B82"/>
    <w:rsid w:val="00601BA0"/>
    <w:rsid w:val="00601BE5"/>
    <w:rsid w:val="00601C13"/>
    <w:rsid w:val="00601C2D"/>
    <w:rsid w:val="00601DD8"/>
    <w:rsid w:val="00601DE6"/>
    <w:rsid w:val="00601EB9"/>
    <w:rsid w:val="00602018"/>
    <w:rsid w:val="00602117"/>
    <w:rsid w:val="00602201"/>
    <w:rsid w:val="00602268"/>
    <w:rsid w:val="00602293"/>
    <w:rsid w:val="006022BA"/>
    <w:rsid w:val="00602666"/>
    <w:rsid w:val="006027A7"/>
    <w:rsid w:val="00602D81"/>
    <w:rsid w:val="00602EC0"/>
    <w:rsid w:val="00603026"/>
    <w:rsid w:val="00603138"/>
    <w:rsid w:val="006031F3"/>
    <w:rsid w:val="006032C3"/>
    <w:rsid w:val="006033C2"/>
    <w:rsid w:val="00603611"/>
    <w:rsid w:val="0060369C"/>
    <w:rsid w:val="006037B5"/>
    <w:rsid w:val="006037B9"/>
    <w:rsid w:val="006038E1"/>
    <w:rsid w:val="00603A0E"/>
    <w:rsid w:val="00603A9A"/>
    <w:rsid w:val="00603A9B"/>
    <w:rsid w:val="00603F07"/>
    <w:rsid w:val="00603F40"/>
    <w:rsid w:val="0060416F"/>
    <w:rsid w:val="006041AD"/>
    <w:rsid w:val="006044F6"/>
    <w:rsid w:val="006045D2"/>
    <w:rsid w:val="0060487D"/>
    <w:rsid w:val="0060494E"/>
    <w:rsid w:val="006049B5"/>
    <w:rsid w:val="00604BAD"/>
    <w:rsid w:val="00604CC2"/>
    <w:rsid w:val="00604D53"/>
    <w:rsid w:val="00604E04"/>
    <w:rsid w:val="00604F1D"/>
    <w:rsid w:val="00604F70"/>
    <w:rsid w:val="00604FD6"/>
    <w:rsid w:val="00605013"/>
    <w:rsid w:val="00605163"/>
    <w:rsid w:val="006052F4"/>
    <w:rsid w:val="006053CC"/>
    <w:rsid w:val="00605530"/>
    <w:rsid w:val="006056AD"/>
    <w:rsid w:val="00605908"/>
    <w:rsid w:val="0060598E"/>
    <w:rsid w:val="006059EA"/>
    <w:rsid w:val="00605AA4"/>
    <w:rsid w:val="00605AC8"/>
    <w:rsid w:val="00605B01"/>
    <w:rsid w:val="00605B0A"/>
    <w:rsid w:val="00605D8D"/>
    <w:rsid w:val="00605DE6"/>
    <w:rsid w:val="00605DFA"/>
    <w:rsid w:val="00606018"/>
    <w:rsid w:val="006064F7"/>
    <w:rsid w:val="006064FA"/>
    <w:rsid w:val="00606556"/>
    <w:rsid w:val="00606578"/>
    <w:rsid w:val="006065E8"/>
    <w:rsid w:val="00606890"/>
    <w:rsid w:val="00606A2B"/>
    <w:rsid w:val="00606B05"/>
    <w:rsid w:val="00606C54"/>
    <w:rsid w:val="00606CAE"/>
    <w:rsid w:val="00606E6F"/>
    <w:rsid w:val="00606E9D"/>
    <w:rsid w:val="00606FEA"/>
    <w:rsid w:val="00607042"/>
    <w:rsid w:val="00607124"/>
    <w:rsid w:val="00607259"/>
    <w:rsid w:val="0060734F"/>
    <w:rsid w:val="006075E0"/>
    <w:rsid w:val="0060763B"/>
    <w:rsid w:val="00607712"/>
    <w:rsid w:val="006077CF"/>
    <w:rsid w:val="00607850"/>
    <w:rsid w:val="0060787A"/>
    <w:rsid w:val="00607B2C"/>
    <w:rsid w:val="00607B3C"/>
    <w:rsid w:val="00607B50"/>
    <w:rsid w:val="00607BCC"/>
    <w:rsid w:val="00607C9A"/>
    <w:rsid w:val="00607D03"/>
    <w:rsid w:val="00607E56"/>
    <w:rsid w:val="00607ED6"/>
    <w:rsid w:val="00607EF7"/>
    <w:rsid w:val="00607EFA"/>
    <w:rsid w:val="00607F67"/>
    <w:rsid w:val="00607FEF"/>
    <w:rsid w:val="006100BE"/>
    <w:rsid w:val="00610147"/>
    <w:rsid w:val="006102F7"/>
    <w:rsid w:val="00610385"/>
    <w:rsid w:val="006104A4"/>
    <w:rsid w:val="00610584"/>
    <w:rsid w:val="006105F3"/>
    <w:rsid w:val="00610600"/>
    <w:rsid w:val="00610853"/>
    <w:rsid w:val="0061099E"/>
    <w:rsid w:val="00610B6C"/>
    <w:rsid w:val="00610BA4"/>
    <w:rsid w:val="00610CE8"/>
    <w:rsid w:val="00610CF5"/>
    <w:rsid w:val="00610D7C"/>
    <w:rsid w:val="00610DB9"/>
    <w:rsid w:val="00610E36"/>
    <w:rsid w:val="006111BB"/>
    <w:rsid w:val="00611281"/>
    <w:rsid w:val="00611301"/>
    <w:rsid w:val="006114BE"/>
    <w:rsid w:val="006115F9"/>
    <w:rsid w:val="0061165E"/>
    <w:rsid w:val="00611690"/>
    <w:rsid w:val="006119FF"/>
    <w:rsid w:val="00611AC4"/>
    <w:rsid w:val="00611C1A"/>
    <w:rsid w:val="00611E7C"/>
    <w:rsid w:val="00611EA2"/>
    <w:rsid w:val="00611F4F"/>
    <w:rsid w:val="00611F57"/>
    <w:rsid w:val="00611FDC"/>
    <w:rsid w:val="00612054"/>
    <w:rsid w:val="00612077"/>
    <w:rsid w:val="006120BA"/>
    <w:rsid w:val="006120CE"/>
    <w:rsid w:val="00612134"/>
    <w:rsid w:val="006121BB"/>
    <w:rsid w:val="006121F5"/>
    <w:rsid w:val="006122E2"/>
    <w:rsid w:val="006124D8"/>
    <w:rsid w:val="00612541"/>
    <w:rsid w:val="00612675"/>
    <w:rsid w:val="00612695"/>
    <w:rsid w:val="0061275C"/>
    <w:rsid w:val="00612A96"/>
    <w:rsid w:val="00612AD7"/>
    <w:rsid w:val="00612B55"/>
    <w:rsid w:val="00612B5E"/>
    <w:rsid w:val="00612C4A"/>
    <w:rsid w:val="00612D51"/>
    <w:rsid w:val="0061303A"/>
    <w:rsid w:val="0061305F"/>
    <w:rsid w:val="006130CD"/>
    <w:rsid w:val="00613144"/>
    <w:rsid w:val="006132FE"/>
    <w:rsid w:val="00613411"/>
    <w:rsid w:val="00613414"/>
    <w:rsid w:val="0061347F"/>
    <w:rsid w:val="006134BB"/>
    <w:rsid w:val="0061355E"/>
    <w:rsid w:val="006135F6"/>
    <w:rsid w:val="00613612"/>
    <w:rsid w:val="006136BD"/>
    <w:rsid w:val="006137CD"/>
    <w:rsid w:val="006138B2"/>
    <w:rsid w:val="0061391B"/>
    <w:rsid w:val="00613984"/>
    <w:rsid w:val="00613A00"/>
    <w:rsid w:val="00613A4E"/>
    <w:rsid w:val="00613A4F"/>
    <w:rsid w:val="00613D7B"/>
    <w:rsid w:val="00613E10"/>
    <w:rsid w:val="00613E73"/>
    <w:rsid w:val="00613ED4"/>
    <w:rsid w:val="00613F03"/>
    <w:rsid w:val="0061423E"/>
    <w:rsid w:val="006142A6"/>
    <w:rsid w:val="0061435C"/>
    <w:rsid w:val="006143C4"/>
    <w:rsid w:val="006143C5"/>
    <w:rsid w:val="006145B6"/>
    <w:rsid w:val="0061475F"/>
    <w:rsid w:val="0061482B"/>
    <w:rsid w:val="006149F1"/>
    <w:rsid w:val="00614A9A"/>
    <w:rsid w:val="00614C0C"/>
    <w:rsid w:val="00614DEA"/>
    <w:rsid w:val="006150FC"/>
    <w:rsid w:val="00615112"/>
    <w:rsid w:val="00615209"/>
    <w:rsid w:val="00615419"/>
    <w:rsid w:val="00615460"/>
    <w:rsid w:val="00615640"/>
    <w:rsid w:val="0061579B"/>
    <w:rsid w:val="006158B0"/>
    <w:rsid w:val="0061592A"/>
    <w:rsid w:val="006159CA"/>
    <w:rsid w:val="00615A05"/>
    <w:rsid w:val="00615A3B"/>
    <w:rsid w:val="00615B1B"/>
    <w:rsid w:val="00615B39"/>
    <w:rsid w:val="00615BA5"/>
    <w:rsid w:val="00615BEC"/>
    <w:rsid w:val="00615C87"/>
    <w:rsid w:val="00615F29"/>
    <w:rsid w:val="00616282"/>
    <w:rsid w:val="006162B0"/>
    <w:rsid w:val="00616453"/>
    <w:rsid w:val="0061660B"/>
    <w:rsid w:val="0061664C"/>
    <w:rsid w:val="006166EF"/>
    <w:rsid w:val="006167B9"/>
    <w:rsid w:val="006167C1"/>
    <w:rsid w:val="00616838"/>
    <w:rsid w:val="00616886"/>
    <w:rsid w:val="006169A8"/>
    <w:rsid w:val="00616B1E"/>
    <w:rsid w:val="00616B21"/>
    <w:rsid w:val="00616C01"/>
    <w:rsid w:val="00616C86"/>
    <w:rsid w:val="00616D10"/>
    <w:rsid w:val="00616D2F"/>
    <w:rsid w:val="00616DE6"/>
    <w:rsid w:val="00616E77"/>
    <w:rsid w:val="00616EEA"/>
    <w:rsid w:val="00616FD6"/>
    <w:rsid w:val="00617024"/>
    <w:rsid w:val="006173FD"/>
    <w:rsid w:val="00617471"/>
    <w:rsid w:val="006174AB"/>
    <w:rsid w:val="006175C8"/>
    <w:rsid w:val="006177C0"/>
    <w:rsid w:val="006179FB"/>
    <w:rsid w:val="00617A4F"/>
    <w:rsid w:val="00617BEA"/>
    <w:rsid w:val="00617C90"/>
    <w:rsid w:val="00617CB9"/>
    <w:rsid w:val="00617E26"/>
    <w:rsid w:val="00617E30"/>
    <w:rsid w:val="00617F6D"/>
    <w:rsid w:val="00620002"/>
    <w:rsid w:val="00620154"/>
    <w:rsid w:val="00620199"/>
    <w:rsid w:val="00620202"/>
    <w:rsid w:val="00620223"/>
    <w:rsid w:val="006202BA"/>
    <w:rsid w:val="0062036F"/>
    <w:rsid w:val="00620419"/>
    <w:rsid w:val="0062058A"/>
    <w:rsid w:val="006206F3"/>
    <w:rsid w:val="0062080A"/>
    <w:rsid w:val="006208B8"/>
    <w:rsid w:val="00620A11"/>
    <w:rsid w:val="00620C14"/>
    <w:rsid w:val="00620D09"/>
    <w:rsid w:val="00620DD0"/>
    <w:rsid w:val="00620DD8"/>
    <w:rsid w:val="00620EBF"/>
    <w:rsid w:val="00621133"/>
    <w:rsid w:val="0062115F"/>
    <w:rsid w:val="0062126E"/>
    <w:rsid w:val="0062127D"/>
    <w:rsid w:val="0062131C"/>
    <w:rsid w:val="00621321"/>
    <w:rsid w:val="0062144A"/>
    <w:rsid w:val="0062147B"/>
    <w:rsid w:val="006214A6"/>
    <w:rsid w:val="006214AF"/>
    <w:rsid w:val="006214E7"/>
    <w:rsid w:val="0062157B"/>
    <w:rsid w:val="006215FE"/>
    <w:rsid w:val="00621608"/>
    <w:rsid w:val="0062173F"/>
    <w:rsid w:val="0062182C"/>
    <w:rsid w:val="0062188F"/>
    <w:rsid w:val="00621B06"/>
    <w:rsid w:val="00621B33"/>
    <w:rsid w:val="00621BF6"/>
    <w:rsid w:val="00621C10"/>
    <w:rsid w:val="00621E08"/>
    <w:rsid w:val="00621F63"/>
    <w:rsid w:val="00622048"/>
    <w:rsid w:val="006220F0"/>
    <w:rsid w:val="00622287"/>
    <w:rsid w:val="00622291"/>
    <w:rsid w:val="006223E8"/>
    <w:rsid w:val="0062287E"/>
    <w:rsid w:val="006228DC"/>
    <w:rsid w:val="00622A43"/>
    <w:rsid w:val="00622ACE"/>
    <w:rsid w:val="00622BDF"/>
    <w:rsid w:val="00622C2B"/>
    <w:rsid w:val="00622D9A"/>
    <w:rsid w:val="00622DA0"/>
    <w:rsid w:val="00622E22"/>
    <w:rsid w:val="00622FD1"/>
    <w:rsid w:val="00622FEC"/>
    <w:rsid w:val="0062317F"/>
    <w:rsid w:val="00623324"/>
    <w:rsid w:val="006233A7"/>
    <w:rsid w:val="00623597"/>
    <w:rsid w:val="00623671"/>
    <w:rsid w:val="00623674"/>
    <w:rsid w:val="00623684"/>
    <w:rsid w:val="006236ED"/>
    <w:rsid w:val="00623834"/>
    <w:rsid w:val="006238DA"/>
    <w:rsid w:val="00623BB2"/>
    <w:rsid w:val="00623C12"/>
    <w:rsid w:val="00623C13"/>
    <w:rsid w:val="00623C17"/>
    <w:rsid w:val="00623C4E"/>
    <w:rsid w:val="00623CF1"/>
    <w:rsid w:val="00623D47"/>
    <w:rsid w:val="00623DAF"/>
    <w:rsid w:val="00623DC6"/>
    <w:rsid w:val="00623E09"/>
    <w:rsid w:val="00623ECE"/>
    <w:rsid w:val="00623FCB"/>
    <w:rsid w:val="00623FFD"/>
    <w:rsid w:val="0062407F"/>
    <w:rsid w:val="0062408D"/>
    <w:rsid w:val="006240CC"/>
    <w:rsid w:val="0062418F"/>
    <w:rsid w:val="006242B7"/>
    <w:rsid w:val="006242CD"/>
    <w:rsid w:val="00624370"/>
    <w:rsid w:val="006243E3"/>
    <w:rsid w:val="0062443F"/>
    <w:rsid w:val="006244D6"/>
    <w:rsid w:val="0062454E"/>
    <w:rsid w:val="00624563"/>
    <w:rsid w:val="006245FA"/>
    <w:rsid w:val="00624604"/>
    <w:rsid w:val="006246FA"/>
    <w:rsid w:val="006248C0"/>
    <w:rsid w:val="00624940"/>
    <w:rsid w:val="00624A5A"/>
    <w:rsid w:val="00624ACD"/>
    <w:rsid w:val="00624B4F"/>
    <w:rsid w:val="00624B6B"/>
    <w:rsid w:val="00624B76"/>
    <w:rsid w:val="00624CDE"/>
    <w:rsid w:val="00624D02"/>
    <w:rsid w:val="00624D9C"/>
    <w:rsid w:val="00624DCE"/>
    <w:rsid w:val="00624F05"/>
    <w:rsid w:val="00624FEA"/>
    <w:rsid w:val="00625043"/>
    <w:rsid w:val="0062514A"/>
    <w:rsid w:val="0062514D"/>
    <w:rsid w:val="006254F8"/>
    <w:rsid w:val="00625588"/>
    <w:rsid w:val="006256F9"/>
    <w:rsid w:val="006257CA"/>
    <w:rsid w:val="0062585D"/>
    <w:rsid w:val="006259C2"/>
    <w:rsid w:val="00625A17"/>
    <w:rsid w:val="00625ACB"/>
    <w:rsid w:val="00625B32"/>
    <w:rsid w:val="00625C43"/>
    <w:rsid w:val="00625CA2"/>
    <w:rsid w:val="0062622A"/>
    <w:rsid w:val="006262EC"/>
    <w:rsid w:val="0062649A"/>
    <w:rsid w:val="006266C6"/>
    <w:rsid w:val="0062676A"/>
    <w:rsid w:val="0062677C"/>
    <w:rsid w:val="006268BE"/>
    <w:rsid w:val="00626A4C"/>
    <w:rsid w:val="00626AD0"/>
    <w:rsid w:val="00626ADA"/>
    <w:rsid w:val="00626B03"/>
    <w:rsid w:val="00626DA4"/>
    <w:rsid w:val="00626FE4"/>
    <w:rsid w:val="00627068"/>
    <w:rsid w:val="006271B0"/>
    <w:rsid w:val="0062730F"/>
    <w:rsid w:val="0062734C"/>
    <w:rsid w:val="0062745E"/>
    <w:rsid w:val="00627498"/>
    <w:rsid w:val="00627526"/>
    <w:rsid w:val="00627552"/>
    <w:rsid w:val="00627A05"/>
    <w:rsid w:val="00627A75"/>
    <w:rsid w:val="00627B93"/>
    <w:rsid w:val="00627DA0"/>
    <w:rsid w:val="00627DA7"/>
    <w:rsid w:val="00627E00"/>
    <w:rsid w:val="00627EF3"/>
    <w:rsid w:val="006300DD"/>
    <w:rsid w:val="00630104"/>
    <w:rsid w:val="00630277"/>
    <w:rsid w:val="0063030F"/>
    <w:rsid w:val="006303FB"/>
    <w:rsid w:val="006304AA"/>
    <w:rsid w:val="0063050E"/>
    <w:rsid w:val="00630569"/>
    <w:rsid w:val="00630591"/>
    <w:rsid w:val="00630664"/>
    <w:rsid w:val="00630770"/>
    <w:rsid w:val="006307D3"/>
    <w:rsid w:val="006308A7"/>
    <w:rsid w:val="0063098E"/>
    <w:rsid w:val="00630B8B"/>
    <w:rsid w:val="00630BCD"/>
    <w:rsid w:val="00630BD4"/>
    <w:rsid w:val="00630DA4"/>
    <w:rsid w:val="00630E1F"/>
    <w:rsid w:val="00630FA7"/>
    <w:rsid w:val="00631006"/>
    <w:rsid w:val="0063110D"/>
    <w:rsid w:val="00631465"/>
    <w:rsid w:val="006314A5"/>
    <w:rsid w:val="0063158E"/>
    <w:rsid w:val="00631592"/>
    <w:rsid w:val="0063175C"/>
    <w:rsid w:val="0063183B"/>
    <w:rsid w:val="006318D0"/>
    <w:rsid w:val="00631940"/>
    <w:rsid w:val="006319D6"/>
    <w:rsid w:val="006319FC"/>
    <w:rsid w:val="00631A11"/>
    <w:rsid w:val="00631A2A"/>
    <w:rsid w:val="00631AC1"/>
    <w:rsid w:val="00631AEA"/>
    <w:rsid w:val="00631CD4"/>
    <w:rsid w:val="00631D59"/>
    <w:rsid w:val="00631E36"/>
    <w:rsid w:val="00631EC7"/>
    <w:rsid w:val="00631FDF"/>
    <w:rsid w:val="00632075"/>
    <w:rsid w:val="00632320"/>
    <w:rsid w:val="00632387"/>
    <w:rsid w:val="006323F3"/>
    <w:rsid w:val="006324F8"/>
    <w:rsid w:val="00632597"/>
    <w:rsid w:val="006325EA"/>
    <w:rsid w:val="006326BE"/>
    <w:rsid w:val="00632716"/>
    <w:rsid w:val="00632828"/>
    <w:rsid w:val="006328A5"/>
    <w:rsid w:val="00632A27"/>
    <w:rsid w:val="00632B75"/>
    <w:rsid w:val="00632CE1"/>
    <w:rsid w:val="00632D20"/>
    <w:rsid w:val="00632E74"/>
    <w:rsid w:val="00632F69"/>
    <w:rsid w:val="00633003"/>
    <w:rsid w:val="0063303E"/>
    <w:rsid w:val="00633077"/>
    <w:rsid w:val="00633415"/>
    <w:rsid w:val="006335D4"/>
    <w:rsid w:val="006335DA"/>
    <w:rsid w:val="0063368B"/>
    <w:rsid w:val="006337EE"/>
    <w:rsid w:val="00633859"/>
    <w:rsid w:val="006338C7"/>
    <w:rsid w:val="0063397F"/>
    <w:rsid w:val="00633A03"/>
    <w:rsid w:val="00633A48"/>
    <w:rsid w:val="00633C4C"/>
    <w:rsid w:val="00633C7F"/>
    <w:rsid w:val="00633D6D"/>
    <w:rsid w:val="00633E1B"/>
    <w:rsid w:val="00633ECF"/>
    <w:rsid w:val="00634003"/>
    <w:rsid w:val="00634020"/>
    <w:rsid w:val="00634044"/>
    <w:rsid w:val="00634068"/>
    <w:rsid w:val="0063406F"/>
    <w:rsid w:val="0063411E"/>
    <w:rsid w:val="00634412"/>
    <w:rsid w:val="00634546"/>
    <w:rsid w:val="00634598"/>
    <w:rsid w:val="00634912"/>
    <w:rsid w:val="00634934"/>
    <w:rsid w:val="00634A6E"/>
    <w:rsid w:val="00634B0B"/>
    <w:rsid w:val="00634B59"/>
    <w:rsid w:val="00634CE2"/>
    <w:rsid w:val="00634D13"/>
    <w:rsid w:val="00634F85"/>
    <w:rsid w:val="00634FA2"/>
    <w:rsid w:val="0063501D"/>
    <w:rsid w:val="006350A4"/>
    <w:rsid w:val="00635299"/>
    <w:rsid w:val="0063529F"/>
    <w:rsid w:val="006352D1"/>
    <w:rsid w:val="006353B2"/>
    <w:rsid w:val="0063546C"/>
    <w:rsid w:val="00635781"/>
    <w:rsid w:val="006357E2"/>
    <w:rsid w:val="00635804"/>
    <w:rsid w:val="006358B4"/>
    <w:rsid w:val="00635C00"/>
    <w:rsid w:val="00635F75"/>
    <w:rsid w:val="006362A9"/>
    <w:rsid w:val="0063634D"/>
    <w:rsid w:val="0063645A"/>
    <w:rsid w:val="00636586"/>
    <w:rsid w:val="006365B8"/>
    <w:rsid w:val="00636628"/>
    <w:rsid w:val="00636670"/>
    <w:rsid w:val="006367D6"/>
    <w:rsid w:val="00636818"/>
    <w:rsid w:val="00636A32"/>
    <w:rsid w:val="00636B17"/>
    <w:rsid w:val="00636C39"/>
    <w:rsid w:val="00636D63"/>
    <w:rsid w:val="00637036"/>
    <w:rsid w:val="006370D9"/>
    <w:rsid w:val="0063730F"/>
    <w:rsid w:val="006373BE"/>
    <w:rsid w:val="006373D7"/>
    <w:rsid w:val="00637426"/>
    <w:rsid w:val="00637450"/>
    <w:rsid w:val="00637509"/>
    <w:rsid w:val="00637527"/>
    <w:rsid w:val="00637826"/>
    <w:rsid w:val="0063782F"/>
    <w:rsid w:val="0063799A"/>
    <w:rsid w:val="006379EB"/>
    <w:rsid w:val="00637A36"/>
    <w:rsid w:val="00637AC0"/>
    <w:rsid w:val="00637DD8"/>
    <w:rsid w:val="00637E76"/>
    <w:rsid w:val="00637EED"/>
    <w:rsid w:val="00637EEE"/>
    <w:rsid w:val="00637F08"/>
    <w:rsid w:val="00637F6C"/>
    <w:rsid w:val="006401A5"/>
    <w:rsid w:val="00640286"/>
    <w:rsid w:val="006403D5"/>
    <w:rsid w:val="006404C4"/>
    <w:rsid w:val="00640689"/>
    <w:rsid w:val="006406F4"/>
    <w:rsid w:val="0064071D"/>
    <w:rsid w:val="0064074D"/>
    <w:rsid w:val="006409AA"/>
    <w:rsid w:val="006409BA"/>
    <w:rsid w:val="00640B7C"/>
    <w:rsid w:val="00640BA3"/>
    <w:rsid w:val="00640C4E"/>
    <w:rsid w:val="00640C69"/>
    <w:rsid w:val="00640E1C"/>
    <w:rsid w:val="00640F3D"/>
    <w:rsid w:val="006410DC"/>
    <w:rsid w:val="006411C0"/>
    <w:rsid w:val="0064122A"/>
    <w:rsid w:val="0064124A"/>
    <w:rsid w:val="00641405"/>
    <w:rsid w:val="006414AF"/>
    <w:rsid w:val="00641517"/>
    <w:rsid w:val="00641571"/>
    <w:rsid w:val="00641724"/>
    <w:rsid w:val="006417DB"/>
    <w:rsid w:val="00641863"/>
    <w:rsid w:val="006419AA"/>
    <w:rsid w:val="00641A83"/>
    <w:rsid w:val="00641ABC"/>
    <w:rsid w:val="00641D1D"/>
    <w:rsid w:val="00641D89"/>
    <w:rsid w:val="00641DD3"/>
    <w:rsid w:val="00641E38"/>
    <w:rsid w:val="00641E3B"/>
    <w:rsid w:val="00641FE7"/>
    <w:rsid w:val="006421D2"/>
    <w:rsid w:val="00642210"/>
    <w:rsid w:val="00642336"/>
    <w:rsid w:val="006423F3"/>
    <w:rsid w:val="00642485"/>
    <w:rsid w:val="00642540"/>
    <w:rsid w:val="00642585"/>
    <w:rsid w:val="006425C4"/>
    <w:rsid w:val="0064260C"/>
    <w:rsid w:val="00642772"/>
    <w:rsid w:val="00642892"/>
    <w:rsid w:val="006428AF"/>
    <w:rsid w:val="006428F9"/>
    <w:rsid w:val="006429A5"/>
    <w:rsid w:val="00642B74"/>
    <w:rsid w:val="00642CD1"/>
    <w:rsid w:val="00642CE2"/>
    <w:rsid w:val="00642DA7"/>
    <w:rsid w:val="00642DE1"/>
    <w:rsid w:val="00642E58"/>
    <w:rsid w:val="00642E6C"/>
    <w:rsid w:val="00642F29"/>
    <w:rsid w:val="00642F94"/>
    <w:rsid w:val="00642F97"/>
    <w:rsid w:val="0064306B"/>
    <w:rsid w:val="0064339D"/>
    <w:rsid w:val="006434B2"/>
    <w:rsid w:val="006434E7"/>
    <w:rsid w:val="006436F0"/>
    <w:rsid w:val="00643814"/>
    <w:rsid w:val="00643918"/>
    <w:rsid w:val="006439C6"/>
    <w:rsid w:val="00643ADF"/>
    <w:rsid w:val="00643BBF"/>
    <w:rsid w:val="00643D85"/>
    <w:rsid w:val="00643EAB"/>
    <w:rsid w:val="00643F52"/>
    <w:rsid w:val="00644025"/>
    <w:rsid w:val="00644062"/>
    <w:rsid w:val="006442A1"/>
    <w:rsid w:val="006443D1"/>
    <w:rsid w:val="006443EF"/>
    <w:rsid w:val="00644456"/>
    <w:rsid w:val="0064452E"/>
    <w:rsid w:val="006445D6"/>
    <w:rsid w:val="00644657"/>
    <w:rsid w:val="00644867"/>
    <w:rsid w:val="00644923"/>
    <w:rsid w:val="0064497A"/>
    <w:rsid w:val="00644B1F"/>
    <w:rsid w:val="00644B37"/>
    <w:rsid w:val="00644B7E"/>
    <w:rsid w:val="00644CAB"/>
    <w:rsid w:val="00644CD8"/>
    <w:rsid w:val="00644D19"/>
    <w:rsid w:val="00644D26"/>
    <w:rsid w:val="00644E43"/>
    <w:rsid w:val="00644F13"/>
    <w:rsid w:val="00644F3D"/>
    <w:rsid w:val="00644F4A"/>
    <w:rsid w:val="00644FCE"/>
    <w:rsid w:val="00645008"/>
    <w:rsid w:val="00645032"/>
    <w:rsid w:val="0064510E"/>
    <w:rsid w:val="006452E4"/>
    <w:rsid w:val="006453A5"/>
    <w:rsid w:val="006453BD"/>
    <w:rsid w:val="006453DE"/>
    <w:rsid w:val="00645478"/>
    <w:rsid w:val="006454E6"/>
    <w:rsid w:val="0064555B"/>
    <w:rsid w:val="006455D8"/>
    <w:rsid w:val="0064560E"/>
    <w:rsid w:val="0064563F"/>
    <w:rsid w:val="006458C6"/>
    <w:rsid w:val="00645933"/>
    <w:rsid w:val="00645B1F"/>
    <w:rsid w:val="00645B2B"/>
    <w:rsid w:val="00645B7B"/>
    <w:rsid w:val="00645BE7"/>
    <w:rsid w:val="00645FAB"/>
    <w:rsid w:val="00646024"/>
    <w:rsid w:val="00646235"/>
    <w:rsid w:val="006462E8"/>
    <w:rsid w:val="006463BD"/>
    <w:rsid w:val="00646A37"/>
    <w:rsid w:val="00646A68"/>
    <w:rsid w:val="00646BBB"/>
    <w:rsid w:val="00646DDB"/>
    <w:rsid w:val="00646DFD"/>
    <w:rsid w:val="00646E76"/>
    <w:rsid w:val="00647169"/>
    <w:rsid w:val="006471AB"/>
    <w:rsid w:val="0064725F"/>
    <w:rsid w:val="006472FC"/>
    <w:rsid w:val="00647357"/>
    <w:rsid w:val="0064755C"/>
    <w:rsid w:val="006475C8"/>
    <w:rsid w:val="0064760C"/>
    <w:rsid w:val="00647631"/>
    <w:rsid w:val="006476CB"/>
    <w:rsid w:val="00647770"/>
    <w:rsid w:val="006477EB"/>
    <w:rsid w:val="00647808"/>
    <w:rsid w:val="00647A1D"/>
    <w:rsid w:val="00647BE5"/>
    <w:rsid w:val="00647D57"/>
    <w:rsid w:val="00647E34"/>
    <w:rsid w:val="00647EE9"/>
    <w:rsid w:val="0065011E"/>
    <w:rsid w:val="00650137"/>
    <w:rsid w:val="006502FF"/>
    <w:rsid w:val="0065031C"/>
    <w:rsid w:val="006503E1"/>
    <w:rsid w:val="006504B0"/>
    <w:rsid w:val="006505A8"/>
    <w:rsid w:val="006505BD"/>
    <w:rsid w:val="00650710"/>
    <w:rsid w:val="006507B7"/>
    <w:rsid w:val="00650829"/>
    <w:rsid w:val="006508EA"/>
    <w:rsid w:val="0065092E"/>
    <w:rsid w:val="00650957"/>
    <w:rsid w:val="006509F9"/>
    <w:rsid w:val="00650A37"/>
    <w:rsid w:val="00650A4E"/>
    <w:rsid w:val="00650AE1"/>
    <w:rsid w:val="00650C19"/>
    <w:rsid w:val="00650CC5"/>
    <w:rsid w:val="00650F21"/>
    <w:rsid w:val="006512B6"/>
    <w:rsid w:val="006512E9"/>
    <w:rsid w:val="00651304"/>
    <w:rsid w:val="00651320"/>
    <w:rsid w:val="00651379"/>
    <w:rsid w:val="0065143D"/>
    <w:rsid w:val="006514EA"/>
    <w:rsid w:val="006515DF"/>
    <w:rsid w:val="00651634"/>
    <w:rsid w:val="006516B3"/>
    <w:rsid w:val="006517A0"/>
    <w:rsid w:val="006517E0"/>
    <w:rsid w:val="00651836"/>
    <w:rsid w:val="00651932"/>
    <w:rsid w:val="00651AB4"/>
    <w:rsid w:val="00651B0A"/>
    <w:rsid w:val="00651C3E"/>
    <w:rsid w:val="00651C5E"/>
    <w:rsid w:val="00651D2A"/>
    <w:rsid w:val="00651DA9"/>
    <w:rsid w:val="00651F4D"/>
    <w:rsid w:val="00652056"/>
    <w:rsid w:val="00652132"/>
    <w:rsid w:val="00652211"/>
    <w:rsid w:val="006522DC"/>
    <w:rsid w:val="006523AA"/>
    <w:rsid w:val="00652407"/>
    <w:rsid w:val="00652482"/>
    <w:rsid w:val="00652538"/>
    <w:rsid w:val="0065253A"/>
    <w:rsid w:val="006525FD"/>
    <w:rsid w:val="006527C4"/>
    <w:rsid w:val="00652833"/>
    <w:rsid w:val="00652A5A"/>
    <w:rsid w:val="00652AD5"/>
    <w:rsid w:val="00652B64"/>
    <w:rsid w:val="00652BBF"/>
    <w:rsid w:val="00652D18"/>
    <w:rsid w:val="00652DDB"/>
    <w:rsid w:val="00652E8D"/>
    <w:rsid w:val="00652E9C"/>
    <w:rsid w:val="00652FAB"/>
    <w:rsid w:val="0065300C"/>
    <w:rsid w:val="00653293"/>
    <w:rsid w:val="006532CD"/>
    <w:rsid w:val="0065361C"/>
    <w:rsid w:val="00653676"/>
    <w:rsid w:val="00653695"/>
    <w:rsid w:val="00653727"/>
    <w:rsid w:val="00653986"/>
    <w:rsid w:val="006539DA"/>
    <w:rsid w:val="00653A39"/>
    <w:rsid w:val="00653B81"/>
    <w:rsid w:val="00653C13"/>
    <w:rsid w:val="00653C9B"/>
    <w:rsid w:val="00653CE0"/>
    <w:rsid w:val="00653F81"/>
    <w:rsid w:val="00653F84"/>
    <w:rsid w:val="00653FCC"/>
    <w:rsid w:val="00654168"/>
    <w:rsid w:val="0065420C"/>
    <w:rsid w:val="00654348"/>
    <w:rsid w:val="00654386"/>
    <w:rsid w:val="006543C2"/>
    <w:rsid w:val="0065445F"/>
    <w:rsid w:val="006544D6"/>
    <w:rsid w:val="006545AF"/>
    <w:rsid w:val="0065463B"/>
    <w:rsid w:val="006546F5"/>
    <w:rsid w:val="00654933"/>
    <w:rsid w:val="006549A6"/>
    <w:rsid w:val="006549D2"/>
    <w:rsid w:val="00654A74"/>
    <w:rsid w:val="00654C0B"/>
    <w:rsid w:val="00654C2C"/>
    <w:rsid w:val="00654C6E"/>
    <w:rsid w:val="00654D85"/>
    <w:rsid w:val="00654FE1"/>
    <w:rsid w:val="00655026"/>
    <w:rsid w:val="00655038"/>
    <w:rsid w:val="006550C7"/>
    <w:rsid w:val="006550CC"/>
    <w:rsid w:val="006551E2"/>
    <w:rsid w:val="0065521F"/>
    <w:rsid w:val="00655418"/>
    <w:rsid w:val="00655537"/>
    <w:rsid w:val="0065560F"/>
    <w:rsid w:val="00655618"/>
    <w:rsid w:val="00655692"/>
    <w:rsid w:val="0065574B"/>
    <w:rsid w:val="0065576B"/>
    <w:rsid w:val="006557A7"/>
    <w:rsid w:val="006557F9"/>
    <w:rsid w:val="0065580F"/>
    <w:rsid w:val="0065582F"/>
    <w:rsid w:val="006558E6"/>
    <w:rsid w:val="00655943"/>
    <w:rsid w:val="00655984"/>
    <w:rsid w:val="00655C21"/>
    <w:rsid w:val="00655C4F"/>
    <w:rsid w:val="00655C8C"/>
    <w:rsid w:val="00655CB1"/>
    <w:rsid w:val="00655CE7"/>
    <w:rsid w:val="00655EAB"/>
    <w:rsid w:val="00655EB3"/>
    <w:rsid w:val="00655F23"/>
    <w:rsid w:val="00656290"/>
    <w:rsid w:val="0065630B"/>
    <w:rsid w:val="00656416"/>
    <w:rsid w:val="00656686"/>
    <w:rsid w:val="00656710"/>
    <w:rsid w:val="0065671B"/>
    <w:rsid w:val="00656A34"/>
    <w:rsid w:val="00656B12"/>
    <w:rsid w:val="00656E48"/>
    <w:rsid w:val="00656ED4"/>
    <w:rsid w:val="006571B7"/>
    <w:rsid w:val="00657216"/>
    <w:rsid w:val="00657255"/>
    <w:rsid w:val="006573A3"/>
    <w:rsid w:val="006574B4"/>
    <w:rsid w:val="006574B8"/>
    <w:rsid w:val="00657569"/>
    <w:rsid w:val="00657575"/>
    <w:rsid w:val="006575FF"/>
    <w:rsid w:val="006576AA"/>
    <w:rsid w:val="006576F6"/>
    <w:rsid w:val="00657717"/>
    <w:rsid w:val="0065790A"/>
    <w:rsid w:val="00657A96"/>
    <w:rsid w:val="00657C3A"/>
    <w:rsid w:val="00657DF0"/>
    <w:rsid w:val="00657F60"/>
    <w:rsid w:val="00657F74"/>
    <w:rsid w:val="00657F75"/>
    <w:rsid w:val="00660080"/>
    <w:rsid w:val="006601C9"/>
    <w:rsid w:val="00660244"/>
    <w:rsid w:val="0066024A"/>
    <w:rsid w:val="006603EC"/>
    <w:rsid w:val="00660434"/>
    <w:rsid w:val="00660517"/>
    <w:rsid w:val="00660630"/>
    <w:rsid w:val="00660659"/>
    <w:rsid w:val="006607F0"/>
    <w:rsid w:val="00660849"/>
    <w:rsid w:val="00660889"/>
    <w:rsid w:val="006608D8"/>
    <w:rsid w:val="00660BD6"/>
    <w:rsid w:val="00660BF1"/>
    <w:rsid w:val="00660C34"/>
    <w:rsid w:val="00660DE2"/>
    <w:rsid w:val="00660E88"/>
    <w:rsid w:val="00660F54"/>
    <w:rsid w:val="00660F64"/>
    <w:rsid w:val="00660F79"/>
    <w:rsid w:val="0066100A"/>
    <w:rsid w:val="00661140"/>
    <w:rsid w:val="006611DB"/>
    <w:rsid w:val="0066134B"/>
    <w:rsid w:val="00661359"/>
    <w:rsid w:val="006613CD"/>
    <w:rsid w:val="0066148D"/>
    <w:rsid w:val="006614E5"/>
    <w:rsid w:val="0066158F"/>
    <w:rsid w:val="006615CC"/>
    <w:rsid w:val="006615D3"/>
    <w:rsid w:val="00661663"/>
    <w:rsid w:val="006616B1"/>
    <w:rsid w:val="00661760"/>
    <w:rsid w:val="006617A7"/>
    <w:rsid w:val="006618FE"/>
    <w:rsid w:val="00661916"/>
    <w:rsid w:val="00661B2E"/>
    <w:rsid w:val="00661B67"/>
    <w:rsid w:val="00661CA3"/>
    <w:rsid w:val="00661DA8"/>
    <w:rsid w:val="00661DB7"/>
    <w:rsid w:val="00661E3C"/>
    <w:rsid w:val="0066206C"/>
    <w:rsid w:val="006620E6"/>
    <w:rsid w:val="006621D7"/>
    <w:rsid w:val="0066223F"/>
    <w:rsid w:val="00662248"/>
    <w:rsid w:val="00662254"/>
    <w:rsid w:val="006623FD"/>
    <w:rsid w:val="00662406"/>
    <w:rsid w:val="00662482"/>
    <w:rsid w:val="006625D3"/>
    <w:rsid w:val="006627C0"/>
    <w:rsid w:val="00662B14"/>
    <w:rsid w:val="00662C13"/>
    <w:rsid w:val="00662D09"/>
    <w:rsid w:val="00662E5E"/>
    <w:rsid w:val="0066302A"/>
    <w:rsid w:val="00663049"/>
    <w:rsid w:val="0066308C"/>
    <w:rsid w:val="006630D9"/>
    <w:rsid w:val="006630EF"/>
    <w:rsid w:val="006630FC"/>
    <w:rsid w:val="0066338B"/>
    <w:rsid w:val="006633D9"/>
    <w:rsid w:val="006634DA"/>
    <w:rsid w:val="006634F1"/>
    <w:rsid w:val="006636AF"/>
    <w:rsid w:val="0066372B"/>
    <w:rsid w:val="006638FD"/>
    <w:rsid w:val="00663A01"/>
    <w:rsid w:val="00663AA5"/>
    <w:rsid w:val="00663B9B"/>
    <w:rsid w:val="00663F2F"/>
    <w:rsid w:val="0066410F"/>
    <w:rsid w:val="00664147"/>
    <w:rsid w:val="0066418E"/>
    <w:rsid w:val="0066438D"/>
    <w:rsid w:val="006643A9"/>
    <w:rsid w:val="00664542"/>
    <w:rsid w:val="00664596"/>
    <w:rsid w:val="0066459F"/>
    <w:rsid w:val="006646F7"/>
    <w:rsid w:val="00664985"/>
    <w:rsid w:val="00664A4E"/>
    <w:rsid w:val="00664B07"/>
    <w:rsid w:val="00664EDC"/>
    <w:rsid w:val="006650A5"/>
    <w:rsid w:val="006651FF"/>
    <w:rsid w:val="0066546B"/>
    <w:rsid w:val="00665528"/>
    <w:rsid w:val="00665750"/>
    <w:rsid w:val="00665898"/>
    <w:rsid w:val="006659BD"/>
    <w:rsid w:val="00665A15"/>
    <w:rsid w:val="00665AED"/>
    <w:rsid w:val="00665DF8"/>
    <w:rsid w:val="00665E90"/>
    <w:rsid w:val="00665EBC"/>
    <w:rsid w:val="00665F16"/>
    <w:rsid w:val="00665FCD"/>
    <w:rsid w:val="00665FD1"/>
    <w:rsid w:val="006660A5"/>
    <w:rsid w:val="006660B9"/>
    <w:rsid w:val="00666324"/>
    <w:rsid w:val="0066635D"/>
    <w:rsid w:val="006665B7"/>
    <w:rsid w:val="006665F3"/>
    <w:rsid w:val="00666668"/>
    <w:rsid w:val="006667CA"/>
    <w:rsid w:val="006667D0"/>
    <w:rsid w:val="0066682F"/>
    <w:rsid w:val="006668CB"/>
    <w:rsid w:val="00666923"/>
    <w:rsid w:val="00666A2D"/>
    <w:rsid w:val="00666A2E"/>
    <w:rsid w:val="00666A38"/>
    <w:rsid w:val="00666A8A"/>
    <w:rsid w:val="00666B99"/>
    <w:rsid w:val="00666BA7"/>
    <w:rsid w:val="00666C0B"/>
    <w:rsid w:val="00666CC0"/>
    <w:rsid w:val="00666D6A"/>
    <w:rsid w:val="00666E09"/>
    <w:rsid w:val="00666E71"/>
    <w:rsid w:val="00666F62"/>
    <w:rsid w:val="00666FB4"/>
    <w:rsid w:val="00667587"/>
    <w:rsid w:val="00667770"/>
    <w:rsid w:val="00667A39"/>
    <w:rsid w:val="00667AD1"/>
    <w:rsid w:val="00667ADC"/>
    <w:rsid w:val="00667B1F"/>
    <w:rsid w:val="00667B36"/>
    <w:rsid w:val="00667BFF"/>
    <w:rsid w:val="00667E7F"/>
    <w:rsid w:val="00667E82"/>
    <w:rsid w:val="00667EAC"/>
    <w:rsid w:val="006700B7"/>
    <w:rsid w:val="006700FF"/>
    <w:rsid w:val="00670209"/>
    <w:rsid w:val="0067020E"/>
    <w:rsid w:val="00670255"/>
    <w:rsid w:val="00670265"/>
    <w:rsid w:val="006702B2"/>
    <w:rsid w:val="006702D9"/>
    <w:rsid w:val="00670306"/>
    <w:rsid w:val="00670314"/>
    <w:rsid w:val="0067040C"/>
    <w:rsid w:val="00670494"/>
    <w:rsid w:val="00670589"/>
    <w:rsid w:val="00670597"/>
    <w:rsid w:val="006706D0"/>
    <w:rsid w:val="00670780"/>
    <w:rsid w:val="00670A13"/>
    <w:rsid w:val="00670A33"/>
    <w:rsid w:val="00670B17"/>
    <w:rsid w:val="00670B3E"/>
    <w:rsid w:val="00670B5D"/>
    <w:rsid w:val="00670BB8"/>
    <w:rsid w:val="00670C2B"/>
    <w:rsid w:val="00670D0B"/>
    <w:rsid w:val="00670FFC"/>
    <w:rsid w:val="006710E2"/>
    <w:rsid w:val="0067118A"/>
    <w:rsid w:val="00671275"/>
    <w:rsid w:val="006716FD"/>
    <w:rsid w:val="006717B0"/>
    <w:rsid w:val="006717FB"/>
    <w:rsid w:val="0067180D"/>
    <w:rsid w:val="006718CE"/>
    <w:rsid w:val="006719C6"/>
    <w:rsid w:val="006719EF"/>
    <w:rsid w:val="00671B0B"/>
    <w:rsid w:val="00671B4F"/>
    <w:rsid w:val="00671BCE"/>
    <w:rsid w:val="00671D6C"/>
    <w:rsid w:val="00671D9F"/>
    <w:rsid w:val="00671F37"/>
    <w:rsid w:val="00671F79"/>
    <w:rsid w:val="00671F9D"/>
    <w:rsid w:val="00671FCC"/>
    <w:rsid w:val="00671FCE"/>
    <w:rsid w:val="00672125"/>
    <w:rsid w:val="006721DD"/>
    <w:rsid w:val="0067222D"/>
    <w:rsid w:val="00672266"/>
    <w:rsid w:val="00672420"/>
    <w:rsid w:val="00672508"/>
    <w:rsid w:val="006725D0"/>
    <w:rsid w:val="00672723"/>
    <w:rsid w:val="0067282D"/>
    <w:rsid w:val="006728B7"/>
    <w:rsid w:val="0067291A"/>
    <w:rsid w:val="00672930"/>
    <w:rsid w:val="00672947"/>
    <w:rsid w:val="00672B30"/>
    <w:rsid w:val="00672BB4"/>
    <w:rsid w:val="00672CAD"/>
    <w:rsid w:val="00672F38"/>
    <w:rsid w:val="00673185"/>
    <w:rsid w:val="0067338B"/>
    <w:rsid w:val="00673404"/>
    <w:rsid w:val="0067358F"/>
    <w:rsid w:val="006736F7"/>
    <w:rsid w:val="006737FD"/>
    <w:rsid w:val="00673995"/>
    <w:rsid w:val="00673A16"/>
    <w:rsid w:val="00673B5C"/>
    <w:rsid w:val="00673BCF"/>
    <w:rsid w:val="00673D41"/>
    <w:rsid w:val="00673D6C"/>
    <w:rsid w:val="00673D6E"/>
    <w:rsid w:val="00673F5D"/>
    <w:rsid w:val="0067403D"/>
    <w:rsid w:val="00674147"/>
    <w:rsid w:val="006741EC"/>
    <w:rsid w:val="006741F9"/>
    <w:rsid w:val="00674217"/>
    <w:rsid w:val="006742AD"/>
    <w:rsid w:val="00674461"/>
    <w:rsid w:val="006746D5"/>
    <w:rsid w:val="006748DA"/>
    <w:rsid w:val="006748F4"/>
    <w:rsid w:val="00674A27"/>
    <w:rsid w:val="00674B0C"/>
    <w:rsid w:val="00674B7B"/>
    <w:rsid w:val="00674CD0"/>
    <w:rsid w:val="00674E4B"/>
    <w:rsid w:val="00674EAA"/>
    <w:rsid w:val="00674F91"/>
    <w:rsid w:val="006750A0"/>
    <w:rsid w:val="00675322"/>
    <w:rsid w:val="0067542A"/>
    <w:rsid w:val="0067548D"/>
    <w:rsid w:val="00675583"/>
    <w:rsid w:val="006756EB"/>
    <w:rsid w:val="0067592C"/>
    <w:rsid w:val="006759D1"/>
    <w:rsid w:val="00675C78"/>
    <w:rsid w:val="0067603B"/>
    <w:rsid w:val="0067611F"/>
    <w:rsid w:val="00676135"/>
    <w:rsid w:val="0067628D"/>
    <w:rsid w:val="00676324"/>
    <w:rsid w:val="006763DB"/>
    <w:rsid w:val="00676458"/>
    <w:rsid w:val="00676512"/>
    <w:rsid w:val="0067659C"/>
    <w:rsid w:val="006765C3"/>
    <w:rsid w:val="006765C4"/>
    <w:rsid w:val="00676643"/>
    <w:rsid w:val="006766F5"/>
    <w:rsid w:val="00676729"/>
    <w:rsid w:val="006767D2"/>
    <w:rsid w:val="00676811"/>
    <w:rsid w:val="00676951"/>
    <w:rsid w:val="00676980"/>
    <w:rsid w:val="00676A37"/>
    <w:rsid w:val="00676A88"/>
    <w:rsid w:val="00676C5C"/>
    <w:rsid w:val="00676CE5"/>
    <w:rsid w:val="00676CF2"/>
    <w:rsid w:val="00676DEC"/>
    <w:rsid w:val="00676E03"/>
    <w:rsid w:val="00676EA8"/>
    <w:rsid w:val="00676F56"/>
    <w:rsid w:val="00677082"/>
    <w:rsid w:val="00677241"/>
    <w:rsid w:val="00677296"/>
    <w:rsid w:val="00677371"/>
    <w:rsid w:val="0067737C"/>
    <w:rsid w:val="00677574"/>
    <w:rsid w:val="00677994"/>
    <w:rsid w:val="00677B7A"/>
    <w:rsid w:val="00677C57"/>
    <w:rsid w:val="00677C5C"/>
    <w:rsid w:val="00677CEF"/>
    <w:rsid w:val="00677DF7"/>
    <w:rsid w:val="00677E69"/>
    <w:rsid w:val="00677F1B"/>
    <w:rsid w:val="00677FAE"/>
    <w:rsid w:val="00680081"/>
    <w:rsid w:val="00680269"/>
    <w:rsid w:val="006803AC"/>
    <w:rsid w:val="006803D7"/>
    <w:rsid w:val="006805A6"/>
    <w:rsid w:val="006805AC"/>
    <w:rsid w:val="006806F2"/>
    <w:rsid w:val="006809D2"/>
    <w:rsid w:val="00680A46"/>
    <w:rsid w:val="00680B15"/>
    <w:rsid w:val="00680BDE"/>
    <w:rsid w:val="00680C51"/>
    <w:rsid w:val="00680ED0"/>
    <w:rsid w:val="0068127C"/>
    <w:rsid w:val="006812ED"/>
    <w:rsid w:val="0068133A"/>
    <w:rsid w:val="00681348"/>
    <w:rsid w:val="0068137A"/>
    <w:rsid w:val="00681454"/>
    <w:rsid w:val="0068145B"/>
    <w:rsid w:val="00681516"/>
    <w:rsid w:val="0068158A"/>
    <w:rsid w:val="00681657"/>
    <w:rsid w:val="0068179C"/>
    <w:rsid w:val="00681909"/>
    <w:rsid w:val="00681A56"/>
    <w:rsid w:val="00681BAA"/>
    <w:rsid w:val="00681D5F"/>
    <w:rsid w:val="00681E28"/>
    <w:rsid w:val="00681E41"/>
    <w:rsid w:val="00681F41"/>
    <w:rsid w:val="00681F85"/>
    <w:rsid w:val="00681F8B"/>
    <w:rsid w:val="006821E2"/>
    <w:rsid w:val="006822F3"/>
    <w:rsid w:val="00682379"/>
    <w:rsid w:val="006823E8"/>
    <w:rsid w:val="00682451"/>
    <w:rsid w:val="00682612"/>
    <w:rsid w:val="0068269E"/>
    <w:rsid w:val="00682850"/>
    <w:rsid w:val="0068294D"/>
    <w:rsid w:val="00682A26"/>
    <w:rsid w:val="00682A7A"/>
    <w:rsid w:val="00682AA1"/>
    <w:rsid w:val="00682CEB"/>
    <w:rsid w:val="00682D41"/>
    <w:rsid w:val="00682E0B"/>
    <w:rsid w:val="00682F56"/>
    <w:rsid w:val="006830B0"/>
    <w:rsid w:val="00683107"/>
    <w:rsid w:val="0068319D"/>
    <w:rsid w:val="00683203"/>
    <w:rsid w:val="0068326F"/>
    <w:rsid w:val="006832E9"/>
    <w:rsid w:val="0068339D"/>
    <w:rsid w:val="00683463"/>
    <w:rsid w:val="0068367D"/>
    <w:rsid w:val="006836B1"/>
    <w:rsid w:val="006837F8"/>
    <w:rsid w:val="00683810"/>
    <w:rsid w:val="0068383F"/>
    <w:rsid w:val="00683878"/>
    <w:rsid w:val="006839CF"/>
    <w:rsid w:val="00683B70"/>
    <w:rsid w:val="00683C23"/>
    <w:rsid w:val="00683C9B"/>
    <w:rsid w:val="00683D0B"/>
    <w:rsid w:val="00683EC8"/>
    <w:rsid w:val="00684050"/>
    <w:rsid w:val="0068416E"/>
    <w:rsid w:val="0068425D"/>
    <w:rsid w:val="0068430F"/>
    <w:rsid w:val="00684323"/>
    <w:rsid w:val="00684380"/>
    <w:rsid w:val="00684419"/>
    <w:rsid w:val="0068454C"/>
    <w:rsid w:val="00684656"/>
    <w:rsid w:val="00684773"/>
    <w:rsid w:val="00684953"/>
    <w:rsid w:val="00684A6B"/>
    <w:rsid w:val="00684A8A"/>
    <w:rsid w:val="00684B76"/>
    <w:rsid w:val="00684CD2"/>
    <w:rsid w:val="00684D4A"/>
    <w:rsid w:val="00684E84"/>
    <w:rsid w:val="00685117"/>
    <w:rsid w:val="00685399"/>
    <w:rsid w:val="006853E2"/>
    <w:rsid w:val="00685433"/>
    <w:rsid w:val="00685464"/>
    <w:rsid w:val="006854DA"/>
    <w:rsid w:val="006855D3"/>
    <w:rsid w:val="00685699"/>
    <w:rsid w:val="006856FB"/>
    <w:rsid w:val="00685975"/>
    <w:rsid w:val="0068599A"/>
    <w:rsid w:val="006859D2"/>
    <w:rsid w:val="00685A6A"/>
    <w:rsid w:val="00685AF9"/>
    <w:rsid w:val="00685B82"/>
    <w:rsid w:val="00685B84"/>
    <w:rsid w:val="00685B9E"/>
    <w:rsid w:val="00685C76"/>
    <w:rsid w:val="00685DA4"/>
    <w:rsid w:val="00685DAD"/>
    <w:rsid w:val="00685F2F"/>
    <w:rsid w:val="00686047"/>
    <w:rsid w:val="00686193"/>
    <w:rsid w:val="006861DF"/>
    <w:rsid w:val="0068628C"/>
    <w:rsid w:val="00686291"/>
    <w:rsid w:val="006862D4"/>
    <w:rsid w:val="00686758"/>
    <w:rsid w:val="006868CB"/>
    <w:rsid w:val="0068696A"/>
    <w:rsid w:val="006869F4"/>
    <w:rsid w:val="00686A05"/>
    <w:rsid w:val="00686A8E"/>
    <w:rsid w:val="00686D1E"/>
    <w:rsid w:val="00686D5D"/>
    <w:rsid w:val="00686E44"/>
    <w:rsid w:val="00686F4A"/>
    <w:rsid w:val="00686F7A"/>
    <w:rsid w:val="0068710C"/>
    <w:rsid w:val="0068715A"/>
    <w:rsid w:val="00687181"/>
    <w:rsid w:val="006871D7"/>
    <w:rsid w:val="006873FB"/>
    <w:rsid w:val="006876BA"/>
    <w:rsid w:val="0068779E"/>
    <w:rsid w:val="006878BF"/>
    <w:rsid w:val="006878C2"/>
    <w:rsid w:val="00687B00"/>
    <w:rsid w:val="00687BF6"/>
    <w:rsid w:val="00687CFE"/>
    <w:rsid w:val="00687D15"/>
    <w:rsid w:val="00687FC7"/>
    <w:rsid w:val="00690167"/>
    <w:rsid w:val="0069019C"/>
    <w:rsid w:val="00690415"/>
    <w:rsid w:val="0069067D"/>
    <w:rsid w:val="00690697"/>
    <w:rsid w:val="00690AC9"/>
    <w:rsid w:val="00690B9E"/>
    <w:rsid w:val="00690BB9"/>
    <w:rsid w:val="00690DFC"/>
    <w:rsid w:val="00690EB7"/>
    <w:rsid w:val="00690F22"/>
    <w:rsid w:val="00690FDC"/>
    <w:rsid w:val="00691114"/>
    <w:rsid w:val="006913F4"/>
    <w:rsid w:val="00691460"/>
    <w:rsid w:val="00691507"/>
    <w:rsid w:val="006918A1"/>
    <w:rsid w:val="006918D9"/>
    <w:rsid w:val="00691901"/>
    <w:rsid w:val="006919D9"/>
    <w:rsid w:val="00691AAA"/>
    <w:rsid w:val="00691B62"/>
    <w:rsid w:val="00691BCE"/>
    <w:rsid w:val="00691CE0"/>
    <w:rsid w:val="00691DE2"/>
    <w:rsid w:val="00691EA2"/>
    <w:rsid w:val="00691EA5"/>
    <w:rsid w:val="00691F1B"/>
    <w:rsid w:val="006922C9"/>
    <w:rsid w:val="00692393"/>
    <w:rsid w:val="006923A0"/>
    <w:rsid w:val="006923D1"/>
    <w:rsid w:val="006925A7"/>
    <w:rsid w:val="00692655"/>
    <w:rsid w:val="00692738"/>
    <w:rsid w:val="00692989"/>
    <w:rsid w:val="00692A02"/>
    <w:rsid w:val="00692A0C"/>
    <w:rsid w:val="00692B77"/>
    <w:rsid w:val="00692E00"/>
    <w:rsid w:val="00692F48"/>
    <w:rsid w:val="00692F75"/>
    <w:rsid w:val="00692F84"/>
    <w:rsid w:val="0069316B"/>
    <w:rsid w:val="00693234"/>
    <w:rsid w:val="0069326E"/>
    <w:rsid w:val="0069331F"/>
    <w:rsid w:val="006933B5"/>
    <w:rsid w:val="00693452"/>
    <w:rsid w:val="006934E7"/>
    <w:rsid w:val="0069357A"/>
    <w:rsid w:val="00693692"/>
    <w:rsid w:val="00693734"/>
    <w:rsid w:val="00693742"/>
    <w:rsid w:val="00693971"/>
    <w:rsid w:val="00693988"/>
    <w:rsid w:val="00693ADD"/>
    <w:rsid w:val="00693B8E"/>
    <w:rsid w:val="00693C9B"/>
    <w:rsid w:val="00693D11"/>
    <w:rsid w:val="00693D14"/>
    <w:rsid w:val="00693D97"/>
    <w:rsid w:val="00693E90"/>
    <w:rsid w:val="00693F01"/>
    <w:rsid w:val="00694135"/>
    <w:rsid w:val="0069427F"/>
    <w:rsid w:val="00694414"/>
    <w:rsid w:val="006944C8"/>
    <w:rsid w:val="00694506"/>
    <w:rsid w:val="006945A9"/>
    <w:rsid w:val="006945C4"/>
    <w:rsid w:val="006945C5"/>
    <w:rsid w:val="006946A1"/>
    <w:rsid w:val="0069478B"/>
    <w:rsid w:val="00694790"/>
    <w:rsid w:val="006947A9"/>
    <w:rsid w:val="00694938"/>
    <w:rsid w:val="00694A07"/>
    <w:rsid w:val="00694A0C"/>
    <w:rsid w:val="00694A45"/>
    <w:rsid w:val="00694A46"/>
    <w:rsid w:val="00694AA3"/>
    <w:rsid w:val="00694AFA"/>
    <w:rsid w:val="00694BE1"/>
    <w:rsid w:val="00694BE3"/>
    <w:rsid w:val="00694E0B"/>
    <w:rsid w:val="00694EAB"/>
    <w:rsid w:val="0069502F"/>
    <w:rsid w:val="0069518C"/>
    <w:rsid w:val="00695233"/>
    <w:rsid w:val="00695241"/>
    <w:rsid w:val="00695344"/>
    <w:rsid w:val="00695612"/>
    <w:rsid w:val="006957B3"/>
    <w:rsid w:val="006957BD"/>
    <w:rsid w:val="006958E7"/>
    <w:rsid w:val="006958EB"/>
    <w:rsid w:val="00695900"/>
    <w:rsid w:val="00695A17"/>
    <w:rsid w:val="00695C09"/>
    <w:rsid w:val="00695C47"/>
    <w:rsid w:val="006961A2"/>
    <w:rsid w:val="006961E0"/>
    <w:rsid w:val="0069622E"/>
    <w:rsid w:val="006962BE"/>
    <w:rsid w:val="006962E2"/>
    <w:rsid w:val="006963B0"/>
    <w:rsid w:val="00696413"/>
    <w:rsid w:val="006965D0"/>
    <w:rsid w:val="006966D8"/>
    <w:rsid w:val="00696732"/>
    <w:rsid w:val="0069673D"/>
    <w:rsid w:val="006967A2"/>
    <w:rsid w:val="00696877"/>
    <w:rsid w:val="006968FF"/>
    <w:rsid w:val="00696AA0"/>
    <w:rsid w:val="00696B7A"/>
    <w:rsid w:val="00696C45"/>
    <w:rsid w:val="00696D3C"/>
    <w:rsid w:val="00696D49"/>
    <w:rsid w:val="00696D4A"/>
    <w:rsid w:val="00696F27"/>
    <w:rsid w:val="00697021"/>
    <w:rsid w:val="00697032"/>
    <w:rsid w:val="006970CA"/>
    <w:rsid w:val="00697130"/>
    <w:rsid w:val="00697135"/>
    <w:rsid w:val="00697168"/>
    <w:rsid w:val="0069719B"/>
    <w:rsid w:val="0069724E"/>
    <w:rsid w:val="006972A4"/>
    <w:rsid w:val="00697337"/>
    <w:rsid w:val="00697486"/>
    <w:rsid w:val="006974B8"/>
    <w:rsid w:val="006974BF"/>
    <w:rsid w:val="00697651"/>
    <w:rsid w:val="00697684"/>
    <w:rsid w:val="006976D5"/>
    <w:rsid w:val="00697733"/>
    <w:rsid w:val="00697762"/>
    <w:rsid w:val="00697904"/>
    <w:rsid w:val="006979C6"/>
    <w:rsid w:val="006979F3"/>
    <w:rsid w:val="006979F9"/>
    <w:rsid w:val="00697A56"/>
    <w:rsid w:val="00697ACF"/>
    <w:rsid w:val="00697AEA"/>
    <w:rsid w:val="00697B04"/>
    <w:rsid w:val="00697B2C"/>
    <w:rsid w:val="00697B3F"/>
    <w:rsid w:val="00697E05"/>
    <w:rsid w:val="00697E08"/>
    <w:rsid w:val="00697EF6"/>
    <w:rsid w:val="00697F9A"/>
    <w:rsid w:val="00697FAA"/>
    <w:rsid w:val="00697FC0"/>
    <w:rsid w:val="006A000B"/>
    <w:rsid w:val="006A014C"/>
    <w:rsid w:val="006A0548"/>
    <w:rsid w:val="006A0566"/>
    <w:rsid w:val="006A0606"/>
    <w:rsid w:val="006A069B"/>
    <w:rsid w:val="006A0752"/>
    <w:rsid w:val="006A095B"/>
    <w:rsid w:val="006A0976"/>
    <w:rsid w:val="006A0B2E"/>
    <w:rsid w:val="006A0B60"/>
    <w:rsid w:val="006A0BC4"/>
    <w:rsid w:val="006A0C8C"/>
    <w:rsid w:val="006A0C9B"/>
    <w:rsid w:val="006A0CB8"/>
    <w:rsid w:val="006A0DB1"/>
    <w:rsid w:val="006A0F8B"/>
    <w:rsid w:val="006A1018"/>
    <w:rsid w:val="006A10B7"/>
    <w:rsid w:val="006A10C0"/>
    <w:rsid w:val="006A1101"/>
    <w:rsid w:val="006A121F"/>
    <w:rsid w:val="006A1247"/>
    <w:rsid w:val="006A1314"/>
    <w:rsid w:val="006A136E"/>
    <w:rsid w:val="006A1413"/>
    <w:rsid w:val="006A141D"/>
    <w:rsid w:val="006A153D"/>
    <w:rsid w:val="006A1629"/>
    <w:rsid w:val="006A1670"/>
    <w:rsid w:val="006A1752"/>
    <w:rsid w:val="006A181F"/>
    <w:rsid w:val="006A18C2"/>
    <w:rsid w:val="006A1AB1"/>
    <w:rsid w:val="006A1BA3"/>
    <w:rsid w:val="006A1BC3"/>
    <w:rsid w:val="006A1CCA"/>
    <w:rsid w:val="006A1E5A"/>
    <w:rsid w:val="006A1E88"/>
    <w:rsid w:val="006A1F15"/>
    <w:rsid w:val="006A1FAF"/>
    <w:rsid w:val="006A20D5"/>
    <w:rsid w:val="006A2185"/>
    <w:rsid w:val="006A2209"/>
    <w:rsid w:val="006A2279"/>
    <w:rsid w:val="006A227A"/>
    <w:rsid w:val="006A23AA"/>
    <w:rsid w:val="006A24C0"/>
    <w:rsid w:val="006A24C8"/>
    <w:rsid w:val="006A2528"/>
    <w:rsid w:val="006A2543"/>
    <w:rsid w:val="006A2671"/>
    <w:rsid w:val="006A280C"/>
    <w:rsid w:val="006A287F"/>
    <w:rsid w:val="006A28F6"/>
    <w:rsid w:val="006A29E6"/>
    <w:rsid w:val="006A2AB8"/>
    <w:rsid w:val="006A2D96"/>
    <w:rsid w:val="006A2F24"/>
    <w:rsid w:val="006A2F8A"/>
    <w:rsid w:val="006A3163"/>
    <w:rsid w:val="006A3383"/>
    <w:rsid w:val="006A341E"/>
    <w:rsid w:val="006A38C8"/>
    <w:rsid w:val="006A395B"/>
    <w:rsid w:val="006A3A3A"/>
    <w:rsid w:val="006A3B5A"/>
    <w:rsid w:val="006A3C09"/>
    <w:rsid w:val="006A3C72"/>
    <w:rsid w:val="006A3CB1"/>
    <w:rsid w:val="006A3D21"/>
    <w:rsid w:val="006A3E9F"/>
    <w:rsid w:val="006A3F19"/>
    <w:rsid w:val="006A40E6"/>
    <w:rsid w:val="006A4328"/>
    <w:rsid w:val="006A44B5"/>
    <w:rsid w:val="006A4529"/>
    <w:rsid w:val="006A4544"/>
    <w:rsid w:val="006A45F2"/>
    <w:rsid w:val="006A463E"/>
    <w:rsid w:val="006A4693"/>
    <w:rsid w:val="006A46C9"/>
    <w:rsid w:val="006A4704"/>
    <w:rsid w:val="006A478C"/>
    <w:rsid w:val="006A48CD"/>
    <w:rsid w:val="006A48D7"/>
    <w:rsid w:val="006A49AB"/>
    <w:rsid w:val="006A4B94"/>
    <w:rsid w:val="006A4BE7"/>
    <w:rsid w:val="006A4C07"/>
    <w:rsid w:val="006A4C19"/>
    <w:rsid w:val="006A4C26"/>
    <w:rsid w:val="006A4CDC"/>
    <w:rsid w:val="006A4D01"/>
    <w:rsid w:val="006A4DBB"/>
    <w:rsid w:val="006A4F31"/>
    <w:rsid w:val="006A511B"/>
    <w:rsid w:val="006A5164"/>
    <w:rsid w:val="006A5166"/>
    <w:rsid w:val="006A516C"/>
    <w:rsid w:val="006A51CB"/>
    <w:rsid w:val="006A53A1"/>
    <w:rsid w:val="006A5447"/>
    <w:rsid w:val="006A5500"/>
    <w:rsid w:val="006A5701"/>
    <w:rsid w:val="006A5733"/>
    <w:rsid w:val="006A57AE"/>
    <w:rsid w:val="006A57E1"/>
    <w:rsid w:val="006A5813"/>
    <w:rsid w:val="006A58F2"/>
    <w:rsid w:val="006A5BB9"/>
    <w:rsid w:val="006A5C54"/>
    <w:rsid w:val="006A5EE6"/>
    <w:rsid w:val="006A5F29"/>
    <w:rsid w:val="006A62E8"/>
    <w:rsid w:val="006A6527"/>
    <w:rsid w:val="006A669B"/>
    <w:rsid w:val="006A6733"/>
    <w:rsid w:val="006A6811"/>
    <w:rsid w:val="006A6A95"/>
    <w:rsid w:val="006A6B3F"/>
    <w:rsid w:val="006A6E1F"/>
    <w:rsid w:val="006A6ED0"/>
    <w:rsid w:val="006A6F47"/>
    <w:rsid w:val="006A70AE"/>
    <w:rsid w:val="006A70D4"/>
    <w:rsid w:val="006A71B4"/>
    <w:rsid w:val="006A73DB"/>
    <w:rsid w:val="006A741F"/>
    <w:rsid w:val="006A745F"/>
    <w:rsid w:val="006A7798"/>
    <w:rsid w:val="006A77CE"/>
    <w:rsid w:val="006A77E9"/>
    <w:rsid w:val="006A78B0"/>
    <w:rsid w:val="006A7D22"/>
    <w:rsid w:val="006A7DE0"/>
    <w:rsid w:val="006A7E2F"/>
    <w:rsid w:val="006A7EBB"/>
    <w:rsid w:val="006B0072"/>
    <w:rsid w:val="006B00A7"/>
    <w:rsid w:val="006B0438"/>
    <w:rsid w:val="006B0484"/>
    <w:rsid w:val="006B04EC"/>
    <w:rsid w:val="006B0572"/>
    <w:rsid w:val="006B05EB"/>
    <w:rsid w:val="006B077C"/>
    <w:rsid w:val="006B0795"/>
    <w:rsid w:val="006B079B"/>
    <w:rsid w:val="006B0974"/>
    <w:rsid w:val="006B0B42"/>
    <w:rsid w:val="006B0B7E"/>
    <w:rsid w:val="006B0C57"/>
    <w:rsid w:val="006B0CA2"/>
    <w:rsid w:val="006B0D77"/>
    <w:rsid w:val="006B10C5"/>
    <w:rsid w:val="006B122B"/>
    <w:rsid w:val="006B154B"/>
    <w:rsid w:val="006B165D"/>
    <w:rsid w:val="006B16A2"/>
    <w:rsid w:val="006B16CA"/>
    <w:rsid w:val="006B1753"/>
    <w:rsid w:val="006B17D8"/>
    <w:rsid w:val="006B19A9"/>
    <w:rsid w:val="006B1C24"/>
    <w:rsid w:val="006B1E4A"/>
    <w:rsid w:val="006B1F96"/>
    <w:rsid w:val="006B2102"/>
    <w:rsid w:val="006B2133"/>
    <w:rsid w:val="006B213C"/>
    <w:rsid w:val="006B21AE"/>
    <w:rsid w:val="006B21F5"/>
    <w:rsid w:val="006B2265"/>
    <w:rsid w:val="006B2271"/>
    <w:rsid w:val="006B2299"/>
    <w:rsid w:val="006B22CC"/>
    <w:rsid w:val="006B230A"/>
    <w:rsid w:val="006B230E"/>
    <w:rsid w:val="006B23AE"/>
    <w:rsid w:val="006B23F3"/>
    <w:rsid w:val="006B2566"/>
    <w:rsid w:val="006B267A"/>
    <w:rsid w:val="006B293F"/>
    <w:rsid w:val="006B2DE2"/>
    <w:rsid w:val="006B3097"/>
    <w:rsid w:val="006B31BC"/>
    <w:rsid w:val="006B31CD"/>
    <w:rsid w:val="006B31EF"/>
    <w:rsid w:val="006B3469"/>
    <w:rsid w:val="006B348F"/>
    <w:rsid w:val="006B35A4"/>
    <w:rsid w:val="006B3633"/>
    <w:rsid w:val="006B3685"/>
    <w:rsid w:val="006B36A2"/>
    <w:rsid w:val="006B37EC"/>
    <w:rsid w:val="006B3811"/>
    <w:rsid w:val="006B3B63"/>
    <w:rsid w:val="006B3C01"/>
    <w:rsid w:val="006B3C59"/>
    <w:rsid w:val="006B3E23"/>
    <w:rsid w:val="006B3FCB"/>
    <w:rsid w:val="006B401C"/>
    <w:rsid w:val="006B402C"/>
    <w:rsid w:val="006B40D3"/>
    <w:rsid w:val="006B4318"/>
    <w:rsid w:val="006B440A"/>
    <w:rsid w:val="006B4555"/>
    <w:rsid w:val="006B46E9"/>
    <w:rsid w:val="006B4884"/>
    <w:rsid w:val="006B494F"/>
    <w:rsid w:val="006B4A58"/>
    <w:rsid w:val="006B4ADB"/>
    <w:rsid w:val="006B4DC1"/>
    <w:rsid w:val="006B4E6A"/>
    <w:rsid w:val="006B4F43"/>
    <w:rsid w:val="006B4F69"/>
    <w:rsid w:val="006B4F91"/>
    <w:rsid w:val="006B53BC"/>
    <w:rsid w:val="006B53EC"/>
    <w:rsid w:val="006B540E"/>
    <w:rsid w:val="006B5530"/>
    <w:rsid w:val="006B55DA"/>
    <w:rsid w:val="006B5752"/>
    <w:rsid w:val="006B5913"/>
    <w:rsid w:val="006B5A00"/>
    <w:rsid w:val="006B5AE2"/>
    <w:rsid w:val="006B5DC8"/>
    <w:rsid w:val="006B5E7E"/>
    <w:rsid w:val="006B5F02"/>
    <w:rsid w:val="006B60E7"/>
    <w:rsid w:val="006B6144"/>
    <w:rsid w:val="006B6198"/>
    <w:rsid w:val="006B62FB"/>
    <w:rsid w:val="006B63E8"/>
    <w:rsid w:val="006B6457"/>
    <w:rsid w:val="006B645C"/>
    <w:rsid w:val="006B653B"/>
    <w:rsid w:val="006B65DE"/>
    <w:rsid w:val="006B679C"/>
    <w:rsid w:val="006B6803"/>
    <w:rsid w:val="006B6912"/>
    <w:rsid w:val="006B6951"/>
    <w:rsid w:val="006B6A77"/>
    <w:rsid w:val="006B6AF1"/>
    <w:rsid w:val="006B6B5B"/>
    <w:rsid w:val="006B6BD1"/>
    <w:rsid w:val="006B6DF6"/>
    <w:rsid w:val="006B6EFB"/>
    <w:rsid w:val="006B6F78"/>
    <w:rsid w:val="006B6FD5"/>
    <w:rsid w:val="006B70B0"/>
    <w:rsid w:val="006B70BC"/>
    <w:rsid w:val="006B7204"/>
    <w:rsid w:val="006B7254"/>
    <w:rsid w:val="006B7348"/>
    <w:rsid w:val="006B73D2"/>
    <w:rsid w:val="006B7671"/>
    <w:rsid w:val="006B769A"/>
    <w:rsid w:val="006B76AD"/>
    <w:rsid w:val="006B76BB"/>
    <w:rsid w:val="006B7748"/>
    <w:rsid w:val="006B7794"/>
    <w:rsid w:val="006B7C5C"/>
    <w:rsid w:val="006B7D54"/>
    <w:rsid w:val="006B7E8A"/>
    <w:rsid w:val="006C025A"/>
    <w:rsid w:val="006C0325"/>
    <w:rsid w:val="006C0447"/>
    <w:rsid w:val="006C04B5"/>
    <w:rsid w:val="006C0603"/>
    <w:rsid w:val="006C07B6"/>
    <w:rsid w:val="006C09CA"/>
    <w:rsid w:val="006C0AC4"/>
    <w:rsid w:val="006C0AE8"/>
    <w:rsid w:val="006C0D9E"/>
    <w:rsid w:val="006C1197"/>
    <w:rsid w:val="006C12D8"/>
    <w:rsid w:val="006C1401"/>
    <w:rsid w:val="006C1526"/>
    <w:rsid w:val="006C156C"/>
    <w:rsid w:val="006C15B1"/>
    <w:rsid w:val="006C15F6"/>
    <w:rsid w:val="006C171D"/>
    <w:rsid w:val="006C1755"/>
    <w:rsid w:val="006C178C"/>
    <w:rsid w:val="006C1831"/>
    <w:rsid w:val="006C1912"/>
    <w:rsid w:val="006C1933"/>
    <w:rsid w:val="006C1956"/>
    <w:rsid w:val="006C198B"/>
    <w:rsid w:val="006C1A4C"/>
    <w:rsid w:val="006C1A78"/>
    <w:rsid w:val="006C1AAA"/>
    <w:rsid w:val="006C1AD0"/>
    <w:rsid w:val="006C1BC9"/>
    <w:rsid w:val="006C1E4B"/>
    <w:rsid w:val="006C1F33"/>
    <w:rsid w:val="006C20B4"/>
    <w:rsid w:val="006C20DD"/>
    <w:rsid w:val="006C21C8"/>
    <w:rsid w:val="006C23E1"/>
    <w:rsid w:val="006C2400"/>
    <w:rsid w:val="006C246B"/>
    <w:rsid w:val="006C24CC"/>
    <w:rsid w:val="006C262A"/>
    <w:rsid w:val="006C2688"/>
    <w:rsid w:val="006C27D4"/>
    <w:rsid w:val="006C293B"/>
    <w:rsid w:val="006C29BD"/>
    <w:rsid w:val="006C2A80"/>
    <w:rsid w:val="006C2AF7"/>
    <w:rsid w:val="006C2B27"/>
    <w:rsid w:val="006C2C1F"/>
    <w:rsid w:val="006C2D00"/>
    <w:rsid w:val="006C2E32"/>
    <w:rsid w:val="006C2E95"/>
    <w:rsid w:val="006C2F1A"/>
    <w:rsid w:val="006C3035"/>
    <w:rsid w:val="006C3063"/>
    <w:rsid w:val="006C30E7"/>
    <w:rsid w:val="006C3119"/>
    <w:rsid w:val="006C3347"/>
    <w:rsid w:val="006C33F5"/>
    <w:rsid w:val="006C35E7"/>
    <w:rsid w:val="006C3A1E"/>
    <w:rsid w:val="006C3BA9"/>
    <w:rsid w:val="006C3C46"/>
    <w:rsid w:val="006C3E61"/>
    <w:rsid w:val="006C3FDB"/>
    <w:rsid w:val="006C4203"/>
    <w:rsid w:val="006C42C5"/>
    <w:rsid w:val="006C4391"/>
    <w:rsid w:val="006C43A4"/>
    <w:rsid w:val="006C4484"/>
    <w:rsid w:val="006C4666"/>
    <w:rsid w:val="006C468F"/>
    <w:rsid w:val="006C46FF"/>
    <w:rsid w:val="006C47F4"/>
    <w:rsid w:val="006C482B"/>
    <w:rsid w:val="006C4B89"/>
    <w:rsid w:val="006C4DED"/>
    <w:rsid w:val="006C4DFD"/>
    <w:rsid w:val="006C4ED4"/>
    <w:rsid w:val="006C507A"/>
    <w:rsid w:val="006C50FB"/>
    <w:rsid w:val="006C51DB"/>
    <w:rsid w:val="006C524E"/>
    <w:rsid w:val="006C5595"/>
    <w:rsid w:val="006C5637"/>
    <w:rsid w:val="006C57A6"/>
    <w:rsid w:val="006C59D4"/>
    <w:rsid w:val="006C5C01"/>
    <w:rsid w:val="006C5C05"/>
    <w:rsid w:val="006C5C2C"/>
    <w:rsid w:val="006C5C5A"/>
    <w:rsid w:val="006C5C89"/>
    <w:rsid w:val="006C5DED"/>
    <w:rsid w:val="006C5E15"/>
    <w:rsid w:val="006C6171"/>
    <w:rsid w:val="006C61E9"/>
    <w:rsid w:val="006C6219"/>
    <w:rsid w:val="006C62AF"/>
    <w:rsid w:val="006C62CC"/>
    <w:rsid w:val="006C62F7"/>
    <w:rsid w:val="006C6349"/>
    <w:rsid w:val="006C6426"/>
    <w:rsid w:val="006C65E9"/>
    <w:rsid w:val="006C664B"/>
    <w:rsid w:val="006C6700"/>
    <w:rsid w:val="006C6711"/>
    <w:rsid w:val="006C6766"/>
    <w:rsid w:val="006C68AA"/>
    <w:rsid w:val="006C6DED"/>
    <w:rsid w:val="006C6E2D"/>
    <w:rsid w:val="006C6FA5"/>
    <w:rsid w:val="006C70F7"/>
    <w:rsid w:val="006C7176"/>
    <w:rsid w:val="006C7182"/>
    <w:rsid w:val="006C71F2"/>
    <w:rsid w:val="006C7225"/>
    <w:rsid w:val="006C7354"/>
    <w:rsid w:val="006C7576"/>
    <w:rsid w:val="006C75AE"/>
    <w:rsid w:val="006C7789"/>
    <w:rsid w:val="006C778F"/>
    <w:rsid w:val="006C7798"/>
    <w:rsid w:val="006C790F"/>
    <w:rsid w:val="006C79EA"/>
    <w:rsid w:val="006C7A60"/>
    <w:rsid w:val="006C7A63"/>
    <w:rsid w:val="006C7C32"/>
    <w:rsid w:val="006C7DB4"/>
    <w:rsid w:val="006C7E21"/>
    <w:rsid w:val="006C7F65"/>
    <w:rsid w:val="006C7FB7"/>
    <w:rsid w:val="006D00AB"/>
    <w:rsid w:val="006D0120"/>
    <w:rsid w:val="006D0199"/>
    <w:rsid w:val="006D059F"/>
    <w:rsid w:val="006D067E"/>
    <w:rsid w:val="006D0767"/>
    <w:rsid w:val="006D07B7"/>
    <w:rsid w:val="006D0975"/>
    <w:rsid w:val="006D0994"/>
    <w:rsid w:val="006D0BFF"/>
    <w:rsid w:val="006D0E1A"/>
    <w:rsid w:val="006D0EEE"/>
    <w:rsid w:val="006D0F0F"/>
    <w:rsid w:val="006D0F16"/>
    <w:rsid w:val="006D0FC2"/>
    <w:rsid w:val="006D103C"/>
    <w:rsid w:val="006D1193"/>
    <w:rsid w:val="006D124A"/>
    <w:rsid w:val="006D1437"/>
    <w:rsid w:val="006D1593"/>
    <w:rsid w:val="006D15F7"/>
    <w:rsid w:val="006D172D"/>
    <w:rsid w:val="006D177F"/>
    <w:rsid w:val="006D1CC6"/>
    <w:rsid w:val="006D1CFA"/>
    <w:rsid w:val="006D1E51"/>
    <w:rsid w:val="006D2025"/>
    <w:rsid w:val="006D204F"/>
    <w:rsid w:val="006D2320"/>
    <w:rsid w:val="006D232E"/>
    <w:rsid w:val="006D2338"/>
    <w:rsid w:val="006D233A"/>
    <w:rsid w:val="006D23EC"/>
    <w:rsid w:val="006D23FF"/>
    <w:rsid w:val="006D2460"/>
    <w:rsid w:val="006D24A9"/>
    <w:rsid w:val="006D24AF"/>
    <w:rsid w:val="006D24E0"/>
    <w:rsid w:val="006D2524"/>
    <w:rsid w:val="006D2A3F"/>
    <w:rsid w:val="006D2B15"/>
    <w:rsid w:val="006D2D30"/>
    <w:rsid w:val="006D2D5A"/>
    <w:rsid w:val="006D2E19"/>
    <w:rsid w:val="006D2E25"/>
    <w:rsid w:val="006D2F0E"/>
    <w:rsid w:val="006D2F71"/>
    <w:rsid w:val="006D2FBC"/>
    <w:rsid w:val="006D3013"/>
    <w:rsid w:val="006D31A6"/>
    <w:rsid w:val="006D32A0"/>
    <w:rsid w:val="006D3330"/>
    <w:rsid w:val="006D33D1"/>
    <w:rsid w:val="006D340E"/>
    <w:rsid w:val="006D3495"/>
    <w:rsid w:val="006D367F"/>
    <w:rsid w:val="006D3696"/>
    <w:rsid w:val="006D388D"/>
    <w:rsid w:val="006D3A91"/>
    <w:rsid w:val="006D3AFD"/>
    <w:rsid w:val="006D3B6E"/>
    <w:rsid w:val="006D3C32"/>
    <w:rsid w:val="006D3C3F"/>
    <w:rsid w:val="006D3D6A"/>
    <w:rsid w:val="006D3ECA"/>
    <w:rsid w:val="006D3FFA"/>
    <w:rsid w:val="006D4003"/>
    <w:rsid w:val="006D4187"/>
    <w:rsid w:val="006D41F0"/>
    <w:rsid w:val="006D421D"/>
    <w:rsid w:val="006D4260"/>
    <w:rsid w:val="006D428A"/>
    <w:rsid w:val="006D42D6"/>
    <w:rsid w:val="006D42EC"/>
    <w:rsid w:val="006D439D"/>
    <w:rsid w:val="006D4544"/>
    <w:rsid w:val="006D45DB"/>
    <w:rsid w:val="006D46CD"/>
    <w:rsid w:val="006D46F8"/>
    <w:rsid w:val="006D477D"/>
    <w:rsid w:val="006D4818"/>
    <w:rsid w:val="006D49A6"/>
    <w:rsid w:val="006D4B00"/>
    <w:rsid w:val="006D4B26"/>
    <w:rsid w:val="006D4B2C"/>
    <w:rsid w:val="006D4BFB"/>
    <w:rsid w:val="006D4CF4"/>
    <w:rsid w:val="006D4E1B"/>
    <w:rsid w:val="006D50DA"/>
    <w:rsid w:val="006D519F"/>
    <w:rsid w:val="006D51B9"/>
    <w:rsid w:val="006D526E"/>
    <w:rsid w:val="006D53C8"/>
    <w:rsid w:val="006D53F5"/>
    <w:rsid w:val="006D5433"/>
    <w:rsid w:val="006D544D"/>
    <w:rsid w:val="006D54CE"/>
    <w:rsid w:val="006D555C"/>
    <w:rsid w:val="006D5562"/>
    <w:rsid w:val="006D56FB"/>
    <w:rsid w:val="006D5742"/>
    <w:rsid w:val="006D599E"/>
    <w:rsid w:val="006D59CF"/>
    <w:rsid w:val="006D5AE2"/>
    <w:rsid w:val="006D5BE2"/>
    <w:rsid w:val="006D5BED"/>
    <w:rsid w:val="006D5DE8"/>
    <w:rsid w:val="006D5F9C"/>
    <w:rsid w:val="006D6245"/>
    <w:rsid w:val="006D6252"/>
    <w:rsid w:val="006D6367"/>
    <w:rsid w:val="006D649C"/>
    <w:rsid w:val="006D64B1"/>
    <w:rsid w:val="006D64DE"/>
    <w:rsid w:val="006D66D5"/>
    <w:rsid w:val="006D68CE"/>
    <w:rsid w:val="006D6AE9"/>
    <w:rsid w:val="006D6CB7"/>
    <w:rsid w:val="006D6D06"/>
    <w:rsid w:val="006D6DB1"/>
    <w:rsid w:val="006D6E34"/>
    <w:rsid w:val="006D6F5A"/>
    <w:rsid w:val="006D6FD9"/>
    <w:rsid w:val="006D6FFD"/>
    <w:rsid w:val="006D7068"/>
    <w:rsid w:val="006D70DF"/>
    <w:rsid w:val="006D71D0"/>
    <w:rsid w:val="006D7236"/>
    <w:rsid w:val="006D72C0"/>
    <w:rsid w:val="006D73B9"/>
    <w:rsid w:val="006D7411"/>
    <w:rsid w:val="006D7433"/>
    <w:rsid w:val="006D7598"/>
    <w:rsid w:val="006D75D2"/>
    <w:rsid w:val="006D7652"/>
    <w:rsid w:val="006D7842"/>
    <w:rsid w:val="006D78E4"/>
    <w:rsid w:val="006D7A75"/>
    <w:rsid w:val="006D7B4D"/>
    <w:rsid w:val="006D7C5C"/>
    <w:rsid w:val="006D7E0F"/>
    <w:rsid w:val="006D7E78"/>
    <w:rsid w:val="006D7F68"/>
    <w:rsid w:val="006E0051"/>
    <w:rsid w:val="006E00D3"/>
    <w:rsid w:val="006E01A1"/>
    <w:rsid w:val="006E01CA"/>
    <w:rsid w:val="006E01FB"/>
    <w:rsid w:val="006E0244"/>
    <w:rsid w:val="006E027A"/>
    <w:rsid w:val="006E0418"/>
    <w:rsid w:val="006E0471"/>
    <w:rsid w:val="006E0490"/>
    <w:rsid w:val="006E06C0"/>
    <w:rsid w:val="006E0756"/>
    <w:rsid w:val="006E07EE"/>
    <w:rsid w:val="006E0837"/>
    <w:rsid w:val="006E0849"/>
    <w:rsid w:val="006E0861"/>
    <w:rsid w:val="006E08E8"/>
    <w:rsid w:val="006E09D1"/>
    <w:rsid w:val="006E0C53"/>
    <w:rsid w:val="006E0EED"/>
    <w:rsid w:val="006E0FE5"/>
    <w:rsid w:val="006E10D4"/>
    <w:rsid w:val="006E118E"/>
    <w:rsid w:val="006E122F"/>
    <w:rsid w:val="006E1257"/>
    <w:rsid w:val="006E1352"/>
    <w:rsid w:val="006E138B"/>
    <w:rsid w:val="006E14AD"/>
    <w:rsid w:val="006E170E"/>
    <w:rsid w:val="006E1867"/>
    <w:rsid w:val="006E1930"/>
    <w:rsid w:val="006E193F"/>
    <w:rsid w:val="006E1A58"/>
    <w:rsid w:val="006E1AA9"/>
    <w:rsid w:val="006E1AF3"/>
    <w:rsid w:val="006E1C8A"/>
    <w:rsid w:val="006E1CB8"/>
    <w:rsid w:val="006E1D07"/>
    <w:rsid w:val="006E1E52"/>
    <w:rsid w:val="006E1EB8"/>
    <w:rsid w:val="006E1EE2"/>
    <w:rsid w:val="006E21C2"/>
    <w:rsid w:val="006E2276"/>
    <w:rsid w:val="006E22A1"/>
    <w:rsid w:val="006E22C0"/>
    <w:rsid w:val="006E2385"/>
    <w:rsid w:val="006E23DF"/>
    <w:rsid w:val="006E249B"/>
    <w:rsid w:val="006E24D4"/>
    <w:rsid w:val="006E2693"/>
    <w:rsid w:val="006E2743"/>
    <w:rsid w:val="006E274B"/>
    <w:rsid w:val="006E2788"/>
    <w:rsid w:val="006E2B12"/>
    <w:rsid w:val="006E2FBF"/>
    <w:rsid w:val="006E30A6"/>
    <w:rsid w:val="006E3117"/>
    <w:rsid w:val="006E314B"/>
    <w:rsid w:val="006E31A6"/>
    <w:rsid w:val="006E3208"/>
    <w:rsid w:val="006E329B"/>
    <w:rsid w:val="006E335F"/>
    <w:rsid w:val="006E33A4"/>
    <w:rsid w:val="006E34E1"/>
    <w:rsid w:val="006E34E8"/>
    <w:rsid w:val="006E3705"/>
    <w:rsid w:val="006E3734"/>
    <w:rsid w:val="006E379D"/>
    <w:rsid w:val="006E3A8D"/>
    <w:rsid w:val="006E3AC6"/>
    <w:rsid w:val="006E3AE2"/>
    <w:rsid w:val="006E3AEC"/>
    <w:rsid w:val="006E3AF9"/>
    <w:rsid w:val="006E3B06"/>
    <w:rsid w:val="006E3B65"/>
    <w:rsid w:val="006E3D1D"/>
    <w:rsid w:val="006E3DE5"/>
    <w:rsid w:val="006E401D"/>
    <w:rsid w:val="006E4059"/>
    <w:rsid w:val="006E40FC"/>
    <w:rsid w:val="006E4157"/>
    <w:rsid w:val="006E431F"/>
    <w:rsid w:val="006E4351"/>
    <w:rsid w:val="006E4562"/>
    <w:rsid w:val="006E4632"/>
    <w:rsid w:val="006E485B"/>
    <w:rsid w:val="006E4860"/>
    <w:rsid w:val="006E4A18"/>
    <w:rsid w:val="006E4A89"/>
    <w:rsid w:val="006E4BE0"/>
    <w:rsid w:val="006E4C37"/>
    <w:rsid w:val="006E4D95"/>
    <w:rsid w:val="006E4FD5"/>
    <w:rsid w:val="006E526D"/>
    <w:rsid w:val="006E5311"/>
    <w:rsid w:val="006E534A"/>
    <w:rsid w:val="006E5401"/>
    <w:rsid w:val="006E5546"/>
    <w:rsid w:val="006E5617"/>
    <w:rsid w:val="006E568E"/>
    <w:rsid w:val="006E571F"/>
    <w:rsid w:val="006E57E3"/>
    <w:rsid w:val="006E58C6"/>
    <w:rsid w:val="006E5943"/>
    <w:rsid w:val="006E5D7B"/>
    <w:rsid w:val="006E5FBA"/>
    <w:rsid w:val="006E614B"/>
    <w:rsid w:val="006E6235"/>
    <w:rsid w:val="006E6237"/>
    <w:rsid w:val="006E6307"/>
    <w:rsid w:val="006E65B3"/>
    <w:rsid w:val="006E66C8"/>
    <w:rsid w:val="006E6739"/>
    <w:rsid w:val="006E690A"/>
    <w:rsid w:val="006E6993"/>
    <w:rsid w:val="006E6A3B"/>
    <w:rsid w:val="006E6BC7"/>
    <w:rsid w:val="006E6C2A"/>
    <w:rsid w:val="006E6C59"/>
    <w:rsid w:val="006E714E"/>
    <w:rsid w:val="006E7482"/>
    <w:rsid w:val="006E74C3"/>
    <w:rsid w:val="006E75AD"/>
    <w:rsid w:val="006E75E7"/>
    <w:rsid w:val="006E767A"/>
    <w:rsid w:val="006E78A7"/>
    <w:rsid w:val="006E799F"/>
    <w:rsid w:val="006E7ACC"/>
    <w:rsid w:val="006E7B4B"/>
    <w:rsid w:val="006E7BC7"/>
    <w:rsid w:val="006E7E70"/>
    <w:rsid w:val="006E7F28"/>
    <w:rsid w:val="006F01C6"/>
    <w:rsid w:val="006F0259"/>
    <w:rsid w:val="006F02D2"/>
    <w:rsid w:val="006F0330"/>
    <w:rsid w:val="006F047C"/>
    <w:rsid w:val="006F0767"/>
    <w:rsid w:val="006F087C"/>
    <w:rsid w:val="006F08DC"/>
    <w:rsid w:val="006F09EC"/>
    <w:rsid w:val="006F0A39"/>
    <w:rsid w:val="006F0B45"/>
    <w:rsid w:val="006F0C55"/>
    <w:rsid w:val="006F0CB9"/>
    <w:rsid w:val="006F0D98"/>
    <w:rsid w:val="006F140F"/>
    <w:rsid w:val="006F1520"/>
    <w:rsid w:val="006F1539"/>
    <w:rsid w:val="006F1569"/>
    <w:rsid w:val="006F159C"/>
    <w:rsid w:val="006F1756"/>
    <w:rsid w:val="006F17B5"/>
    <w:rsid w:val="006F18F7"/>
    <w:rsid w:val="006F1A2E"/>
    <w:rsid w:val="006F1A74"/>
    <w:rsid w:val="006F1D69"/>
    <w:rsid w:val="006F1DD0"/>
    <w:rsid w:val="006F1F2E"/>
    <w:rsid w:val="006F1FC9"/>
    <w:rsid w:val="006F1FDC"/>
    <w:rsid w:val="006F21BD"/>
    <w:rsid w:val="006F2280"/>
    <w:rsid w:val="006F2399"/>
    <w:rsid w:val="006F2480"/>
    <w:rsid w:val="006F251A"/>
    <w:rsid w:val="006F2640"/>
    <w:rsid w:val="006F26A0"/>
    <w:rsid w:val="006F2852"/>
    <w:rsid w:val="006F28A6"/>
    <w:rsid w:val="006F2991"/>
    <w:rsid w:val="006F2A62"/>
    <w:rsid w:val="006F2B3C"/>
    <w:rsid w:val="006F2B47"/>
    <w:rsid w:val="006F2F38"/>
    <w:rsid w:val="006F3006"/>
    <w:rsid w:val="006F3079"/>
    <w:rsid w:val="006F340B"/>
    <w:rsid w:val="006F3521"/>
    <w:rsid w:val="006F354E"/>
    <w:rsid w:val="006F35D0"/>
    <w:rsid w:val="006F3618"/>
    <w:rsid w:val="006F3700"/>
    <w:rsid w:val="006F380B"/>
    <w:rsid w:val="006F3917"/>
    <w:rsid w:val="006F3A96"/>
    <w:rsid w:val="006F3D6D"/>
    <w:rsid w:val="006F3DD2"/>
    <w:rsid w:val="006F3E2A"/>
    <w:rsid w:val="006F3E64"/>
    <w:rsid w:val="006F3E89"/>
    <w:rsid w:val="006F40C0"/>
    <w:rsid w:val="006F40FB"/>
    <w:rsid w:val="006F41FF"/>
    <w:rsid w:val="006F427D"/>
    <w:rsid w:val="006F4286"/>
    <w:rsid w:val="006F42BD"/>
    <w:rsid w:val="006F4490"/>
    <w:rsid w:val="006F4524"/>
    <w:rsid w:val="006F4563"/>
    <w:rsid w:val="006F458F"/>
    <w:rsid w:val="006F45BA"/>
    <w:rsid w:val="006F46B3"/>
    <w:rsid w:val="006F4702"/>
    <w:rsid w:val="006F47A5"/>
    <w:rsid w:val="006F48E7"/>
    <w:rsid w:val="006F4948"/>
    <w:rsid w:val="006F49F6"/>
    <w:rsid w:val="006F4A19"/>
    <w:rsid w:val="006F4A24"/>
    <w:rsid w:val="006F4A81"/>
    <w:rsid w:val="006F4AE1"/>
    <w:rsid w:val="006F4B63"/>
    <w:rsid w:val="006F4CF2"/>
    <w:rsid w:val="006F4D95"/>
    <w:rsid w:val="006F4D96"/>
    <w:rsid w:val="006F5122"/>
    <w:rsid w:val="006F5186"/>
    <w:rsid w:val="006F51F3"/>
    <w:rsid w:val="006F5274"/>
    <w:rsid w:val="006F5297"/>
    <w:rsid w:val="006F52E5"/>
    <w:rsid w:val="006F5318"/>
    <w:rsid w:val="006F5425"/>
    <w:rsid w:val="006F549D"/>
    <w:rsid w:val="006F54DD"/>
    <w:rsid w:val="006F56FA"/>
    <w:rsid w:val="006F59C9"/>
    <w:rsid w:val="006F59DE"/>
    <w:rsid w:val="006F5A0E"/>
    <w:rsid w:val="006F5A51"/>
    <w:rsid w:val="006F5C5D"/>
    <w:rsid w:val="006F5D77"/>
    <w:rsid w:val="006F5D7D"/>
    <w:rsid w:val="006F5DD8"/>
    <w:rsid w:val="006F5EB9"/>
    <w:rsid w:val="006F5EBD"/>
    <w:rsid w:val="006F604D"/>
    <w:rsid w:val="006F607C"/>
    <w:rsid w:val="006F6148"/>
    <w:rsid w:val="006F6149"/>
    <w:rsid w:val="006F6274"/>
    <w:rsid w:val="006F633A"/>
    <w:rsid w:val="006F6511"/>
    <w:rsid w:val="006F657E"/>
    <w:rsid w:val="006F66FD"/>
    <w:rsid w:val="006F6765"/>
    <w:rsid w:val="006F67B8"/>
    <w:rsid w:val="006F689A"/>
    <w:rsid w:val="006F6996"/>
    <w:rsid w:val="006F69E6"/>
    <w:rsid w:val="006F6A4A"/>
    <w:rsid w:val="006F6B8C"/>
    <w:rsid w:val="006F6ECD"/>
    <w:rsid w:val="006F6FDB"/>
    <w:rsid w:val="006F7018"/>
    <w:rsid w:val="006F70E6"/>
    <w:rsid w:val="006F7184"/>
    <w:rsid w:val="006F71EF"/>
    <w:rsid w:val="006F734E"/>
    <w:rsid w:val="006F735A"/>
    <w:rsid w:val="006F73B8"/>
    <w:rsid w:val="006F7444"/>
    <w:rsid w:val="006F74A0"/>
    <w:rsid w:val="006F770D"/>
    <w:rsid w:val="006F784D"/>
    <w:rsid w:val="006F792A"/>
    <w:rsid w:val="006F796E"/>
    <w:rsid w:val="006F7995"/>
    <w:rsid w:val="006F7A21"/>
    <w:rsid w:val="006F7A86"/>
    <w:rsid w:val="006F7AAA"/>
    <w:rsid w:val="006F7BDC"/>
    <w:rsid w:val="006F7CA3"/>
    <w:rsid w:val="006F7CC7"/>
    <w:rsid w:val="006F7CDA"/>
    <w:rsid w:val="006F7D14"/>
    <w:rsid w:val="006F7D24"/>
    <w:rsid w:val="006F7D4F"/>
    <w:rsid w:val="0070016F"/>
    <w:rsid w:val="00700243"/>
    <w:rsid w:val="00700247"/>
    <w:rsid w:val="00700268"/>
    <w:rsid w:val="0070026C"/>
    <w:rsid w:val="0070032B"/>
    <w:rsid w:val="0070049B"/>
    <w:rsid w:val="007004C9"/>
    <w:rsid w:val="0070051F"/>
    <w:rsid w:val="007006E2"/>
    <w:rsid w:val="007007AD"/>
    <w:rsid w:val="0070087A"/>
    <w:rsid w:val="0070091C"/>
    <w:rsid w:val="0070094F"/>
    <w:rsid w:val="00700A5E"/>
    <w:rsid w:val="00700ACA"/>
    <w:rsid w:val="00700E51"/>
    <w:rsid w:val="00701022"/>
    <w:rsid w:val="00701287"/>
    <w:rsid w:val="007013EF"/>
    <w:rsid w:val="00701513"/>
    <w:rsid w:val="0070169C"/>
    <w:rsid w:val="0070171F"/>
    <w:rsid w:val="007017E0"/>
    <w:rsid w:val="00701824"/>
    <w:rsid w:val="007019B9"/>
    <w:rsid w:val="00701AB5"/>
    <w:rsid w:val="00701AC9"/>
    <w:rsid w:val="00701ADC"/>
    <w:rsid w:val="00701CBF"/>
    <w:rsid w:val="0070201A"/>
    <w:rsid w:val="0070205A"/>
    <w:rsid w:val="00702068"/>
    <w:rsid w:val="0070207F"/>
    <w:rsid w:val="007021C2"/>
    <w:rsid w:val="0070236E"/>
    <w:rsid w:val="0070245E"/>
    <w:rsid w:val="00702483"/>
    <w:rsid w:val="0070255D"/>
    <w:rsid w:val="00702648"/>
    <w:rsid w:val="0070275E"/>
    <w:rsid w:val="007027D9"/>
    <w:rsid w:val="00702997"/>
    <w:rsid w:val="00702A12"/>
    <w:rsid w:val="00702A38"/>
    <w:rsid w:val="00702CCA"/>
    <w:rsid w:val="00702CE2"/>
    <w:rsid w:val="00702CF1"/>
    <w:rsid w:val="00702DB1"/>
    <w:rsid w:val="00702EF8"/>
    <w:rsid w:val="00702F47"/>
    <w:rsid w:val="00703018"/>
    <w:rsid w:val="0070303A"/>
    <w:rsid w:val="007032DA"/>
    <w:rsid w:val="007032E8"/>
    <w:rsid w:val="00703796"/>
    <w:rsid w:val="007038E3"/>
    <w:rsid w:val="00703A1D"/>
    <w:rsid w:val="00703A2F"/>
    <w:rsid w:val="00703A7E"/>
    <w:rsid w:val="00703BA6"/>
    <w:rsid w:val="00703CB2"/>
    <w:rsid w:val="00703CE6"/>
    <w:rsid w:val="00703DAB"/>
    <w:rsid w:val="00703DDB"/>
    <w:rsid w:val="00703FE7"/>
    <w:rsid w:val="00704029"/>
    <w:rsid w:val="0070416D"/>
    <w:rsid w:val="00704205"/>
    <w:rsid w:val="007042C2"/>
    <w:rsid w:val="007042D6"/>
    <w:rsid w:val="00704369"/>
    <w:rsid w:val="007043BA"/>
    <w:rsid w:val="007043CB"/>
    <w:rsid w:val="00704567"/>
    <w:rsid w:val="007046DC"/>
    <w:rsid w:val="0070471C"/>
    <w:rsid w:val="00704963"/>
    <w:rsid w:val="007049AB"/>
    <w:rsid w:val="00704AF9"/>
    <w:rsid w:val="00704B29"/>
    <w:rsid w:val="00704B7F"/>
    <w:rsid w:val="00704B87"/>
    <w:rsid w:val="00704BA0"/>
    <w:rsid w:val="00704C43"/>
    <w:rsid w:val="00704C60"/>
    <w:rsid w:val="00704CFA"/>
    <w:rsid w:val="00704E24"/>
    <w:rsid w:val="00704E28"/>
    <w:rsid w:val="00704E4E"/>
    <w:rsid w:val="00704ED2"/>
    <w:rsid w:val="0070505C"/>
    <w:rsid w:val="007050D0"/>
    <w:rsid w:val="007050DA"/>
    <w:rsid w:val="007050EA"/>
    <w:rsid w:val="007051E1"/>
    <w:rsid w:val="00705237"/>
    <w:rsid w:val="0070530F"/>
    <w:rsid w:val="007054E9"/>
    <w:rsid w:val="007055BD"/>
    <w:rsid w:val="00705881"/>
    <w:rsid w:val="007058BD"/>
    <w:rsid w:val="007058E3"/>
    <w:rsid w:val="0070595B"/>
    <w:rsid w:val="00705A89"/>
    <w:rsid w:val="00705B1A"/>
    <w:rsid w:val="00705B2F"/>
    <w:rsid w:val="00705C22"/>
    <w:rsid w:val="00705DEC"/>
    <w:rsid w:val="00705DEE"/>
    <w:rsid w:val="00705EB5"/>
    <w:rsid w:val="00705F99"/>
    <w:rsid w:val="00706116"/>
    <w:rsid w:val="0070626D"/>
    <w:rsid w:val="00706397"/>
    <w:rsid w:val="007063F6"/>
    <w:rsid w:val="007064BF"/>
    <w:rsid w:val="0070660F"/>
    <w:rsid w:val="007066E3"/>
    <w:rsid w:val="00706779"/>
    <w:rsid w:val="00706878"/>
    <w:rsid w:val="0070688F"/>
    <w:rsid w:val="007068F3"/>
    <w:rsid w:val="00706AE1"/>
    <w:rsid w:val="00706BBA"/>
    <w:rsid w:val="00706C47"/>
    <w:rsid w:val="00706D19"/>
    <w:rsid w:val="00706DF6"/>
    <w:rsid w:val="00706F18"/>
    <w:rsid w:val="00706F4E"/>
    <w:rsid w:val="00706F66"/>
    <w:rsid w:val="0070713A"/>
    <w:rsid w:val="007071DF"/>
    <w:rsid w:val="0070722C"/>
    <w:rsid w:val="00707392"/>
    <w:rsid w:val="007073F5"/>
    <w:rsid w:val="00707507"/>
    <w:rsid w:val="00707588"/>
    <w:rsid w:val="007075C0"/>
    <w:rsid w:val="00707678"/>
    <w:rsid w:val="0070767C"/>
    <w:rsid w:val="0070771D"/>
    <w:rsid w:val="0070773B"/>
    <w:rsid w:val="007079EC"/>
    <w:rsid w:val="00707A74"/>
    <w:rsid w:val="00707B81"/>
    <w:rsid w:val="00707BB0"/>
    <w:rsid w:val="00707C87"/>
    <w:rsid w:val="00707EB1"/>
    <w:rsid w:val="00710026"/>
    <w:rsid w:val="00710124"/>
    <w:rsid w:val="007101EE"/>
    <w:rsid w:val="007103A4"/>
    <w:rsid w:val="007106D5"/>
    <w:rsid w:val="00710721"/>
    <w:rsid w:val="007107DD"/>
    <w:rsid w:val="007109C9"/>
    <w:rsid w:val="00710AE1"/>
    <w:rsid w:val="00710D4D"/>
    <w:rsid w:val="0071100D"/>
    <w:rsid w:val="00711012"/>
    <w:rsid w:val="0071120E"/>
    <w:rsid w:val="007112B2"/>
    <w:rsid w:val="00711329"/>
    <w:rsid w:val="0071133F"/>
    <w:rsid w:val="00711394"/>
    <w:rsid w:val="007115F4"/>
    <w:rsid w:val="007116C8"/>
    <w:rsid w:val="00711796"/>
    <w:rsid w:val="007117BB"/>
    <w:rsid w:val="0071185C"/>
    <w:rsid w:val="007119F1"/>
    <w:rsid w:val="007119F7"/>
    <w:rsid w:val="00711A4B"/>
    <w:rsid w:val="00711ADB"/>
    <w:rsid w:val="00711B0B"/>
    <w:rsid w:val="00711B12"/>
    <w:rsid w:val="00711B5E"/>
    <w:rsid w:val="00711DBE"/>
    <w:rsid w:val="00711DF6"/>
    <w:rsid w:val="00711E1E"/>
    <w:rsid w:val="00711EA4"/>
    <w:rsid w:val="00711EBF"/>
    <w:rsid w:val="00712079"/>
    <w:rsid w:val="00712089"/>
    <w:rsid w:val="0071208D"/>
    <w:rsid w:val="007121AD"/>
    <w:rsid w:val="00712262"/>
    <w:rsid w:val="007122DC"/>
    <w:rsid w:val="007123E5"/>
    <w:rsid w:val="007125B4"/>
    <w:rsid w:val="007125BD"/>
    <w:rsid w:val="00712700"/>
    <w:rsid w:val="00712758"/>
    <w:rsid w:val="007127E3"/>
    <w:rsid w:val="00712A10"/>
    <w:rsid w:val="00712AA8"/>
    <w:rsid w:val="00712B7B"/>
    <w:rsid w:val="00712BC6"/>
    <w:rsid w:val="00712D49"/>
    <w:rsid w:val="00712D6E"/>
    <w:rsid w:val="00712EBD"/>
    <w:rsid w:val="00713202"/>
    <w:rsid w:val="00713217"/>
    <w:rsid w:val="00713252"/>
    <w:rsid w:val="00713338"/>
    <w:rsid w:val="00713544"/>
    <w:rsid w:val="00713665"/>
    <w:rsid w:val="0071367E"/>
    <w:rsid w:val="0071371F"/>
    <w:rsid w:val="00713778"/>
    <w:rsid w:val="00713884"/>
    <w:rsid w:val="00713B51"/>
    <w:rsid w:val="00713BCA"/>
    <w:rsid w:val="00713BD7"/>
    <w:rsid w:val="00713CAC"/>
    <w:rsid w:val="00713D8A"/>
    <w:rsid w:val="00713EFE"/>
    <w:rsid w:val="0071402C"/>
    <w:rsid w:val="00714202"/>
    <w:rsid w:val="007142D9"/>
    <w:rsid w:val="007142DF"/>
    <w:rsid w:val="007142E3"/>
    <w:rsid w:val="0071432F"/>
    <w:rsid w:val="007143CA"/>
    <w:rsid w:val="00714413"/>
    <w:rsid w:val="00714602"/>
    <w:rsid w:val="00714666"/>
    <w:rsid w:val="00714695"/>
    <w:rsid w:val="0071476B"/>
    <w:rsid w:val="0071489D"/>
    <w:rsid w:val="007149B4"/>
    <w:rsid w:val="00714A63"/>
    <w:rsid w:val="00714D16"/>
    <w:rsid w:val="00714D42"/>
    <w:rsid w:val="0071506E"/>
    <w:rsid w:val="00715133"/>
    <w:rsid w:val="0071521D"/>
    <w:rsid w:val="00715482"/>
    <w:rsid w:val="0071556D"/>
    <w:rsid w:val="00715572"/>
    <w:rsid w:val="0071563D"/>
    <w:rsid w:val="0071571A"/>
    <w:rsid w:val="00715753"/>
    <w:rsid w:val="007157BE"/>
    <w:rsid w:val="007157E8"/>
    <w:rsid w:val="00715819"/>
    <w:rsid w:val="0071599C"/>
    <w:rsid w:val="00715B06"/>
    <w:rsid w:val="00715BF6"/>
    <w:rsid w:val="00715D48"/>
    <w:rsid w:val="00715E19"/>
    <w:rsid w:val="00715EA4"/>
    <w:rsid w:val="00715F10"/>
    <w:rsid w:val="00715F9E"/>
    <w:rsid w:val="007160D7"/>
    <w:rsid w:val="00716118"/>
    <w:rsid w:val="0071621D"/>
    <w:rsid w:val="0071634F"/>
    <w:rsid w:val="00716378"/>
    <w:rsid w:val="0071639C"/>
    <w:rsid w:val="0071642A"/>
    <w:rsid w:val="0071645F"/>
    <w:rsid w:val="007164B5"/>
    <w:rsid w:val="007164C3"/>
    <w:rsid w:val="00716535"/>
    <w:rsid w:val="00716554"/>
    <w:rsid w:val="00716625"/>
    <w:rsid w:val="00716680"/>
    <w:rsid w:val="007167AD"/>
    <w:rsid w:val="007167C2"/>
    <w:rsid w:val="00716918"/>
    <w:rsid w:val="00716999"/>
    <w:rsid w:val="0071699D"/>
    <w:rsid w:val="00716A38"/>
    <w:rsid w:val="00716A3C"/>
    <w:rsid w:val="00716A64"/>
    <w:rsid w:val="00716B2D"/>
    <w:rsid w:val="00716B42"/>
    <w:rsid w:val="00716DA5"/>
    <w:rsid w:val="00716DBA"/>
    <w:rsid w:val="00716EA1"/>
    <w:rsid w:val="00716EF9"/>
    <w:rsid w:val="00716F5A"/>
    <w:rsid w:val="007171B6"/>
    <w:rsid w:val="007171C2"/>
    <w:rsid w:val="0071729D"/>
    <w:rsid w:val="007172A0"/>
    <w:rsid w:val="007173CA"/>
    <w:rsid w:val="00717425"/>
    <w:rsid w:val="0071754F"/>
    <w:rsid w:val="007177B0"/>
    <w:rsid w:val="007179A8"/>
    <w:rsid w:val="00717A61"/>
    <w:rsid w:val="00717B1D"/>
    <w:rsid w:val="00717B2E"/>
    <w:rsid w:val="00717C93"/>
    <w:rsid w:val="00717DF5"/>
    <w:rsid w:val="00717F86"/>
    <w:rsid w:val="00720138"/>
    <w:rsid w:val="0072017D"/>
    <w:rsid w:val="00720229"/>
    <w:rsid w:val="007204DB"/>
    <w:rsid w:val="0072057E"/>
    <w:rsid w:val="007205D1"/>
    <w:rsid w:val="00720609"/>
    <w:rsid w:val="0072060A"/>
    <w:rsid w:val="0072060C"/>
    <w:rsid w:val="007206EC"/>
    <w:rsid w:val="0072070B"/>
    <w:rsid w:val="0072075B"/>
    <w:rsid w:val="007207A1"/>
    <w:rsid w:val="0072080B"/>
    <w:rsid w:val="00720A21"/>
    <w:rsid w:val="00720B3E"/>
    <w:rsid w:val="00720BB6"/>
    <w:rsid w:val="00720CC0"/>
    <w:rsid w:val="00720CCB"/>
    <w:rsid w:val="00720D6B"/>
    <w:rsid w:val="00720D71"/>
    <w:rsid w:val="00720DDD"/>
    <w:rsid w:val="00720DF2"/>
    <w:rsid w:val="00720E28"/>
    <w:rsid w:val="00720E3C"/>
    <w:rsid w:val="00720F15"/>
    <w:rsid w:val="00720F41"/>
    <w:rsid w:val="007210E8"/>
    <w:rsid w:val="0072113F"/>
    <w:rsid w:val="007211AE"/>
    <w:rsid w:val="00721244"/>
    <w:rsid w:val="0072124C"/>
    <w:rsid w:val="0072132D"/>
    <w:rsid w:val="007214E5"/>
    <w:rsid w:val="00721562"/>
    <w:rsid w:val="0072156F"/>
    <w:rsid w:val="0072168C"/>
    <w:rsid w:val="007216AA"/>
    <w:rsid w:val="0072173B"/>
    <w:rsid w:val="00721817"/>
    <w:rsid w:val="00721845"/>
    <w:rsid w:val="007218FA"/>
    <w:rsid w:val="00721967"/>
    <w:rsid w:val="00721977"/>
    <w:rsid w:val="00721A14"/>
    <w:rsid w:val="00721AB5"/>
    <w:rsid w:val="00721AD8"/>
    <w:rsid w:val="00721B4F"/>
    <w:rsid w:val="00721C93"/>
    <w:rsid w:val="00721CFB"/>
    <w:rsid w:val="00721D39"/>
    <w:rsid w:val="00721DEF"/>
    <w:rsid w:val="00721F21"/>
    <w:rsid w:val="00722013"/>
    <w:rsid w:val="007221EC"/>
    <w:rsid w:val="007223CC"/>
    <w:rsid w:val="0072251F"/>
    <w:rsid w:val="007226E0"/>
    <w:rsid w:val="007226E6"/>
    <w:rsid w:val="00722791"/>
    <w:rsid w:val="00722834"/>
    <w:rsid w:val="00722A86"/>
    <w:rsid w:val="00722C86"/>
    <w:rsid w:val="00722E37"/>
    <w:rsid w:val="00723068"/>
    <w:rsid w:val="007230FC"/>
    <w:rsid w:val="00723147"/>
    <w:rsid w:val="007232D8"/>
    <w:rsid w:val="007233BE"/>
    <w:rsid w:val="00723588"/>
    <w:rsid w:val="0072362E"/>
    <w:rsid w:val="007236A9"/>
    <w:rsid w:val="00723705"/>
    <w:rsid w:val="00723832"/>
    <w:rsid w:val="007238D8"/>
    <w:rsid w:val="00723922"/>
    <w:rsid w:val="00723951"/>
    <w:rsid w:val="00723993"/>
    <w:rsid w:val="00723A06"/>
    <w:rsid w:val="00723A0D"/>
    <w:rsid w:val="00723A0F"/>
    <w:rsid w:val="00723AB0"/>
    <w:rsid w:val="00723ACA"/>
    <w:rsid w:val="00723BBB"/>
    <w:rsid w:val="00723D48"/>
    <w:rsid w:val="00723FA5"/>
    <w:rsid w:val="00723FAE"/>
    <w:rsid w:val="00723FF3"/>
    <w:rsid w:val="0072417B"/>
    <w:rsid w:val="007241AD"/>
    <w:rsid w:val="007241C9"/>
    <w:rsid w:val="007241DC"/>
    <w:rsid w:val="007241DF"/>
    <w:rsid w:val="0072420A"/>
    <w:rsid w:val="007243D2"/>
    <w:rsid w:val="00724558"/>
    <w:rsid w:val="007245A7"/>
    <w:rsid w:val="007245D1"/>
    <w:rsid w:val="00724737"/>
    <w:rsid w:val="007247AA"/>
    <w:rsid w:val="0072489E"/>
    <w:rsid w:val="00724A43"/>
    <w:rsid w:val="00724ADC"/>
    <w:rsid w:val="00724AE9"/>
    <w:rsid w:val="00724B82"/>
    <w:rsid w:val="00724F91"/>
    <w:rsid w:val="007250F1"/>
    <w:rsid w:val="0072525C"/>
    <w:rsid w:val="0072548F"/>
    <w:rsid w:val="007254DB"/>
    <w:rsid w:val="00725588"/>
    <w:rsid w:val="007255F4"/>
    <w:rsid w:val="00725729"/>
    <w:rsid w:val="00725907"/>
    <w:rsid w:val="0072592A"/>
    <w:rsid w:val="007259DC"/>
    <w:rsid w:val="007259EC"/>
    <w:rsid w:val="00725B27"/>
    <w:rsid w:val="00725C7A"/>
    <w:rsid w:val="00725EB5"/>
    <w:rsid w:val="0072622C"/>
    <w:rsid w:val="00726337"/>
    <w:rsid w:val="00726384"/>
    <w:rsid w:val="0072654E"/>
    <w:rsid w:val="0072657B"/>
    <w:rsid w:val="0072669A"/>
    <w:rsid w:val="00726714"/>
    <w:rsid w:val="0072673E"/>
    <w:rsid w:val="007267AC"/>
    <w:rsid w:val="00726830"/>
    <w:rsid w:val="0072687D"/>
    <w:rsid w:val="0072698C"/>
    <w:rsid w:val="007269CC"/>
    <w:rsid w:val="00726A74"/>
    <w:rsid w:val="00726ABA"/>
    <w:rsid w:val="00726AC3"/>
    <w:rsid w:val="00726AF6"/>
    <w:rsid w:val="00726D08"/>
    <w:rsid w:val="00726D25"/>
    <w:rsid w:val="00726E26"/>
    <w:rsid w:val="00726E2B"/>
    <w:rsid w:val="00727281"/>
    <w:rsid w:val="007273AC"/>
    <w:rsid w:val="007274C5"/>
    <w:rsid w:val="007274D8"/>
    <w:rsid w:val="0072753B"/>
    <w:rsid w:val="007276D4"/>
    <w:rsid w:val="007277BE"/>
    <w:rsid w:val="007277CE"/>
    <w:rsid w:val="00727837"/>
    <w:rsid w:val="007278EC"/>
    <w:rsid w:val="007279BD"/>
    <w:rsid w:val="00727A97"/>
    <w:rsid w:val="00727AC4"/>
    <w:rsid w:val="00727ADD"/>
    <w:rsid w:val="00727BB9"/>
    <w:rsid w:val="00727D64"/>
    <w:rsid w:val="00727E03"/>
    <w:rsid w:val="0073002F"/>
    <w:rsid w:val="00730052"/>
    <w:rsid w:val="0073005E"/>
    <w:rsid w:val="0073011D"/>
    <w:rsid w:val="007301FC"/>
    <w:rsid w:val="00730553"/>
    <w:rsid w:val="007307E3"/>
    <w:rsid w:val="0073089B"/>
    <w:rsid w:val="00730985"/>
    <w:rsid w:val="00730A2D"/>
    <w:rsid w:val="00730BB3"/>
    <w:rsid w:val="00730D28"/>
    <w:rsid w:val="00730E6B"/>
    <w:rsid w:val="00730F20"/>
    <w:rsid w:val="00730F35"/>
    <w:rsid w:val="00731113"/>
    <w:rsid w:val="0073111E"/>
    <w:rsid w:val="00731298"/>
    <w:rsid w:val="0073130A"/>
    <w:rsid w:val="0073134E"/>
    <w:rsid w:val="00731558"/>
    <w:rsid w:val="00731588"/>
    <w:rsid w:val="0073169A"/>
    <w:rsid w:val="007318FD"/>
    <w:rsid w:val="00731AD4"/>
    <w:rsid w:val="00731E80"/>
    <w:rsid w:val="00731F64"/>
    <w:rsid w:val="0073203A"/>
    <w:rsid w:val="00732046"/>
    <w:rsid w:val="0073207F"/>
    <w:rsid w:val="0073227F"/>
    <w:rsid w:val="007322B6"/>
    <w:rsid w:val="007322D8"/>
    <w:rsid w:val="007323A1"/>
    <w:rsid w:val="0073245B"/>
    <w:rsid w:val="007325D4"/>
    <w:rsid w:val="00732675"/>
    <w:rsid w:val="00732719"/>
    <w:rsid w:val="00732744"/>
    <w:rsid w:val="00732833"/>
    <w:rsid w:val="007329DC"/>
    <w:rsid w:val="00732A08"/>
    <w:rsid w:val="00732A7E"/>
    <w:rsid w:val="00732BFE"/>
    <w:rsid w:val="00732C17"/>
    <w:rsid w:val="00732C41"/>
    <w:rsid w:val="00732D5C"/>
    <w:rsid w:val="00732E58"/>
    <w:rsid w:val="00732E5D"/>
    <w:rsid w:val="00732F6D"/>
    <w:rsid w:val="0073309C"/>
    <w:rsid w:val="00733387"/>
    <w:rsid w:val="00733481"/>
    <w:rsid w:val="007334B1"/>
    <w:rsid w:val="007335A5"/>
    <w:rsid w:val="00733782"/>
    <w:rsid w:val="007339FA"/>
    <w:rsid w:val="00733A2A"/>
    <w:rsid w:val="00733AF4"/>
    <w:rsid w:val="00733B28"/>
    <w:rsid w:val="00733E82"/>
    <w:rsid w:val="00733F70"/>
    <w:rsid w:val="0073427E"/>
    <w:rsid w:val="0073433A"/>
    <w:rsid w:val="0073435C"/>
    <w:rsid w:val="00734375"/>
    <w:rsid w:val="0073458A"/>
    <w:rsid w:val="0073466E"/>
    <w:rsid w:val="007346E4"/>
    <w:rsid w:val="00734707"/>
    <w:rsid w:val="00734777"/>
    <w:rsid w:val="007347A3"/>
    <w:rsid w:val="0073490F"/>
    <w:rsid w:val="00734940"/>
    <w:rsid w:val="00734963"/>
    <w:rsid w:val="00734A4B"/>
    <w:rsid w:val="00734A55"/>
    <w:rsid w:val="00734B01"/>
    <w:rsid w:val="00734B77"/>
    <w:rsid w:val="00734B98"/>
    <w:rsid w:val="00734D36"/>
    <w:rsid w:val="00734EB2"/>
    <w:rsid w:val="00734F1C"/>
    <w:rsid w:val="00734FCA"/>
    <w:rsid w:val="0073513C"/>
    <w:rsid w:val="0073514A"/>
    <w:rsid w:val="007354CB"/>
    <w:rsid w:val="00735564"/>
    <w:rsid w:val="00735577"/>
    <w:rsid w:val="0073557F"/>
    <w:rsid w:val="007358CC"/>
    <w:rsid w:val="00735AA4"/>
    <w:rsid w:val="00735B4C"/>
    <w:rsid w:val="00735C9B"/>
    <w:rsid w:val="00735CCA"/>
    <w:rsid w:val="00735D4F"/>
    <w:rsid w:val="00735D98"/>
    <w:rsid w:val="00735F19"/>
    <w:rsid w:val="00735F21"/>
    <w:rsid w:val="00735FA5"/>
    <w:rsid w:val="007360C1"/>
    <w:rsid w:val="007360F0"/>
    <w:rsid w:val="007362B1"/>
    <w:rsid w:val="00736420"/>
    <w:rsid w:val="007365F0"/>
    <w:rsid w:val="00736681"/>
    <w:rsid w:val="007367C5"/>
    <w:rsid w:val="00736869"/>
    <w:rsid w:val="0073689A"/>
    <w:rsid w:val="00736997"/>
    <w:rsid w:val="007369E6"/>
    <w:rsid w:val="007369E8"/>
    <w:rsid w:val="00736A46"/>
    <w:rsid w:val="00736A5E"/>
    <w:rsid w:val="00736ABD"/>
    <w:rsid w:val="00736B1B"/>
    <w:rsid w:val="00736BA5"/>
    <w:rsid w:val="00736BC9"/>
    <w:rsid w:val="00736E70"/>
    <w:rsid w:val="00736F19"/>
    <w:rsid w:val="00736FD2"/>
    <w:rsid w:val="00737347"/>
    <w:rsid w:val="0073736A"/>
    <w:rsid w:val="00737496"/>
    <w:rsid w:val="00737540"/>
    <w:rsid w:val="00737554"/>
    <w:rsid w:val="007375CA"/>
    <w:rsid w:val="0073766E"/>
    <w:rsid w:val="007377C1"/>
    <w:rsid w:val="00737889"/>
    <w:rsid w:val="0073795C"/>
    <w:rsid w:val="007379DB"/>
    <w:rsid w:val="00737BBC"/>
    <w:rsid w:val="00737CDA"/>
    <w:rsid w:val="00737D7A"/>
    <w:rsid w:val="00737DD1"/>
    <w:rsid w:val="00737E15"/>
    <w:rsid w:val="00737E4C"/>
    <w:rsid w:val="00737E59"/>
    <w:rsid w:val="00737F73"/>
    <w:rsid w:val="0074012B"/>
    <w:rsid w:val="007401D9"/>
    <w:rsid w:val="00740240"/>
    <w:rsid w:val="0074027F"/>
    <w:rsid w:val="0074035E"/>
    <w:rsid w:val="0074038D"/>
    <w:rsid w:val="007403B2"/>
    <w:rsid w:val="00740490"/>
    <w:rsid w:val="007404A8"/>
    <w:rsid w:val="0074067F"/>
    <w:rsid w:val="007406FC"/>
    <w:rsid w:val="00740760"/>
    <w:rsid w:val="00740929"/>
    <w:rsid w:val="007409EB"/>
    <w:rsid w:val="00740A26"/>
    <w:rsid w:val="00740A8B"/>
    <w:rsid w:val="00740BB3"/>
    <w:rsid w:val="00740CF6"/>
    <w:rsid w:val="00740D75"/>
    <w:rsid w:val="00740E6A"/>
    <w:rsid w:val="00740F22"/>
    <w:rsid w:val="00740F65"/>
    <w:rsid w:val="00740FA4"/>
    <w:rsid w:val="0074103A"/>
    <w:rsid w:val="007410E8"/>
    <w:rsid w:val="007411B2"/>
    <w:rsid w:val="007411D1"/>
    <w:rsid w:val="007412E3"/>
    <w:rsid w:val="00741405"/>
    <w:rsid w:val="00741457"/>
    <w:rsid w:val="00741541"/>
    <w:rsid w:val="0074160C"/>
    <w:rsid w:val="007418EA"/>
    <w:rsid w:val="00741913"/>
    <w:rsid w:val="00741A86"/>
    <w:rsid w:val="00741C62"/>
    <w:rsid w:val="00741CCB"/>
    <w:rsid w:val="00741CF0"/>
    <w:rsid w:val="00741F1A"/>
    <w:rsid w:val="00741FC1"/>
    <w:rsid w:val="00742009"/>
    <w:rsid w:val="00742013"/>
    <w:rsid w:val="0074215C"/>
    <w:rsid w:val="0074215E"/>
    <w:rsid w:val="00742439"/>
    <w:rsid w:val="0074248A"/>
    <w:rsid w:val="007424A9"/>
    <w:rsid w:val="007424ED"/>
    <w:rsid w:val="0074264C"/>
    <w:rsid w:val="0074267C"/>
    <w:rsid w:val="0074273C"/>
    <w:rsid w:val="007427B3"/>
    <w:rsid w:val="00742801"/>
    <w:rsid w:val="0074287E"/>
    <w:rsid w:val="00742B15"/>
    <w:rsid w:val="00742B75"/>
    <w:rsid w:val="00742BDE"/>
    <w:rsid w:val="00742C7F"/>
    <w:rsid w:val="00742CCC"/>
    <w:rsid w:val="00742D46"/>
    <w:rsid w:val="00742ECD"/>
    <w:rsid w:val="007430DE"/>
    <w:rsid w:val="00743282"/>
    <w:rsid w:val="0074338F"/>
    <w:rsid w:val="007434AB"/>
    <w:rsid w:val="0074353F"/>
    <w:rsid w:val="007435C6"/>
    <w:rsid w:val="00743624"/>
    <w:rsid w:val="00743841"/>
    <w:rsid w:val="007439E1"/>
    <w:rsid w:val="00743A86"/>
    <w:rsid w:val="00743B47"/>
    <w:rsid w:val="00743C77"/>
    <w:rsid w:val="00743C86"/>
    <w:rsid w:val="00743D41"/>
    <w:rsid w:val="00743D8B"/>
    <w:rsid w:val="00743DFC"/>
    <w:rsid w:val="00743E2B"/>
    <w:rsid w:val="00744044"/>
    <w:rsid w:val="007440F7"/>
    <w:rsid w:val="00744340"/>
    <w:rsid w:val="007443A5"/>
    <w:rsid w:val="007443EA"/>
    <w:rsid w:val="007443F1"/>
    <w:rsid w:val="00744419"/>
    <w:rsid w:val="00744432"/>
    <w:rsid w:val="007446B1"/>
    <w:rsid w:val="0074479B"/>
    <w:rsid w:val="007447BE"/>
    <w:rsid w:val="007447DA"/>
    <w:rsid w:val="007448DE"/>
    <w:rsid w:val="00744907"/>
    <w:rsid w:val="0074493F"/>
    <w:rsid w:val="00744AAC"/>
    <w:rsid w:val="00744B29"/>
    <w:rsid w:val="00744B2A"/>
    <w:rsid w:val="00744B5B"/>
    <w:rsid w:val="00744C67"/>
    <w:rsid w:val="00744C9C"/>
    <w:rsid w:val="00744CD9"/>
    <w:rsid w:val="00744E5D"/>
    <w:rsid w:val="00744EAE"/>
    <w:rsid w:val="00744F56"/>
    <w:rsid w:val="00744FF6"/>
    <w:rsid w:val="007450E7"/>
    <w:rsid w:val="007450F8"/>
    <w:rsid w:val="00745235"/>
    <w:rsid w:val="007452EF"/>
    <w:rsid w:val="00745379"/>
    <w:rsid w:val="007453AB"/>
    <w:rsid w:val="00745439"/>
    <w:rsid w:val="00745482"/>
    <w:rsid w:val="00745515"/>
    <w:rsid w:val="00745615"/>
    <w:rsid w:val="007457D3"/>
    <w:rsid w:val="007458DE"/>
    <w:rsid w:val="00745980"/>
    <w:rsid w:val="007459A0"/>
    <w:rsid w:val="00745AC7"/>
    <w:rsid w:val="00745D39"/>
    <w:rsid w:val="00745D48"/>
    <w:rsid w:val="00745E63"/>
    <w:rsid w:val="00745F12"/>
    <w:rsid w:val="00745FE8"/>
    <w:rsid w:val="0074606A"/>
    <w:rsid w:val="007460B8"/>
    <w:rsid w:val="007460F6"/>
    <w:rsid w:val="0074611D"/>
    <w:rsid w:val="0074611E"/>
    <w:rsid w:val="007463AD"/>
    <w:rsid w:val="00746490"/>
    <w:rsid w:val="00746510"/>
    <w:rsid w:val="00746560"/>
    <w:rsid w:val="007465DF"/>
    <w:rsid w:val="007467C5"/>
    <w:rsid w:val="007468A0"/>
    <w:rsid w:val="0074696E"/>
    <w:rsid w:val="00746EB3"/>
    <w:rsid w:val="00747285"/>
    <w:rsid w:val="00747304"/>
    <w:rsid w:val="007474D0"/>
    <w:rsid w:val="00747638"/>
    <w:rsid w:val="0074770D"/>
    <w:rsid w:val="0074777E"/>
    <w:rsid w:val="00747814"/>
    <w:rsid w:val="00747A35"/>
    <w:rsid w:val="00747ABF"/>
    <w:rsid w:val="00747B08"/>
    <w:rsid w:val="00747CB7"/>
    <w:rsid w:val="00747D14"/>
    <w:rsid w:val="00747D1D"/>
    <w:rsid w:val="00747D9F"/>
    <w:rsid w:val="00747DD8"/>
    <w:rsid w:val="00747E83"/>
    <w:rsid w:val="0075002F"/>
    <w:rsid w:val="00750134"/>
    <w:rsid w:val="00750135"/>
    <w:rsid w:val="007501B0"/>
    <w:rsid w:val="007501BE"/>
    <w:rsid w:val="007501CB"/>
    <w:rsid w:val="00750229"/>
    <w:rsid w:val="00750238"/>
    <w:rsid w:val="0075040D"/>
    <w:rsid w:val="007504E2"/>
    <w:rsid w:val="00750636"/>
    <w:rsid w:val="00750720"/>
    <w:rsid w:val="00750725"/>
    <w:rsid w:val="007507DE"/>
    <w:rsid w:val="00750BDC"/>
    <w:rsid w:val="00750C57"/>
    <w:rsid w:val="00750C85"/>
    <w:rsid w:val="00750D4C"/>
    <w:rsid w:val="00750EC2"/>
    <w:rsid w:val="00750ECB"/>
    <w:rsid w:val="00750F89"/>
    <w:rsid w:val="00751071"/>
    <w:rsid w:val="00751193"/>
    <w:rsid w:val="007514BF"/>
    <w:rsid w:val="007515E8"/>
    <w:rsid w:val="00751697"/>
    <w:rsid w:val="007518B8"/>
    <w:rsid w:val="007518DA"/>
    <w:rsid w:val="007519E6"/>
    <w:rsid w:val="00751D5A"/>
    <w:rsid w:val="00751DD3"/>
    <w:rsid w:val="00751DEB"/>
    <w:rsid w:val="00751DF4"/>
    <w:rsid w:val="00751E23"/>
    <w:rsid w:val="00751E40"/>
    <w:rsid w:val="0075210A"/>
    <w:rsid w:val="00752171"/>
    <w:rsid w:val="007521B6"/>
    <w:rsid w:val="0075225B"/>
    <w:rsid w:val="007522F9"/>
    <w:rsid w:val="00752307"/>
    <w:rsid w:val="0075230F"/>
    <w:rsid w:val="0075243A"/>
    <w:rsid w:val="00752541"/>
    <w:rsid w:val="00752610"/>
    <w:rsid w:val="0075269C"/>
    <w:rsid w:val="00752920"/>
    <w:rsid w:val="00752966"/>
    <w:rsid w:val="007529D1"/>
    <w:rsid w:val="007529F0"/>
    <w:rsid w:val="00752A71"/>
    <w:rsid w:val="00752B28"/>
    <w:rsid w:val="00752B67"/>
    <w:rsid w:val="00752D8F"/>
    <w:rsid w:val="00752DEC"/>
    <w:rsid w:val="00752E45"/>
    <w:rsid w:val="00752F00"/>
    <w:rsid w:val="00753063"/>
    <w:rsid w:val="0075312A"/>
    <w:rsid w:val="0075325B"/>
    <w:rsid w:val="007533A5"/>
    <w:rsid w:val="007533DE"/>
    <w:rsid w:val="0075366C"/>
    <w:rsid w:val="007536B7"/>
    <w:rsid w:val="007536BC"/>
    <w:rsid w:val="007537B4"/>
    <w:rsid w:val="0075380B"/>
    <w:rsid w:val="0075388B"/>
    <w:rsid w:val="0075394C"/>
    <w:rsid w:val="00753B3B"/>
    <w:rsid w:val="00753B5E"/>
    <w:rsid w:val="00753BEA"/>
    <w:rsid w:val="00753C85"/>
    <w:rsid w:val="00753CDC"/>
    <w:rsid w:val="00753DB7"/>
    <w:rsid w:val="00753E3B"/>
    <w:rsid w:val="00753ED7"/>
    <w:rsid w:val="00753F08"/>
    <w:rsid w:val="0075418E"/>
    <w:rsid w:val="007541A9"/>
    <w:rsid w:val="007541FC"/>
    <w:rsid w:val="00754292"/>
    <w:rsid w:val="007542E0"/>
    <w:rsid w:val="0075435E"/>
    <w:rsid w:val="007544CC"/>
    <w:rsid w:val="00754500"/>
    <w:rsid w:val="00754588"/>
    <w:rsid w:val="0075473B"/>
    <w:rsid w:val="0075490F"/>
    <w:rsid w:val="00754A61"/>
    <w:rsid w:val="00754B35"/>
    <w:rsid w:val="00754C74"/>
    <w:rsid w:val="00754E36"/>
    <w:rsid w:val="00754E4C"/>
    <w:rsid w:val="00754EC0"/>
    <w:rsid w:val="00754F84"/>
    <w:rsid w:val="00755161"/>
    <w:rsid w:val="00755211"/>
    <w:rsid w:val="0075540E"/>
    <w:rsid w:val="00755420"/>
    <w:rsid w:val="00755438"/>
    <w:rsid w:val="007554E1"/>
    <w:rsid w:val="007558A3"/>
    <w:rsid w:val="00755900"/>
    <w:rsid w:val="00755912"/>
    <w:rsid w:val="00755DD7"/>
    <w:rsid w:val="00755FDE"/>
    <w:rsid w:val="00756138"/>
    <w:rsid w:val="007562F0"/>
    <w:rsid w:val="00756359"/>
    <w:rsid w:val="0075644C"/>
    <w:rsid w:val="00756577"/>
    <w:rsid w:val="007566A1"/>
    <w:rsid w:val="00756814"/>
    <w:rsid w:val="007569A4"/>
    <w:rsid w:val="007569DF"/>
    <w:rsid w:val="00756BBC"/>
    <w:rsid w:val="00756C0F"/>
    <w:rsid w:val="00756D31"/>
    <w:rsid w:val="00756E68"/>
    <w:rsid w:val="00757045"/>
    <w:rsid w:val="007571A2"/>
    <w:rsid w:val="007571A5"/>
    <w:rsid w:val="007572BA"/>
    <w:rsid w:val="0075737B"/>
    <w:rsid w:val="007574BE"/>
    <w:rsid w:val="0075750E"/>
    <w:rsid w:val="00757510"/>
    <w:rsid w:val="007576E8"/>
    <w:rsid w:val="0075775C"/>
    <w:rsid w:val="00757785"/>
    <w:rsid w:val="0075779B"/>
    <w:rsid w:val="007577B9"/>
    <w:rsid w:val="00757805"/>
    <w:rsid w:val="00757880"/>
    <w:rsid w:val="00757A41"/>
    <w:rsid w:val="00757B19"/>
    <w:rsid w:val="00757D89"/>
    <w:rsid w:val="00757E64"/>
    <w:rsid w:val="00757F2D"/>
    <w:rsid w:val="00757FAD"/>
    <w:rsid w:val="0076007F"/>
    <w:rsid w:val="00760114"/>
    <w:rsid w:val="0076039A"/>
    <w:rsid w:val="0076043E"/>
    <w:rsid w:val="00760467"/>
    <w:rsid w:val="007604B6"/>
    <w:rsid w:val="007604CC"/>
    <w:rsid w:val="0076050B"/>
    <w:rsid w:val="00760591"/>
    <w:rsid w:val="0076073F"/>
    <w:rsid w:val="00760960"/>
    <w:rsid w:val="00760AF5"/>
    <w:rsid w:val="00760C7C"/>
    <w:rsid w:val="00760CF0"/>
    <w:rsid w:val="00760DAA"/>
    <w:rsid w:val="00760DBF"/>
    <w:rsid w:val="0076111B"/>
    <w:rsid w:val="0076124C"/>
    <w:rsid w:val="00761338"/>
    <w:rsid w:val="0076133E"/>
    <w:rsid w:val="00761365"/>
    <w:rsid w:val="007613C8"/>
    <w:rsid w:val="00761495"/>
    <w:rsid w:val="00761830"/>
    <w:rsid w:val="007618B0"/>
    <w:rsid w:val="007618EC"/>
    <w:rsid w:val="0076196A"/>
    <w:rsid w:val="00761A27"/>
    <w:rsid w:val="00761AB8"/>
    <w:rsid w:val="00761C74"/>
    <w:rsid w:val="00761DD8"/>
    <w:rsid w:val="00761E40"/>
    <w:rsid w:val="00761E47"/>
    <w:rsid w:val="00761E81"/>
    <w:rsid w:val="00761EF4"/>
    <w:rsid w:val="00762096"/>
    <w:rsid w:val="007622A1"/>
    <w:rsid w:val="007622DA"/>
    <w:rsid w:val="00762406"/>
    <w:rsid w:val="00762501"/>
    <w:rsid w:val="007625A5"/>
    <w:rsid w:val="00762609"/>
    <w:rsid w:val="0076261B"/>
    <w:rsid w:val="007627A8"/>
    <w:rsid w:val="00762842"/>
    <w:rsid w:val="00762873"/>
    <w:rsid w:val="00762918"/>
    <w:rsid w:val="0076298C"/>
    <w:rsid w:val="00762990"/>
    <w:rsid w:val="00762CE4"/>
    <w:rsid w:val="00762E13"/>
    <w:rsid w:val="00762E21"/>
    <w:rsid w:val="00762F74"/>
    <w:rsid w:val="007630A2"/>
    <w:rsid w:val="007630B8"/>
    <w:rsid w:val="00763139"/>
    <w:rsid w:val="007631C4"/>
    <w:rsid w:val="00763332"/>
    <w:rsid w:val="007633FF"/>
    <w:rsid w:val="00763525"/>
    <w:rsid w:val="00763844"/>
    <w:rsid w:val="00763A82"/>
    <w:rsid w:val="00763B3F"/>
    <w:rsid w:val="00763DA4"/>
    <w:rsid w:val="00763ECA"/>
    <w:rsid w:val="00763F8A"/>
    <w:rsid w:val="007640C6"/>
    <w:rsid w:val="0076412C"/>
    <w:rsid w:val="00764316"/>
    <w:rsid w:val="00764364"/>
    <w:rsid w:val="00764389"/>
    <w:rsid w:val="007643C5"/>
    <w:rsid w:val="00764418"/>
    <w:rsid w:val="00764543"/>
    <w:rsid w:val="00764666"/>
    <w:rsid w:val="0076466D"/>
    <w:rsid w:val="007649CF"/>
    <w:rsid w:val="007649EF"/>
    <w:rsid w:val="00764A50"/>
    <w:rsid w:val="00764A52"/>
    <w:rsid w:val="00764C8A"/>
    <w:rsid w:val="00764D9F"/>
    <w:rsid w:val="00764E47"/>
    <w:rsid w:val="00764EA1"/>
    <w:rsid w:val="00764EAC"/>
    <w:rsid w:val="00764F70"/>
    <w:rsid w:val="00764FCE"/>
    <w:rsid w:val="00764FE3"/>
    <w:rsid w:val="0076536B"/>
    <w:rsid w:val="0076541F"/>
    <w:rsid w:val="007655BD"/>
    <w:rsid w:val="007656C9"/>
    <w:rsid w:val="007656D2"/>
    <w:rsid w:val="0076588E"/>
    <w:rsid w:val="007659B8"/>
    <w:rsid w:val="00765A19"/>
    <w:rsid w:val="00765CFB"/>
    <w:rsid w:val="00765D19"/>
    <w:rsid w:val="00765D3F"/>
    <w:rsid w:val="00765D69"/>
    <w:rsid w:val="00765D7C"/>
    <w:rsid w:val="00765E7D"/>
    <w:rsid w:val="00765F04"/>
    <w:rsid w:val="00766065"/>
    <w:rsid w:val="00766121"/>
    <w:rsid w:val="0076622E"/>
    <w:rsid w:val="007662C6"/>
    <w:rsid w:val="0076639F"/>
    <w:rsid w:val="00766603"/>
    <w:rsid w:val="0076676E"/>
    <w:rsid w:val="007667A1"/>
    <w:rsid w:val="00766A32"/>
    <w:rsid w:val="00766ABD"/>
    <w:rsid w:val="00766ADA"/>
    <w:rsid w:val="00766CB1"/>
    <w:rsid w:val="00766E56"/>
    <w:rsid w:val="00766ED7"/>
    <w:rsid w:val="00766EF7"/>
    <w:rsid w:val="00766FD8"/>
    <w:rsid w:val="007670F3"/>
    <w:rsid w:val="00767191"/>
    <w:rsid w:val="0076720E"/>
    <w:rsid w:val="00767262"/>
    <w:rsid w:val="007672E2"/>
    <w:rsid w:val="0076756F"/>
    <w:rsid w:val="0076762C"/>
    <w:rsid w:val="007677EA"/>
    <w:rsid w:val="00767B9A"/>
    <w:rsid w:val="00767CDB"/>
    <w:rsid w:val="00767DA4"/>
    <w:rsid w:val="00767E4B"/>
    <w:rsid w:val="00767E51"/>
    <w:rsid w:val="00767E5A"/>
    <w:rsid w:val="00767E87"/>
    <w:rsid w:val="007702F2"/>
    <w:rsid w:val="00770790"/>
    <w:rsid w:val="007707B4"/>
    <w:rsid w:val="007709BD"/>
    <w:rsid w:val="00770B01"/>
    <w:rsid w:val="00770B48"/>
    <w:rsid w:val="00770BCB"/>
    <w:rsid w:val="00770BDC"/>
    <w:rsid w:val="00770C01"/>
    <w:rsid w:val="00770D1B"/>
    <w:rsid w:val="00770E7A"/>
    <w:rsid w:val="00770F37"/>
    <w:rsid w:val="00771026"/>
    <w:rsid w:val="0077107D"/>
    <w:rsid w:val="007711A0"/>
    <w:rsid w:val="007715F3"/>
    <w:rsid w:val="00771686"/>
    <w:rsid w:val="007716B9"/>
    <w:rsid w:val="0077175A"/>
    <w:rsid w:val="0077178F"/>
    <w:rsid w:val="00771980"/>
    <w:rsid w:val="00771A72"/>
    <w:rsid w:val="00771B3E"/>
    <w:rsid w:val="00771BDB"/>
    <w:rsid w:val="00771D5F"/>
    <w:rsid w:val="00771E03"/>
    <w:rsid w:val="00771E11"/>
    <w:rsid w:val="00771E5B"/>
    <w:rsid w:val="00771FCE"/>
    <w:rsid w:val="007720D3"/>
    <w:rsid w:val="00772211"/>
    <w:rsid w:val="00772257"/>
    <w:rsid w:val="00772296"/>
    <w:rsid w:val="007722D8"/>
    <w:rsid w:val="00772470"/>
    <w:rsid w:val="00772471"/>
    <w:rsid w:val="0077266E"/>
    <w:rsid w:val="0077284C"/>
    <w:rsid w:val="0077292E"/>
    <w:rsid w:val="00772A1F"/>
    <w:rsid w:val="00772B11"/>
    <w:rsid w:val="00772C39"/>
    <w:rsid w:val="00772CF9"/>
    <w:rsid w:val="00772D5E"/>
    <w:rsid w:val="00772DD6"/>
    <w:rsid w:val="00772E6C"/>
    <w:rsid w:val="0077301D"/>
    <w:rsid w:val="00773099"/>
    <w:rsid w:val="007731CB"/>
    <w:rsid w:val="007731EE"/>
    <w:rsid w:val="007732D0"/>
    <w:rsid w:val="007733A1"/>
    <w:rsid w:val="007733E4"/>
    <w:rsid w:val="0077352C"/>
    <w:rsid w:val="00773646"/>
    <w:rsid w:val="00773811"/>
    <w:rsid w:val="0077398C"/>
    <w:rsid w:val="007739A0"/>
    <w:rsid w:val="00773A0E"/>
    <w:rsid w:val="00773B33"/>
    <w:rsid w:val="00773C7D"/>
    <w:rsid w:val="00773CE7"/>
    <w:rsid w:val="00773E03"/>
    <w:rsid w:val="00773F44"/>
    <w:rsid w:val="00774148"/>
    <w:rsid w:val="00774202"/>
    <w:rsid w:val="0077431E"/>
    <w:rsid w:val="00774362"/>
    <w:rsid w:val="007743A1"/>
    <w:rsid w:val="00774588"/>
    <w:rsid w:val="0077458C"/>
    <w:rsid w:val="0077463E"/>
    <w:rsid w:val="007747D4"/>
    <w:rsid w:val="00774857"/>
    <w:rsid w:val="0077487C"/>
    <w:rsid w:val="00774885"/>
    <w:rsid w:val="00774923"/>
    <w:rsid w:val="007749A5"/>
    <w:rsid w:val="00774B3F"/>
    <w:rsid w:val="00774D02"/>
    <w:rsid w:val="00774D4B"/>
    <w:rsid w:val="00774D8C"/>
    <w:rsid w:val="00774E3E"/>
    <w:rsid w:val="007751A2"/>
    <w:rsid w:val="0077535C"/>
    <w:rsid w:val="007753A4"/>
    <w:rsid w:val="007753D8"/>
    <w:rsid w:val="00775526"/>
    <w:rsid w:val="007755AA"/>
    <w:rsid w:val="007755E1"/>
    <w:rsid w:val="007756CF"/>
    <w:rsid w:val="0077585A"/>
    <w:rsid w:val="007759A3"/>
    <w:rsid w:val="007759B7"/>
    <w:rsid w:val="007759FE"/>
    <w:rsid w:val="00775A8F"/>
    <w:rsid w:val="00775A95"/>
    <w:rsid w:val="00775C07"/>
    <w:rsid w:val="00775C56"/>
    <w:rsid w:val="00775CF0"/>
    <w:rsid w:val="00775DC7"/>
    <w:rsid w:val="00775F1A"/>
    <w:rsid w:val="00775F4B"/>
    <w:rsid w:val="0077609C"/>
    <w:rsid w:val="007762F3"/>
    <w:rsid w:val="007762FD"/>
    <w:rsid w:val="00776303"/>
    <w:rsid w:val="00776519"/>
    <w:rsid w:val="00776670"/>
    <w:rsid w:val="007766A6"/>
    <w:rsid w:val="00776738"/>
    <w:rsid w:val="00776928"/>
    <w:rsid w:val="00776941"/>
    <w:rsid w:val="0077697B"/>
    <w:rsid w:val="00776AF5"/>
    <w:rsid w:val="00776C41"/>
    <w:rsid w:val="00776D56"/>
    <w:rsid w:val="00776D6E"/>
    <w:rsid w:val="00776E0F"/>
    <w:rsid w:val="00776F16"/>
    <w:rsid w:val="00776F2B"/>
    <w:rsid w:val="00776FE6"/>
    <w:rsid w:val="0077703B"/>
    <w:rsid w:val="00777111"/>
    <w:rsid w:val="00777142"/>
    <w:rsid w:val="0077724D"/>
    <w:rsid w:val="007773EA"/>
    <w:rsid w:val="00777438"/>
    <w:rsid w:val="007774B1"/>
    <w:rsid w:val="007774F9"/>
    <w:rsid w:val="00777588"/>
    <w:rsid w:val="007775AC"/>
    <w:rsid w:val="0077765B"/>
    <w:rsid w:val="00777865"/>
    <w:rsid w:val="0077794D"/>
    <w:rsid w:val="00777AD1"/>
    <w:rsid w:val="00777B52"/>
    <w:rsid w:val="00777BE1"/>
    <w:rsid w:val="00777C1C"/>
    <w:rsid w:val="00777CC1"/>
    <w:rsid w:val="00777D74"/>
    <w:rsid w:val="00777E8F"/>
    <w:rsid w:val="00777FA7"/>
    <w:rsid w:val="0078003A"/>
    <w:rsid w:val="007800D0"/>
    <w:rsid w:val="007801AD"/>
    <w:rsid w:val="007803E6"/>
    <w:rsid w:val="00780408"/>
    <w:rsid w:val="007804B3"/>
    <w:rsid w:val="00780532"/>
    <w:rsid w:val="00780894"/>
    <w:rsid w:val="007809FF"/>
    <w:rsid w:val="00780B2E"/>
    <w:rsid w:val="00780B59"/>
    <w:rsid w:val="00780BF2"/>
    <w:rsid w:val="00780C70"/>
    <w:rsid w:val="00780F7F"/>
    <w:rsid w:val="00780F9C"/>
    <w:rsid w:val="007811A0"/>
    <w:rsid w:val="007811DB"/>
    <w:rsid w:val="00781230"/>
    <w:rsid w:val="00781255"/>
    <w:rsid w:val="00781283"/>
    <w:rsid w:val="00781476"/>
    <w:rsid w:val="007814D4"/>
    <w:rsid w:val="00781644"/>
    <w:rsid w:val="00781878"/>
    <w:rsid w:val="007818BC"/>
    <w:rsid w:val="00781A34"/>
    <w:rsid w:val="00781CAC"/>
    <w:rsid w:val="00781CAE"/>
    <w:rsid w:val="00781D9F"/>
    <w:rsid w:val="00781E3F"/>
    <w:rsid w:val="00781EFA"/>
    <w:rsid w:val="00782061"/>
    <w:rsid w:val="00782073"/>
    <w:rsid w:val="007820AA"/>
    <w:rsid w:val="0078216F"/>
    <w:rsid w:val="00782222"/>
    <w:rsid w:val="00782340"/>
    <w:rsid w:val="00782409"/>
    <w:rsid w:val="00782439"/>
    <w:rsid w:val="00782603"/>
    <w:rsid w:val="007826F3"/>
    <w:rsid w:val="0078287E"/>
    <w:rsid w:val="00782B36"/>
    <w:rsid w:val="00782B79"/>
    <w:rsid w:val="00782BD3"/>
    <w:rsid w:val="00782C18"/>
    <w:rsid w:val="00782D27"/>
    <w:rsid w:val="00782DC4"/>
    <w:rsid w:val="00782EC9"/>
    <w:rsid w:val="00782F84"/>
    <w:rsid w:val="00782FE5"/>
    <w:rsid w:val="00783230"/>
    <w:rsid w:val="0078332B"/>
    <w:rsid w:val="007833D8"/>
    <w:rsid w:val="0078343E"/>
    <w:rsid w:val="007834A4"/>
    <w:rsid w:val="007835F0"/>
    <w:rsid w:val="00783725"/>
    <w:rsid w:val="00783858"/>
    <w:rsid w:val="007838E0"/>
    <w:rsid w:val="007839CB"/>
    <w:rsid w:val="00783A6D"/>
    <w:rsid w:val="00783AE7"/>
    <w:rsid w:val="00783AF0"/>
    <w:rsid w:val="0078435C"/>
    <w:rsid w:val="0078446B"/>
    <w:rsid w:val="007844CE"/>
    <w:rsid w:val="007845F6"/>
    <w:rsid w:val="00784647"/>
    <w:rsid w:val="00784744"/>
    <w:rsid w:val="0078476C"/>
    <w:rsid w:val="007848FD"/>
    <w:rsid w:val="007849AF"/>
    <w:rsid w:val="00784CCE"/>
    <w:rsid w:val="00784D62"/>
    <w:rsid w:val="00784D8F"/>
    <w:rsid w:val="00784E80"/>
    <w:rsid w:val="00784EFC"/>
    <w:rsid w:val="00784FEE"/>
    <w:rsid w:val="0078502F"/>
    <w:rsid w:val="007850CC"/>
    <w:rsid w:val="007852CB"/>
    <w:rsid w:val="0078560E"/>
    <w:rsid w:val="00785677"/>
    <w:rsid w:val="007856E2"/>
    <w:rsid w:val="00785954"/>
    <w:rsid w:val="00785ACA"/>
    <w:rsid w:val="00785ADC"/>
    <w:rsid w:val="00785D01"/>
    <w:rsid w:val="00785F69"/>
    <w:rsid w:val="00786221"/>
    <w:rsid w:val="00786229"/>
    <w:rsid w:val="007862F5"/>
    <w:rsid w:val="00786318"/>
    <w:rsid w:val="00786549"/>
    <w:rsid w:val="00786612"/>
    <w:rsid w:val="00786626"/>
    <w:rsid w:val="00786768"/>
    <w:rsid w:val="00786844"/>
    <w:rsid w:val="0078697F"/>
    <w:rsid w:val="00786994"/>
    <w:rsid w:val="00786B36"/>
    <w:rsid w:val="00786B9A"/>
    <w:rsid w:val="00786C1C"/>
    <w:rsid w:val="00786C6B"/>
    <w:rsid w:val="00786C6F"/>
    <w:rsid w:val="00786D05"/>
    <w:rsid w:val="00786D98"/>
    <w:rsid w:val="00786F16"/>
    <w:rsid w:val="0078713E"/>
    <w:rsid w:val="00787165"/>
    <w:rsid w:val="007871AA"/>
    <w:rsid w:val="007871DD"/>
    <w:rsid w:val="007871E0"/>
    <w:rsid w:val="0078720B"/>
    <w:rsid w:val="0078755D"/>
    <w:rsid w:val="0078755F"/>
    <w:rsid w:val="00787586"/>
    <w:rsid w:val="0078765A"/>
    <w:rsid w:val="00787846"/>
    <w:rsid w:val="007879BE"/>
    <w:rsid w:val="00787B0B"/>
    <w:rsid w:val="00787B4F"/>
    <w:rsid w:val="00787B8C"/>
    <w:rsid w:val="00787DD8"/>
    <w:rsid w:val="00787F1A"/>
    <w:rsid w:val="007902A6"/>
    <w:rsid w:val="00790322"/>
    <w:rsid w:val="00790B0B"/>
    <w:rsid w:val="00790B1B"/>
    <w:rsid w:val="00790B31"/>
    <w:rsid w:val="00790B94"/>
    <w:rsid w:val="00790DF5"/>
    <w:rsid w:val="00790FAF"/>
    <w:rsid w:val="00791338"/>
    <w:rsid w:val="00791599"/>
    <w:rsid w:val="0079159B"/>
    <w:rsid w:val="007917B1"/>
    <w:rsid w:val="007918DE"/>
    <w:rsid w:val="007918F9"/>
    <w:rsid w:val="00791A19"/>
    <w:rsid w:val="00791A57"/>
    <w:rsid w:val="00791AE2"/>
    <w:rsid w:val="00791BD7"/>
    <w:rsid w:val="00791C0E"/>
    <w:rsid w:val="00792028"/>
    <w:rsid w:val="007920CD"/>
    <w:rsid w:val="007920D1"/>
    <w:rsid w:val="00792114"/>
    <w:rsid w:val="00792369"/>
    <w:rsid w:val="0079236F"/>
    <w:rsid w:val="00792448"/>
    <w:rsid w:val="00792582"/>
    <w:rsid w:val="0079260E"/>
    <w:rsid w:val="007926EB"/>
    <w:rsid w:val="0079287A"/>
    <w:rsid w:val="007928B1"/>
    <w:rsid w:val="0079298D"/>
    <w:rsid w:val="00792A16"/>
    <w:rsid w:val="00792A1E"/>
    <w:rsid w:val="00792B13"/>
    <w:rsid w:val="00793128"/>
    <w:rsid w:val="007931F8"/>
    <w:rsid w:val="007932C4"/>
    <w:rsid w:val="007933F7"/>
    <w:rsid w:val="0079341E"/>
    <w:rsid w:val="0079347C"/>
    <w:rsid w:val="007936B4"/>
    <w:rsid w:val="0079373B"/>
    <w:rsid w:val="0079376C"/>
    <w:rsid w:val="00793819"/>
    <w:rsid w:val="00793822"/>
    <w:rsid w:val="00793896"/>
    <w:rsid w:val="0079398D"/>
    <w:rsid w:val="0079398E"/>
    <w:rsid w:val="00793B7A"/>
    <w:rsid w:val="00793BD4"/>
    <w:rsid w:val="00793E03"/>
    <w:rsid w:val="00793E04"/>
    <w:rsid w:val="00793EE2"/>
    <w:rsid w:val="00793FD7"/>
    <w:rsid w:val="007940A9"/>
    <w:rsid w:val="00794135"/>
    <w:rsid w:val="00794153"/>
    <w:rsid w:val="00794176"/>
    <w:rsid w:val="007941CF"/>
    <w:rsid w:val="007944CE"/>
    <w:rsid w:val="00794557"/>
    <w:rsid w:val="00794589"/>
    <w:rsid w:val="00794599"/>
    <w:rsid w:val="0079461D"/>
    <w:rsid w:val="0079463A"/>
    <w:rsid w:val="007946D5"/>
    <w:rsid w:val="00794702"/>
    <w:rsid w:val="00794787"/>
    <w:rsid w:val="00794845"/>
    <w:rsid w:val="007949A4"/>
    <w:rsid w:val="007949E7"/>
    <w:rsid w:val="00794A2A"/>
    <w:rsid w:val="00794A37"/>
    <w:rsid w:val="00794C69"/>
    <w:rsid w:val="00794CA0"/>
    <w:rsid w:val="00794D68"/>
    <w:rsid w:val="00794E10"/>
    <w:rsid w:val="00794E57"/>
    <w:rsid w:val="00794E90"/>
    <w:rsid w:val="00795069"/>
    <w:rsid w:val="00795077"/>
    <w:rsid w:val="0079509D"/>
    <w:rsid w:val="00795133"/>
    <w:rsid w:val="00795574"/>
    <w:rsid w:val="0079567B"/>
    <w:rsid w:val="007957F6"/>
    <w:rsid w:val="007959A4"/>
    <w:rsid w:val="007959AE"/>
    <w:rsid w:val="00795A66"/>
    <w:rsid w:val="00795B98"/>
    <w:rsid w:val="00795C16"/>
    <w:rsid w:val="00795C67"/>
    <w:rsid w:val="00795C73"/>
    <w:rsid w:val="00795CA3"/>
    <w:rsid w:val="00795DA1"/>
    <w:rsid w:val="00795E3B"/>
    <w:rsid w:val="00795E5A"/>
    <w:rsid w:val="00795FDD"/>
    <w:rsid w:val="00796042"/>
    <w:rsid w:val="0079607C"/>
    <w:rsid w:val="007961AD"/>
    <w:rsid w:val="0079624A"/>
    <w:rsid w:val="007963C9"/>
    <w:rsid w:val="007965B8"/>
    <w:rsid w:val="0079673E"/>
    <w:rsid w:val="00796811"/>
    <w:rsid w:val="00796AC4"/>
    <w:rsid w:val="00796D7E"/>
    <w:rsid w:val="00796DA5"/>
    <w:rsid w:val="00796E0F"/>
    <w:rsid w:val="00796E20"/>
    <w:rsid w:val="00796E37"/>
    <w:rsid w:val="00796E3A"/>
    <w:rsid w:val="00796EDA"/>
    <w:rsid w:val="00796F8F"/>
    <w:rsid w:val="00796FE1"/>
    <w:rsid w:val="00797047"/>
    <w:rsid w:val="00797216"/>
    <w:rsid w:val="00797258"/>
    <w:rsid w:val="007972CE"/>
    <w:rsid w:val="007972F3"/>
    <w:rsid w:val="00797314"/>
    <w:rsid w:val="0079737C"/>
    <w:rsid w:val="007973AF"/>
    <w:rsid w:val="0079751B"/>
    <w:rsid w:val="0079763C"/>
    <w:rsid w:val="0079771A"/>
    <w:rsid w:val="007977D5"/>
    <w:rsid w:val="0079782E"/>
    <w:rsid w:val="007978B4"/>
    <w:rsid w:val="007978B8"/>
    <w:rsid w:val="00797AA4"/>
    <w:rsid w:val="00797AD6"/>
    <w:rsid w:val="00797B4A"/>
    <w:rsid w:val="00797BB9"/>
    <w:rsid w:val="00797C32"/>
    <w:rsid w:val="00797C36"/>
    <w:rsid w:val="00797C42"/>
    <w:rsid w:val="00797C86"/>
    <w:rsid w:val="00797CCE"/>
    <w:rsid w:val="00797D15"/>
    <w:rsid w:val="00797D7F"/>
    <w:rsid w:val="007A00ED"/>
    <w:rsid w:val="007A014E"/>
    <w:rsid w:val="007A02DF"/>
    <w:rsid w:val="007A0381"/>
    <w:rsid w:val="007A05A7"/>
    <w:rsid w:val="007A05F5"/>
    <w:rsid w:val="007A07A6"/>
    <w:rsid w:val="007A0842"/>
    <w:rsid w:val="007A093C"/>
    <w:rsid w:val="007A0C22"/>
    <w:rsid w:val="007A0C43"/>
    <w:rsid w:val="007A0C7A"/>
    <w:rsid w:val="007A0D9E"/>
    <w:rsid w:val="007A0DE4"/>
    <w:rsid w:val="007A0E30"/>
    <w:rsid w:val="007A0E5E"/>
    <w:rsid w:val="007A0E8B"/>
    <w:rsid w:val="007A0EF9"/>
    <w:rsid w:val="007A0FE4"/>
    <w:rsid w:val="007A1043"/>
    <w:rsid w:val="007A104A"/>
    <w:rsid w:val="007A11E8"/>
    <w:rsid w:val="007A12D7"/>
    <w:rsid w:val="007A12F5"/>
    <w:rsid w:val="007A1371"/>
    <w:rsid w:val="007A163F"/>
    <w:rsid w:val="007A169E"/>
    <w:rsid w:val="007A1700"/>
    <w:rsid w:val="007A1A31"/>
    <w:rsid w:val="007A1B03"/>
    <w:rsid w:val="007A1D8B"/>
    <w:rsid w:val="007A1EF0"/>
    <w:rsid w:val="007A1F0D"/>
    <w:rsid w:val="007A1FFD"/>
    <w:rsid w:val="007A2001"/>
    <w:rsid w:val="007A222C"/>
    <w:rsid w:val="007A2264"/>
    <w:rsid w:val="007A22A9"/>
    <w:rsid w:val="007A22B1"/>
    <w:rsid w:val="007A2342"/>
    <w:rsid w:val="007A2347"/>
    <w:rsid w:val="007A243D"/>
    <w:rsid w:val="007A24A1"/>
    <w:rsid w:val="007A24FB"/>
    <w:rsid w:val="007A26DA"/>
    <w:rsid w:val="007A2729"/>
    <w:rsid w:val="007A27F6"/>
    <w:rsid w:val="007A290F"/>
    <w:rsid w:val="007A29C1"/>
    <w:rsid w:val="007A29D4"/>
    <w:rsid w:val="007A2B15"/>
    <w:rsid w:val="007A2BF7"/>
    <w:rsid w:val="007A2C29"/>
    <w:rsid w:val="007A2C4B"/>
    <w:rsid w:val="007A2D8D"/>
    <w:rsid w:val="007A2E77"/>
    <w:rsid w:val="007A2EE0"/>
    <w:rsid w:val="007A2F19"/>
    <w:rsid w:val="007A3013"/>
    <w:rsid w:val="007A305F"/>
    <w:rsid w:val="007A30B2"/>
    <w:rsid w:val="007A30CE"/>
    <w:rsid w:val="007A3296"/>
    <w:rsid w:val="007A3367"/>
    <w:rsid w:val="007A340A"/>
    <w:rsid w:val="007A36A1"/>
    <w:rsid w:val="007A36A6"/>
    <w:rsid w:val="007A3787"/>
    <w:rsid w:val="007A384B"/>
    <w:rsid w:val="007A38C5"/>
    <w:rsid w:val="007A39A5"/>
    <w:rsid w:val="007A3A8D"/>
    <w:rsid w:val="007A3AE6"/>
    <w:rsid w:val="007A3BFC"/>
    <w:rsid w:val="007A3C35"/>
    <w:rsid w:val="007A3D17"/>
    <w:rsid w:val="007A3D19"/>
    <w:rsid w:val="007A3D59"/>
    <w:rsid w:val="007A3D5F"/>
    <w:rsid w:val="007A3E17"/>
    <w:rsid w:val="007A3E97"/>
    <w:rsid w:val="007A3F4B"/>
    <w:rsid w:val="007A3FD1"/>
    <w:rsid w:val="007A40B0"/>
    <w:rsid w:val="007A4171"/>
    <w:rsid w:val="007A4420"/>
    <w:rsid w:val="007A4505"/>
    <w:rsid w:val="007A4613"/>
    <w:rsid w:val="007A4682"/>
    <w:rsid w:val="007A46B4"/>
    <w:rsid w:val="007A4759"/>
    <w:rsid w:val="007A4872"/>
    <w:rsid w:val="007A49BC"/>
    <w:rsid w:val="007A4AF1"/>
    <w:rsid w:val="007A4D7D"/>
    <w:rsid w:val="007A4DB7"/>
    <w:rsid w:val="007A4F16"/>
    <w:rsid w:val="007A4F87"/>
    <w:rsid w:val="007A4FA9"/>
    <w:rsid w:val="007A5195"/>
    <w:rsid w:val="007A5196"/>
    <w:rsid w:val="007A5213"/>
    <w:rsid w:val="007A5234"/>
    <w:rsid w:val="007A5355"/>
    <w:rsid w:val="007A547D"/>
    <w:rsid w:val="007A54A6"/>
    <w:rsid w:val="007A5A8E"/>
    <w:rsid w:val="007A5A90"/>
    <w:rsid w:val="007A5AA3"/>
    <w:rsid w:val="007A5B1E"/>
    <w:rsid w:val="007A5B27"/>
    <w:rsid w:val="007A5C66"/>
    <w:rsid w:val="007A5E56"/>
    <w:rsid w:val="007A5E61"/>
    <w:rsid w:val="007A5EAF"/>
    <w:rsid w:val="007A60F9"/>
    <w:rsid w:val="007A618C"/>
    <w:rsid w:val="007A61F2"/>
    <w:rsid w:val="007A6276"/>
    <w:rsid w:val="007A632E"/>
    <w:rsid w:val="007A636B"/>
    <w:rsid w:val="007A63D3"/>
    <w:rsid w:val="007A64EB"/>
    <w:rsid w:val="007A65F7"/>
    <w:rsid w:val="007A6678"/>
    <w:rsid w:val="007A674D"/>
    <w:rsid w:val="007A6A74"/>
    <w:rsid w:val="007A6C77"/>
    <w:rsid w:val="007A6D5C"/>
    <w:rsid w:val="007A6D9E"/>
    <w:rsid w:val="007A6F30"/>
    <w:rsid w:val="007A7025"/>
    <w:rsid w:val="007A709D"/>
    <w:rsid w:val="007A7306"/>
    <w:rsid w:val="007A7364"/>
    <w:rsid w:val="007A73C1"/>
    <w:rsid w:val="007A74EF"/>
    <w:rsid w:val="007A7623"/>
    <w:rsid w:val="007A76CC"/>
    <w:rsid w:val="007A772E"/>
    <w:rsid w:val="007A7735"/>
    <w:rsid w:val="007A77C4"/>
    <w:rsid w:val="007A7AD8"/>
    <w:rsid w:val="007A7AE7"/>
    <w:rsid w:val="007A7C93"/>
    <w:rsid w:val="007A7CF6"/>
    <w:rsid w:val="007A7E53"/>
    <w:rsid w:val="007A7F1E"/>
    <w:rsid w:val="007A7F2D"/>
    <w:rsid w:val="007A7F3F"/>
    <w:rsid w:val="007A7FF8"/>
    <w:rsid w:val="007B00DB"/>
    <w:rsid w:val="007B01C3"/>
    <w:rsid w:val="007B01D0"/>
    <w:rsid w:val="007B0203"/>
    <w:rsid w:val="007B025D"/>
    <w:rsid w:val="007B041D"/>
    <w:rsid w:val="007B0461"/>
    <w:rsid w:val="007B0757"/>
    <w:rsid w:val="007B07D5"/>
    <w:rsid w:val="007B0810"/>
    <w:rsid w:val="007B0914"/>
    <w:rsid w:val="007B095C"/>
    <w:rsid w:val="007B0BB1"/>
    <w:rsid w:val="007B0CA6"/>
    <w:rsid w:val="007B0D51"/>
    <w:rsid w:val="007B0DB7"/>
    <w:rsid w:val="007B0E50"/>
    <w:rsid w:val="007B0E73"/>
    <w:rsid w:val="007B0FDE"/>
    <w:rsid w:val="007B101F"/>
    <w:rsid w:val="007B11E6"/>
    <w:rsid w:val="007B1284"/>
    <w:rsid w:val="007B1374"/>
    <w:rsid w:val="007B1391"/>
    <w:rsid w:val="007B14A5"/>
    <w:rsid w:val="007B15A2"/>
    <w:rsid w:val="007B160A"/>
    <w:rsid w:val="007B16A2"/>
    <w:rsid w:val="007B196A"/>
    <w:rsid w:val="007B1D97"/>
    <w:rsid w:val="007B2231"/>
    <w:rsid w:val="007B231A"/>
    <w:rsid w:val="007B233E"/>
    <w:rsid w:val="007B2483"/>
    <w:rsid w:val="007B24BC"/>
    <w:rsid w:val="007B251E"/>
    <w:rsid w:val="007B2886"/>
    <w:rsid w:val="007B2A3C"/>
    <w:rsid w:val="007B2A99"/>
    <w:rsid w:val="007B2A9D"/>
    <w:rsid w:val="007B2AA4"/>
    <w:rsid w:val="007B2B10"/>
    <w:rsid w:val="007B2C6B"/>
    <w:rsid w:val="007B2C77"/>
    <w:rsid w:val="007B2E01"/>
    <w:rsid w:val="007B2FF9"/>
    <w:rsid w:val="007B30E4"/>
    <w:rsid w:val="007B31D4"/>
    <w:rsid w:val="007B32E5"/>
    <w:rsid w:val="007B3414"/>
    <w:rsid w:val="007B35F3"/>
    <w:rsid w:val="007B388D"/>
    <w:rsid w:val="007B39B2"/>
    <w:rsid w:val="007B3B2C"/>
    <w:rsid w:val="007B3B59"/>
    <w:rsid w:val="007B3C73"/>
    <w:rsid w:val="007B3C79"/>
    <w:rsid w:val="007B3D84"/>
    <w:rsid w:val="007B3DB9"/>
    <w:rsid w:val="007B3E14"/>
    <w:rsid w:val="007B3E6C"/>
    <w:rsid w:val="007B3EB3"/>
    <w:rsid w:val="007B3F07"/>
    <w:rsid w:val="007B3F0E"/>
    <w:rsid w:val="007B4040"/>
    <w:rsid w:val="007B405D"/>
    <w:rsid w:val="007B409D"/>
    <w:rsid w:val="007B417D"/>
    <w:rsid w:val="007B41BD"/>
    <w:rsid w:val="007B41F5"/>
    <w:rsid w:val="007B4226"/>
    <w:rsid w:val="007B4263"/>
    <w:rsid w:val="007B4300"/>
    <w:rsid w:val="007B434D"/>
    <w:rsid w:val="007B43D2"/>
    <w:rsid w:val="007B4464"/>
    <w:rsid w:val="007B446F"/>
    <w:rsid w:val="007B45AB"/>
    <w:rsid w:val="007B45B7"/>
    <w:rsid w:val="007B478D"/>
    <w:rsid w:val="007B49AC"/>
    <w:rsid w:val="007B4A42"/>
    <w:rsid w:val="007B4CE9"/>
    <w:rsid w:val="007B50EB"/>
    <w:rsid w:val="007B5122"/>
    <w:rsid w:val="007B5197"/>
    <w:rsid w:val="007B527E"/>
    <w:rsid w:val="007B52C9"/>
    <w:rsid w:val="007B5330"/>
    <w:rsid w:val="007B5341"/>
    <w:rsid w:val="007B551A"/>
    <w:rsid w:val="007B5543"/>
    <w:rsid w:val="007B5588"/>
    <w:rsid w:val="007B55B9"/>
    <w:rsid w:val="007B562E"/>
    <w:rsid w:val="007B589F"/>
    <w:rsid w:val="007B58E1"/>
    <w:rsid w:val="007B598D"/>
    <w:rsid w:val="007B5B5B"/>
    <w:rsid w:val="007B5C11"/>
    <w:rsid w:val="007B5E4C"/>
    <w:rsid w:val="007B600D"/>
    <w:rsid w:val="007B6186"/>
    <w:rsid w:val="007B6449"/>
    <w:rsid w:val="007B6526"/>
    <w:rsid w:val="007B6568"/>
    <w:rsid w:val="007B65E5"/>
    <w:rsid w:val="007B662D"/>
    <w:rsid w:val="007B6755"/>
    <w:rsid w:val="007B6784"/>
    <w:rsid w:val="007B6A75"/>
    <w:rsid w:val="007B6B11"/>
    <w:rsid w:val="007B6B7F"/>
    <w:rsid w:val="007B6BBB"/>
    <w:rsid w:val="007B6E1A"/>
    <w:rsid w:val="007B6E4B"/>
    <w:rsid w:val="007B6F7B"/>
    <w:rsid w:val="007B6FE2"/>
    <w:rsid w:val="007B7024"/>
    <w:rsid w:val="007B7032"/>
    <w:rsid w:val="007B731A"/>
    <w:rsid w:val="007B73BC"/>
    <w:rsid w:val="007B7426"/>
    <w:rsid w:val="007B745B"/>
    <w:rsid w:val="007B74CC"/>
    <w:rsid w:val="007B74EC"/>
    <w:rsid w:val="007B7543"/>
    <w:rsid w:val="007B7628"/>
    <w:rsid w:val="007B7637"/>
    <w:rsid w:val="007B76F9"/>
    <w:rsid w:val="007B7928"/>
    <w:rsid w:val="007B7A00"/>
    <w:rsid w:val="007B7CBA"/>
    <w:rsid w:val="007B7CC6"/>
    <w:rsid w:val="007B7E0A"/>
    <w:rsid w:val="007B7FE0"/>
    <w:rsid w:val="007C0017"/>
    <w:rsid w:val="007C02D7"/>
    <w:rsid w:val="007C03C0"/>
    <w:rsid w:val="007C0526"/>
    <w:rsid w:val="007C07DA"/>
    <w:rsid w:val="007C08A1"/>
    <w:rsid w:val="007C09C8"/>
    <w:rsid w:val="007C0A4E"/>
    <w:rsid w:val="007C0B3B"/>
    <w:rsid w:val="007C0C04"/>
    <w:rsid w:val="007C0CEC"/>
    <w:rsid w:val="007C0D6D"/>
    <w:rsid w:val="007C0D91"/>
    <w:rsid w:val="007C0D98"/>
    <w:rsid w:val="007C0DBD"/>
    <w:rsid w:val="007C0E3D"/>
    <w:rsid w:val="007C0E5A"/>
    <w:rsid w:val="007C103D"/>
    <w:rsid w:val="007C123B"/>
    <w:rsid w:val="007C143A"/>
    <w:rsid w:val="007C1624"/>
    <w:rsid w:val="007C165E"/>
    <w:rsid w:val="007C16AC"/>
    <w:rsid w:val="007C1772"/>
    <w:rsid w:val="007C1801"/>
    <w:rsid w:val="007C1838"/>
    <w:rsid w:val="007C18B5"/>
    <w:rsid w:val="007C1AAA"/>
    <w:rsid w:val="007C1B22"/>
    <w:rsid w:val="007C1BB6"/>
    <w:rsid w:val="007C1CAD"/>
    <w:rsid w:val="007C1D25"/>
    <w:rsid w:val="007C1F54"/>
    <w:rsid w:val="007C1F9F"/>
    <w:rsid w:val="007C20B9"/>
    <w:rsid w:val="007C2131"/>
    <w:rsid w:val="007C217C"/>
    <w:rsid w:val="007C22EF"/>
    <w:rsid w:val="007C23AF"/>
    <w:rsid w:val="007C23C3"/>
    <w:rsid w:val="007C2480"/>
    <w:rsid w:val="007C25B6"/>
    <w:rsid w:val="007C25BB"/>
    <w:rsid w:val="007C279E"/>
    <w:rsid w:val="007C27B4"/>
    <w:rsid w:val="007C27DB"/>
    <w:rsid w:val="007C27E7"/>
    <w:rsid w:val="007C2866"/>
    <w:rsid w:val="007C2AC6"/>
    <w:rsid w:val="007C2CDD"/>
    <w:rsid w:val="007C2D07"/>
    <w:rsid w:val="007C2FA9"/>
    <w:rsid w:val="007C3022"/>
    <w:rsid w:val="007C3224"/>
    <w:rsid w:val="007C3236"/>
    <w:rsid w:val="007C3294"/>
    <w:rsid w:val="007C32D7"/>
    <w:rsid w:val="007C32DA"/>
    <w:rsid w:val="007C3362"/>
    <w:rsid w:val="007C33C5"/>
    <w:rsid w:val="007C35EF"/>
    <w:rsid w:val="007C3A2E"/>
    <w:rsid w:val="007C3A7B"/>
    <w:rsid w:val="007C3BAA"/>
    <w:rsid w:val="007C3C9C"/>
    <w:rsid w:val="007C3E63"/>
    <w:rsid w:val="007C3E77"/>
    <w:rsid w:val="007C3F1E"/>
    <w:rsid w:val="007C3FC1"/>
    <w:rsid w:val="007C408D"/>
    <w:rsid w:val="007C423E"/>
    <w:rsid w:val="007C43E5"/>
    <w:rsid w:val="007C43EF"/>
    <w:rsid w:val="007C442D"/>
    <w:rsid w:val="007C4616"/>
    <w:rsid w:val="007C46F5"/>
    <w:rsid w:val="007C4AF2"/>
    <w:rsid w:val="007C4B72"/>
    <w:rsid w:val="007C4BC8"/>
    <w:rsid w:val="007C4CAD"/>
    <w:rsid w:val="007C4D4C"/>
    <w:rsid w:val="007C4D97"/>
    <w:rsid w:val="007C4DDC"/>
    <w:rsid w:val="007C4E8F"/>
    <w:rsid w:val="007C50AD"/>
    <w:rsid w:val="007C51F0"/>
    <w:rsid w:val="007C521C"/>
    <w:rsid w:val="007C527F"/>
    <w:rsid w:val="007C55B0"/>
    <w:rsid w:val="007C5667"/>
    <w:rsid w:val="007C5767"/>
    <w:rsid w:val="007C5A7D"/>
    <w:rsid w:val="007C5B63"/>
    <w:rsid w:val="007C5C73"/>
    <w:rsid w:val="007C5F07"/>
    <w:rsid w:val="007C61F6"/>
    <w:rsid w:val="007C627A"/>
    <w:rsid w:val="007C62AD"/>
    <w:rsid w:val="007C62B0"/>
    <w:rsid w:val="007C63E9"/>
    <w:rsid w:val="007C6449"/>
    <w:rsid w:val="007C6460"/>
    <w:rsid w:val="007C64BF"/>
    <w:rsid w:val="007C6520"/>
    <w:rsid w:val="007C6653"/>
    <w:rsid w:val="007C66B7"/>
    <w:rsid w:val="007C6767"/>
    <w:rsid w:val="007C67B2"/>
    <w:rsid w:val="007C683B"/>
    <w:rsid w:val="007C6A18"/>
    <w:rsid w:val="007C6D07"/>
    <w:rsid w:val="007C6D6F"/>
    <w:rsid w:val="007C6E8A"/>
    <w:rsid w:val="007C6F83"/>
    <w:rsid w:val="007C7022"/>
    <w:rsid w:val="007C7168"/>
    <w:rsid w:val="007C7184"/>
    <w:rsid w:val="007C7185"/>
    <w:rsid w:val="007C720C"/>
    <w:rsid w:val="007C72A0"/>
    <w:rsid w:val="007C7301"/>
    <w:rsid w:val="007C7576"/>
    <w:rsid w:val="007C763C"/>
    <w:rsid w:val="007C76E9"/>
    <w:rsid w:val="007C76F0"/>
    <w:rsid w:val="007C776A"/>
    <w:rsid w:val="007C7859"/>
    <w:rsid w:val="007C7887"/>
    <w:rsid w:val="007C7A4D"/>
    <w:rsid w:val="007C7A6D"/>
    <w:rsid w:val="007C7B06"/>
    <w:rsid w:val="007C7BC7"/>
    <w:rsid w:val="007C7BF2"/>
    <w:rsid w:val="007C7D05"/>
    <w:rsid w:val="007C7D86"/>
    <w:rsid w:val="007C7E0B"/>
    <w:rsid w:val="007C7EEA"/>
    <w:rsid w:val="007C7F28"/>
    <w:rsid w:val="007C7F9B"/>
    <w:rsid w:val="007C7FEA"/>
    <w:rsid w:val="007D0072"/>
    <w:rsid w:val="007D00A7"/>
    <w:rsid w:val="007D0187"/>
    <w:rsid w:val="007D01DA"/>
    <w:rsid w:val="007D01F3"/>
    <w:rsid w:val="007D0397"/>
    <w:rsid w:val="007D045F"/>
    <w:rsid w:val="007D075A"/>
    <w:rsid w:val="007D082F"/>
    <w:rsid w:val="007D0984"/>
    <w:rsid w:val="007D09A7"/>
    <w:rsid w:val="007D09CD"/>
    <w:rsid w:val="007D0B5B"/>
    <w:rsid w:val="007D0CF4"/>
    <w:rsid w:val="007D0EFD"/>
    <w:rsid w:val="007D0F5C"/>
    <w:rsid w:val="007D10D1"/>
    <w:rsid w:val="007D10E7"/>
    <w:rsid w:val="007D10EF"/>
    <w:rsid w:val="007D1186"/>
    <w:rsid w:val="007D11B3"/>
    <w:rsid w:val="007D11C4"/>
    <w:rsid w:val="007D12DF"/>
    <w:rsid w:val="007D12F7"/>
    <w:rsid w:val="007D13D4"/>
    <w:rsid w:val="007D13E6"/>
    <w:rsid w:val="007D1430"/>
    <w:rsid w:val="007D1466"/>
    <w:rsid w:val="007D154D"/>
    <w:rsid w:val="007D1761"/>
    <w:rsid w:val="007D18FA"/>
    <w:rsid w:val="007D191E"/>
    <w:rsid w:val="007D1B8B"/>
    <w:rsid w:val="007D1BB6"/>
    <w:rsid w:val="007D1BBC"/>
    <w:rsid w:val="007D1C21"/>
    <w:rsid w:val="007D1EAD"/>
    <w:rsid w:val="007D1EB6"/>
    <w:rsid w:val="007D1EF8"/>
    <w:rsid w:val="007D1FD0"/>
    <w:rsid w:val="007D2151"/>
    <w:rsid w:val="007D2269"/>
    <w:rsid w:val="007D2326"/>
    <w:rsid w:val="007D236C"/>
    <w:rsid w:val="007D254F"/>
    <w:rsid w:val="007D28DF"/>
    <w:rsid w:val="007D2B92"/>
    <w:rsid w:val="007D2BDE"/>
    <w:rsid w:val="007D2C9F"/>
    <w:rsid w:val="007D2CA7"/>
    <w:rsid w:val="007D2CAA"/>
    <w:rsid w:val="007D2D0B"/>
    <w:rsid w:val="007D2E31"/>
    <w:rsid w:val="007D2EF5"/>
    <w:rsid w:val="007D2FB6"/>
    <w:rsid w:val="007D309E"/>
    <w:rsid w:val="007D30F0"/>
    <w:rsid w:val="007D319C"/>
    <w:rsid w:val="007D32A0"/>
    <w:rsid w:val="007D33D1"/>
    <w:rsid w:val="007D356C"/>
    <w:rsid w:val="007D365F"/>
    <w:rsid w:val="007D36B7"/>
    <w:rsid w:val="007D36C3"/>
    <w:rsid w:val="007D3843"/>
    <w:rsid w:val="007D385B"/>
    <w:rsid w:val="007D3BE4"/>
    <w:rsid w:val="007D3C30"/>
    <w:rsid w:val="007D3C37"/>
    <w:rsid w:val="007D3D7B"/>
    <w:rsid w:val="007D3DC5"/>
    <w:rsid w:val="007D3DD9"/>
    <w:rsid w:val="007D3DED"/>
    <w:rsid w:val="007D3E61"/>
    <w:rsid w:val="007D3E88"/>
    <w:rsid w:val="007D3EA0"/>
    <w:rsid w:val="007D3F18"/>
    <w:rsid w:val="007D3F70"/>
    <w:rsid w:val="007D4088"/>
    <w:rsid w:val="007D40EE"/>
    <w:rsid w:val="007D41B3"/>
    <w:rsid w:val="007D42BE"/>
    <w:rsid w:val="007D42D8"/>
    <w:rsid w:val="007D451E"/>
    <w:rsid w:val="007D455F"/>
    <w:rsid w:val="007D45F5"/>
    <w:rsid w:val="007D473A"/>
    <w:rsid w:val="007D47BB"/>
    <w:rsid w:val="007D47D4"/>
    <w:rsid w:val="007D48B1"/>
    <w:rsid w:val="007D494A"/>
    <w:rsid w:val="007D49D1"/>
    <w:rsid w:val="007D49EB"/>
    <w:rsid w:val="007D4B43"/>
    <w:rsid w:val="007D4D59"/>
    <w:rsid w:val="007D4DF0"/>
    <w:rsid w:val="007D4F2D"/>
    <w:rsid w:val="007D4F77"/>
    <w:rsid w:val="007D4FCC"/>
    <w:rsid w:val="007D5078"/>
    <w:rsid w:val="007D5126"/>
    <w:rsid w:val="007D532D"/>
    <w:rsid w:val="007D564D"/>
    <w:rsid w:val="007D56A4"/>
    <w:rsid w:val="007D5725"/>
    <w:rsid w:val="007D57F5"/>
    <w:rsid w:val="007D596C"/>
    <w:rsid w:val="007D5A28"/>
    <w:rsid w:val="007D5A53"/>
    <w:rsid w:val="007D5B8E"/>
    <w:rsid w:val="007D5CBC"/>
    <w:rsid w:val="007D5CD2"/>
    <w:rsid w:val="007D5E1C"/>
    <w:rsid w:val="007D5E94"/>
    <w:rsid w:val="007D5FAB"/>
    <w:rsid w:val="007D6146"/>
    <w:rsid w:val="007D615D"/>
    <w:rsid w:val="007D61C2"/>
    <w:rsid w:val="007D620D"/>
    <w:rsid w:val="007D62E5"/>
    <w:rsid w:val="007D63D2"/>
    <w:rsid w:val="007D63F0"/>
    <w:rsid w:val="007D6407"/>
    <w:rsid w:val="007D665B"/>
    <w:rsid w:val="007D6781"/>
    <w:rsid w:val="007D67FA"/>
    <w:rsid w:val="007D696B"/>
    <w:rsid w:val="007D6B1F"/>
    <w:rsid w:val="007D6B49"/>
    <w:rsid w:val="007D6BAA"/>
    <w:rsid w:val="007D6C1B"/>
    <w:rsid w:val="007D6D79"/>
    <w:rsid w:val="007D6DA2"/>
    <w:rsid w:val="007D6E2E"/>
    <w:rsid w:val="007D6EC2"/>
    <w:rsid w:val="007D6FC6"/>
    <w:rsid w:val="007D7083"/>
    <w:rsid w:val="007D715C"/>
    <w:rsid w:val="007D7291"/>
    <w:rsid w:val="007D72B7"/>
    <w:rsid w:val="007D7359"/>
    <w:rsid w:val="007D7375"/>
    <w:rsid w:val="007D73FD"/>
    <w:rsid w:val="007D7499"/>
    <w:rsid w:val="007D753F"/>
    <w:rsid w:val="007D75AA"/>
    <w:rsid w:val="007D77B9"/>
    <w:rsid w:val="007D7814"/>
    <w:rsid w:val="007D78C0"/>
    <w:rsid w:val="007D791C"/>
    <w:rsid w:val="007D799E"/>
    <w:rsid w:val="007D79A8"/>
    <w:rsid w:val="007D7A1D"/>
    <w:rsid w:val="007D7A46"/>
    <w:rsid w:val="007D7A5F"/>
    <w:rsid w:val="007D7A6B"/>
    <w:rsid w:val="007D7A74"/>
    <w:rsid w:val="007D7BA6"/>
    <w:rsid w:val="007D7C01"/>
    <w:rsid w:val="007D7C89"/>
    <w:rsid w:val="007D7D14"/>
    <w:rsid w:val="007D7D76"/>
    <w:rsid w:val="007D7D9A"/>
    <w:rsid w:val="007D7DD2"/>
    <w:rsid w:val="007D7E20"/>
    <w:rsid w:val="007D7F0A"/>
    <w:rsid w:val="007E001A"/>
    <w:rsid w:val="007E0087"/>
    <w:rsid w:val="007E00EC"/>
    <w:rsid w:val="007E00FD"/>
    <w:rsid w:val="007E01B9"/>
    <w:rsid w:val="007E022B"/>
    <w:rsid w:val="007E02A2"/>
    <w:rsid w:val="007E032A"/>
    <w:rsid w:val="007E0386"/>
    <w:rsid w:val="007E054A"/>
    <w:rsid w:val="007E05F4"/>
    <w:rsid w:val="007E0904"/>
    <w:rsid w:val="007E09E7"/>
    <w:rsid w:val="007E0B36"/>
    <w:rsid w:val="007E0BAB"/>
    <w:rsid w:val="007E0C4E"/>
    <w:rsid w:val="007E0DE2"/>
    <w:rsid w:val="007E0E11"/>
    <w:rsid w:val="007E10A7"/>
    <w:rsid w:val="007E1245"/>
    <w:rsid w:val="007E136C"/>
    <w:rsid w:val="007E1398"/>
    <w:rsid w:val="007E13AD"/>
    <w:rsid w:val="007E150A"/>
    <w:rsid w:val="007E1552"/>
    <w:rsid w:val="007E15B1"/>
    <w:rsid w:val="007E168B"/>
    <w:rsid w:val="007E16A3"/>
    <w:rsid w:val="007E1730"/>
    <w:rsid w:val="007E17A5"/>
    <w:rsid w:val="007E18FB"/>
    <w:rsid w:val="007E1AAA"/>
    <w:rsid w:val="007E1AF8"/>
    <w:rsid w:val="007E1B1F"/>
    <w:rsid w:val="007E1C09"/>
    <w:rsid w:val="007E1CA9"/>
    <w:rsid w:val="007E1D50"/>
    <w:rsid w:val="007E1ED5"/>
    <w:rsid w:val="007E213A"/>
    <w:rsid w:val="007E238A"/>
    <w:rsid w:val="007E2531"/>
    <w:rsid w:val="007E2611"/>
    <w:rsid w:val="007E278C"/>
    <w:rsid w:val="007E2E43"/>
    <w:rsid w:val="007E2EC8"/>
    <w:rsid w:val="007E309F"/>
    <w:rsid w:val="007E30DF"/>
    <w:rsid w:val="007E312F"/>
    <w:rsid w:val="007E329E"/>
    <w:rsid w:val="007E3366"/>
    <w:rsid w:val="007E3468"/>
    <w:rsid w:val="007E34EE"/>
    <w:rsid w:val="007E3503"/>
    <w:rsid w:val="007E3533"/>
    <w:rsid w:val="007E357C"/>
    <w:rsid w:val="007E3667"/>
    <w:rsid w:val="007E367F"/>
    <w:rsid w:val="007E36C9"/>
    <w:rsid w:val="007E377D"/>
    <w:rsid w:val="007E3890"/>
    <w:rsid w:val="007E3B0B"/>
    <w:rsid w:val="007E3B98"/>
    <w:rsid w:val="007E3CEF"/>
    <w:rsid w:val="007E3DA0"/>
    <w:rsid w:val="007E3F40"/>
    <w:rsid w:val="007E411E"/>
    <w:rsid w:val="007E4179"/>
    <w:rsid w:val="007E417A"/>
    <w:rsid w:val="007E41C7"/>
    <w:rsid w:val="007E4230"/>
    <w:rsid w:val="007E42A5"/>
    <w:rsid w:val="007E4334"/>
    <w:rsid w:val="007E439E"/>
    <w:rsid w:val="007E4419"/>
    <w:rsid w:val="007E4497"/>
    <w:rsid w:val="007E4593"/>
    <w:rsid w:val="007E45F2"/>
    <w:rsid w:val="007E4631"/>
    <w:rsid w:val="007E475C"/>
    <w:rsid w:val="007E47FD"/>
    <w:rsid w:val="007E4930"/>
    <w:rsid w:val="007E49C4"/>
    <w:rsid w:val="007E4B64"/>
    <w:rsid w:val="007E4BC7"/>
    <w:rsid w:val="007E4CD8"/>
    <w:rsid w:val="007E4D14"/>
    <w:rsid w:val="007E4F03"/>
    <w:rsid w:val="007E4F44"/>
    <w:rsid w:val="007E5092"/>
    <w:rsid w:val="007E5162"/>
    <w:rsid w:val="007E5197"/>
    <w:rsid w:val="007E528C"/>
    <w:rsid w:val="007E5440"/>
    <w:rsid w:val="007E548D"/>
    <w:rsid w:val="007E5582"/>
    <w:rsid w:val="007E57DD"/>
    <w:rsid w:val="007E5947"/>
    <w:rsid w:val="007E597C"/>
    <w:rsid w:val="007E5B3C"/>
    <w:rsid w:val="007E5BE7"/>
    <w:rsid w:val="007E5C11"/>
    <w:rsid w:val="007E5C1E"/>
    <w:rsid w:val="007E5CC1"/>
    <w:rsid w:val="007E5DA4"/>
    <w:rsid w:val="007E5EA1"/>
    <w:rsid w:val="007E5F0D"/>
    <w:rsid w:val="007E606E"/>
    <w:rsid w:val="007E60CD"/>
    <w:rsid w:val="007E60D5"/>
    <w:rsid w:val="007E6129"/>
    <w:rsid w:val="007E62D8"/>
    <w:rsid w:val="007E6542"/>
    <w:rsid w:val="007E65FF"/>
    <w:rsid w:val="007E6750"/>
    <w:rsid w:val="007E67EA"/>
    <w:rsid w:val="007E686F"/>
    <w:rsid w:val="007E687F"/>
    <w:rsid w:val="007E6896"/>
    <w:rsid w:val="007E6A03"/>
    <w:rsid w:val="007E6A12"/>
    <w:rsid w:val="007E6BFC"/>
    <w:rsid w:val="007E6D51"/>
    <w:rsid w:val="007E6D55"/>
    <w:rsid w:val="007E6DD7"/>
    <w:rsid w:val="007E6E0F"/>
    <w:rsid w:val="007E6F03"/>
    <w:rsid w:val="007E6F54"/>
    <w:rsid w:val="007E6F67"/>
    <w:rsid w:val="007E71A8"/>
    <w:rsid w:val="007E71B9"/>
    <w:rsid w:val="007E71EE"/>
    <w:rsid w:val="007E7287"/>
    <w:rsid w:val="007E7329"/>
    <w:rsid w:val="007E74EB"/>
    <w:rsid w:val="007E7708"/>
    <w:rsid w:val="007E7758"/>
    <w:rsid w:val="007E775D"/>
    <w:rsid w:val="007E77C7"/>
    <w:rsid w:val="007E7A4D"/>
    <w:rsid w:val="007E7A7C"/>
    <w:rsid w:val="007E7B4C"/>
    <w:rsid w:val="007E7C2B"/>
    <w:rsid w:val="007E7D46"/>
    <w:rsid w:val="007E7E5D"/>
    <w:rsid w:val="007E7E68"/>
    <w:rsid w:val="007E7F50"/>
    <w:rsid w:val="007E7FDA"/>
    <w:rsid w:val="007F00E5"/>
    <w:rsid w:val="007F0412"/>
    <w:rsid w:val="007F041B"/>
    <w:rsid w:val="007F050B"/>
    <w:rsid w:val="007F0576"/>
    <w:rsid w:val="007F05DE"/>
    <w:rsid w:val="007F06B4"/>
    <w:rsid w:val="007F06DE"/>
    <w:rsid w:val="007F07BE"/>
    <w:rsid w:val="007F08A5"/>
    <w:rsid w:val="007F0A7C"/>
    <w:rsid w:val="007F0BBE"/>
    <w:rsid w:val="007F0C05"/>
    <w:rsid w:val="007F0DF5"/>
    <w:rsid w:val="007F0E23"/>
    <w:rsid w:val="007F0FB2"/>
    <w:rsid w:val="007F106D"/>
    <w:rsid w:val="007F112A"/>
    <w:rsid w:val="007F118B"/>
    <w:rsid w:val="007F119C"/>
    <w:rsid w:val="007F11B9"/>
    <w:rsid w:val="007F1210"/>
    <w:rsid w:val="007F1211"/>
    <w:rsid w:val="007F1264"/>
    <w:rsid w:val="007F143A"/>
    <w:rsid w:val="007F1565"/>
    <w:rsid w:val="007F16AD"/>
    <w:rsid w:val="007F16DF"/>
    <w:rsid w:val="007F1814"/>
    <w:rsid w:val="007F19BE"/>
    <w:rsid w:val="007F1AF7"/>
    <w:rsid w:val="007F1C41"/>
    <w:rsid w:val="007F1D47"/>
    <w:rsid w:val="007F1DCC"/>
    <w:rsid w:val="007F1F3A"/>
    <w:rsid w:val="007F1F3B"/>
    <w:rsid w:val="007F1FAD"/>
    <w:rsid w:val="007F20F8"/>
    <w:rsid w:val="007F215F"/>
    <w:rsid w:val="007F2163"/>
    <w:rsid w:val="007F242E"/>
    <w:rsid w:val="007F2523"/>
    <w:rsid w:val="007F2555"/>
    <w:rsid w:val="007F25FC"/>
    <w:rsid w:val="007F2663"/>
    <w:rsid w:val="007F283C"/>
    <w:rsid w:val="007F28B2"/>
    <w:rsid w:val="007F2991"/>
    <w:rsid w:val="007F2A24"/>
    <w:rsid w:val="007F2A71"/>
    <w:rsid w:val="007F2C24"/>
    <w:rsid w:val="007F2E79"/>
    <w:rsid w:val="007F2ED6"/>
    <w:rsid w:val="007F2EE4"/>
    <w:rsid w:val="007F3028"/>
    <w:rsid w:val="007F310B"/>
    <w:rsid w:val="007F31B6"/>
    <w:rsid w:val="007F31DC"/>
    <w:rsid w:val="007F32B6"/>
    <w:rsid w:val="007F32D5"/>
    <w:rsid w:val="007F3350"/>
    <w:rsid w:val="007F33B3"/>
    <w:rsid w:val="007F33EE"/>
    <w:rsid w:val="007F342A"/>
    <w:rsid w:val="007F3531"/>
    <w:rsid w:val="007F3585"/>
    <w:rsid w:val="007F3597"/>
    <w:rsid w:val="007F36CA"/>
    <w:rsid w:val="007F379B"/>
    <w:rsid w:val="007F37A3"/>
    <w:rsid w:val="007F39F7"/>
    <w:rsid w:val="007F3B12"/>
    <w:rsid w:val="007F401B"/>
    <w:rsid w:val="007F43B9"/>
    <w:rsid w:val="007F43DF"/>
    <w:rsid w:val="007F4417"/>
    <w:rsid w:val="007F446C"/>
    <w:rsid w:val="007F45FF"/>
    <w:rsid w:val="007F463E"/>
    <w:rsid w:val="007F4700"/>
    <w:rsid w:val="007F4705"/>
    <w:rsid w:val="007F47E5"/>
    <w:rsid w:val="007F4809"/>
    <w:rsid w:val="007F490B"/>
    <w:rsid w:val="007F4958"/>
    <w:rsid w:val="007F4A53"/>
    <w:rsid w:val="007F4AB4"/>
    <w:rsid w:val="007F4E80"/>
    <w:rsid w:val="007F4E81"/>
    <w:rsid w:val="007F5008"/>
    <w:rsid w:val="007F53B7"/>
    <w:rsid w:val="007F53D9"/>
    <w:rsid w:val="007F542C"/>
    <w:rsid w:val="007F546C"/>
    <w:rsid w:val="007F564D"/>
    <w:rsid w:val="007F56CB"/>
    <w:rsid w:val="007F5867"/>
    <w:rsid w:val="007F58D3"/>
    <w:rsid w:val="007F5931"/>
    <w:rsid w:val="007F5A79"/>
    <w:rsid w:val="007F5B78"/>
    <w:rsid w:val="007F5BA5"/>
    <w:rsid w:val="007F5BDF"/>
    <w:rsid w:val="007F5C8F"/>
    <w:rsid w:val="007F5F2D"/>
    <w:rsid w:val="007F6060"/>
    <w:rsid w:val="007F6069"/>
    <w:rsid w:val="007F625F"/>
    <w:rsid w:val="007F6262"/>
    <w:rsid w:val="007F6411"/>
    <w:rsid w:val="007F64AE"/>
    <w:rsid w:val="007F6545"/>
    <w:rsid w:val="007F65EE"/>
    <w:rsid w:val="007F665E"/>
    <w:rsid w:val="007F6745"/>
    <w:rsid w:val="007F68D0"/>
    <w:rsid w:val="007F6967"/>
    <w:rsid w:val="007F699A"/>
    <w:rsid w:val="007F69F8"/>
    <w:rsid w:val="007F6A45"/>
    <w:rsid w:val="007F6AB3"/>
    <w:rsid w:val="007F6B92"/>
    <w:rsid w:val="007F6DBA"/>
    <w:rsid w:val="007F6E00"/>
    <w:rsid w:val="007F70A4"/>
    <w:rsid w:val="007F7139"/>
    <w:rsid w:val="007F7187"/>
    <w:rsid w:val="007F719B"/>
    <w:rsid w:val="007F724B"/>
    <w:rsid w:val="007F7312"/>
    <w:rsid w:val="007F73E6"/>
    <w:rsid w:val="007F7406"/>
    <w:rsid w:val="007F7575"/>
    <w:rsid w:val="007F75E3"/>
    <w:rsid w:val="007F775D"/>
    <w:rsid w:val="007F792D"/>
    <w:rsid w:val="007F7A51"/>
    <w:rsid w:val="007F7B98"/>
    <w:rsid w:val="007F7C5F"/>
    <w:rsid w:val="007F7C8A"/>
    <w:rsid w:val="007F7CD2"/>
    <w:rsid w:val="0080003D"/>
    <w:rsid w:val="008001DC"/>
    <w:rsid w:val="008002C1"/>
    <w:rsid w:val="008003D9"/>
    <w:rsid w:val="00800412"/>
    <w:rsid w:val="00800435"/>
    <w:rsid w:val="0080053C"/>
    <w:rsid w:val="00800960"/>
    <w:rsid w:val="00800AEF"/>
    <w:rsid w:val="00800B8E"/>
    <w:rsid w:val="00800B99"/>
    <w:rsid w:val="00800C67"/>
    <w:rsid w:val="00800D96"/>
    <w:rsid w:val="00800DB2"/>
    <w:rsid w:val="00800FAF"/>
    <w:rsid w:val="008010C8"/>
    <w:rsid w:val="00801195"/>
    <w:rsid w:val="00801302"/>
    <w:rsid w:val="0080136E"/>
    <w:rsid w:val="008014D2"/>
    <w:rsid w:val="008014FD"/>
    <w:rsid w:val="008016D4"/>
    <w:rsid w:val="0080193F"/>
    <w:rsid w:val="00801942"/>
    <w:rsid w:val="00801C4A"/>
    <w:rsid w:val="00801D4A"/>
    <w:rsid w:val="00801D5B"/>
    <w:rsid w:val="00801E4E"/>
    <w:rsid w:val="00801ECD"/>
    <w:rsid w:val="00801F99"/>
    <w:rsid w:val="0080204C"/>
    <w:rsid w:val="0080212C"/>
    <w:rsid w:val="00802164"/>
    <w:rsid w:val="00802191"/>
    <w:rsid w:val="008021F1"/>
    <w:rsid w:val="008021F3"/>
    <w:rsid w:val="00802356"/>
    <w:rsid w:val="008023B5"/>
    <w:rsid w:val="008025EC"/>
    <w:rsid w:val="00802637"/>
    <w:rsid w:val="0080266F"/>
    <w:rsid w:val="0080287E"/>
    <w:rsid w:val="008029BC"/>
    <w:rsid w:val="00802A5A"/>
    <w:rsid w:val="00802A8B"/>
    <w:rsid w:val="00802AC3"/>
    <w:rsid w:val="00802B52"/>
    <w:rsid w:val="00802D0B"/>
    <w:rsid w:val="00802D55"/>
    <w:rsid w:val="00802D92"/>
    <w:rsid w:val="00802ED0"/>
    <w:rsid w:val="00802F14"/>
    <w:rsid w:val="00803005"/>
    <w:rsid w:val="008030A2"/>
    <w:rsid w:val="008032C3"/>
    <w:rsid w:val="00803584"/>
    <w:rsid w:val="00803729"/>
    <w:rsid w:val="00803782"/>
    <w:rsid w:val="00803895"/>
    <w:rsid w:val="008039AA"/>
    <w:rsid w:val="00803B7C"/>
    <w:rsid w:val="00803EF6"/>
    <w:rsid w:val="00803F59"/>
    <w:rsid w:val="0080418E"/>
    <w:rsid w:val="008041E4"/>
    <w:rsid w:val="00804279"/>
    <w:rsid w:val="00804304"/>
    <w:rsid w:val="0080433F"/>
    <w:rsid w:val="008045A3"/>
    <w:rsid w:val="00804634"/>
    <w:rsid w:val="008046B7"/>
    <w:rsid w:val="008046F9"/>
    <w:rsid w:val="00804716"/>
    <w:rsid w:val="00804754"/>
    <w:rsid w:val="0080479D"/>
    <w:rsid w:val="00804826"/>
    <w:rsid w:val="00804981"/>
    <w:rsid w:val="00804A65"/>
    <w:rsid w:val="00804B20"/>
    <w:rsid w:val="00804E78"/>
    <w:rsid w:val="00804EB3"/>
    <w:rsid w:val="00804F6F"/>
    <w:rsid w:val="00804FF9"/>
    <w:rsid w:val="008052D1"/>
    <w:rsid w:val="00805340"/>
    <w:rsid w:val="008054D6"/>
    <w:rsid w:val="00805543"/>
    <w:rsid w:val="008056C2"/>
    <w:rsid w:val="008056C4"/>
    <w:rsid w:val="0080587B"/>
    <w:rsid w:val="00805911"/>
    <w:rsid w:val="008059DE"/>
    <w:rsid w:val="00805AED"/>
    <w:rsid w:val="00805BC8"/>
    <w:rsid w:val="00805C0D"/>
    <w:rsid w:val="00805E16"/>
    <w:rsid w:val="00806108"/>
    <w:rsid w:val="00806371"/>
    <w:rsid w:val="00806447"/>
    <w:rsid w:val="00806468"/>
    <w:rsid w:val="008064F7"/>
    <w:rsid w:val="008065C3"/>
    <w:rsid w:val="0080667A"/>
    <w:rsid w:val="0080696A"/>
    <w:rsid w:val="0080698A"/>
    <w:rsid w:val="00806B8F"/>
    <w:rsid w:val="00806CC5"/>
    <w:rsid w:val="00806D07"/>
    <w:rsid w:val="00806DF0"/>
    <w:rsid w:val="00806E57"/>
    <w:rsid w:val="00806E7F"/>
    <w:rsid w:val="00806FB2"/>
    <w:rsid w:val="00806FE5"/>
    <w:rsid w:val="00807051"/>
    <w:rsid w:val="00807084"/>
    <w:rsid w:val="008070C0"/>
    <w:rsid w:val="00807129"/>
    <w:rsid w:val="008072D8"/>
    <w:rsid w:val="0080756D"/>
    <w:rsid w:val="008075A1"/>
    <w:rsid w:val="008075FE"/>
    <w:rsid w:val="00807632"/>
    <w:rsid w:val="008076AE"/>
    <w:rsid w:val="0080778F"/>
    <w:rsid w:val="0080788D"/>
    <w:rsid w:val="00807917"/>
    <w:rsid w:val="008079EC"/>
    <w:rsid w:val="00807BD1"/>
    <w:rsid w:val="00807C1F"/>
    <w:rsid w:val="00807E31"/>
    <w:rsid w:val="00807ECF"/>
    <w:rsid w:val="00807EFB"/>
    <w:rsid w:val="00807F54"/>
    <w:rsid w:val="00810312"/>
    <w:rsid w:val="0081040F"/>
    <w:rsid w:val="00810522"/>
    <w:rsid w:val="008107B1"/>
    <w:rsid w:val="008108FD"/>
    <w:rsid w:val="00810D2F"/>
    <w:rsid w:val="00810F57"/>
    <w:rsid w:val="00810F88"/>
    <w:rsid w:val="00811011"/>
    <w:rsid w:val="00811022"/>
    <w:rsid w:val="008111F4"/>
    <w:rsid w:val="008112A2"/>
    <w:rsid w:val="00811379"/>
    <w:rsid w:val="00811444"/>
    <w:rsid w:val="0081154D"/>
    <w:rsid w:val="008116AF"/>
    <w:rsid w:val="008117B7"/>
    <w:rsid w:val="008119CA"/>
    <w:rsid w:val="00811B6E"/>
    <w:rsid w:val="00811B87"/>
    <w:rsid w:val="00811B92"/>
    <w:rsid w:val="00811C77"/>
    <w:rsid w:val="00811FB1"/>
    <w:rsid w:val="00812063"/>
    <w:rsid w:val="008120FA"/>
    <w:rsid w:val="00812215"/>
    <w:rsid w:val="0081229B"/>
    <w:rsid w:val="00812304"/>
    <w:rsid w:val="00812322"/>
    <w:rsid w:val="0081235D"/>
    <w:rsid w:val="0081236C"/>
    <w:rsid w:val="008123AC"/>
    <w:rsid w:val="00812437"/>
    <w:rsid w:val="00812492"/>
    <w:rsid w:val="008124DF"/>
    <w:rsid w:val="008126BC"/>
    <w:rsid w:val="00812748"/>
    <w:rsid w:val="0081293E"/>
    <w:rsid w:val="00812DA6"/>
    <w:rsid w:val="00812DB0"/>
    <w:rsid w:val="00812DD4"/>
    <w:rsid w:val="00812EDB"/>
    <w:rsid w:val="008130C4"/>
    <w:rsid w:val="008130D7"/>
    <w:rsid w:val="00813144"/>
    <w:rsid w:val="0081326A"/>
    <w:rsid w:val="0081336E"/>
    <w:rsid w:val="008136BD"/>
    <w:rsid w:val="00813C53"/>
    <w:rsid w:val="00813CB8"/>
    <w:rsid w:val="00813F97"/>
    <w:rsid w:val="00814087"/>
    <w:rsid w:val="0081413E"/>
    <w:rsid w:val="0081416E"/>
    <w:rsid w:val="0081441E"/>
    <w:rsid w:val="00814531"/>
    <w:rsid w:val="00814570"/>
    <w:rsid w:val="008145DE"/>
    <w:rsid w:val="00814743"/>
    <w:rsid w:val="0081476A"/>
    <w:rsid w:val="00814859"/>
    <w:rsid w:val="00814AC6"/>
    <w:rsid w:val="00814E96"/>
    <w:rsid w:val="00814EAB"/>
    <w:rsid w:val="00814ECF"/>
    <w:rsid w:val="00814EE1"/>
    <w:rsid w:val="00814F58"/>
    <w:rsid w:val="00815045"/>
    <w:rsid w:val="008150C5"/>
    <w:rsid w:val="008150E7"/>
    <w:rsid w:val="0081535B"/>
    <w:rsid w:val="00815493"/>
    <w:rsid w:val="008154CF"/>
    <w:rsid w:val="008155F0"/>
    <w:rsid w:val="008156F7"/>
    <w:rsid w:val="0081578F"/>
    <w:rsid w:val="0081584E"/>
    <w:rsid w:val="00815906"/>
    <w:rsid w:val="00815BE3"/>
    <w:rsid w:val="00815C1C"/>
    <w:rsid w:val="00815C9F"/>
    <w:rsid w:val="00815DB2"/>
    <w:rsid w:val="00816090"/>
    <w:rsid w:val="00816144"/>
    <w:rsid w:val="008162D3"/>
    <w:rsid w:val="00816372"/>
    <w:rsid w:val="00816415"/>
    <w:rsid w:val="00816553"/>
    <w:rsid w:val="0081658D"/>
    <w:rsid w:val="008165BC"/>
    <w:rsid w:val="008165CA"/>
    <w:rsid w:val="0081662D"/>
    <w:rsid w:val="00816723"/>
    <w:rsid w:val="00816735"/>
    <w:rsid w:val="00816752"/>
    <w:rsid w:val="008167D5"/>
    <w:rsid w:val="0081684D"/>
    <w:rsid w:val="008168D7"/>
    <w:rsid w:val="00816A17"/>
    <w:rsid w:val="00816A3C"/>
    <w:rsid w:val="00816B1F"/>
    <w:rsid w:val="00816B89"/>
    <w:rsid w:val="00816BB1"/>
    <w:rsid w:val="00816BBC"/>
    <w:rsid w:val="00816C81"/>
    <w:rsid w:val="00816DF1"/>
    <w:rsid w:val="00816E3E"/>
    <w:rsid w:val="00816F27"/>
    <w:rsid w:val="008170FB"/>
    <w:rsid w:val="00817460"/>
    <w:rsid w:val="0081746A"/>
    <w:rsid w:val="00817782"/>
    <w:rsid w:val="008178D8"/>
    <w:rsid w:val="008179F2"/>
    <w:rsid w:val="00817A79"/>
    <w:rsid w:val="00817B2C"/>
    <w:rsid w:val="00817CA4"/>
    <w:rsid w:val="00817DD8"/>
    <w:rsid w:val="00817E9A"/>
    <w:rsid w:val="00817F06"/>
    <w:rsid w:val="00820141"/>
    <w:rsid w:val="008201AE"/>
    <w:rsid w:val="008202E4"/>
    <w:rsid w:val="0082031A"/>
    <w:rsid w:val="008204B6"/>
    <w:rsid w:val="008204C8"/>
    <w:rsid w:val="0082076E"/>
    <w:rsid w:val="008209BD"/>
    <w:rsid w:val="00820A91"/>
    <w:rsid w:val="00820ABF"/>
    <w:rsid w:val="00820B63"/>
    <w:rsid w:val="00820D9D"/>
    <w:rsid w:val="00820E0C"/>
    <w:rsid w:val="00820EFB"/>
    <w:rsid w:val="00820FA7"/>
    <w:rsid w:val="008212D9"/>
    <w:rsid w:val="00821455"/>
    <w:rsid w:val="0082148E"/>
    <w:rsid w:val="008214EF"/>
    <w:rsid w:val="0082185F"/>
    <w:rsid w:val="00821935"/>
    <w:rsid w:val="008219E1"/>
    <w:rsid w:val="00821A3D"/>
    <w:rsid w:val="00821A5E"/>
    <w:rsid w:val="00821B0A"/>
    <w:rsid w:val="00821B58"/>
    <w:rsid w:val="00821F7F"/>
    <w:rsid w:val="00821FD2"/>
    <w:rsid w:val="008220A3"/>
    <w:rsid w:val="008220C4"/>
    <w:rsid w:val="008221C0"/>
    <w:rsid w:val="00822214"/>
    <w:rsid w:val="008222BF"/>
    <w:rsid w:val="008222E4"/>
    <w:rsid w:val="00822452"/>
    <w:rsid w:val="008224AE"/>
    <w:rsid w:val="00822530"/>
    <w:rsid w:val="00822580"/>
    <w:rsid w:val="008225D7"/>
    <w:rsid w:val="00822627"/>
    <w:rsid w:val="0082262A"/>
    <w:rsid w:val="00822813"/>
    <w:rsid w:val="00822897"/>
    <w:rsid w:val="00822A05"/>
    <w:rsid w:val="00822A51"/>
    <w:rsid w:val="00822AD6"/>
    <w:rsid w:val="00822C92"/>
    <w:rsid w:val="00822C9C"/>
    <w:rsid w:val="00822D0D"/>
    <w:rsid w:val="00822E19"/>
    <w:rsid w:val="00822F54"/>
    <w:rsid w:val="00822F76"/>
    <w:rsid w:val="00822FDF"/>
    <w:rsid w:val="008231C8"/>
    <w:rsid w:val="00823275"/>
    <w:rsid w:val="008232C6"/>
    <w:rsid w:val="008233DB"/>
    <w:rsid w:val="0082366F"/>
    <w:rsid w:val="0082370B"/>
    <w:rsid w:val="00823740"/>
    <w:rsid w:val="0082381E"/>
    <w:rsid w:val="00823AC8"/>
    <w:rsid w:val="00823C3E"/>
    <w:rsid w:val="00823C7F"/>
    <w:rsid w:val="00823CA8"/>
    <w:rsid w:val="00823CAD"/>
    <w:rsid w:val="00823DD3"/>
    <w:rsid w:val="00823ED2"/>
    <w:rsid w:val="008242AD"/>
    <w:rsid w:val="008242F1"/>
    <w:rsid w:val="008243CC"/>
    <w:rsid w:val="0082449A"/>
    <w:rsid w:val="008245BA"/>
    <w:rsid w:val="00824628"/>
    <w:rsid w:val="008246FA"/>
    <w:rsid w:val="008247CF"/>
    <w:rsid w:val="00824980"/>
    <w:rsid w:val="00824B1D"/>
    <w:rsid w:val="00824BA1"/>
    <w:rsid w:val="00824D07"/>
    <w:rsid w:val="00824DE9"/>
    <w:rsid w:val="00824E3C"/>
    <w:rsid w:val="00824F28"/>
    <w:rsid w:val="0082500C"/>
    <w:rsid w:val="00825291"/>
    <w:rsid w:val="00825304"/>
    <w:rsid w:val="00825352"/>
    <w:rsid w:val="00825373"/>
    <w:rsid w:val="008253D1"/>
    <w:rsid w:val="008253EC"/>
    <w:rsid w:val="008256D0"/>
    <w:rsid w:val="0082570E"/>
    <w:rsid w:val="00825829"/>
    <w:rsid w:val="00825955"/>
    <w:rsid w:val="008259EA"/>
    <w:rsid w:val="008259F1"/>
    <w:rsid w:val="00825ACD"/>
    <w:rsid w:val="00825B19"/>
    <w:rsid w:val="00826014"/>
    <w:rsid w:val="008260F7"/>
    <w:rsid w:val="00826321"/>
    <w:rsid w:val="008263CE"/>
    <w:rsid w:val="00826423"/>
    <w:rsid w:val="0082647B"/>
    <w:rsid w:val="00826529"/>
    <w:rsid w:val="00826703"/>
    <w:rsid w:val="0082670C"/>
    <w:rsid w:val="00826790"/>
    <w:rsid w:val="008267C6"/>
    <w:rsid w:val="008269AA"/>
    <w:rsid w:val="00826D1E"/>
    <w:rsid w:val="00826DF5"/>
    <w:rsid w:val="0082700D"/>
    <w:rsid w:val="0082723F"/>
    <w:rsid w:val="00827303"/>
    <w:rsid w:val="008274F1"/>
    <w:rsid w:val="00827669"/>
    <w:rsid w:val="008277D2"/>
    <w:rsid w:val="00827865"/>
    <w:rsid w:val="00827B16"/>
    <w:rsid w:val="00827C19"/>
    <w:rsid w:val="00827D7B"/>
    <w:rsid w:val="00827E16"/>
    <w:rsid w:val="00827E60"/>
    <w:rsid w:val="00827E71"/>
    <w:rsid w:val="00827EF1"/>
    <w:rsid w:val="0083004F"/>
    <w:rsid w:val="00830285"/>
    <w:rsid w:val="008302D4"/>
    <w:rsid w:val="00830386"/>
    <w:rsid w:val="00830408"/>
    <w:rsid w:val="00830459"/>
    <w:rsid w:val="00830513"/>
    <w:rsid w:val="00830535"/>
    <w:rsid w:val="00830630"/>
    <w:rsid w:val="00830648"/>
    <w:rsid w:val="00830678"/>
    <w:rsid w:val="0083069D"/>
    <w:rsid w:val="00830725"/>
    <w:rsid w:val="00830741"/>
    <w:rsid w:val="00830803"/>
    <w:rsid w:val="0083084B"/>
    <w:rsid w:val="008309F9"/>
    <w:rsid w:val="00830A0E"/>
    <w:rsid w:val="00830A3F"/>
    <w:rsid w:val="00830D42"/>
    <w:rsid w:val="00830D4D"/>
    <w:rsid w:val="00830DEC"/>
    <w:rsid w:val="008311C0"/>
    <w:rsid w:val="0083154B"/>
    <w:rsid w:val="00831601"/>
    <w:rsid w:val="00831828"/>
    <w:rsid w:val="00831866"/>
    <w:rsid w:val="00831986"/>
    <w:rsid w:val="00831988"/>
    <w:rsid w:val="008319A5"/>
    <w:rsid w:val="00831A59"/>
    <w:rsid w:val="00831B10"/>
    <w:rsid w:val="00831B1B"/>
    <w:rsid w:val="00831C10"/>
    <w:rsid w:val="00831C16"/>
    <w:rsid w:val="00831E5C"/>
    <w:rsid w:val="00831F79"/>
    <w:rsid w:val="00831FB0"/>
    <w:rsid w:val="00831FD8"/>
    <w:rsid w:val="00832191"/>
    <w:rsid w:val="00832213"/>
    <w:rsid w:val="00832218"/>
    <w:rsid w:val="0083238C"/>
    <w:rsid w:val="008323AC"/>
    <w:rsid w:val="00832534"/>
    <w:rsid w:val="00832646"/>
    <w:rsid w:val="00832669"/>
    <w:rsid w:val="00832678"/>
    <w:rsid w:val="008328F6"/>
    <w:rsid w:val="00832AF1"/>
    <w:rsid w:val="00832BBE"/>
    <w:rsid w:val="00832BC5"/>
    <w:rsid w:val="00832C46"/>
    <w:rsid w:val="00832CD3"/>
    <w:rsid w:val="00832EC0"/>
    <w:rsid w:val="00832EFF"/>
    <w:rsid w:val="00832F59"/>
    <w:rsid w:val="00833044"/>
    <w:rsid w:val="00833117"/>
    <w:rsid w:val="008332E8"/>
    <w:rsid w:val="008332E9"/>
    <w:rsid w:val="008332F8"/>
    <w:rsid w:val="00833351"/>
    <w:rsid w:val="00833461"/>
    <w:rsid w:val="008334E4"/>
    <w:rsid w:val="008335D3"/>
    <w:rsid w:val="00833833"/>
    <w:rsid w:val="008338A2"/>
    <w:rsid w:val="00833A5D"/>
    <w:rsid w:val="00833A9E"/>
    <w:rsid w:val="00833BB8"/>
    <w:rsid w:val="00833C5C"/>
    <w:rsid w:val="00833C62"/>
    <w:rsid w:val="00833C76"/>
    <w:rsid w:val="00833C90"/>
    <w:rsid w:val="00833EE5"/>
    <w:rsid w:val="0083400E"/>
    <w:rsid w:val="0083404F"/>
    <w:rsid w:val="008341EE"/>
    <w:rsid w:val="00834219"/>
    <w:rsid w:val="008344D7"/>
    <w:rsid w:val="00834511"/>
    <w:rsid w:val="00834641"/>
    <w:rsid w:val="00834737"/>
    <w:rsid w:val="00834881"/>
    <w:rsid w:val="00834AA0"/>
    <w:rsid w:val="00834B1D"/>
    <w:rsid w:val="00834CAA"/>
    <w:rsid w:val="00834CCA"/>
    <w:rsid w:val="00834CE6"/>
    <w:rsid w:val="00834DCA"/>
    <w:rsid w:val="00834DFF"/>
    <w:rsid w:val="00834EAA"/>
    <w:rsid w:val="00834ED7"/>
    <w:rsid w:val="00834F2B"/>
    <w:rsid w:val="008350C2"/>
    <w:rsid w:val="0083515A"/>
    <w:rsid w:val="00835370"/>
    <w:rsid w:val="00835422"/>
    <w:rsid w:val="00835443"/>
    <w:rsid w:val="00835457"/>
    <w:rsid w:val="00835599"/>
    <w:rsid w:val="008355C5"/>
    <w:rsid w:val="00835740"/>
    <w:rsid w:val="00835745"/>
    <w:rsid w:val="00835763"/>
    <w:rsid w:val="008357B8"/>
    <w:rsid w:val="00835811"/>
    <w:rsid w:val="00835AA5"/>
    <w:rsid w:val="00835BB3"/>
    <w:rsid w:val="00835BEC"/>
    <w:rsid w:val="00835C68"/>
    <w:rsid w:val="00835F63"/>
    <w:rsid w:val="00835FE0"/>
    <w:rsid w:val="008360B9"/>
    <w:rsid w:val="00836145"/>
    <w:rsid w:val="00836171"/>
    <w:rsid w:val="0083630F"/>
    <w:rsid w:val="0083648F"/>
    <w:rsid w:val="0083654B"/>
    <w:rsid w:val="008366B5"/>
    <w:rsid w:val="00836837"/>
    <w:rsid w:val="00836A9B"/>
    <w:rsid w:val="00836C75"/>
    <w:rsid w:val="00836E9E"/>
    <w:rsid w:val="00836FFE"/>
    <w:rsid w:val="008371D8"/>
    <w:rsid w:val="008374D6"/>
    <w:rsid w:val="008375D3"/>
    <w:rsid w:val="00837657"/>
    <w:rsid w:val="0083766E"/>
    <w:rsid w:val="0083772B"/>
    <w:rsid w:val="0083784A"/>
    <w:rsid w:val="00837904"/>
    <w:rsid w:val="008379AC"/>
    <w:rsid w:val="008379CD"/>
    <w:rsid w:val="008379F7"/>
    <w:rsid w:val="00837AAF"/>
    <w:rsid w:val="00837B3A"/>
    <w:rsid w:val="00837BAA"/>
    <w:rsid w:val="00837BB5"/>
    <w:rsid w:val="00837D0A"/>
    <w:rsid w:val="00837D2F"/>
    <w:rsid w:val="00837D8B"/>
    <w:rsid w:val="00837DE3"/>
    <w:rsid w:val="00837EA2"/>
    <w:rsid w:val="00837EFC"/>
    <w:rsid w:val="00837F6D"/>
    <w:rsid w:val="008402D7"/>
    <w:rsid w:val="0084036E"/>
    <w:rsid w:val="0084044B"/>
    <w:rsid w:val="0084048D"/>
    <w:rsid w:val="00840510"/>
    <w:rsid w:val="0084055D"/>
    <w:rsid w:val="008405A2"/>
    <w:rsid w:val="00840747"/>
    <w:rsid w:val="008407A6"/>
    <w:rsid w:val="0084082F"/>
    <w:rsid w:val="008408AB"/>
    <w:rsid w:val="00840965"/>
    <w:rsid w:val="00840A8A"/>
    <w:rsid w:val="00840B1B"/>
    <w:rsid w:val="00840D3F"/>
    <w:rsid w:val="00840D70"/>
    <w:rsid w:val="008411BE"/>
    <w:rsid w:val="008412F1"/>
    <w:rsid w:val="008413E5"/>
    <w:rsid w:val="008414F1"/>
    <w:rsid w:val="0084182B"/>
    <w:rsid w:val="00841896"/>
    <w:rsid w:val="00841AA9"/>
    <w:rsid w:val="00841B24"/>
    <w:rsid w:val="00841B9E"/>
    <w:rsid w:val="00841C5C"/>
    <w:rsid w:val="00841DD8"/>
    <w:rsid w:val="00842128"/>
    <w:rsid w:val="00842266"/>
    <w:rsid w:val="0084233F"/>
    <w:rsid w:val="0084234C"/>
    <w:rsid w:val="0084245A"/>
    <w:rsid w:val="0084268F"/>
    <w:rsid w:val="0084279D"/>
    <w:rsid w:val="008427D1"/>
    <w:rsid w:val="00842836"/>
    <w:rsid w:val="00842882"/>
    <w:rsid w:val="008428FE"/>
    <w:rsid w:val="0084297A"/>
    <w:rsid w:val="00842A0B"/>
    <w:rsid w:val="00842AD0"/>
    <w:rsid w:val="00842B12"/>
    <w:rsid w:val="00842B81"/>
    <w:rsid w:val="00842DEB"/>
    <w:rsid w:val="00842FF1"/>
    <w:rsid w:val="0084312B"/>
    <w:rsid w:val="0084313D"/>
    <w:rsid w:val="0084316A"/>
    <w:rsid w:val="00843199"/>
    <w:rsid w:val="00843487"/>
    <w:rsid w:val="008434E9"/>
    <w:rsid w:val="00843525"/>
    <w:rsid w:val="00843636"/>
    <w:rsid w:val="0084365C"/>
    <w:rsid w:val="00843836"/>
    <w:rsid w:val="0084387B"/>
    <w:rsid w:val="00843964"/>
    <w:rsid w:val="00843977"/>
    <w:rsid w:val="008439C3"/>
    <w:rsid w:val="008439C8"/>
    <w:rsid w:val="00843A05"/>
    <w:rsid w:val="00843A80"/>
    <w:rsid w:val="00843B22"/>
    <w:rsid w:val="00843E0E"/>
    <w:rsid w:val="00843E12"/>
    <w:rsid w:val="00843E7B"/>
    <w:rsid w:val="00843FB7"/>
    <w:rsid w:val="00844038"/>
    <w:rsid w:val="00844074"/>
    <w:rsid w:val="008441E9"/>
    <w:rsid w:val="008442AF"/>
    <w:rsid w:val="00844362"/>
    <w:rsid w:val="00844364"/>
    <w:rsid w:val="00844469"/>
    <w:rsid w:val="008447E6"/>
    <w:rsid w:val="00844838"/>
    <w:rsid w:val="0084496B"/>
    <w:rsid w:val="00844A0A"/>
    <w:rsid w:val="00844B14"/>
    <w:rsid w:val="00844C0E"/>
    <w:rsid w:val="00844C31"/>
    <w:rsid w:val="00844C80"/>
    <w:rsid w:val="00844CBC"/>
    <w:rsid w:val="00844F94"/>
    <w:rsid w:val="00845033"/>
    <w:rsid w:val="0084504C"/>
    <w:rsid w:val="00845153"/>
    <w:rsid w:val="00845297"/>
    <w:rsid w:val="008455FF"/>
    <w:rsid w:val="008456FC"/>
    <w:rsid w:val="008457FF"/>
    <w:rsid w:val="00845887"/>
    <w:rsid w:val="008458C2"/>
    <w:rsid w:val="008459B5"/>
    <w:rsid w:val="00845B1B"/>
    <w:rsid w:val="00845B24"/>
    <w:rsid w:val="00845CDF"/>
    <w:rsid w:val="00845CE1"/>
    <w:rsid w:val="00845D5F"/>
    <w:rsid w:val="00845E14"/>
    <w:rsid w:val="00845E2B"/>
    <w:rsid w:val="00845E6A"/>
    <w:rsid w:val="00846086"/>
    <w:rsid w:val="008460E0"/>
    <w:rsid w:val="0084621D"/>
    <w:rsid w:val="0084621E"/>
    <w:rsid w:val="00846254"/>
    <w:rsid w:val="0084626D"/>
    <w:rsid w:val="008463C7"/>
    <w:rsid w:val="00846530"/>
    <w:rsid w:val="008465CF"/>
    <w:rsid w:val="00846677"/>
    <w:rsid w:val="0084675B"/>
    <w:rsid w:val="0084688A"/>
    <w:rsid w:val="00846BA4"/>
    <w:rsid w:val="00846BD8"/>
    <w:rsid w:val="00846C17"/>
    <w:rsid w:val="00846D5A"/>
    <w:rsid w:val="00846F0D"/>
    <w:rsid w:val="00846F3F"/>
    <w:rsid w:val="00846FBB"/>
    <w:rsid w:val="00847262"/>
    <w:rsid w:val="008473A0"/>
    <w:rsid w:val="008473DD"/>
    <w:rsid w:val="0084745B"/>
    <w:rsid w:val="00847467"/>
    <w:rsid w:val="008474FE"/>
    <w:rsid w:val="00847553"/>
    <w:rsid w:val="0084768E"/>
    <w:rsid w:val="008476FC"/>
    <w:rsid w:val="0084776F"/>
    <w:rsid w:val="008477F4"/>
    <w:rsid w:val="00847889"/>
    <w:rsid w:val="00847A31"/>
    <w:rsid w:val="00847B8E"/>
    <w:rsid w:val="00847E6D"/>
    <w:rsid w:val="00847E85"/>
    <w:rsid w:val="00847E9F"/>
    <w:rsid w:val="00847EC5"/>
    <w:rsid w:val="00850025"/>
    <w:rsid w:val="00850054"/>
    <w:rsid w:val="0085009F"/>
    <w:rsid w:val="00850122"/>
    <w:rsid w:val="008501C9"/>
    <w:rsid w:val="0085033E"/>
    <w:rsid w:val="0085040D"/>
    <w:rsid w:val="008505EC"/>
    <w:rsid w:val="0085068B"/>
    <w:rsid w:val="00850757"/>
    <w:rsid w:val="0085077C"/>
    <w:rsid w:val="0085079E"/>
    <w:rsid w:val="008507CD"/>
    <w:rsid w:val="0085086A"/>
    <w:rsid w:val="00850897"/>
    <w:rsid w:val="00850906"/>
    <w:rsid w:val="0085095D"/>
    <w:rsid w:val="00850A79"/>
    <w:rsid w:val="00850B55"/>
    <w:rsid w:val="00850C14"/>
    <w:rsid w:val="00850E6D"/>
    <w:rsid w:val="00850F0F"/>
    <w:rsid w:val="0085114B"/>
    <w:rsid w:val="0085127C"/>
    <w:rsid w:val="008513AE"/>
    <w:rsid w:val="00851509"/>
    <w:rsid w:val="00851575"/>
    <w:rsid w:val="0085158E"/>
    <w:rsid w:val="00851677"/>
    <w:rsid w:val="008517C3"/>
    <w:rsid w:val="008517CC"/>
    <w:rsid w:val="00851897"/>
    <w:rsid w:val="00851939"/>
    <w:rsid w:val="00851B88"/>
    <w:rsid w:val="00851D5E"/>
    <w:rsid w:val="00851DC1"/>
    <w:rsid w:val="00851F71"/>
    <w:rsid w:val="00851FDD"/>
    <w:rsid w:val="00851FF7"/>
    <w:rsid w:val="00852048"/>
    <w:rsid w:val="00852496"/>
    <w:rsid w:val="008524E4"/>
    <w:rsid w:val="00852526"/>
    <w:rsid w:val="0085257B"/>
    <w:rsid w:val="00852644"/>
    <w:rsid w:val="0085276E"/>
    <w:rsid w:val="008527F3"/>
    <w:rsid w:val="008527FF"/>
    <w:rsid w:val="00852877"/>
    <w:rsid w:val="00852A11"/>
    <w:rsid w:val="00852AB4"/>
    <w:rsid w:val="00852ABC"/>
    <w:rsid w:val="00852BC1"/>
    <w:rsid w:val="00852D40"/>
    <w:rsid w:val="0085300D"/>
    <w:rsid w:val="008530A3"/>
    <w:rsid w:val="00853150"/>
    <w:rsid w:val="00853323"/>
    <w:rsid w:val="008533C0"/>
    <w:rsid w:val="008534C5"/>
    <w:rsid w:val="0085363B"/>
    <w:rsid w:val="008536F9"/>
    <w:rsid w:val="0085370A"/>
    <w:rsid w:val="008537CF"/>
    <w:rsid w:val="008538A4"/>
    <w:rsid w:val="00853921"/>
    <w:rsid w:val="00853972"/>
    <w:rsid w:val="00853B41"/>
    <w:rsid w:val="00853C0F"/>
    <w:rsid w:val="00853EDD"/>
    <w:rsid w:val="00853EE4"/>
    <w:rsid w:val="008540BD"/>
    <w:rsid w:val="00854131"/>
    <w:rsid w:val="008541DF"/>
    <w:rsid w:val="00854264"/>
    <w:rsid w:val="00854381"/>
    <w:rsid w:val="008543BA"/>
    <w:rsid w:val="0085443E"/>
    <w:rsid w:val="00854621"/>
    <w:rsid w:val="0085464C"/>
    <w:rsid w:val="00854714"/>
    <w:rsid w:val="00854782"/>
    <w:rsid w:val="008548A5"/>
    <w:rsid w:val="008548F0"/>
    <w:rsid w:val="00854A94"/>
    <w:rsid w:val="00854B37"/>
    <w:rsid w:val="00854C37"/>
    <w:rsid w:val="00854D3F"/>
    <w:rsid w:val="00854E40"/>
    <w:rsid w:val="00854F7B"/>
    <w:rsid w:val="008550CA"/>
    <w:rsid w:val="00855100"/>
    <w:rsid w:val="0085527E"/>
    <w:rsid w:val="008552D3"/>
    <w:rsid w:val="00855316"/>
    <w:rsid w:val="00855479"/>
    <w:rsid w:val="00855535"/>
    <w:rsid w:val="00855571"/>
    <w:rsid w:val="008555D8"/>
    <w:rsid w:val="00855972"/>
    <w:rsid w:val="008559DE"/>
    <w:rsid w:val="00855A63"/>
    <w:rsid w:val="00855E7D"/>
    <w:rsid w:val="00855F95"/>
    <w:rsid w:val="00856094"/>
    <w:rsid w:val="008561A5"/>
    <w:rsid w:val="008561C4"/>
    <w:rsid w:val="00856209"/>
    <w:rsid w:val="0085641C"/>
    <w:rsid w:val="0085651E"/>
    <w:rsid w:val="00856577"/>
    <w:rsid w:val="008565B6"/>
    <w:rsid w:val="008565CD"/>
    <w:rsid w:val="0085688B"/>
    <w:rsid w:val="008568CB"/>
    <w:rsid w:val="00856A77"/>
    <w:rsid w:val="00856B0C"/>
    <w:rsid w:val="00856C40"/>
    <w:rsid w:val="00856D37"/>
    <w:rsid w:val="00856D89"/>
    <w:rsid w:val="00856DDF"/>
    <w:rsid w:val="00856E19"/>
    <w:rsid w:val="00856E94"/>
    <w:rsid w:val="00856FEB"/>
    <w:rsid w:val="0085736A"/>
    <w:rsid w:val="00857638"/>
    <w:rsid w:val="0085779C"/>
    <w:rsid w:val="008578EB"/>
    <w:rsid w:val="00857A30"/>
    <w:rsid w:val="00857A86"/>
    <w:rsid w:val="00857AB3"/>
    <w:rsid w:val="00857B50"/>
    <w:rsid w:val="00857BC5"/>
    <w:rsid w:val="00857C5A"/>
    <w:rsid w:val="00857C89"/>
    <w:rsid w:val="00857CF7"/>
    <w:rsid w:val="00857D95"/>
    <w:rsid w:val="00857F58"/>
    <w:rsid w:val="008600D5"/>
    <w:rsid w:val="008600F6"/>
    <w:rsid w:val="00860174"/>
    <w:rsid w:val="008601A8"/>
    <w:rsid w:val="008601B0"/>
    <w:rsid w:val="008601D7"/>
    <w:rsid w:val="00860238"/>
    <w:rsid w:val="0086030E"/>
    <w:rsid w:val="00860310"/>
    <w:rsid w:val="008603E6"/>
    <w:rsid w:val="008603EB"/>
    <w:rsid w:val="00860417"/>
    <w:rsid w:val="00860539"/>
    <w:rsid w:val="0086062D"/>
    <w:rsid w:val="00860651"/>
    <w:rsid w:val="008606AC"/>
    <w:rsid w:val="00860746"/>
    <w:rsid w:val="0086081A"/>
    <w:rsid w:val="0086093C"/>
    <w:rsid w:val="008609CD"/>
    <w:rsid w:val="00860A6D"/>
    <w:rsid w:val="00860C24"/>
    <w:rsid w:val="00860D2A"/>
    <w:rsid w:val="00860D95"/>
    <w:rsid w:val="0086101D"/>
    <w:rsid w:val="00861068"/>
    <w:rsid w:val="0086107C"/>
    <w:rsid w:val="00861095"/>
    <w:rsid w:val="00861312"/>
    <w:rsid w:val="0086135B"/>
    <w:rsid w:val="0086135F"/>
    <w:rsid w:val="00861362"/>
    <w:rsid w:val="00861553"/>
    <w:rsid w:val="00861A2C"/>
    <w:rsid w:val="00861AAE"/>
    <w:rsid w:val="00861AEF"/>
    <w:rsid w:val="00861B31"/>
    <w:rsid w:val="00861C28"/>
    <w:rsid w:val="00861CC4"/>
    <w:rsid w:val="00861CC6"/>
    <w:rsid w:val="00861DF1"/>
    <w:rsid w:val="00861ECE"/>
    <w:rsid w:val="00861EF6"/>
    <w:rsid w:val="00861F31"/>
    <w:rsid w:val="00861F63"/>
    <w:rsid w:val="008620DA"/>
    <w:rsid w:val="0086216C"/>
    <w:rsid w:val="008624B3"/>
    <w:rsid w:val="008624D6"/>
    <w:rsid w:val="0086255E"/>
    <w:rsid w:val="00862582"/>
    <w:rsid w:val="008625F3"/>
    <w:rsid w:val="00862619"/>
    <w:rsid w:val="00862957"/>
    <w:rsid w:val="00862A17"/>
    <w:rsid w:val="00862A59"/>
    <w:rsid w:val="00862ACD"/>
    <w:rsid w:val="00862B90"/>
    <w:rsid w:val="00862BCF"/>
    <w:rsid w:val="00862C59"/>
    <w:rsid w:val="00862CE8"/>
    <w:rsid w:val="00862D0D"/>
    <w:rsid w:val="00862D66"/>
    <w:rsid w:val="00862E8E"/>
    <w:rsid w:val="00863045"/>
    <w:rsid w:val="0086307A"/>
    <w:rsid w:val="00863090"/>
    <w:rsid w:val="00863199"/>
    <w:rsid w:val="008631EA"/>
    <w:rsid w:val="00863208"/>
    <w:rsid w:val="00863293"/>
    <w:rsid w:val="008632A0"/>
    <w:rsid w:val="008632EE"/>
    <w:rsid w:val="00863379"/>
    <w:rsid w:val="008633C2"/>
    <w:rsid w:val="008633E1"/>
    <w:rsid w:val="008633F0"/>
    <w:rsid w:val="00863434"/>
    <w:rsid w:val="00863473"/>
    <w:rsid w:val="008634DF"/>
    <w:rsid w:val="0086363F"/>
    <w:rsid w:val="0086376B"/>
    <w:rsid w:val="0086381B"/>
    <w:rsid w:val="008639F5"/>
    <w:rsid w:val="00863A45"/>
    <w:rsid w:val="00863B37"/>
    <w:rsid w:val="00863C09"/>
    <w:rsid w:val="00863CCE"/>
    <w:rsid w:val="00863E7A"/>
    <w:rsid w:val="00863EFB"/>
    <w:rsid w:val="00863F74"/>
    <w:rsid w:val="008640B0"/>
    <w:rsid w:val="00864193"/>
    <w:rsid w:val="0086427D"/>
    <w:rsid w:val="008642C7"/>
    <w:rsid w:val="008642FD"/>
    <w:rsid w:val="0086433E"/>
    <w:rsid w:val="00864548"/>
    <w:rsid w:val="0086463F"/>
    <w:rsid w:val="0086465C"/>
    <w:rsid w:val="00864688"/>
    <w:rsid w:val="00864758"/>
    <w:rsid w:val="00864795"/>
    <w:rsid w:val="008647B8"/>
    <w:rsid w:val="00864842"/>
    <w:rsid w:val="0086485A"/>
    <w:rsid w:val="00864954"/>
    <w:rsid w:val="00864A28"/>
    <w:rsid w:val="00864A7B"/>
    <w:rsid w:val="00864B09"/>
    <w:rsid w:val="00864B8C"/>
    <w:rsid w:val="00864BDE"/>
    <w:rsid w:val="00864CE5"/>
    <w:rsid w:val="00864D0A"/>
    <w:rsid w:val="00864D9A"/>
    <w:rsid w:val="00864DB1"/>
    <w:rsid w:val="00864F86"/>
    <w:rsid w:val="00864F8D"/>
    <w:rsid w:val="0086502D"/>
    <w:rsid w:val="008650D1"/>
    <w:rsid w:val="00865142"/>
    <w:rsid w:val="00865379"/>
    <w:rsid w:val="00865469"/>
    <w:rsid w:val="008654A3"/>
    <w:rsid w:val="008657A4"/>
    <w:rsid w:val="008659B4"/>
    <w:rsid w:val="00865A53"/>
    <w:rsid w:val="00865C1C"/>
    <w:rsid w:val="00865C25"/>
    <w:rsid w:val="00865CAD"/>
    <w:rsid w:val="00865D4C"/>
    <w:rsid w:val="00865E89"/>
    <w:rsid w:val="0086607B"/>
    <w:rsid w:val="00866419"/>
    <w:rsid w:val="00866576"/>
    <w:rsid w:val="00866675"/>
    <w:rsid w:val="00866746"/>
    <w:rsid w:val="0086686C"/>
    <w:rsid w:val="00866880"/>
    <w:rsid w:val="008669F8"/>
    <w:rsid w:val="00866BE5"/>
    <w:rsid w:val="00866D37"/>
    <w:rsid w:val="00866D6C"/>
    <w:rsid w:val="00866E66"/>
    <w:rsid w:val="00866E72"/>
    <w:rsid w:val="00866FAB"/>
    <w:rsid w:val="008670C2"/>
    <w:rsid w:val="00867220"/>
    <w:rsid w:val="008672DC"/>
    <w:rsid w:val="00867406"/>
    <w:rsid w:val="0086769E"/>
    <w:rsid w:val="00867786"/>
    <w:rsid w:val="008678B8"/>
    <w:rsid w:val="00867A46"/>
    <w:rsid w:val="00867B4A"/>
    <w:rsid w:val="00867C30"/>
    <w:rsid w:val="00867D9D"/>
    <w:rsid w:val="00867EAC"/>
    <w:rsid w:val="0087043E"/>
    <w:rsid w:val="008704B8"/>
    <w:rsid w:val="008704E2"/>
    <w:rsid w:val="00870531"/>
    <w:rsid w:val="00870598"/>
    <w:rsid w:val="00870620"/>
    <w:rsid w:val="00870865"/>
    <w:rsid w:val="00870925"/>
    <w:rsid w:val="00870944"/>
    <w:rsid w:val="00870A0D"/>
    <w:rsid w:val="00870BCF"/>
    <w:rsid w:val="00870C41"/>
    <w:rsid w:val="00870D29"/>
    <w:rsid w:val="00870E53"/>
    <w:rsid w:val="00870E97"/>
    <w:rsid w:val="00871033"/>
    <w:rsid w:val="00871091"/>
    <w:rsid w:val="008712CB"/>
    <w:rsid w:val="0087160F"/>
    <w:rsid w:val="00871713"/>
    <w:rsid w:val="008717A2"/>
    <w:rsid w:val="008717CB"/>
    <w:rsid w:val="0087184C"/>
    <w:rsid w:val="008719B9"/>
    <w:rsid w:val="00871AFF"/>
    <w:rsid w:val="00871B0C"/>
    <w:rsid w:val="00871B6B"/>
    <w:rsid w:val="00871BB3"/>
    <w:rsid w:val="00871C31"/>
    <w:rsid w:val="00871D01"/>
    <w:rsid w:val="00871D2E"/>
    <w:rsid w:val="00871D3B"/>
    <w:rsid w:val="00871D66"/>
    <w:rsid w:val="00871DBB"/>
    <w:rsid w:val="00871F86"/>
    <w:rsid w:val="008720E1"/>
    <w:rsid w:val="00872137"/>
    <w:rsid w:val="0087213C"/>
    <w:rsid w:val="00872263"/>
    <w:rsid w:val="008722D8"/>
    <w:rsid w:val="0087236C"/>
    <w:rsid w:val="008723DA"/>
    <w:rsid w:val="0087255D"/>
    <w:rsid w:val="008725D3"/>
    <w:rsid w:val="00872925"/>
    <w:rsid w:val="0087294C"/>
    <w:rsid w:val="0087295F"/>
    <w:rsid w:val="008729D5"/>
    <w:rsid w:val="00872AEF"/>
    <w:rsid w:val="00872C15"/>
    <w:rsid w:val="00872C25"/>
    <w:rsid w:val="00872C32"/>
    <w:rsid w:val="00872CB0"/>
    <w:rsid w:val="00872D1F"/>
    <w:rsid w:val="00872D46"/>
    <w:rsid w:val="00872E0A"/>
    <w:rsid w:val="00872EF0"/>
    <w:rsid w:val="0087301A"/>
    <w:rsid w:val="0087301C"/>
    <w:rsid w:val="008730E8"/>
    <w:rsid w:val="008730EB"/>
    <w:rsid w:val="00873121"/>
    <w:rsid w:val="00873313"/>
    <w:rsid w:val="00873464"/>
    <w:rsid w:val="00873594"/>
    <w:rsid w:val="008735D1"/>
    <w:rsid w:val="008736D3"/>
    <w:rsid w:val="008737B2"/>
    <w:rsid w:val="0087383A"/>
    <w:rsid w:val="00873916"/>
    <w:rsid w:val="00873927"/>
    <w:rsid w:val="00873952"/>
    <w:rsid w:val="00873A4F"/>
    <w:rsid w:val="00873A54"/>
    <w:rsid w:val="00873A58"/>
    <w:rsid w:val="00873B10"/>
    <w:rsid w:val="00873B80"/>
    <w:rsid w:val="00873EFB"/>
    <w:rsid w:val="00873FF7"/>
    <w:rsid w:val="0087413B"/>
    <w:rsid w:val="0087427A"/>
    <w:rsid w:val="00874345"/>
    <w:rsid w:val="00874448"/>
    <w:rsid w:val="008744E4"/>
    <w:rsid w:val="00874627"/>
    <w:rsid w:val="008747C2"/>
    <w:rsid w:val="008749F1"/>
    <w:rsid w:val="00874C05"/>
    <w:rsid w:val="00874E7A"/>
    <w:rsid w:val="008750DF"/>
    <w:rsid w:val="00875154"/>
    <w:rsid w:val="00875285"/>
    <w:rsid w:val="00875336"/>
    <w:rsid w:val="0087533A"/>
    <w:rsid w:val="008753CB"/>
    <w:rsid w:val="00875563"/>
    <w:rsid w:val="008757EE"/>
    <w:rsid w:val="008759C4"/>
    <w:rsid w:val="008759E5"/>
    <w:rsid w:val="00875A02"/>
    <w:rsid w:val="00875ADA"/>
    <w:rsid w:val="00875B39"/>
    <w:rsid w:val="00875D6E"/>
    <w:rsid w:val="00875DAA"/>
    <w:rsid w:val="00875F13"/>
    <w:rsid w:val="00875F79"/>
    <w:rsid w:val="00875FF8"/>
    <w:rsid w:val="0087640A"/>
    <w:rsid w:val="0087640F"/>
    <w:rsid w:val="008764DA"/>
    <w:rsid w:val="008766C5"/>
    <w:rsid w:val="0087673A"/>
    <w:rsid w:val="00876762"/>
    <w:rsid w:val="00876778"/>
    <w:rsid w:val="0087678D"/>
    <w:rsid w:val="00876840"/>
    <w:rsid w:val="00876943"/>
    <w:rsid w:val="00876BA8"/>
    <w:rsid w:val="00876E2F"/>
    <w:rsid w:val="00876E75"/>
    <w:rsid w:val="00876FE7"/>
    <w:rsid w:val="0087706D"/>
    <w:rsid w:val="00877113"/>
    <w:rsid w:val="008772C9"/>
    <w:rsid w:val="00877300"/>
    <w:rsid w:val="008773D9"/>
    <w:rsid w:val="00877468"/>
    <w:rsid w:val="008774D8"/>
    <w:rsid w:val="00877667"/>
    <w:rsid w:val="00877725"/>
    <w:rsid w:val="0087782F"/>
    <w:rsid w:val="00877836"/>
    <w:rsid w:val="00877850"/>
    <w:rsid w:val="00877954"/>
    <w:rsid w:val="008779D9"/>
    <w:rsid w:val="00877A28"/>
    <w:rsid w:val="00877A94"/>
    <w:rsid w:val="00877CDF"/>
    <w:rsid w:val="00877D67"/>
    <w:rsid w:val="00877E4C"/>
    <w:rsid w:val="00877E7B"/>
    <w:rsid w:val="00877EC2"/>
    <w:rsid w:val="00877ED2"/>
    <w:rsid w:val="00877F04"/>
    <w:rsid w:val="0088001B"/>
    <w:rsid w:val="008800FB"/>
    <w:rsid w:val="00880173"/>
    <w:rsid w:val="008802C6"/>
    <w:rsid w:val="008804D4"/>
    <w:rsid w:val="008805C3"/>
    <w:rsid w:val="008805D5"/>
    <w:rsid w:val="00880670"/>
    <w:rsid w:val="00880774"/>
    <w:rsid w:val="00880872"/>
    <w:rsid w:val="00880ACF"/>
    <w:rsid w:val="00880DDD"/>
    <w:rsid w:val="00880E60"/>
    <w:rsid w:val="00880EE0"/>
    <w:rsid w:val="00880F3F"/>
    <w:rsid w:val="0088116C"/>
    <w:rsid w:val="008811B5"/>
    <w:rsid w:val="0088139A"/>
    <w:rsid w:val="008816BC"/>
    <w:rsid w:val="00881748"/>
    <w:rsid w:val="0088194F"/>
    <w:rsid w:val="0088198B"/>
    <w:rsid w:val="00881BA9"/>
    <w:rsid w:val="00881BB9"/>
    <w:rsid w:val="00881E43"/>
    <w:rsid w:val="00881E4A"/>
    <w:rsid w:val="00881EDA"/>
    <w:rsid w:val="00881F1A"/>
    <w:rsid w:val="008820FE"/>
    <w:rsid w:val="00882317"/>
    <w:rsid w:val="008823BE"/>
    <w:rsid w:val="00882404"/>
    <w:rsid w:val="00882459"/>
    <w:rsid w:val="0088248E"/>
    <w:rsid w:val="008824DE"/>
    <w:rsid w:val="008826DC"/>
    <w:rsid w:val="008826F4"/>
    <w:rsid w:val="00882790"/>
    <w:rsid w:val="00882B15"/>
    <w:rsid w:val="00882BF6"/>
    <w:rsid w:val="00882CC8"/>
    <w:rsid w:val="00882D4C"/>
    <w:rsid w:val="00882D8D"/>
    <w:rsid w:val="00882E54"/>
    <w:rsid w:val="00882EB6"/>
    <w:rsid w:val="00882F1A"/>
    <w:rsid w:val="00883156"/>
    <w:rsid w:val="00883227"/>
    <w:rsid w:val="0088322C"/>
    <w:rsid w:val="008834AE"/>
    <w:rsid w:val="00883551"/>
    <w:rsid w:val="0088360C"/>
    <w:rsid w:val="0088372D"/>
    <w:rsid w:val="00883753"/>
    <w:rsid w:val="00883777"/>
    <w:rsid w:val="00883779"/>
    <w:rsid w:val="008837CA"/>
    <w:rsid w:val="00883912"/>
    <w:rsid w:val="00883E41"/>
    <w:rsid w:val="00883E5E"/>
    <w:rsid w:val="00883E7C"/>
    <w:rsid w:val="00883EC3"/>
    <w:rsid w:val="00883F34"/>
    <w:rsid w:val="00883F9B"/>
    <w:rsid w:val="00883FC7"/>
    <w:rsid w:val="00884012"/>
    <w:rsid w:val="008840C7"/>
    <w:rsid w:val="008840FF"/>
    <w:rsid w:val="0088457E"/>
    <w:rsid w:val="008845D8"/>
    <w:rsid w:val="0088469F"/>
    <w:rsid w:val="0088470B"/>
    <w:rsid w:val="008847F5"/>
    <w:rsid w:val="00884907"/>
    <w:rsid w:val="00884932"/>
    <w:rsid w:val="00884948"/>
    <w:rsid w:val="0088497B"/>
    <w:rsid w:val="00884ADB"/>
    <w:rsid w:val="00884B43"/>
    <w:rsid w:val="00884B62"/>
    <w:rsid w:val="00884C1D"/>
    <w:rsid w:val="00884D58"/>
    <w:rsid w:val="00884E52"/>
    <w:rsid w:val="00884E92"/>
    <w:rsid w:val="00884EC5"/>
    <w:rsid w:val="00884FBF"/>
    <w:rsid w:val="00884FDF"/>
    <w:rsid w:val="00884FF3"/>
    <w:rsid w:val="00885197"/>
    <w:rsid w:val="008851E2"/>
    <w:rsid w:val="008851E8"/>
    <w:rsid w:val="0088529C"/>
    <w:rsid w:val="008853EB"/>
    <w:rsid w:val="00885410"/>
    <w:rsid w:val="0088542C"/>
    <w:rsid w:val="0088549C"/>
    <w:rsid w:val="00885706"/>
    <w:rsid w:val="00885720"/>
    <w:rsid w:val="00885798"/>
    <w:rsid w:val="008857F9"/>
    <w:rsid w:val="00885988"/>
    <w:rsid w:val="00885AC4"/>
    <w:rsid w:val="00885D59"/>
    <w:rsid w:val="00885E5F"/>
    <w:rsid w:val="00885EAE"/>
    <w:rsid w:val="00886043"/>
    <w:rsid w:val="0088605F"/>
    <w:rsid w:val="00886104"/>
    <w:rsid w:val="0088622C"/>
    <w:rsid w:val="008862A9"/>
    <w:rsid w:val="0088631F"/>
    <w:rsid w:val="0088635B"/>
    <w:rsid w:val="008863CB"/>
    <w:rsid w:val="008864A2"/>
    <w:rsid w:val="00886530"/>
    <w:rsid w:val="00886677"/>
    <w:rsid w:val="0088667C"/>
    <w:rsid w:val="0088671C"/>
    <w:rsid w:val="00886721"/>
    <w:rsid w:val="008867B7"/>
    <w:rsid w:val="00886822"/>
    <w:rsid w:val="00886AAB"/>
    <w:rsid w:val="00886B1C"/>
    <w:rsid w:val="00886B4D"/>
    <w:rsid w:val="00886BA7"/>
    <w:rsid w:val="00886C0B"/>
    <w:rsid w:val="00886CE8"/>
    <w:rsid w:val="00886D58"/>
    <w:rsid w:val="00886F02"/>
    <w:rsid w:val="0088705E"/>
    <w:rsid w:val="008870DE"/>
    <w:rsid w:val="0088717A"/>
    <w:rsid w:val="008872CF"/>
    <w:rsid w:val="00887381"/>
    <w:rsid w:val="008873B9"/>
    <w:rsid w:val="008873E0"/>
    <w:rsid w:val="00887416"/>
    <w:rsid w:val="00887423"/>
    <w:rsid w:val="00887469"/>
    <w:rsid w:val="00887501"/>
    <w:rsid w:val="00887553"/>
    <w:rsid w:val="0088757D"/>
    <w:rsid w:val="00887903"/>
    <w:rsid w:val="00887904"/>
    <w:rsid w:val="0088793B"/>
    <w:rsid w:val="00887A4D"/>
    <w:rsid w:val="00887B50"/>
    <w:rsid w:val="00887C7F"/>
    <w:rsid w:val="00887DBC"/>
    <w:rsid w:val="00887DBF"/>
    <w:rsid w:val="00887DC1"/>
    <w:rsid w:val="00887ECB"/>
    <w:rsid w:val="0089001C"/>
    <w:rsid w:val="00890167"/>
    <w:rsid w:val="00890376"/>
    <w:rsid w:val="00890407"/>
    <w:rsid w:val="0089073C"/>
    <w:rsid w:val="0089086F"/>
    <w:rsid w:val="008908E1"/>
    <w:rsid w:val="0089090A"/>
    <w:rsid w:val="00890965"/>
    <w:rsid w:val="00890989"/>
    <w:rsid w:val="008909F3"/>
    <w:rsid w:val="00890A46"/>
    <w:rsid w:val="00890AD0"/>
    <w:rsid w:val="00890B0D"/>
    <w:rsid w:val="00890CDB"/>
    <w:rsid w:val="00890D09"/>
    <w:rsid w:val="00890D69"/>
    <w:rsid w:val="00890EA5"/>
    <w:rsid w:val="00891042"/>
    <w:rsid w:val="00891185"/>
    <w:rsid w:val="00891234"/>
    <w:rsid w:val="0089124E"/>
    <w:rsid w:val="008913C0"/>
    <w:rsid w:val="0089145D"/>
    <w:rsid w:val="00891475"/>
    <w:rsid w:val="008914FB"/>
    <w:rsid w:val="008916D1"/>
    <w:rsid w:val="008918A4"/>
    <w:rsid w:val="008918DB"/>
    <w:rsid w:val="00891964"/>
    <w:rsid w:val="008919F3"/>
    <w:rsid w:val="00891A40"/>
    <w:rsid w:val="00891A46"/>
    <w:rsid w:val="00891B09"/>
    <w:rsid w:val="00891B9C"/>
    <w:rsid w:val="00891BDB"/>
    <w:rsid w:val="00891D94"/>
    <w:rsid w:val="00891E29"/>
    <w:rsid w:val="00891E76"/>
    <w:rsid w:val="00891E80"/>
    <w:rsid w:val="00891EA9"/>
    <w:rsid w:val="00891FFF"/>
    <w:rsid w:val="0089201D"/>
    <w:rsid w:val="00892039"/>
    <w:rsid w:val="008920D3"/>
    <w:rsid w:val="00892289"/>
    <w:rsid w:val="008922CF"/>
    <w:rsid w:val="00892389"/>
    <w:rsid w:val="0089248F"/>
    <w:rsid w:val="00892512"/>
    <w:rsid w:val="0089270A"/>
    <w:rsid w:val="00892806"/>
    <w:rsid w:val="00892A62"/>
    <w:rsid w:val="00892A68"/>
    <w:rsid w:val="00892BF9"/>
    <w:rsid w:val="00892C22"/>
    <w:rsid w:val="00892C5A"/>
    <w:rsid w:val="00892D7A"/>
    <w:rsid w:val="00892E7B"/>
    <w:rsid w:val="00892F1F"/>
    <w:rsid w:val="00892F39"/>
    <w:rsid w:val="00892F7B"/>
    <w:rsid w:val="00892F9C"/>
    <w:rsid w:val="008933DD"/>
    <w:rsid w:val="0089353B"/>
    <w:rsid w:val="00893755"/>
    <w:rsid w:val="008937E1"/>
    <w:rsid w:val="008937E7"/>
    <w:rsid w:val="008937F6"/>
    <w:rsid w:val="0089382F"/>
    <w:rsid w:val="00893904"/>
    <w:rsid w:val="00893AEC"/>
    <w:rsid w:val="00893AF6"/>
    <w:rsid w:val="00893B22"/>
    <w:rsid w:val="00893C1E"/>
    <w:rsid w:val="00893C34"/>
    <w:rsid w:val="00893C8B"/>
    <w:rsid w:val="00893D4B"/>
    <w:rsid w:val="00893E66"/>
    <w:rsid w:val="00893FD8"/>
    <w:rsid w:val="00894025"/>
    <w:rsid w:val="0089409F"/>
    <w:rsid w:val="008942BD"/>
    <w:rsid w:val="008943AB"/>
    <w:rsid w:val="008944AA"/>
    <w:rsid w:val="00894929"/>
    <w:rsid w:val="00894A01"/>
    <w:rsid w:val="00894BC4"/>
    <w:rsid w:val="00894DC5"/>
    <w:rsid w:val="00894DDC"/>
    <w:rsid w:val="00895043"/>
    <w:rsid w:val="0089524F"/>
    <w:rsid w:val="008953D7"/>
    <w:rsid w:val="00895468"/>
    <w:rsid w:val="008954EA"/>
    <w:rsid w:val="0089561D"/>
    <w:rsid w:val="00895699"/>
    <w:rsid w:val="00895761"/>
    <w:rsid w:val="00895BB5"/>
    <w:rsid w:val="00895BCD"/>
    <w:rsid w:val="00895E00"/>
    <w:rsid w:val="00895E46"/>
    <w:rsid w:val="00896059"/>
    <w:rsid w:val="00896131"/>
    <w:rsid w:val="00896147"/>
    <w:rsid w:val="00896154"/>
    <w:rsid w:val="00896363"/>
    <w:rsid w:val="0089638F"/>
    <w:rsid w:val="0089649E"/>
    <w:rsid w:val="00896530"/>
    <w:rsid w:val="00896659"/>
    <w:rsid w:val="00896765"/>
    <w:rsid w:val="00896780"/>
    <w:rsid w:val="0089683E"/>
    <w:rsid w:val="00896890"/>
    <w:rsid w:val="00896909"/>
    <w:rsid w:val="00896942"/>
    <w:rsid w:val="00896966"/>
    <w:rsid w:val="0089698C"/>
    <w:rsid w:val="00896AE9"/>
    <w:rsid w:val="00896C1A"/>
    <w:rsid w:val="00896CE6"/>
    <w:rsid w:val="00896D10"/>
    <w:rsid w:val="00896E15"/>
    <w:rsid w:val="008974A5"/>
    <w:rsid w:val="00897511"/>
    <w:rsid w:val="008975DE"/>
    <w:rsid w:val="008977D1"/>
    <w:rsid w:val="00897923"/>
    <w:rsid w:val="00897993"/>
    <w:rsid w:val="008979E9"/>
    <w:rsid w:val="00897A9C"/>
    <w:rsid w:val="00897D8F"/>
    <w:rsid w:val="00897E10"/>
    <w:rsid w:val="00897F3B"/>
    <w:rsid w:val="008A000E"/>
    <w:rsid w:val="008A005F"/>
    <w:rsid w:val="008A007C"/>
    <w:rsid w:val="008A016F"/>
    <w:rsid w:val="008A017D"/>
    <w:rsid w:val="008A01FF"/>
    <w:rsid w:val="008A021E"/>
    <w:rsid w:val="008A03A0"/>
    <w:rsid w:val="008A0555"/>
    <w:rsid w:val="008A058F"/>
    <w:rsid w:val="008A0621"/>
    <w:rsid w:val="008A06A1"/>
    <w:rsid w:val="008A07BF"/>
    <w:rsid w:val="008A08D0"/>
    <w:rsid w:val="008A0932"/>
    <w:rsid w:val="008A0AC8"/>
    <w:rsid w:val="008A0ADB"/>
    <w:rsid w:val="008A0AE3"/>
    <w:rsid w:val="008A0C8B"/>
    <w:rsid w:val="008A0CBD"/>
    <w:rsid w:val="008A0E62"/>
    <w:rsid w:val="008A0E7E"/>
    <w:rsid w:val="008A0EB4"/>
    <w:rsid w:val="008A0EDA"/>
    <w:rsid w:val="008A0F0D"/>
    <w:rsid w:val="008A0FCA"/>
    <w:rsid w:val="008A103B"/>
    <w:rsid w:val="008A1314"/>
    <w:rsid w:val="008A13C6"/>
    <w:rsid w:val="008A13D0"/>
    <w:rsid w:val="008A13FB"/>
    <w:rsid w:val="008A1592"/>
    <w:rsid w:val="008A15C2"/>
    <w:rsid w:val="008A15DD"/>
    <w:rsid w:val="008A1654"/>
    <w:rsid w:val="008A1763"/>
    <w:rsid w:val="008A189E"/>
    <w:rsid w:val="008A1911"/>
    <w:rsid w:val="008A1940"/>
    <w:rsid w:val="008A1C2C"/>
    <w:rsid w:val="008A1C4D"/>
    <w:rsid w:val="008A1D0C"/>
    <w:rsid w:val="008A1D49"/>
    <w:rsid w:val="008A1E71"/>
    <w:rsid w:val="008A1F93"/>
    <w:rsid w:val="008A1FA6"/>
    <w:rsid w:val="008A1FB4"/>
    <w:rsid w:val="008A20BF"/>
    <w:rsid w:val="008A20F3"/>
    <w:rsid w:val="008A2173"/>
    <w:rsid w:val="008A21D9"/>
    <w:rsid w:val="008A22B0"/>
    <w:rsid w:val="008A22E1"/>
    <w:rsid w:val="008A2317"/>
    <w:rsid w:val="008A2418"/>
    <w:rsid w:val="008A2659"/>
    <w:rsid w:val="008A2669"/>
    <w:rsid w:val="008A26FF"/>
    <w:rsid w:val="008A27C5"/>
    <w:rsid w:val="008A27FC"/>
    <w:rsid w:val="008A2815"/>
    <w:rsid w:val="008A28A8"/>
    <w:rsid w:val="008A28ED"/>
    <w:rsid w:val="008A2914"/>
    <w:rsid w:val="008A299D"/>
    <w:rsid w:val="008A2A60"/>
    <w:rsid w:val="008A2BBC"/>
    <w:rsid w:val="008A2C4C"/>
    <w:rsid w:val="008A2CEE"/>
    <w:rsid w:val="008A2D3E"/>
    <w:rsid w:val="008A2D80"/>
    <w:rsid w:val="008A2E4B"/>
    <w:rsid w:val="008A2E7C"/>
    <w:rsid w:val="008A2F61"/>
    <w:rsid w:val="008A30A9"/>
    <w:rsid w:val="008A3207"/>
    <w:rsid w:val="008A320F"/>
    <w:rsid w:val="008A328A"/>
    <w:rsid w:val="008A32B3"/>
    <w:rsid w:val="008A333D"/>
    <w:rsid w:val="008A3648"/>
    <w:rsid w:val="008A3965"/>
    <w:rsid w:val="008A39DD"/>
    <w:rsid w:val="008A3AE3"/>
    <w:rsid w:val="008A3BCA"/>
    <w:rsid w:val="008A3BF9"/>
    <w:rsid w:val="008A3D04"/>
    <w:rsid w:val="008A3D2B"/>
    <w:rsid w:val="008A3DFD"/>
    <w:rsid w:val="008A3E0F"/>
    <w:rsid w:val="008A3FC7"/>
    <w:rsid w:val="008A419E"/>
    <w:rsid w:val="008A41F4"/>
    <w:rsid w:val="008A4284"/>
    <w:rsid w:val="008A42AF"/>
    <w:rsid w:val="008A4339"/>
    <w:rsid w:val="008A45D2"/>
    <w:rsid w:val="008A469D"/>
    <w:rsid w:val="008A4748"/>
    <w:rsid w:val="008A4E02"/>
    <w:rsid w:val="008A4E83"/>
    <w:rsid w:val="008A4F26"/>
    <w:rsid w:val="008A4F42"/>
    <w:rsid w:val="008A4F58"/>
    <w:rsid w:val="008A4FB3"/>
    <w:rsid w:val="008A4FEB"/>
    <w:rsid w:val="008A5046"/>
    <w:rsid w:val="008A50C7"/>
    <w:rsid w:val="008A538B"/>
    <w:rsid w:val="008A5474"/>
    <w:rsid w:val="008A54AC"/>
    <w:rsid w:val="008A54CA"/>
    <w:rsid w:val="008A5820"/>
    <w:rsid w:val="008A5857"/>
    <w:rsid w:val="008A598F"/>
    <w:rsid w:val="008A5A89"/>
    <w:rsid w:val="008A5B32"/>
    <w:rsid w:val="008A5BF8"/>
    <w:rsid w:val="008A5C0D"/>
    <w:rsid w:val="008A5C17"/>
    <w:rsid w:val="008A5DBA"/>
    <w:rsid w:val="008A5DC8"/>
    <w:rsid w:val="008A5E82"/>
    <w:rsid w:val="008A5F32"/>
    <w:rsid w:val="008A5F81"/>
    <w:rsid w:val="008A5FFB"/>
    <w:rsid w:val="008A604B"/>
    <w:rsid w:val="008A6181"/>
    <w:rsid w:val="008A630A"/>
    <w:rsid w:val="008A639D"/>
    <w:rsid w:val="008A64B1"/>
    <w:rsid w:val="008A653A"/>
    <w:rsid w:val="008A659D"/>
    <w:rsid w:val="008A65D9"/>
    <w:rsid w:val="008A6657"/>
    <w:rsid w:val="008A670D"/>
    <w:rsid w:val="008A67BA"/>
    <w:rsid w:val="008A6830"/>
    <w:rsid w:val="008A68AE"/>
    <w:rsid w:val="008A68BD"/>
    <w:rsid w:val="008A68C8"/>
    <w:rsid w:val="008A6995"/>
    <w:rsid w:val="008A6A83"/>
    <w:rsid w:val="008A6B4A"/>
    <w:rsid w:val="008A6CB7"/>
    <w:rsid w:val="008A6E6F"/>
    <w:rsid w:val="008A6F99"/>
    <w:rsid w:val="008A6FE5"/>
    <w:rsid w:val="008A7012"/>
    <w:rsid w:val="008A7019"/>
    <w:rsid w:val="008A7099"/>
    <w:rsid w:val="008A70D1"/>
    <w:rsid w:val="008A7146"/>
    <w:rsid w:val="008A7147"/>
    <w:rsid w:val="008A716E"/>
    <w:rsid w:val="008A726B"/>
    <w:rsid w:val="008A7304"/>
    <w:rsid w:val="008A7606"/>
    <w:rsid w:val="008A7757"/>
    <w:rsid w:val="008A7778"/>
    <w:rsid w:val="008A79DE"/>
    <w:rsid w:val="008A7A2B"/>
    <w:rsid w:val="008A7A36"/>
    <w:rsid w:val="008A7BFD"/>
    <w:rsid w:val="008A7C56"/>
    <w:rsid w:val="008A7CE3"/>
    <w:rsid w:val="008A7FA8"/>
    <w:rsid w:val="008B0068"/>
    <w:rsid w:val="008B012B"/>
    <w:rsid w:val="008B01AC"/>
    <w:rsid w:val="008B021D"/>
    <w:rsid w:val="008B0314"/>
    <w:rsid w:val="008B03B4"/>
    <w:rsid w:val="008B045D"/>
    <w:rsid w:val="008B0468"/>
    <w:rsid w:val="008B04B6"/>
    <w:rsid w:val="008B04F2"/>
    <w:rsid w:val="008B0579"/>
    <w:rsid w:val="008B059F"/>
    <w:rsid w:val="008B060A"/>
    <w:rsid w:val="008B064C"/>
    <w:rsid w:val="008B07DB"/>
    <w:rsid w:val="008B086B"/>
    <w:rsid w:val="008B097B"/>
    <w:rsid w:val="008B0CD1"/>
    <w:rsid w:val="008B0CE1"/>
    <w:rsid w:val="008B0D07"/>
    <w:rsid w:val="008B0F5B"/>
    <w:rsid w:val="008B102E"/>
    <w:rsid w:val="008B10CD"/>
    <w:rsid w:val="008B1238"/>
    <w:rsid w:val="008B124C"/>
    <w:rsid w:val="008B13A5"/>
    <w:rsid w:val="008B1474"/>
    <w:rsid w:val="008B1530"/>
    <w:rsid w:val="008B1543"/>
    <w:rsid w:val="008B160D"/>
    <w:rsid w:val="008B168C"/>
    <w:rsid w:val="008B16A0"/>
    <w:rsid w:val="008B1879"/>
    <w:rsid w:val="008B189A"/>
    <w:rsid w:val="008B18FC"/>
    <w:rsid w:val="008B1BAA"/>
    <w:rsid w:val="008B1D10"/>
    <w:rsid w:val="008B1FC6"/>
    <w:rsid w:val="008B2011"/>
    <w:rsid w:val="008B2029"/>
    <w:rsid w:val="008B20E6"/>
    <w:rsid w:val="008B20EC"/>
    <w:rsid w:val="008B2159"/>
    <w:rsid w:val="008B229D"/>
    <w:rsid w:val="008B2422"/>
    <w:rsid w:val="008B24A7"/>
    <w:rsid w:val="008B2541"/>
    <w:rsid w:val="008B27D4"/>
    <w:rsid w:val="008B27D5"/>
    <w:rsid w:val="008B2B78"/>
    <w:rsid w:val="008B2C80"/>
    <w:rsid w:val="008B2D2D"/>
    <w:rsid w:val="008B2E0C"/>
    <w:rsid w:val="008B2E17"/>
    <w:rsid w:val="008B2E49"/>
    <w:rsid w:val="008B2EE4"/>
    <w:rsid w:val="008B2EE8"/>
    <w:rsid w:val="008B2F38"/>
    <w:rsid w:val="008B2FCB"/>
    <w:rsid w:val="008B305E"/>
    <w:rsid w:val="008B3216"/>
    <w:rsid w:val="008B330D"/>
    <w:rsid w:val="008B3310"/>
    <w:rsid w:val="008B347C"/>
    <w:rsid w:val="008B34C0"/>
    <w:rsid w:val="008B350D"/>
    <w:rsid w:val="008B3516"/>
    <w:rsid w:val="008B359B"/>
    <w:rsid w:val="008B363C"/>
    <w:rsid w:val="008B370A"/>
    <w:rsid w:val="008B372B"/>
    <w:rsid w:val="008B3779"/>
    <w:rsid w:val="008B3821"/>
    <w:rsid w:val="008B3862"/>
    <w:rsid w:val="008B3871"/>
    <w:rsid w:val="008B391F"/>
    <w:rsid w:val="008B3964"/>
    <w:rsid w:val="008B398D"/>
    <w:rsid w:val="008B3A19"/>
    <w:rsid w:val="008B3BEB"/>
    <w:rsid w:val="008B3F52"/>
    <w:rsid w:val="008B3F57"/>
    <w:rsid w:val="008B418E"/>
    <w:rsid w:val="008B42B2"/>
    <w:rsid w:val="008B43F9"/>
    <w:rsid w:val="008B4523"/>
    <w:rsid w:val="008B458B"/>
    <w:rsid w:val="008B4613"/>
    <w:rsid w:val="008B483A"/>
    <w:rsid w:val="008B4894"/>
    <w:rsid w:val="008B492D"/>
    <w:rsid w:val="008B4A08"/>
    <w:rsid w:val="008B4C60"/>
    <w:rsid w:val="008B4D06"/>
    <w:rsid w:val="008B4D3D"/>
    <w:rsid w:val="008B500F"/>
    <w:rsid w:val="008B50F4"/>
    <w:rsid w:val="008B5116"/>
    <w:rsid w:val="008B5213"/>
    <w:rsid w:val="008B5219"/>
    <w:rsid w:val="008B527A"/>
    <w:rsid w:val="008B5340"/>
    <w:rsid w:val="008B544D"/>
    <w:rsid w:val="008B5477"/>
    <w:rsid w:val="008B54A0"/>
    <w:rsid w:val="008B5569"/>
    <w:rsid w:val="008B55BC"/>
    <w:rsid w:val="008B570A"/>
    <w:rsid w:val="008B57C7"/>
    <w:rsid w:val="008B584C"/>
    <w:rsid w:val="008B58E8"/>
    <w:rsid w:val="008B5935"/>
    <w:rsid w:val="008B5D3D"/>
    <w:rsid w:val="008B5EBC"/>
    <w:rsid w:val="008B5F3A"/>
    <w:rsid w:val="008B6102"/>
    <w:rsid w:val="008B6132"/>
    <w:rsid w:val="008B6191"/>
    <w:rsid w:val="008B61C5"/>
    <w:rsid w:val="008B620B"/>
    <w:rsid w:val="008B621F"/>
    <w:rsid w:val="008B62FC"/>
    <w:rsid w:val="008B6315"/>
    <w:rsid w:val="008B631C"/>
    <w:rsid w:val="008B6438"/>
    <w:rsid w:val="008B663E"/>
    <w:rsid w:val="008B675E"/>
    <w:rsid w:val="008B67D3"/>
    <w:rsid w:val="008B6852"/>
    <w:rsid w:val="008B68B9"/>
    <w:rsid w:val="008B698A"/>
    <w:rsid w:val="008B69CD"/>
    <w:rsid w:val="008B6AE2"/>
    <w:rsid w:val="008B6B77"/>
    <w:rsid w:val="008B6C0A"/>
    <w:rsid w:val="008B6C52"/>
    <w:rsid w:val="008B6CD3"/>
    <w:rsid w:val="008B6F55"/>
    <w:rsid w:val="008B6FFA"/>
    <w:rsid w:val="008B70B5"/>
    <w:rsid w:val="008B70B6"/>
    <w:rsid w:val="008B711A"/>
    <w:rsid w:val="008B7131"/>
    <w:rsid w:val="008B720A"/>
    <w:rsid w:val="008B75B4"/>
    <w:rsid w:val="008B7641"/>
    <w:rsid w:val="008B76DF"/>
    <w:rsid w:val="008B78CB"/>
    <w:rsid w:val="008B7920"/>
    <w:rsid w:val="008B7A80"/>
    <w:rsid w:val="008B7A8B"/>
    <w:rsid w:val="008B7B06"/>
    <w:rsid w:val="008B7B10"/>
    <w:rsid w:val="008B7BC1"/>
    <w:rsid w:val="008B7CA0"/>
    <w:rsid w:val="008BDBF2"/>
    <w:rsid w:val="008C014C"/>
    <w:rsid w:val="008C018B"/>
    <w:rsid w:val="008C04D4"/>
    <w:rsid w:val="008C0595"/>
    <w:rsid w:val="008C05BF"/>
    <w:rsid w:val="008C078F"/>
    <w:rsid w:val="008C0976"/>
    <w:rsid w:val="008C09AC"/>
    <w:rsid w:val="008C0A0B"/>
    <w:rsid w:val="008C0CCF"/>
    <w:rsid w:val="008C0D13"/>
    <w:rsid w:val="008C0D77"/>
    <w:rsid w:val="008C0E2A"/>
    <w:rsid w:val="008C0E4E"/>
    <w:rsid w:val="008C0E6B"/>
    <w:rsid w:val="008C0E6F"/>
    <w:rsid w:val="008C0ED8"/>
    <w:rsid w:val="008C0FBE"/>
    <w:rsid w:val="008C1003"/>
    <w:rsid w:val="008C1288"/>
    <w:rsid w:val="008C12A9"/>
    <w:rsid w:val="008C12FA"/>
    <w:rsid w:val="008C13C5"/>
    <w:rsid w:val="008C1454"/>
    <w:rsid w:val="008C1538"/>
    <w:rsid w:val="008C175F"/>
    <w:rsid w:val="008C183C"/>
    <w:rsid w:val="008C186D"/>
    <w:rsid w:val="008C18F0"/>
    <w:rsid w:val="008C19D1"/>
    <w:rsid w:val="008C1AF3"/>
    <w:rsid w:val="008C1BA0"/>
    <w:rsid w:val="008C1BBD"/>
    <w:rsid w:val="008C1BF7"/>
    <w:rsid w:val="008C1CC3"/>
    <w:rsid w:val="008C1CF4"/>
    <w:rsid w:val="008C1D27"/>
    <w:rsid w:val="008C1D8A"/>
    <w:rsid w:val="008C1DA4"/>
    <w:rsid w:val="008C1EC7"/>
    <w:rsid w:val="008C1EF9"/>
    <w:rsid w:val="008C1FAE"/>
    <w:rsid w:val="008C1FFD"/>
    <w:rsid w:val="008C206D"/>
    <w:rsid w:val="008C2265"/>
    <w:rsid w:val="008C2517"/>
    <w:rsid w:val="008C2753"/>
    <w:rsid w:val="008C27CD"/>
    <w:rsid w:val="008C28F9"/>
    <w:rsid w:val="008C2AC4"/>
    <w:rsid w:val="008C2AED"/>
    <w:rsid w:val="008C2B36"/>
    <w:rsid w:val="008C2BE1"/>
    <w:rsid w:val="008C2C5C"/>
    <w:rsid w:val="008C2CFA"/>
    <w:rsid w:val="008C2D0A"/>
    <w:rsid w:val="008C2F4D"/>
    <w:rsid w:val="008C2F92"/>
    <w:rsid w:val="008C2FB0"/>
    <w:rsid w:val="008C305D"/>
    <w:rsid w:val="008C3119"/>
    <w:rsid w:val="008C3192"/>
    <w:rsid w:val="008C320E"/>
    <w:rsid w:val="008C3215"/>
    <w:rsid w:val="008C3216"/>
    <w:rsid w:val="008C32C2"/>
    <w:rsid w:val="008C32D2"/>
    <w:rsid w:val="008C3371"/>
    <w:rsid w:val="008C33ED"/>
    <w:rsid w:val="008C3401"/>
    <w:rsid w:val="008C3446"/>
    <w:rsid w:val="008C3471"/>
    <w:rsid w:val="008C3546"/>
    <w:rsid w:val="008C35DC"/>
    <w:rsid w:val="008C361F"/>
    <w:rsid w:val="008C366E"/>
    <w:rsid w:val="008C36AA"/>
    <w:rsid w:val="008C36C2"/>
    <w:rsid w:val="008C38A1"/>
    <w:rsid w:val="008C3910"/>
    <w:rsid w:val="008C397E"/>
    <w:rsid w:val="008C3A79"/>
    <w:rsid w:val="008C3B7D"/>
    <w:rsid w:val="008C3BF0"/>
    <w:rsid w:val="008C3C28"/>
    <w:rsid w:val="008C3CB5"/>
    <w:rsid w:val="008C3EEC"/>
    <w:rsid w:val="008C3F42"/>
    <w:rsid w:val="008C404A"/>
    <w:rsid w:val="008C4081"/>
    <w:rsid w:val="008C40FF"/>
    <w:rsid w:val="008C415B"/>
    <w:rsid w:val="008C43B6"/>
    <w:rsid w:val="008C441B"/>
    <w:rsid w:val="008C4606"/>
    <w:rsid w:val="008C48C4"/>
    <w:rsid w:val="008C4939"/>
    <w:rsid w:val="008C4A35"/>
    <w:rsid w:val="008C4BBB"/>
    <w:rsid w:val="008C4BE6"/>
    <w:rsid w:val="008C4EAB"/>
    <w:rsid w:val="008C5155"/>
    <w:rsid w:val="008C526C"/>
    <w:rsid w:val="008C52DF"/>
    <w:rsid w:val="008C54C3"/>
    <w:rsid w:val="008C550C"/>
    <w:rsid w:val="008C5605"/>
    <w:rsid w:val="008C56B2"/>
    <w:rsid w:val="008C56E5"/>
    <w:rsid w:val="008C576C"/>
    <w:rsid w:val="008C589D"/>
    <w:rsid w:val="008C595A"/>
    <w:rsid w:val="008C5995"/>
    <w:rsid w:val="008C5AFB"/>
    <w:rsid w:val="008C5E03"/>
    <w:rsid w:val="008C5E80"/>
    <w:rsid w:val="008C5FAA"/>
    <w:rsid w:val="008C5FD8"/>
    <w:rsid w:val="008C60FB"/>
    <w:rsid w:val="008C632A"/>
    <w:rsid w:val="008C6385"/>
    <w:rsid w:val="008C63C9"/>
    <w:rsid w:val="008C6462"/>
    <w:rsid w:val="008C6495"/>
    <w:rsid w:val="008C6500"/>
    <w:rsid w:val="008C658B"/>
    <w:rsid w:val="008C677A"/>
    <w:rsid w:val="008C6795"/>
    <w:rsid w:val="008C6808"/>
    <w:rsid w:val="008C68FC"/>
    <w:rsid w:val="008C6921"/>
    <w:rsid w:val="008C69E3"/>
    <w:rsid w:val="008C6AB8"/>
    <w:rsid w:val="008C6B0C"/>
    <w:rsid w:val="008C6BD4"/>
    <w:rsid w:val="008C6D51"/>
    <w:rsid w:val="008C6DE0"/>
    <w:rsid w:val="008C705A"/>
    <w:rsid w:val="008C70BE"/>
    <w:rsid w:val="008C716E"/>
    <w:rsid w:val="008C71EC"/>
    <w:rsid w:val="008C7345"/>
    <w:rsid w:val="008C73C4"/>
    <w:rsid w:val="008C73EF"/>
    <w:rsid w:val="008C7439"/>
    <w:rsid w:val="008C770F"/>
    <w:rsid w:val="008C778E"/>
    <w:rsid w:val="008C7A09"/>
    <w:rsid w:val="008C7B3C"/>
    <w:rsid w:val="008C7B90"/>
    <w:rsid w:val="008C7E2D"/>
    <w:rsid w:val="008C7EA8"/>
    <w:rsid w:val="008D00E5"/>
    <w:rsid w:val="008D0352"/>
    <w:rsid w:val="008D0397"/>
    <w:rsid w:val="008D05C9"/>
    <w:rsid w:val="008D05ED"/>
    <w:rsid w:val="008D0C3C"/>
    <w:rsid w:val="008D0C4C"/>
    <w:rsid w:val="008D0CB1"/>
    <w:rsid w:val="008D0E01"/>
    <w:rsid w:val="008D10AE"/>
    <w:rsid w:val="008D1129"/>
    <w:rsid w:val="008D1156"/>
    <w:rsid w:val="008D13F3"/>
    <w:rsid w:val="008D15C3"/>
    <w:rsid w:val="008D16BD"/>
    <w:rsid w:val="008D16DE"/>
    <w:rsid w:val="008D1717"/>
    <w:rsid w:val="008D1771"/>
    <w:rsid w:val="008D18B5"/>
    <w:rsid w:val="008D1C12"/>
    <w:rsid w:val="008D1C2B"/>
    <w:rsid w:val="008D1C46"/>
    <w:rsid w:val="008D1CA6"/>
    <w:rsid w:val="008D1D32"/>
    <w:rsid w:val="008D1FDF"/>
    <w:rsid w:val="008D21C0"/>
    <w:rsid w:val="008D21D9"/>
    <w:rsid w:val="008D21F7"/>
    <w:rsid w:val="008D22E6"/>
    <w:rsid w:val="008D241D"/>
    <w:rsid w:val="008D2493"/>
    <w:rsid w:val="008D24B3"/>
    <w:rsid w:val="008D25F0"/>
    <w:rsid w:val="008D26DD"/>
    <w:rsid w:val="008D2730"/>
    <w:rsid w:val="008D27F6"/>
    <w:rsid w:val="008D282E"/>
    <w:rsid w:val="008D2846"/>
    <w:rsid w:val="008D28CA"/>
    <w:rsid w:val="008D2966"/>
    <w:rsid w:val="008D2A32"/>
    <w:rsid w:val="008D2A60"/>
    <w:rsid w:val="008D2ACF"/>
    <w:rsid w:val="008D2B7F"/>
    <w:rsid w:val="008D2C28"/>
    <w:rsid w:val="008D2CAE"/>
    <w:rsid w:val="008D2D37"/>
    <w:rsid w:val="008D2D8D"/>
    <w:rsid w:val="008D2E0F"/>
    <w:rsid w:val="008D2E80"/>
    <w:rsid w:val="008D2F19"/>
    <w:rsid w:val="008D2F32"/>
    <w:rsid w:val="008D3073"/>
    <w:rsid w:val="008D3115"/>
    <w:rsid w:val="008D3142"/>
    <w:rsid w:val="008D31B1"/>
    <w:rsid w:val="008D31C7"/>
    <w:rsid w:val="008D32C5"/>
    <w:rsid w:val="008D32D8"/>
    <w:rsid w:val="008D343F"/>
    <w:rsid w:val="008D351B"/>
    <w:rsid w:val="008D371B"/>
    <w:rsid w:val="008D3853"/>
    <w:rsid w:val="008D3983"/>
    <w:rsid w:val="008D3C54"/>
    <w:rsid w:val="008D3E44"/>
    <w:rsid w:val="008D3E79"/>
    <w:rsid w:val="008D3F8E"/>
    <w:rsid w:val="008D40E5"/>
    <w:rsid w:val="008D4150"/>
    <w:rsid w:val="008D4236"/>
    <w:rsid w:val="008D4301"/>
    <w:rsid w:val="008D4407"/>
    <w:rsid w:val="008D4433"/>
    <w:rsid w:val="008D4453"/>
    <w:rsid w:val="008D44C5"/>
    <w:rsid w:val="008D45B9"/>
    <w:rsid w:val="008D462F"/>
    <w:rsid w:val="008D47E7"/>
    <w:rsid w:val="008D4820"/>
    <w:rsid w:val="008D48AF"/>
    <w:rsid w:val="008D491A"/>
    <w:rsid w:val="008D4B82"/>
    <w:rsid w:val="008D4C2F"/>
    <w:rsid w:val="008D4C34"/>
    <w:rsid w:val="008D4C4A"/>
    <w:rsid w:val="008D4DEF"/>
    <w:rsid w:val="008D4E4C"/>
    <w:rsid w:val="008D4E95"/>
    <w:rsid w:val="008D55E2"/>
    <w:rsid w:val="008D55F7"/>
    <w:rsid w:val="008D5611"/>
    <w:rsid w:val="008D567E"/>
    <w:rsid w:val="008D576A"/>
    <w:rsid w:val="008D589F"/>
    <w:rsid w:val="008D5AEA"/>
    <w:rsid w:val="008D5B0F"/>
    <w:rsid w:val="008D5BAA"/>
    <w:rsid w:val="008D5BBC"/>
    <w:rsid w:val="008D5BD2"/>
    <w:rsid w:val="008D5CDF"/>
    <w:rsid w:val="008D5D86"/>
    <w:rsid w:val="008D5E8D"/>
    <w:rsid w:val="008D5EA4"/>
    <w:rsid w:val="008D5EFB"/>
    <w:rsid w:val="008D60DD"/>
    <w:rsid w:val="008D61BA"/>
    <w:rsid w:val="008D64BC"/>
    <w:rsid w:val="008D652A"/>
    <w:rsid w:val="008D6535"/>
    <w:rsid w:val="008D6610"/>
    <w:rsid w:val="008D665E"/>
    <w:rsid w:val="008D6692"/>
    <w:rsid w:val="008D66E6"/>
    <w:rsid w:val="008D6A59"/>
    <w:rsid w:val="008D6A8C"/>
    <w:rsid w:val="008D6B5F"/>
    <w:rsid w:val="008D6D46"/>
    <w:rsid w:val="008D6D53"/>
    <w:rsid w:val="008D6DCF"/>
    <w:rsid w:val="008D6E0B"/>
    <w:rsid w:val="008D6E54"/>
    <w:rsid w:val="008D6EBC"/>
    <w:rsid w:val="008D6EE8"/>
    <w:rsid w:val="008D703E"/>
    <w:rsid w:val="008D7114"/>
    <w:rsid w:val="008D717A"/>
    <w:rsid w:val="008D718A"/>
    <w:rsid w:val="008D7236"/>
    <w:rsid w:val="008D7345"/>
    <w:rsid w:val="008D74FB"/>
    <w:rsid w:val="008D758F"/>
    <w:rsid w:val="008D75C4"/>
    <w:rsid w:val="008D7617"/>
    <w:rsid w:val="008D774A"/>
    <w:rsid w:val="008D7764"/>
    <w:rsid w:val="008D77D7"/>
    <w:rsid w:val="008D7800"/>
    <w:rsid w:val="008D7896"/>
    <w:rsid w:val="008D7BD8"/>
    <w:rsid w:val="008D7F21"/>
    <w:rsid w:val="008D7FA4"/>
    <w:rsid w:val="008D7FF6"/>
    <w:rsid w:val="008E0062"/>
    <w:rsid w:val="008E0077"/>
    <w:rsid w:val="008E015D"/>
    <w:rsid w:val="008E0333"/>
    <w:rsid w:val="008E0455"/>
    <w:rsid w:val="008E04A5"/>
    <w:rsid w:val="008E05F7"/>
    <w:rsid w:val="008E0736"/>
    <w:rsid w:val="008E0A79"/>
    <w:rsid w:val="008E0B21"/>
    <w:rsid w:val="008E0BA8"/>
    <w:rsid w:val="008E0FE2"/>
    <w:rsid w:val="008E1204"/>
    <w:rsid w:val="008E1278"/>
    <w:rsid w:val="008E12ED"/>
    <w:rsid w:val="008E13AA"/>
    <w:rsid w:val="008E13BA"/>
    <w:rsid w:val="008E13BE"/>
    <w:rsid w:val="008E13C7"/>
    <w:rsid w:val="008E1547"/>
    <w:rsid w:val="008E1552"/>
    <w:rsid w:val="008E16DE"/>
    <w:rsid w:val="008E1771"/>
    <w:rsid w:val="008E178C"/>
    <w:rsid w:val="008E18B5"/>
    <w:rsid w:val="008E18FC"/>
    <w:rsid w:val="008E18FD"/>
    <w:rsid w:val="008E1935"/>
    <w:rsid w:val="008E19A8"/>
    <w:rsid w:val="008E1A4D"/>
    <w:rsid w:val="008E1AE0"/>
    <w:rsid w:val="008E1B39"/>
    <w:rsid w:val="008E1B3C"/>
    <w:rsid w:val="008E1D22"/>
    <w:rsid w:val="008E1D48"/>
    <w:rsid w:val="008E1E90"/>
    <w:rsid w:val="008E1F49"/>
    <w:rsid w:val="008E206E"/>
    <w:rsid w:val="008E20AE"/>
    <w:rsid w:val="008E22F0"/>
    <w:rsid w:val="008E23BD"/>
    <w:rsid w:val="008E23DB"/>
    <w:rsid w:val="008E241B"/>
    <w:rsid w:val="008E241D"/>
    <w:rsid w:val="008E2544"/>
    <w:rsid w:val="008E266D"/>
    <w:rsid w:val="008E2905"/>
    <w:rsid w:val="008E2919"/>
    <w:rsid w:val="008E2977"/>
    <w:rsid w:val="008E2B3D"/>
    <w:rsid w:val="008E2B7B"/>
    <w:rsid w:val="008E2E24"/>
    <w:rsid w:val="008E2E48"/>
    <w:rsid w:val="008E2E5C"/>
    <w:rsid w:val="008E2FCB"/>
    <w:rsid w:val="008E3112"/>
    <w:rsid w:val="008E33B5"/>
    <w:rsid w:val="008E342A"/>
    <w:rsid w:val="008E3444"/>
    <w:rsid w:val="008E3560"/>
    <w:rsid w:val="008E35E9"/>
    <w:rsid w:val="008E35FB"/>
    <w:rsid w:val="008E37F3"/>
    <w:rsid w:val="008E3836"/>
    <w:rsid w:val="008E3850"/>
    <w:rsid w:val="008E3A27"/>
    <w:rsid w:val="008E3A72"/>
    <w:rsid w:val="008E3AB6"/>
    <w:rsid w:val="008E3B4F"/>
    <w:rsid w:val="008E3C0E"/>
    <w:rsid w:val="008E3DD9"/>
    <w:rsid w:val="008E3E8C"/>
    <w:rsid w:val="008E3F28"/>
    <w:rsid w:val="008E3F84"/>
    <w:rsid w:val="008E4012"/>
    <w:rsid w:val="008E4098"/>
    <w:rsid w:val="008E411F"/>
    <w:rsid w:val="008E4162"/>
    <w:rsid w:val="008E4256"/>
    <w:rsid w:val="008E42B7"/>
    <w:rsid w:val="008E42DF"/>
    <w:rsid w:val="008E4376"/>
    <w:rsid w:val="008E4399"/>
    <w:rsid w:val="008E44FB"/>
    <w:rsid w:val="008E45B0"/>
    <w:rsid w:val="008E45CB"/>
    <w:rsid w:val="008E45E1"/>
    <w:rsid w:val="008E45E5"/>
    <w:rsid w:val="008E4686"/>
    <w:rsid w:val="008E47BB"/>
    <w:rsid w:val="008E48F9"/>
    <w:rsid w:val="008E4967"/>
    <w:rsid w:val="008E4E4F"/>
    <w:rsid w:val="008E4E8E"/>
    <w:rsid w:val="008E4F53"/>
    <w:rsid w:val="008E50AB"/>
    <w:rsid w:val="008E50BE"/>
    <w:rsid w:val="008E50F7"/>
    <w:rsid w:val="008E512D"/>
    <w:rsid w:val="008E52ED"/>
    <w:rsid w:val="008E52EE"/>
    <w:rsid w:val="008E536C"/>
    <w:rsid w:val="008E5474"/>
    <w:rsid w:val="008E561F"/>
    <w:rsid w:val="008E57D7"/>
    <w:rsid w:val="008E5815"/>
    <w:rsid w:val="008E5875"/>
    <w:rsid w:val="008E58AA"/>
    <w:rsid w:val="008E598E"/>
    <w:rsid w:val="008E599C"/>
    <w:rsid w:val="008E5AED"/>
    <w:rsid w:val="008E5BA3"/>
    <w:rsid w:val="008E5CCD"/>
    <w:rsid w:val="008E5F43"/>
    <w:rsid w:val="008E6371"/>
    <w:rsid w:val="008E642A"/>
    <w:rsid w:val="008E648D"/>
    <w:rsid w:val="008E65E5"/>
    <w:rsid w:val="008E670E"/>
    <w:rsid w:val="008E6761"/>
    <w:rsid w:val="008E6965"/>
    <w:rsid w:val="008E6AEB"/>
    <w:rsid w:val="008E6AF7"/>
    <w:rsid w:val="008E6C13"/>
    <w:rsid w:val="008E6CE3"/>
    <w:rsid w:val="008E6CEB"/>
    <w:rsid w:val="008E6D74"/>
    <w:rsid w:val="008E6DEC"/>
    <w:rsid w:val="008E6EA7"/>
    <w:rsid w:val="008E703B"/>
    <w:rsid w:val="008E7058"/>
    <w:rsid w:val="008E7062"/>
    <w:rsid w:val="008E709E"/>
    <w:rsid w:val="008E720E"/>
    <w:rsid w:val="008E7258"/>
    <w:rsid w:val="008E72D6"/>
    <w:rsid w:val="008E7358"/>
    <w:rsid w:val="008E7383"/>
    <w:rsid w:val="008E74F6"/>
    <w:rsid w:val="008E7567"/>
    <w:rsid w:val="008E75DC"/>
    <w:rsid w:val="008E76AE"/>
    <w:rsid w:val="008E787C"/>
    <w:rsid w:val="008E79FF"/>
    <w:rsid w:val="008E7A0A"/>
    <w:rsid w:val="008E7B49"/>
    <w:rsid w:val="008E7BB9"/>
    <w:rsid w:val="008E7C71"/>
    <w:rsid w:val="008E7CE2"/>
    <w:rsid w:val="008E7D1C"/>
    <w:rsid w:val="008E7DBC"/>
    <w:rsid w:val="008E7E0A"/>
    <w:rsid w:val="008E7E5F"/>
    <w:rsid w:val="008E7F0E"/>
    <w:rsid w:val="008F019E"/>
    <w:rsid w:val="008F03DE"/>
    <w:rsid w:val="008F04F5"/>
    <w:rsid w:val="008F053A"/>
    <w:rsid w:val="008F0595"/>
    <w:rsid w:val="008F05A2"/>
    <w:rsid w:val="008F0625"/>
    <w:rsid w:val="008F06BD"/>
    <w:rsid w:val="008F0703"/>
    <w:rsid w:val="008F07B5"/>
    <w:rsid w:val="008F0A10"/>
    <w:rsid w:val="008F0A4F"/>
    <w:rsid w:val="008F0AF0"/>
    <w:rsid w:val="008F0E12"/>
    <w:rsid w:val="008F0E7E"/>
    <w:rsid w:val="008F1390"/>
    <w:rsid w:val="008F139B"/>
    <w:rsid w:val="008F14C0"/>
    <w:rsid w:val="008F1532"/>
    <w:rsid w:val="008F163C"/>
    <w:rsid w:val="008F1647"/>
    <w:rsid w:val="008F197F"/>
    <w:rsid w:val="008F1A68"/>
    <w:rsid w:val="008F1B48"/>
    <w:rsid w:val="008F1BF8"/>
    <w:rsid w:val="008F1C15"/>
    <w:rsid w:val="008F1D23"/>
    <w:rsid w:val="008F1D50"/>
    <w:rsid w:val="008F1D81"/>
    <w:rsid w:val="008F1DB7"/>
    <w:rsid w:val="008F1FCC"/>
    <w:rsid w:val="008F2142"/>
    <w:rsid w:val="008F2279"/>
    <w:rsid w:val="008F22DB"/>
    <w:rsid w:val="008F25E0"/>
    <w:rsid w:val="008F2623"/>
    <w:rsid w:val="008F2660"/>
    <w:rsid w:val="008F2682"/>
    <w:rsid w:val="008F26AA"/>
    <w:rsid w:val="008F2857"/>
    <w:rsid w:val="008F28DC"/>
    <w:rsid w:val="008F2913"/>
    <w:rsid w:val="008F2986"/>
    <w:rsid w:val="008F29B9"/>
    <w:rsid w:val="008F2A17"/>
    <w:rsid w:val="008F2A2A"/>
    <w:rsid w:val="008F2AE8"/>
    <w:rsid w:val="008F2BBF"/>
    <w:rsid w:val="008F2CF6"/>
    <w:rsid w:val="008F2CF7"/>
    <w:rsid w:val="008F2E33"/>
    <w:rsid w:val="008F3177"/>
    <w:rsid w:val="008F3592"/>
    <w:rsid w:val="008F3731"/>
    <w:rsid w:val="008F3889"/>
    <w:rsid w:val="008F399C"/>
    <w:rsid w:val="008F3A81"/>
    <w:rsid w:val="008F3B2C"/>
    <w:rsid w:val="008F3D66"/>
    <w:rsid w:val="008F3D86"/>
    <w:rsid w:val="008F3E48"/>
    <w:rsid w:val="008F3F17"/>
    <w:rsid w:val="008F4086"/>
    <w:rsid w:val="008F40E3"/>
    <w:rsid w:val="008F4164"/>
    <w:rsid w:val="008F42C4"/>
    <w:rsid w:val="008F437C"/>
    <w:rsid w:val="008F4416"/>
    <w:rsid w:val="008F4502"/>
    <w:rsid w:val="008F4520"/>
    <w:rsid w:val="008F457F"/>
    <w:rsid w:val="008F45CD"/>
    <w:rsid w:val="008F46CF"/>
    <w:rsid w:val="008F483A"/>
    <w:rsid w:val="008F4AD8"/>
    <w:rsid w:val="008F4AF8"/>
    <w:rsid w:val="008F4B09"/>
    <w:rsid w:val="008F4B9C"/>
    <w:rsid w:val="008F4BFD"/>
    <w:rsid w:val="008F4C2B"/>
    <w:rsid w:val="008F4D9F"/>
    <w:rsid w:val="008F4E2B"/>
    <w:rsid w:val="008F4E5E"/>
    <w:rsid w:val="008F4EC3"/>
    <w:rsid w:val="008F4F8A"/>
    <w:rsid w:val="008F4FBB"/>
    <w:rsid w:val="008F5043"/>
    <w:rsid w:val="008F5271"/>
    <w:rsid w:val="008F53DB"/>
    <w:rsid w:val="008F54AF"/>
    <w:rsid w:val="008F5530"/>
    <w:rsid w:val="008F57B9"/>
    <w:rsid w:val="008F57C4"/>
    <w:rsid w:val="008F59F6"/>
    <w:rsid w:val="008F5A42"/>
    <w:rsid w:val="008F5B24"/>
    <w:rsid w:val="008F5B25"/>
    <w:rsid w:val="008F5C6D"/>
    <w:rsid w:val="008F5E1B"/>
    <w:rsid w:val="008F5E63"/>
    <w:rsid w:val="008F60A0"/>
    <w:rsid w:val="008F62DB"/>
    <w:rsid w:val="008F6364"/>
    <w:rsid w:val="008F63D4"/>
    <w:rsid w:val="008F63DB"/>
    <w:rsid w:val="008F646E"/>
    <w:rsid w:val="008F649A"/>
    <w:rsid w:val="008F64D8"/>
    <w:rsid w:val="008F65D8"/>
    <w:rsid w:val="008F6764"/>
    <w:rsid w:val="008F676C"/>
    <w:rsid w:val="008F677F"/>
    <w:rsid w:val="008F6808"/>
    <w:rsid w:val="008F6880"/>
    <w:rsid w:val="008F6BF2"/>
    <w:rsid w:val="008F6D0F"/>
    <w:rsid w:val="008F6D19"/>
    <w:rsid w:val="008F6DE8"/>
    <w:rsid w:val="008F6E33"/>
    <w:rsid w:val="008F6E47"/>
    <w:rsid w:val="008F6EFC"/>
    <w:rsid w:val="008F7126"/>
    <w:rsid w:val="008F716B"/>
    <w:rsid w:val="008F72DE"/>
    <w:rsid w:val="008F7506"/>
    <w:rsid w:val="008F77BA"/>
    <w:rsid w:val="008F77FE"/>
    <w:rsid w:val="008F78F4"/>
    <w:rsid w:val="008F78FB"/>
    <w:rsid w:val="008F797D"/>
    <w:rsid w:val="008F7AE1"/>
    <w:rsid w:val="008F7B10"/>
    <w:rsid w:val="008F7BAA"/>
    <w:rsid w:val="008F7CCC"/>
    <w:rsid w:val="008F7E05"/>
    <w:rsid w:val="008F7EBE"/>
    <w:rsid w:val="00900026"/>
    <w:rsid w:val="0090003F"/>
    <w:rsid w:val="00900408"/>
    <w:rsid w:val="00900542"/>
    <w:rsid w:val="00900719"/>
    <w:rsid w:val="00900789"/>
    <w:rsid w:val="009007BD"/>
    <w:rsid w:val="00900813"/>
    <w:rsid w:val="00900B32"/>
    <w:rsid w:val="00900C1D"/>
    <w:rsid w:val="00900C2B"/>
    <w:rsid w:val="00900C39"/>
    <w:rsid w:val="00900D15"/>
    <w:rsid w:val="00900D44"/>
    <w:rsid w:val="00900DEB"/>
    <w:rsid w:val="00900E37"/>
    <w:rsid w:val="00900E4F"/>
    <w:rsid w:val="00900EC0"/>
    <w:rsid w:val="00900EDA"/>
    <w:rsid w:val="00900F06"/>
    <w:rsid w:val="00900FA4"/>
    <w:rsid w:val="0090102D"/>
    <w:rsid w:val="00901207"/>
    <w:rsid w:val="00901254"/>
    <w:rsid w:val="009012EC"/>
    <w:rsid w:val="00901323"/>
    <w:rsid w:val="009013B0"/>
    <w:rsid w:val="009016E0"/>
    <w:rsid w:val="00901729"/>
    <w:rsid w:val="00901734"/>
    <w:rsid w:val="009017AC"/>
    <w:rsid w:val="009017C7"/>
    <w:rsid w:val="00901888"/>
    <w:rsid w:val="009019D2"/>
    <w:rsid w:val="009019F3"/>
    <w:rsid w:val="00901A7A"/>
    <w:rsid w:val="00901C3F"/>
    <w:rsid w:val="00901DF3"/>
    <w:rsid w:val="00901E03"/>
    <w:rsid w:val="00901E95"/>
    <w:rsid w:val="00901EF6"/>
    <w:rsid w:val="00902140"/>
    <w:rsid w:val="00902368"/>
    <w:rsid w:val="0090240B"/>
    <w:rsid w:val="0090242B"/>
    <w:rsid w:val="00902448"/>
    <w:rsid w:val="0090261F"/>
    <w:rsid w:val="00902670"/>
    <w:rsid w:val="009027E4"/>
    <w:rsid w:val="009028C0"/>
    <w:rsid w:val="00902928"/>
    <w:rsid w:val="00902A9A"/>
    <w:rsid w:val="00902AEB"/>
    <w:rsid w:val="00902BA4"/>
    <w:rsid w:val="00902BEA"/>
    <w:rsid w:val="00902CCE"/>
    <w:rsid w:val="00902E14"/>
    <w:rsid w:val="00902EAD"/>
    <w:rsid w:val="00902EC3"/>
    <w:rsid w:val="00902EE6"/>
    <w:rsid w:val="00903193"/>
    <w:rsid w:val="0090319D"/>
    <w:rsid w:val="009032E9"/>
    <w:rsid w:val="009032FF"/>
    <w:rsid w:val="0090342C"/>
    <w:rsid w:val="0090351D"/>
    <w:rsid w:val="009035A7"/>
    <w:rsid w:val="009037E2"/>
    <w:rsid w:val="00903959"/>
    <w:rsid w:val="0090396F"/>
    <w:rsid w:val="00903AC4"/>
    <w:rsid w:val="00903D61"/>
    <w:rsid w:val="0090420C"/>
    <w:rsid w:val="00904238"/>
    <w:rsid w:val="0090428A"/>
    <w:rsid w:val="0090435F"/>
    <w:rsid w:val="009044B9"/>
    <w:rsid w:val="0090465A"/>
    <w:rsid w:val="009046B9"/>
    <w:rsid w:val="0090470E"/>
    <w:rsid w:val="00904773"/>
    <w:rsid w:val="00904785"/>
    <w:rsid w:val="009048DA"/>
    <w:rsid w:val="00904A1C"/>
    <w:rsid w:val="00904AC2"/>
    <w:rsid w:val="00904B6D"/>
    <w:rsid w:val="00904B82"/>
    <w:rsid w:val="00904F5F"/>
    <w:rsid w:val="00904F62"/>
    <w:rsid w:val="00904F7E"/>
    <w:rsid w:val="00904FA5"/>
    <w:rsid w:val="00905030"/>
    <w:rsid w:val="00905037"/>
    <w:rsid w:val="00905078"/>
    <w:rsid w:val="009050EB"/>
    <w:rsid w:val="00905273"/>
    <w:rsid w:val="00905382"/>
    <w:rsid w:val="00905818"/>
    <w:rsid w:val="00905852"/>
    <w:rsid w:val="00905889"/>
    <w:rsid w:val="0090595E"/>
    <w:rsid w:val="00905968"/>
    <w:rsid w:val="00905CB3"/>
    <w:rsid w:val="00905D0A"/>
    <w:rsid w:val="00905D14"/>
    <w:rsid w:val="00905D4E"/>
    <w:rsid w:val="00905E75"/>
    <w:rsid w:val="00905E9D"/>
    <w:rsid w:val="00905F03"/>
    <w:rsid w:val="00905F25"/>
    <w:rsid w:val="00905F42"/>
    <w:rsid w:val="009060E9"/>
    <w:rsid w:val="00906490"/>
    <w:rsid w:val="00906517"/>
    <w:rsid w:val="009066B6"/>
    <w:rsid w:val="00906A28"/>
    <w:rsid w:val="00906A54"/>
    <w:rsid w:val="00906A67"/>
    <w:rsid w:val="00906AF8"/>
    <w:rsid w:val="00906CD6"/>
    <w:rsid w:val="00906ECB"/>
    <w:rsid w:val="009072F4"/>
    <w:rsid w:val="00907470"/>
    <w:rsid w:val="00907501"/>
    <w:rsid w:val="0090750E"/>
    <w:rsid w:val="009075EF"/>
    <w:rsid w:val="009076E5"/>
    <w:rsid w:val="00907947"/>
    <w:rsid w:val="00907A34"/>
    <w:rsid w:val="00907A8F"/>
    <w:rsid w:val="00907D00"/>
    <w:rsid w:val="00907D97"/>
    <w:rsid w:val="00907DC0"/>
    <w:rsid w:val="009101A6"/>
    <w:rsid w:val="009103CD"/>
    <w:rsid w:val="0091049E"/>
    <w:rsid w:val="00910636"/>
    <w:rsid w:val="009106B8"/>
    <w:rsid w:val="0091084E"/>
    <w:rsid w:val="0091090E"/>
    <w:rsid w:val="00910931"/>
    <w:rsid w:val="00910A32"/>
    <w:rsid w:val="00910B16"/>
    <w:rsid w:val="00910B20"/>
    <w:rsid w:val="00910BA1"/>
    <w:rsid w:val="00910BE7"/>
    <w:rsid w:val="00910C26"/>
    <w:rsid w:val="00910C42"/>
    <w:rsid w:val="00910D9F"/>
    <w:rsid w:val="00910F20"/>
    <w:rsid w:val="00910F9B"/>
    <w:rsid w:val="00911178"/>
    <w:rsid w:val="009111B2"/>
    <w:rsid w:val="00911340"/>
    <w:rsid w:val="009113C6"/>
    <w:rsid w:val="0091142B"/>
    <w:rsid w:val="0091148A"/>
    <w:rsid w:val="0091184E"/>
    <w:rsid w:val="009118DF"/>
    <w:rsid w:val="0091190E"/>
    <w:rsid w:val="0091193F"/>
    <w:rsid w:val="00911AB1"/>
    <w:rsid w:val="00911C28"/>
    <w:rsid w:val="00911CAA"/>
    <w:rsid w:val="00911E6C"/>
    <w:rsid w:val="00912209"/>
    <w:rsid w:val="00912292"/>
    <w:rsid w:val="00912423"/>
    <w:rsid w:val="009125AD"/>
    <w:rsid w:val="009126A3"/>
    <w:rsid w:val="009126A6"/>
    <w:rsid w:val="00912AB4"/>
    <w:rsid w:val="00912AD0"/>
    <w:rsid w:val="00912B25"/>
    <w:rsid w:val="00912BD6"/>
    <w:rsid w:val="00912C00"/>
    <w:rsid w:val="00912C84"/>
    <w:rsid w:val="00912D16"/>
    <w:rsid w:val="00912E88"/>
    <w:rsid w:val="00912F4A"/>
    <w:rsid w:val="00913027"/>
    <w:rsid w:val="0091326A"/>
    <w:rsid w:val="0091328B"/>
    <w:rsid w:val="0091345D"/>
    <w:rsid w:val="009135A0"/>
    <w:rsid w:val="00913603"/>
    <w:rsid w:val="00913804"/>
    <w:rsid w:val="0091386A"/>
    <w:rsid w:val="00913B1B"/>
    <w:rsid w:val="00913B52"/>
    <w:rsid w:val="00913B67"/>
    <w:rsid w:val="00913BC8"/>
    <w:rsid w:val="00913BD7"/>
    <w:rsid w:val="00913D27"/>
    <w:rsid w:val="00913DFE"/>
    <w:rsid w:val="00913E2D"/>
    <w:rsid w:val="00913EBE"/>
    <w:rsid w:val="00913FB3"/>
    <w:rsid w:val="009140C7"/>
    <w:rsid w:val="009142D3"/>
    <w:rsid w:val="0091430C"/>
    <w:rsid w:val="00914321"/>
    <w:rsid w:val="0091439C"/>
    <w:rsid w:val="00914442"/>
    <w:rsid w:val="00914464"/>
    <w:rsid w:val="0091448D"/>
    <w:rsid w:val="009145CE"/>
    <w:rsid w:val="00914718"/>
    <w:rsid w:val="00914A5C"/>
    <w:rsid w:val="00914AE5"/>
    <w:rsid w:val="00914C8E"/>
    <w:rsid w:val="00914D09"/>
    <w:rsid w:val="00914E1B"/>
    <w:rsid w:val="00914E65"/>
    <w:rsid w:val="00914E66"/>
    <w:rsid w:val="00914F6F"/>
    <w:rsid w:val="00914FF7"/>
    <w:rsid w:val="00914FF8"/>
    <w:rsid w:val="009150B8"/>
    <w:rsid w:val="009150CA"/>
    <w:rsid w:val="009151F5"/>
    <w:rsid w:val="00915247"/>
    <w:rsid w:val="009152ED"/>
    <w:rsid w:val="00915339"/>
    <w:rsid w:val="00915485"/>
    <w:rsid w:val="009154E2"/>
    <w:rsid w:val="00915655"/>
    <w:rsid w:val="009156B6"/>
    <w:rsid w:val="009157C1"/>
    <w:rsid w:val="00915840"/>
    <w:rsid w:val="009158D8"/>
    <w:rsid w:val="00915993"/>
    <w:rsid w:val="009159B3"/>
    <w:rsid w:val="00915A49"/>
    <w:rsid w:val="00915BC7"/>
    <w:rsid w:val="00915C16"/>
    <w:rsid w:val="00915C21"/>
    <w:rsid w:val="00915C26"/>
    <w:rsid w:val="00915CD6"/>
    <w:rsid w:val="00915D62"/>
    <w:rsid w:val="0091604D"/>
    <w:rsid w:val="0091609B"/>
    <w:rsid w:val="009161E5"/>
    <w:rsid w:val="00916203"/>
    <w:rsid w:val="00916213"/>
    <w:rsid w:val="0091630D"/>
    <w:rsid w:val="00916369"/>
    <w:rsid w:val="009163F6"/>
    <w:rsid w:val="009165CB"/>
    <w:rsid w:val="009166D1"/>
    <w:rsid w:val="009167A2"/>
    <w:rsid w:val="009167F5"/>
    <w:rsid w:val="009168FB"/>
    <w:rsid w:val="00916907"/>
    <w:rsid w:val="00916B6A"/>
    <w:rsid w:val="00916CC6"/>
    <w:rsid w:val="00916CFD"/>
    <w:rsid w:val="00916D58"/>
    <w:rsid w:val="00916DA4"/>
    <w:rsid w:val="00916E0C"/>
    <w:rsid w:val="00916FD3"/>
    <w:rsid w:val="0091707F"/>
    <w:rsid w:val="009170DA"/>
    <w:rsid w:val="00917138"/>
    <w:rsid w:val="0091715A"/>
    <w:rsid w:val="00917187"/>
    <w:rsid w:val="009172EE"/>
    <w:rsid w:val="009175CD"/>
    <w:rsid w:val="009175D1"/>
    <w:rsid w:val="009175DC"/>
    <w:rsid w:val="009176F3"/>
    <w:rsid w:val="009178B9"/>
    <w:rsid w:val="0091790F"/>
    <w:rsid w:val="009179B8"/>
    <w:rsid w:val="00917A7B"/>
    <w:rsid w:val="00917C54"/>
    <w:rsid w:val="00917F14"/>
    <w:rsid w:val="00917FB3"/>
    <w:rsid w:val="009200E2"/>
    <w:rsid w:val="00920188"/>
    <w:rsid w:val="009201B8"/>
    <w:rsid w:val="00920287"/>
    <w:rsid w:val="009202A0"/>
    <w:rsid w:val="009202D7"/>
    <w:rsid w:val="009202EB"/>
    <w:rsid w:val="009202EF"/>
    <w:rsid w:val="0092037D"/>
    <w:rsid w:val="009204E3"/>
    <w:rsid w:val="0092060D"/>
    <w:rsid w:val="00920615"/>
    <w:rsid w:val="0092062F"/>
    <w:rsid w:val="009207B4"/>
    <w:rsid w:val="009207ED"/>
    <w:rsid w:val="009207F7"/>
    <w:rsid w:val="00920EE7"/>
    <w:rsid w:val="00920F28"/>
    <w:rsid w:val="00921066"/>
    <w:rsid w:val="009210EF"/>
    <w:rsid w:val="00921110"/>
    <w:rsid w:val="0092134C"/>
    <w:rsid w:val="009215C4"/>
    <w:rsid w:val="009215F9"/>
    <w:rsid w:val="0092171D"/>
    <w:rsid w:val="009217A3"/>
    <w:rsid w:val="0092183E"/>
    <w:rsid w:val="00921895"/>
    <w:rsid w:val="009218AC"/>
    <w:rsid w:val="00921984"/>
    <w:rsid w:val="009219C1"/>
    <w:rsid w:val="00921AB7"/>
    <w:rsid w:val="00921AC7"/>
    <w:rsid w:val="00921ADE"/>
    <w:rsid w:val="0092218A"/>
    <w:rsid w:val="009222E5"/>
    <w:rsid w:val="0092235B"/>
    <w:rsid w:val="00922520"/>
    <w:rsid w:val="0092257D"/>
    <w:rsid w:val="0092267C"/>
    <w:rsid w:val="00922688"/>
    <w:rsid w:val="009226FA"/>
    <w:rsid w:val="009227DC"/>
    <w:rsid w:val="0092280A"/>
    <w:rsid w:val="0092281E"/>
    <w:rsid w:val="00922839"/>
    <w:rsid w:val="009228C9"/>
    <w:rsid w:val="00922954"/>
    <w:rsid w:val="00922965"/>
    <w:rsid w:val="009229CE"/>
    <w:rsid w:val="00922AD8"/>
    <w:rsid w:val="00922B3C"/>
    <w:rsid w:val="00922C7E"/>
    <w:rsid w:val="00922CB3"/>
    <w:rsid w:val="00922CC4"/>
    <w:rsid w:val="00922CCA"/>
    <w:rsid w:val="00922D95"/>
    <w:rsid w:val="00922FB7"/>
    <w:rsid w:val="0092304F"/>
    <w:rsid w:val="009230EC"/>
    <w:rsid w:val="009231EA"/>
    <w:rsid w:val="00923249"/>
    <w:rsid w:val="009234B8"/>
    <w:rsid w:val="009234C2"/>
    <w:rsid w:val="00923555"/>
    <w:rsid w:val="00923571"/>
    <w:rsid w:val="009235D4"/>
    <w:rsid w:val="00923613"/>
    <w:rsid w:val="0092370D"/>
    <w:rsid w:val="009238FD"/>
    <w:rsid w:val="009239A0"/>
    <w:rsid w:val="00923AD9"/>
    <w:rsid w:val="00923AF4"/>
    <w:rsid w:val="00923D20"/>
    <w:rsid w:val="00923E1D"/>
    <w:rsid w:val="00924055"/>
    <w:rsid w:val="0092411C"/>
    <w:rsid w:val="0092417D"/>
    <w:rsid w:val="00924216"/>
    <w:rsid w:val="009244DC"/>
    <w:rsid w:val="00924680"/>
    <w:rsid w:val="00924770"/>
    <w:rsid w:val="00924835"/>
    <w:rsid w:val="0092491A"/>
    <w:rsid w:val="00924AE1"/>
    <w:rsid w:val="00924C9E"/>
    <w:rsid w:val="00924D1B"/>
    <w:rsid w:val="00924D5D"/>
    <w:rsid w:val="00924E26"/>
    <w:rsid w:val="00924E92"/>
    <w:rsid w:val="0092520F"/>
    <w:rsid w:val="00925364"/>
    <w:rsid w:val="0092544D"/>
    <w:rsid w:val="00925551"/>
    <w:rsid w:val="00925674"/>
    <w:rsid w:val="009256F5"/>
    <w:rsid w:val="00925923"/>
    <w:rsid w:val="009259B1"/>
    <w:rsid w:val="009259E3"/>
    <w:rsid w:val="00925A56"/>
    <w:rsid w:val="00925C91"/>
    <w:rsid w:val="00925E7F"/>
    <w:rsid w:val="00925EBD"/>
    <w:rsid w:val="00925EF1"/>
    <w:rsid w:val="00925EFA"/>
    <w:rsid w:val="00925EFE"/>
    <w:rsid w:val="00925F76"/>
    <w:rsid w:val="009260B6"/>
    <w:rsid w:val="009261F6"/>
    <w:rsid w:val="00926339"/>
    <w:rsid w:val="00926386"/>
    <w:rsid w:val="00926393"/>
    <w:rsid w:val="00926397"/>
    <w:rsid w:val="009263C5"/>
    <w:rsid w:val="0092653F"/>
    <w:rsid w:val="009265B0"/>
    <w:rsid w:val="00926625"/>
    <w:rsid w:val="009267FE"/>
    <w:rsid w:val="00926822"/>
    <w:rsid w:val="0092694B"/>
    <w:rsid w:val="009269AB"/>
    <w:rsid w:val="009269B1"/>
    <w:rsid w:val="00926A91"/>
    <w:rsid w:val="00926BFD"/>
    <w:rsid w:val="00926CC5"/>
    <w:rsid w:val="00926EED"/>
    <w:rsid w:val="00926F8E"/>
    <w:rsid w:val="00927227"/>
    <w:rsid w:val="00927241"/>
    <w:rsid w:val="0092724D"/>
    <w:rsid w:val="00927274"/>
    <w:rsid w:val="00927285"/>
    <w:rsid w:val="009272AE"/>
    <w:rsid w:val="009272B3"/>
    <w:rsid w:val="0092734D"/>
    <w:rsid w:val="00927539"/>
    <w:rsid w:val="00927B1F"/>
    <w:rsid w:val="00927D53"/>
    <w:rsid w:val="00927F22"/>
    <w:rsid w:val="00927F23"/>
    <w:rsid w:val="00927FDD"/>
    <w:rsid w:val="00930041"/>
    <w:rsid w:val="00930046"/>
    <w:rsid w:val="0093007A"/>
    <w:rsid w:val="009300D3"/>
    <w:rsid w:val="0093019A"/>
    <w:rsid w:val="009301BD"/>
    <w:rsid w:val="009301C8"/>
    <w:rsid w:val="00930405"/>
    <w:rsid w:val="009304AB"/>
    <w:rsid w:val="00930530"/>
    <w:rsid w:val="00930537"/>
    <w:rsid w:val="0093059F"/>
    <w:rsid w:val="00930712"/>
    <w:rsid w:val="00930798"/>
    <w:rsid w:val="0093099D"/>
    <w:rsid w:val="00930A6B"/>
    <w:rsid w:val="00930B3E"/>
    <w:rsid w:val="00930C7E"/>
    <w:rsid w:val="00930D5F"/>
    <w:rsid w:val="00930D6B"/>
    <w:rsid w:val="00930DFA"/>
    <w:rsid w:val="00930FA5"/>
    <w:rsid w:val="00931016"/>
    <w:rsid w:val="009310C9"/>
    <w:rsid w:val="0093159F"/>
    <w:rsid w:val="009315BE"/>
    <w:rsid w:val="009316E1"/>
    <w:rsid w:val="00931731"/>
    <w:rsid w:val="009317AB"/>
    <w:rsid w:val="00931877"/>
    <w:rsid w:val="009318A1"/>
    <w:rsid w:val="009318F2"/>
    <w:rsid w:val="009319D8"/>
    <w:rsid w:val="00931B1F"/>
    <w:rsid w:val="00931C2D"/>
    <w:rsid w:val="00931CF2"/>
    <w:rsid w:val="00932051"/>
    <w:rsid w:val="00932082"/>
    <w:rsid w:val="00932297"/>
    <w:rsid w:val="0093230F"/>
    <w:rsid w:val="00932327"/>
    <w:rsid w:val="009323D9"/>
    <w:rsid w:val="009324EF"/>
    <w:rsid w:val="00932593"/>
    <w:rsid w:val="0093263A"/>
    <w:rsid w:val="009326DD"/>
    <w:rsid w:val="0093270B"/>
    <w:rsid w:val="0093273A"/>
    <w:rsid w:val="009327AC"/>
    <w:rsid w:val="009329E1"/>
    <w:rsid w:val="00932B8F"/>
    <w:rsid w:val="00932CA4"/>
    <w:rsid w:val="00932CF3"/>
    <w:rsid w:val="00932D1C"/>
    <w:rsid w:val="00932D58"/>
    <w:rsid w:val="00932F18"/>
    <w:rsid w:val="0093308A"/>
    <w:rsid w:val="00933129"/>
    <w:rsid w:val="009332E2"/>
    <w:rsid w:val="00933385"/>
    <w:rsid w:val="0093338F"/>
    <w:rsid w:val="0093339C"/>
    <w:rsid w:val="009334AB"/>
    <w:rsid w:val="009334C5"/>
    <w:rsid w:val="00933506"/>
    <w:rsid w:val="00933596"/>
    <w:rsid w:val="00933776"/>
    <w:rsid w:val="009337CB"/>
    <w:rsid w:val="0093381B"/>
    <w:rsid w:val="0093397D"/>
    <w:rsid w:val="00933C64"/>
    <w:rsid w:val="00933F85"/>
    <w:rsid w:val="009340B7"/>
    <w:rsid w:val="009341A2"/>
    <w:rsid w:val="009341EE"/>
    <w:rsid w:val="009342F5"/>
    <w:rsid w:val="00934319"/>
    <w:rsid w:val="00934329"/>
    <w:rsid w:val="00934540"/>
    <w:rsid w:val="00934565"/>
    <w:rsid w:val="00934793"/>
    <w:rsid w:val="00934ABC"/>
    <w:rsid w:val="00934B01"/>
    <w:rsid w:val="00934B51"/>
    <w:rsid w:val="00934B76"/>
    <w:rsid w:val="00934D4E"/>
    <w:rsid w:val="00934DE4"/>
    <w:rsid w:val="00934E9E"/>
    <w:rsid w:val="00934F00"/>
    <w:rsid w:val="00934F91"/>
    <w:rsid w:val="00934FC4"/>
    <w:rsid w:val="00935037"/>
    <w:rsid w:val="0093510C"/>
    <w:rsid w:val="00935164"/>
    <w:rsid w:val="00935367"/>
    <w:rsid w:val="009355FD"/>
    <w:rsid w:val="00935678"/>
    <w:rsid w:val="009357A3"/>
    <w:rsid w:val="009357F3"/>
    <w:rsid w:val="0093583D"/>
    <w:rsid w:val="00935927"/>
    <w:rsid w:val="00935A48"/>
    <w:rsid w:val="00935C07"/>
    <w:rsid w:val="00935C8F"/>
    <w:rsid w:val="00935E6F"/>
    <w:rsid w:val="00935EC2"/>
    <w:rsid w:val="00935ECD"/>
    <w:rsid w:val="00935ED7"/>
    <w:rsid w:val="00935F3C"/>
    <w:rsid w:val="00935F41"/>
    <w:rsid w:val="0093606E"/>
    <w:rsid w:val="009360CA"/>
    <w:rsid w:val="009361F8"/>
    <w:rsid w:val="00936246"/>
    <w:rsid w:val="0093625D"/>
    <w:rsid w:val="0093644F"/>
    <w:rsid w:val="009364BF"/>
    <w:rsid w:val="009365B6"/>
    <w:rsid w:val="00936631"/>
    <w:rsid w:val="00936692"/>
    <w:rsid w:val="0093681A"/>
    <w:rsid w:val="009369D5"/>
    <w:rsid w:val="00936A7E"/>
    <w:rsid w:val="00936C89"/>
    <w:rsid w:val="00936E65"/>
    <w:rsid w:val="00936EA5"/>
    <w:rsid w:val="00936F9A"/>
    <w:rsid w:val="00936F9F"/>
    <w:rsid w:val="009370D9"/>
    <w:rsid w:val="00937210"/>
    <w:rsid w:val="00937351"/>
    <w:rsid w:val="00937437"/>
    <w:rsid w:val="00937443"/>
    <w:rsid w:val="00937719"/>
    <w:rsid w:val="009377BC"/>
    <w:rsid w:val="00937819"/>
    <w:rsid w:val="0093788A"/>
    <w:rsid w:val="0093790F"/>
    <w:rsid w:val="00937BD9"/>
    <w:rsid w:val="00937C44"/>
    <w:rsid w:val="00937DC4"/>
    <w:rsid w:val="00937DF0"/>
    <w:rsid w:val="00937FAB"/>
    <w:rsid w:val="009400A1"/>
    <w:rsid w:val="00940149"/>
    <w:rsid w:val="00940180"/>
    <w:rsid w:val="00940186"/>
    <w:rsid w:val="00940263"/>
    <w:rsid w:val="009402A6"/>
    <w:rsid w:val="00940380"/>
    <w:rsid w:val="00940389"/>
    <w:rsid w:val="009403AC"/>
    <w:rsid w:val="009404C6"/>
    <w:rsid w:val="009407B0"/>
    <w:rsid w:val="00940958"/>
    <w:rsid w:val="009409DA"/>
    <w:rsid w:val="00940A08"/>
    <w:rsid w:val="00940B16"/>
    <w:rsid w:val="00940DAD"/>
    <w:rsid w:val="0094110F"/>
    <w:rsid w:val="009412B8"/>
    <w:rsid w:val="009413C5"/>
    <w:rsid w:val="009413CE"/>
    <w:rsid w:val="009413D7"/>
    <w:rsid w:val="009414A9"/>
    <w:rsid w:val="0094152E"/>
    <w:rsid w:val="009415D8"/>
    <w:rsid w:val="009416B1"/>
    <w:rsid w:val="009416CF"/>
    <w:rsid w:val="0094190C"/>
    <w:rsid w:val="00941B06"/>
    <w:rsid w:val="00941B5F"/>
    <w:rsid w:val="00941BDB"/>
    <w:rsid w:val="00941D33"/>
    <w:rsid w:val="00941DD8"/>
    <w:rsid w:val="00941E83"/>
    <w:rsid w:val="00941F18"/>
    <w:rsid w:val="0094206B"/>
    <w:rsid w:val="00942282"/>
    <w:rsid w:val="0094228B"/>
    <w:rsid w:val="0094235F"/>
    <w:rsid w:val="0094239B"/>
    <w:rsid w:val="009423E8"/>
    <w:rsid w:val="009426D6"/>
    <w:rsid w:val="009426EB"/>
    <w:rsid w:val="009427A3"/>
    <w:rsid w:val="009427CF"/>
    <w:rsid w:val="0094292B"/>
    <w:rsid w:val="00942985"/>
    <w:rsid w:val="00942A79"/>
    <w:rsid w:val="00942A95"/>
    <w:rsid w:val="00942EFB"/>
    <w:rsid w:val="00943007"/>
    <w:rsid w:val="009431A5"/>
    <w:rsid w:val="009431FC"/>
    <w:rsid w:val="0094324D"/>
    <w:rsid w:val="0094327C"/>
    <w:rsid w:val="00943299"/>
    <w:rsid w:val="009432BE"/>
    <w:rsid w:val="00943560"/>
    <w:rsid w:val="00943678"/>
    <w:rsid w:val="0094386B"/>
    <w:rsid w:val="0094392A"/>
    <w:rsid w:val="00943A5A"/>
    <w:rsid w:val="00943BDD"/>
    <w:rsid w:val="00943BFF"/>
    <w:rsid w:val="00943CEA"/>
    <w:rsid w:val="00943D35"/>
    <w:rsid w:val="00943D42"/>
    <w:rsid w:val="00943D47"/>
    <w:rsid w:val="00943D93"/>
    <w:rsid w:val="00943DAF"/>
    <w:rsid w:val="00943DC9"/>
    <w:rsid w:val="009441A4"/>
    <w:rsid w:val="009442DE"/>
    <w:rsid w:val="009443FA"/>
    <w:rsid w:val="00944441"/>
    <w:rsid w:val="009444A9"/>
    <w:rsid w:val="009444C9"/>
    <w:rsid w:val="00944947"/>
    <w:rsid w:val="00944A5F"/>
    <w:rsid w:val="00944A6A"/>
    <w:rsid w:val="00944B4D"/>
    <w:rsid w:val="00944C92"/>
    <w:rsid w:val="00944E07"/>
    <w:rsid w:val="00944E84"/>
    <w:rsid w:val="00944EA4"/>
    <w:rsid w:val="00945019"/>
    <w:rsid w:val="0094521D"/>
    <w:rsid w:val="00945245"/>
    <w:rsid w:val="00945336"/>
    <w:rsid w:val="009453C4"/>
    <w:rsid w:val="009454A1"/>
    <w:rsid w:val="009454C3"/>
    <w:rsid w:val="0094572B"/>
    <w:rsid w:val="00945782"/>
    <w:rsid w:val="00945790"/>
    <w:rsid w:val="009457AC"/>
    <w:rsid w:val="009458E2"/>
    <w:rsid w:val="009459C6"/>
    <w:rsid w:val="009459EC"/>
    <w:rsid w:val="00945CA1"/>
    <w:rsid w:val="00945E05"/>
    <w:rsid w:val="00945EFC"/>
    <w:rsid w:val="00945F06"/>
    <w:rsid w:val="00945F87"/>
    <w:rsid w:val="00946192"/>
    <w:rsid w:val="00946380"/>
    <w:rsid w:val="00946448"/>
    <w:rsid w:val="0094647C"/>
    <w:rsid w:val="0094652C"/>
    <w:rsid w:val="00946680"/>
    <w:rsid w:val="009466F6"/>
    <w:rsid w:val="0094672C"/>
    <w:rsid w:val="009468EC"/>
    <w:rsid w:val="00946B95"/>
    <w:rsid w:val="00946C75"/>
    <w:rsid w:val="00946CE6"/>
    <w:rsid w:val="00946D2D"/>
    <w:rsid w:val="009470AA"/>
    <w:rsid w:val="0094743A"/>
    <w:rsid w:val="00947669"/>
    <w:rsid w:val="009478C6"/>
    <w:rsid w:val="00947D0C"/>
    <w:rsid w:val="00947D8D"/>
    <w:rsid w:val="00947DE5"/>
    <w:rsid w:val="00947EBB"/>
    <w:rsid w:val="00947F82"/>
    <w:rsid w:val="0095006F"/>
    <w:rsid w:val="009500A0"/>
    <w:rsid w:val="009501A5"/>
    <w:rsid w:val="0095026C"/>
    <w:rsid w:val="009502D1"/>
    <w:rsid w:val="00950513"/>
    <w:rsid w:val="0095053B"/>
    <w:rsid w:val="00950646"/>
    <w:rsid w:val="00950817"/>
    <w:rsid w:val="00950D01"/>
    <w:rsid w:val="00950D2C"/>
    <w:rsid w:val="00950E2C"/>
    <w:rsid w:val="00950ED5"/>
    <w:rsid w:val="00950F69"/>
    <w:rsid w:val="00951011"/>
    <w:rsid w:val="009510A4"/>
    <w:rsid w:val="009510F4"/>
    <w:rsid w:val="00951146"/>
    <w:rsid w:val="0095116D"/>
    <w:rsid w:val="0095122F"/>
    <w:rsid w:val="00951365"/>
    <w:rsid w:val="00951386"/>
    <w:rsid w:val="009513B0"/>
    <w:rsid w:val="009513C3"/>
    <w:rsid w:val="009513CD"/>
    <w:rsid w:val="009513FF"/>
    <w:rsid w:val="00951480"/>
    <w:rsid w:val="00951540"/>
    <w:rsid w:val="009515B8"/>
    <w:rsid w:val="009515C7"/>
    <w:rsid w:val="009515EC"/>
    <w:rsid w:val="0095168D"/>
    <w:rsid w:val="009516BA"/>
    <w:rsid w:val="009518C2"/>
    <w:rsid w:val="009518C6"/>
    <w:rsid w:val="00951A6E"/>
    <w:rsid w:val="00951A91"/>
    <w:rsid w:val="00951B2E"/>
    <w:rsid w:val="00951C27"/>
    <w:rsid w:val="00951D50"/>
    <w:rsid w:val="00951F00"/>
    <w:rsid w:val="00951FBB"/>
    <w:rsid w:val="00951FE2"/>
    <w:rsid w:val="009520FD"/>
    <w:rsid w:val="00952118"/>
    <w:rsid w:val="009521A4"/>
    <w:rsid w:val="00952318"/>
    <w:rsid w:val="00952369"/>
    <w:rsid w:val="009523AA"/>
    <w:rsid w:val="009524A8"/>
    <w:rsid w:val="009525DD"/>
    <w:rsid w:val="009525EB"/>
    <w:rsid w:val="009525F8"/>
    <w:rsid w:val="00952614"/>
    <w:rsid w:val="0095263D"/>
    <w:rsid w:val="00952654"/>
    <w:rsid w:val="00952686"/>
    <w:rsid w:val="0095274B"/>
    <w:rsid w:val="009528A8"/>
    <w:rsid w:val="00952936"/>
    <w:rsid w:val="009529AC"/>
    <w:rsid w:val="009529BA"/>
    <w:rsid w:val="009529CA"/>
    <w:rsid w:val="00952A68"/>
    <w:rsid w:val="00952AB1"/>
    <w:rsid w:val="00952AE5"/>
    <w:rsid w:val="00952D84"/>
    <w:rsid w:val="0095310F"/>
    <w:rsid w:val="00953159"/>
    <w:rsid w:val="009531D5"/>
    <w:rsid w:val="0095324D"/>
    <w:rsid w:val="0095326C"/>
    <w:rsid w:val="009532E7"/>
    <w:rsid w:val="00953492"/>
    <w:rsid w:val="009534A8"/>
    <w:rsid w:val="00953731"/>
    <w:rsid w:val="0095383F"/>
    <w:rsid w:val="0095388A"/>
    <w:rsid w:val="00953B8B"/>
    <w:rsid w:val="00953B91"/>
    <w:rsid w:val="00953BF9"/>
    <w:rsid w:val="00953C48"/>
    <w:rsid w:val="00953C69"/>
    <w:rsid w:val="00953C86"/>
    <w:rsid w:val="00953D3F"/>
    <w:rsid w:val="00953FF7"/>
    <w:rsid w:val="0095402C"/>
    <w:rsid w:val="00954070"/>
    <w:rsid w:val="009540AE"/>
    <w:rsid w:val="009540C2"/>
    <w:rsid w:val="0095421D"/>
    <w:rsid w:val="00954338"/>
    <w:rsid w:val="00954476"/>
    <w:rsid w:val="00954545"/>
    <w:rsid w:val="00954662"/>
    <w:rsid w:val="0095470B"/>
    <w:rsid w:val="0095471C"/>
    <w:rsid w:val="00954779"/>
    <w:rsid w:val="009547F1"/>
    <w:rsid w:val="00954874"/>
    <w:rsid w:val="0095489D"/>
    <w:rsid w:val="00954A4E"/>
    <w:rsid w:val="00954A73"/>
    <w:rsid w:val="00954A76"/>
    <w:rsid w:val="00954A86"/>
    <w:rsid w:val="00954A87"/>
    <w:rsid w:val="00954B50"/>
    <w:rsid w:val="00954B63"/>
    <w:rsid w:val="00954BE3"/>
    <w:rsid w:val="00954D70"/>
    <w:rsid w:val="00954D85"/>
    <w:rsid w:val="00954E30"/>
    <w:rsid w:val="00954E39"/>
    <w:rsid w:val="00954EDD"/>
    <w:rsid w:val="00955175"/>
    <w:rsid w:val="009551F8"/>
    <w:rsid w:val="00955281"/>
    <w:rsid w:val="00955347"/>
    <w:rsid w:val="0095535F"/>
    <w:rsid w:val="0095572E"/>
    <w:rsid w:val="009557C7"/>
    <w:rsid w:val="009558C2"/>
    <w:rsid w:val="009559EB"/>
    <w:rsid w:val="009559FC"/>
    <w:rsid w:val="00955A20"/>
    <w:rsid w:val="00955B41"/>
    <w:rsid w:val="00955CCA"/>
    <w:rsid w:val="00955CDD"/>
    <w:rsid w:val="00955E5D"/>
    <w:rsid w:val="00955FB9"/>
    <w:rsid w:val="00955FE5"/>
    <w:rsid w:val="0095615A"/>
    <w:rsid w:val="009562E4"/>
    <w:rsid w:val="009563B5"/>
    <w:rsid w:val="009563C7"/>
    <w:rsid w:val="009563DC"/>
    <w:rsid w:val="0095648D"/>
    <w:rsid w:val="00956583"/>
    <w:rsid w:val="00956588"/>
    <w:rsid w:val="009565F9"/>
    <w:rsid w:val="00956663"/>
    <w:rsid w:val="0095680C"/>
    <w:rsid w:val="00956838"/>
    <w:rsid w:val="009568A4"/>
    <w:rsid w:val="00956A36"/>
    <w:rsid w:val="00956B70"/>
    <w:rsid w:val="00956C32"/>
    <w:rsid w:val="00956D42"/>
    <w:rsid w:val="00956E1D"/>
    <w:rsid w:val="00956EDE"/>
    <w:rsid w:val="00956EE2"/>
    <w:rsid w:val="00956F6A"/>
    <w:rsid w:val="009570AD"/>
    <w:rsid w:val="00957189"/>
    <w:rsid w:val="0095720C"/>
    <w:rsid w:val="0095721D"/>
    <w:rsid w:val="0095728C"/>
    <w:rsid w:val="00957330"/>
    <w:rsid w:val="0095733C"/>
    <w:rsid w:val="00957698"/>
    <w:rsid w:val="00957745"/>
    <w:rsid w:val="00957965"/>
    <w:rsid w:val="00957A10"/>
    <w:rsid w:val="00957A1C"/>
    <w:rsid w:val="00957AE9"/>
    <w:rsid w:val="00957DBF"/>
    <w:rsid w:val="00957E55"/>
    <w:rsid w:val="00957FCD"/>
    <w:rsid w:val="00960091"/>
    <w:rsid w:val="00960155"/>
    <w:rsid w:val="0096028E"/>
    <w:rsid w:val="009602F5"/>
    <w:rsid w:val="00960319"/>
    <w:rsid w:val="0096031D"/>
    <w:rsid w:val="00960361"/>
    <w:rsid w:val="009604A1"/>
    <w:rsid w:val="009604CF"/>
    <w:rsid w:val="0096055D"/>
    <w:rsid w:val="00960566"/>
    <w:rsid w:val="00960709"/>
    <w:rsid w:val="009607DD"/>
    <w:rsid w:val="00960998"/>
    <w:rsid w:val="009609C5"/>
    <w:rsid w:val="00960B57"/>
    <w:rsid w:val="00960CD1"/>
    <w:rsid w:val="00960E95"/>
    <w:rsid w:val="00960FB0"/>
    <w:rsid w:val="00960FB3"/>
    <w:rsid w:val="00961087"/>
    <w:rsid w:val="009613BC"/>
    <w:rsid w:val="00961400"/>
    <w:rsid w:val="00961459"/>
    <w:rsid w:val="009614A9"/>
    <w:rsid w:val="009614D4"/>
    <w:rsid w:val="009615B1"/>
    <w:rsid w:val="009616FB"/>
    <w:rsid w:val="00961717"/>
    <w:rsid w:val="009617B1"/>
    <w:rsid w:val="00961990"/>
    <w:rsid w:val="009619AE"/>
    <w:rsid w:val="00961A64"/>
    <w:rsid w:val="00961B29"/>
    <w:rsid w:val="00961B90"/>
    <w:rsid w:val="00961CAF"/>
    <w:rsid w:val="00961E7B"/>
    <w:rsid w:val="00961F60"/>
    <w:rsid w:val="00961FC8"/>
    <w:rsid w:val="009620F0"/>
    <w:rsid w:val="0096212E"/>
    <w:rsid w:val="0096222F"/>
    <w:rsid w:val="0096224F"/>
    <w:rsid w:val="009622F6"/>
    <w:rsid w:val="009623FD"/>
    <w:rsid w:val="00962447"/>
    <w:rsid w:val="009624D8"/>
    <w:rsid w:val="00962571"/>
    <w:rsid w:val="00962607"/>
    <w:rsid w:val="00962697"/>
    <w:rsid w:val="0096273D"/>
    <w:rsid w:val="0096277D"/>
    <w:rsid w:val="0096279C"/>
    <w:rsid w:val="00962817"/>
    <w:rsid w:val="0096282F"/>
    <w:rsid w:val="00962841"/>
    <w:rsid w:val="0096286C"/>
    <w:rsid w:val="009628CD"/>
    <w:rsid w:val="0096299F"/>
    <w:rsid w:val="009629FC"/>
    <w:rsid w:val="00962BC6"/>
    <w:rsid w:val="00962C9B"/>
    <w:rsid w:val="00962D1A"/>
    <w:rsid w:val="00962D32"/>
    <w:rsid w:val="00962F8A"/>
    <w:rsid w:val="00963087"/>
    <w:rsid w:val="009630DC"/>
    <w:rsid w:val="009631D5"/>
    <w:rsid w:val="0096344E"/>
    <w:rsid w:val="00963458"/>
    <w:rsid w:val="00963572"/>
    <w:rsid w:val="00963646"/>
    <w:rsid w:val="00963A5C"/>
    <w:rsid w:val="00963B9B"/>
    <w:rsid w:val="00963BF1"/>
    <w:rsid w:val="00963C21"/>
    <w:rsid w:val="00963D47"/>
    <w:rsid w:val="00963E57"/>
    <w:rsid w:val="00963FD8"/>
    <w:rsid w:val="00964088"/>
    <w:rsid w:val="009640B3"/>
    <w:rsid w:val="009640B6"/>
    <w:rsid w:val="009640D4"/>
    <w:rsid w:val="009640DF"/>
    <w:rsid w:val="0096414A"/>
    <w:rsid w:val="0096421F"/>
    <w:rsid w:val="0096433B"/>
    <w:rsid w:val="009643DE"/>
    <w:rsid w:val="0096446A"/>
    <w:rsid w:val="009647B9"/>
    <w:rsid w:val="009647BF"/>
    <w:rsid w:val="009647DF"/>
    <w:rsid w:val="00964894"/>
    <w:rsid w:val="0096490A"/>
    <w:rsid w:val="00964924"/>
    <w:rsid w:val="0096493A"/>
    <w:rsid w:val="00964989"/>
    <w:rsid w:val="009649A0"/>
    <w:rsid w:val="00964ACE"/>
    <w:rsid w:val="00964CE5"/>
    <w:rsid w:val="00964D2D"/>
    <w:rsid w:val="00964E10"/>
    <w:rsid w:val="00964F46"/>
    <w:rsid w:val="0096522D"/>
    <w:rsid w:val="00965516"/>
    <w:rsid w:val="0096566C"/>
    <w:rsid w:val="009656D1"/>
    <w:rsid w:val="00965773"/>
    <w:rsid w:val="00965915"/>
    <w:rsid w:val="0096599B"/>
    <w:rsid w:val="009659F5"/>
    <w:rsid w:val="00965A7F"/>
    <w:rsid w:val="00965AE1"/>
    <w:rsid w:val="00965C18"/>
    <w:rsid w:val="00965CFA"/>
    <w:rsid w:val="00965E4A"/>
    <w:rsid w:val="00965E95"/>
    <w:rsid w:val="00965EF7"/>
    <w:rsid w:val="00965F7A"/>
    <w:rsid w:val="00965F9B"/>
    <w:rsid w:val="0096612E"/>
    <w:rsid w:val="009661B7"/>
    <w:rsid w:val="0096632D"/>
    <w:rsid w:val="0096634D"/>
    <w:rsid w:val="0096636D"/>
    <w:rsid w:val="00966692"/>
    <w:rsid w:val="009666FA"/>
    <w:rsid w:val="00966861"/>
    <w:rsid w:val="0096689C"/>
    <w:rsid w:val="009668E7"/>
    <w:rsid w:val="00966954"/>
    <w:rsid w:val="00966B1D"/>
    <w:rsid w:val="00966D06"/>
    <w:rsid w:val="00966D15"/>
    <w:rsid w:val="00966D19"/>
    <w:rsid w:val="00966D88"/>
    <w:rsid w:val="00966DC5"/>
    <w:rsid w:val="00967124"/>
    <w:rsid w:val="009672C5"/>
    <w:rsid w:val="00967335"/>
    <w:rsid w:val="00967632"/>
    <w:rsid w:val="00967653"/>
    <w:rsid w:val="00967846"/>
    <w:rsid w:val="00967944"/>
    <w:rsid w:val="00967BAD"/>
    <w:rsid w:val="00967C41"/>
    <w:rsid w:val="00967ED3"/>
    <w:rsid w:val="00967F46"/>
    <w:rsid w:val="00967F91"/>
    <w:rsid w:val="00967FA7"/>
    <w:rsid w:val="00970024"/>
    <w:rsid w:val="00970149"/>
    <w:rsid w:val="00970268"/>
    <w:rsid w:val="009702A2"/>
    <w:rsid w:val="009704CC"/>
    <w:rsid w:val="009704F3"/>
    <w:rsid w:val="0097052C"/>
    <w:rsid w:val="009705DF"/>
    <w:rsid w:val="00970755"/>
    <w:rsid w:val="00970860"/>
    <w:rsid w:val="00970870"/>
    <w:rsid w:val="00970872"/>
    <w:rsid w:val="0097094F"/>
    <w:rsid w:val="009709C5"/>
    <w:rsid w:val="00970B6E"/>
    <w:rsid w:val="00970BFA"/>
    <w:rsid w:val="00970C0B"/>
    <w:rsid w:val="00970C8C"/>
    <w:rsid w:val="00970CDD"/>
    <w:rsid w:val="00970E9D"/>
    <w:rsid w:val="00970EDA"/>
    <w:rsid w:val="00970F15"/>
    <w:rsid w:val="00970F66"/>
    <w:rsid w:val="00970FB1"/>
    <w:rsid w:val="00970FC8"/>
    <w:rsid w:val="00970FF9"/>
    <w:rsid w:val="00971276"/>
    <w:rsid w:val="009713D8"/>
    <w:rsid w:val="0097140E"/>
    <w:rsid w:val="009715A2"/>
    <w:rsid w:val="0097166C"/>
    <w:rsid w:val="00971709"/>
    <w:rsid w:val="009717C0"/>
    <w:rsid w:val="009718C7"/>
    <w:rsid w:val="009718DE"/>
    <w:rsid w:val="00971AE3"/>
    <w:rsid w:val="00971CF9"/>
    <w:rsid w:val="00971D28"/>
    <w:rsid w:val="00971D85"/>
    <w:rsid w:val="00971F20"/>
    <w:rsid w:val="00971F80"/>
    <w:rsid w:val="0097200B"/>
    <w:rsid w:val="009720AF"/>
    <w:rsid w:val="009720BC"/>
    <w:rsid w:val="009720FA"/>
    <w:rsid w:val="009721C2"/>
    <w:rsid w:val="00972292"/>
    <w:rsid w:val="009725A0"/>
    <w:rsid w:val="0097270C"/>
    <w:rsid w:val="00972752"/>
    <w:rsid w:val="009728A9"/>
    <w:rsid w:val="00972958"/>
    <w:rsid w:val="00972A07"/>
    <w:rsid w:val="00972A4E"/>
    <w:rsid w:val="00972B56"/>
    <w:rsid w:val="00972BD9"/>
    <w:rsid w:val="00972BE9"/>
    <w:rsid w:val="00972E83"/>
    <w:rsid w:val="00972FCC"/>
    <w:rsid w:val="00972FDD"/>
    <w:rsid w:val="00973192"/>
    <w:rsid w:val="0097338C"/>
    <w:rsid w:val="00973436"/>
    <w:rsid w:val="00973581"/>
    <w:rsid w:val="00973626"/>
    <w:rsid w:val="00973646"/>
    <w:rsid w:val="009736F3"/>
    <w:rsid w:val="00973709"/>
    <w:rsid w:val="00973854"/>
    <w:rsid w:val="009738CB"/>
    <w:rsid w:val="00973977"/>
    <w:rsid w:val="009739F7"/>
    <w:rsid w:val="00973B1F"/>
    <w:rsid w:val="00973BD9"/>
    <w:rsid w:val="00973BEE"/>
    <w:rsid w:val="00973D1C"/>
    <w:rsid w:val="00973DC7"/>
    <w:rsid w:val="00973EA7"/>
    <w:rsid w:val="00973F18"/>
    <w:rsid w:val="00973FDD"/>
    <w:rsid w:val="009741B9"/>
    <w:rsid w:val="00974251"/>
    <w:rsid w:val="0097438A"/>
    <w:rsid w:val="009743AB"/>
    <w:rsid w:val="009743DC"/>
    <w:rsid w:val="0097441E"/>
    <w:rsid w:val="009745C8"/>
    <w:rsid w:val="009746FF"/>
    <w:rsid w:val="009747BC"/>
    <w:rsid w:val="009748BA"/>
    <w:rsid w:val="00974968"/>
    <w:rsid w:val="009749B1"/>
    <w:rsid w:val="00974CBE"/>
    <w:rsid w:val="00974D03"/>
    <w:rsid w:val="00975092"/>
    <w:rsid w:val="00975180"/>
    <w:rsid w:val="009751F5"/>
    <w:rsid w:val="00975243"/>
    <w:rsid w:val="009752F4"/>
    <w:rsid w:val="0097531A"/>
    <w:rsid w:val="0097539A"/>
    <w:rsid w:val="009754A6"/>
    <w:rsid w:val="009754FC"/>
    <w:rsid w:val="00975540"/>
    <w:rsid w:val="0097559F"/>
    <w:rsid w:val="00975609"/>
    <w:rsid w:val="0097568B"/>
    <w:rsid w:val="00975829"/>
    <w:rsid w:val="00975A07"/>
    <w:rsid w:val="00975A26"/>
    <w:rsid w:val="00975B3E"/>
    <w:rsid w:val="00975DAC"/>
    <w:rsid w:val="00975DE2"/>
    <w:rsid w:val="00975E37"/>
    <w:rsid w:val="00975E71"/>
    <w:rsid w:val="00975E88"/>
    <w:rsid w:val="00975F3F"/>
    <w:rsid w:val="00975F66"/>
    <w:rsid w:val="00975FF0"/>
    <w:rsid w:val="00976097"/>
    <w:rsid w:val="00976110"/>
    <w:rsid w:val="009761EA"/>
    <w:rsid w:val="009761F2"/>
    <w:rsid w:val="00976286"/>
    <w:rsid w:val="00976490"/>
    <w:rsid w:val="009764DF"/>
    <w:rsid w:val="00976544"/>
    <w:rsid w:val="009765D4"/>
    <w:rsid w:val="0097670A"/>
    <w:rsid w:val="009767AB"/>
    <w:rsid w:val="00976857"/>
    <w:rsid w:val="0097697C"/>
    <w:rsid w:val="00976AC3"/>
    <w:rsid w:val="00976BE1"/>
    <w:rsid w:val="00976C62"/>
    <w:rsid w:val="00976CB3"/>
    <w:rsid w:val="00976F83"/>
    <w:rsid w:val="009770F2"/>
    <w:rsid w:val="00977149"/>
    <w:rsid w:val="00977168"/>
    <w:rsid w:val="009771EB"/>
    <w:rsid w:val="009773BE"/>
    <w:rsid w:val="009775F2"/>
    <w:rsid w:val="0097761E"/>
    <w:rsid w:val="009776CB"/>
    <w:rsid w:val="00977841"/>
    <w:rsid w:val="0097787D"/>
    <w:rsid w:val="009778C1"/>
    <w:rsid w:val="0097796A"/>
    <w:rsid w:val="009779E5"/>
    <w:rsid w:val="009779F8"/>
    <w:rsid w:val="00977BD0"/>
    <w:rsid w:val="00977CBE"/>
    <w:rsid w:val="00977DA2"/>
    <w:rsid w:val="00977DC1"/>
    <w:rsid w:val="00977DD1"/>
    <w:rsid w:val="00977F13"/>
    <w:rsid w:val="009800EC"/>
    <w:rsid w:val="00980109"/>
    <w:rsid w:val="0098010F"/>
    <w:rsid w:val="009801D6"/>
    <w:rsid w:val="009803E4"/>
    <w:rsid w:val="009803F0"/>
    <w:rsid w:val="0098071E"/>
    <w:rsid w:val="009807F8"/>
    <w:rsid w:val="0098094B"/>
    <w:rsid w:val="00980A9C"/>
    <w:rsid w:val="00980ACC"/>
    <w:rsid w:val="00980B14"/>
    <w:rsid w:val="00980C88"/>
    <w:rsid w:val="00980E09"/>
    <w:rsid w:val="00980F2D"/>
    <w:rsid w:val="0098104A"/>
    <w:rsid w:val="00981202"/>
    <w:rsid w:val="0098155A"/>
    <w:rsid w:val="009815E3"/>
    <w:rsid w:val="00981630"/>
    <w:rsid w:val="00981664"/>
    <w:rsid w:val="009817C3"/>
    <w:rsid w:val="00981A2E"/>
    <w:rsid w:val="00981A75"/>
    <w:rsid w:val="00981BE0"/>
    <w:rsid w:val="00981BEF"/>
    <w:rsid w:val="00981C26"/>
    <w:rsid w:val="00981D40"/>
    <w:rsid w:val="00981D81"/>
    <w:rsid w:val="00981E39"/>
    <w:rsid w:val="00981ECA"/>
    <w:rsid w:val="00981EF5"/>
    <w:rsid w:val="00981F0B"/>
    <w:rsid w:val="0098207D"/>
    <w:rsid w:val="009820B4"/>
    <w:rsid w:val="009820BD"/>
    <w:rsid w:val="0098228B"/>
    <w:rsid w:val="00982352"/>
    <w:rsid w:val="009823B3"/>
    <w:rsid w:val="00982404"/>
    <w:rsid w:val="00982454"/>
    <w:rsid w:val="00982531"/>
    <w:rsid w:val="0098256E"/>
    <w:rsid w:val="009825DA"/>
    <w:rsid w:val="00982627"/>
    <w:rsid w:val="00982772"/>
    <w:rsid w:val="00982926"/>
    <w:rsid w:val="00982935"/>
    <w:rsid w:val="0098295E"/>
    <w:rsid w:val="00982BAC"/>
    <w:rsid w:val="00982CF0"/>
    <w:rsid w:val="00982E19"/>
    <w:rsid w:val="00982FCA"/>
    <w:rsid w:val="0098311C"/>
    <w:rsid w:val="009831EF"/>
    <w:rsid w:val="00983455"/>
    <w:rsid w:val="00983484"/>
    <w:rsid w:val="00983490"/>
    <w:rsid w:val="00983754"/>
    <w:rsid w:val="009837E2"/>
    <w:rsid w:val="009837E5"/>
    <w:rsid w:val="009838B3"/>
    <w:rsid w:val="00983A91"/>
    <w:rsid w:val="00983B32"/>
    <w:rsid w:val="00983B35"/>
    <w:rsid w:val="00983C67"/>
    <w:rsid w:val="00983E30"/>
    <w:rsid w:val="00983EA2"/>
    <w:rsid w:val="00984003"/>
    <w:rsid w:val="00984063"/>
    <w:rsid w:val="00984072"/>
    <w:rsid w:val="00984208"/>
    <w:rsid w:val="0098422E"/>
    <w:rsid w:val="009843A5"/>
    <w:rsid w:val="0098452D"/>
    <w:rsid w:val="009845BE"/>
    <w:rsid w:val="009846B9"/>
    <w:rsid w:val="00984756"/>
    <w:rsid w:val="00984868"/>
    <w:rsid w:val="009848E9"/>
    <w:rsid w:val="009848EF"/>
    <w:rsid w:val="00984AE9"/>
    <w:rsid w:val="00984B46"/>
    <w:rsid w:val="00984E8B"/>
    <w:rsid w:val="00984F0B"/>
    <w:rsid w:val="00984F7B"/>
    <w:rsid w:val="00984FCE"/>
    <w:rsid w:val="00985066"/>
    <w:rsid w:val="0098508D"/>
    <w:rsid w:val="009850DC"/>
    <w:rsid w:val="0098516C"/>
    <w:rsid w:val="0098526F"/>
    <w:rsid w:val="009853E1"/>
    <w:rsid w:val="00985588"/>
    <w:rsid w:val="0098568F"/>
    <w:rsid w:val="00985CC6"/>
    <w:rsid w:val="00985DDE"/>
    <w:rsid w:val="00985E67"/>
    <w:rsid w:val="00985F6B"/>
    <w:rsid w:val="00985FE9"/>
    <w:rsid w:val="00985FF8"/>
    <w:rsid w:val="0098651B"/>
    <w:rsid w:val="00986536"/>
    <w:rsid w:val="00986543"/>
    <w:rsid w:val="00986727"/>
    <w:rsid w:val="00986756"/>
    <w:rsid w:val="00986796"/>
    <w:rsid w:val="00986873"/>
    <w:rsid w:val="009868C8"/>
    <w:rsid w:val="00986952"/>
    <w:rsid w:val="009869BF"/>
    <w:rsid w:val="00986A3E"/>
    <w:rsid w:val="00986A6F"/>
    <w:rsid w:val="00986A72"/>
    <w:rsid w:val="00986AB0"/>
    <w:rsid w:val="00986BA1"/>
    <w:rsid w:val="00986C3A"/>
    <w:rsid w:val="00986CB8"/>
    <w:rsid w:val="00986E6B"/>
    <w:rsid w:val="00986E76"/>
    <w:rsid w:val="00986E85"/>
    <w:rsid w:val="00987023"/>
    <w:rsid w:val="009871A2"/>
    <w:rsid w:val="009871ED"/>
    <w:rsid w:val="00987386"/>
    <w:rsid w:val="009873EE"/>
    <w:rsid w:val="009876AF"/>
    <w:rsid w:val="009876B8"/>
    <w:rsid w:val="0098772C"/>
    <w:rsid w:val="0098785E"/>
    <w:rsid w:val="00987958"/>
    <w:rsid w:val="00987A2C"/>
    <w:rsid w:val="00987A88"/>
    <w:rsid w:val="00987AF6"/>
    <w:rsid w:val="00987C2D"/>
    <w:rsid w:val="00987C88"/>
    <w:rsid w:val="00987D93"/>
    <w:rsid w:val="00987E53"/>
    <w:rsid w:val="00987E88"/>
    <w:rsid w:val="00987E9B"/>
    <w:rsid w:val="00990032"/>
    <w:rsid w:val="00990103"/>
    <w:rsid w:val="00990233"/>
    <w:rsid w:val="00990366"/>
    <w:rsid w:val="00990593"/>
    <w:rsid w:val="0099061F"/>
    <w:rsid w:val="009906FB"/>
    <w:rsid w:val="009907E0"/>
    <w:rsid w:val="00990A8F"/>
    <w:rsid w:val="00990B19"/>
    <w:rsid w:val="00990B51"/>
    <w:rsid w:val="00990C26"/>
    <w:rsid w:val="00990CA1"/>
    <w:rsid w:val="00990CB8"/>
    <w:rsid w:val="00990CC8"/>
    <w:rsid w:val="00990D35"/>
    <w:rsid w:val="00990E61"/>
    <w:rsid w:val="00990F89"/>
    <w:rsid w:val="0099106C"/>
    <w:rsid w:val="00991199"/>
    <w:rsid w:val="00991394"/>
    <w:rsid w:val="009913C0"/>
    <w:rsid w:val="009914B0"/>
    <w:rsid w:val="00991511"/>
    <w:rsid w:val="0099153B"/>
    <w:rsid w:val="009915BA"/>
    <w:rsid w:val="00991660"/>
    <w:rsid w:val="009916A1"/>
    <w:rsid w:val="00991703"/>
    <w:rsid w:val="00991769"/>
    <w:rsid w:val="00991973"/>
    <w:rsid w:val="00991A65"/>
    <w:rsid w:val="00991AD7"/>
    <w:rsid w:val="00991B35"/>
    <w:rsid w:val="00991C0B"/>
    <w:rsid w:val="00991C77"/>
    <w:rsid w:val="00991C79"/>
    <w:rsid w:val="00991DF9"/>
    <w:rsid w:val="00991E09"/>
    <w:rsid w:val="00991E9A"/>
    <w:rsid w:val="00991F0E"/>
    <w:rsid w:val="00991F3B"/>
    <w:rsid w:val="00991FE8"/>
    <w:rsid w:val="009922CF"/>
    <w:rsid w:val="009922E6"/>
    <w:rsid w:val="009922F3"/>
    <w:rsid w:val="0099231A"/>
    <w:rsid w:val="0099232C"/>
    <w:rsid w:val="0099233F"/>
    <w:rsid w:val="00992347"/>
    <w:rsid w:val="00992601"/>
    <w:rsid w:val="00992632"/>
    <w:rsid w:val="009926BE"/>
    <w:rsid w:val="009927DB"/>
    <w:rsid w:val="0099286B"/>
    <w:rsid w:val="00992878"/>
    <w:rsid w:val="009928EA"/>
    <w:rsid w:val="00992A15"/>
    <w:rsid w:val="00992B0B"/>
    <w:rsid w:val="00992B42"/>
    <w:rsid w:val="00992BBA"/>
    <w:rsid w:val="00992C6E"/>
    <w:rsid w:val="00992E35"/>
    <w:rsid w:val="00992E93"/>
    <w:rsid w:val="00992EBE"/>
    <w:rsid w:val="00992F09"/>
    <w:rsid w:val="00992F1A"/>
    <w:rsid w:val="00992F31"/>
    <w:rsid w:val="00992F3A"/>
    <w:rsid w:val="00992FF6"/>
    <w:rsid w:val="00993042"/>
    <w:rsid w:val="00993185"/>
    <w:rsid w:val="00993260"/>
    <w:rsid w:val="00993325"/>
    <w:rsid w:val="00993443"/>
    <w:rsid w:val="00993537"/>
    <w:rsid w:val="00993621"/>
    <w:rsid w:val="00993A5A"/>
    <w:rsid w:val="00993A6E"/>
    <w:rsid w:val="00993BFC"/>
    <w:rsid w:val="00993C89"/>
    <w:rsid w:val="00993DA8"/>
    <w:rsid w:val="00993E44"/>
    <w:rsid w:val="00993E4E"/>
    <w:rsid w:val="00993E75"/>
    <w:rsid w:val="00993EC1"/>
    <w:rsid w:val="00993F47"/>
    <w:rsid w:val="00993F56"/>
    <w:rsid w:val="00993FD6"/>
    <w:rsid w:val="00994024"/>
    <w:rsid w:val="00994081"/>
    <w:rsid w:val="0099409B"/>
    <w:rsid w:val="009941F2"/>
    <w:rsid w:val="00994282"/>
    <w:rsid w:val="00994386"/>
    <w:rsid w:val="0099447B"/>
    <w:rsid w:val="009944F6"/>
    <w:rsid w:val="009945DA"/>
    <w:rsid w:val="009947FD"/>
    <w:rsid w:val="00994866"/>
    <w:rsid w:val="009949DD"/>
    <w:rsid w:val="00994AA0"/>
    <w:rsid w:val="00994D50"/>
    <w:rsid w:val="00994E43"/>
    <w:rsid w:val="00994EA8"/>
    <w:rsid w:val="00994F6B"/>
    <w:rsid w:val="009950CE"/>
    <w:rsid w:val="0099516B"/>
    <w:rsid w:val="009951C7"/>
    <w:rsid w:val="00995266"/>
    <w:rsid w:val="009952A3"/>
    <w:rsid w:val="009953D2"/>
    <w:rsid w:val="0099547E"/>
    <w:rsid w:val="009954D9"/>
    <w:rsid w:val="0099558E"/>
    <w:rsid w:val="009955CF"/>
    <w:rsid w:val="0099568C"/>
    <w:rsid w:val="009956FE"/>
    <w:rsid w:val="00995895"/>
    <w:rsid w:val="009958D2"/>
    <w:rsid w:val="00995A4A"/>
    <w:rsid w:val="00995AF8"/>
    <w:rsid w:val="00995B32"/>
    <w:rsid w:val="00995B8F"/>
    <w:rsid w:val="00995BF3"/>
    <w:rsid w:val="00995C04"/>
    <w:rsid w:val="00995C22"/>
    <w:rsid w:val="00995D46"/>
    <w:rsid w:val="00995F36"/>
    <w:rsid w:val="00995F7D"/>
    <w:rsid w:val="00996153"/>
    <w:rsid w:val="009961FD"/>
    <w:rsid w:val="00996253"/>
    <w:rsid w:val="009962F9"/>
    <w:rsid w:val="00996412"/>
    <w:rsid w:val="009965D1"/>
    <w:rsid w:val="00996768"/>
    <w:rsid w:val="00996833"/>
    <w:rsid w:val="009969D3"/>
    <w:rsid w:val="00996A96"/>
    <w:rsid w:val="00996AA6"/>
    <w:rsid w:val="00996B59"/>
    <w:rsid w:val="00996B80"/>
    <w:rsid w:val="00996C2F"/>
    <w:rsid w:val="00996CC8"/>
    <w:rsid w:val="00996E1D"/>
    <w:rsid w:val="00996E4F"/>
    <w:rsid w:val="00996F41"/>
    <w:rsid w:val="0099703D"/>
    <w:rsid w:val="009970A0"/>
    <w:rsid w:val="00997194"/>
    <w:rsid w:val="0099748C"/>
    <w:rsid w:val="00997531"/>
    <w:rsid w:val="00997538"/>
    <w:rsid w:val="00997543"/>
    <w:rsid w:val="009975C8"/>
    <w:rsid w:val="009975D7"/>
    <w:rsid w:val="0099765C"/>
    <w:rsid w:val="00997858"/>
    <w:rsid w:val="0099785C"/>
    <w:rsid w:val="009978BE"/>
    <w:rsid w:val="00997909"/>
    <w:rsid w:val="00997A28"/>
    <w:rsid w:val="00997BA4"/>
    <w:rsid w:val="00997C8A"/>
    <w:rsid w:val="00997DF7"/>
    <w:rsid w:val="00997E31"/>
    <w:rsid w:val="00997E92"/>
    <w:rsid w:val="00997F02"/>
    <w:rsid w:val="009A0202"/>
    <w:rsid w:val="009A0251"/>
    <w:rsid w:val="009A03D8"/>
    <w:rsid w:val="009A0469"/>
    <w:rsid w:val="009A0476"/>
    <w:rsid w:val="009A04CF"/>
    <w:rsid w:val="009A04FC"/>
    <w:rsid w:val="009A0542"/>
    <w:rsid w:val="009A0728"/>
    <w:rsid w:val="009A076A"/>
    <w:rsid w:val="009A07A8"/>
    <w:rsid w:val="009A083D"/>
    <w:rsid w:val="009A0846"/>
    <w:rsid w:val="009A08AF"/>
    <w:rsid w:val="009A0911"/>
    <w:rsid w:val="009A0B1C"/>
    <w:rsid w:val="009A0F19"/>
    <w:rsid w:val="009A1083"/>
    <w:rsid w:val="009A10D9"/>
    <w:rsid w:val="009A1171"/>
    <w:rsid w:val="009A129B"/>
    <w:rsid w:val="009A135F"/>
    <w:rsid w:val="009A13D8"/>
    <w:rsid w:val="009A143D"/>
    <w:rsid w:val="009A161D"/>
    <w:rsid w:val="009A180C"/>
    <w:rsid w:val="009A1880"/>
    <w:rsid w:val="009A1C26"/>
    <w:rsid w:val="009A1C72"/>
    <w:rsid w:val="009A1D49"/>
    <w:rsid w:val="009A1D4B"/>
    <w:rsid w:val="009A1D64"/>
    <w:rsid w:val="009A1DF2"/>
    <w:rsid w:val="009A1E2E"/>
    <w:rsid w:val="009A1EC9"/>
    <w:rsid w:val="009A1FF6"/>
    <w:rsid w:val="009A21E4"/>
    <w:rsid w:val="009A22BA"/>
    <w:rsid w:val="009A2358"/>
    <w:rsid w:val="009A242C"/>
    <w:rsid w:val="009A243B"/>
    <w:rsid w:val="009A24FF"/>
    <w:rsid w:val="009A279E"/>
    <w:rsid w:val="009A27F4"/>
    <w:rsid w:val="009A2920"/>
    <w:rsid w:val="009A2A18"/>
    <w:rsid w:val="009A2B46"/>
    <w:rsid w:val="009A2C39"/>
    <w:rsid w:val="009A2C55"/>
    <w:rsid w:val="009A2CD5"/>
    <w:rsid w:val="009A2D5F"/>
    <w:rsid w:val="009A2D88"/>
    <w:rsid w:val="009A2ECF"/>
    <w:rsid w:val="009A2F81"/>
    <w:rsid w:val="009A2FF4"/>
    <w:rsid w:val="009A3015"/>
    <w:rsid w:val="009A3490"/>
    <w:rsid w:val="009A34C8"/>
    <w:rsid w:val="009A34FC"/>
    <w:rsid w:val="009A36C1"/>
    <w:rsid w:val="009A371D"/>
    <w:rsid w:val="009A38FC"/>
    <w:rsid w:val="009A3A03"/>
    <w:rsid w:val="009A3A56"/>
    <w:rsid w:val="009A3A6F"/>
    <w:rsid w:val="009A3AC1"/>
    <w:rsid w:val="009A3B33"/>
    <w:rsid w:val="009A3B8E"/>
    <w:rsid w:val="009A3C4F"/>
    <w:rsid w:val="009A3CFC"/>
    <w:rsid w:val="009A3D66"/>
    <w:rsid w:val="009A3D9D"/>
    <w:rsid w:val="009A3FAA"/>
    <w:rsid w:val="009A4271"/>
    <w:rsid w:val="009A42AB"/>
    <w:rsid w:val="009A4317"/>
    <w:rsid w:val="009A4332"/>
    <w:rsid w:val="009A449C"/>
    <w:rsid w:val="009A44DF"/>
    <w:rsid w:val="009A45DC"/>
    <w:rsid w:val="009A4640"/>
    <w:rsid w:val="009A4688"/>
    <w:rsid w:val="009A470D"/>
    <w:rsid w:val="009A4858"/>
    <w:rsid w:val="009A48AF"/>
    <w:rsid w:val="009A4952"/>
    <w:rsid w:val="009A495A"/>
    <w:rsid w:val="009A49E6"/>
    <w:rsid w:val="009A4A0C"/>
    <w:rsid w:val="009A4A46"/>
    <w:rsid w:val="009A4BA2"/>
    <w:rsid w:val="009A4BC4"/>
    <w:rsid w:val="009A4C16"/>
    <w:rsid w:val="009A4CD8"/>
    <w:rsid w:val="009A4D63"/>
    <w:rsid w:val="009A4DA8"/>
    <w:rsid w:val="009A4E2A"/>
    <w:rsid w:val="009A506B"/>
    <w:rsid w:val="009A5132"/>
    <w:rsid w:val="009A5151"/>
    <w:rsid w:val="009A51D3"/>
    <w:rsid w:val="009A522E"/>
    <w:rsid w:val="009A54F9"/>
    <w:rsid w:val="009A5584"/>
    <w:rsid w:val="009A55C0"/>
    <w:rsid w:val="009A5790"/>
    <w:rsid w:val="009A579C"/>
    <w:rsid w:val="009A59C3"/>
    <w:rsid w:val="009A5A0C"/>
    <w:rsid w:val="009A5A4F"/>
    <w:rsid w:val="009A5B79"/>
    <w:rsid w:val="009A5CB1"/>
    <w:rsid w:val="009A5D89"/>
    <w:rsid w:val="009A5D8B"/>
    <w:rsid w:val="009A5ED6"/>
    <w:rsid w:val="009A6134"/>
    <w:rsid w:val="009A620C"/>
    <w:rsid w:val="009A6328"/>
    <w:rsid w:val="009A63D3"/>
    <w:rsid w:val="009A6492"/>
    <w:rsid w:val="009A6541"/>
    <w:rsid w:val="009A669E"/>
    <w:rsid w:val="009A6761"/>
    <w:rsid w:val="009A6792"/>
    <w:rsid w:val="009A67E1"/>
    <w:rsid w:val="009A6806"/>
    <w:rsid w:val="009A6855"/>
    <w:rsid w:val="009A693A"/>
    <w:rsid w:val="009A695B"/>
    <w:rsid w:val="009A6B50"/>
    <w:rsid w:val="009A6DDA"/>
    <w:rsid w:val="009A6E08"/>
    <w:rsid w:val="009A6FC6"/>
    <w:rsid w:val="009A6FD2"/>
    <w:rsid w:val="009A705F"/>
    <w:rsid w:val="009A7105"/>
    <w:rsid w:val="009A716A"/>
    <w:rsid w:val="009A7242"/>
    <w:rsid w:val="009A75AF"/>
    <w:rsid w:val="009A762A"/>
    <w:rsid w:val="009A76FF"/>
    <w:rsid w:val="009A7768"/>
    <w:rsid w:val="009A7914"/>
    <w:rsid w:val="009A7955"/>
    <w:rsid w:val="009A79A9"/>
    <w:rsid w:val="009A79CC"/>
    <w:rsid w:val="009A7A54"/>
    <w:rsid w:val="009A7D19"/>
    <w:rsid w:val="009A7E40"/>
    <w:rsid w:val="009A7F60"/>
    <w:rsid w:val="009A7FF5"/>
    <w:rsid w:val="009B00B3"/>
    <w:rsid w:val="009B0103"/>
    <w:rsid w:val="009B0228"/>
    <w:rsid w:val="009B02AB"/>
    <w:rsid w:val="009B04A7"/>
    <w:rsid w:val="009B0519"/>
    <w:rsid w:val="009B056A"/>
    <w:rsid w:val="009B066E"/>
    <w:rsid w:val="009B06C8"/>
    <w:rsid w:val="009B09E7"/>
    <w:rsid w:val="009B0A09"/>
    <w:rsid w:val="009B0A46"/>
    <w:rsid w:val="009B0A6F"/>
    <w:rsid w:val="009B0A94"/>
    <w:rsid w:val="009B0ABE"/>
    <w:rsid w:val="009B0AC7"/>
    <w:rsid w:val="009B0C62"/>
    <w:rsid w:val="009B0CCB"/>
    <w:rsid w:val="009B0CF0"/>
    <w:rsid w:val="009B0F02"/>
    <w:rsid w:val="009B0FE8"/>
    <w:rsid w:val="009B1115"/>
    <w:rsid w:val="009B1191"/>
    <w:rsid w:val="009B1250"/>
    <w:rsid w:val="009B12ED"/>
    <w:rsid w:val="009B137A"/>
    <w:rsid w:val="009B139B"/>
    <w:rsid w:val="009B13C7"/>
    <w:rsid w:val="009B14C8"/>
    <w:rsid w:val="009B1633"/>
    <w:rsid w:val="009B1687"/>
    <w:rsid w:val="009B17AB"/>
    <w:rsid w:val="009B19AC"/>
    <w:rsid w:val="009B1AA6"/>
    <w:rsid w:val="009B1B64"/>
    <w:rsid w:val="009B1BBA"/>
    <w:rsid w:val="009B1CA8"/>
    <w:rsid w:val="009B1CA9"/>
    <w:rsid w:val="009B1D68"/>
    <w:rsid w:val="009B1DD6"/>
    <w:rsid w:val="009B1E2A"/>
    <w:rsid w:val="009B1EAA"/>
    <w:rsid w:val="009B1EAD"/>
    <w:rsid w:val="009B2053"/>
    <w:rsid w:val="009B2147"/>
    <w:rsid w:val="009B21A9"/>
    <w:rsid w:val="009B21D5"/>
    <w:rsid w:val="009B21E4"/>
    <w:rsid w:val="009B2273"/>
    <w:rsid w:val="009B23DE"/>
    <w:rsid w:val="009B2555"/>
    <w:rsid w:val="009B25E0"/>
    <w:rsid w:val="009B27CC"/>
    <w:rsid w:val="009B281C"/>
    <w:rsid w:val="009B2847"/>
    <w:rsid w:val="009B2A0D"/>
    <w:rsid w:val="009B2A30"/>
    <w:rsid w:val="009B2A93"/>
    <w:rsid w:val="009B2AB7"/>
    <w:rsid w:val="009B2AE8"/>
    <w:rsid w:val="009B2B00"/>
    <w:rsid w:val="009B2B0C"/>
    <w:rsid w:val="009B2B49"/>
    <w:rsid w:val="009B2C2E"/>
    <w:rsid w:val="009B2C37"/>
    <w:rsid w:val="009B2C4E"/>
    <w:rsid w:val="009B2E16"/>
    <w:rsid w:val="009B2EA0"/>
    <w:rsid w:val="009B3058"/>
    <w:rsid w:val="009B31B2"/>
    <w:rsid w:val="009B31DF"/>
    <w:rsid w:val="009B3231"/>
    <w:rsid w:val="009B323E"/>
    <w:rsid w:val="009B3273"/>
    <w:rsid w:val="009B3322"/>
    <w:rsid w:val="009B336C"/>
    <w:rsid w:val="009B3498"/>
    <w:rsid w:val="009B36E7"/>
    <w:rsid w:val="009B3715"/>
    <w:rsid w:val="009B377B"/>
    <w:rsid w:val="009B378C"/>
    <w:rsid w:val="009B3A0C"/>
    <w:rsid w:val="009B3A6F"/>
    <w:rsid w:val="009B3DB9"/>
    <w:rsid w:val="009B3DF1"/>
    <w:rsid w:val="009B3EC3"/>
    <w:rsid w:val="009B3F25"/>
    <w:rsid w:val="009B415A"/>
    <w:rsid w:val="009B4212"/>
    <w:rsid w:val="009B42EB"/>
    <w:rsid w:val="009B42F2"/>
    <w:rsid w:val="009B42F4"/>
    <w:rsid w:val="009B431E"/>
    <w:rsid w:val="009B4414"/>
    <w:rsid w:val="009B4522"/>
    <w:rsid w:val="009B453D"/>
    <w:rsid w:val="009B454A"/>
    <w:rsid w:val="009B4612"/>
    <w:rsid w:val="009B465C"/>
    <w:rsid w:val="009B4713"/>
    <w:rsid w:val="009B483B"/>
    <w:rsid w:val="009B492F"/>
    <w:rsid w:val="009B4ACF"/>
    <w:rsid w:val="009B4AD4"/>
    <w:rsid w:val="009B4B08"/>
    <w:rsid w:val="009B4B1D"/>
    <w:rsid w:val="009B4BA4"/>
    <w:rsid w:val="009B4C52"/>
    <w:rsid w:val="009B4C7D"/>
    <w:rsid w:val="009B4CDF"/>
    <w:rsid w:val="009B4CEA"/>
    <w:rsid w:val="009B4E23"/>
    <w:rsid w:val="009B4E5F"/>
    <w:rsid w:val="009B518F"/>
    <w:rsid w:val="009B51D8"/>
    <w:rsid w:val="009B52F7"/>
    <w:rsid w:val="009B5356"/>
    <w:rsid w:val="009B5622"/>
    <w:rsid w:val="009B5643"/>
    <w:rsid w:val="009B5685"/>
    <w:rsid w:val="009B5726"/>
    <w:rsid w:val="009B581D"/>
    <w:rsid w:val="009B5913"/>
    <w:rsid w:val="009B5921"/>
    <w:rsid w:val="009B595E"/>
    <w:rsid w:val="009B59E9"/>
    <w:rsid w:val="009B5A55"/>
    <w:rsid w:val="009B5A5A"/>
    <w:rsid w:val="009B5AF3"/>
    <w:rsid w:val="009B5B19"/>
    <w:rsid w:val="009B5B97"/>
    <w:rsid w:val="009B5BDB"/>
    <w:rsid w:val="009B5C6F"/>
    <w:rsid w:val="009B5C8D"/>
    <w:rsid w:val="009B5C8F"/>
    <w:rsid w:val="009B5E6D"/>
    <w:rsid w:val="009B5EF2"/>
    <w:rsid w:val="009B5F94"/>
    <w:rsid w:val="009B5FD5"/>
    <w:rsid w:val="009B619F"/>
    <w:rsid w:val="009B621E"/>
    <w:rsid w:val="009B6299"/>
    <w:rsid w:val="009B6339"/>
    <w:rsid w:val="009B6384"/>
    <w:rsid w:val="009B645F"/>
    <w:rsid w:val="009B648B"/>
    <w:rsid w:val="009B64AA"/>
    <w:rsid w:val="009B682B"/>
    <w:rsid w:val="009B6898"/>
    <w:rsid w:val="009B68B5"/>
    <w:rsid w:val="009B6D4F"/>
    <w:rsid w:val="009B6DA5"/>
    <w:rsid w:val="009B6E5A"/>
    <w:rsid w:val="009B6F1A"/>
    <w:rsid w:val="009B6F1C"/>
    <w:rsid w:val="009B6F94"/>
    <w:rsid w:val="009B70AA"/>
    <w:rsid w:val="009B7180"/>
    <w:rsid w:val="009B72B9"/>
    <w:rsid w:val="009B75CC"/>
    <w:rsid w:val="009B7AAD"/>
    <w:rsid w:val="009B7B3C"/>
    <w:rsid w:val="009B7C2A"/>
    <w:rsid w:val="009B7C89"/>
    <w:rsid w:val="009B7D6C"/>
    <w:rsid w:val="009B7EAB"/>
    <w:rsid w:val="009B7FAF"/>
    <w:rsid w:val="009C010D"/>
    <w:rsid w:val="009C021C"/>
    <w:rsid w:val="009C0258"/>
    <w:rsid w:val="009C05AC"/>
    <w:rsid w:val="009C05D1"/>
    <w:rsid w:val="009C0795"/>
    <w:rsid w:val="009C08BC"/>
    <w:rsid w:val="009C0BD8"/>
    <w:rsid w:val="009C0CD0"/>
    <w:rsid w:val="009C0D01"/>
    <w:rsid w:val="009C0D50"/>
    <w:rsid w:val="009C0DA8"/>
    <w:rsid w:val="009C0DD2"/>
    <w:rsid w:val="009C0E3C"/>
    <w:rsid w:val="009C0EF7"/>
    <w:rsid w:val="009C0F13"/>
    <w:rsid w:val="009C0F1F"/>
    <w:rsid w:val="009C0FD5"/>
    <w:rsid w:val="009C1084"/>
    <w:rsid w:val="009C1090"/>
    <w:rsid w:val="009C1150"/>
    <w:rsid w:val="009C1164"/>
    <w:rsid w:val="009C1191"/>
    <w:rsid w:val="009C11DB"/>
    <w:rsid w:val="009C13FC"/>
    <w:rsid w:val="009C1444"/>
    <w:rsid w:val="009C1563"/>
    <w:rsid w:val="009C1594"/>
    <w:rsid w:val="009C15EE"/>
    <w:rsid w:val="009C15F5"/>
    <w:rsid w:val="009C161F"/>
    <w:rsid w:val="009C16C3"/>
    <w:rsid w:val="009C179D"/>
    <w:rsid w:val="009C184B"/>
    <w:rsid w:val="009C18A6"/>
    <w:rsid w:val="009C1965"/>
    <w:rsid w:val="009C1B3B"/>
    <w:rsid w:val="009C1B62"/>
    <w:rsid w:val="009C1C08"/>
    <w:rsid w:val="009C1CF6"/>
    <w:rsid w:val="009C1D25"/>
    <w:rsid w:val="009C1E11"/>
    <w:rsid w:val="009C21C9"/>
    <w:rsid w:val="009C21F7"/>
    <w:rsid w:val="009C2298"/>
    <w:rsid w:val="009C2354"/>
    <w:rsid w:val="009C23AB"/>
    <w:rsid w:val="009C23FF"/>
    <w:rsid w:val="009C245E"/>
    <w:rsid w:val="009C2517"/>
    <w:rsid w:val="009C251D"/>
    <w:rsid w:val="009C268A"/>
    <w:rsid w:val="009C2700"/>
    <w:rsid w:val="009C271B"/>
    <w:rsid w:val="009C275D"/>
    <w:rsid w:val="009C27D1"/>
    <w:rsid w:val="009C27E7"/>
    <w:rsid w:val="009C296C"/>
    <w:rsid w:val="009C2973"/>
    <w:rsid w:val="009C2A25"/>
    <w:rsid w:val="009C2A6B"/>
    <w:rsid w:val="009C2AE3"/>
    <w:rsid w:val="009C2B77"/>
    <w:rsid w:val="009C2F04"/>
    <w:rsid w:val="009C303C"/>
    <w:rsid w:val="009C3091"/>
    <w:rsid w:val="009C3350"/>
    <w:rsid w:val="009C33C3"/>
    <w:rsid w:val="009C3496"/>
    <w:rsid w:val="009C34B2"/>
    <w:rsid w:val="009C3523"/>
    <w:rsid w:val="009C3566"/>
    <w:rsid w:val="009C393E"/>
    <w:rsid w:val="009C3AC7"/>
    <w:rsid w:val="009C3BD3"/>
    <w:rsid w:val="009C3C61"/>
    <w:rsid w:val="009C3CE4"/>
    <w:rsid w:val="009C3D5C"/>
    <w:rsid w:val="009C3D9B"/>
    <w:rsid w:val="009C3DB2"/>
    <w:rsid w:val="009C3E5A"/>
    <w:rsid w:val="009C4283"/>
    <w:rsid w:val="009C42B5"/>
    <w:rsid w:val="009C42B7"/>
    <w:rsid w:val="009C43A0"/>
    <w:rsid w:val="009C44CC"/>
    <w:rsid w:val="009C45BA"/>
    <w:rsid w:val="009C46AE"/>
    <w:rsid w:val="009C472F"/>
    <w:rsid w:val="009C4991"/>
    <w:rsid w:val="009C49B9"/>
    <w:rsid w:val="009C4B65"/>
    <w:rsid w:val="009C4B66"/>
    <w:rsid w:val="009C4E90"/>
    <w:rsid w:val="009C51D0"/>
    <w:rsid w:val="009C52B3"/>
    <w:rsid w:val="009C53E8"/>
    <w:rsid w:val="009C5535"/>
    <w:rsid w:val="009C5598"/>
    <w:rsid w:val="009C55B5"/>
    <w:rsid w:val="009C563D"/>
    <w:rsid w:val="009C5856"/>
    <w:rsid w:val="009C587D"/>
    <w:rsid w:val="009C598A"/>
    <w:rsid w:val="009C5B24"/>
    <w:rsid w:val="009C5BD1"/>
    <w:rsid w:val="009C5C74"/>
    <w:rsid w:val="009C5C88"/>
    <w:rsid w:val="009C5DBE"/>
    <w:rsid w:val="009C5DF8"/>
    <w:rsid w:val="009C5E77"/>
    <w:rsid w:val="009C6010"/>
    <w:rsid w:val="009C6148"/>
    <w:rsid w:val="009C6292"/>
    <w:rsid w:val="009C629A"/>
    <w:rsid w:val="009C6312"/>
    <w:rsid w:val="009C631F"/>
    <w:rsid w:val="009C6377"/>
    <w:rsid w:val="009C63F7"/>
    <w:rsid w:val="009C643F"/>
    <w:rsid w:val="009C6616"/>
    <w:rsid w:val="009C6843"/>
    <w:rsid w:val="009C68E9"/>
    <w:rsid w:val="009C68F5"/>
    <w:rsid w:val="009C68FD"/>
    <w:rsid w:val="009C6937"/>
    <w:rsid w:val="009C6B41"/>
    <w:rsid w:val="009C6BF0"/>
    <w:rsid w:val="009C6D7B"/>
    <w:rsid w:val="009C6E3F"/>
    <w:rsid w:val="009C6F3C"/>
    <w:rsid w:val="009C6FE7"/>
    <w:rsid w:val="009C721D"/>
    <w:rsid w:val="009C7385"/>
    <w:rsid w:val="009C7425"/>
    <w:rsid w:val="009C749D"/>
    <w:rsid w:val="009C750F"/>
    <w:rsid w:val="009C75BF"/>
    <w:rsid w:val="009C760F"/>
    <w:rsid w:val="009C777A"/>
    <w:rsid w:val="009C7816"/>
    <w:rsid w:val="009C7908"/>
    <w:rsid w:val="009C7A7E"/>
    <w:rsid w:val="009C7B29"/>
    <w:rsid w:val="009C7B60"/>
    <w:rsid w:val="009C7C8C"/>
    <w:rsid w:val="009C7D7F"/>
    <w:rsid w:val="009C7E0A"/>
    <w:rsid w:val="009C7EE7"/>
    <w:rsid w:val="009C7F25"/>
    <w:rsid w:val="009C7F40"/>
    <w:rsid w:val="009C7F99"/>
    <w:rsid w:val="009D00B2"/>
    <w:rsid w:val="009D00C2"/>
    <w:rsid w:val="009D01CD"/>
    <w:rsid w:val="009D02E8"/>
    <w:rsid w:val="009D0328"/>
    <w:rsid w:val="009D0451"/>
    <w:rsid w:val="009D047D"/>
    <w:rsid w:val="009D04B7"/>
    <w:rsid w:val="009D05ED"/>
    <w:rsid w:val="009D060C"/>
    <w:rsid w:val="009D0696"/>
    <w:rsid w:val="009D0704"/>
    <w:rsid w:val="009D0761"/>
    <w:rsid w:val="009D0807"/>
    <w:rsid w:val="009D0911"/>
    <w:rsid w:val="009D0921"/>
    <w:rsid w:val="009D0A34"/>
    <w:rsid w:val="009D0A5E"/>
    <w:rsid w:val="009D0D20"/>
    <w:rsid w:val="009D0E93"/>
    <w:rsid w:val="009D0F26"/>
    <w:rsid w:val="009D1066"/>
    <w:rsid w:val="009D11B6"/>
    <w:rsid w:val="009D11FA"/>
    <w:rsid w:val="009D131C"/>
    <w:rsid w:val="009D142F"/>
    <w:rsid w:val="009D15F5"/>
    <w:rsid w:val="009D1709"/>
    <w:rsid w:val="009D1817"/>
    <w:rsid w:val="009D1846"/>
    <w:rsid w:val="009D1ACE"/>
    <w:rsid w:val="009D1BC5"/>
    <w:rsid w:val="009D1D22"/>
    <w:rsid w:val="009D1D47"/>
    <w:rsid w:val="009D1D5A"/>
    <w:rsid w:val="009D1DFE"/>
    <w:rsid w:val="009D1F61"/>
    <w:rsid w:val="009D1FC7"/>
    <w:rsid w:val="009D1FFC"/>
    <w:rsid w:val="009D20E8"/>
    <w:rsid w:val="009D2329"/>
    <w:rsid w:val="009D236B"/>
    <w:rsid w:val="009D24DE"/>
    <w:rsid w:val="009D27F4"/>
    <w:rsid w:val="009D280C"/>
    <w:rsid w:val="009D2BB0"/>
    <w:rsid w:val="009D2BF5"/>
    <w:rsid w:val="009D2C98"/>
    <w:rsid w:val="009D2E06"/>
    <w:rsid w:val="009D2F11"/>
    <w:rsid w:val="009D316E"/>
    <w:rsid w:val="009D31FD"/>
    <w:rsid w:val="009D3291"/>
    <w:rsid w:val="009D32CA"/>
    <w:rsid w:val="009D3356"/>
    <w:rsid w:val="009D3447"/>
    <w:rsid w:val="009D36B9"/>
    <w:rsid w:val="009D3753"/>
    <w:rsid w:val="009D376E"/>
    <w:rsid w:val="009D37AA"/>
    <w:rsid w:val="009D3824"/>
    <w:rsid w:val="009D387D"/>
    <w:rsid w:val="009D3ACA"/>
    <w:rsid w:val="009D3B92"/>
    <w:rsid w:val="009D3B96"/>
    <w:rsid w:val="009D3C63"/>
    <w:rsid w:val="009D4016"/>
    <w:rsid w:val="009D43B9"/>
    <w:rsid w:val="009D44BC"/>
    <w:rsid w:val="009D44D4"/>
    <w:rsid w:val="009D4730"/>
    <w:rsid w:val="009D4731"/>
    <w:rsid w:val="009D477B"/>
    <w:rsid w:val="009D48B3"/>
    <w:rsid w:val="009D491B"/>
    <w:rsid w:val="009D496D"/>
    <w:rsid w:val="009D4AE2"/>
    <w:rsid w:val="009D4EBB"/>
    <w:rsid w:val="009D50E1"/>
    <w:rsid w:val="009D5165"/>
    <w:rsid w:val="009D516D"/>
    <w:rsid w:val="009D51C8"/>
    <w:rsid w:val="009D51D0"/>
    <w:rsid w:val="009D5300"/>
    <w:rsid w:val="009D5304"/>
    <w:rsid w:val="009D540E"/>
    <w:rsid w:val="009D54C3"/>
    <w:rsid w:val="009D54DF"/>
    <w:rsid w:val="009D563B"/>
    <w:rsid w:val="009D5682"/>
    <w:rsid w:val="009D5696"/>
    <w:rsid w:val="009D56A0"/>
    <w:rsid w:val="009D56C4"/>
    <w:rsid w:val="009D56CA"/>
    <w:rsid w:val="009D575A"/>
    <w:rsid w:val="009D578E"/>
    <w:rsid w:val="009D589E"/>
    <w:rsid w:val="009D5903"/>
    <w:rsid w:val="009D594D"/>
    <w:rsid w:val="009D59C8"/>
    <w:rsid w:val="009D59F3"/>
    <w:rsid w:val="009D5BB5"/>
    <w:rsid w:val="009D5C9A"/>
    <w:rsid w:val="009D5CC0"/>
    <w:rsid w:val="009D5CEC"/>
    <w:rsid w:val="009D5D9B"/>
    <w:rsid w:val="009D5DCA"/>
    <w:rsid w:val="009D5E14"/>
    <w:rsid w:val="009D5E63"/>
    <w:rsid w:val="009D5FE3"/>
    <w:rsid w:val="009D600C"/>
    <w:rsid w:val="009D6019"/>
    <w:rsid w:val="009D6038"/>
    <w:rsid w:val="009D6125"/>
    <w:rsid w:val="009D6155"/>
    <w:rsid w:val="009D6161"/>
    <w:rsid w:val="009D61B3"/>
    <w:rsid w:val="009D626B"/>
    <w:rsid w:val="009D62E2"/>
    <w:rsid w:val="009D62F1"/>
    <w:rsid w:val="009D636B"/>
    <w:rsid w:val="009D638A"/>
    <w:rsid w:val="009D6410"/>
    <w:rsid w:val="009D6482"/>
    <w:rsid w:val="009D64A9"/>
    <w:rsid w:val="009D666A"/>
    <w:rsid w:val="009D66FA"/>
    <w:rsid w:val="009D67CD"/>
    <w:rsid w:val="009D6934"/>
    <w:rsid w:val="009D696E"/>
    <w:rsid w:val="009D6A99"/>
    <w:rsid w:val="009D6BC9"/>
    <w:rsid w:val="009D6C60"/>
    <w:rsid w:val="009D6CA5"/>
    <w:rsid w:val="009D6E6E"/>
    <w:rsid w:val="009D6FD2"/>
    <w:rsid w:val="009D6FDF"/>
    <w:rsid w:val="009D70A4"/>
    <w:rsid w:val="009D7146"/>
    <w:rsid w:val="009D7227"/>
    <w:rsid w:val="009D73B6"/>
    <w:rsid w:val="009D73D9"/>
    <w:rsid w:val="009D7502"/>
    <w:rsid w:val="009D754D"/>
    <w:rsid w:val="009D7582"/>
    <w:rsid w:val="009D75B3"/>
    <w:rsid w:val="009D75BC"/>
    <w:rsid w:val="009D77AA"/>
    <w:rsid w:val="009D78AD"/>
    <w:rsid w:val="009D78B8"/>
    <w:rsid w:val="009D78F9"/>
    <w:rsid w:val="009D794A"/>
    <w:rsid w:val="009D79E6"/>
    <w:rsid w:val="009D7A20"/>
    <w:rsid w:val="009D7A65"/>
    <w:rsid w:val="009D7B14"/>
    <w:rsid w:val="009D7B88"/>
    <w:rsid w:val="009D7D2D"/>
    <w:rsid w:val="009D7D52"/>
    <w:rsid w:val="009D7DBE"/>
    <w:rsid w:val="009E0151"/>
    <w:rsid w:val="009E017F"/>
    <w:rsid w:val="009E01BD"/>
    <w:rsid w:val="009E025D"/>
    <w:rsid w:val="009E028E"/>
    <w:rsid w:val="009E02DC"/>
    <w:rsid w:val="009E0456"/>
    <w:rsid w:val="009E04C6"/>
    <w:rsid w:val="009E0515"/>
    <w:rsid w:val="009E057A"/>
    <w:rsid w:val="009E05AA"/>
    <w:rsid w:val="009E07C3"/>
    <w:rsid w:val="009E07F1"/>
    <w:rsid w:val="009E0808"/>
    <w:rsid w:val="009E08D1"/>
    <w:rsid w:val="009E096D"/>
    <w:rsid w:val="009E0A05"/>
    <w:rsid w:val="009E0ADB"/>
    <w:rsid w:val="009E0D58"/>
    <w:rsid w:val="009E0D96"/>
    <w:rsid w:val="009E0DFA"/>
    <w:rsid w:val="009E0EFB"/>
    <w:rsid w:val="009E102D"/>
    <w:rsid w:val="009E1083"/>
    <w:rsid w:val="009E129C"/>
    <w:rsid w:val="009E12F2"/>
    <w:rsid w:val="009E14B5"/>
    <w:rsid w:val="009E14EF"/>
    <w:rsid w:val="009E154F"/>
    <w:rsid w:val="009E15B0"/>
    <w:rsid w:val="009E1627"/>
    <w:rsid w:val="009E1646"/>
    <w:rsid w:val="009E16CE"/>
    <w:rsid w:val="009E17FF"/>
    <w:rsid w:val="009E1852"/>
    <w:rsid w:val="009E19DE"/>
    <w:rsid w:val="009E1A28"/>
    <w:rsid w:val="009E1B95"/>
    <w:rsid w:val="009E1EA2"/>
    <w:rsid w:val="009E202D"/>
    <w:rsid w:val="009E20EA"/>
    <w:rsid w:val="009E2111"/>
    <w:rsid w:val="009E2195"/>
    <w:rsid w:val="009E21D9"/>
    <w:rsid w:val="009E22F9"/>
    <w:rsid w:val="009E23BF"/>
    <w:rsid w:val="009E2468"/>
    <w:rsid w:val="009E261F"/>
    <w:rsid w:val="009E26ED"/>
    <w:rsid w:val="009E271F"/>
    <w:rsid w:val="009E2858"/>
    <w:rsid w:val="009E28F5"/>
    <w:rsid w:val="009E28F6"/>
    <w:rsid w:val="009E2951"/>
    <w:rsid w:val="009E2A59"/>
    <w:rsid w:val="009E2B0B"/>
    <w:rsid w:val="009E2C23"/>
    <w:rsid w:val="009E2D8C"/>
    <w:rsid w:val="009E2E2E"/>
    <w:rsid w:val="009E2E5A"/>
    <w:rsid w:val="009E307F"/>
    <w:rsid w:val="009E3214"/>
    <w:rsid w:val="009E32D5"/>
    <w:rsid w:val="009E342E"/>
    <w:rsid w:val="009E3539"/>
    <w:rsid w:val="009E354B"/>
    <w:rsid w:val="009E3784"/>
    <w:rsid w:val="009E3791"/>
    <w:rsid w:val="009E3832"/>
    <w:rsid w:val="009E388E"/>
    <w:rsid w:val="009E3898"/>
    <w:rsid w:val="009E3951"/>
    <w:rsid w:val="009E39F3"/>
    <w:rsid w:val="009E3A27"/>
    <w:rsid w:val="009E3A51"/>
    <w:rsid w:val="009E3B05"/>
    <w:rsid w:val="009E3B86"/>
    <w:rsid w:val="009E3C7A"/>
    <w:rsid w:val="009E3DF3"/>
    <w:rsid w:val="009E4000"/>
    <w:rsid w:val="009E4090"/>
    <w:rsid w:val="009E40EE"/>
    <w:rsid w:val="009E42B6"/>
    <w:rsid w:val="009E43C0"/>
    <w:rsid w:val="009E4404"/>
    <w:rsid w:val="009E445A"/>
    <w:rsid w:val="009E44C0"/>
    <w:rsid w:val="009E44D4"/>
    <w:rsid w:val="009E47C2"/>
    <w:rsid w:val="009E496F"/>
    <w:rsid w:val="009E4B0D"/>
    <w:rsid w:val="009E4B60"/>
    <w:rsid w:val="009E4BFA"/>
    <w:rsid w:val="009E4C97"/>
    <w:rsid w:val="009E4D40"/>
    <w:rsid w:val="009E4D7D"/>
    <w:rsid w:val="009E4DD6"/>
    <w:rsid w:val="009E4E10"/>
    <w:rsid w:val="009E4EEC"/>
    <w:rsid w:val="009E4EF2"/>
    <w:rsid w:val="009E4F13"/>
    <w:rsid w:val="009E4F90"/>
    <w:rsid w:val="009E4FFD"/>
    <w:rsid w:val="009E5159"/>
    <w:rsid w:val="009E523E"/>
    <w:rsid w:val="009E5250"/>
    <w:rsid w:val="009E5307"/>
    <w:rsid w:val="009E541B"/>
    <w:rsid w:val="009E5538"/>
    <w:rsid w:val="009E55EC"/>
    <w:rsid w:val="009E56A9"/>
    <w:rsid w:val="009E56AB"/>
    <w:rsid w:val="009E5797"/>
    <w:rsid w:val="009E57A2"/>
    <w:rsid w:val="009E59BB"/>
    <w:rsid w:val="009E59F2"/>
    <w:rsid w:val="009E5A1D"/>
    <w:rsid w:val="009E5B68"/>
    <w:rsid w:val="009E5BD2"/>
    <w:rsid w:val="009E5F15"/>
    <w:rsid w:val="009E5FF9"/>
    <w:rsid w:val="009E6118"/>
    <w:rsid w:val="009E62B9"/>
    <w:rsid w:val="009E62F3"/>
    <w:rsid w:val="009E6488"/>
    <w:rsid w:val="009E65A3"/>
    <w:rsid w:val="009E65CF"/>
    <w:rsid w:val="009E6660"/>
    <w:rsid w:val="009E68E2"/>
    <w:rsid w:val="009E6A08"/>
    <w:rsid w:val="009E6B9E"/>
    <w:rsid w:val="009E6D09"/>
    <w:rsid w:val="009E6D99"/>
    <w:rsid w:val="009E6F13"/>
    <w:rsid w:val="009E707C"/>
    <w:rsid w:val="009E7194"/>
    <w:rsid w:val="009E7231"/>
    <w:rsid w:val="009E7292"/>
    <w:rsid w:val="009E729F"/>
    <w:rsid w:val="009E73D5"/>
    <w:rsid w:val="009E76BB"/>
    <w:rsid w:val="009E76F6"/>
    <w:rsid w:val="009E7883"/>
    <w:rsid w:val="009E78BA"/>
    <w:rsid w:val="009E7A69"/>
    <w:rsid w:val="009E7C72"/>
    <w:rsid w:val="009E7D43"/>
    <w:rsid w:val="009E7E16"/>
    <w:rsid w:val="009E7E38"/>
    <w:rsid w:val="009E7E7D"/>
    <w:rsid w:val="009E7EDF"/>
    <w:rsid w:val="009E7F52"/>
    <w:rsid w:val="009E7F92"/>
    <w:rsid w:val="009E7FA7"/>
    <w:rsid w:val="009F0038"/>
    <w:rsid w:val="009F0127"/>
    <w:rsid w:val="009F0174"/>
    <w:rsid w:val="009F01EF"/>
    <w:rsid w:val="009F02A3"/>
    <w:rsid w:val="009F0385"/>
    <w:rsid w:val="009F0504"/>
    <w:rsid w:val="009F0652"/>
    <w:rsid w:val="009F0786"/>
    <w:rsid w:val="009F0B25"/>
    <w:rsid w:val="009F0CB2"/>
    <w:rsid w:val="009F0D49"/>
    <w:rsid w:val="009F0DEC"/>
    <w:rsid w:val="009F0E1F"/>
    <w:rsid w:val="009F0F4D"/>
    <w:rsid w:val="009F0F9B"/>
    <w:rsid w:val="009F12C7"/>
    <w:rsid w:val="009F1412"/>
    <w:rsid w:val="009F14EE"/>
    <w:rsid w:val="009F14EF"/>
    <w:rsid w:val="009F15ED"/>
    <w:rsid w:val="009F15FA"/>
    <w:rsid w:val="009F1600"/>
    <w:rsid w:val="009F17F2"/>
    <w:rsid w:val="009F19D0"/>
    <w:rsid w:val="009F19D7"/>
    <w:rsid w:val="009F1A78"/>
    <w:rsid w:val="009F1D88"/>
    <w:rsid w:val="009F1DD8"/>
    <w:rsid w:val="009F1E8F"/>
    <w:rsid w:val="009F1EDC"/>
    <w:rsid w:val="009F2022"/>
    <w:rsid w:val="009F20AB"/>
    <w:rsid w:val="009F20B0"/>
    <w:rsid w:val="009F2135"/>
    <w:rsid w:val="009F2158"/>
    <w:rsid w:val="009F2182"/>
    <w:rsid w:val="009F21A2"/>
    <w:rsid w:val="009F2219"/>
    <w:rsid w:val="009F24C0"/>
    <w:rsid w:val="009F24C3"/>
    <w:rsid w:val="009F2739"/>
    <w:rsid w:val="009F27BB"/>
    <w:rsid w:val="009F2909"/>
    <w:rsid w:val="009F2A31"/>
    <w:rsid w:val="009F2BF3"/>
    <w:rsid w:val="009F2C75"/>
    <w:rsid w:val="009F2D71"/>
    <w:rsid w:val="009F2DFE"/>
    <w:rsid w:val="009F2E64"/>
    <w:rsid w:val="009F2F27"/>
    <w:rsid w:val="009F3143"/>
    <w:rsid w:val="009F3263"/>
    <w:rsid w:val="009F3432"/>
    <w:rsid w:val="009F34AA"/>
    <w:rsid w:val="009F364F"/>
    <w:rsid w:val="009F36CC"/>
    <w:rsid w:val="009F37B0"/>
    <w:rsid w:val="009F3CB5"/>
    <w:rsid w:val="009F3EB7"/>
    <w:rsid w:val="009F3F7A"/>
    <w:rsid w:val="009F3F7D"/>
    <w:rsid w:val="009F40F2"/>
    <w:rsid w:val="009F41BC"/>
    <w:rsid w:val="009F4341"/>
    <w:rsid w:val="009F4349"/>
    <w:rsid w:val="009F439F"/>
    <w:rsid w:val="009F4462"/>
    <w:rsid w:val="009F450A"/>
    <w:rsid w:val="009F467C"/>
    <w:rsid w:val="009F47FD"/>
    <w:rsid w:val="009F48A3"/>
    <w:rsid w:val="009F4955"/>
    <w:rsid w:val="009F4A18"/>
    <w:rsid w:val="009F4A5F"/>
    <w:rsid w:val="009F4B10"/>
    <w:rsid w:val="009F4B2A"/>
    <w:rsid w:val="009F4B67"/>
    <w:rsid w:val="009F4D5B"/>
    <w:rsid w:val="009F4DE0"/>
    <w:rsid w:val="009F4DE7"/>
    <w:rsid w:val="009F4E35"/>
    <w:rsid w:val="009F4E83"/>
    <w:rsid w:val="009F4F2B"/>
    <w:rsid w:val="009F4F9C"/>
    <w:rsid w:val="009F5180"/>
    <w:rsid w:val="009F55AF"/>
    <w:rsid w:val="009F55EF"/>
    <w:rsid w:val="009F5616"/>
    <w:rsid w:val="009F566F"/>
    <w:rsid w:val="009F57F5"/>
    <w:rsid w:val="009F597F"/>
    <w:rsid w:val="009F5AA4"/>
    <w:rsid w:val="009F5AB3"/>
    <w:rsid w:val="009F5AE7"/>
    <w:rsid w:val="009F5AE8"/>
    <w:rsid w:val="009F5AF0"/>
    <w:rsid w:val="009F5B50"/>
    <w:rsid w:val="009F5C82"/>
    <w:rsid w:val="009F5DDB"/>
    <w:rsid w:val="009F5E1E"/>
    <w:rsid w:val="009F5E3C"/>
    <w:rsid w:val="009F5F53"/>
    <w:rsid w:val="009F5F77"/>
    <w:rsid w:val="009F5F9D"/>
    <w:rsid w:val="009F5FE5"/>
    <w:rsid w:val="009F621D"/>
    <w:rsid w:val="009F6362"/>
    <w:rsid w:val="009F63EC"/>
    <w:rsid w:val="009F6474"/>
    <w:rsid w:val="009F654D"/>
    <w:rsid w:val="009F65C2"/>
    <w:rsid w:val="009F66F5"/>
    <w:rsid w:val="009F67FE"/>
    <w:rsid w:val="009F6912"/>
    <w:rsid w:val="009F692D"/>
    <w:rsid w:val="009F6A8B"/>
    <w:rsid w:val="009F6BCB"/>
    <w:rsid w:val="009F6D5E"/>
    <w:rsid w:val="009F6D90"/>
    <w:rsid w:val="009F6ED2"/>
    <w:rsid w:val="009F6F31"/>
    <w:rsid w:val="009F709E"/>
    <w:rsid w:val="009F73F0"/>
    <w:rsid w:val="009F744F"/>
    <w:rsid w:val="009F75FC"/>
    <w:rsid w:val="009F764B"/>
    <w:rsid w:val="009F7749"/>
    <w:rsid w:val="009F7818"/>
    <w:rsid w:val="009F782B"/>
    <w:rsid w:val="009F7B78"/>
    <w:rsid w:val="009F7CB8"/>
    <w:rsid w:val="009F7DB0"/>
    <w:rsid w:val="009F7DBB"/>
    <w:rsid w:val="009F7E2C"/>
    <w:rsid w:val="009F7E48"/>
    <w:rsid w:val="009F7FF2"/>
    <w:rsid w:val="00A00004"/>
    <w:rsid w:val="00A00091"/>
    <w:rsid w:val="00A00178"/>
    <w:rsid w:val="00A001CD"/>
    <w:rsid w:val="00A003C4"/>
    <w:rsid w:val="00A0043A"/>
    <w:rsid w:val="00A00498"/>
    <w:rsid w:val="00A0057A"/>
    <w:rsid w:val="00A00931"/>
    <w:rsid w:val="00A009B0"/>
    <w:rsid w:val="00A00AAB"/>
    <w:rsid w:val="00A00C6E"/>
    <w:rsid w:val="00A00D16"/>
    <w:rsid w:val="00A00F0E"/>
    <w:rsid w:val="00A00F9A"/>
    <w:rsid w:val="00A01212"/>
    <w:rsid w:val="00A0126C"/>
    <w:rsid w:val="00A0128B"/>
    <w:rsid w:val="00A012C6"/>
    <w:rsid w:val="00A014F4"/>
    <w:rsid w:val="00A01505"/>
    <w:rsid w:val="00A0162D"/>
    <w:rsid w:val="00A01632"/>
    <w:rsid w:val="00A016D6"/>
    <w:rsid w:val="00A01729"/>
    <w:rsid w:val="00A017B0"/>
    <w:rsid w:val="00A01827"/>
    <w:rsid w:val="00A018CE"/>
    <w:rsid w:val="00A01962"/>
    <w:rsid w:val="00A019E8"/>
    <w:rsid w:val="00A01A15"/>
    <w:rsid w:val="00A01A6E"/>
    <w:rsid w:val="00A01AF2"/>
    <w:rsid w:val="00A01BBA"/>
    <w:rsid w:val="00A01C94"/>
    <w:rsid w:val="00A01C9C"/>
    <w:rsid w:val="00A01CBD"/>
    <w:rsid w:val="00A02292"/>
    <w:rsid w:val="00A02330"/>
    <w:rsid w:val="00A02478"/>
    <w:rsid w:val="00A024DA"/>
    <w:rsid w:val="00A025B3"/>
    <w:rsid w:val="00A025E6"/>
    <w:rsid w:val="00A025F5"/>
    <w:rsid w:val="00A02609"/>
    <w:rsid w:val="00A0265C"/>
    <w:rsid w:val="00A026B9"/>
    <w:rsid w:val="00A02790"/>
    <w:rsid w:val="00A02795"/>
    <w:rsid w:val="00A0285B"/>
    <w:rsid w:val="00A029E0"/>
    <w:rsid w:val="00A02B8C"/>
    <w:rsid w:val="00A02C54"/>
    <w:rsid w:val="00A02CFE"/>
    <w:rsid w:val="00A02DDD"/>
    <w:rsid w:val="00A02E65"/>
    <w:rsid w:val="00A02FA1"/>
    <w:rsid w:val="00A03258"/>
    <w:rsid w:val="00A03334"/>
    <w:rsid w:val="00A03437"/>
    <w:rsid w:val="00A035EE"/>
    <w:rsid w:val="00A03762"/>
    <w:rsid w:val="00A038C6"/>
    <w:rsid w:val="00A038C9"/>
    <w:rsid w:val="00A038F6"/>
    <w:rsid w:val="00A03C9F"/>
    <w:rsid w:val="00A03D04"/>
    <w:rsid w:val="00A03D7C"/>
    <w:rsid w:val="00A03E23"/>
    <w:rsid w:val="00A0409A"/>
    <w:rsid w:val="00A040E6"/>
    <w:rsid w:val="00A041F7"/>
    <w:rsid w:val="00A0435E"/>
    <w:rsid w:val="00A04489"/>
    <w:rsid w:val="00A045A0"/>
    <w:rsid w:val="00A0460C"/>
    <w:rsid w:val="00A046AF"/>
    <w:rsid w:val="00A04999"/>
    <w:rsid w:val="00A04A36"/>
    <w:rsid w:val="00A04B15"/>
    <w:rsid w:val="00A04CCE"/>
    <w:rsid w:val="00A05012"/>
    <w:rsid w:val="00A05047"/>
    <w:rsid w:val="00A051E8"/>
    <w:rsid w:val="00A05337"/>
    <w:rsid w:val="00A05358"/>
    <w:rsid w:val="00A05390"/>
    <w:rsid w:val="00A0554D"/>
    <w:rsid w:val="00A055BE"/>
    <w:rsid w:val="00A05836"/>
    <w:rsid w:val="00A05A33"/>
    <w:rsid w:val="00A05D46"/>
    <w:rsid w:val="00A05D9F"/>
    <w:rsid w:val="00A05FEC"/>
    <w:rsid w:val="00A06073"/>
    <w:rsid w:val="00A06368"/>
    <w:rsid w:val="00A06481"/>
    <w:rsid w:val="00A06490"/>
    <w:rsid w:val="00A06664"/>
    <w:rsid w:val="00A06828"/>
    <w:rsid w:val="00A0691F"/>
    <w:rsid w:val="00A06991"/>
    <w:rsid w:val="00A06A04"/>
    <w:rsid w:val="00A06A8A"/>
    <w:rsid w:val="00A06BD8"/>
    <w:rsid w:val="00A06CF0"/>
    <w:rsid w:val="00A06D54"/>
    <w:rsid w:val="00A06DFD"/>
    <w:rsid w:val="00A06E30"/>
    <w:rsid w:val="00A06E64"/>
    <w:rsid w:val="00A07113"/>
    <w:rsid w:val="00A07171"/>
    <w:rsid w:val="00A072DB"/>
    <w:rsid w:val="00A07421"/>
    <w:rsid w:val="00A07499"/>
    <w:rsid w:val="00A074CD"/>
    <w:rsid w:val="00A07652"/>
    <w:rsid w:val="00A07716"/>
    <w:rsid w:val="00A0776B"/>
    <w:rsid w:val="00A0780D"/>
    <w:rsid w:val="00A07935"/>
    <w:rsid w:val="00A079C6"/>
    <w:rsid w:val="00A07A79"/>
    <w:rsid w:val="00A07A99"/>
    <w:rsid w:val="00A07CE1"/>
    <w:rsid w:val="00A07DE6"/>
    <w:rsid w:val="00A07E41"/>
    <w:rsid w:val="00A07E46"/>
    <w:rsid w:val="00A102A9"/>
    <w:rsid w:val="00A10306"/>
    <w:rsid w:val="00A10508"/>
    <w:rsid w:val="00A10620"/>
    <w:rsid w:val="00A1068D"/>
    <w:rsid w:val="00A10736"/>
    <w:rsid w:val="00A107F5"/>
    <w:rsid w:val="00A10804"/>
    <w:rsid w:val="00A10820"/>
    <w:rsid w:val="00A10993"/>
    <w:rsid w:val="00A109E5"/>
    <w:rsid w:val="00A10A52"/>
    <w:rsid w:val="00A10AE5"/>
    <w:rsid w:val="00A10B1E"/>
    <w:rsid w:val="00A10B50"/>
    <w:rsid w:val="00A10BFE"/>
    <w:rsid w:val="00A10C69"/>
    <w:rsid w:val="00A10F40"/>
    <w:rsid w:val="00A10F87"/>
    <w:rsid w:val="00A10FB9"/>
    <w:rsid w:val="00A1109D"/>
    <w:rsid w:val="00A11134"/>
    <w:rsid w:val="00A11295"/>
    <w:rsid w:val="00A11421"/>
    <w:rsid w:val="00A115AE"/>
    <w:rsid w:val="00A115B5"/>
    <w:rsid w:val="00A115E3"/>
    <w:rsid w:val="00A11871"/>
    <w:rsid w:val="00A118C2"/>
    <w:rsid w:val="00A11979"/>
    <w:rsid w:val="00A11A9D"/>
    <w:rsid w:val="00A11C0B"/>
    <w:rsid w:val="00A11C76"/>
    <w:rsid w:val="00A11CB2"/>
    <w:rsid w:val="00A11F75"/>
    <w:rsid w:val="00A1203E"/>
    <w:rsid w:val="00A120FF"/>
    <w:rsid w:val="00A12122"/>
    <w:rsid w:val="00A1212F"/>
    <w:rsid w:val="00A12173"/>
    <w:rsid w:val="00A12338"/>
    <w:rsid w:val="00A1245D"/>
    <w:rsid w:val="00A12479"/>
    <w:rsid w:val="00A12480"/>
    <w:rsid w:val="00A126A5"/>
    <w:rsid w:val="00A126AA"/>
    <w:rsid w:val="00A127B4"/>
    <w:rsid w:val="00A12916"/>
    <w:rsid w:val="00A12A80"/>
    <w:rsid w:val="00A12ACA"/>
    <w:rsid w:val="00A12BDB"/>
    <w:rsid w:val="00A12F35"/>
    <w:rsid w:val="00A12F76"/>
    <w:rsid w:val="00A12FEB"/>
    <w:rsid w:val="00A130B6"/>
    <w:rsid w:val="00A131B3"/>
    <w:rsid w:val="00A131D8"/>
    <w:rsid w:val="00A13643"/>
    <w:rsid w:val="00A1387C"/>
    <w:rsid w:val="00A1389F"/>
    <w:rsid w:val="00A139A6"/>
    <w:rsid w:val="00A13A40"/>
    <w:rsid w:val="00A13A48"/>
    <w:rsid w:val="00A13B2D"/>
    <w:rsid w:val="00A13B7A"/>
    <w:rsid w:val="00A13BB4"/>
    <w:rsid w:val="00A13BBD"/>
    <w:rsid w:val="00A13BF2"/>
    <w:rsid w:val="00A13C22"/>
    <w:rsid w:val="00A13C6A"/>
    <w:rsid w:val="00A13DD5"/>
    <w:rsid w:val="00A13F9B"/>
    <w:rsid w:val="00A1407B"/>
    <w:rsid w:val="00A142FD"/>
    <w:rsid w:val="00A1449C"/>
    <w:rsid w:val="00A144E6"/>
    <w:rsid w:val="00A145B3"/>
    <w:rsid w:val="00A145F7"/>
    <w:rsid w:val="00A1474F"/>
    <w:rsid w:val="00A14980"/>
    <w:rsid w:val="00A14996"/>
    <w:rsid w:val="00A14A39"/>
    <w:rsid w:val="00A14B62"/>
    <w:rsid w:val="00A14BB0"/>
    <w:rsid w:val="00A14D6C"/>
    <w:rsid w:val="00A14D98"/>
    <w:rsid w:val="00A14D9B"/>
    <w:rsid w:val="00A14DC9"/>
    <w:rsid w:val="00A15051"/>
    <w:rsid w:val="00A1505D"/>
    <w:rsid w:val="00A150A3"/>
    <w:rsid w:val="00A1518A"/>
    <w:rsid w:val="00A15213"/>
    <w:rsid w:val="00A1529A"/>
    <w:rsid w:val="00A154FC"/>
    <w:rsid w:val="00A155BC"/>
    <w:rsid w:val="00A155F5"/>
    <w:rsid w:val="00A15654"/>
    <w:rsid w:val="00A15678"/>
    <w:rsid w:val="00A15752"/>
    <w:rsid w:val="00A157B1"/>
    <w:rsid w:val="00A157D9"/>
    <w:rsid w:val="00A1596E"/>
    <w:rsid w:val="00A159AB"/>
    <w:rsid w:val="00A15A27"/>
    <w:rsid w:val="00A15A4C"/>
    <w:rsid w:val="00A15BAA"/>
    <w:rsid w:val="00A15DA5"/>
    <w:rsid w:val="00A15DB8"/>
    <w:rsid w:val="00A15E3A"/>
    <w:rsid w:val="00A15E93"/>
    <w:rsid w:val="00A15EA8"/>
    <w:rsid w:val="00A15FA2"/>
    <w:rsid w:val="00A1601D"/>
    <w:rsid w:val="00A160A1"/>
    <w:rsid w:val="00A160CC"/>
    <w:rsid w:val="00A160E6"/>
    <w:rsid w:val="00A16123"/>
    <w:rsid w:val="00A161D3"/>
    <w:rsid w:val="00A162F1"/>
    <w:rsid w:val="00A163BA"/>
    <w:rsid w:val="00A1649C"/>
    <w:rsid w:val="00A16536"/>
    <w:rsid w:val="00A1683B"/>
    <w:rsid w:val="00A16AD0"/>
    <w:rsid w:val="00A16B29"/>
    <w:rsid w:val="00A16E62"/>
    <w:rsid w:val="00A16E86"/>
    <w:rsid w:val="00A16F0D"/>
    <w:rsid w:val="00A16FA4"/>
    <w:rsid w:val="00A173F6"/>
    <w:rsid w:val="00A17458"/>
    <w:rsid w:val="00A1782F"/>
    <w:rsid w:val="00A17849"/>
    <w:rsid w:val="00A17850"/>
    <w:rsid w:val="00A17A91"/>
    <w:rsid w:val="00A17ABF"/>
    <w:rsid w:val="00A17B11"/>
    <w:rsid w:val="00A17BB2"/>
    <w:rsid w:val="00A17CBB"/>
    <w:rsid w:val="00A17CF7"/>
    <w:rsid w:val="00A17E54"/>
    <w:rsid w:val="00A17E5F"/>
    <w:rsid w:val="00A17E9F"/>
    <w:rsid w:val="00A20007"/>
    <w:rsid w:val="00A200D5"/>
    <w:rsid w:val="00A20182"/>
    <w:rsid w:val="00A20330"/>
    <w:rsid w:val="00A20359"/>
    <w:rsid w:val="00A20387"/>
    <w:rsid w:val="00A203A0"/>
    <w:rsid w:val="00A2050A"/>
    <w:rsid w:val="00A206BD"/>
    <w:rsid w:val="00A20816"/>
    <w:rsid w:val="00A208B1"/>
    <w:rsid w:val="00A20954"/>
    <w:rsid w:val="00A20A29"/>
    <w:rsid w:val="00A20A55"/>
    <w:rsid w:val="00A20B1D"/>
    <w:rsid w:val="00A20B8A"/>
    <w:rsid w:val="00A20E52"/>
    <w:rsid w:val="00A20F0B"/>
    <w:rsid w:val="00A20F66"/>
    <w:rsid w:val="00A211EA"/>
    <w:rsid w:val="00A21258"/>
    <w:rsid w:val="00A21425"/>
    <w:rsid w:val="00A21465"/>
    <w:rsid w:val="00A21713"/>
    <w:rsid w:val="00A217B1"/>
    <w:rsid w:val="00A2181D"/>
    <w:rsid w:val="00A218A9"/>
    <w:rsid w:val="00A21909"/>
    <w:rsid w:val="00A21957"/>
    <w:rsid w:val="00A219AB"/>
    <w:rsid w:val="00A219FC"/>
    <w:rsid w:val="00A21A13"/>
    <w:rsid w:val="00A21A79"/>
    <w:rsid w:val="00A21B5A"/>
    <w:rsid w:val="00A21D84"/>
    <w:rsid w:val="00A21DA5"/>
    <w:rsid w:val="00A21FDE"/>
    <w:rsid w:val="00A22140"/>
    <w:rsid w:val="00A22229"/>
    <w:rsid w:val="00A222B4"/>
    <w:rsid w:val="00A222E2"/>
    <w:rsid w:val="00A2233C"/>
    <w:rsid w:val="00A223BD"/>
    <w:rsid w:val="00A22487"/>
    <w:rsid w:val="00A22492"/>
    <w:rsid w:val="00A2287E"/>
    <w:rsid w:val="00A228EC"/>
    <w:rsid w:val="00A2294F"/>
    <w:rsid w:val="00A22980"/>
    <w:rsid w:val="00A22A02"/>
    <w:rsid w:val="00A22A88"/>
    <w:rsid w:val="00A22D6B"/>
    <w:rsid w:val="00A22F1A"/>
    <w:rsid w:val="00A22FD8"/>
    <w:rsid w:val="00A23031"/>
    <w:rsid w:val="00A23034"/>
    <w:rsid w:val="00A2305A"/>
    <w:rsid w:val="00A2336A"/>
    <w:rsid w:val="00A234E5"/>
    <w:rsid w:val="00A23516"/>
    <w:rsid w:val="00A23573"/>
    <w:rsid w:val="00A236D8"/>
    <w:rsid w:val="00A236DA"/>
    <w:rsid w:val="00A23763"/>
    <w:rsid w:val="00A23812"/>
    <w:rsid w:val="00A239A3"/>
    <w:rsid w:val="00A23A26"/>
    <w:rsid w:val="00A23AFF"/>
    <w:rsid w:val="00A23B2E"/>
    <w:rsid w:val="00A23BC4"/>
    <w:rsid w:val="00A23CD6"/>
    <w:rsid w:val="00A23D93"/>
    <w:rsid w:val="00A23DAC"/>
    <w:rsid w:val="00A23DCF"/>
    <w:rsid w:val="00A23E32"/>
    <w:rsid w:val="00A23E89"/>
    <w:rsid w:val="00A23E93"/>
    <w:rsid w:val="00A24063"/>
    <w:rsid w:val="00A24071"/>
    <w:rsid w:val="00A24078"/>
    <w:rsid w:val="00A240A1"/>
    <w:rsid w:val="00A24167"/>
    <w:rsid w:val="00A2420B"/>
    <w:rsid w:val="00A2420F"/>
    <w:rsid w:val="00A2438E"/>
    <w:rsid w:val="00A24442"/>
    <w:rsid w:val="00A244C0"/>
    <w:rsid w:val="00A24507"/>
    <w:rsid w:val="00A24545"/>
    <w:rsid w:val="00A24588"/>
    <w:rsid w:val="00A24739"/>
    <w:rsid w:val="00A247C8"/>
    <w:rsid w:val="00A2484F"/>
    <w:rsid w:val="00A24874"/>
    <w:rsid w:val="00A24A19"/>
    <w:rsid w:val="00A24A99"/>
    <w:rsid w:val="00A24ADA"/>
    <w:rsid w:val="00A24C5F"/>
    <w:rsid w:val="00A24CCA"/>
    <w:rsid w:val="00A24D4F"/>
    <w:rsid w:val="00A24DF8"/>
    <w:rsid w:val="00A24E4B"/>
    <w:rsid w:val="00A24EBD"/>
    <w:rsid w:val="00A2511A"/>
    <w:rsid w:val="00A25120"/>
    <w:rsid w:val="00A2512A"/>
    <w:rsid w:val="00A251FB"/>
    <w:rsid w:val="00A2524B"/>
    <w:rsid w:val="00A2532C"/>
    <w:rsid w:val="00A253AD"/>
    <w:rsid w:val="00A253EB"/>
    <w:rsid w:val="00A25454"/>
    <w:rsid w:val="00A25560"/>
    <w:rsid w:val="00A2567F"/>
    <w:rsid w:val="00A25694"/>
    <w:rsid w:val="00A25736"/>
    <w:rsid w:val="00A25746"/>
    <w:rsid w:val="00A259B8"/>
    <w:rsid w:val="00A25A88"/>
    <w:rsid w:val="00A25C47"/>
    <w:rsid w:val="00A25CCD"/>
    <w:rsid w:val="00A2601B"/>
    <w:rsid w:val="00A2619A"/>
    <w:rsid w:val="00A26215"/>
    <w:rsid w:val="00A262E8"/>
    <w:rsid w:val="00A26333"/>
    <w:rsid w:val="00A263DB"/>
    <w:rsid w:val="00A2668A"/>
    <w:rsid w:val="00A26717"/>
    <w:rsid w:val="00A267DF"/>
    <w:rsid w:val="00A26876"/>
    <w:rsid w:val="00A268C0"/>
    <w:rsid w:val="00A26AAD"/>
    <w:rsid w:val="00A26ACD"/>
    <w:rsid w:val="00A26AF5"/>
    <w:rsid w:val="00A26BD0"/>
    <w:rsid w:val="00A26C00"/>
    <w:rsid w:val="00A26C5A"/>
    <w:rsid w:val="00A26CAE"/>
    <w:rsid w:val="00A26CBC"/>
    <w:rsid w:val="00A26D30"/>
    <w:rsid w:val="00A2704B"/>
    <w:rsid w:val="00A27296"/>
    <w:rsid w:val="00A272A0"/>
    <w:rsid w:val="00A27335"/>
    <w:rsid w:val="00A27375"/>
    <w:rsid w:val="00A2742F"/>
    <w:rsid w:val="00A2758C"/>
    <w:rsid w:val="00A275EE"/>
    <w:rsid w:val="00A27615"/>
    <w:rsid w:val="00A2773A"/>
    <w:rsid w:val="00A278B4"/>
    <w:rsid w:val="00A27B69"/>
    <w:rsid w:val="00A27BA1"/>
    <w:rsid w:val="00A27C55"/>
    <w:rsid w:val="00A27CB5"/>
    <w:rsid w:val="00A27CFE"/>
    <w:rsid w:val="00A27D88"/>
    <w:rsid w:val="00A27E6E"/>
    <w:rsid w:val="00A30072"/>
    <w:rsid w:val="00A300BD"/>
    <w:rsid w:val="00A3016D"/>
    <w:rsid w:val="00A302C1"/>
    <w:rsid w:val="00A302FF"/>
    <w:rsid w:val="00A30345"/>
    <w:rsid w:val="00A303C4"/>
    <w:rsid w:val="00A3051B"/>
    <w:rsid w:val="00A30591"/>
    <w:rsid w:val="00A3069E"/>
    <w:rsid w:val="00A307BD"/>
    <w:rsid w:val="00A308AD"/>
    <w:rsid w:val="00A30970"/>
    <w:rsid w:val="00A309E0"/>
    <w:rsid w:val="00A30A3B"/>
    <w:rsid w:val="00A30B00"/>
    <w:rsid w:val="00A30B23"/>
    <w:rsid w:val="00A30CED"/>
    <w:rsid w:val="00A30D70"/>
    <w:rsid w:val="00A30E5F"/>
    <w:rsid w:val="00A30E83"/>
    <w:rsid w:val="00A30EF2"/>
    <w:rsid w:val="00A30F55"/>
    <w:rsid w:val="00A310C7"/>
    <w:rsid w:val="00A310C9"/>
    <w:rsid w:val="00A310E6"/>
    <w:rsid w:val="00A3115D"/>
    <w:rsid w:val="00A311BF"/>
    <w:rsid w:val="00A31203"/>
    <w:rsid w:val="00A3138F"/>
    <w:rsid w:val="00A313A1"/>
    <w:rsid w:val="00A313B6"/>
    <w:rsid w:val="00A314A7"/>
    <w:rsid w:val="00A31518"/>
    <w:rsid w:val="00A31554"/>
    <w:rsid w:val="00A31616"/>
    <w:rsid w:val="00A31820"/>
    <w:rsid w:val="00A31B85"/>
    <w:rsid w:val="00A31C84"/>
    <w:rsid w:val="00A31CEA"/>
    <w:rsid w:val="00A31DDD"/>
    <w:rsid w:val="00A32308"/>
    <w:rsid w:val="00A32333"/>
    <w:rsid w:val="00A32498"/>
    <w:rsid w:val="00A32577"/>
    <w:rsid w:val="00A325DB"/>
    <w:rsid w:val="00A326A0"/>
    <w:rsid w:val="00A326C9"/>
    <w:rsid w:val="00A32723"/>
    <w:rsid w:val="00A32991"/>
    <w:rsid w:val="00A32ABD"/>
    <w:rsid w:val="00A32B34"/>
    <w:rsid w:val="00A32B60"/>
    <w:rsid w:val="00A32CE0"/>
    <w:rsid w:val="00A32CEB"/>
    <w:rsid w:val="00A32F69"/>
    <w:rsid w:val="00A32F6D"/>
    <w:rsid w:val="00A330BB"/>
    <w:rsid w:val="00A33130"/>
    <w:rsid w:val="00A331BE"/>
    <w:rsid w:val="00A331FB"/>
    <w:rsid w:val="00A332D6"/>
    <w:rsid w:val="00A33400"/>
    <w:rsid w:val="00A33487"/>
    <w:rsid w:val="00A334AF"/>
    <w:rsid w:val="00A33580"/>
    <w:rsid w:val="00A335E5"/>
    <w:rsid w:val="00A3374A"/>
    <w:rsid w:val="00A337DD"/>
    <w:rsid w:val="00A338BD"/>
    <w:rsid w:val="00A338F2"/>
    <w:rsid w:val="00A33961"/>
    <w:rsid w:val="00A33AB6"/>
    <w:rsid w:val="00A33B3F"/>
    <w:rsid w:val="00A33B4D"/>
    <w:rsid w:val="00A33BC1"/>
    <w:rsid w:val="00A33C77"/>
    <w:rsid w:val="00A33DC0"/>
    <w:rsid w:val="00A33EBA"/>
    <w:rsid w:val="00A33ECC"/>
    <w:rsid w:val="00A33ECD"/>
    <w:rsid w:val="00A33F9A"/>
    <w:rsid w:val="00A340F8"/>
    <w:rsid w:val="00A34153"/>
    <w:rsid w:val="00A34217"/>
    <w:rsid w:val="00A3422D"/>
    <w:rsid w:val="00A342B6"/>
    <w:rsid w:val="00A3436B"/>
    <w:rsid w:val="00A34582"/>
    <w:rsid w:val="00A34674"/>
    <w:rsid w:val="00A346CE"/>
    <w:rsid w:val="00A3486D"/>
    <w:rsid w:val="00A3491A"/>
    <w:rsid w:val="00A34978"/>
    <w:rsid w:val="00A349A3"/>
    <w:rsid w:val="00A34A12"/>
    <w:rsid w:val="00A34BB3"/>
    <w:rsid w:val="00A34BF5"/>
    <w:rsid w:val="00A34C3E"/>
    <w:rsid w:val="00A34C62"/>
    <w:rsid w:val="00A34CA9"/>
    <w:rsid w:val="00A34CCE"/>
    <w:rsid w:val="00A34E19"/>
    <w:rsid w:val="00A34E33"/>
    <w:rsid w:val="00A34F14"/>
    <w:rsid w:val="00A34F71"/>
    <w:rsid w:val="00A3512C"/>
    <w:rsid w:val="00A35130"/>
    <w:rsid w:val="00A351E2"/>
    <w:rsid w:val="00A352BF"/>
    <w:rsid w:val="00A352E1"/>
    <w:rsid w:val="00A3539D"/>
    <w:rsid w:val="00A35474"/>
    <w:rsid w:val="00A35976"/>
    <w:rsid w:val="00A35A56"/>
    <w:rsid w:val="00A35A74"/>
    <w:rsid w:val="00A35EAE"/>
    <w:rsid w:val="00A36300"/>
    <w:rsid w:val="00A3642A"/>
    <w:rsid w:val="00A36454"/>
    <w:rsid w:val="00A364B0"/>
    <w:rsid w:val="00A3651D"/>
    <w:rsid w:val="00A365A3"/>
    <w:rsid w:val="00A36614"/>
    <w:rsid w:val="00A366A5"/>
    <w:rsid w:val="00A36700"/>
    <w:rsid w:val="00A36765"/>
    <w:rsid w:val="00A36825"/>
    <w:rsid w:val="00A36974"/>
    <w:rsid w:val="00A369E8"/>
    <w:rsid w:val="00A36C4C"/>
    <w:rsid w:val="00A36DDB"/>
    <w:rsid w:val="00A36DDF"/>
    <w:rsid w:val="00A36F79"/>
    <w:rsid w:val="00A37228"/>
    <w:rsid w:val="00A37233"/>
    <w:rsid w:val="00A37494"/>
    <w:rsid w:val="00A3754A"/>
    <w:rsid w:val="00A376E1"/>
    <w:rsid w:val="00A37762"/>
    <w:rsid w:val="00A37AA9"/>
    <w:rsid w:val="00A37BB7"/>
    <w:rsid w:val="00A37C02"/>
    <w:rsid w:val="00A37C20"/>
    <w:rsid w:val="00A37E30"/>
    <w:rsid w:val="00A4006D"/>
    <w:rsid w:val="00A40154"/>
    <w:rsid w:val="00A40238"/>
    <w:rsid w:val="00A40326"/>
    <w:rsid w:val="00A40332"/>
    <w:rsid w:val="00A40354"/>
    <w:rsid w:val="00A4047D"/>
    <w:rsid w:val="00A404FE"/>
    <w:rsid w:val="00A405BC"/>
    <w:rsid w:val="00A405BF"/>
    <w:rsid w:val="00A40668"/>
    <w:rsid w:val="00A40677"/>
    <w:rsid w:val="00A40781"/>
    <w:rsid w:val="00A40A2D"/>
    <w:rsid w:val="00A40C34"/>
    <w:rsid w:val="00A40C9D"/>
    <w:rsid w:val="00A40CE0"/>
    <w:rsid w:val="00A40D56"/>
    <w:rsid w:val="00A40D8A"/>
    <w:rsid w:val="00A41123"/>
    <w:rsid w:val="00A41156"/>
    <w:rsid w:val="00A411F5"/>
    <w:rsid w:val="00A41283"/>
    <w:rsid w:val="00A4135F"/>
    <w:rsid w:val="00A413F0"/>
    <w:rsid w:val="00A41444"/>
    <w:rsid w:val="00A414C8"/>
    <w:rsid w:val="00A41662"/>
    <w:rsid w:val="00A41671"/>
    <w:rsid w:val="00A416A7"/>
    <w:rsid w:val="00A41778"/>
    <w:rsid w:val="00A417B9"/>
    <w:rsid w:val="00A418B5"/>
    <w:rsid w:val="00A418BC"/>
    <w:rsid w:val="00A41936"/>
    <w:rsid w:val="00A4198E"/>
    <w:rsid w:val="00A419C7"/>
    <w:rsid w:val="00A41B57"/>
    <w:rsid w:val="00A41BC1"/>
    <w:rsid w:val="00A41C9F"/>
    <w:rsid w:val="00A41E6A"/>
    <w:rsid w:val="00A42080"/>
    <w:rsid w:val="00A421A9"/>
    <w:rsid w:val="00A422B0"/>
    <w:rsid w:val="00A424B0"/>
    <w:rsid w:val="00A42539"/>
    <w:rsid w:val="00A4258D"/>
    <w:rsid w:val="00A426DA"/>
    <w:rsid w:val="00A426ED"/>
    <w:rsid w:val="00A42775"/>
    <w:rsid w:val="00A427BC"/>
    <w:rsid w:val="00A427C4"/>
    <w:rsid w:val="00A427F9"/>
    <w:rsid w:val="00A42909"/>
    <w:rsid w:val="00A4293F"/>
    <w:rsid w:val="00A429B2"/>
    <w:rsid w:val="00A42A16"/>
    <w:rsid w:val="00A42BA9"/>
    <w:rsid w:val="00A42CE7"/>
    <w:rsid w:val="00A42D43"/>
    <w:rsid w:val="00A42D9D"/>
    <w:rsid w:val="00A42DF6"/>
    <w:rsid w:val="00A42F58"/>
    <w:rsid w:val="00A42FE2"/>
    <w:rsid w:val="00A430B9"/>
    <w:rsid w:val="00A430D0"/>
    <w:rsid w:val="00A43141"/>
    <w:rsid w:val="00A4319A"/>
    <w:rsid w:val="00A43322"/>
    <w:rsid w:val="00A433FE"/>
    <w:rsid w:val="00A43493"/>
    <w:rsid w:val="00A434A3"/>
    <w:rsid w:val="00A434AD"/>
    <w:rsid w:val="00A438E5"/>
    <w:rsid w:val="00A43B90"/>
    <w:rsid w:val="00A43BBD"/>
    <w:rsid w:val="00A43CA9"/>
    <w:rsid w:val="00A43CBF"/>
    <w:rsid w:val="00A43D71"/>
    <w:rsid w:val="00A43E8A"/>
    <w:rsid w:val="00A43FC8"/>
    <w:rsid w:val="00A4414A"/>
    <w:rsid w:val="00A4461A"/>
    <w:rsid w:val="00A44660"/>
    <w:rsid w:val="00A4469C"/>
    <w:rsid w:val="00A446E7"/>
    <w:rsid w:val="00A446F5"/>
    <w:rsid w:val="00A447AE"/>
    <w:rsid w:val="00A44851"/>
    <w:rsid w:val="00A44882"/>
    <w:rsid w:val="00A448D8"/>
    <w:rsid w:val="00A4499C"/>
    <w:rsid w:val="00A44AAA"/>
    <w:rsid w:val="00A44BCC"/>
    <w:rsid w:val="00A44CB6"/>
    <w:rsid w:val="00A44D40"/>
    <w:rsid w:val="00A44F4B"/>
    <w:rsid w:val="00A45039"/>
    <w:rsid w:val="00A45075"/>
    <w:rsid w:val="00A45096"/>
    <w:rsid w:val="00A45125"/>
    <w:rsid w:val="00A45154"/>
    <w:rsid w:val="00A45273"/>
    <w:rsid w:val="00A453E7"/>
    <w:rsid w:val="00A45431"/>
    <w:rsid w:val="00A454A8"/>
    <w:rsid w:val="00A454D7"/>
    <w:rsid w:val="00A454DE"/>
    <w:rsid w:val="00A4560D"/>
    <w:rsid w:val="00A4588C"/>
    <w:rsid w:val="00A45918"/>
    <w:rsid w:val="00A45981"/>
    <w:rsid w:val="00A45A08"/>
    <w:rsid w:val="00A45A9B"/>
    <w:rsid w:val="00A45AA6"/>
    <w:rsid w:val="00A45B65"/>
    <w:rsid w:val="00A45BDE"/>
    <w:rsid w:val="00A45CE9"/>
    <w:rsid w:val="00A45D13"/>
    <w:rsid w:val="00A45DEC"/>
    <w:rsid w:val="00A45E0E"/>
    <w:rsid w:val="00A45EF2"/>
    <w:rsid w:val="00A46130"/>
    <w:rsid w:val="00A4614E"/>
    <w:rsid w:val="00A464BE"/>
    <w:rsid w:val="00A466B3"/>
    <w:rsid w:val="00A46B0C"/>
    <w:rsid w:val="00A46B47"/>
    <w:rsid w:val="00A46B96"/>
    <w:rsid w:val="00A46BB1"/>
    <w:rsid w:val="00A46BDC"/>
    <w:rsid w:val="00A46EA0"/>
    <w:rsid w:val="00A46F30"/>
    <w:rsid w:val="00A47059"/>
    <w:rsid w:val="00A47149"/>
    <w:rsid w:val="00A471B5"/>
    <w:rsid w:val="00A4729B"/>
    <w:rsid w:val="00A472B5"/>
    <w:rsid w:val="00A473D2"/>
    <w:rsid w:val="00A474C7"/>
    <w:rsid w:val="00A474C9"/>
    <w:rsid w:val="00A47645"/>
    <w:rsid w:val="00A477A5"/>
    <w:rsid w:val="00A477B9"/>
    <w:rsid w:val="00A479AF"/>
    <w:rsid w:val="00A47AD7"/>
    <w:rsid w:val="00A47C7B"/>
    <w:rsid w:val="00A47CED"/>
    <w:rsid w:val="00A47D79"/>
    <w:rsid w:val="00A47DD7"/>
    <w:rsid w:val="00A47EFE"/>
    <w:rsid w:val="00A47F8E"/>
    <w:rsid w:val="00A47FB6"/>
    <w:rsid w:val="00A47FED"/>
    <w:rsid w:val="00A50039"/>
    <w:rsid w:val="00A5019B"/>
    <w:rsid w:val="00A501E1"/>
    <w:rsid w:val="00A50326"/>
    <w:rsid w:val="00A50372"/>
    <w:rsid w:val="00A50574"/>
    <w:rsid w:val="00A505F3"/>
    <w:rsid w:val="00A50673"/>
    <w:rsid w:val="00A5075F"/>
    <w:rsid w:val="00A50845"/>
    <w:rsid w:val="00A50AB3"/>
    <w:rsid w:val="00A50BF4"/>
    <w:rsid w:val="00A50C84"/>
    <w:rsid w:val="00A50D7C"/>
    <w:rsid w:val="00A51001"/>
    <w:rsid w:val="00A510BA"/>
    <w:rsid w:val="00A51123"/>
    <w:rsid w:val="00A513AA"/>
    <w:rsid w:val="00A514AA"/>
    <w:rsid w:val="00A5150B"/>
    <w:rsid w:val="00A51660"/>
    <w:rsid w:val="00A5173C"/>
    <w:rsid w:val="00A51762"/>
    <w:rsid w:val="00A518E3"/>
    <w:rsid w:val="00A51914"/>
    <w:rsid w:val="00A51937"/>
    <w:rsid w:val="00A51AD7"/>
    <w:rsid w:val="00A51B3F"/>
    <w:rsid w:val="00A51BDE"/>
    <w:rsid w:val="00A51CA2"/>
    <w:rsid w:val="00A51E6E"/>
    <w:rsid w:val="00A51EF5"/>
    <w:rsid w:val="00A51FB3"/>
    <w:rsid w:val="00A51FC0"/>
    <w:rsid w:val="00A520C3"/>
    <w:rsid w:val="00A52282"/>
    <w:rsid w:val="00A523CD"/>
    <w:rsid w:val="00A5246D"/>
    <w:rsid w:val="00A5249B"/>
    <w:rsid w:val="00A52507"/>
    <w:rsid w:val="00A5259A"/>
    <w:rsid w:val="00A5260F"/>
    <w:rsid w:val="00A52775"/>
    <w:rsid w:val="00A529B9"/>
    <w:rsid w:val="00A52B0A"/>
    <w:rsid w:val="00A52B1A"/>
    <w:rsid w:val="00A52CA8"/>
    <w:rsid w:val="00A52CB9"/>
    <w:rsid w:val="00A52D6D"/>
    <w:rsid w:val="00A52D89"/>
    <w:rsid w:val="00A52DC8"/>
    <w:rsid w:val="00A52E55"/>
    <w:rsid w:val="00A52FC3"/>
    <w:rsid w:val="00A5311C"/>
    <w:rsid w:val="00A53139"/>
    <w:rsid w:val="00A5326F"/>
    <w:rsid w:val="00A53429"/>
    <w:rsid w:val="00A534BB"/>
    <w:rsid w:val="00A534E9"/>
    <w:rsid w:val="00A53587"/>
    <w:rsid w:val="00A535CB"/>
    <w:rsid w:val="00A5363A"/>
    <w:rsid w:val="00A5365C"/>
    <w:rsid w:val="00A5366A"/>
    <w:rsid w:val="00A538B7"/>
    <w:rsid w:val="00A53A3A"/>
    <w:rsid w:val="00A53C0D"/>
    <w:rsid w:val="00A53C4D"/>
    <w:rsid w:val="00A53F7B"/>
    <w:rsid w:val="00A54233"/>
    <w:rsid w:val="00A5426E"/>
    <w:rsid w:val="00A54318"/>
    <w:rsid w:val="00A54323"/>
    <w:rsid w:val="00A543BA"/>
    <w:rsid w:val="00A54402"/>
    <w:rsid w:val="00A54590"/>
    <w:rsid w:val="00A54715"/>
    <w:rsid w:val="00A547E2"/>
    <w:rsid w:val="00A54897"/>
    <w:rsid w:val="00A548D3"/>
    <w:rsid w:val="00A54BD2"/>
    <w:rsid w:val="00A54C34"/>
    <w:rsid w:val="00A54C6A"/>
    <w:rsid w:val="00A54D02"/>
    <w:rsid w:val="00A54D42"/>
    <w:rsid w:val="00A54D4F"/>
    <w:rsid w:val="00A54E87"/>
    <w:rsid w:val="00A55039"/>
    <w:rsid w:val="00A55302"/>
    <w:rsid w:val="00A55304"/>
    <w:rsid w:val="00A5534F"/>
    <w:rsid w:val="00A55406"/>
    <w:rsid w:val="00A5541F"/>
    <w:rsid w:val="00A5569A"/>
    <w:rsid w:val="00A558DA"/>
    <w:rsid w:val="00A55940"/>
    <w:rsid w:val="00A55950"/>
    <w:rsid w:val="00A55A92"/>
    <w:rsid w:val="00A55AAF"/>
    <w:rsid w:val="00A55BFA"/>
    <w:rsid w:val="00A55C05"/>
    <w:rsid w:val="00A55D86"/>
    <w:rsid w:val="00A560CD"/>
    <w:rsid w:val="00A560D8"/>
    <w:rsid w:val="00A563DA"/>
    <w:rsid w:val="00A564C2"/>
    <w:rsid w:val="00A565D3"/>
    <w:rsid w:val="00A56677"/>
    <w:rsid w:val="00A567B2"/>
    <w:rsid w:val="00A568AF"/>
    <w:rsid w:val="00A569DD"/>
    <w:rsid w:val="00A56CBD"/>
    <w:rsid w:val="00A56CF5"/>
    <w:rsid w:val="00A56D55"/>
    <w:rsid w:val="00A56E08"/>
    <w:rsid w:val="00A56E74"/>
    <w:rsid w:val="00A57262"/>
    <w:rsid w:val="00A57263"/>
    <w:rsid w:val="00A572A2"/>
    <w:rsid w:val="00A572DF"/>
    <w:rsid w:val="00A57321"/>
    <w:rsid w:val="00A57491"/>
    <w:rsid w:val="00A576E3"/>
    <w:rsid w:val="00A5798B"/>
    <w:rsid w:val="00A57DC7"/>
    <w:rsid w:val="00A60073"/>
    <w:rsid w:val="00A601AF"/>
    <w:rsid w:val="00A6033F"/>
    <w:rsid w:val="00A60377"/>
    <w:rsid w:val="00A603E1"/>
    <w:rsid w:val="00A603E2"/>
    <w:rsid w:val="00A605B4"/>
    <w:rsid w:val="00A6061C"/>
    <w:rsid w:val="00A60678"/>
    <w:rsid w:val="00A60A5E"/>
    <w:rsid w:val="00A60B48"/>
    <w:rsid w:val="00A60D69"/>
    <w:rsid w:val="00A60D7B"/>
    <w:rsid w:val="00A60DCE"/>
    <w:rsid w:val="00A60E86"/>
    <w:rsid w:val="00A60F17"/>
    <w:rsid w:val="00A60F1A"/>
    <w:rsid w:val="00A60FB3"/>
    <w:rsid w:val="00A613DD"/>
    <w:rsid w:val="00A6153F"/>
    <w:rsid w:val="00A615B7"/>
    <w:rsid w:val="00A615C8"/>
    <w:rsid w:val="00A61707"/>
    <w:rsid w:val="00A6170D"/>
    <w:rsid w:val="00A6179F"/>
    <w:rsid w:val="00A61821"/>
    <w:rsid w:val="00A6188D"/>
    <w:rsid w:val="00A618E4"/>
    <w:rsid w:val="00A618FC"/>
    <w:rsid w:val="00A61AF0"/>
    <w:rsid w:val="00A61C05"/>
    <w:rsid w:val="00A61C3B"/>
    <w:rsid w:val="00A61C43"/>
    <w:rsid w:val="00A61CF5"/>
    <w:rsid w:val="00A61D2B"/>
    <w:rsid w:val="00A61E06"/>
    <w:rsid w:val="00A61EDA"/>
    <w:rsid w:val="00A61FB7"/>
    <w:rsid w:val="00A61FFB"/>
    <w:rsid w:val="00A6203B"/>
    <w:rsid w:val="00A6229B"/>
    <w:rsid w:val="00A6248C"/>
    <w:rsid w:val="00A624CA"/>
    <w:rsid w:val="00A62696"/>
    <w:rsid w:val="00A627FC"/>
    <w:rsid w:val="00A62822"/>
    <w:rsid w:val="00A62927"/>
    <w:rsid w:val="00A62991"/>
    <w:rsid w:val="00A62998"/>
    <w:rsid w:val="00A629AE"/>
    <w:rsid w:val="00A62D44"/>
    <w:rsid w:val="00A630E6"/>
    <w:rsid w:val="00A6317A"/>
    <w:rsid w:val="00A63449"/>
    <w:rsid w:val="00A63453"/>
    <w:rsid w:val="00A635CA"/>
    <w:rsid w:val="00A6372A"/>
    <w:rsid w:val="00A63789"/>
    <w:rsid w:val="00A63830"/>
    <w:rsid w:val="00A638AD"/>
    <w:rsid w:val="00A638D1"/>
    <w:rsid w:val="00A638F6"/>
    <w:rsid w:val="00A63911"/>
    <w:rsid w:val="00A639C0"/>
    <w:rsid w:val="00A63D26"/>
    <w:rsid w:val="00A63DEC"/>
    <w:rsid w:val="00A643EB"/>
    <w:rsid w:val="00A64585"/>
    <w:rsid w:val="00A64600"/>
    <w:rsid w:val="00A6472D"/>
    <w:rsid w:val="00A648F4"/>
    <w:rsid w:val="00A64969"/>
    <w:rsid w:val="00A6497B"/>
    <w:rsid w:val="00A64A16"/>
    <w:rsid w:val="00A64A4C"/>
    <w:rsid w:val="00A64A88"/>
    <w:rsid w:val="00A64B37"/>
    <w:rsid w:val="00A64B9A"/>
    <w:rsid w:val="00A64D18"/>
    <w:rsid w:val="00A64D4F"/>
    <w:rsid w:val="00A64DED"/>
    <w:rsid w:val="00A64E13"/>
    <w:rsid w:val="00A64E9D"/>
    <w:rsid w:val="00A64EC2"/>
    <w:rsid w:val="00A64F62"/>
    <w:rsid w:val="00A64F94"/>
    <w:rsid w:val="00A65092"/>
    <w:rsid w:val="00A6513D"/>
    <w:rsid w:val="00A652E0"/>
    <w:rsid w:val="00A653AF"/>
    <w:rsid w:val="00A654DE"/>
    <w:rsid w:val="00A65536"/>
    <w:rsid w:val="00A65540"/>
    <w:rsid w:val="00A6558E"/>
    <w:rsid w:val="00A657CE"/>
    <w:rsid w:val="00A65976"/>
    <w:rsid w:val="00A659CD"/>
    <w:rsid w:val="00A65A5F"/>
    <w:rsid w:val="00A65A9E"/>
    <w:rsid w:val="00A65E55"/>
    <w:rsid w:val="00A65EA7"/>
    <w:rsid w:val="00A65F0D"/>
    <w:rsid w:val="00A65F95"/>
    <w:rsid w:val="00A6609E"/>
    <w:rsid w:val="00A6618C"/>
    <w:rsid w:val="00A66271"/>
    <w:rsid w:val="00A667AE"/>
    <w:rsid w:val="00A667E4"/>
    <w:rsid w:val="00A66858"/>
    <w:rsid w:val="00A668B0"/>
    <w:rsid w:val="00A668EB"/>
    <w:rsid w:val="00A6693A"/>
    <w:rsid w:val="00A66A4A"/>
    <w:rsid w:val="00A66AF7"/>
    <w:rsid w:val="00A66BFE"/>
    <w:rsid w:val="00A66C0A"/>
    <w:rsid w:val="00A66C20"/>
    <w:rsid w:val="00A66C39"/>
    <w:rsid w:val="00A66E56"/>
    <w:rsid w:val="00A66ED2"/>
    <w:rsid w:val="00A66FB6"/>
    <w:rsid w:val="00A670C6"/>
    <w:rsid w:val="00A67263"/>
    <w:rsid w:val="00A6738A"/>
    <w:rsid w:val="00A673E4"/>
    <w:rsid w:val="00A673E9"/>
    <w:rsid w:val="00A6744B"/>
    <w:rsid w:val="00A674CF"/>
    <w:rsid w:val="00A675F3"/>
    <w:rsid w:val="00A6761C"/>
    <w:rsid w:val="00A6790C"/>
    <w:rsid w:val="00A67B3B"/>
    <w:rsid w:val="00A67BB1"/>
    <w:rsid w:val="00A67C7F"/>
    <w:rsid w:val="00A67CDB"/>
    <w:rsid w:val="00A67CF6"/>
    <w:rsid w:val="00A67DEA"/>
    <w:rsid w:val="00A67EA7"/>
    <w:rsid w:val="00A67F77"/>
    <w:rsid w:val="00A67FB4"/>
    <w:rsid w:val="00A67FC1"/>
    <w:rsid w:val="00A700D4"/>
    <w:rsid w:val="00A70145"/>
    <w:rsid w:val="00A702DF"/>
    <w:rsid w:val="00A70507"/>
    <w:rsid w:val="00A70509"/>
    <w:rsid w:val="00A70734"/>
    <w:rsid w:val="00A70869"/>
    <w:rsid w:val="00A70A12"/>
    <w:rsid w:val="00A70A53"/>
    <w:rsid w:val="00A70A60"/>
    <w:rsid w:val="00A70A8F"/>
    <w:rsid w:val="00A70B40"/>
    <w:rsid w:val="00A70B9E"/>
    <w:rsid w:val="00A70C18"/>
    <w:rsid w:val="00A70CCE"/>
    <w:rsid w:val="00A70D87"/>
    <w:rsid w:val="00A70DFB"/>
    <w:rsid w:val="00A70E93"/>
    <w:rsid w:val="00A70EE3"/>
    <w:rsid w:val="00A70EE8"/>
    <w:rsid w:val="00A70F00"/>
    <w:rsid w:val="00A70F34"/>
    <w:rsid w:val="00A70FE3"/>
    <w:rsid w:val="00A71007"/>
    <w:rsid w:val="00A71095"/>
    <w:rsid w:val="00A710C2"/>
    <w:rsid w:val="00A71322"/>
    <w:rsid w:val="00A71434"/>
    <w:rsid w:val="00A71452"/>
    <w:rsid w:val="00A714E9"/>
    <w:rsid w:val="00A7151D"/>
    <w:rsid w:val="00A71557"/>
    <w:rsid w:val="00A715A7"/>
    <w:rsid w:val="00A715FD"/>
    <w:rsid w:val="00A7161C"/>
    <w:rsid w:val="00A71685"/>
    <w:rsid w:val="00A7172E"/>
    <w:rsid w:val="00A71816"/>
    <w:rsid w:val="00A71858"/>
    <w:rsid w:val="00A718F1"/>
    <w:rsid w:val="00A71959"/>
    <w:rsid w:val="00A71AA6"/>
    <w:rsid w:val="00A71ADE"/>
    <w:rsid w:val="00A71CE4"/>
    <w:rsid w:val="00A71D21"/>
    <w:rsid w:val="00A71F44"/>
    <w:rsid w:val="00A71FCC"/>
    <w:rsid w:val="00A72010"/>
    <w:rsid w:val="00A72015"/>
    <w:rsid w:val="00A720BE"/>
    <w:rsid w:val="00A72127"/>
    <w:rsid w:val="00A72212"/>
    <w:rsid w:val="00A723E3"/>
    <w:rsid w:val="00A724F0"/>
    <w:rsid w:val="00A725F2"/>
    <w:rsid w:val="00A726C1"/>
    <w:rsid w:val="00A72794"/>
    <w:rsid w:val="00A7283D"/>
    <w:rsid w:val="00A72A16"/>
    <w:rsid w:val="00A72A48"/>
    <w:rsid w:val="00A72B45"/>
    <w:rsid w:val="00A72B65"/>
    <w:rsid w:val="00A72C3E"/>
    <w:rsid w:val="00A72C44"/>
    <w:rsid w:val="00A72DFE"/>
    <w:rsid w:val="00A72E6B"/>
    <w:rsid w:val="00A72E89"/>
    <w:rsid w:val="00A72F00"/>
    <w:rsid w:val="00A72F0E"/>
    <w:rsid w:val="00A72FEA"/>
    <w:rsid w:val="00A730F4"/>
    <w:rsid w:val="00A73144"/>
    <w:rsid w:val="00A73222"/>
    <w:rsid w:val="00A73262"/>
    <w:rsid w:val="00A732D1"/>
    <w:rsid w:val="00A73393"/>
    <w:rsid w:val="00A735E3"/>
    <w:rsid w:val="00A73605"/>
    <w:rsid w:val="00A7372C"/>
    <w:rsid w:val="00A737C9"/>
    <w:rsid w:val="00A738D9"/>
    <w:rsid w:val="00A73BB1"/>
    <w:rsid w:val="00A73C24"/>
    <w:rsid w:val="00A73C31"/>
    <w:rsid w:val="00A73C43"/>
    <w:rsid w:val="00A73CCA"/>
    <w:rsid w:val="00A7408B"/>
    <w:rsid w:val="00A740CB"/>
    <w:rsid w:val="00A7415F"/>
    <w:rsid w:val="00A741C5"/>
    <w:rsid w:val="00A741FC"/>
    <w:rsid w:val="00A742EE"/>
    <w:rsid w:val="00A7443C"/>
    <w:rsid w:val="00A74578"/>
    <w:rsid w:val="00A745E3"/>
    <w:rsid w:val="00A745EE"/>
    <w:rsid w:val="00A74615"/>
    <w:rsid w:val="00A747B1"/>
    <w:rsid w:val="00A748C2"/>
    <w:rsid w:val="00A748E0"/>
    <w:rsid w:val="00A74905"/>
    <w:rsid w:val="00A74981"/>
    <w:rsid w:val="00A749FC"/>
    <w:rsid w:val="00A74A20"/>
    <w:rsid w:val="00A74B93"/>
    <w:rsid w:val="00A74BBA"/>
    <w:rsid w:val="00A74C47"/>
    <w:rsid w:val="00A7500F"/>
    <w:rsid w:val="00A75016"/>
    <w:rsid w:val="00A75108"/>
    <w:rsid w:val="00A75227"/>
    <w:rsid w:val="00A75229"/>
    <w:rsid w:val="00A75249"/>
    <w:rsid w:val="00A7524C"/>
    <w:rsid w:val="00A752C0"/>
    <w:rsid w:val="00A7530D"/>
    <w:rsid w:val="00A7578C"/>
    <w:rsid w:val="00A758D9"/>
    <w:rsid w:val="00A75951"/>
    <w:rsid w:val="00A75A30"/>
    <w:rsid w:val="00A75B18"/>
    <w:rsid w:val="00A75BA1"/>
    <w:rsid w:val="00A75BEF"/>
    <w:rsid w:val="00A75CDC"/>
    <w:rsid w:val="00A75D2A"/>
    <w:rsid w:val="00A75D54"/>
    <w:rsid w:val="00A75DE7"/>
    <w:rsid w:val="00A75E94"/>
    <w:rsid w:val="00A75EE6"/>
    <w:rsid w:val="00A760B8"/>
    <w:rsid w:val="00A76135"/>
    <w:rsid w:val="00A76146"/>
    <w:rsid w:val="00A76164"/>
    <w:rsid w:val="00A7644B"/>
    <w:rsid w:val="00A76475"/>
    <w:rsid w:val="00A764D1"/>
    <w:rsid w:val="00A76579"/>
    <w:rsid w:val="00A765C4"/>
    <w:rsid w:val="00A76741"/>
    <w:rsid w:val="00A7695B"/>
    <w:rsid w:val="00A76A9B"/>
    <w:rsid w:val="00A76CD3"/>
    <w:rsid w:val="00A76D93"/>
    <w:rsid w:val="00A76DFC"/>
    <w:rsid w:val="00A76FC0"/>
    <w:rsid w:val="00A77074"/>
    <w:rsid w:val="00A7712D"/>
    <w:rsid w:val="00A7713B"/>
    <w:rsid w:val="00A77242"/>
    <w:rsid w:val="00A77290"/>
    <w:rsid w:val="00A772C0"/>
    <w:rsid w:val="00A774C2"/>
    <w:rsid w:val="00A775B5"/>
    <w:rsid w:val="00A775B8"/>
    <w:rsid w:val="00A775D1"/>
    <w:rsid w:val="00A77795"/>
    <w:rsid w:val="00A777CD"/>
    <w:rsid w:val="00A77831"/>
    <w:rsid w:val="00A77982"/>
    <w:rsid w:val="00A77A29"/>
    <w:rsid w:val="00A77A67"/>
    <w:rsid w:val="00A77AA3"/>
    <w:rsid w:val="00A77C66"/>
    <w:rsid w:val="00A77C78"/>
    <w:rsid w:val="00A77CD8"/>
    <w:rsid w:val="00A77E3C"/>
    <w:rsid w:val="00A77E6B"/>
    <w:rsid w:val="00A80218"/>
    <w:rsid w:val="00A80227"/>
    <w:rsid w:val="00A80260"/>
    <w:rsid w:val="00A802FB"/>
    <w:rsid w:val="00A804B7"/>
    <w:rsid w:val="00A804E1"/>
    <w:rsid w:val="00A8050C"/>
    <w:rsid w:val="00A80583"/>
    <w:rsid w:val="00A8063D"/>
    <w:rsid w:val="00A8087B"/>
    <w:rsid w:val="00A8090E"/>
    <w:rsid w:val="00A809FF"/>
    <w:rsid w:val="00A80A6B"/>
    <w:rsid w:val="00A80B7F"/>
    <w:rsid w:val="00A80C23"/>
    <w:rsid w:val="00A80C98"/>
    <w:rsid w:val="00A80D0E"/>
    <w:rsid w:val="00A80D5B"/>
    <w:rsid w:val="00A80DB9"/>
    <w:rsid w:val="00A80DD0"/>
    <w:rsid w:val="00A80E95"/>
    <w:rsid w:val="00A81081"/>
    <w:rsid w:val="00A810B2"/>
    <w:rsid w:val="00A8122F"/>
    <w:rsid w:val="00A81280"/>
    <w:rsid w:val="00A8149B"/>
    <w:rsid w:val="00A8159F"/>
    <w:rsid w:val="00A815AE"/>
    <w:rsid w:val="00A815C1"/>
    <w:rsid w:val="00A816D8"/>
    <w:rsid w:val="00A81717"/>
    <w:rsid w:val="00A817E7"/>
    <w:rsid w:val="00A818D0"/>
    <w:rsid w:val="00A8195C"/>
    <w:rsid w:val="00A81BD9"/>
    <w:rsid w:val="00A81C3B"/>
    <w:rsid w:val="00A81C43"/>
    <w:rsid w:val="00A81E10"/>
    <w:rsid w:val="00A81E5D"/>
    <w:rsid w:val="00A81F0A"/>
    <w:rsid w:val="00A81FE2"/>
    <w:rsid w:val="00A82177"/>
    <w:rsid w:val="00A821EC"/>
    <w:rsid w:val="00A82234"/>
    <w:rsid w:val="00A82259"/>
    <w:rsid w:val="00A82312"/>
    <w:rsid w:val="00A8236D"/>
    <w:rsid w:val="00A82376"/>
    <w:rsid w:val="00A8251E"/>
    <w:rsid w:val="00A8253C"/>
    <w:rsid w:val="00A8254C"/>
    <w:rsid w:val="00A828B0"/>
    <w:rsid w:val="00A828C1"/>
    <w:rsid w:val="00A82934"/>
    <w:rsid w:val="00A8299B"/>
    <w:rsid w:val="00A82CB6"/>
    <w:rsid w:val="00A82F3C"/>
    <w:rsid w:val="00A83014"/>
    <w:rsid w:val="00A831B2"/>
    <w:rsid w:val="00A831FD"/>
    <w:rsid w:val="00A83606"/>
    <w:rsid w:val="00A83738"/>
    <w:rsid w:val="00A837A4"/>
    <w:rsid w:val="00A8395E"/>
    <w:rsid w:val="00A83B98"/>
    <w:rsid w:val="00A83BAA"/>
    <w:rsid w:val="00A83C2B"/>
    <w:rsid w:val="00A83D01"/>
    <w:rsid w:val="00A83E49"/>
    <w:rsid w:val="00A83E52"/>
    <w:rsid w:val="00A83E65"/>
    <w:rsid w:val="00A83F31"/>
    <w:rsid w:val="00A83F51"/>
    <w:rsid w:val="00A83FD2"/>
    <w:rsid w:val="00A83FDC"/>
    <w:rsid w:val="00A84034"/>
    <w:rsid w:val="00A84037"/>
    <w:rsid w:val="00A8408E"/>
    <w:rsid w:val="00A8423A"/>
    <w:rsid w:val="00A842A2"/>
    <w:rsid w:val="00A842D9"/>
    <w:rsid w:val="00A84389"/>
    <w:rsid w:val="00A84657"/>
    <w:rsid w:val="00A8480D"/>
    <w:rsid w:val="00A84880"/>
    <w:rsid w:val="00A848B0"/>
    <w:rsid w:val="00A849BE"/>
    <w:rsid w:val="00A849E0"/>
    <w:rsid w:val="00A84B07"/>
    <w:rsid w:val="00A84B7F"/>
    <w:rsid w:val="00A84D61"/>
    <w:rsid w:val="00A84D65"/>
    <w:rsid w:val="00A84FD8"/>
    <w:rsid w:val="00A84FDE"/>
    <w:rsid w:val="00A8500D"/>
    <w:rsid w:val="00A8503D"/>
    <w:rsid w:val="00A850AC"/>
    <w:rsid w:val="00A85247"/>
    <w:rsid w:val="00A8540D"/>
    <w:rsid w:val="00A854EB"/>
    <w:rsid w:val="00A858CF"/>
    <w:rsid w:val="00A859C2"/>
    <w:rsid w:val="00A859E3"/>
    <w:rsid w:val="00A85AEB"/>
    <w:rsid w:val="00A85C34"/>
    <w:rsid w:val="00A85D8C"/>
    <w:rsid w:val="00A85D9C"/>
    <w:rsid w:val="00A85DA3"/>
    <w:rsid w:val="00A85E6E"/>
    <w:rsid w:val="00A85F67"/>
    <w:rsid w:val="00A85F68"/>
    <w:rsid w:val="00A86026"/>
    <w:rsid w:val="00A860C3"/>
    <w:rsid w:val="00A86164"/>
    <w:rsid w:val="00A86192"/>
    <w:rsid w:val="00A861D8"/>
    <w:rsid w:val="00A8629D"/>
    <w:rsid w:val="00A862A9"/>
    <w:rsid w:val="00A86386"/>
    <w:rsid w:val="00A86423"/>
    <w:rsid w:val="00A8645E"/>
    <w:rsid w:val="00A86486"/>
    <w:rsid w:val="00A86501"/>
    <w:rsid w:val="00A86596"/>
    <w:rsid w:val="00A8665B"/>
    <w:rsid w:val="00A8694F"/>
    <w:rsid w:val="00A86A60"/>
    <w:rsid w:val="00A86C08"/>
    <w:rsid w:val="00A86CCD"/>
    <w:rsid w:val="00A86E96"/>
    <w:rsid w:val="00A86E99"/>
    <w:rsid w:val="00A87060"/>
    <w:rsid w:val="00A8716D"/>
    <w:rsid w:val="00A87286"/>
    <w:rsid w:val="00A872E5"/>
    <w:rsid w:val="00A872F4"/>
    <w:rsid w:val="00A87376"/>
    <w:rsid w:val="00A8738F"/>
    <w:rsid w:val="00A874B8"/>
    <w:rsid w:val="00A874E7"/>
    <w:rsid w:val="00A87530"/>
    <w:rsid w:val="00A8775E"/>
    <w:rsid w:val="00A877FA"/>
    <w:rsid w:val="00A87A21"/>
    <w:rsid w:val="00A87A70"/>
    <w:rsid w:val="00A87BD7"/>
    <w:rsid w:val="00A87BF3"/>
    <w:rsid w:val="00A87DEF"/>
    <w:rsid w:val="00A87E29"/>
    <w:rsid w:val="00A9002F"/>
    <w:rsid w:val="00A902EA"/>
    <w:rsid w:val="00A902EC"/>
    <w:rsid w:val="00A90360"/>
    <w:rsid w:val="00A90364"/>
    <w:rsid w:val="00A903A7"/>
    <w:rsid w:val="00A9047E"/>
    <w:rsid w:val="00A90780"/>
    <w:rsid w:val="00A90AE8"/>
    <w:rsid w:val="00A90C47"/>
    <w:rsid w:val="00A90CC6"/>
    <w:rsid w:val="00A91065"/>
    <w:rsid w:val="00A91192"/>
    <w:rsid w:val="00A91406"/>
    <w:rsid w:val="00A9144D"/>
    <w:rsid w:val="00A91612"/>
    <w:rsid w:val="00A91660"/>
    <w:rsid w:val="00A9173D"/>
    <w:rsid w:val="00A917A8"/>
    <w:rsid w:val="00A9181E"/>
    <w:rsid w:val="00A918E1"/>
    <w:rsid w:val="00A91B53"/>
    <w:rsid w:val="00A91C3B"/>
    <w:rsid w:val="00A91E3F"/>
    <w:rsid w:val="00A91F61"/>
    <w:rsid w:val="00A9209E"/>
    <w:rsid w:val="00A9218B"/>
    <w:rsid w:val="00A9230A"/>
    <w:rsid w:val="00A924AF"/>
    <w:rsid w:val="00A9287B"/>
    <w:rsid w:val="00A92896"/>
    <w:rsid w:val="00A9299F"/>
    <w:rsid w:val="00A92A46"/>
    <w:rsid w:val="00A92AFF"/>
    <w:rsid w:val="00A92B43"/>
    <w:rsid w:val="00A92D3E"/>
    <w:rsid w:val="00A92F60"/>
    <w:rsid w:val="00A93024"/>
    <w:rsid w:val="00A930C9"/>
    <w:rsid w:val="00A9311B"/>
    <w:rsid w:val="00A9314B"/>
    <w:rsid w:val="00A93191"/>
    <w:rsid w:val="00A931DF"/>
    <w:rsid w:val="00A93369"/>
    <w:rsid w:val="00A934A7"/>
    <w:rsid w:val="00A93523"/>
    <w:rsid w:val="00A93535"/>
    <w:rsid w:val="00A9372D"/>
    <w:rsid w:val="00A93A29"/>
    <w:rsid w:val="00A93A6F"/>
    <w:rsid w:val="00A93B46"/>
    <w:rsid w:val="00A93CFD"/>
    <w:rsid w:val="00A93D40"/>
    <w:rsid w:val="00A93DFC"/>
    <w:rsid w:val="00A93EA6"/>
    <w:rsid w:val="00A93F40"/>
    <w:rsid w:val="00A93F49"/>
    <w:rsid w:val="00A9407B"/>
    <w:rsid w:val="00A94174"/>
    <w:rsid w:val="00A941B1"/>
    <w:rsid w:val="00A941FF"/>
    <w:rsid w:val="00A94233"/>
    <w:rsid w:val="00A9425A"/>
    <w:rsid w:val="00A9436D"/>
    <w:rsid w:val="00A9440A"/>
    <w:rsid w:val="00A94501"/>
    <w:rsid w:val="00A948CF"/>
    <w:rsid w:val="00A9493F"/>
    <w:rsid w:val="00A94956"/>
    <w:rsid w:val="00A94BC7"/>
    <w:rsid w:val="00A94C99"/>
    <w:rsid w:val="00A94CA6"/>
    <w:rsid w:val="00A94DEC"/>
    <w:rsid w:val="00A950F6"/>
    <w:rsid w:val="00A9521C"/>
    <w:rsid w:val="00A95382"/>
    <w:rsid w:val="00A95387"/>
    <w:rsid w:val="00A953E5"/>
    <w:rsid w:val="00A954A8"/>
    <w:rsid w:val="00A954AC"/>
    <w:rsid w:val="00A9564A"/>
    <w:rsid w:val="00A957A0"/>
    <w:rsid w:val="00A95804"/>
    <w:rsid w:val="00A95824"/>
    <w:rsid w:val="00A958E3"/>
    <w:rsid w:val="00A9599A"/>
    <w:rsid w:val="00A959CF"/>
    <w:rsid w:val="00A95AE3"/>
    <w:rsid w:val="00A95C2F"/>
    <w:rsid w:val="00A95D77"/>
    <w:rsid w:val="00A95DC4"/>
    <w:rsid w:val="00A95E19"/>
    <w:rsid w:val="00A96174"/>
    <w:rsid w:val="00A9625D"/>
    <w:rsid w:val="00A96297"/>
    <w:rsid w:val="00A96350"/>
    <w:rsid w:val="00A963C2"/>
    <w:rsid w:val="00A96605"/>
    <w:rsid w:val="00A966A9"/>
    <w:rsid w:val="00A9672C"/>
    <w:rsid w:val="00A9676B"/>
    <w:rsid w:val="00A96A07"/>
    <w:rsid w:val="00A96A0B"/>
    <w:rsid w:val="00A96B29"/>
    <w:rsid w:val="00A96C25"/>
    <w:rsid w:val="00A96D58"/>
    <w:rsid w:val="00A96E11"/>
    <w:rsid w:val="00A96E65"/>
    <w:rsid w:val="00A96ECE"/>
    <w:rsid w:val="00A97052"/>
    <w:rsid w:val="00A970A5"/>
    <w:rsid w:val="00A970C3"/>
    <w:rsid w:val="00A97220"/>
    <w:rsid w:val="00A9726C"/>
    <w:rsid w:val="00A97303"/>
    <w:rsid w:val="00A974FB"/>
    <w:rsid w:val="00A97521"/>
    <w:rsid w:val="00A975FE"/>
    <w:rsid w:val="00A9760F"/>
    <w:rsid w:val="00A9771C"/>
    <w:rsid w:val="00A977B2"/>
    <w:rsid w:val="00A977E4"/>
    <w:rsid w:val="00A97C72"/>
    <w:rsid w:val="00A97D6F"/>
    <w:rsid w:val="00A97E3C"/>
    <w:rsid w:val="00A97E6B"/>
    <w:rsid w:val="00A97F57"/>
    <w:rsid w:val="00AA0003"/>
    <w:rsid w:val="00AA02BA"/>
    <w:rsid w:val="00AA02EC"/>
    <w:rsid w:val="00AA0325"/>
    <w:rsid w:val="00AA0358"/>
    <w:rsid w:val="00AA0371"/>
    <w:rsid w:val="00AA057B"/>
    <w:rsid w:val="00AA05D8"/>
    <w:rsid w:val="00AA0627"/>
    <w:rsid w:val="00AA0657"/>
    <w:rsid w:val="00AA0752"/>
    <w:rsid w:val="00AA08D6"/>
    <w:rsid w:val="00AA0918"/>
    <w:rsid w:val="00AA0954"/>
    <w:rsid w:val="00AA097C"/>
    <w:rsid w:val="00AA09A7"/>
    <w:rsid w:val="00AA0A32"/>
    <w:rsid w:val="00AA0A8E"/>
    <w:rsid w:val="00AA0A8F"/>
    <w:rsid w:val="00AA0CAE"/>
    <w:rsid w:val="00AA0D76"/>
    <w:rsid w:val="00AA0D8C"/>
    <w:rsid w:val="00AA0DA2"/>
    <w:rsid w:val="00AA1096"/>
    <w:rsid w:val="00AA11CE"/>
    <w:rsid w:val="00AA12AD"/>
    <w:rsid w:val="00AA12BC"/>
    <w:rsid w:val="00AA1358"/>
    <w:rsid w:val="00AA13E8"/>
    <w:rsid w:val="00AA140D"/>
    <w:rsid w:val="00AA144A"/>
    <w:rsid w:val="00AA14E2"/>
    <w:rsid w:val="00AA1596"/>
    <w:rsid w:val="00AA1713"/>
    <w:rsid w:val="00AA1790"/>
    <w:rsid w:val="00AA196A"/>
    <w:rsid w:val="00AA198C"/>
    <w:rsid w:val="00AA19C9"/>
    <w:rsid w:val="00AA1AC6"/>
    <w:rsid w:val="00AA1B3E"/>
    <w:rsid w:val="00AA1B98"/>
    <w:rsid w:val="00AA1CBE"/>
    <w:rsid w:val="00AA2008"/>
    <w:rsid w:val="00AA209B"/>
    <w:rsid w:val="00AA23F6"/>
    <w:rsid w:val="00AA261E"/>
    <w:rsid w:val="00AA26EC"/>
    <w:rsid w:val="00AA2789"/>
    <w:rsid w:val="00AA2869"/>
    <w:rsid w:val="00AA2880"/>
    <w:rsid w:val="00AA2A21"/>
    <w:rsid w:val="00AA2A84"/>
    <w:rsid w:val="00AA2C51"/>
    <w:rsid w:val="00AA2C9A"/>
    <w:rsid w:val="00AA2CA0"/>
    <w:rsid w:val="00AA2D1C"/>
    <w:rsid w:val="00AA2EAC"/>
    <w:rsid w:val="00AA305C"/>
    <w:rsid w:val="00AA30AC"/>
    <w:rsid w:val="00AA3105"/>
    <w:rsid w:val="00AA310B"/>
    <w:rsid w:val="00AA31EA"/>
    <w:rsid w:val="00AA321C"/>
    <w:rsid w:val="00AA3490"/>
    <w:rsid w:val="00AA35F2"/>
    <w:rsid w:val="00AA363C"/>
    <w:rsid w:val="00AA36C4"/>
    <w:rsid w:val="00AA385B"/>
    <w:rsid w:val="00AA3987"/>
    <w:rsid w:val="00AA398A"/>
    <w:rsid w:val="00AA3996"/>
    <w:rsid w:val="00AA3A48"/>
    <w:rsid w:val="00AA3A5C"/>
    <w:rsid w:val="00AA3BF4"/>
    <w:rsid w:val="00AA3C3B"/>
    <w:rsid w:val="00AA3D93"/>
    <w:rsid w:val="00AA40DB"/>
    <w:rsid w:val="00AA40E7"/>
    <w:rsid w:val="00AA418F"/>
    <w:rsid w:val="00AA41C3"/>
    <w:rsid w:val="00AA44B3"/>
    <w:rsid w:val="00AA44D4"/>
    <w:rsid w:val="00AA4623"/>
    <w:rsid w:val="00AA4627"/>
    <w:rsid w:val="00AA4650"/>
    <w:rsid w:val="00AA4771"/>
    <w:rsid w:val="00AA490B"/>
    <w:rsid w:val="00AA493A"/>
    <w:rsid w:val="00AA49AA"/>
    <w:rsid w:val="00AA4A5A"/>
    <w:rsid w:val="00AA4B92"/>
    <w:rsid w:val="00AA4C45"/>
    <w:rsid w:val="00AA4C77"/>
    <w:rsid w:val="00AA5011"/>
    <w:rsid w:val="00AA5155"/>
    <w:rsid w:val="00AA5162"/>
    <w:rsid w:val="00AA5230"/>
    <w:rsid w:val="00AA539F"/>
    <w:rsid w:val="00AA5450"/>
    <w:rsid w:val="00AA556B"/>
    <w:rsid w:val="00AA55B5"/>
    <w:rsid w:val="00AA5746"/>
    <w:rsid w:val="00AA584E"/>
    <w:rsid w:val="00AA587C"/>
    <w:rsid w:val="00AA58D0"/>
    <w:rsid w:val="00AA5B6A"/>
    <w:rsid w:val="00AA5CD2"/>
    <w:rsid w:val="00AA5CD4"/>
    <w:rsid w:val="00AA5D4E"/>
    <w:rsid w:val="00AA5EBF"/>
    <w:rsid w:val="00AA5EC9"/>
    <w:rsid w:val="00AA5ED3"/>
    <w:rsid w:val="00AA5FB4"/>
    <w:rsid w:val="00AA6247"/>
    <w:rsid w:val="00AA6294"/>
    <w:rsid w:val="00AA63D2"/>
    <w:rsid w:val="00AA63D4"/>
    <w:rsid w:val="00AA652F"/>
    <w:rsid w:val="00AA6793"/>
    <w:rsid w:val="00AA6884"/>
    <w:rsid w:val="00AA6961"/>
    <w:rsid w:val="00AA6A5E"/>
    <w:rsid w:val="00AA6A7E"/>
    <w:rsid w:val="00AA6B32"/>
    <w:rsid w:val="00AA6C42"/>
    <w:rsid w:val="00AA6C77"/>
    <w:rsid w:val="00AA6CC3"/>
    <w:rsid w:val="00AA6D9C"/>
    <w:rsid w:val="00AA6DA0"/>
    <w:rsid w:val="00AA6F84"/>
    <w:rsid w:val="00AA6FE7"/>
    <w:rsid w:val="00AA6FF8"/>
    <w:rsid w:val="00AA6FF9"/>
    <w:rsid w:val="00AA70E1"/>
    <w:rsid w:val="00AA71C3"/>
    <w:rsid w:val="00AA725E"/>
    <w:rsid w:val="00AA72D1"/>
    <w:rsid w:val="00AA738E"/>
    <w:rsid w:val="00AA74C0"/>
    <w:rsid w:val="00AA75E5"/>
    <w:rsid w:val="00AA777D"/>
    <w:rsid w:val="00AA77A4"/>
    <w:rsid w:val="00AA7935"/>
    <w:rsid w:val="00AA7939"/>
    <w:rsid w:val="00AA799B"/>
    <w:rsid w:val="00AA7A2D"/>
    <w:rsid w:val="00AA7AEB"/>
    <w:rsid w:val="00AA7DBE"/>
    <w:rsid w:val="00AA7E15"/>
    <w:rsid w:val="00AA7E84"/>
    <w:rsid w:val="00AB00EA"/>
    <w:rsid w:val="00AB0691"/>
    <w:rsid w:val="00AB06E8"/>
    <w:rsid w:val="00AB082A"/>
    <w:rsid w:val="00AB0833"/>
    <w:rsid w:val="00AB094B"/>
    <w:rsid w:val="00AB0B94"/>
    <w:rsid w:val="00AB0BEC"/>
    <w:rsid w:val="00AB0DBF"/>
    <w:rsid w:val="00AB0F5B"/>
    <w:rsid w:val="00AB0F8D"/>
    <w:rsid w:val="00AB1167"/>
    <w:rsid w:val="00AB116F"/>
    <w:rsid w:val="00AB12D9"/>
    <w:rsid w:val="00AB1367"/>
    <w:rsid w:val="00AB1396"/>
    <w:rsid w:val="00AB1612"/>
    <w:rsid w:val="00AB1636"/>
    <w:rsid w:val="00AB1689"/>
    <w:rsid w:val="00AB169E"/>
    <w:rsid w:val="00AB1718"/>
    <w:rsid w:val="00AB175F"/>
    <w:rsid w:val="00AB17C0"/>
    <w:rsid w:val="00AB1841"/>
    <w:rsid w:val="00AB19B0"/>
    <w:rsid w:val="00AB1A64"/>
    <w:rsid w:val="00AB1AB9"/>
    <w:rsid w:val="00AB1B45"/>
    <w:rsid w:val="00AB1C54"/>
    <w:rsid w:val="00AB1CD3"/>
    <w:rsid w:val="00AB1CF9"/>
    <w:rsid w:val="00AB1D1F"/>
    <w:rsid w:val="00AB1ECD"/>
    <w:rsid w:val="00AB1F77"/>
    <w:rsid w:val="00AB20C0"/>
    <w:rsid w:val="00AB23CF"/>
    <w:rsid w:val="00AB24A1"/>
    <w:rsid w:val="00AB265A"/>
    <w:rsid w:val="00AB268D"/>
    <w:rsid w:val="00AB26AB"/>
    <w:rsid w:val="00AB26D8"/>
    <w:rsid w:val="00AB283F"/>
    <w:rsid w:val="00AB291E"/>
    <w:rsid w:val="00AB2A39"/>
    <w:rsid w:val="00AB2A43"/>
    <w:rsid w:val="00AB2ADE"/>
    <w:rsid w:val="00AB2B3E"/>
    <w:rsid w:val="00AB2C46"/>
    <w:rsid w:val="00AB2C54"/>
    <w:rsid w:val="00AB30F7"/>
    <w:rsid w:val="00AB3321"/>
    <w:rsid w:val="00AB3341"/>
    <w:rsid w:val="00AB3407"/>
    <w:rsid w:val="00AB3505"/>
    <w:rsid w:val="00AB352F"/>
    <w:rsid w:val="00AB35D4"/>
    <w:rsid w:val="00AB3674"/>
    <w:rsid w:val="00AB3774"/>
    <w:rsid w:val="00AB3A4E"/>
    <w:rsid w:val="00AB3BA3"/>
    <w:rsid w:val="00AB3E94"/>
    <w:rsid w:val="00AB3ECA"/>
    <w:rsid w:val="00AB3F4A"/>
    <w:rsid w:val="00AB3FE8"/>
    <w:rsid w:val="00AB419E"/>
    <w:rsid w:val="00AB4398"/>
    <w:rsid w:val="00AB4424"/>
    <w:rsid w:val="00AB4474"/>
    <w:rsid w:val="00AB4579"/>
    <w:rsid w:val="00AB45F4"/>
    <w:rsid w:val="00AB46FD"/>
    <w:rsid w:val="00AB4700"/>
    <w:rsid w:val="00AB4966"/>
    <w:rsid w:val="00AB4A47"/>
    <w:rsid w:val="00AB4AF6"/>
    <w:rsid w:val="00AB4B1E"/>
    <w:rsid w:val="00AB4CCB"/>
    <w:rsid w:val="00AB4CF6"/>
    <w:rsid w:val="00AB4D29"/>
    <w:rsid w:val="00AB4E09"/>
    <w:rsid w:val="00AB4E2E"/>
    <w:rsid w:val="00AB4F8A"/>
    <w:rsid w:val="00AB4FC1"/>
    <w:rsid w:val="00AB5132"/>
    <w:rsid w:val="00AB51FA"/>
    <w:rsid w:val="00AB5380"/>
    <w:rsid w:val="00AB5581"/>
    <w:rsid w:val="00AB564C"/>
    <w:rsid w:val="00AB5664"/>
    <w:rsid w:val="00AB5751"/>
    <w:rsid w:val="00AB5946"/>
    <w:rsid w:val="00AB594D"/>
    <w:rsid w:val="00AB59C7"/>
    <w:rsid w:val="00AB5B5A"/>
    <w:rsid w:val="00AB5DC4"/>
    <w:rsid w:val="00AB5E8A"/>
    <w:rsid w:val="00AB6014"/>
    <w:rsid w:val="00AB6029"/>
    <w:rsid w:val="00AB61FE"/>
    <w:rsid w:val="00AB6213"/>
    <w:rsid w:val="00AB627D"/>
    <w:rsid w:val="00AB62CA"/>
    <w:rsid w:val="00AB638E"/>
    <w:rsid w:val="00AB6462"/>
    <w:rsid w:val="00AB6497"/>
    <w:rsid w:val="00AB654F"/>
    <w:rsid w:val="00AB65BC"/>
    <w:rsid w:val="00AB66EB"/>
    <w:rsid w:val="00AB6712"/>
    <w:rsid w:val="00AB68D7"/>
    <w:rsid w:val="00AB697D"/>
    <w:rsid w:val="00AB69BA"/>
    <w:rsid w:val="00AB69D9"/>
    <w:rsid w:val="00AB6A00"/>
    <w:rsid w:val="00AB6B9A"/>
    <w:rsid w:val="00AB6BC8"/>
    <w:rsid w:val="00AB6E7D"/>
    <w:rsid w:val="00AB6F09"/>
    <w:rsid w:val="00AB6F7A"/>
    <w:rsid w:val="00AB6FD4"/>
    <w:rsid w:val="00AB70A9"/>
    <w:rsid w:val="00AB71C6"/>
    <w:rsid w:val="00AB7305"/>
    <w:rsid w:val="00AB74C8"/>
    <w:rsid w:val="00AB7717"/>
    <w:rsid w:val="00AB7763"/>
    <w:rsid w:val="00AB784A"/>
    <w:rsid w:val="00AB789B"/>
    <w:rsid w:val="00AB7909"/>
    <w:rsid w:val="00AB7951"/>
    <w:rsid w:val="00AB7A21"/>
    <w:rsid w:val="00AB7ADF"/>
    <w:rsid w:val="00AB7AE7"/>
    <w:rsid w:val="00AB7B39"/>
    <w:rsid w:val="00AB7BBC"/>
    <w:rsid w:val="00AB7BC1"/>
    <w:rsid w:val="00AB7FB2"/>
    <w:rsid w:val="00AB7FB9"/>
    <w:rsid w:val="00AB7FC0"/>
    <w:rsid w:val="00AC00FA"/>
    <w:rsid w:val="00AC0114"/>
    <w:rsid w:val="00AC025B"/>
    <w:rsid w:val="00AC05C2"/>
    <w:rsid w:val="00AC096C"/>
    <w:rsid w:val="00AC09E2"/>
    <w:rsid w:val="00AC0A61"/>
    <w:rsid w:val="00AC0AA4"/>
    <w:rsid w:val="00AC0B23"/>
    <w:rsid w:val="00AC0B3D"/>
    <w:rsid w:val="00AC0B4E"/>
    <w:rsid w:val="00AC0C31"/>
    <w:rsid w:val="00AC0DEC"/>
    <w:rsid w:val="00AC0E65"/>
    <w:rsid w:val="00AC0EEE"/>
    <w:rsid w:val="00AC0F0F"/>
    <w:rsid w:val="00AC0F24"/>
    <w:rsid w:val="00AC0F6A"/>
    <w:rsid w:val="00AC0FA0"/>
    <w:rsid w:val="00AC0FF5"/>
    <w:rsid w:val="00AC118C"/>
    <w:rsid w:val="00AC120A"/>
    <w:rsid w:val="00AC1305"/>
    <w:rsid w:val="00AC1542"/>
    <w:rsid w:val="00AC18AE"/>
    <w:rsid w:val="00AC18B1"/>
    <w:rsid w:val="00AC1B71"/>
    <w:rsid w:val="00AC1BAF"/>
    <w:rsid w:val="00AC1C5A"/>
    <w:rsid w:val="00AC1CC9"/>
    <w:rsid w:val="00AC1DF1"/>
    <w:rsid w:val="00AC206A"/>
    <w:rsid w:val="00AC207E"/>
    <w:rsid w:val="00AC21D1"/>
    <w:rsid w:val="00AC2327"/>
    <w:rsid w:val="00AC2337"/>
    <w:rsid w:val="00AC274B"/>
    <w:rsid w:val="00AC274E"/>
    <w:rsid w:val="00AC276D"/>
    <w:rsid w:val="00AC298E"/>
    <w:rsid w:val="00AC29A1"/>
    <w:rsid w:val="00AC29A6"/>
    <w:rsid w:val="00AC29C9"/>
    <w:rsid w:val="00AC2B2B"/>
    <w:rsid w:val="00AC2BDE"/>
    <w:rsid w:val="00AC2CE8"/>
    <w:rsid w:val="00AC2D1C"/>
    <w:rsid w:val="00AC2D2B"/>
    <w:rsid w:val="00AC2D30"/>
    <w:rsid w:val="00AC2DAB"/>
    <w:rsid w:val="00AC2DEF"/>
    <w:rsid w:val="00AC324A"/>
    <w:rsid w:val="00AC32C2"/>
    <w:rsid w:val="00AC3446"/>
    <w:rsid w:val="00AC3495"/>
    <w:rsid w:val="00AC36F8"/>
    <w:rsid w:val="00AC373A"/>
    <w:rsid w:val="00AC399C"/>
    <w:rsid w:val="00AC3A56"/>
    <w:rsid w:val="00AC3A9C"/>
    <w:rsid w:val="00AC3B7F"/>
    <w:rsid w:val="00AC3CD0"/>
    <w:rsid w:val="00AC3DD7"/>
    <w:rsid w:val="00AC3FAD"/>
    <w:rsid w:val="00AC4044"/>
    <w:rsid w:val="00AC4054"/>
    <w:rsid w:val="00AC40B3"/>
    <w:rsid w:val="00AC4127"/>
    <w:rsid w:val="00AC41F3"/>
    <w:rsid w:val="00AC4366"/>
    <w:rsid w:val="00AC4419"/>
    <w:rsid w:val="00AC449A"/>
    <w:rsid w:val="00AC4521"/>
    <w:rsid w:val="00AC4522"/>
    <w:rsid w:val="00AC4669"/>
    <w:rsid w:val="00AC46CB"/>
    <w:rsid w:val="00AC46E3"/>
    <w:rsid w:val="00AC4722"/>
    <w:rsid w:val="00AC473D"/>
    <w:rsid w:val="00AC4764"/>
    <w:rsid w:val="00AC49C8"/>
    <w:rsid w:val="00AC4B99"/>
    <w:rsid w:val="00AC4BB5"/>
    <w:rsid w:val="00AC4CB2"/>
    <w:rsid w:val="00AC5079"/>
    <w:rsid w:val="00AC5094"/>
    <w:rsid w:val="00AC50C1"/>
    <w:rsid w:val="00AC5182"/>
    <w:rsid w:val="00AC51AA"/>
    <w:rsid w:val="00AC5200"/>
    <w:rsid w:val="00AC5239"/>
    <w:rsid w:val="00AC5400"/>
    <w:rsid w:val="00AC5415"/>
    <w:rsid w:val="00AC5670"/>
    <w:rsid w:val="00AC5743"/>
    <w:rsid w:val="00AC594E"/>
    <w:rsid w:val="00AC597E"/>
    <w:rsid w:val="00AC5A46"/>
    <w:rsid w:val="00AC5B5B"/>
    <w:rsid w:val="00AC5B7D"/>
    <w:rsid w:val="00AC5BA1"/>
    <w:rsid w:val="00AC5C17"/>
    <w:rsid w:val="00AC5D89"/>
    <w:rsid w:val="00AC5E26"/>
    <w:rsid w:val="00AC5E47"/>
    <w:rsid w:val="00AC6155"/>
    <w:rsid w:val="00AC6179"/>
    <w:rsid w:val="00AC6286"/>
    <w:rsid w:val="00AC6359"/>
    <w:rsid w:val="00AC64C9"/>
    <w:rsid w:val="00AC675D"/>
    <w:rsid w:val="00AC6A23"/>
    <w:rsid w:val="00AC6A51"/>
    <w:rsid w:val="00AC6B80"/>
    <w:rsid w:val="00AC6B84"/>
    <w:rsid w:val="00AC6C33"/>
    <w:rsid w:val="00AC6C76"/>
    <w:rsid w:val="00AC6C77"/>
    <w:rsid w:val="00AC6D36"/>
    <w:rsid w:val="00AC6D76"/>
    <w:rsid w:val="00AC6D8E"/>
    <w:rsid w:val="00AC6DA1"/>
    <w:rsid w:val="00AC6DD7"/>
    <w:rsid w:val="00AC6E91"/>
    <w:rsid w:val="00AC6F18"/>
    <w:rsid w:val="00AC70A3"/>
    <w:rsid w:val="00AC71CC"/>
    <w:rsid w:val="00AC733D"/>
    <w:rsid w:val="00AC751D"/>
    <w:rsid w:val="00AC7546"/>
    <w:rsid w:val="00AC7730"/>
    <w:rsid w:val="00AC78C3"/>
    <w:rsid w:val="00AC78E4"/>
    <w:rsid w:val="00AC7BD4"/>
    <w:rsid w:val="00AC7C3F"/>
    <w:rsid w:val="00AC7CFF"/>
    <w:rsid w:val="00AC7E66"/>
    <w:rsid w:val="00AC7F94"/>
    <w:rsid w:val="00AD0090"/>
    <w:rsid w:val="00AD017C"/>
    <w:rsid w:val="00AD0257"/>
    <w:rsid w:val="00AD032B"/>
    <w:rsid w:val="00AD05D4"/>
    <w:rsid w:val="00AD0659"/>
    <w:rsid w:val="00AD0715"/>
    <w:rsid w:val="00AD071B"/>
    <w:rsid w:val="00AD08FA"/>
    <w:rsid w:val="00AD0929"/>
    <w:rsid w:val="00AD09BC"/>
    <w:rsid w:val="00AD0B39"/>
    <w:rsid w:val="00AD0B91"/>
    <w:rsid w:val="00AD0B9F"/>
    <w:rsid w:val="00AD0C26"/>
    <w:rsid w:val="00AD0CBA"/>
    <w:rsid w:val="00AD0D07"/>
    <w:rsid w:val="00AD0D48"/>
    <w:rsid w:val="00AD0EE8"/>
    <w:rsid w:val="00AD119E"/>
    <w:rsid w:val="00AD13B6"/>
    <w:rsid w:val="00AD1414"/>
    <w:rsid w:val="00AD15A3"/>
    <w:rsid w:val="00AD15BB"/>
    <w:rsid w:val="00AD1724"/>
    <w:rsid w:val="00AD174E"/>
    <w:rsid w:val="00AD1775"/>
    <w:rsid w:val="00AD17D5"/>
    <w:rsid w:val="00AD19F6"/>
    <w:rsid w:val="00AD19FF"/>
    <w:rsid w:val="00AD1AB5"/>
    <w:rsid w:val="00AD1ADE"/>
    <w:rsid w:val="00AD1C28"/>
    <w:rsid w:val="00AD1ED1"/>
    <w:rsid w:val="00AD1F7E"/>
    <w:rsid w:val="00AD2247"/>
    <w:rsid w:val="00AD22CB"/>
    <w:rsid w:val="00AD2346"/>
    <w:rsid w:val="00AD2382"/>
    <w:rsid w:val="00AD246C"/>
    <w:rsid w:val="00AD24B3"/>
    <w:rsid w:val="00AD2500"/>
    <w:rsid w:val="00AD2671"/>
    <w:rsid w:val="00AD26E2"/>
    <w:rsid w:val="00AD27F5"/>
    <w:rsid w:val="00AD28F9"/>
    <w:rsid w:val="00AD29F5"/>
    <w:rsid w:val="00AD2A22"/>
    <w:rsid w:val="00AD2AC1"/>
    <w:rsid w:val="00AD2B5A"/>
    <w:rsid w:val="00AD2C08"/>
    <w:rsid w:val="00AD2EFF"/>
    <w:rsid w:val="00AD30C7"/>
    <w:rsid w:val="00AD32E8"/>
    <w:rsid w:val="00AD36EC"/>
    <w:rsid w:val="00AD36F3"/>
    <w:rsid w:val="00AD3746"/>
    <w:rsid w:val="00AD3774"/>
    <w:rsid w:val="00AD3881"/>
    <w:rsid w:val="00AD3904"/>
    <w:rsid w:val="00AD39F1"/>
    <w:rsid w:val="00AD3A59"/>
    <w:rsid w:val="00AD3BB3"/>
    <w:rsid w:val="00AD407A"/>
    <w:rsid w:val="00AD4203"/>
    <w:rsid w:val="00AD4225"/>
    <w:rsid w:val="00AD4255"/>
    <w:rsid w:val="00AD42C0"/>
    <w:rsid w:val="00AD43CE"/>
    <w:rsid w:val="00AD43D5"/>
    <w:rsid w:val="00AD459C"/>
    <w:rsid w:val="00AD4866"/>
    <w:rsid w:val="00AD4AB6"/>
    <w:rsid w:val="00AD4D93"/>
    <w:rsid w:val="00AD4E57"/>
    <w:rsid w:val="00AD5359"/>
    <w:rsid w:val="00AD54C5"/>
    <w:rsid w:val="00AD5587"/>
    <w:rsid w:val="00AD56A9"/>
    <w:rsid w:val="00AD56EE"/>
    <w:rsid w:val="00AD582E"/>
    <w:rsid w:val="00AD58F5"/>
    <w:rsid w:val="00AD5BD3"/>
    <w:rsid w:val="00AD5CFE"/>
    <w:rsid w:val="00AD5E71"/>
    <w:rsid w:val="00AD610E"/>
    <w:rsid w:val="00AD6358"/>
    <w:rsid w:val="00AD63B0"/>
    <w:rsid w:val="00AD6416"/>
    <w:rsid w:val="00AD64D2"/>
    <w:rsid w:val="00AD65D9"/>
    <w:rsid w:val="00AD6648"/>
    <w:rsid w:val="00AD66AB"/>
    <w:rsid w:val="00AD67EB"/>
    <w:rsid w:val="00AD6810"/>
    <w:rsid w:val="00AD6854"/>
    <w:rsid w:val="00AD685D"/>
    <w:rsid w:val="00AD68F6"/>
    <w:rsid w:val="00AD6B3F"/>
    <w:rsid w:val="00AD6BC4"/>
    <w:rsid w:val="00AD6E33"/>
    <w:rsid w:val="00AD6EB4"/>
    <w:rsid w:val="00AD6ED5"/>
    <w:rsid w:val="00AD7114"/>
    <w:rsid w:val="00AD716E"/>
    <w:rsid w:val="00AD71A5"/>
    <w:rsid w:val="00AD730E"/>
    <w:rsid w:val="00AD737C"/>
    <w:rsid w:val="00AD741B"/>
    <w:rsid w:val="00AD7480"/>
    <w:rsid w:val="00AD74C8"/>
    <w:rsid w:val="00AD75F4"/>
    <w:rsid w:val="00AD767A"/>
    <w:rsid w:val="00AD778B"/>
    <w:rsid w:val="00AD784C"/>
    <w:rsid w:val="00AD794E"/>
    <w:rsid w:val="00AD79D8"/>
    <w:rsid w:val="00AD7D4D"/>
    <w:rsid w:val="00AD7D64"/>
    <w:rsid w:val="00AD7D6F"/>
    <w:rsid w:val="00AD7DC6"/>
    <w:rsid w:val="00AD7EAA"/>
    <w:rsid w:val="00AD7F58"/>
    <w:rsid w:val="00AE00CE"/>
    <w:rsid w:val="00AE026A"/>
    <w:rsid w:val="00AE0440"/>
    <w:rsid w:val="00AE0452"/>
    <w:rsid w:val="00AE051D"/>
    <w:rsid w:val="00AE0644"/>
    <w:rsid w:val="00AE0744"/>
    <w:rsid w:val="00AE08A1"/>
    <w:rsid w:val="00AE0939"/>
    <w:rsid w:val="00AE0A84"/>
    <w:rsid w:val="00AE0ABF"/>
    <w:rsid w:val="00AE0C94"/>
    <w:rsid w:val="00AE0D3A"/>
    <w:rsid w:val="00AE0D51"/>
    <w:rsid w:val="00AE0F91"/>
    <w:rsid w:val="00AE0FBE"/>
    <w:rsid w:val="00AE1010"/>
    <w:rsid w:val="00AE1049"/>
    <w:rsid w:val="00AE1257"/>
    <w:rsid w:val="00AE126A"/>
    <w:rsid w:val="00AE13A8"/>
    <w:rsid w:val="00AE1626"/>
    <w:rsid w:val="00AE1742"/>
    <w:rsid w:val="00AE178E"/>
    <w:rsid w:val="00AE17BC"/>
    <w:rsid w:val="00AE1846"/>
    <w:rsid w:val="00AE1A21"/>
    <w:rsid w:val="00AE1A4F"/>
    <w:rsid w:val="00AE1BAE"/>
    <w:rsid w:val="00AE1C01"/>
    <w:rsid w:val="00AE1D93"/>
    <w:rsid w:val="00AE1F1F"/>
    <w:rsid w:val="00AE2056"/>
    <w:rsid w:val="00AE207A"/>
    <w:rsid w:val="00AE220F"/>
    <w:rsid w:val="00AE22AA"/>
    <w:rsid w:val="00AE233D"/>
    <w:rsid w:val="00AE2383"/>
    <w:rsid w:val="00AE280A"/>
    <w:rsid w:val="00AE28B7"/>
    <w:rsid w:val="00AE2962"/>
    <w:rsid w:val="00AE2988"/>
    <w:rsid w:val="00AE2AC2"/>
    <w:rsid w:val="00AE2D5C"/>
    <w:rsid w:val="00AE2E2A"/>
    <w:rsid w:val="00AE2E78"/>
    <w:rsid w:val="00AE2ECC"/>
    <w:rsid w:val="00AE2FAB"/>
    <w:rsid w:val="00AE2FB8"/>
    <w:rsid w:val="00AE3005"/>
    <w:rsid w:val="00AE3032"/>
    <w:rsid w:val="00AE3048"/>
    <w:rsid w:val="00AE306F"/>
    <w:rsid w:val="00AE30B0"/>
    <w:rsid w:val="00AE31B2"/>
    <w:rsid w:val="00AE3251"/>
    <w:rsid w:val="00AE3267"/>
    <w:rsid w:val="00AE32EB"/>
    <w:rsid w:val="00AE342B"/>
    <w:rsid w:val="00AE34ED"/>
    <w:rsid w:val="00AE35B2"/>
    <w:rsid w:val="00AE37A6"/>
    <w:rsid w:val="00AE388A"/>
    <w:rsid w:val="00AE394C"/>
    <w:rsid w:val="00AE3B09"/>
    <w:rsid w:val="00AE3B99"/>
    <w:rsid w:val="00AE3BD5"/>
    <w:rsid w:val="00AE3C81"/>
    <w:rsid w:val="00AE3CB9"/>
    <w:rsid w:val="00AE3DCB"/>
    <w:rsid w:val="00AE3DFE"/>
    <w:rsid w:val="00AE3E88"/>
    <w:rsid w:val="00AE3F99"/>
    <w:rsid w:val="00AE404F"/>
    <w:rsid w:val="00AE4087"/>
    <w:rsid w:val="00AE4136"/>
    <w:rsid w:val="00AE41CB"/>
    <w:rsid w:val="00AE41DE"/>
    <w:rsid w:val="00AE422F"/>
    <w:rsid w:val="00AE426D"/>
    <w:rsid w:val="00AE4277"/>
    <w:rsid w:val="00AE4285"/>
    <w:rsid w:val="00AE4336"/>
    <w:rsid w:val="00AE4498"/>
    <w:rsid w:val="00AE44A4"/>
    <w:rsid w:val="00AE4544"/>
    <w:rsid w:val="00AE46B2"/>
    <w:rsid w:val="00AE4889"/>
    <w:rsid w:val="00AE4970"/>
    <w:rsid w:val="00AE49DF"/>
    <w:rsid w:val="00AE4A59"/>
    <w:rsid w:val="00AE4A82"/>
    <w:rsid w:val="00AE4AB9"/>
    <w:rsid w:val="00AE4ABD"/>
    <w:rsid w:val="00AE4D2F"/>
    <w:rsid w:val="00AE4F97"/>
    <w:rsid w:val="00AE4F98"/>
    <w:rsid w:val="00AE4FCA"/>
    <w:rsid w:val="00AE4FEF"/>
    <w:rsid w:val="00AE5199"/>
    <w:rsid w:val="00AE535C"/>
    <w:rsid w:val="00AE53B7"/>
    <w:rsid w:val="00AE553E"/>
    <w:rsid w:val="00AE56E5"/>
    <w:rsid w:val="00AE571B"/>
    <w:rsid w:val="00AE5794"/>
    <w:rsid w:val="00AE5836"/>
    <w:rsid w:val="00AE58D6"/>
    <w:rsid w:val="00AE59A0"/>
    <w:rsid w:val="00AE5AB4"/>
    <w:rsid w:val="00AE5C5B"/>
    <w:rsid w:val="00AE5E44"/>
    <w:rsid w:val="00AE5F60"/>
    <w:rsid w:val="00AE5FE1"/>
    <w:rsid w:val="00AE6192"/>
    <w:rsid w:val="00AE61AF"/>
    <w:rsid w:val="00AE6250"/>
    <w:rsid w:val="00AE62C5"/>
    <w:rsid w:val="00AE6304"/>
    <w:rsid w:val="00AE6401"/>
    <w:rsid w:val="00AE64F1"/>
    <w:rsid w:val="00AE6565"/>
    <w:rsid w:val="00AE662E"/>
    <w:rsid w:val="00AE6695"/>
    <w:rsid w:val="00AE66DB"/>
    <w:rsid w:val="00AE681F"/>
    <w:rsid w:val="00AE6906"/>
    <w:rsid w:val="00AE6908"/>
    <w:rsid w:val="00AE690C"/>
    <w:rsid w:val="00AE69F4"/>
    <w:rsid w:val="00AE6B1B"/>
    <w:rsid w:val="00AE6C6E"/>
    <w:rsid w:val="00AE6ED7"/>
    <w:rsid w:val="00AE6EE7"/>
    <w:rsid w:val="00AE710D"/>
    <w:rsid w:val="00AE7229"/>
    <w:rsid w:val="00AE748C"/>
    <w:rsid w:val="00AE754E"/>
    <w:rsid w:val="00AE794C"/>
    <w:rsid w:val="00AE7B03"/>
    <w:rsid w:val="00AE7C79"/>
    <w:rsid w:val="00AE7D9C"/>
    <w:rsid w:val="00AE7E3C"/>
    <w:rsid w:val="00AF0006"/>
    <w:rsid w:val="00AF012F"/>
    <w:rsid w:val="00AF01B9"/>
    <w:rsid w:val="00AF023E"/>
    <w:rsid w:val="00AF0240"/>
    <w:rsid w:val="00AF0270"/>
    <w:rsid w:val="00AF02B0"/>
    <w:rsid w:val="00AF0331"/>
    <w:rsid w:val="00AF0548"/>
    <w:rsid w:val="00AF0565"/>
    <w:rsid w:val="00AF058C"/>
    <w:rsid w:val="00AF092A"/>
    <w:rsid w:val="00AF0936"/>
    <w:rsid w:val="00AF0A29"/>
    <w:rsid w:val="00AF0A7F"/>
    <w:rsid w:val="00AF0AED"/>
    <w:rsid w:val="00AF0B28"/>
    <w:rsid w:val="00AF0BCF"/>
    <w:rsid w:val="00AF0C57"/>
    <w:rsid w:val="00AF0CF9"/>
    <w:rsid w:val="00AF0EFC"/>
    <w:rsid w:val="00AF0F2A"/>
    <w:rsid w:val="00AF1170"/>
    <w:rsid w:val="00AF1350"/>
    <w:rsid w:val="00AF13AD"/>
    <w:rsid w:val="00AF1423"/>
    <w:rsid w:val="00AF152C"/>
    <w:rsid w:val="00AF16AB"/>
    <w:rsid w:val="00AF1893"/>
    <w:rsid w:val="00AF1B44"/>
    <w:rsid w:val="00AF1B92"/>
    <w:rsid w:val="00AF1BA1"/>
    <w:rsid w:val="00AF210A"/>
    <w:rsid w:val="00AF2312"/>
    <w:rsid w:val="00AF24B9"/>
    <w:rsid w:val="00AF254B"/>
    <w:rsid w:val="00AF25C8"/>
    <w:rsid w:val="00AF25EB"/>
    <w:rsid w:val="00AF26F3"/>
    <w:rsid w:val="00AF2AB1"/>
    <w:rsid w:val="00AF2B19"/>
    <w:rsid w:val="00AF2DA3"/>
    <w:rsid w:val="00AF2DD4"/>
    <w:rsid w:val="00AF2E2D"/>
    <w:rsid w:val="00AF305F"/>
    <w:rsid w:val="00AF3078"/>
    <w:rsid w:val="00AF3120"/>
    <w:rsid w:val="00AF31DC"/>
    <w:rsid w:val="00AF3273"/>
    <w:rsid w:val="00AF32C6"/>
    <w:rsid w:val="00AF3306"/>
    <w:rsid w:val="00AF347A"/>
    <w:rsid w:val="00AF35E8"/>
    <w:rsid w:val="00AF362F"/>
    <w:rsid w:val="00AF3634"/>
    <w:rsid w:val="00AF38A1"/>
    <w:rsid w:val="00AF3904"/>
    <w:rsid w:val="00AF3920"/>
    <w:rsid w:val="00AF395C"/>
    <w:rsid w:val="00AF3972"/>
    <w:rsid w:val="00AF3A07"/>
    <w:rsid w:val="00AF3CB8"/>
    <w:rsid w:val="00AF3DB1"/>
    <w:rsid w:val="00AF3DB2"/>
    <w:rsid w:val="00AF3DBB"/>
    <w:rsid w:val="00AF3E3E"/>
    <w:rsid w:val="00AF3EFE"/>
    <w:rsid w:val="00AF3F7B"/>
    <w:rsid w:val="00AF4140"/>
    <w:rsid w:val="00AF4174"/>
    <w:rsid w:val="00AF422B"/>
    <w:rsid w:val="00AF4314"/>
    <w:rsid w:val="00AF4516"/>
    <w:rsid w:val="00AF4529"/>
    <w:rsid w:val="00AF4905"/>
    <w:rsid w:val="00AF4930"/>
    <w:rsid w:val="00AF4A78"/>
    <w:rsid w:val="00AF4B46"/>
    <w:rsid w:val="00AF4BEE"/>
    <w:rsid w:val="00AF4DBC"/>
    <w:rsid w:val="00AF4E11"/>
    <w:rsid w:val="00AF4E9F"/>
    <w:rsid w:val="00AF4EF9"/>
    <w:rsid w:val="00AF5014"/>
    <w:rsid w:val="00AF50C5"/>
    <w:rsid w:val="00AF5135"/>
    <w:rsid w:val="00AF5160"/>
    <w:rsid w:val="00AF5307"/>
    <w:rsid w:val="00AF539E"/>
    <w:rsid w:val="00AF540B"/>
    <w:rsid w:val="00AF5415"/>
    <w:rsid w:val="00AF5459"/>
    <w:rsid w:val="00AF54A4"/>
    <w:rsid w:val="00AF554D"/>
    <w:rsid w:val="00AF5744"/>
    <w:rsid w:val="00AF59A1"/>
    <w:rsid w:val="00AF5C42"/>
    <w:rsid w:val="00AF5CB3"/>
    <w:rsid w:val="00AF5D33"/>
    <w:rsid w:val="00AF5DFC"/>
    <w:rsid w:val="00AF5E7A"/>
    <w:rsid w:val="00AF5F04"/>
    <w:rsid w:val="00AF5FA9"/>
    <w:rsid w:val="00AF60B3"/>
    <w:rsid w:val="00AF623B"/>
    <w:rsid w:val="00AF627B"/>
    <w:rsid w:val="00AF62D0"/>
    <w:rsid w:val="00AF62F4"/>
    <w:rsid w:val="00AF6446"/>
    <w:rsid w:val="00AF650A"/>
    <w:rsid w:val="00AF6780"/>
    <w:rsid w:val="00AF6AA0"/>
    <w:rsid w:val="00AF6AE2"/>
    <w:rsid w:val="00AF6B32"/>
    <w:rsid w:val="00AF6B99"/>
    <w:rsid w:val="00AF6C08"/>
    <w:rsid w:val="00AF6CEA"/>
    <w:rsid w:val="00AF6E99"/>
    <w:rsid w:val="00AF70F9"/>
    <w:rsid w:val="00AF723A"/>
    <w:rsid w:val="00AF7294"/>
    <w:rsid w:val="00AF732E"/>
    <w:rsid w:val="00AF7413"/>
    <w:rsid w:val="00AF7477"/>
    <w:rsid w:val="00AF770E"/>
    <w:rsid w:val="00AF7732"/>
    <w:rsid w:val="00AF7757"/>
    <w:rsid w:val="00AF777D"/>
    <w:rsid w:val="00AF789A"/>
    <w:rsid w:val="00AF79E5"/>
    <w:rsid w:val="00AF7B99"/>
    <w:rsid w:val="00AF7BDB"/>
    <w:rsid w:val="00AF7C7F"/>
    <w:rsid w:val="00AF7F58"/>
    <w:rsid w:val="00AF7FF3"/>
    <w:rsid w:val="00B00159"/>
    <w:rsid w:val="00B00269"/>
    <w:rsid w:val="00B003F9"/>
    <w:rsid w:val="00B0041F"/>
    <w:rsid w:val="00B0058E"/>
    <w:rsid w:val="00B00672"/>
    <w:rsid w:val="00B0077F"/>
    <w:rsid w:val="00B0082D"/>
    <w:rsid w:val="00B0084D"/>
    <w:rsid w:val="00B00A4E"/>
    <w:rsid w:val="00B00A84"/>
    <w:rsid w:val="00B00B1D"/>
    <w:rsid w:val="00B00C82"/>
    <w:rsid w:val="00B00CF5"/>
    <w:rsid w:val="00B00EA7"/>
    <w:rsid w:val="00B00F4D"/>
    <w:rsid w:val="00B00F89"/>
    <w:rsid w:val="00B010FF"/>
    <w:rsid w:val="00B01166"/>
    <w:rsid w:val="00B01224"/>
    <w:rsid w:val="00B01325"/>
    <w:rsid w:val="00B01691"/>
    <w:rsid w:val="00B016C7"/>
    <w:rsid w:val="00B017DB"/>
    <w:rsid w:val="00B0185A"/>
    <w:rsid w:val="00B01872"/>
    <w:rsid w:val="00B018C5"/>
    <w:rsid w:val="00B0199A"/>
    <w:rsid w:val="00B019A3"/>
    <w:rsid w:val="00B019CA"/>
    <w:rsid w:val="00B01AA3"/>
    <w:rsid w:val="00B01B2E"/>
    <w:rsid w:val="00B01B4D"/>
    <w:rsid w:val="00B01C13"/>
    <w:rsid w:val="00B01DC8"/>
    <w:rsid w:val="00B01DD0"/>
    <w:rsid w:val="00B01EAE"/>
    <w:rsid w:val="00B01FBE"/>
    <w:rsid w:val="00B02018"/>
    <w:rsid w:val="00B0209C"/>
    <w:rsid w:val="00B020A2"/>
    <w:rsid w:val="00B020F4"/>
    <w:rsid w:val="00B02725"/>
    <w:rsid w:val="00B029CF"/>
    <w:rsid w:val="00B02A1E"/>
    <w:rsid w:val="00B02A92"/>
    <w:rsid w:val="00B02AEB"/>
    <w:rsid w:val="00B02C3E"/>
    <w:rsid w:val="00B02C75"/>
    <w:rsid w:val="00B02D48"/>
    <w:rsid w:val="00B02D7E"/>
    <w:rsid w:val="00B02E26"/>
    <w:rsid w:val="00B02E43"/>
    <w:rsid w:val="00B02F8D"/>
    <w:rsid w:val="00B0315E"/>
    <w:rsid w:val="00B03174"/>
    <w:rsid w:val="00B03348"/>
    <w:rsid w:val="00B03422"/>
    <w:rsid w:val="00B0353C"/>
    <w:rsid w:val="00B03559"/>
    <w:rsid w:val="00B03632"/>
    <w:rsid w:val="00B03927"/>
    <w:rsid w:val="00B039B4"/>
    <w:rsid w:val="00B03AA6"/>
    <w:rsid w:val="00B03AED"/>
    <w:rsid w:val="00B03BD3"/>
    <w:rsid w:val="00B03C4C"/>
    <w:rsid w:val="00B03CB7"/>
    <w:rsid w:val="00B03CE1"/>
    <w:rsid w:val="00B03E1C"/>
    <w:rsid w:val="00B03F45"/>
    <w:rsid w:val="00B03F4F"/>
    <w:rsid w:val="00B03F61"/>
    <w:rsid w:val="00B03FC7"/>
    <w:rsid w:val="00B04058"/>
    <w:rsid w:val="00B040B7"/>
    <w:rsid w:val="00B041CB"/>
    <w:rsid w:val="00B042E4"/>
    <w:rsid w:val="00B04469"/>
    <w:rsid w:val="00B04489"/>
    <w:rsid w:val="00B045DD"/>
    <w:rsid w:val="00B04626"/>
    <w:rsid w:val="00B048A2"/>
    <w:rsid w:val="00B04AA3"/>
    <w:rsid w:val="00B04C7B"/>
    <w:rsid w:val="00B04D2E"/>
    <w:rsid w:val="00B04E54"/>
    <w:rsid w:val="00B04F05"/>
    <w:rsid w:val="00B050A6"/>
    <w:rsid w:val="00B05295"/>
    <w:rsid w:val="00B0529F"/>
    <w:rsid w:val="00B0537F"/>
    <w:rsid w:val="00B05440"/>
    <w:rsid w:val="00B05560"/>
    <w:rsid w:val="00B05780"/>
    <w:rsid w:val="00B05892"/>
    <w:rsid w:val="00B0589B"/>
    <w:rsid w:val="00B059EE"/>
    <w:rsid w:val="00B05AD1"/>
    <w:rsid w:val="00B05B20"/>
    <w:rsid w:val="00B05CD3"/>
    <w:rsid w:val="00B05D49"/>
    <w:rsid w:val="00B05DE1"/>
    <w:rsid w:val="00B05E59"/>
    <w:rsid w:val="00B05EE5"/>
    <w:rsid w:val="00B06227"/>
    <w:rsid w:val="00B062AA"/>
    <w:rsid w:val="00B06306"/>
    <w:rsid w:val="00B06441"/>
    <w:rsid w:val="00B06450"/>
    <w:rsid w:val="00B06571"/>
    <w:rsid w:val="00B0686D"/>
    <w:rsid w:val="00B068BA"/>
    <w:rsid w:val="00B06ACB"/>
    <w:rsid w:val="00B06B2D"/>
    <w:rsid w:val="00B06B60"/>
    <w:rsid w:val="00B06B79"/>
    <w:rsid w:val="00B06BE3"/>
    <w:rsid w:val="00B06C9F"/>
    <w:rsid w:val="00B06DC8"/>
    <w:rsid w:val="00B06DF3"/>
    <w:rsid w:val="00B06E32"/>
    <w:rsid w:val="00B06E40"/>
    <w:rsid w:val="00B06FA5"/>
    <w:rsid w:val="00B07039"/>
    <w:rsid w:val="00B070B6"/>
    <w:rsid w:val="00B07129"/>
    <w:rsid w:val="00B071FF"/>
    <w:rsid w:val="00B07217"/>
    <w:rsid w:val="00B072DB"/>
    <w:rsid w:val="00B072DF"/>
    <w:rsid w:val="00B07338"/>
    <w:rsid w:val="00B07344"/>
    <w:rsid w:val="00B07457"/>
    <w:rsid w:val="00B0768A"/>
    <w:rsid w:val="00B076BD"/>
    <w:rsid w:val="00B07872"/>
    <w:rsid w:val="00B07C6B"/>
    <w:rsid w:val="00B07C89"/>
    <w:rsid w:val="00B07E60"/>
    <w:rsid w:val="00B07EF6"/>
    <w:rsid w:val="00B07F15"/>
    <w:rsid w:val="00B07F94"/>
    <w:rsid w:val="00B1006C"/>
    <w:rsid w:val="00B1010F"/>
    <w:rsid w:val="00B102D6"/>
    <w:rsid w:val="00B103FD"/>
    <w:rsid w:val="00B105A8"/>
    <w:rsid w:val="00B105C4"/>
    <w:rsid w:val="00B105FB"/>
    <w:rsid w:val="00B108AC"/>
    <w:rsid w:val="00B10970"/>
    <w:rsid w:val="00B10AEC"/>
    <w:rsid w:val="00B10B94"/>
    <w:rsid w:val="00B10C93"/>
    <w:rsid w:val="00B10EDE"/>
    <w:rsid w:val="00B10EE6"/>
    <w:rsid w:val="00B10F03"/>
    <w:rsid w:val="00B10F55"/>
    <w:rsid w:val="00B110AD"/>
    <w:rsid w:val="00B110F8"/>
    <w:rsid w:val="00B111A3"/>
    <w:rsid w:val="00B112E3"/>
    <w:rsid w:val="00B1139B"/>
    <w:rsid w:val="00B11448"/>
    <w:rsid w:val="00B117BE"/>
    <w:rsid w:val="00B118E7"/>
    <w:rsid w:val="00B11A9F"/>
    <w:rsid w:val="00B11D3A"/>
    <w:rsid w:val="00B11DA2"/>
    <w:rsid w:val="00B11F18"/>
    <w:rsid w:val="00B11F35"/>
    <w:rsid w:val="00B12021"/>
    <w:rsid w:val="00B120D5"/>
    <w:rsid w:val="00B1214E"/>
    <w:rsid w:val="00B12189"/>
    <w:rsid w:val="00B121F3"/>
    <w:rsid w:val="00B12224"/>
    <w:rsid w:val="00B12354"/>
    <w:rsid w:val="00B125B5"/>
    <w:rsid w:val="00B12623"/>
    <w:rsid w:val="00B1275D"/>
    <w:rsid w:val="00B12771"/>
    <w:rsid w:val="00B12860"/>
    <w:rsid w:val="00B12883"/>
    <w:rsid w:val="00B128CF"/>
    <w:rsid w:val="00B12A6C"/>
    <w:rsid w:val="00B12A71"/>
    <w:rsid w:val="00B12D5E"/>
    <w:rsid w:val="00B12DD3"/>
    <w:rsid w:val="00B12EB3"/>
    <w:rsid w:val="00B12F6F"/>
    <w:rsid w:val="00B12FC4"/>
    <w:rsid w:val="00B13041"/>
    <w:rsid w:val="00B130D0"/>
    <w:rsid w:val="00B1314B"/>
    <w:rsid w:val="00B13184"/>
    <w:rsid w:val="00B13201"/>
    <w:rsid w:val="00B132CF"/>
    <w:rsid w:val="00B134BE"/>
    <w:rsid w:val="00B13502"/>
    <w:rsid w:val="00B136B4"/>
    <w:rsid w:val="00B13720"/>
    <w:rsid w:val="00B13851"/>
    <w:rsid w:val="00B13875"/>
    <w:rsid w:val="00B13AB0"/>
    <w:rsid w:val="00B13B1C"/>
    <w:rsid w:val="00B13C94"/>
    <w:rsid w:val="00B13DA5"/>
    <w:rsid w:val="00B13DA6"/>
    <w:rsid w:val="00B13F09"/>
    <w:rsid w:val="00B13F9A"/>
    <w:rsid w:val="00B14096"/>
    <w:rsid w:val="00B141AE"/>
    <w:rsid w:val="00B142AC"/>
    <w:rsid w:val="00B142B5"/>
    <w:rsid w:val="00B14330"/>
    <w:rsid w:val="00B143B8"/>
    <w:rsid w:val="00B143D4"/>
    <w:rsid w:val="00B144E8"/>
    <w:rsid w:val="00B14508"/>
    <w:rsid w:val="00B14589"/>
    <w:rsid w:val="00B145D1"/>
    <w:rsid w:val="00B146B8"/>
    <w:rsid w:val="00B146BA"/>
    <w:rsid w:val="00B147E4"/>
    <w:rsid w:val="00B1487A"/>
    <w:rsid w:val="00B149D4"/>
    <w:rsid w:val="00B14B2F"/>
    <w:rsid w:val="00B14B5F"/>
    <w:rsid w:val="00B14D71"/>
    <w:rsid w:val="00B14E77"/>
    <w:rsid w:val="00B15146"/>
    <w:rsid w:val="00B15553"/>
    <w:rsid w:val="00B155AB"/>
    <w:rsid w:val="00B15695"/>
    <w:rsid w:val="00B156AB"/>
    <w:rsid w:val="00B156FF"/>
    <w:rsid w:val="00B1571F"/>
    <w:rsid w:val="00B15726"/>
    <w:rsid w:val="00B15752"/>
    <w:rsid w:val="00B15895"/>
    <w:rsid w:val="00B158FE"/>
    <w:rsid w:val="00B15996"/>
    <w:rsid w:val="00B15B9B"/>
    <w:rsid w:val="00B15D13"/>
    <w:rsid w:val="00B15D34"/>
    <w:rsid w:val="00B15F7D"/>
    <w:rsid w:val="00B161C5"/>
    <w:rsid w:val="00B163DD"/>
    <w:rsid w:val="00B164A6"/>
    <w:rsid w:val="00B165C3"/>
    <w:rsid w:val="00B166B3"/>
    <w:rsid w:val="00B166E9"/>
    <w:rsid w:val="00B16864"/>
    <w:rsid w:val="00B1692A"/>
    <w:rsid w:val="00B16962"/>
    <w:rsid w:val="00B16994"/>
    <w:rsid w:val="00B16AE0"/>
    <w:rsid w:val="00B16E3A"/>
    <w:rsid w:val="00B16E63"/>
    <w:rsid w:val="00B16E7B"/>
    <w:rsid w:val="00B16E82"/>
    <w:rsid w:val="00B16EE8"/>
    <w:rsid w:val="00B16F81"/>
    <w:rsid w:val="00B17096"/>
    <w:rsid w:val="00B17196"/>
    <w:rsid w:val="00B171EC"/>
    <w:rsid w:val="00B17407"/>
    <w:rsid w:val="00B1742E"/>
    <w:rsid w:val="00B1746B"/>
    <w:rsid w:val="00B174D0"/>
    <w:rsid w:val="00B17592"/>
    <w:rsid w:val="00B175CF"/>
    <w:rsid w:val="00B177E9"/>
    <w:rsid w:val="00B1781F"/>
    <w:rsid w:val="00B17840"/>
    <w:rsid w:val="00B178C2"/>
    <w:rsid w:val="00B1797C"/>
    <w:rsid w:val="00B1798B"/>
    <w:rsid w:val="00B17AC2"/>
    <w:rsid w:val="00B17AE6"/>
    <w:rsid w:val="00B17CA3"/>
    <w:rsid w:val="00B17CE8"/>
    <w:rsid w:val="00B17F92"/>
    <w:rsid w:val="00B20060"/>
    <w:rsid w:val="00B20116"/>
    <w:rsid w:val="00B20182"/>
    <w:rsid w:val="00B2020F"/>
    <w:rsid w:val="00B20378"/>
    <w:rsid w:val="00B20440"/>
    <w:rsid w:val="00B20469"/>
    <w:rsid w:val="00B2050E"/>
    <w:rsid w:val="00B205C6"/>
    <w:rsid w:val="00B20646"/>
    <w:rsid w:val="00B20675"/>
    <w:rsid w:val="00B206F5"/>
    <w:rsid w:val="00B20751"/>
    <w:rsid w:val="00B20898"/>
    <w:rsid w:val="00B2092F"/>
    <w:rsid w:val="00B209D1"/>
    <w:rsid w:val="00B20BA3"/>
    <w:rsid w:val="00B20DAE"/>
    <w:rsid w:val="00B20E9F"/>
    <w:rsid w:val="00B20FF4"/>
    <w:rsid w:val="00B21212"/>
    <w:rsid w:val="00B214F1"/>
    <w:rsid w:val="00B21855"/>
    <w:rsid w:val="00B218C5"/>
    <w:rsid w:val="00B218E3"/>
    <w:rsid w:val="00B219DB"/>
    <w:rsid w:val="00B21A03"/>
    <w:rsid w:val="00B21A88"/>
    <w:rsid w:val="00B21B4E"/>
    <w:rsid w:val="00B21DC0"/>
    <w:rsid w:val="00B21DEC"/>
    <w:rsid w:val="00B21DFF"/>
    <w:rsid w:val="00B21E19"/>
    <w:rsid w:val="00B21E94"/>
    <w:rsid w:val="00B21EFC"/>
    <w:rsid w:val="00B21F1D"/>
    <w:rsid w:val="00B21F22"/>
    <w:rsid w:val="00B21F90"/>
    <w:rsid w:val="00B21FAA"/>
    <w:rsid w:val="00B22107"/>
    <w:rsid w:val="00B22291"/>
    <w:rsid w:val="00B223A6"/>
    <w:rsid w:val="00B22421"/>
    <w:rsid w:val="00B2243B"/>
    <w:rsid w:val="00B226F7"/>
    <w:rsid w:val="00B22837"/>
    <w:rsid w:val="00B228E8"/>
    <w:rsid w:val="00B22931"/>
    <w:rsid w:val="00B22AE3"/>
    <w:rsid w:val="00B22BC8"/>
    <w:rsid w:val="00B22BE0"/>
    <w:rsid w:val="00B22C9D"/>
    <w:rsid w:val="00B22F91"/>
    <w:rsid w:val="00B22FBC"/>
    <w:rsid w:val="00B23066"/>
    <w:rsid w:val="00B230FD"/>
    <w:rsid w:val="00B23130"/>
    <w:rsid w:val="00B231FD"/>
    <w:rsid w:val="00B232A6"/>
    <w:rsid w:val="00B2338C"/>
    <w:rsid w:val="00B235BA"/>
    <w:rsid w:val="00B236FF"/>
    <w:rsid w:val="00B23706"/>
    <w:rsid w:val="00B2373F"/>
    <w:rsid w:val="00B237FF"/>
    <w:rsid w:val="00B23959"/>
    <w:rsid w:val="00B239C6"/>
    <w:rsid w:val="00B23C78"/>
    <w:rsid w:val="00B23CD9"/>
    <w:rsid w:val="00B23E01"/>
    <w:rsid w:val="00B23F8F"/>
    <w:rsid w:val="00B23F9A"/>
    <w:rsid w:val="00B2417B"/>
    <w:rsid w:val="00B242B7"/>
    <w:rsid w:val="00B24316"/>
    <w:rsid w:val="00B2455C"/>
    <w:rsid w:val="00B2458C"/>
    <w:rsid w:val="00B2464C"/>
    <w:rsid w:val="00B248F7"/>
    <w:rsid w:val="00B24A50"/>
    <w:rsid w:val="00B24AA9"/>
    <w:rsid w:val="00B24ACD"/>
    <w:rsid w:val="00B24B44"/>
    <w:rsid w:val="00B24CF7"/>
    <w:rsid w:val="00B24D7E"/>
    <w:rsid w:val="00B24DA1"/>
    <w:rsid w:val="00B24E6F"/>
    <w:rsid w:val="00B25082"/>
    <w:rsid w:val="00B25107"/>
    <w:rsid w:val="00B2511B"/>
    <w:rsid w:val="00B2520C"/>
    <w:rsid w:val="00B2539D"/>
    <w:rsid w:val="00B25408"/>
    <w:rsid w:val="00B254BB"/>
    <w:rsid w:val="00B25587"/>
    <w:rsid w:val="00B25714"/>
    <w:rsid w:val="00B25811"/>
    <w:rsid w:val="00B258DC"/>
    <w:rsid w:val="00B25907"/>
    <w:rsid w:val="00B25A07"/>
    <w:rsid w:val="00B25A4A"/>
    <w:rsid w:val="00B25B16"/>
    <w:rsid w:val="00B25B63"/>
    <w:rsid w:val="00B25BED"/>
    <w:rsid w:val="00B25D6C"/>
    <w:rsid w:val="00B25DC4"/>
    <w:rsid w:val="00B25FEB"/>
    <w:rsid w:val="00B262D8"/>
    <w:rsid w:val="00B265FA"/>
    <w:rsid w:val="00B2670D"/>
    <w:rsid w:val="00B2682D"/>
    <w:rsid w:val="00B26899"/>
    <w:rsid w:val="00B26ACD"/>
    <w:rsid w:val="00B26CB5"/>
    <w:rsid w:val="00B26DA0"/>
    <w:rsid w:val="00B26EB4"/>
    <w:rsid w:val="00B26F82"/>
    <w:rsid w:val="00B26F9D"/>
    <w:rsid w:val="00B2701A"/>
    <w:rsid w:val="00B27031"/>
    <w:rsid w:val="00B27079"/>
    <w:rsid w:val="00B2715F"/>
    <w:rsid w:val="00B2719A"/>
    <w:rsid w:val="00B273C5"/>
    <w:rsid w:val="00B2742E"/>
    <w:rsid w:val="00B27493"/>
    <w:rsid w:val="00B27516"/>
    <w:rsid w:val="00B2752E"/>
    <w:rsid w:val="00B2777F"/>
    <w:rsid w:val="00B277E1"/>
    <w:rsid w:val="00B2791E"/>
    <w:rsid w:val="00B27971"/>
    <w:rsid w:val="00B27A95"/>
    <w:rsid w:val="00B27AB4"/>
    <w:rsid w:val="00B27ABE"/>
    <w:rsid w:val="00B27B62"/>
    <w:rsid w:val="00B27B91"/>
    <w:rsid w:val="00B27BC4"/>
    <w:rsid w:val="00B27E83"/>
    <w:rsid w:val="00B27F4E"/>
    <w:rsid w:val="00B27F85"/>
    <w:rsid w:val="00B3007E"/>
    <w:rsid w:val="00B300B4"/>
    <w:rsid w:val="00B300BE"/>
    <w:rsid w:val="00B3011B"/>
    <w:rsid w:val="00B3014B"/>
    <w:rsid w:val="00B3030F"/>
    <w:rsid w:val="00B303DF"/>
    <w:rsid w:val="00B30580"/>
    <w:rsid w:val="00B30629"/>
    <w:rsid w:val="00B306BE"/>
    <w:rsid w:val="00B307CC"/>
    <w:rsid w:val="00B308F0"/>
    <w:rsid w:val="00B30A4C"/>
    <w:rsid w:val="00B30A7B"/>
    <w:rsid w:val="00B30B39"/>
    <w:rsid w:val="00B30B9D"/>
    <w:rsid w:val="00B30BE0"/>
    <w:rsid w:val="00B30C34"/>
    <w:rsid w:val="00B30C4F"/>
    <w:rsid w:val="00B30CC9"/>
    <w:rsid w:val="00B30CDD"/>
    <w:rsid w:val="00B30CF8"/>
    <w:rsid w:val="00B30D2D"/>
    <w:rsid w:val="00B30E06"/>
    <w:rsid w:val="00B3104E"/>
    <w:rsid w:val="00B3106C"/>
    <w:rsid w:val="00B312A7"/>
    <w:rsid w:val="00B312C8"/>
    <w:rsid w:val="00B313AC"/>
    <w:rsid w:val="00B31437"/>
    <w:rsid w:val="00B3146F"/>
    <w:rsid w:val="00B31486"/>
    <w:rsid w:val="00B314A1"/>
    <w:rsid w:val="00B3151C"/>
    <w:rsid w:val="00B3174C"/>
    <w:rsid w:val="00B317AA"/>
    <w:rsid w:val="00B31800"/>
    <w:rsid w:val="00B3182F"/>
    <w:rsid w:val="00B3187C"/>
    <w:rsid w:val="00B3199C"/>
    <w:rsid w:val="00B319D5"/>
    <w:rsid w:val="00B31A5B"/>
    <w:rsid w:val="00B31C05"/>
    <w:rsid w:val="00B31DEF"/>
    <w:rsid w:val="00B31EF0"/>
    <w:rsid w:val="00B3205A"/>
    <w:rsid w:val="00B320EE"/>
    <w:rsid w:val="00B32358"/>
    <w:rsid w:val="00B3237C"/>
    <w:rsid w:val="00B3237E"/>
    <w:rsid w:val="00B32418"/>
    <w:rsid w:val="00B32483"/>
    <w:rsid w:val="00B324ED"/>
    <w:rsid w:val="00B3252C"/>
    <w:rsid w:val="00B32532"/>
    <w:rsid w:val="00B32538"/>
    <w:rsid w:val="00B325CE"/>
    <w:rsid w:val="00B3262B"/>
    <w:rsid w:val="00B326B7"/>
    <w:rsid w:val="00B326CF"/>
    <w:rsid w:val="00B327DA"/>
    <w:rsid w:val="00B32826"/>
    <w:rsid w:val="00B3285A"/>
    <w:rsid w:val="00B3286D"/>
    <w:rsid w:val="00B32913"/>
    <w:rsid w:val="00B32986"/>
    <w:rsid w:val="00B329DC"/>
    <w:rsid w:val="00B329DD"/>
    <w:rsid w:val="00B32A19"/>
    <w:rsid w:val="00B32D1F"/>
    <w:rsid w:val="00B32F3B"/>
    <w:rsid w:val="00B32FA3"/>
    <w:rsid w:val="00B33048"/>
    <w:rsid w:val="00B331A4"/>
    <w:rsid w:val="00B331C6"/>
    <w:rsid w:val="00B3324C"/>
    <w:rsid w:val="00B332CB"/>
    <w:rsid w:val="00B33350"/>
    <w:rsid w:val="00B33366"/>
    <w:rsid w:val="00B33494"/>
    <w:rsid w:val="00B33639"/>
    <w:rsid w:val="00B33667"/>
    <w:rsid w:val="00B337E4"/>
    <w:rsid w:val="00B3384A"/>
    <w:rsid w:val="00B33886"/>
    <w:rsid w:val="00B338CA"/>
    <w:rsid w:val="00B33991"/>
    <w:rsid w:val="00B339A9"/>
    <w:rsid w:val="00B33A02"/>
    <w:rsid w:val="00B33A8E"/>
    <w:rsid w:val="00B33D68"/>
    <w:rsid w:val="00B33DB4"/>
    <w:rsid w:val="00B33DD4"/>
    <w:rsid w:val="00B33EC6"/>
    <w:rsid w:val="00B33F2E"/>
    <w:rsid w:val="00B33F88"/>
    <w:rsid w:val="00B341F5"/>
    <w:rsid w:val="00B34291"/>
    <w:rsid w:val="00B34330"/>
    <w:rsid w:val="00B3435C"/>
    <w:rsid w:val="00B343B6"/>
    <w:rsid w:val="00B344E0"/>
    <w:rsid w:val="00B344E6"/>
    <w:rsid w:val="00B34628"/>
    <w:rsid w:val="00B34630"/>
    <w:rsid w:val="00B34687"/>
    <w:rsid w:val="00B349C0"/>
    <w:rsid w:val="00B34B34"/>
    <w:rsid w:val="00B34FD1"/>
    <w:rsid w:val="00B34FFF"/>
    <w:rsid w:val="00B351C1"/>
    <w:rsid w:val="00B355C7"/>
    <w:rsid w:val="00B357FC"/>
    <w:rsid w:val="00B3588E"/>
    <w:rsid w:val="00B35890"/>
    <w:rsid w:val="00B358ED"/>
    <w:rsid w:val="00B359E0"/>
    <w:rsid w:val="00B35BE2"/>
    <w:rsid w:val="00B35BF0"/>
    <w:rsid w:val="00B35CAD"/>
    <w:rsid w:val="00B35D3C"/>
    <w:rsid w:val="00B35D3E"/>
    <w:rsid w:val="00B35D58"/>
    <w:rsid w:val="00B35D8E"/>
    <w:rsid w:val="00B35DD6"/>
    <w:rsid w:val="00B35F26"/>
    <w:rsid w:val="00B35F6F"/>
    <w:rsid w:val="00B35FEF"/>
    <w:rsid w:val="00B36133"/>
    <w:rsid w:val="00B36182"/>
    <w:rsid w:val="00B36308"/>
    <w:rsid w:val="00B3641F"/>
    <w:rsid w:val="00B36503"/>
    <w:rsid w:val="00B365E2"/>
    <w:rsid w:val="00B366B7"/>
    <w:rsid w:val="00B366C7"/>
    <w:rsid w:val="00B36864"/>
    <w:rsid w:val="00B3688C"/>
    <w:rsid w:val="00B368FA"/>
    <w:rsid w:val="00B36906"/>
    <w:rsid w:val="00B369DF"/>
    <w:rsid w:val="00B36A45"/>
    <w:rsid w:val="00B36A87"/>
    <w:rsid w:val="00B36B6B"/>
    <w:rsid w:val="00B36C0D"/>
    <w:rsid w:val="00B36C9D"/>
    <w:rsid w:val="00B36E24"/>
    <w:rsid w:val="00B36E5B"/>
    <w:rsid w:val="00B36E88"/>
    <w:rsid w:val="00B36ED2"/>
    <w:rsid w:val="00B36EF8"/>
    <w:rsid w:val="00B36F30"/>
    <w:rsid w:val="00B36F5D"/>
    <w:rsid w:val="00B36F66"/>
    <w:rsid w:val="00B36FBF"/>
    <w:rsid w:val="00B370FE"/>
    <w:rsid w:val="00B3718F"/>
    <w:rsid w:val="00B373E5"/>
    <w:rsid w:val="00B37545"/>
    <w:rsid w:val="00B37610"/>
    <w:rsid w:val="00B376FC"/>
    <w:rsid w:val="00B378CA"/>
    <w:rsid w:val="00B379FB"/>
    <w:rsid w:val="00B37A15"/>
    <w:rsid w:val="00B37A1B"/>
    <w:rsid w:val="00B37A50"/>
    <w:rsid w:val="00B37E86"/>
    <w:rsid w:val="00B40038"/>
    <w:rsid w:val="00B400A9"/>
    <w:rsid w:val="00B401C3"/>
    <w:rsid w:val="00B402E9"/>
    <w:rsid w:val="00B40424"/>
    <w:rsid w:val="00B4055F"/>
    <w:rsid w:val="00B40615"/>
    <w:rsid w:val="00B4089D"/>
    <w:rsid w:val="00B40A62"/>
    <w:rsid w:val="00B40ABC"/>
    <w:rsid w:val="00B40BC7"/>
    <w:rsid w:val="00B40D0C"/>
    <w:rsid w:val="00B40DFD"/>
    <w:rsid w:val="00B40EB2"/>
    <w:rsid w:val="00B41115"/>
    <w:rsid w:val="00B4117D"/>
    <w:rsid w:val="00B411ED"/>
    <w:rsid w:val="00B41273"/>
    <w:rsid w:val="00B41299"/>
    <w:rsid w:val="00B412A9"/>
    <w:rsid w:val="00B4132C"/>
    <w:rsid w:val="00B414AD"/>
    <w:rsid w:val="00B414BF"/>
    <w:rsid w:val="00B41695"/>
    <w:rsid w:val="00B4198F"/>
    <w:rsid w:val="00B41A89"/>
    <w:rsid w:val="00B41A9D"/>
    <w:rsid w:val="00B41B50"/>
    <w:rsid w:val="00B41C7D"/>
    <w:rsid w:val="00B41C98"/>
    <w:rsid w:val="00B41CD1"/>
    <w:rsid w:val="00B41D78"/>
    <w:rsid w:val="00B41E13"/>
    <w:rsid w:val="00B41EE6"/>
    <w:rsid w:val="00B41F3D"/>
    <w:rsid w:val="00B42086"/>
    <w:rsid w:val="00B420FD"/>
    <w:rsid w:val="00B4215D"/>
    <w:rsid w:val="00B42317"/>
    <w:rsid w:val="00B42511"/>
    <w:rsid w:val="00B4258D"/>
    <w:rsid w:val="00B42735"/>
    <w:rsid w:val="00B427B3"/>
    <w:rsid w:val="00B4280B"/>
    <w:rsid w:val="00B42817"/>
    <w:rsid w:val="00B42960"/>
    <w:rsid w:val="00B42A8E"/>
    <w:rsid w:val="00B42AF3"/>
    <w:rsid w:val="00B42B0A"/>
    <w:rsid w:val="00B42B54"/>
    <w:rsid w:val="00B42C94"/>
    <w:rsid w:val="00B42D1D"/>
    <w:rsid w:val="00B42DC9"/>
    <w:rsid w:val="00B42E1F"/>
    <w:rsid w:val="00B42E25"/>
    <w:rsid w:val="00B42EAF"/>
    <w:rsid w:val="00B430BF"/>
    <w:rsid w:val="00B431E8"/>
    <w:rsid w:val="00B43225"/>
    <w:rsid w:val="00B43353"/>
    <w:rsid w:val="00B43498"/>
    <w:rsid w:val="00B434D1"/>
    <w:rsid w:val="00B43537"/>
    <w:rsid w:val="00B4354C"/>
    <w:rsid w:val="00B43607"/>
    <w:rsid w:val="00B4361B"/>
    <w:rsid w:val="00B43787"/>
    <w:rsid w:val="00B437DE"/>
    <w:rsid w:val="00B438AA"/>
    <w:rsid w:val="00B43A1D"/>
    <w:rsid w:val="00B43A43"/>
    <w:rsid w:val="00B43A8C"/>
    <w:rsid w:val="00B43C02"/>
    <w:rsid w:val="00B43C65"/>
    <w:rsid w:val="00B43D71"/>
    <w:rsid w:val="00B43EC7"/>
    <w:rsid w:val="00B44422"/>
    <w:rsid w:val="00B44690"/>
    <w:rsid w:val="00B44798"/>
    <w:rsid w:val="00B44824"/>
    <w:rsid w:val="00B44842"/>
    <w:rsid w:val="00B44896"/>
    <w:rsid w:val="00B448D1"/>
    <w:rsid w:val="00B449A8"/>
    <w:rsid w:val="00B44A49"/>
    <w:rsid w:val="00B44B4D"/>
    <w:rsid w:val="00B44CA2"/>
    <w:rsid w:val="00B44CCC"/>
    <w:rsid w:val="00B44CDA"/>
    <w:rsid w:val="00B44DC4"/>
    <w:rsid w:val="00B450EE"/>
    <w:rsid w:val="00B45141"/>
    <w:rsid w:val="00B4532F"/>
    <w:rsid w:val="00B45458"/>
    <w:rsid w:val="00B45536"/>
    <w:rsid w:val="00B455DD"/>
    <w:rsid w:val="00B455F7"/>
    <w:rsid w:val="00B4571C"/>
    <w:rsid w:val="00B4587D"/>
    <w:rsid w:val="00B45997"/>
    <w:rsid w:val="00B45AB3"/>
    <w:rsid w:val="00B45ABE"/>
    <w:rsid w:val="00B45B79"/>
    <w:rsid w:val="00B45C5C"/>
    <w:rsid w:val="00B45D8C"/>
    <w:rsid w:val="00B45DF9"/>
    <w:rsid w:val="00B45E94"/>
    <w:rsid w:val="00B461EB"/>
    <w:rsid w:val="00B462D3"/>
    <w:rsid w:val="00B4660B"/>
    <w:rsid w:val="00B4662C"/>
    <w:rsid w:val="00B46755"/>
    <w:rsid w:val="00B46768"/>
    <w:rsid w:val="00B467CB"/>
    <w:rsid w:val="00B467EE"/>
    <w:rsid w:val="00B4695B"/>
    <w:rsid w:val="00B46A5A"/>
    <w:rsid w:val="00B46A84"/>
    <w:rsid w:val="00B46B8F"/>
    <w:rsid w:val="00B46DAF"/>
    <w:rsid w:val="00B4703B"/>
    <w:rsid w:val="00B471EE"/>
    <w:rsid w:val="00B47224"/>
    <w:rsid w:val="00B47258"/>
    <w:rsid w:val="00B47287"/>
    <w:rsid w:val="00B47324"/>
    <w:rsid w:val="00B474CA"/>
    <w:rsid w:val="00B4751E"/>
    <w:rsid w:val="00B475D7"/>
    <w:rsid w:val="00B4762C"/>
    <w:rsid w:val="00B47676"/>
    <w:rsid w:val="00B47724"/>
    <w:rsid w:val="00B479BD"/>
    <w:rsid w:val="00B47A48"/>
    <w:rsid w:val="00B47BFF"/>
    <w:rsid w:val="00B47C38"/>
    <w:rsid w:val="00B47D7B"/>
    <w:rsid w:val="00B47DE0"/>
    <w:rsid w:val="00B47F29"/>
    <w:rsid w:val="00B47F85"/>
    <w:rsid w:val="00B47FA9"/>
    <w:rsid w:val="00B500E8"/>
    <w:rsid w:val="00B50115"/>
    <w:rsid w:val="00B501C3"/>
    <w:rsid w:val="00B50240"/>
    <w:rsid w:val="00B50279"/>
    <w:rsid w:val="00B50305"/>
    <w:rsid w:val="00B50358"/>
    <w:rsid w:val="00B504CB"/>
    <w:rsid w:val="00B5063E"/>
    <w:rsid w:val="00B50864"/>
    <w:rsid w:val="00B50A50"/>
    <w:rsid w:val="00B50AAD"/>
    <w:rsid w:val="00B50DD5"/>
    <w:rsid w:val="00B50E93"/>
    <w:rsid w:val="00B50F2F"/>
    <w:rsid w:val="00B51029"/>
    <w:rsid w:val="00B5102F"/>
    <w:rsid w:val="00B51176"/>
    <w:rsid w:val="00B51546"/>
    <w:rsid w:val="00B515C8"/>
    <w:rsid w:val="00B51846"/>
    <w:rsid w:val="00B51957"/>
    <w:rsid w:val="00B519CD"/>
    <w:rsid w:val="00B51BAF"/>
    <w:rsid w:val="00B51D48"/>
    <w:rsid w:val="00B51FE0"/>
    <w:rsid w:val="00B520D3"/>
    <w:rsid w:val="00B520E0"/>
    <w:rsid w:val="00B52283"/>
    <w:rsid w:val="00B52394"/>
    <w:rsid w:val="00B52577"/>
    <w:rsid w:val="00B5262E"/>
    <w:rsid w:val="00B5265B"/>
    <w:rsid w:val="00B5267F"/>
    <w:rsid w:val="00B5273A"/>
    <w:rsid w:val="00B52757"/>
    <w:rsid w:val="00B52766"/>
    <w:rsid w:val="00B5282B"/>
    <w:rsid w:val="00B529A3"/>
    <w:rsid w:val="00B52A21"/>
    <w:rsid w:val="00B52BA2"/>
    <w:rsid w:val="00B52CFA"/>
    <w:rsid w:val="00B52D85"/>
    <w:rsid w:val="00B52E1E"/>
    <w:rsid w:val="00B531DA"/>
    <w:rsid w:val="00B5340B"/>
    <w:rsid w:val="00B5341F"/>
    <w:rsid w:val="00B5342A"/>
    <w:rsid w:val="00B535EF"/>
    <w:rsid w:val="00B536AC"/>
    <w:rsid w:val="00B536C5"/>
    <w:rsid w:val="00B536ED"/>
    <w:rsid w:val="00B537E4"/>
    <w:rsid w:val="00B53802"/>
    <w:rsid w:val="00B53A0F"/>
    <w:rsid w:val="00B53DBA"/>
    <w:rsid w:val="00B53DE7"/>
    <w:rsid w:val="00B53E1A"/>
    <w:rsid w:val="00B53F26"/>
    <w:rsid w:val="00B53F7E"/>
    <w:rsid w:val="00B53F7F"/>
    <w:rsid w:val="00B5406F"/>
    <w:rsid w:val="00B54098"/>
    <w:rsid w:val="00B541E3"/>
    <w:rsid w:val="00B541EF"/>
    <w:rsid w:val="00B5445D"/>
    <w:rsid w:val="00B544F0"/>
    <w:rsid w:val="00B5463A"/>
    <w:rsid w:val="00B5477E"/>
    <w:rsid w:val="00B54819"/>
    <w:rsid w:val="00B54961"/>
    <w:rsid w:val="00B54982"/>
    <w:rsid w:val="00B54A08"/>
    <w:rsid w:val="00B54AF9"/>
    <w:rsid w:val="00B54B9C"/>
    <w:rsid w:val="00B54C0F"/>
    <w:rsid w:val="00B54CA8"/>
    <w:rsid w:val="00B54DB5"/>
    <w:rsid w:val="00B54EE4"/>
    <w:rsid w:val="00B54FE7"/>
    <w:rsid w:val="00B5506B"/>
    <w:rsid w:val="00B5509D"/>
    <w:rsid w:val="00B551E0"/>
    <w:rsid w:val="00B5529C"/>
    <w:rsid w:val="00B552F6"/>
    <w:rsid w:val="00B556C9"/>
    <w:rsid w:val="00B55719"/>
    <w:rsid w:val="00B55806"/>
    <w:rsid w:val="00B558CF"/>
    <w:rsid w:val="00B558FE"/>
    <w:rsid w:val="00B5595D"/>
    <w:rsid w:val="00B55B0C"/>
    <w:rsid w:val="00B55B4D"/>
    <w:rsid w:val="00B55BC3"/>
    <w:rsid w:val="00B55C2B"/>
    <w:rsid w:val="00B55CCB"/>
    <w:rsid w:val="00B55DBC"/>
    <w:rsid w:val="00B55EB0"/>
    <w:rsid w:val="00B5623F"/>
    <w:rsid w:val="00B56356"/>
    <w:rsid w:val="00B5646F"/>
    <w:rsid w:val="00B56515"/>
    <w:rsid w:val="00B56754"/>
    <w:rsid w:val="00B56766"/>
    <w:rsid w:val="00B567D3"/>
    <w:rsid w:val="00B56869"/>
    <w:rsid w:val="00B56B2C"/>
    <w:rsid w:val="00B56C9B"/>
    <w:rsid w:val="00B56F0B"/>
    <w:rsid w:val="00B56F15"/>
    <w:rsid w:val="00B56F5D"/>
    <w:rsid w:val="00B570F6"/>
    <w:rsid w:val="00B57111"/>
    <w:rsid w:val="00B5727A"/>
    <w:rsid w:val="00B57329"/>
    <w:rsid w:val="00B5733C"/>
    <w:rsid w:val="00B573E4"/>
    <w:rsid w:val="00B57403"/>
    <w:rsid w:val="00B57459"/>
    <w:rsid w:val="00B57491"/>
    <w:rsid w:val="00B574E2"/>
    <w:rsid w:val="00B57634"/>
    <w:rsid w:val="00B57679"/>
    <w:rsid w:val="00B5768B"/>
    <w:rsid w:val="00B5782E"/>
    <w:rsid w:val="00B578D0"/>
    <w:rsid w:val="00B57B80"/>
    <w:rsid w:val="00B57C11"/>
    <w:rsid w:val="00B57C74"/>
    <w:rsid w:val="00B57C97"/>
    <w:rsid w:val="00B57E4A"/>
    <w:rsid w:val="00B57FCE"/>
    <w:rsid w:val="00B6002C"/>
    <w:rsid w:val="00B600F1"/>
    <w:rsid w:val="00B60171"/>
    <w:rsid w:val="00B602DA"/>
    <w:rsid w:val="00B602E2"/>
    <w:rsid w:val="00B602EC"/>
    <w:rsid w:val="00B6030D"/>
    <w:rsid w:val="00B60430"/>
    <w:rsid w:val="00B60540"/>
    <w:rsid w:val="00B60550"/>
    <w:rsid w:val="00B60613"/>
    <w:rsid w:val="00B607C1"/>
    <w:rsid w:val="00B607DE"/>
    <w:rsid w:val="00B60860"/>
    <w:rsid w:val="00B6090B"/>
    <w:rsid w:val="00B60A77"/>
    <w:rsid w:val="00B60ADC"/>
    <w:rsid w:val="00B60C0E"/>
    <w:rsid w:val="00B60CA9"/>
    <w:rsid w:val="00B60CB9"/>
    <w:rsid w:val="00B60CC9"/>
    <w:rsid w:val="00B60CDF"/>
    <w:rsid w:val="00B60CE7"/>
    <w:rsid w:val="00B60E61"/>
    <w:rsid w:val="00B60EE5"/>
    <w:rsid w:val="00B60F37"/>
    <w:rsid w:val="00B60F81"/>
    <w:rsid w:val="00B60FEB"/>
    <w:rsid w:val="00B610B2"/>
    <w:rsid w:val="00B611F8"/>
    <w:rsid w:val="00B61269"/>
    <w:rsid w:val="00B61277"/>
    <w:rsid w:val="00B613EE"/>
    <w:rsid w:val="00B61604"/>
    <w:rsid w:val="00B61607"/>
    <w:rsid w:val="00B6165F"/>
    <w:rsid w:val="00B616FE"/>
    <w:rsid w:val="00B61799"/>
    <w:rsid w:val="00B617B6"/>
    <w:rsid w:val="00B61870"/>
    <w:rsid w:val="00B61A67"/>
    <w:rsid w:val="00B61AA4"/>
    <w:rsid w:val="00B61AF0"/>
    <w:rsid w:val="00B61D19"/>
    <w:rsid w:val="00B61DDE"/>
    <w:rsid w:val="00B61E94"/>
    <w:rsid w:val="00B61F5E"/>
    <w:rsid w:val="00B61FC6"/>
    <w:rsid w:val="00B61FFC"/>
    <w:rsid w:val="00B62176"/>
    <w:rsid w:val="00B621FE"/>
    <w:rsid w:val="00B6220D"/>
    <w:rsid w:val="00B62270"/>
    <w:rsid w:val="00B622A6"/>
    <w:rsid w:val="00B62331"/>
    <w:rsid w:val="00B62488"/>
    <w:rsid w:val="00B62583"/>
    <w:rsid w:val="00B6262C"/>
    <w:rsid w:val="00B6272E"/>
    <w:rsid w:val="00B6278E"/>
    <w:rsid w:val="00B628EA"/>
    <w:rsid w:val="00B629CF"/>
    <w:rsid w:val="00B629FF"/>
    <w:rsid w:val="00B62B37"/>
    <w:rsid w:val="00B62B50"/>
    <w:rsid w:val="00B62C1F"/>
    <w:rsid w:val="00B62CF7"/>
    <w:rsid w:val="00B62D78"/>
    <w:rsid w:val="00B62D8B"/>
    <w:rsid w:val="00B62ED8"/>
    <w:rsid w:val="00B630B9"/>
    <w:rsid w:val="00B630BD"/>
    <w:rsid w:val="00B63101"/>
    <w:rsid w:val="00B632EE"/>
    <w:rsid w:val="00B635B7"/>
    <w:rsid w:val="00B635F8"/>
    <w:rsid w:val="00B63671"/>
    <w:rsid w:val="00B63936"/>
    <w:rsid w:val="00B6393E"/>
    <w:rsid w:val="00B6393F"/>
    <w:rsid w:val="00B63986"/>
    <w:rsid w:val="00B639C7"/>
    <w:rsid w:val="00B63AE8"/>
    <w:rsid w:val="00B63AF5"/>
    <w:rsid w:val="00B63B56"/>
    <w:rsid w:val="00B63BEE"/>
    <w:rsid w:val="00B63D08"/>
    <w:rsid w:val="00B63D4E"/>
    <w:rsid w:val="00B63DD6"/>
    <w:rsid w:val="00B63E7B"/>
    <w:rsid w:val="00B63FB5"/>
    <w:rsid w:val="00B64078"/>
    <w:rsid w:val="00B64204"/>
    <w:rsid w:val="00B642EF"/>
    <w:rsid w:val="00B64358"/>
    <w:rsid w:val="00B644B2"/>
    <w:rsid w:val="00B64552"/>
    <w:rsid w:val="00B6472A"/>
    <w:rsid w:val="00B64A2B"/>
    <w:rsid w:val="00B64AC1"/>
    <w:rsid w:val="00B64AC4"/>
    <w:rsid w:val="00B64C05"/>
    <w:rsid w:val="00B64D3C"/>
    <w:rsid w:val="00B64F11"/>
    <w:rsid w:val="00B64F54"/>
    <w:rsid w:val="00B64F66"/>
    <w:rsid w:val="00B64F7A"/>
    <w:rsid w:val="00B64FD4"/>
    <w:rsid w:val="00B65185"/>
    <w:rsid w:val="00B6518C"/>
    <w:rsid w:val="00B65212"/>
    <w:rsid w:val="00B6525D"/>
    <w:rsid w:val="00B652C5"/>
    <w:rsid w:val="00B6539C"/>
    <w:rsid w:val="00B65584"/>
    <w:rsid w:val="00B65647"/>
    <w:rsid w:val="00B65817"/>
    <w:rsid w:val="00B6583A"/>
    <w:rsid w:val="00B65915"/>
    <w:rsid w:val="00B65950"/>
    <w:rsid w:val="00B659B1"/>
    <w:rsid w:val="00B65A64"/>
    <w:rsid w:val="00B65B7A"/>
    <w:rsid w:val="00B65C25"/>
    <w:rsid w:val="00B65D7A"/>
    <w:rsid w:val="00B65EA6"/>
    <w:rsid w:val="00B65F83"/>
    <w:rsid w:val="00B66116"/>
    <w:rsid w:val="00B661F4"/>
    <w:rsid w:val="00B6638C"/>
    <w:rsid w:val="00B66391"/>
    <w:rsid w:val="00B66471"/>
    <w:rsid w:val="00B66548"/>
    <w:rsid w:val="00B66585"/>
    <w:rsid w:val="00B665C2"/>
    <w:rsid w:val="00B666DE"/>
    <w:rsid w:val="00B668FE"/>
    <w:rsid w:val="00B66949"/>
    <w:rsid w:val="00B66986"/>
    <w:rsid w:val="00B669CF"/>
    <w:rsid w:val="00B66A26"/>
    <w:rsid w:val="00B66B37"/>
    <w:rsid w:val="00B66B87"/>
    <w:rsid w:val="00B66B8A"/>
    <w:rsid w:val="00B66BD1"/>
    <w:rsid w:val="00B66BD5"/>
    <w:rsid w:val="00B66C26"/>
    <w:rsid w:val="00B66C5D"/>
    <w:rsid w:val="00B66D4C"/>
    <w:rsid w:val="00B66D6A"/>
    <w:rsid w:val="00B66D83"/>
    <w:rsid w:val="00B66F80"/>
    <w:rsid w:val="00B66FDF"/>
    <w:rsid w:val="00B672C0"/>
    <w:rsid w:val="00B67302"/>
    <w:rsid w:val="00B6735C"/>
    <w:rsid w:val="00B674B7"/>
    <w:rsid w:val="00B675A4"/>
    <w:rsid w:val="00B67686"/>
    <w:rsid w:val="00B676FD"/>
    <w:rsid w:val="00B6774F"/>
    <w:rsid w:val="00B678B6"/>
    <w:rsid w:val="00B67B59"/>
    <w:rsid w:val="00B67BD2"/>
    <w:rsid w:val="00B67D22"/>
    <w:rsid w:val="00B67F70"/>
    <w:rsid w:val="00B7000C"/>
    <w:rsid w:val="00B7008D"/>
    <w:rsid w:val="00B7015C"/>
    <w:rsid w:val="00B70297"/>
    <w:rsid w:val="00B702C1"/>
    <w:rsid w:val="00B7041E"/>
    <w:rsid w:val="00B7052E"/>
    <w:rsid w:val="00B706D7"/>
    <w:rsid w:val="00B707C0"/>
    <w:rsid w:val="00B70895"/>
    <w:rsid w:val="00B7092A"/>
    <w:rsid w:val="00B70A7A"/>
    <w:rsid w:val="00B70CF4"/>
    <w:rsid w:val="00B70E0D"/>
    <w:rsid w:val="00B70F12"/>
    <w:rsid w:val="00B70F2E"/>
    <w:rsid w:val="00B71164"/>
    <w:rsid w:val="00B7122D"/>
    <w:rsid w:val="00B712B3"/>
    <w:rsid w:val="00B71308"/>
    <w:rsid w:val="00B71522"/>
    <w:rsid w:val="00B71532"/>
    <w:rsid w:val="00B7155E"/>
    <w:rsid w:val="00B71666"/>
    <w:rsid w:val="00B717CB"/>
    <w:rsid w:val="00B71A4A"/>
    <w:rsid w:val="00B71A4E"/>
    <w:rsid w:val="00B71B14"/>
    <w:rsid w:val="00B71C0D"/>
    <w:rsid w:val="00B71C1E"/>
    <w:rsid w:val="00B71C68"/>
    <w:rsid w:val="00B71C90"/>
    <w:rsid w:val="00B71E7E"/>
    <w:rsid w:val="00B71EB3"/>
    <w:rsid w:val="00B71EB8"/>
    <w:rsid w:val="00B720E0"/>
    <w:rsid w:val="00B721D1"/>
    <w:rsid w:val="00B721D8"/>
    <w:rsid w:val="00B72238"/>
    <w:rsid w:val="00B723C1"/>
    <w:rsid w:val="00B72566"/>
    <w:rsid w:val="00B727F3"/>
    <w:rsid w:val="00B72A1C"/>
    <w:rsid w:val="00B72A98"/>
    <w:rsid w:val="00B72C53"/>
    <w:rsid w:val="00B72D5A"/>
    <w:rsid w:val="00B72E06"/>
    <w:rsid w:val="00B72E57"/>
    <w:rsid w:val="00B72F5E"/>
    <w:rsid w:val="00B73108"/>
    <w:rsid w:val="00B73185"/>
    <w:rsid w:val="00B7318B"/>
    <w:rsid w:val="00B7328C"/>
    <w:rsid w:val="00B73300"/>
    <w:rsid w:val="00B7335D"/>
    <w:rsid w:val="00B7338D"/>
    <w:rsid w:val="00B734F6"/>
    <w:rsid w:val="00B73731"/>
    <w:rsid w:val="00B737D5"/>
    <w:rsid w:val="00B73921"/>
    <w:rsid w:val="00B73B5B"/>
    <w:rsid w:val="00B73B76"/>
    <w:rsid w:val="00B73CA1"/>
    <w:rsid w:val="00B73CC5"/>
    <w:rsid w:val="00B73F0B"/>
    <w:rsid w:val="00B740FB"/>
    <w:rsid w:val="00B741A9"/>
    <w:rsid w:val="00B7424C"/>
    <w:rsid w:val="00B742C9"/>
    <w:rsid w:val="00B742F2"/>
    <w:rsid w:val="00B743B3"/>
    <w:rsid w:val="00B74529"/>
    <w:rsid w:val="00B74536"/>
    <w:rsid w:val="00B7469A"/>
    <w:rsid w:val="00B746EE"/>
    <w:rsid w:val="00B747A1"/>
    <w:rsid w:val="00B7491C"/>
    <w:rsid w:val="00B74A28"/>
    <w:rsid w:val="00B74A44"/>
    <w:rsid w:val="00B74C74"/>
    <w:rsid w:val="00B74ED8"/>
    <w:rsid w:val="00B74FF8"/>
    <w:rsid w:val="00B7501E"/>
    <w:rsid w:val="00B751A2"/>
    <w:rsid w:val="00B751A5"/>
    <w:rsid w:val="00B751DC"/>
    <w:rsid w:val="00B752D3"/>
    <w:rsid w:val="00B75646"/>
    <w:rsid w:val="00B75689"/>
    <w:rsid w:val="00B756DE"/>
    <w:rsid w:val="00B75744"/>
    <w:rsid w:val="00B75775"/>
    <w:rsid w:val="00B75847"/>
    <w:rsid w:val="00B75954"/>
    <w:rsid w:val="00B75A96"/>
    <w:rsid w:val="00B75AF6"/>
    <w:rsid w:val="00B75B75"/>
    <w:rsid w:val="00B75C33"/>
    <w:rsid w:val="00B75C79"/>
    <w:rsid w:val="00B75D20"/>
    <w:rsid w:val="00B75E29"/>
    <w:rsid w:val="00B75E87"/>
    <w:rsid w:val="00B75F1D"/>
    <w:rsid w:val="00B75F92"/>
    <w:rsid w:val="00B75FAF"/>
    <w:rsid w:val="00B75FF1"/>
    <w:rsid w:val="00B76025"/>
    <w:rsid w:val="00B7609F"/>
    <w:rsid w:val="00B760C0"/>
    <w:rsid w:val="00B76106"/>
    <w:rsid w:val="00B7610A"/>
    <w:rsid w:val="00B76145"/>
    <w:rsid w:val="00B76192"/>
    <w:rsid w:val="00B761CB"/>
    <w:rsid w:val="00B76248"/>
    <w:rsid w:val="00B76278"/>
    <w:rsid w:val="00B7629E"/>
    <w:rsid w:val="00B76371"/>
    <w:rsid w:val="00B764E6"/>
    <w:rsid w:val="00B76575"/>
    <w:rsid w:val="00B766BF"/>
    <w:rsid w:val="00B767FE"/>
    <w:rsid w:val="00B76816"/>
    <w:rsid w:val="00B7695F"/>
    <w:rsid w:val="00B769E7"/>
    <w:rsid w:val="00B76C35"/>
    <w:rsid w:val="00B76E12"/>
    <w:rsid w:val="00B76E94"/>
    <w:rsid w:val="00B76F3A"/>
    <w:rsid w:val="00B77167"/>
    <w:rsid w:val="00B771CA"/>
    <w:rsid w:val="00B772DB"/>
    <w:rsid w:val="00B773B0"/>
    <w:rsid w:val="00B774BC"/>
    <w:rsid w:val="00B7750D"/>
    <w:rsid w:val="00B776B1"/>
    <w:rsid w:val="00B7774C"/>
    <w:rsid w:val="00B77B1E"/>
    <w:rsid w:val="00B77DD1"/>
    <w:rsid w:val="00B77E4E"/>
    <w:rsid w:val="00B77F3F"/>
    <w:rsid w:val="00B8006C"/>
    <w:rsid w:val="00B802BD"/>
    <w:rsid w:val="00B80431"/>
    <w:rsid w:val="00B806F3"/>
    <w:rsid w:val="00B8080F"/>
    <w:rsid w:val="00B808E1"/>
    <w:rsid w:val="00B808F7"/>
    <w:rsid w:val="00B80B65"/>
    <w:rsid w:val="00B80BA8"/>
    <w:rsid w:val="00B80BE5"/>
    <w:rsid w:val="00B80DC5"/>
    <w:rsid w:val="00B80E76"/>
    <w:rsid w:val="00B80E96"/>
    <w:rsid w:val="00B80F0D"/>
    <w:rsid w:val="00B80FD2"/>
    <w:rsid w:val="00B81164"/>
    <w:rsid w:val="00B811FF"/>
    <w:rsid w:val="00B812AC"/>
    <w:rsid w:val="00B812F9"/>
    <w:rsid w:val="00B81421"/>
    <w:rsid w:val="00B81484"/>
    <w:rsid w:val="00B8155B"/>
    <w:rsid w:val="00B815D8"/>
    <w:rsid w:val="00B81698"/>
    <w:rsid w:val="00B816C0"/>
    <w:rsid w:val="00B816ED"/>
    <w:rsid w:val="00B81709"/>
    <w:rsid w:val="00B818FE"/>
    <w:rsid w:val="00B819ED"/>
    <w:rsid w:val="00B81E6A"/>
    <w:rsid w:val="00B81EDE"/>
    <w:rsid w:val="00B81F79"/>
    <w:rsid w:val="00B82443"/>
    <w:rsid w:val="00B82588"/>
    <w:rsid w:val="00B825C4"/>
    <w:rsid w:val="00B825CC"/>
    <w:rsid w:val="00B828EB"/>
    <w:rsid w:val="00B829D7"/>
    <w:rsid w:val="00B82A46"/>
    <w:rsid w:val="00B82B1F"/>
    <w:rsid w:val="00B82C81"/>
    <w:rsid w:val="00B82C87"/>
    <w:rsid w:val="00B82C92"/>
    <w:rsid w:val="00B82D07"/>
    <w:rsid w:val="00B82E15"/>
    <w:rsid w:val="00B82E31"/>
    <w:rsid w:val="00B82EB7"/>
    <w:rsid w:val="00B82EE2"/>
    <w:rsid w:val="00B82FB4"/>
    <w:rsid w:val="00B83035"/>
    <w:rsid w:val="00B8319D"/>
    <w:rsid w:val="00B831E1"/>
    <w:rsid w:val="00B831FB"/>
    <w:rsid w:val="00B83320"/>
    <w:rsid w:val="00B8344F"/>
    <w:rsid w:val="00B834A8"/>
    <w:rsid w:val="00B8352B"/>
    <w:rsid w:val="00B835D3"/>
    <w:rsid w:val="00B83636"/>
    <w:rsid w:val="00B83678"/>
    <w:rsid w:val="00B836C6"/>
    <w:rsid w:val="00B837F9"/>
    <w:rsid w:val="00B83B2E"/>
    <w:rsid w:val="00B83BF1"/>
    <w:rsid w:val="00B83BFB"/>
    <w:rsid w:val="00B83C58"/>
    <w:rsid w:val="00B83D68"/>
    <w:rsid w:val="00B83D94"/>
    <w:rsid w:val="00B83D9A"/>
    <w:rsid w:val="00B83DA1"/>
    <w:rsid w:val="00B83F11"/>
    <w:rsid w:val="00B83F19"/>
    <w:rsid w:val="00B83FDE"/>
    <w:rsid w:val="00B8421C"/>
    <w:rsid w:val="00B84277"/>
    <w:rsid w:val="00B84323"/>
    <w:rsid w:val="00B84398"/>
    <w:rsid w:val="00B84452"/>
    <w:rsid w:val="00B844E8"/>
    <w:rsid w:val="00B84638"/>
    <w:rsid w:val="00B8476A"/>
    <w:rsid w:val="00B84790"/>
    <w:rsid w:val="00B8492E"/>
    <w:rsid w:val="00B849E9"/>
    <w:rsid w:val="00B84A3B"/>
    <w:rsid w:val="00B84AFC"/>
    <w:rsid w:val="00B84B07"/>
    <w:rsid w:val="00B84B89"/>
    <w:rsid w:val="00B84BA7"/>
    <w:rsid w:val="00B84BE4"/>
    <w:rsid w:val="00B84C54"/>
    <w:rsid w:val="00B84D68"/>
    <w:rsid w:val="00B84E19"/>
    <w:rsid w:val="00B85050"/>
    <w:rsid w:val="00B850C6"/>
    <w:rsid w:val="00B8512B"/>
    <w:rsid w:val="00B85253"/>
    <w:rsid w:val="00B85281"/>
    <w:rsid w:val="00B8531F"/>
    <w:rsid w:val="00B853B3"/>
    <w:rsid w:val="00B853F9"/>
    <w:rsid w:val="00B856DA"/>
    <w:rsid w:val="00B85839"/>
    <w:rsid w:val="00B859C1"/>
    <w:rsid w:val="00B85A04"/>
    <w:rsid w:val="00B85A77"/>
    <w:rsid w:val="00B85AA2"/>
    <w:rsid w:val="00B85ADC"/>
    <w:rsid w:val="00B85BD3"/>
    <w:rsid w:val="00B85F19"/>
    <w:rsid w:val="00B85FA0"/>
    <w:rsid w:val="00B8609D"/>
    <w:rsid w:val="00B86128"/>
    <w:rsid w:val="00B86173"/>
    <w:rsid w:val="00B86259"/>
    <w:rsid w:val="00B86326"/>
    <w:rsid w:val="00B86441"/>
    <w:rsid w:val="00B86443"/>
    <w:rsid w:val="00B86501"/>
    <w:rsid w:val="00B86828"/>
    <w:rsid w:val="00B86892"/>
    <w:rsid w:val="00B86A64"/>
    <w:rsid w:val="00B86D37"/>
    <w:rsid w:val="00B86DB5"/>
    <w:rsid w:val="00B86E5C"/>
    <w:rsid w:val="00B86E6D"/>
    <w:rsid w:val="00B87001"/>
    <w:rsid w:val="00B870F2"/>
    <w:rsid w:val="00B87121"/>
    <w:rsid w:val="00B871A2"/>
    <w:rsid w:val="00B87202"/>
    <w:rsid w:val="00B8744B"/>
    <w:rsid w:val="00B87495"/>
    <w:rsid w:val="00B87691"/>
    <w:rsid w:val="00B876EE"/>
    <w:rsid w:val="00B877D3"/>
    <w:rsid w:val="00B87813"/>
    <w:rsid w:val="00B8784F"/>
    <w:rsid w:val="00B878C0"/>
    <w:rsid w:val="00B878D4"/>
    <w:rsid w:val="00B8793B"/>
    <w:rsid w:val="00B8796F"/>
    <w:rsid w:val="00B87A09"/>
    <w:rsid w:val="00B87AE1"/>
    <w:rsid w:val="00B87B1C"/>
    <w:rsid w:val="00B87CAE"/>
    <w:rsid w:val="00B87D10"/>
    <w:rsid w:val="00B87EB2"/>
    <w:rsid w:val="00B87FAE"/>
    <w:rsid w:val="00B9006F"/>
    <w:rsid w:val="00B901A3"/>
    <w:rsid w:val="00B90249"/>
    <w:rsid w:val="00B90350"/>
    <w:rsid w:val="00B90502"/>
    <w:rsid w:val="00B90537"/>
    <w:rsid w:val="00B90571"/>
    <w:rsid w:val="00B9062C"/>
    <w:rsid w:val="00B90729"/>
    <w:rsid w:val="00B907DA"/>
    <w:rsid w:val="00B90B09"/>
    <w:rsid w:val="00B90B47"/>
    <w:rsid w:val="00B90B66"/>
    <w:rsid w:val="00B90BE0"/>
    <w:rsid w:val="00B90D73"/>
    <w:rsid w:val="00B90DC7"/>
    <w:rsid w:val="00B910F4"/>
    <w:rsid w:val="00B910F8"/>
    <w:rsid w:val="00B91121"/>
    <w:rsid w:val="00B91255"/>
    <w:rsid w:val="00B912CE"/>
    <w:rsid w:val="00B9163B"/>
    <w:rsid w:val="00B916F7"/>
    <w:rsid w:val="00B9197E"/>
    <w:rsid w:val="00B91A3D"/>
    <w:rsid w:val="00B91A51"/>
    <w:rsid w:val="00B91ADE"/>
    <w:rsid w:val="00B91AFB"/>
    <w:rsid w:val="00B91B66"/>
    <w:rsid w:val="00B91BBD"/>
    <w:rsid w:val="00B91C06"/>
    <w:rsid w:val="00B91C2D"/>
    <w:rsid w:val="00B91C45"/>
    <w:rsid w:val="00B91D3C"/>
    <w:rsid w:val="00B91E44"/>
    <w:rsid w:val="00B91EAB"/>
    <w:rsid w:val="00B91F02"/>
    <w:rsid w:val="00B91FE9"/>
    <w:rsid w:val="00B921CE"/>
    <w:rsid w:val="00B92457"/>
    <w:rsid w:val="00B924E8"/>
    <w:rsid w:val="00B925BB"/>
    <w:rsid w:val="00B928AA"/>
    <w:rsid w:val="00B928EC"/>
    <w:rsid w:val="00B92913"/>
    <w:rsid w:val="00B92A1E"/>
    <w:rsid w:val="00B92ACE"/>
    <w:rsid w:val="00B92B0A"/>
    <w:rsid w:val="00B92B37"/>
    <w:rsid w:val="00B92B3C"/>
    <w:rsid w:val="00B92B95"/>
    <w:rsid w:val="00B92BDF"/>
    <w:rsid w:val="00B92D5B"/>
    <w:rsid w:val="00B92DB8"/>
    <w:rsid w:val="00B92DBC"/>
    <w:rsid w:val="00B92E46"/>
    <w:rsid w:val="00B930D6"/>
    <w:rsid w:val="00B93109"/>
    <w:rsid w:val="00B93201"/>
    <w:rsid w:val="00B93338"/>
    <w:rsid w:val="00B936BD"/>
    <w:rsid w:val="00B938E3"/>
    <w:rsid w:val="00B93917"/>
    <w:rsid w:val="00B9397B"/>
    <w:rsid w:val="00B93BB4"/>
    <w:rsid w:val="00B93C11"/>
    <w:rsid w:val="00B93C2D"/>
    <w:rsid w:val="00B93C4E"/>
    <w:rsid w:val="00B93C66"/>
    <w:rsid w:val="00B93C96"/>
    <w:rsid w:val="00B93DD8"/>
    <w:rsid w:val="00B93E49"/>
    <w:rsid w:val="00B93FA9"/>
    <w:rsid w:val="00B9404E"/>
    <w:rsid w:val="00B94136"/>
    <w:rsid w:val="00B94259"/>
    <w:rsid w:val="00B9429F"/>
    <w:rsid w:val="00B94383"/>
    <w:rsid w:val="00B943C3"/>
    <w:rsid w:val="00B94695"/>
    <w:rsid w:val="00B9470B"/>
    <w:rsid w:val="00B9475E"/>
    <w:rsid w:val="00B947C2"/>
    <w:rsid w:val="00B94817"/>
    <w:rsid w:val="00B949D7"/>
    <w:rsid w:val="00B94B36"/>
    <w:rsid w:val="00B94C5E"/>
    <w:rsid w:val="00B94DD6"/>
    <w:rsid w:val="00B94E62"/>
    <w:rsid w:val="00B94E80"/>
    <w:rsid w:val="00B94FB8"/>
    <w:rsid w:val="00B9505F"/>
    <w:rsid w:val="00B950BC"/>
    <w:rsid w:val="00B95241"/>
    <w:rsid w:val="00B9546F"/>
    <w:rsid w:val="00B954B8"/>
    <w:rsid w:val="00B95539"/>
    <w:rsid w:val="00B95560"/>
    <w:rsid w:val="00B95573"/>
    <w:rsid w:val="00B95637"/>
    <w:rsid w:val="00B9578D"/>
    <w:rsid w:val="00B95821"/>
    <w:rsid w:val="00B95859"/>
    <w:rsid w:val="00B9599F"/>
    <w:rsid w:val="00B95A7A"/>
    <w:rsid w:val="00B95A96"/>
    <w:rsid w:val="00B95C21"/>
    <w:rsid w:val="00B95D2E"/>
    <w:rsid w:val="00B95E5E"/>
    <w:rsid w:val="00B95FCD"/>
    <w:rsid w:val="00B960BD"/>
    <w:rsid w:val="00B9624E"/>
    <w:rsid w:val="00B96276"/>
    <w:rsid w:val="00B962E5"/>
    <w:rsid w:val="00B96475"/>
    <w:rsid w:val="00B96476"/>
    <w:rsid w:val="00B964AE"/>
    <w:rsid w:val="00B96671"/>
    <w:rsid w:val="00B9679C"/>
    <w:rsid w:val="00B967A0"/>
    <w:rsid w:val="00B96991"/>
    <w:rsid w:val="00B969B1"/>
    <w:rsid w:val="00B96B74"/>
    <w:rsid w:val="00B96DC4"/>
    <w:rsid w:val="00B96EEB"/>
    <w:rsid w:val="00B96F25"/>
    <w:rsid w:val="00B96F36"/>
    <w:rsid w:val="00B96FB1"/>
    <w:rsid w:val="00B97033"/>
    <w:rsid w:val="00B97131"/>
    <w:rsid w:val="00B9714C"/>
    <w:rsid w:val="00B9721D"/>
    <w:rsid w:val="00B972C7"/>
    <w:rsid w:val="00B972D9"/>
    <w:rsid w:val="00B972EB"/>
    <w:rsid w:val="00B97350"/>
    <w:rsid w:val="00B973A7"/>
    <w:rsid w:val="00B973F9"/>
    <w:rsid w:val="00B97443"/>
    <w:rsid w:val="00B975BF"/>
    <w:rsid w:val="00B9764D"/>
    <w:rsid w:val="00B976D5"/>
    <w:rsid w:val="00B976EE"/>
    <w:rsid w:val="00B97737"/>
    <w:rsid w:val="00B977C7"/>
    <w:rsid w:val="00B97907"/>
    <w:rsid w:val="00B97B08"/>
    <w:rsid w:val="00B97B29"/>
    <w:rsid w:val="00B97C65"/>
    <w:rsid w:val="00B97CBD"/>
    <w:rsid w:val="00B97E7B"/>
    <w:rsid w:val="00B97F04"/>
    <w:rsid w:val="00B97F0C"/>
    <w:rsid w:val="00B97FC3"/>
    <w:rsid w:val="00B97FF3"/>
    <w:rsid w:val="00BA0126"/>
    <w:rsid w:val="00BA02E1"/>
    <w:rsid w:val="00BA05DD"/>
    <w:rsid w:val="00BA0743"/>
    <w:rsid w:val="00BA081D"/>
    <w:rsid w:val="00BA0A8E"/>
    <w:rsid w:val="00BA0BD2"/>
    <w:rsid w:val="00BA0CA4"/>
    <w:rsid w:val="00BA0CBC"/>
    <w:rsid w:val="00BA0E42"/>
    <w:rsid w:val="00BA0F66"/>
    <w:rsid w:val="00BA1038"/>
    <w:rsid w:val="00BA1292"/>
    <w:rsid w:val="00BA12A3"/>
    <w:rsid w:val="00BA1372"/>
    <w:rsid w:val="00BA14F1"/>
    <w:rsid w:val="00BA1668"/>
    <w:rsid w:val="00BA1A77"/>
    <w:rsid w:val="00BA1C1B"/>
    <w:rsid w:val="00BA1CE1"/>
    <w:rsid w:val="00BA1DD7"/>
    <w:rsid w:val="00BA1E0D"/>
    <w:rsid w:val="00BA1FE9"/>
    <w:rsid w:val="00BA21A7"/>
    <w:rsid w:val="00BA21C1"/>
    <w:rsid w:val="00BA25F6"/>
    <w:rsid w:val="00BA26F6"/>
    <w:rsid w:val="00BA27A8"/>
    <w:rsid w:val="00BA29AD"/>
    <w:rsid w:val="00BA2A60"/>
    <w:rsid w:val="00BA2B45"/>
    <w:rsid w:val="00BA2B7A"/>
    <w:rsid w:val="00BA2C82"/>
    <w:rsid w:val="00BA2C91"/>
    <w:rsid w:val="00BA2EEB"/>
    <w:rsid w:val="00BA2F84"/>
    <w:rsid w:val="00BA3027"/>
    <w:rsid w:val="00BA304C"/>
    <w:rsid w:val="00BA30EE"/>
    <w:rsid w:val="00BA3208"/>
    <w:rsid w:val="00BA326F"/>
    <w:rsid w:val="00BA32EF"/>
    <w:rsid w:val="00BA3340"/>
    <w:rsid w:val="00BA33B0"/>
    <w:rsid w:val="00BA33BE"/>
    <w:rsid w:val="00BA33CF"/>
    <w:rsid w:val="00BA34CE"/>
    <w:rsid w:val="00BA3538"/>
    <w:rsid w:val="00BA3631"/>
    <w:rsid w:val="00BA3677"/>
    <w:rsid w:val="00BA3770"/>
    <w:rsid w:val="00BA37F3"/>
    <w:rsid w:val="00BA385A"/>
    <w:rsid w:val="00BA38C1"/>
    <w:rsid w:val="00BA392D"/>
    <w:rsid w:val="00BA3C95"/>
    <w:rsid w:val="00BA3D0B"/>
    <w:rsid w:val="00BA3D6B"/>
    <w:rsid w:val="00BA3DFC"/>
    <w:rsid w:val="00BA3F8D"/>
    <w:rsid w:val="00BA40CE"/>
    <w:rsid w:val="00BA4118"/>
    <w:rsid w:val="00BA41AD"/>
    <w:rsid w:val="00BA4210"/>
    <w:rsid w:val="00BA44D1"/>
    <w:rsid w:val="00BA4557"/>
    <w:rsid w:val="00BA458C"/>
    <w:rsid w:val="00BA4596"/>
    <w:rsid w:val="00BA46C4"/>
    <w:rsid w:val="00BA4742"/>
    <w:rsid w:val="00BA4791"/>
    <w:rsid w:val="00BA4804"/>
    <w:rsid w:val="00BA48BD"/>
    <w:rsid w:val="00BA48FA"/>
    <w:rsid w:val="00BA4CF4"/>
    <w:rsid w:val="00BA4D62"/>
    <w:rsid w:val="00BA4F90"/>
    <w:rsid w:val="00BA515C"/>
    <w:rsid w:val="00BA525B"/>
    <w:rsid w:val="00BA53C3"/>
    <w:rsid w:val="00BA570B"/>
    <w:rsid w:val="00BA5738"/>
    <w:rsid w:val="00BA5836"/>
    <w:rsid w:val="00BA5862"/>
    <w:rsid w:val="00BA5AD6"/>
    <w:rsid w:val="00BA5B64"/>
    <w:rsid w:val="00BA5B8F"/>
    <w:rsid w:val="00BA5BFF"/>
    <w:rsid w:val="00BA5C68"/>
    <w:rsid w:val="00BA5E67"/>
    <w:rsid w:val="00BA5FA0"/>
    <w:rsid w:val="00BA5FAD"/>
    <w:rsid w:val="00BA6036"/>
    <w:rsid w:val="00BA607F"/>
    <w:rsid w:val="00BA61C6"/>
    <w:rsid w:val="00BA6323"/>
    <w:rsid w:val="00BA6358"/>
    <w:rsid w:val="00BA6572"/>
    <w:rsid w:val="00BA6604"/>
    <w:rsid w:val="00BA66A4"/>
    <w:rsid w:val="00BA678D"/>
    <w:rsid w:val="00BA68CB"/>
    <w:rsid w:val="00BA691A"/>
    <w:rsid w:val="00BA6A85"/>
    <w:rsid w:val="00BA6AA0"/>
    <w:rsid w:val="00BA6AFB"/>
    <w:rsid w:val="00BA6D13"/>
    <w:rsid w:val="00BA6DC9"/>
    <w:rsid w:val="00BA6E1C"/>
    <w:rsid w:val="00BA6F2C"/>
    <w:rsid w:val="00BA6FDF"/>
    <w:rsid w:val="00BA70FC"/>
    <w:rsid w:val="00BA7141"/>
    <w:rsid w:val="00BA7167"/>
    <w:rsid w:val="00BA7180"/>
    <w:rsid w:val="00BA7246"/>
    <w:rsid w:val="00BA7297"/>
    <w:rsid w:val="00BA72B4"/>
    <w:rsid w:val="00BA7645"/>
    <w:rsid w:val="00BA7957"/>
    <w:rsid w:val="00BA7B06"/>
    <w:rsid w:val="00BA7B94"/>
    <w:rsid w:val="00BA7C55"/>
    <w:rsid w:val="00BA7C58"/>
    <w:rsid w:val="00BA7DFA"/>
    <w:rsid w:val="00BA7E08"/>
    <w:rsid w:val="00BA7E28"/>
    <w:rsid w:val="00BA7F7C"/>
    <w:rsid w:val="00BB0083"/>
    <w:rsid w:val="00BB00B2"/>
    <w:rsid w:val="00BB0120"/>
    <w:rsid w:val="00BB0138"/>
    <w:rsid w:val="00BB01EE"/>
    <w:rsid w:val="00BB0225"/>
    <w:rsid w:val="00BB0277"/>
    <w:rsid w:val="00BB0462"/>
    <w:rsid w:val="00BB0720"/>
    <w:rsid w:val="00BB0732"/>
    <w:rsid w:val="00BB07E3"/>
    <w:rsid w:val="00BB0DB9"/>
    <w:rsid w:val="00BB0E96"/>
    <w:rsid w:val="00BB0ED3"/>
    <w:rsid w:val="00BB0F5D"/>
    <w:rsid w:val="00BB1019"/>
    <w:rsid w:val="00BB1232"/>
    <w:rsid w:val="00BB1242"/>
    <w:rsid w:val="00BB142E"/>
    <w:rsid w:val="00BB1511"/>
    <w:rsid w:val="00BB15CD"/>
    <w:rsid w:val="00BB1672"/>
    <w:rsid w:val="00BB18C0"/>
    <w:rsid w:val="00BB1B1D"/>
    <w:rsid w:val="00BB1B3F"/>
    <w:rsid w:val="00BB1C08"/>
    <w:rsid w:val="00BB1C7F"/>
    <w:rsid w:val="00BB1ECF"/>
    <w:rsid w:val="00BB1FE6"/>
    <w:rsid w:val="00BB22F3"/>
    <w:rsid w:val="00BB2397"/>
    <w:rsid w:val="00BB2533"/>
    <w:rsid w:val="00BB263C"/>
    <w:rsid w:val="00BB26EA"/>
    <w:rsid w:val="00BB26F4"/>
    <w:rsid w:val="00BB270C"/>
    <w:rsid w:val="00BB288D"/>
    <w:rsid w:val="00BB28BB"/>
    <w:rsid w:val="00BB28EC"/>
    <w:rsid w:val="00BB299B"/>
    <w:rsid w:val="00BB2B37"/>
    <w:rsid w:val="00BB2D47"/>
    <w:rsid w:val="00BB2E3F"/>
    <w:rsid w:val="00BB2F23"/>
    <w:rsid w:val="00BB3006"/>
    <w:rsid w:val="00BB3009"/>
    <w:rsid w:val="00BB3095"/>
    <w:rsid w:val="00BB323C"/>
    <w:rsid w:val="00BB34CB"/>
    <w:rsid w:val="00BB351A"/>
    <w:rsid w:val="00BB3781"/>
    <w:rsid w:val="00BB37BC"/>
    <w:rsid w:val="00BB38B5"/>
    <w:rsid w:val="00BB38D5"/>
    <w:rsid w:val="00BB3979"/>
    <w:rsid w:val="00BB3ABA"/>
    <w:rsid w:val="00BB3D94"/>
    <w:rsid w:val="00BB3DE8"/>
    <w:rsid w:val="00BB3E76"/>
    <w:rsid w:val="00BB3F0B"/>
    <w:rsid w:val="00BB416A"/>
    <w:rsid w:val="00BB41A9"/>
    <w:rsid w:val="00BB4274"/>
    <w:rsid w:val="00BB42E1"/>
    <w:rsid w:val="00BB42F9"/>
    <w:rsid w:val="00BB43A1"/>
    <w:rsid w:val="00BB442C"/>
    <w:rsid w:val="00BB4492"/>
    <w:rsid w:val="00BB45D2"/>
    <w:rsid w:val="00BB47BD"/>
    <w:rsid w:val="00BB48B5"/>
    <w:rsid w:val="00BB4947"/>
    <w:rsid w:val="00BB4A81"/>
    <w:rsid w:val="00BB4AF6"/>
    <w:rsid w:val="00BB4B29"/>
    <w:rsid w:val="00BB4C86"/>
    <w:rsid w:val="00BB4D3A"/>
    <w:rsid w:val="00BB4E13"/>
    <w:rsid w:val="00BB4F3B"/>
    <w:rsid w:val="00BB4F91"/>
    <w:rsid w:val="00BB50FF"/>
    <w:rsid w:val="00BB5124"/>
    <w:rsid w:val="00BB519E"/>
    <w:rsid w:val="00BB51B0"/>
    <w:rsid w:val="00BB524B"/>
    <w:rsid w:val="00BB5284"/>
    <w:rsid w:val="00BB52B7"/>
    <w:rsid w:val="00BB5311"/>
    <w:rsid w:val="00BB5336"/>
    <w:rsid w:val="00BB5387"/>
    <w:rsid w:val="00BB53DE"/>
    <w:rsid w:val="00BB5606"/>
    <w:rsid w:val="00BB563E"/>
    <w:rsid w:val="00BB56D4"/>
    <w:rsid w:val="00BB5804"/>
    <w:rsid w:val="00BB5863"/>
    <w:rsid w:val="00BB58F5"/>
    <w:rsid w:val="00BB5942"/>
    <w:rsid w:val="00BB59E6"/>
    <w:rsid w:val="00BB5AD8"/>
    <w:rsid w:val="00BB5B0C"/>
    <w:rsid w:val="00BB5B21"/>
    <w:rsid w:val="00BB5C10"/>
    <w:rsid w:val="00BB5C2A"/>
    <w:rsid w:val="00BB5D04"/>
    <w:rsid w:val="00BB5DA6"/>
    <w:rsid w:val="00BB6044"/>
    <w:rsid w:val="00BB606E"/>
    <w:rsid w:val="00BB61F7"/>
    <w:rsid w:val="00BB62B9"/>
    <w:rsid w:val="00BB654E"/>
    <w:rsid w:val="00BB66BA"/>
    <w:rsid w:val="00BB67E6"/>
    <w:rsid w:val="00BB6ACD"/>
    <w:rsid w:val="00BB6CC8"/>
    <w:rsid w:val="00BB6D76"/>
    <w:rsid w:val="00BB6F69"/>
    <w:rsid w:val="00BB70E6"/>
    <w:rsid w:val="00BB71FB"/>
    <w:rsid w:val="00BB7272"/>
    <w:rsid w:val="00BB72D6"/>
    <w:rsid w:val="00BB74AC"/>
    <w:rsid w:val="00BB74DD"/>
    <w:rsid w:val="00BB773A"/>
    <w:rsid w:val="00BB77BF"/>
    <w:rsid w:val="00BB79B9"/>
    <w:rsid w:val="00BB7A01"/>
    <w:rsid w:val="00BB7A10"/>
    <w:rsid w:val="00BB7A60"/>
    <w:rsid w:val="00BB7A94"/>
    <w:rsid w:val="00BB7B26"/>
    <w:rsid w:val="00BB7BF6"/>
    <w:rsid w:val="00BB7EA1"/>
    <w:rsid w:val="00BB7F65"/>
    <w:rsid w:val="00BC02E4"/>
    <w:rsid w:val="00BC04B3"/>
    <w:rsid w:val="00BC059E"/>
    <w:rsid w:val="00BC07A6"/>
    <w:rsid w:val="00BC09E1"/>
    <w:rsid w:val="00BC0B94"/>
    <w:rsid w:val="00BC0CE0"/>
    <w:rsid w:val="00BC0D07"/>
    <w:rsid w:val="00BC0D26"/>
    <w:rsid w:val="00BC0F28"/>
    <w:rsid w:val="00BC0F86"/>
    <w:rsid w:val="00BC11DA"/>
    <w:rsid w:val="00BC1304"/>
    <w:rsid w:val="00BC135A"/>
    <w:rsid w:val="00BC1378"/>
    <w:rsid w:val="00BC1538"/>
    <w:rsid w:val="00BC1586"/>
    <w:rsid w:val="00BC15DC"/>
    <w:rsid w:val="00BC1835"/>
    <w:rsid w:val="00BC1A30"/>
    <w:rsid w:val="00BC1A33"/>
    <w:rsid w:val="00BC1A7A"/>
    <w:rsid w:val="00BC1D86"/>
    <w:rsid w:val="00BC1DC5"/>
    <w:rsid w:val="00BC1EC0"/>
    <w:rsid w:val="00BC21C0"/>
    <w:rsid w:val="00BC24CD"/>
    <w:rsid w:val="00BC27CF"/>
    <w:rsid w:val="00BC2800"/>
    <w:rsid w:val="00BC295B"/>
    <w:rsid w:val="00BC29EA"/>
    <w:rsid w:val="00BC2A58"/>
    <w:rsid w:val="00BC2B17"/>
    <w:rsid w:val="00BC2BF6"/>
    <w:rsid w:val="00BC2D30"/>
    <w:rsid w:val="00BC2D61"/>
    <w:rsid w:val="00BC2EDD"/>
    <w:rsid w:val="00BC2F5C"/>
    <w:rsid w:val="00BC2F99"/>
    <w:rsid w:val="00BC315D"/>
    <w:rsid w:val="00BC339D"/>
    <w:rsid w:val="00BC33B2"/>
    <w:rsid w:val="00BC3424"/>
    <w:rsid w:val="00BC3473"/>
    <w:rsid w:val="00BC35A3"/>
    <w:rsid w:val="00BC35EB"/>
    <w:rsid w:val="00BC3771"/>
    <w:rsid w:val="00BC3819"/>
    <w:rsid w:val="00BC3901"/>
    <w:rsid w:val="00BC3C10"/>
    <w:rsid w:val="00BC3DA3"/>
    <w:rsid w:val="00BC3E61"/>
    <w:rsid w:val="00BC3E72"/>
    <w:rsid w:val="00BC3F34"/>
    <w:rsid w:val="00BC3FBA"/>
    <w:rsid w:val="00BC4080"/>
    <w:rsid w:val="00BC4221"/>
    <w:rsid w:val="00BC4262"/>
    <w:rsid w:val="00BC43A2"/>
    <w:rsid w:val="00BC4422"/>
    <w:rsid w:val="00BC444B"/>
    <w:rsid w:val="00BC4488"/>
    <w:rsid w:val="00BC44DB"/>
    <w:rsid w:val="00BC45C4"/>
    <w:rsid w:val="00BC45F2"/>
    <w:rsid w:val="00BC476B"/>
    <w:rsid w:val="00BC4780"/>
    <w:rsid w:val="00BC47BA"/>
    <w:rsid w:val="00BC4A27"/>
    <w:rsid w:val="00BC4A84"/>
    <w:rsid w:val="00BC4AB7"/>
    <w:rsid w:val="00BC4B8A"/>
    <w:rsid w:val="00BC4C14"/>
    <w:rsid w:val="00BC4F4B"/>
    <w:rsid w:val="00BC51AE"/>
    <w:rsid w:val="00BC5533"/>
    <w:rsid w:val="00BC5626"/>
    <w:rsid w:val="00BC56E2"/>
    <w:rsid w:val="00BC56ED"/>
    <w:rsid w:val="00BC577E"/>
    <w:rsid w:val="00BC57F3"/>
    <w:rsid w:val="00BC592F"/>
    <w:rsid w:val="00BC5A67"/>
    <w:rsid w:val="00BC5B15"/>
    <w:rsid w:val="00BC5C98"/>
    <w:rsid w:val="00BC5DD9"/>
    <w:rsid w:val="00BC5E0C"/>
    <w:rsid w:val="00BC5E5E"/>
    <w:rsid w:val="00BC5E62"/>
    <w:rsid w:val="00BC5EC8"/>
    <w:rsid w:val="00BC5FC1"/>
    <w:rsid w:val="00BC60A9"/>
    <w:rsid w:val="00BC60BE"/>
    <w:rsid w:val="00BC629F"/>
    <w:rsid w:val="00BC6309"/>
    <w:rsid w:val="00BC630D"/>
    <w:rsid w:val="00BC6460"/>
    <w:rsid w:val="00BC652E"/>
    <w:rsid w:val="00BC666D"/>
    <w:rsid w:val="00BC6897"/>
    <w:rsid w:val="00BC68C3"/>
    <w:rsid w:val="00BC6AA7"/>
    <w:rsid w:val="00BC6BA7"/>
    <w:rsid w:val="00BC6C18"/>
    <w:rsid w:val="00BC6C27"/>
    <w:rsid w:val="00BC6DA7"/>
    <w:rsid w:val="00BC6E34"/>
    <w:rsid w:val="00BC6EA9"/>
    <w:rsid w:val="00BC6FB3"/>
    <w:rsid w:val="00BC70F2"/>
    <w:rsid w:val="00BC7180"/>
    <w:rsid w:val="00BC7360"/>
    <w:rsid w:val="00BC7380"/>
    <w:rsid w:val="00BC7466"/>
    <w:rsid w:val="00BC7468"/>
    <w:rsid w:val="00BC74C5"/>
    <w:rsid w:val="00BC7639"/>
    <w:rsid w:val="00BC7738"/>
    <w:rsid w:val="00BC7825"/>
    <w:rsid w:val="00BC78C8"/>
    <w:rsid w:val="00BC78CA"/>
    <w:rsid w:val="00BC7950"/>
    <w:rsid w:val="00BC799C"/>
    <w:rsid w:val="00BC7A3C"/>
    <w:rsid w:val="00BC7AAF"/>
    <w:rsid w:val="00BC7D4F"/>
    <w:rsid w:val="00BC7DEC"/>
    <w:rsid w:val="00BC7ED7"/>
    <w:rsid w:val="00BC7F32"/>
    <w:rsid w:val="00BC7F53"/>
    <w:rsid w:val="00BD006E"/>
    <w:rsid w:val="00BD00F1"/>
    <w:rsid w:val="00BD015A"/>
    <w:rsid w:val="00BD0189"/>
    <w:rsid w:val="00BD0246"/>
    <w:rsid w:val="00BD0324"/>
    <w:rsid w:val="00BD037C"/>
    <w:rsid w:val="00BD03B6"/>
    <w:rsid w:val="00BD0452"/>
    <w:rsid w:val="00BD04EC"/>
    <w:rsid w:val="00BD0578"/>
    <w:rsid w:val="00BD067A"/>
    <w:rsid w:val="00BD071C"/>
    <w:rsid w:val="00BD07FF"/>
    <w:rsid w:val="00BD0826"/>
    <w:rsid w:val="00BD0859"/>
    <w:rsid w:val="00BD085C"/>
    <w:rsid w:val="00BD09E8"/>
    <w:rsid w:val="00BD09F1"/>
    <w:rsid w:val="00BD0BFC"/>
    <w:rsid w:val="00BD0D06"/>
    <w:rsid w:val="00BD0D82"/>
    <w:rsid w:val="00BD0F5C"/>
    <w:rsid w:val="00BD1175"/>
    <w:rsid w:val="00BD1213"/>
    <w:rsid w:val="00BD134A"/>
    <w:rsid w:val="00BD14A2"/>
    <w:rsid w:val="00BD154D"/>
    <w:rsid w:val="00BD1704"/>
    <w:rsid w:val="00BD17CC"/>
    <w:rsid w:val="00BD18AE"/>
    <w:rsid w:val="00BD18B8"/>
    <w:rsid w:val="00BD18C7"/>
    <w:rsid w:val="00BD18E3"/>
    <w:rsid w:val="00BD1959"/>
    <w:rsid w:val="00BD19B0"/>
    <w:rsid w:val="00BD19BF"/>
    <w:rsid w:val="00BD1B0E"/>
    <w:rsid w:val="00BD1BB6"/>
    <w:rsid w:val="00BD1BF1"/>
    <w:rsid w:val="00BD1C34"/>
    <w:rsid w:val="00BD1D14"/>
    <w:rsid w:val="00BD2023"/>
    <w:rsid w:val="00BD2333"/>
    <w:rsid w:val="00BD2336"/>
    <w:rsid w:val="00BD237F"/>
    <w:rsid w:val="00BD23A9"/>
    <w:rsid w:val="00BD23AB"/>
    <w:rsid w:val="00BD23DE"/>
    <w:rsid w:val="00BD23FB"/>
    <w:rsid w:val="00BD243F"/>
    <w:rsid w:val="00BD2504"/>
    <w:rsid w:val="00BD25CB"/>
    <w:rsid w:val="00BD26B1"/>
    <w:rsid w:val="00BD27CE"/>
    <w:rsid w:val="00BD2850"/>
    <w:rsid w:val="00BD2932"/>
    <w:rsid w:val="00BD298B"/>
    <w:rsid w:val="00BD2A3C"/>
    <w:rsid w:val="00BD2AD8"/>
    <w:rsid w:val="00BD2AF0"/>
    <w:rsid w:val="00BD2AF4"/>
    <w:rsid w:val="00BD2CE4"/>
    <w:rsid w:val="00BD2DF5"/>
    <w:rsid w:val="00BD2DF7"/>
    <w:rsid w:val="00BD2DFA"/>
    <w:rsid w:val="00BD2EB8"/>
    <w:rsid w:val="00BD2F26"/>
    <w:rsid w:val="00BD2FC7"/>
    <w:rsid w:val="00BD307C"/>
    <w:rsid w:val="00BD30BD"/>
    <w:rsid w:val="00BD321D"/>
    <w:rsid w:val="00BD328C"/>
    <w:rsid w:val="00BD3486"/>
    <w:rsid w:val="00BD34CF"/>
    <w:rsid w:val="00BD356B"/>
    <w:rsid w:val="00BD3702"/>
    <w:rsid w:val="00BD3764"/>
    <w:rsid w:val="00BD37EC"/>
    <w:rsid w:val="00BD39A4"/>
    <w:rsid w:val="00BD3ACA"/>
    <w:rsid w:val="00BD3C68"/>
    <w:rsid w:val="00BD3CEA"/>
    <w:rsid w:val="00BD3DAB"/>
    <w:rsid w:val="00BD3F40"/>
    <w:rsid w:val="00BD4068"/>
    <w:rsid w:val="00BD4116"/>
    <w:rsid w:val="00BD4257"/>
    <w:rsid w:val="00BD4268"/>
    <w:rsid w:val="00BD429D"/>
    <w:rsid w:val="00BD43F3"/>
    <w:rsid w:val="00BD445D"/>
    <w:rsid w:val="00BD469A"/>
    <w:rsid w:val="00BD4778"/>
    <w:rsid w:val="00BD47B6"/>
    <w:rsid w:val="00BD49C8"/>
    <w:rsid w:val="00BD49E2"/>
    <w:rsid w:val="00BD4B95"/>
    <w:rsid w:val="00BD4C65"/>
    <w:rsid w:val="00BD4E58"/>
    <w:rsid w:val="00BD4E87"/>
    <w:rsid w:val="00BD4E92"/>
    <w:rsid w:val="00BD4F5E"/>
    <w:rsid w:val="00BD51DD"/>
    <w:rsid w:val="00BD5306"/>
    <w:rsid w:val="00BD53B4"/>
    <w:rsid w:val="00BD5456"/>
    <w:rsid w:val="00BD54BC"/>
    <w:rsid w:val="00BD55E0"/>
    <w:rsid w:val="00BD56B5"/>
    <w:rsid w:val="00BD56C1"/>
    <w:rsid w:val="00BD578D"/>
    <w:rsid w:val="00BD593A"/>
    <w:rsid w:val="00BD597D"/>
    <w:rsid w:val="00BD5A56"/>
    <w:rsid w:val="00BD5B57"/>
    <w:rsid w:val="00BD5CF4"/>
    <w:rsid w:val="00BD5D2D"/>
    <w:rsid w:val="00BD5DCB"/>
    <w:rsid w:val="00BD5DF1"/>
    <w:rsid w:val="00BD5E1D"/>
    <w:rsid w:val="00BD60A6"/>
    <w:rsid w:val="00BD6110"/>
    <w:rsid w:val="00BD6139"/>
    <w:rsid w:val="00BD6348"/>
    <w:rsid w:val="00BD63A7"/>
    <w:rsid w:val="00BD63C9"/>
    <w:rsid w:val="00BD6406"/>
    <w:rsid w:val="00BD6521"/>
    <w:rsid w:val="00BD65B0"/>
    <w:rsid w:val="00BD6621"/>
    <w:rsid w:val="00BD6692"/>
    <w:rsid w:val="00BD6786"/>
    <w:rsid w:val="00BD67B2"/>
    <w:rsid w:val="00BD67D9"/>
    <w:rsid w:val="00BD67E9"/>
    <w:rsid w:val="00BD6863"/>
    <w:rsid w:val="00BD688C"/>
    <w:rsid w:val="00BD6972"/>
    <w:rsid w:val="00BD69AA"/>
    <w:rsid w:val="00BD6B9D"/>
    <w:rsid w:val="00BD6DE7"/>
    <w:rsid w:val="00BD6ED8"/>
    <w:rsid w:val="00BD6FD5"/>
    <w:rsid w:val="00BD72AD"/>
    <w:rsid w:val="00BD734F"/>
    <w:rsid w:val="00BD7665"/>
    <w:rsid w:val="00BD76F5"/>
    <w:rsid w:val="00BD7876"/>
    <w:rsid w:val="00BD7918"/>
    <w:rsid w:val="00BD799E"/>
    <w:rsid w:val="00BD7A2B"/>
    <w:rsid w:val="00BD7ACE"/>
    <w:rsid w:val="00BD7B60"/>
    <w:rsid w:val="00BE007E"/>
    <w:rsid w:val="00BE009C"/>
    <w:rsid w:val="00BE016E"/>
    <w:rsid w:val="00BE02A9"/>
    <w:rsid w:val="00BE0391"/>
    <w:rsid w:val="00BE03EB"/>
    <w:rsid w:val="00BE03F1"/>
    <w:rsid w:val="00BE0458"/>
    <w:rsid w:val="00BE04DE"/>
    <w:rsid w:val="00BE05C6"/>
    <w:rsid w:val="00BE0617"/>
    <w:rsid w:val="00BE06FC"/>
    <w:rsid w:val="00BE0725"/>
    <w:rsid w:val="00BE0774"/>
    <w:rsid w:val="00BE0815"/>
    <w:rsid w:val="00BE0863"/>
    <w:rsid w:val="00BE095B"/>
    <w:rsid w:val="00BE0CC3"/>
    <w:rsid w:val="00BE0D6A"/>
    <w:rsid w:val="00BE0DD6"/>
    <w:rsid w:val="00BE0DFF"/>
    <w:rsid w:val="00BE0E56"/>
    <w:rsid w:val="00BE0E88"/>
    <w:rsid w:val="00BE0F3E"/>
    <w:rsid w:val="00BE0F96"/>
    <w:rsid w:val="00BE116F"/>
    <w:rsid w:val="00BE117B"/>
    <w:rsid w:val="00BE1343"/>
    <w:rsid w:val="00BE135B"/>
    <w:rsid w:val="00BE14BE"/>
    <w:rsid w:val="00BE14C3"/>
    <w:rsid w:val="00BE1866"/>
    <w:rsid w:val="00BE1922"/>
    <w:rsid w:val="00BE1927"/>
    <w:rsid w:val="00BE1C89"/>
    <w:rsid w:val="00BE1EE9"/>
    <w:rsid w:val="00BE1F65"/>
    <w:rsid w:val="00BE1F9A"/>
    <w:rsid w:val="00BE2010"/>
    <w:rsid w:val="00BE216F"/>
    <w:rsid w:val="00BE21BF"/>
    <w:rsid w:val="00BE2222"/>
    <w:rsid w:val="00BE2356"/>
    <w:rsid w:val="00BE240E"/>
    <w:rsid w:val="00BE2516"/>
    <w:rsid w:val="00BE25E2"/>
    <w:rsid w:val="00BE2644"/>
    <w:rsid w:val="00BE268B"/>
    <w:rsid w:val="00BE27B9"/>
    <w:rsid w:val="00BE284D"/>
    <w:rsid w:val="00BE2865"/>
    <w:rsid w:val="00BE28D2"/>
    <w:rsid w:val="00BE2AE6"/>
    <w:rsid w:val="00BE2B0B"/>
    <w:rsid w:val="00BE2B19"/>
    <w:rsid w:val="00BE2B62"/>
    <w:rsid w:val="00BE2B9C"/>
    <w:rsid w:val="00BE2BBB"/>
    <w:rsid w:val="00BE2BC3"/>
    <w:rsid w:val="00BE2DA0"/>
    <w:rsid w:val="00BE2FB0"/>
    <w:rsid w:val="00BE3109"/>
    <w:rsid w:val="00BE3141"/>
    <w:rsid w:val="00BE316F"/>
    <w:rsid w:val="00BE32FD"/>
    <w:rsid w:val="00BE33E0"/>
    <w:rsid w:val="00BE365B"/>
    <w:rsid w:val="00BE36B0"/>
    <w:rsid w:val="00BE37DD"/>
    <w:rsid w:val="00BE3862"/>
    <w:rsid w:val="00BE3961"/>
    <w:rsid w:val="00BE3AA9"/>
    <w:rsid w:val="00BE3B4B"/>
    <w:rsid w:val="00BE3BDD"/>
    <w:rsid w:val="00BE3D1D"/>
    <w:rsid w:val="00BE417F"/>
    <w:rsid w:val="00BE423C"/>
    <w:rsid w:val="00BE439F"/>
    <w:rsid w:val="00BE43AD"/>
    <w:rsid w:val="00BE43D5"/>
    <w:rsid w:val="00BE43EF"/>
    <w:rsid w:val="00BE4478"/>
    <w:rsid w:val="00BE48C2"/>
    <w:rsid w:val="00BE4923"/>
    <w:rsid w:val="00BE4A21"/>
    <w:rsid w:val="00BE4A64"/>
    <w:rsid w:val="00BE4BA7"/>
    <w:rsid w:val="00BE4BB2"/>
    <w:rsid w:val="00BE4D39"/>
    <w:rsid w:val="00BE4DA0"/>
    <w:rsid w:val="00BE4EB2"/>
    <w:rsid w:val="00BE4F22"/>
    <w:rsid w:val="00BE502E"/>
    <w:rsid w:val="00BE508F"/>
    <w:rsid w:val="00BE533A"/>
    <w:rsid w:val="00BE54D1"/>
    <w:rsid w:val="00BE555B"/>
    <w:rsid w:val="00BE5698"/>
    <w:rsid w:val="00BE58AE"/>
    <w:rsid w:val="00BE5964"/>
    <w:rsid w:val="00BE5A36"/>
    <w:rsid w:val="00BE5A41"/>
    <w:rsid w:val="00BE5B8A"/>
    <w:rsid w:val="00BE5BCD"/>
    <w:rsid w:val="00BE5C0C"/>
    <w:rsid w:val="00BE5C14"/>
    <w:rsid w:val="00BE5C8C"/>
    <w:rsid w:val="00BE5CD0"/>
    <w:rsid w:val="00BE5E43"/>
    <w:rsid w:val="00BE5EAA"/>
    <w:rsid w:val="00BE5F8B"/>
    <w:rsid w:val="00BE5FB1"/>
    <w:rsid w:val="00BE6065"/>
    <w:rsid w:val="00BE6120"/>
    <w:rsid w:val="00BE6265"/>
    <w:rsid w:val="00BE63B3"/>
    <w:rsid w:val="00BE6589"/>
    <w:rsid w:val="00BE65B9"/>
    <w:rsid w:val="00BE6650"/>
    <w:rsid w:val="00BE668C"/>
    <w:rsid w:val="00BE68D9"/>
    <w:rsid w:val="00BE696B"/>
    <w:rsid w:val="00BE6A1D"/>
    <w:rsid w:val="00BE6AE7"/>
    <w:rsid w:val="00BE6C97"/>
    <w:rsid w:val="00BE6CCD"/>
    <w:rsid w:val="00BE700A"/>
    <w:rsid w:val="00BE70EF"/>
    <w:rsid w:val="00BE72C8"/>
    <w:rsid w:val="00BE734D"/>
    <w:rsid w:val="00BE7429"/>
    <w:rsid w:val="00BE7438"/>
    <w:rsid w:val="00BE7452"/>
    <w:rsid w:val="00BE749F"/>
    <w:rsid w:val="00BE74F2"/>
    <w:rsid w:val="00BE761E"/>
    <w:rsid w:val="00BE7644"/>
    <w:rsid w:val="00BE76A5"/>
    <w:rsid w:val="00BE76EA"/>
    <w:rsid w:val="00BE7749"/>
    <w:rsid w:val="00BE7833"/>
    <w:rsid w:val="00BE784D"/>
    <w:rsid w:val="00BE799C"/>
    <w:rsid w:val="00BE7A40"/>
    <w:rsid w:val="00BE7A73"/>
    <w:rsid w:val="00BE7A94"/>
    <w:rsid w:val="00BE7C84"/>
    <w:rsid w:val="00BE7EF1"/>
    <w:rsid w:val="00BF00E6"/>
    <w:rsid w:val="00BF0140"/>
    <w:rsid w:val="00BF01B9"/>
    <w:rsid w:val="00BF01C1"/>
    <w:rsid w:val="00BF0394"/>
    <w:rsid w:val="00BF046E"/>
    <w:rsid w:val="00BF04E4"/>
    <w:rsid w:val="00BF056A"/>
    <w:rsid w:val="00BF0571"/>
    <w:rsid w:val="00BF058A"/>
    <w:rsid w:val="00BF05B4"/>
    <w:rsid w:val="00BF0771"/>
    <w:rsid w:val="00BF078F"/>
    <w:rsid w:val="00BF0902"/>
    <w:rsid w:val="00BF091A"/>
    <w:rsid w:val="00BF094B"/>
    <w:rsid w:val="00BF0B14"/>
    <w:rsid w:val="00BF0B1F"/>
    <w:rsid w:val="00BF0C84"/>
    <w:rsid w:val="00BF0CCA"/>
    <w:rsid w:val="00BF0DDD"/>
    <w:rsid w:val="00BF0EA4"/>
    <w:rsid w:val="00BF0EB9"/>
    <w:rsid w:val="00BF0F61"/>
    <w:rsid w:val="00BF106E"/>
    <w:rsid w:val="00BF1283"/>
    <w:rsid w:val="00BF12FF"/>
    <w:rsid w:val="00BF1363"/>
    <w:rsid w:val="00BF1374"/>
    <w:rsid w:val="00BF14B3"/>
    <w:rsid w:val="00BF1576"/>
    <w:rsid w:val="00BF1608"/>
    <w:rsid w:val="00BF1780"/>
    <w:rsid w:val="00BF191A"/>
    <w:rsid w:val="00BF1A94"/>
    <w:rsid w:val="00BF1B10"/>
    <w:rsid w:val="00BF1B85"/>
    <w:rsid w:val="00BF1D0D"/>
    <w:rsid w:val="00BF1EBC"/>
    <w:rsid w:val="00BF20D9"/>
    <w:rsid w:val="00BF2158"/>
    <w:rsid w:val="00BF21F2"/>
    <w:rsid w:val="00BF2245"/>
    <w:rsid w:val="00BF2451"/>
    <w:rsid w:val="00BF2596"/>
    <w:rsid w:val="00BF25EE"/>
    <w:rsid w:val="00BF26F6"/>
    <w:rsid w:val="00BF275D"/>
    <w:rsid w:val="00BF2BE2"/>
    <w:rsid w:val="00BF2D24"/>
    <w:rsid w:val="00BF2D62"/>
    <w:rsid w:val="00BF2EDE"/>
    <w:rsid w:val="00BF3036"/>
    <w:rsid w:val="00BF3155"/>
    <w:rsid w:val="00BF320A"/>
    <w:rsid w:val="00BF3281"/>
    <w:rsid w:val="00BF32EC"/>
    <w:rsid w:val="00BF33E8"/>
    <w:rsid w:val="00BF3456"/>
    <w:rsid w:val="00BF34BD"/>
    <w:rsid w:val="00BF3520"/>
    <w:rsid w:val="00BF35DA"/>
    <w:rsid w:val="00BF3905"/>
    <w:rsid w:val="00BF3910"/>
    <w:rsid w:val="00BF39BE"/>
    <w:rsid w:val="00BF39F6"/>
    <w:rsid w:val="00BF3A63"/>
    <w:rsid w:val="00BF3B22"/>
    <w:rsid w:val="00BF3CEC"/>
    <w:rsid w:val="00BF3D7D"/>
    <w:rsid w:val="00BF3E56"/>
    <w:rsid w:val="00BF3F9B"/>
    <w:rsid w:val="00BF4119"/>
    <w:rsid w:val="00BF4171"/>
    <w:rsid w:val="00BF41F3"/>
    <w:rsid w:val="00BF4323"/>
    <w:rsid w:val="00BF4332"/>
    <w:rsid w:val="00BF4443"/>
    <w:rsid w:val="00BF4454"/>
    <w:rsid w:val="00BF45D9"/>
    <w:rsid w:val="00BF464C"/>
    <w:rsid w:val="00BF465F"/>
    <w:rsid w:val="00BF46B9"/>
    <w:rsid w:val="00BF4869"/>
    <w:rsid w:val="00BF48C4"/>
    <w:rsid w:val="00BF4D0B"/>
    <w:rsid w:val="00BF4D44"/>
    <w:rsid w:val="00BF4E54"/>
    <w:rsid w:val="00BF5229"/>
    <w:rsid w:val="00BF5344"/>
    <w:rsid w:val="00BF544A"/>
    <w:rsid w:val="00BF557D"/>
    <w:rsid w:val="00BF5599"/>
    <w:rsid w:val="00BF5616"/>
    <w:rsid w:val="00BF5618"/>
    <w:rsid w:val="00BF56B9"/>
    <w:rsid w:val="00BF56C3"/>
    <w:rsid w:val="00BF57F6"/>
    <w:rsid w:val="00BF595E"/>
    <w:rsid w:val="00BF5A6A"/>
    <w:rsid w:val="00BF5A75"/>
    <w:rsid w:val="00BF5B02"/>
    <w:rsid w:val="00BF5C1F"/>
    <w:rsid w:val="00BF5C20"/>
    <w:rsid w:val="00BF5DA3"/>
    <w:rsid w:val="00BF5DB0"/>
    <w:rsid w:val="00BF5F2A"/>
    <w:rsid w:val="00BF63E9"/>
    <w:rsid w:val="00BF63EF"/>
    <w:rsid w:val="00BF642F"/>
    <w:rsid w:val="00BF658D"/>
    <w:rsid w:val="00BF667B"/>
    <w:rsid w:val="00BF66F3"/>
    <w:rsid w:val="00BF681F"/>
    <w:rsid w:val="00BF68E0"/>
    <w:rsid w:val="00BF69F0"/>
    <w:rsid w:val="00BF6ACC"/>
    <w:rsid w:val="00BF6D40"/>
    <w:rsid w:val="00BF6D90"/>
    <w:rsid w:val="00BF6E55"/>
    <w:rsid w:val="00BF6EAD"/>
    <w:rsid w:val="00BF6F58"/>
    <w:rsid w:val="00BF6F60"/>
    <w:rsid w:val="00BF7007"/>
    <w:rsid w:val="00BF70CF"/>
    <w:rsid w:val="00BF72F3"/>
    <w:rsid w:val="00BF732C"/>
    <w:rsid w:val="00BF745D"/>
    <w:rsid w:val="00BF7553"/>
    <w:rsid w:val="00BF75A2"/>
    <w:rsid w:val="00BF7740"/>
    <w:rsid w:val="00BF7860"/>
    <w:rsid w:val="00BF78B9"/>
    <w:rsid w:val="00BF7932"/>
    <w:rsid w:val="00BF7A99"/>
    <w:rsid w:val="00BF7ACA"/>
    <w:rsid w:val="00BF7BE6"/>
    <w:rsid w:val="00BF7C7D"/>
    <w:rsid w:val="00BF7E40"/>
    <w:rsid w:val="00BF7ED1"/>
    <w:rsid w:val="00BF7F09"/>
    <w:rsid w:val="00BF7F58"/>
    <w:rsid w:val="00C0002A"/>
    <w:rsid w:val="00C00087"/>
    <w:rsid w:val="00C00248"/>
    <w:rsid w:val="00C004D0"/>
    <w:rsid w:val="00C004FA"/>
    <w:rsid w:val="00C0059B"/>
    <w:rsid w:val="00C00640"/>
    <w:rsid w:val="00C00718"/>
    <w:rsid w:val="00C00E5A"/>
    <w:rsid w:val="00C00F9A"/>
    <w:rsid w:val="00C00FE7"/>
    <w:rsid w:val="00C010A2"/>
    <w:rsid w:val="00C010FC"/>
    <w:rsid w:val="00C01259"/>
    <w:rsid w:val="00C01365"/>
    <w:rsid w:val="00C01381"/>
    <w:rsid w:val="00C01591"/>
    <w:rsid w:val="00C015AA"/>
    <w:rsid w:val="00C015F2"/>
    <w:rsid w:val="00C015F8"/>
    <w:rsid w:val="00C017AA"/>
    <w:rsid w:val="00C018B7"/>
    <w:rsid w:val="00C018CB"/>
    <w:rsid w:val="00C018D0"/>
    <w:rsid w:val="00C01AB1"/>
    <w:rsid w:val="00C01B54"/>
    <w:rsid w:val="00C01CBD"/>
    <w:rsid w:val="00C01CEF"/>
    <w:rsid w:val="00C01D66"/>
    <w:rsid w:val="00C01D81"/>
    <w:rsid w:val="00C01E55"/>
    <w:rsid w:val="00C01E75"/>
    <w:rsid w:val="00C02060"/>
    <w:rsid w:val="00C020F9"/>
    <w:rsid w:val="00C022C9"/>
    <w:rsid w:val="00C022E7"/>
    <w:rsid w:val="00C023B7"/>
    <w:rsid w:val="00C0245B"/>
    <w:rsid w:val="00C024FD"/>
    <w:rsid w:val="00C025B3"/>
    <w:rsid w:val="00C026A0"/>
    <w:rsid w:val="00C02711"/>
    <w:rsid w:val="00C02826"/>
    <w:rsid w:val="00C028B8"/>
    <w:rsid w:val="00C02B36"/>
    <w:rsid w:val="00C02C40"/>
    <w:rsid w:val="00C02C75"/>
    <w:rsid w:val="00C02CCD"/>
    <w:rsid w:val="00C02DCA"/>
    <w:rsid w:val="00C02E73"/>
    <w:rsid w:val="00C02E8C"/>
    <w:rsid w:val="00C02FC0"/>
    <w:rsid w:val="00C02FD3"/>
    <w:rsid w:val="00C030AE"/>
    <w:rsid w:val="00C033B4"/>
    <w:rsid w:val="00C0340F"/>
    <w:rsid w:val="00C034A2"/>
    <w:rsid w:val="00C03503"/>
    <w:rsid w:val="00C03571"/>
    <w:rsid w:val="00C0360E"/>
    <w:rsid w:val="00C03798"/>
    <w:rsid w:val="00C0388A"/>
    <w:rsid w:val="00C03AB8"/>
    <w:rsid w:val="00C03B58"/>
    <w:rsid w:val="00C03C6B"/>
    <w:rsid w:val="00C03CEA"/>
    <w:rsid w:val="00C03D5C"/>
    <w:rsid w:val="00C03DB7"/>
    <w:rsid w:val="00C03DC5"/>
    <w:rsid w:val="00C03DEB"/>
    <w:rsid w:val="00C03E10"/>
    <w:rsid w:val="00C03F24"/>
    <w:rsid w:val="00C03FBF"/>
    <w:rsid w:val="00C0401D"/>
    <w:rsid w:val="00C04142"/>
    <w:rsid w:val="00C04245"/>
    <w:rsid w:val="00C0427B"/>
    <w:rsid w:val="00C042AA"/>
    <w:rsid w:val="00C0436B"/>
    <w:rsid w:val="00C044EB"/>
    <w:rsid w:val="00C045ED"/>
    <w:rsid w:val="00C045F1"/>
    <w:rsid w:val="00C04612"/>
    <w:rsid w:val="00C04695"/>
    <w:rsid w:val="00C04745"/>
    <w:rsid w:val="00C04768"/>
    <w:rsid w:val="00C0496C"/>
    <w:rsid w:val="00C04988"/>
    <w:rsid w:val="00C04B5B"/>
    <w:rsid w:val="00C04D76"/>
    <w:rsid w:val="00C04DC0"/>
    <w:rsid w:val="00C04EEA"/>
    <w:rsid w:val="00C04F09"/>
    <w:rsid w:val="00C04FF3"/>
    <w:rsid w:val="00C05025"/>
    <w:rsid w:val="00C05068"/>
    <w:rsid w:val="00C0520C"/>
    <w:rsid w:val="00C05216"/>
    <w:rsid w:val="00C0537F"/>
    <w:rsid w:val="00C05689"/>
    <w:rsid w:val="00C05790"/>
    <w:rsid w:val="00C05847"/>
    <w:rsid w:val="00C059B4"/>
    <w:rsid w:val="00C05B3A"/>
    <w:rsid w:val="00C05C91"/>
    <w:rsid w:val="00C05CEA"/>
    <w:rsid w:val="00C05E14"/>
    <w:rsid w:val="00C05F2B"/>
    <w:rsid w:val="00C0604B"/>
    <w:rsid w:val="00C06072"/>
    <w:rsid w:val="00C06129"/>
    <w:rsid w:val="00C06137"/>
    <w:rsid w:val="00C0622D"/>
    <w:rsid w:val="00C06587"/>
    <w:rsid w:val="00C065BF"/>
    <w:rsid w:val="00C0666D"/>
    <w:rsid w:val="00C0669D"/>
    <w:rsid w:val="00C06847"/>
    <w:rsid w:val="00C06929"/>
    <w:rsid w:val="00C06B58"/>
    <w:rsid w:val="00C06C97"/>
    <w:rsid w:val="00C06D0D"/>
    <w:rsid w:val="00C06D31"/>
    <w:rsid w:val="00C06D76"/>
    <w:rsid w:val="00C06E03"/>
    <w:rsid w:val="00C070ED"/>
    <w:rsid w:val="00C0729B"/>
    <w:rsid w:val="00C073F1"/>
    <w:rsid w:val="00C07402"/>
    <w:rsid w:val="00C0746D"/>
    <w:rsid w:val="00C074EB"/>
    <w:rsid w:val="00C0758F"/>
    <w:rsid w:val="00C0779E"/>
    <w:rsid w:val="00C0780C"/>
    <w:rsid w:val="00C078B0"/>
    <w:rsid w:val="00C079B8"/>
    <w:rsid w:val="00C07A6B"/>
    <w:rsid w:val="00C07B8C"/>
    <w:rsid w:val="00C07CC2"/>
    <w:rsid w:val="00C07D13"/>
    <w:rsid w:val="00C07E11"/>
    <w:rsid w:val="00C07F19"/>
    <w:rsid w:val="00C07F78"/>
    <w:rsid w:val="00C10037"/>
    <w:rsid w:val="00C1004F"/>
    <w:rsid w:val="00C1013A"/>
    <w:rsid w:val="00C10201"/>
    <w:rsid w:val="00C10263"/>
    <w:rsid w:val="00C1033C"/>
    <w:rsid w:val="00C104B3"/>
    <w:rsid w:val="00C104C7"/>
    <w:rsid w:val="00C10595"/>
    <w:rsid w:val="00C10607"/>
    <w:rsid w:val="00C10710"/>
    <w:rsid w:val="00C107C1"/>
    <w:rsid w:val="00C10849"/>
    <w:rsid w:val="00C10885"/>
    <w:rsid w:val="00C10A53"/>
    <w:rsid w:val="00C10B31"/>
    <w:rsid w:val="00C10D00"/>
    <w:rsid w:val="00C10DDF"/>
    <w:rsid w:val="00C10E27"/>
    <w:rsid w:val="00C10ECA"/>
    <w:rsid w:val="00C11023"/>
    <w:rsid w:val="00C11272"/>
    <w:rsid w:val="00C11558"/>
    <w:rsid w:val="00C115E1"/>
    <w:rsid w:val="00C115FF"/>
    <w:rsid w:val="00C1171E"/>
    <w:rsid w:val="00C1184C"/>
    <w:rsid w:val="00C1186B"/>
    <w:rsid w:val="00C118DC"/>
    <w:rsid w:val="00C11B7D"/>
    <w:rsid w:val="00C11C44"/>
    <w:rsid w:val="00C11C56"/>
    <w:rsid w:val="00C11C9E"/>
    <w:rsid w:val="00C11EB3"/>
    <w:rsid w:val="00C1219B"/>
    <w:rsid w:val="00C121FF"/>
    <w:rsid w:val="00C122F9"/>
    <w:rsid w:val="00C12307"/>
    <w:rsid w:val="00C1231F"/>
    <w:rsid w:val="00C123D1"/>
    <w:rsid w:val="00C123EA"/>
    <w:rsid w:val="00C12495"/>
    <w:rsid w:val="00C12728"/>
    <w:rsid w:val="00C12832"/>
    <w:rsid w:val="00C128EE"/>
    <w:rsid w:val="00C12927"/>
    <w:rsid w:val="00C12A21"/>
    <w:rsid w:val="00C12A49"/>
    <w:rsid w:val="00C12A9C"/>
    <w:rsid w:val="00C12BB4"/>
    <w:rsid w:val="00C12CE7"/>
    <w:rsid w:val="00C12DE8"/>
    <w:rsid w:val="00C12EB9"/>
    <w:rsid w:val="00C12F1A"/>
    <w:rsid w:val="00C12F80"/>
    <w:rsid w:val="00C12FCC"/>
    <w:rsid w:val="00C1310A"/>
    <w:rsid w:val="00C1312D"/>
    <w:rsid w:val="00C1314E"/>
    <w:rsid w:val="00C131BD"/>
    <w:rsid w:val="00C133C0"/>
    <w:rsid w:val="00C133EE"/>
    <w:rsid w:val="00C13400"/>
    <w:rsid w:val="00C1347A"/>
    <w:rsid w:val="00C134DA"/>
    <w:rsid w:val="00C134FC"/>
    <w:rsid w:val="00C13622"/>
    <w:rsid w:val="00C13633"/>
    <w:rsid w:val="00C13732"/>
    <w:rsid w:val="00C138DE"/>
    <w:rsid w:val="00C13A31"/>
    <w:rsid w:val="00C13A62"/>
    <w:rsid w:val="00C13AAC"/>
    <w:rsid w:val="00C13D77"/>
    <w:rsid w:val="00C13E23"/>
    <w:rsid w:val="00C13EB5"/>
    <w:rsid w:val="00C13F5C"/>
    <w:rsid w:val="00C142CF"/>
    <w:rsid w:val="00C1435F"/>
    <w:rsid w:val="00C14405"/>
    <w:rsid w:val="00C14422"/>
    <w:rsid w:val="00C1443A"/>
    <w:rsid w:val="00C1462C"/>
    <w:rsid w:val="00C147EE"/>
    <w:rsid w:val="00C1489C"/>
    <w:rsid w:val="00C149D0"/>
    <w:rsid w:val="00C149DF"/>
    <w:rsid w:val="00C14C53"/>
    <w:rsid w:val="00C14C7B"/>
    <w:rsid w:val="00C14D5E"/>
    <w:rsid w:val="00C14E79"/>
    <w:rsid w:val="00C14F31"/>
    <w:rsid w:val="00C14F75"/>
    <w:rsid w:val="00C15066"/>
    <w:rsid w:val="00C150EC"/>
    <w:rsid w:val="00C15170"/>
    <w:rsid w:val="00C152D6"/>
    <w:rsid w:val="00C15314"/>
    <w:rsid w:val="00C15320"/>
    <w:rsid w:val="00C153DE"/>
    <w:rsid w:val="00C154FD"/>
    <w:rsid w:val="00C15570"/>
    <w:rsid w:val="00C15601"/>
    <w:rsid w:val="00C1567E"/>
    <w:rsid w:val="00C1580D"/>
    <w:rsid w:val="00C1580E"/>
    <w:rsid w:val="00C15865"/>
    <w:rsid w:val="00C158D6"/>
    <w:rsid w:val="00C15960"/>
    <w:rsid w:val="00C15AF2"/>
    <w:rsid w:val="00C15B2D"/>
    <w:rsid w:val="00C15C21"/>
    <w:rsid w:val="00C15D3E"/>
    <w:rsid w:val="00C15DE2"/>
    <w:rsid w:val="00C15E9F"/>
    <w:rsid w:val="00C15F9D"/>
    <w:rsid w:val="00C1600C"/>
    <w:rsid w:val="00C1629A"/>
    <w:rsid w:val="00C1647D"/>
    <w:rsid w:val="00C164DB"/>
    <w:rsid w:val="00C164F1"/>
    <w:rsid w:val="00C16502"/>
    <w:rsid w:val="00C16543"/>
    <w:rsid w:val="00C1658B"/>
    <w:rsid w:val="00C16660"/>
    <w:rsid w:val="00C16A28"/>
    <w:rsid w:val="00C16A34"/>
    <w:rsid w:val="00C16C30"/>
    <w:rsid w:val="00C16C6A"/>
    <w:rsid w:val="00C16DA4"/>
    <w:rsid w:val="00C16E05"/>
    <w:rsid w:val="00C16E2C"/>
    <w:rsid w:val="00C16F51"/>
    <w:rsid w:val="00C17230"/>
    <w:rsid w:val="00C172DC"/>
    <w:rsid w:val="00C173D8"/>
    <w:rsid w:val="00C1741B"/>
    <w:rsid w:val="00C17468"/>
    <w:rsid w:val="00C174D3"/>
    <w:rsid w:val="00C17515"/>
    <w:rsid w:val="00C17607"/>
    <w:rsid w:val="00C17784"/>
    <w:rsid w:val="00C177BF"/>
    <w:rsid w:val="00C17903"/>
    <w:rsid w:val="00C17949"/>
    <w:rsid w:val="00C17951"/>
    <w:rsid w:val="00C17AA8"/>
    <w:rsid w:val="00C17C61"/>
    <w:rsid w:val="00C17D06"/>
    <w:rsid w:val="00C17D85"/>
    <w:rsid w:val="00C17E54"/>
    <w:rsid w:val="00C17E8D"/>
    <w:rsid w:val="00C17F7D"/>
    <w:rsid w:val="00C2009F"/>
    <w:rsid w:val="00C20124"/>
    <w:rsid w:val="00C20153"/>
    <w:rsid w:val="00C201AE"/>
    <w:rsid w:val="00C201E1"/>
    <w:rsid w:val="00C201EA"/>
    <w:rsid w:val="00C20215"/>
    <w:rsid w:val="00C20290"/>
    <w:rsid w:val="00C203C6"/>
    <w:rsid w:val="00C20482"/>
    <w:rsid w:val="00C2060D"/>
    <w:rsid w:val="00C20617"/>
    <w:rsid w:val="00C206D7"/>
    <w:rsid w:val="00C20705"/>
    <w:rsid w:val="00C20927"/>
    <w:rsid w:val="00C20A8A"/>
    <w:rsid w:val="00C20C0D"/>
    <w:rsid w:val="00C20C9D"/>
    <w:rsid w:val="00C20DB3"/>
    <w:rsid w:val="00C20F15"/>
    <w:rsid w:val="00C20F42"/>
    <w:rsid w:val="00C20F9D"/>
    <w:rsid w:val="00C2106E"/>
    <w:rsid w:val="00C2109D"/>
    <w:rsid w:val="00C210AF"/>
    <w:rsid w:val="00C2114D"/>
    <w:rsid w:val="00C21152"/>
    <w:rsid w:val="00C21289"/>
    <w:rsid w:val="00C2134C"/>
    <w:rsid w:val="00C213AE"/>
    <w:rsid w:val="00C215FB"/>
    <w:rsid w:val="00C21660"/>
    <w:rsid w:val="00C21720"/>
    <w:rsid w:val="00C2192B"/>
    <w:rsid w:val="00C21971"/>
    <w:rsid w:val="00C219B5"/>
    <w:rsid w:val="00C21A1B"/>
    <w:rsid w:val="00C21A4F"/>
    <w:rsid w:val="00C21AE3"/>
    <w:rsid w:val="00C21D0F"/>
    <w:rsid w:val="00C21E36"/>
    <w:rsid w:val="00C2204C"/>
    <w:rsid w:val="00C221EA"/>
    <w:rsid w:val="00C222C2"/>
    <w:rsid w:val="00C22310"/>
    <w:rsid w:val="00C22403"/>
    <w:rsid w:val="00C2243B"/>
    <w:rsid w:val="00C2255D"/>
    <w:rsid w:val="00C225A1"/>
    <w:rsid w:val="00C2273D"/>
    <w:rsid w:val="00C227E7"/>
    <w:rsid w:val="00C22B50"/>
    <w:rsid w:val="00C22D5F"/>
    <w:rsid w:val="00C22F49"/>
    <w:rsid w:val="00C2309A"/>
    <w:rsid w:val="00C23285"/>
    <w:rsid w:val="00C233C8"/>
    <w:rsid w:val="00C233E7"/>
    <w:rsid w:val="00C23424"/>
    <w:rsid w:val="00C234CE"/>
    <w:rsid w:val="00C23594"/>
    <w:rsid w:val="00C23692"/>
    <w:rsid w:val="00C23A72"/>
    <w:rsid w:val="00C23AFF"/>
    <w:rsid w:val="00C23B54"/>
    <w:rsid w:val="00C23DE4"/>
    <w:rsid w:val="00C24099"/>
    <w:rsid w:val="00C2413C"/>
    <w:rsid w:val="00C24175"/>
    <w:rsid w:val="00C24182"/>
    <w:rsid w:val="00C2425B"/>
    <w:rsid w:val="00C2426C"/>
    <w:rsid w:val="00C24277"/>
    <w:rsid w:val="00C2432D"/>
    <w:rsid w:val="00C2437E"/>
    <w:rsid w:val="00C243E6"/>
    <w:rsid w:val="00C24634"/>
    <w:rsid w:val="00C24692"/>
    <w:rsid w:val="00C2469E"/>
    <w:rsid w:val="00C246C0"/>
    <w:rsid w:val="00C246C8"/>
    <w:rsid w:val="00C24793"/>
    <w:rsid w:val="00C248BA"/>
    <w:rsid w:val="00C24A74"/>
    <w:rsid w:val="00C24C64"/>
    <w:rsid w:val="00C24C66"/>
    <w:rsid w:val="00C24CA2"/>
    <w:rsid w:val="00C24CD2"/>
    <w:rsid w:val="00C24D19"/>
    <w:rsid w:val="00C24E61"/>
    <w:rsid w:val="00C24FE9"/>
    <w:rsid w:val="00C2500A"/>
    <w:rsid w:val="00C250A2"/>
    <w:rsid w:val="00C250BA"/>
    <w:rsid w:val="00C252F7"/>
    <w:rsid w:val="00C2550F"/>
    <w:rsid w:val="00C25573"/>
    <w:rsid w:val="00C2560A"/>
    <w:rsid w:val="00C25679"/>
    <w:rsid w:val="00C25706"/>
    <w:rsid w:val="00C25879"/>
    <w:rsid w:val="00C259A6"/>
    <w:rsid w:val="00C25A71"/>
    <w:rsid w:val="00C25A94"/>
    <w:rsid w:val="00C25AEA"/>
    <w:rsid w:val="00C25AFE"/>
    <w:rsid w:val="00C25C5A"/>
    <w:rsid w:val="00C25DA8"/>
    <w:rsid w:val="00C260E2"/>
    <w:rsid w:val="00C26314"/>
    <w:rsid w:val="00C26373"/>
    <w:rsid w:val="00C263BA"/>
    <w:rsid w:val="00C263E9"/>
    <w:rsid w:val="00C26431"/>
    <w:rsid w:val="00C2654E"/>
    <w:rsid w:val="00C26588"/>
    <w:rsid w:val="00C26611"/>
    <w:rsid w:val="00C267A4"/>
    <w:rsid w:val="00C26966"/>
    <w:rsid w:val="00C26A4C"/>
    <w:rsid w:val="00C26AAD"/>
    <w:rsid w:val="00C26B14"/>
    <w:rsid w:val="00C26CD3"/>
    <w:rsid w:val="00C26D28"/>
    <w:rsid w:val="00C26D89"/>
    <w:rsid w:val="00C26DEE"/>
    <w:rsid w:val="00C26E26"/>
    <w:rsid w:val="00C26FE3"/>
    <w:rsid w:val="00C271FF"/>
    <w:rsid w:val="00C27346"/>
    <w:rsid w:val="00C273BE"/>
    <w:rsid w:val="00C2758C"/>
    <w:rsid w:val="00C275AA"/>
    <w:rsid w:val="00C27911"/>
    <w:rsid w:val="00C279B1"/>
    <w:rsid w:val="00C279E1"/>
    <w:rsid w:val="00C27A37"/>
    <w:rsid w:val="00C27C03"/>
    <w:rsid w:val="00C27D4B"/>
    <w:rsid w:val="00C27D97"/>
    <w:rsid w:val="00C27D98"/>
    <w:rsid w:val="00C27DE9"/>
    <w:rsid w:val="00C27E19"/>
    <w:rsid w:val="00C30024"/>
    <w:rsid w:val="00C30136"/>
    <w:rsid w:val="00C301E9"/>
    <w:rsid w:val="00C30220"/>
    <w:rsid w:val="00C3022C"/>
    <w:rsid w:val="00C30268"/>
    <w:rsid w:val="00C302BC"/>
    <w:rsid w:val="00C302DC"/>
    <w:rsid w:val="00C304B1"/>
    <w:rsid w:val="00C306E0"/>
    <w:rsid w:val="00C30759"/>
    <w:rsid w:val="00C308D0"/>
    <w:rsid w:val="00C30980"/>
    <w:rsid w:val="00C30999"/>
    <w:rsid w:val="00C309B3"/>
    <w:rsid w:val="00C309B8"/>
    <w:rsid w:val="00C309DA"/>
    <w:rsid w:val="00C30A06"/>
    <w:rsid w:val="00C30B25"/>
    <w:rsid w:val="00C30D4D"/>
    <w:rsid w:val="00C30E77"/>
    <w:rsid w:val="00C30F17"/>
    <w:rsid w:val="00C31055"/>
    <w:rsid w:val="00C310EF"/>
    <w:rsid w:val="00C312EC"/>
    <w:rsid w:val="00C314DE"/>
    <w:rsid w:val="00C314E5"/>
    <w:rsid w:val="00C3165F"/>
    <w:rsid w:val="00C31668"/>
    <w:rsid w:val="00C31727"/>
    <w:rsid w:val="00C3179B"/>
    <w:rsid w:val="00C317C7"/>
    <w:rsid w:val="00C318E1"/>
    <w:rsid w:val="00C31A55"/>
    <w:rsid w:val="00C31A6B"/>
    <w:rsid w:val="00C31A85"/>
    <w:rsid w:val="00C31C0C"/>
    <w:rsid w:val="00C31DEE"/>
    <w:rsid w:val="00C31E78"/>
    <w:rsid w:val="00C32108"/>
    <w:rsid w:val="00C32124"/>
    <w:rsid w:val="00C32382"/>
    <w:rsid w:val="00C323D9"/>
    <w:rsid w:val="00C323E8"/>
    <w:rsid w:val="00C324E8"/>
    <w:rsid w:val="00C3255F"/>
    <w:rsid w:val="00C327B6"/>
    <w:rsid w:val="00C3285D"/>
    <w:rsid w:val="00C328C1"/>
    <w:rsid w:val="00C32915"/>
    <w:rsid w:val="00C32989"/>
    <w:rsid w:val="00C329E9"/>
    <w:rsid w:val="00C32A2C"/>
    <w:rsid w:val="00C32AE1"/>
    <w:rsid w:val="00C32B55"/>
    <w:rsid w:val="00C32BBC"/>
    <w:rsid w:val="00C32C79"/>
    <w:rsid w:val="00C32C86"/>
    <w:rsid w:val="00C32F96"/>
    <w:rsid w:val="00C330A0"/>
    <w:rsid w:val="00C3318F"/>
    <w:rsid w:val="00C3319B"/>
    <w:rsid w:val="00C332F5"/>
    <w:rsid w:val="00C33388"/>
    <w:rsid w:val="00C333FD"/>
    <w:rsid w:val="00C333FF"/>
    <w:rsid w:val="00C3342A"/>
    <w:rsid w:val="00C335DF"/>
    <w:rsid w:val="00C33653"/>
    <w:rsid w:val="00C3370E"/>
    <w:rsid w:val="00C33766"/>
    <w:rsid w:val="00C337AE"/>
    <w:rsid w:val="00C338BA"/>
    <w:rsid w:val="00C338F2"/>
    <w:rsid w:val="00C3397F"/>
    <w:rsid w:val="00C33B75"/>
    <w:rsid w:val="00C33C7D"/>
    <w:rsid w:val="00C33D86"/>
    <w:rsid w:val="00C33D88"/>
    <w:rsid w:val="00C33DE3"/>
    <w:rsid w:val="00C33E09"/>
    <w:rsid w:val="00C33E76"/>
    <w:rsid w:val="00C33F29"/>
    <w:rsid w:val="00C33F7B"/>
    <w:rsid w:val="00C34012"/>
    <w:rsid w:val="00C340E3"/>
    <w:rsid w:val="00C34114"/>
    <w:rsid w:val="00C3430A"/>
    <w:rsid w:val="00C344ED"/>
    <w:rsid w:val="00C3459D"/>
    <w:rsid w:val="00C345C2"/>
    <w:rsid w:val="00C345E4"/>
    <w:rsid w:val="00C3475F"/>
    <w:rsid w:val="00C3485D"/>
    <w:rsid w:val="00C3488E"/>
    <w:rsid w:val="00C34B18"/>
    <w:rsid w:val="00C34B51"/>
    <w:rsid w:val="00C34D0B"/>
    <w:rsid w:val="00C34DAA"/>
    <w:rsid w:val="00C34F72"/>
    <w:rsid w:val="00C35284"/>
    <w:rsid w:val="00C35326"/>
    <w:rsid w:val="00C3543A"/>
    <w:rsid w:val="00C3547D"/>
    <w:rsid w:val="00C35484"/>
    <w:rsid w:val="00C35603"/>
    <w:rsid w:val="00C356BE"/>
    <w:rsid w:val="00C35775"/>
    <w:rsid w:val="00C3597C"/>
    <w:rsid w:val="00C35B00"/>
    <w:rsid w:val="00C35B4D"/>
    <w:rsid w:val="00C35B8F"/>
    <w:rsid w:val="00C35C64"/>
    <w:rsid w:val="00C35CF8"/>
    <w:rsid w:val="00C35D54"/>
    <w:rsid w:val="00C35DB2"/>
    <w:rsid w:val="00C35E03"/>
    <w:rsid w:val="00C35F0E"/>
    <w:rsid w:val="00C363C8"/>
    <w:rsid w:val="00C36402"/>
    <w:rsid w:val="00C3640A"/>
    <w:rsid w:val="00C364AB"/>
    <w:rsid w:val="00C36589"/>
    <w:rsid w:val="00C3659F"/>
    <w:rsid w:val="00C3660B"/>
    <w:rsid w:val="00C36671"/>
    <w:rsid w:val="00C36681"/>
    <w:rsid w:val="00C36691"/>
    <w:rsid w:val="00C36883"/>
    <w:rsid w:val="00C36989"/>
    <w:rsid w:val="00C36A69"/>
    <w:rsid w:val="00C36A96"/>
    <w:rsid w:val="00C36AE4"/>
    <w:rsid w:val="00C36B69"/>
    <w:rsid w:val="00C36CD6"/>
    <w:rsid w:val="00C36CDA"/>
    <w:rsid w:val="00C36F1A"/>
    <w:rsid w:val="00C36F5B"/>
    <w:rsid w:val="00C3711C"/>
    <w:rsid w:val="00C3717F"/>
    <w:rsid w:val="00C37219"/>
    <w:rsid w:val="00C37266"/>
    <w:rsid w:val="00C373E1"/>
    <w:rsid w:val="00C37770"/>
    <w:rsid w:val="00C37815"/>
    <w:rsid w:val="00C378E9"/>
    <w:rsid w:val="00C3794B"/>
    <w:rsid w:val="00C379C9"/>
    <w:rsid w:val="00C37A28"/>
    <w:rsid w:val="00C37AB8"/>
    <w:rsid w:val="00C37C34"/>
    <w:rsid w:val="00C37D07"/>
    <w:rsid w:val="00C37DB8"/>
    <w:rsid w:val="00C37E0A"/>
    <w:rsid w:val="00C37EC1"/>
    <w:rsid w:val="00C37FBF"/>
    <w:rsid w:val="00C40132"/>
    <w:rsid w:val="00C40135"/>
    <w:rsid w:val="00C4015E"/>
    <w:rsid w:val="00C40171"/>
    <w:rsid w:val="00C40239"/>
    <w:rsid w:val="00C402F7"/>
    <w:rsid w:val="00C40335"/>
    <w:rsid w:val="00C40338"/>
    <w:rsid w:val="00C40415"/>
    <w:rsid w:val="00C40498"/>
    <w:rsid w:val="00C40512"/>
    <w:rsid w:val="00C40557"/>
    <w:rsid w:val="00C40714"/>
    <w:rsid w:val="00C407BE"/>
    <w:rsid w:val="00C4089C"/>
    <w:rsid w:val="00C40A6B"/>
    <w:rsid w:val="00C40B13"/>
    <w:rsid w:val="00C40B5F"/>
    <w:rsid w:val="00C40B9A"/>
    <w:rsid w:val="00C40CCE"/>
    <w:rsid w:val="00C40CE6"/>
    <w:rsid w:val="00C40D1F"/>
    <w:rsid w:val="00C40E07"/>
    <w:rsid w:val="00C40E1F"/>
    <w:rsid w:val="00C40E4E"/>
    <w:rsid w:val="00C40EE0"/>
    <w:rsid w:val="00C41004"/>
    <w:rsid w:val="00C41010"/>
    <w:rsid w:val="00C41150"/>
    <w:rsid w:val="00C411D6"/>
    <w:rsid w:val="00C4131F"/>
    <w:rsid w:val="00C413C3"/>
    <w:rsid w:val="00C4144F"/>
    <w:rsid w:val="00C41479"/>
    <w:rsid w:val="00C414C1"/>
    <w:rsid w:val="00C41524"/>
    <w:rsid w:val="00C4173A"/>
    <w:rsid w:val="00C417A1"/>
    <w:rsid w:val="00C41910"/>
    <w:rsid w:val="00C4194C"/>
    <w:rsid w:val="00C41A5B"/>
    <w:rsid w:val="00C41C49"/>
    <w:rsid w:val="00C41DAE"/>
    <w:rsid w:val="00C41E12"/>
    <w:rsid w:val="00C42114"/>
    <w:rsid w:val="00C42156"/>
    <w:rsid w:val="00C421A7"/>
    <w:rsid w:val="00C422E7"/>
    <w:rsid w:val="00C4239A"/>
    <w:rsid w:val="00C427F3"/>
    <w:rsid w:val="00C4290B"/>
    <w:rsid w:val="00C429A9"/>
    <w:rsid w:val="00C42A41"/>
    <w:rsid w:val="00C42A62"/>
    <w:rsid w:val="00C42B01"/>
    <w:rsid w:val="00C42CF2"/>
    <w:rsid w:val="00C42D44"/>
    <w:rsid w:val="00C42DA0"/>
    <w:rsid w:val="00C42E3B"/>
    <w:rsid w:val="00C42F41"/>
    <w:rsid w:val="00C432D4"/>
    <w:rsid w:val="00C43352"/>
    <w:rsid w:val="00C433A6"/>
    <w:rsid w:val="00C433C4"/>
    <w:rsid w:val="00C4344B"/>
    <w:rsid w:val="00C43473"/>
    <w:rsid w:val="00C43596"/>
    <w:rsid w:val="00C435FC"/>
    <w:rsid w:val="00C436B7"/>
    <w:rsid w:val="00C43900"/>
    <w:rsid w:val="00C43966"/>
    <w:rsid w:val="00C439B7"/>
    <w:rsid w:val="00C43AAA"/>
    <w:rsid w:val="00C43AE2"/>
    <w:rsid w:val="00C43D24"/>
    <w:rsid w:val="00C43FA1"/>
    <w:rsid w:val="00C43FA3"/>
    <w:rsid w:val="00C44375"/>
    <w:rsid w:val="00C444B0"/>
    <w:rsid w:val="00C447BF"/>
    <w:rsid w:val="00C44A19"/>
    <w:rsid w:val="00C44BEB"/>
    <w:rsid w:val="00C44D87"/>
    <w:rsid w:val="00C44DD4"/>
    <w:rsid w:val="00C44E22"/>
    <w:rsid w:val="00C44E51"/>
    <w:rsid w:val="00C44F07"/>
    <w:rsid w:val="00C44F1A"/>
    <w:rsid w:val="00C44F33"/>
    <w:rsid w:val="00C44F4A"/>
    <w:rsid w:val="00C44F94"/>
    <w:rsid w:val="00C44FC3"/>
    <w:rsid w:val="00C45031"/>
    <w:rsid w:val="00C45102"/>
    <w:rsid w:val="00C4517B"/>
    <w:rsid w:val="00C451D5"/>
    <w:rsid w:val="00C45284"/>
    <w:rsid w:val="00C4539F"/>
    <w:rsid w:val="00C453D8"/>
    <w:rsid w:val="00C45630"/>
    <w:rsid w:val="00C45652"/>
    <w:rsid w:val="00C45655"/>
    <w:rsid w:val="00C456C4"/>
    <w:rsid w:val="00C45741"/>
    <w:rsid w:val="00C4574E"/>
    <w:rsid w:val="00C4576A"/>
    <w:rsid w:val="00C4587F"/>
    <w:rsid w:val="00C4596C"/>
    <w:rsid w:val="00C4599A"/>
    <w:rsid w:val="00C459D3"/>
    <w:rsid w:val="00C459E1"/>
    <w:rsid w:val="00C45A20"/>
    <w:rsid w:val="00C45B31"/>
    <w:rsid w:val="00C45C09"/>
    <w:rsid w:val="00C45C14"/>
    <w:rsid w:val="00C45E61"/>
    <w:rsid w:val="00C45F36"/>
    <w:rsid w:val="00C45F45"/>
    <w:rsid w:val="00C46044"/>
    <w:rsid w:val="00C46095"/>
    <w:rsid w:val="00C460AA"/>
    <w:rsid w:val="00C46221"/>
    <w:rsid w:val="00C4625F"/>
    <w:rsid w:val="00C4626D"/>
    <w:rsid w:val="00C46404"/>
    <w:rsid w:val="00C46641"/>
    <w:rsid w:val="00C4667A"/>
    <w:rsid w:val="00C467BA"/>
    <w:rsid w:val="00C46D37"/>
    <w:rsid w:val="00C46D7F"/>
    <w:rsid w:val="00C46E63"/>
    <w:rsid w:val="00C46ED2"/>
    <w:rsid w:val="00C46EF9"/>
    <w:rsid w:val="00C46F1F"/>
    <w:rsid w:val="00C4703C"/>
    <w:rsid w:val="00C4711E"/>
    <w:rsid w:val="00C473DE"/>
    <w:rsid w:val="00C47471"/>
    <w:rsid w:val="00C47526"/>
    <w:rsid w:val="00C475FB"/>
    <w:rsid w:val="00C476E6"/>
    <w:rsid w:val="00C479BA"/>
    <w:rsid w:val="00C47AAD"/>
    <w:rsid w:val="00C47D27"/>
    <w:rsid w:val="00C47E45"/>
    <w:rsid w:val="00C47EB6"/>
    <w:rsid w:val="00C47FBE"/>
    <w:rsid w:val="00C5007A"/>
    <w:rsid w:val="00C5019E"/>
    <w:rsid w:val="00C50372"/>
    <w:rsid w:val="00C5038D"/>
    <w:rsid w:val="00C503E1"/>
    <w:rsid w:val="00C5065B"/>
    <w:rsid w:val="00C508EB"/>
    <w:rsid w:val="00C509D3"/>
    <w:rsid w:val="00C509F5"/>
    <w:rsid w:val="00C50BB1"/>
    <w:rsid w:val="00C50BBC"/>
    <w:rsid w:val="00C50CBD"/>
    <w:rsid w:val="00C50D43"/>
    <w:rsid w:val="00C50DC8"/>
    <w:rsid w:val="00C50DED"/>
    <w:rsid w:val="00C50ED7"/>
    <w:rsid w:val="00C50F26"/>
    <w:rsid w:val="00C50F42"/>
    <w:rsid w:val="00C50F7B"/>
    <w:rsid w:val="00C51250"/>
    <w:rsid w:val="00C512B0"/>
    <w:rsid w:val="00C5148F"/>
    <w:rsid w:val="00C514B0"/>
    <w:rsid w:val="00C5166C"/>
    <w:rsid w:val="00C5170D"/>
    <w:rsid w:val="00C518A3"/>
    <w:rsid w:val="00C51AF2"/>
    <w:rsid w:val="00C51C4F"/>
    <w:rsid w:val="00C51DAD"/>
    <w:rsid w:val="00C51E47"/>
    <w:rsid w:val="00C51F24"/>
    <w:rsid w:val="00C51F29"/>
    <w:rsid w:val="00C51F2F"/>
    <w:rsid w:val="00C52015"/>
    <w:rsid w:val="00C520DF"/>
    <w:rsid w:val="00C52191"/>
    <w:rsid w:val="00C5219F"/>
    <w:rsid w:val="00C52217"/>
    <w:rsid w:val="00C524FF"/>
    <w:rsid w:val="00C5251E"/>
    <w:rsid w:val="00C52631"/>
    <w:rsid w:val="00C52640"/>
    <w:rsid w:val="00C527E1"/>
    <w:rsid w:val="00C52893"/>
    <w:rsid w:val="00C52B81"/>
    <w:rsid w:val="00C52BD2"/>
    <w:rsid w:val="00C52CD1"/>
    <w:rsid w:val="00C5310F"/>
    <w:rsid w:val="00C532C7"/>
    <w:rsid w:val="00C532FC"/>
    <w:rsid w:val="00C53394"/>
    <w:rsid w:val="00C53400"/>
    <w:rsid w:val="00C53710"/>
    <w:rsid w:val="00C537C5"/>
    <w:rsid w:val="00C53842"/>
    <w:rsid w:val="00C538BF"/>
    <w:rsid w:val="00C539AB"/>
    <w:rsid w:val="00C53AA8"/>
    <w:rsid w:val="00C53BFD"/>
    <w:rsid w:val="00C53C2E"/>
    <w:rsid w:val="00C53CB8"/>
    <w:rsid w:val="00C53D6F"/>
    <w:rsid w:val="00C53F7E"/>
    <w:rsid w:val="00C5415C"/>
    <w:rsid w:val="00C5425E"/>
    <w:rsid w:val="00C54290"/>
    <w:rsid w:val="00C542A4"/>
    <w:rsid w:val="00C5434F"/>
    <w:rsid w:val="00C54385"/>
    <w:rsid w:val="00C54515"/>
    <w:rsid w:val="00C545A1"/>
    <w:rsid w:val="00C54680"/>
    <w:rsid w:val="00C5488D"/>
    <w:rsid w:val="00C548E9"/>
    <w:rsid w:val="00C5491C"/>
    <w:rsid w:val="00C54A95"/>
    <w:rsid w:val="00C54C5E"/>
    <w:rsid w:val="00C55355"/>
    <w:rsid w:val="00C555D2"/>
    <w:rsid w:val="00C55633"/>
    <w:rsid w:val="00C55AC3"/>
    <w:rsid w:val="00C55B6F"/>
    <w:rsid w:val="00C55D93"/>
    <w:rsid w:val="00C55FC4"/>
    <w:rsid w:val="00C56053"/>
    <w:rsid w:val="00C561EE"/>
    <w:rsid w:val="00C56211"/>
    <w:rsid w:val="00C5629A"/>
    <w:rsid w:val="00C562C3"/>
    <w:rsid w:val="00C5643A"/>
    <w:rsid w:val="00C56478"/>
    <w:rsid w:val="00C56492"/>
    <w:rsid w:val="00C56527"/>
    <w:rsid w:val="00C56529"/>
    <w:rsid w:val="00C56602"/>
    <w:rsid w:val="00C56624"/>
    <w:rsid w:val="00C56636"/>
    <w:rsid w:val="00C566EA"/>
    <w:rsid w:val="00C5671C"/>
    <w:rsid w:val="00C56765"/>
    <w:rsid w:val="00C5681B"/>
    <w:rsid w:val="00C56927"/>
    <w:rsid w:val="00C5696B"/>
    <w:rsid w:val="00C569DF"/>
    <w:rsid w:val="00C56AA7"/>
    <w:rsid w:val="00C56D75"/>
    <w:rsid w:val="00C56E73"/>
    <w:rsid w:val="00C5702E"/>
    <w:rsid w:val="00C57044"/>
    <w:rsid w:val="00C57091"/>
    <w:rsid w:val="00C57132"/>
    <w:rsid w:val="00C5727B"/>
    <w:rsid w:val="00C573D5"/>
    <w:rsid w:val="00C5762D"/>
    <w:rsid w:val="00C576D2"/>
    <w:rsid w:val="00C57742"/>
    <w:rsid w:val="00C5783B"/>
    <w:rsid w:val="00C578C8"/>
    <w:rsid w:val="00C57971"/>
    <w:rsid w:val="00C57B36"/>
    <w:rsid w:val="00C57B46"/>
    <w:rsid w:val="00C57BEF"/>
    <w:rsid w:val="00C57C5C"/>
    <w:rsid w:val="00C57C73"/>
    <w:rsid w:val="00C57DD9"/>
    <w:rsid w:val="00C57E8F"/>
    <w:rsid w:val="00C60069"/>
    <w:rsid w:val="00C600AA"/>
    <w:rsid w:val="00C60144"/>
    <w:rsid w:val="00C60154"/>
    <w:rsid w:val="00C602FF"/>
    <w:rsid w:val="00C60334"/>
    <w:rsid w:val="00C6039A"/>
    <w:rsid w:val="00C60411"/>
    <w:rsid w:val="00C604EF"/>
    <w:rsid w:val="00C605E8"/>
    <w:rsid w:val="00C606C5"/>
    <w:rsid w:val="00C608DE"/>
    <w:rsid w:val="00C60A32"/>
    <w:rsid w:val="00C60BA7"/>
    <w:rsid w:val="00C60BB3"/>
    <w:rsid w:val="00C60C75"/>
    <w:rsid w:val="00C60D8F"/>
    <w:rsid w:val="00C60DF3"/>
    <w:rsid w:val="00C60E32"/>
    <w:rsid w:val="00C60F9C"/>
    <w:rsid w:val="00C60FEB"/>
    <w:rsid w:val="00C61021"/>
    <w:rsid w:val="00C61174"/>
    <w:rsid w:val="00C612F2"/>
    <w:rsid w:val="00C61315"/>
    <w:rsid w:val="00C6131C"/>
    <w:rsid w:val="00C613A5"/>
    <w:rsid w:val="00C61408"/>
    <w:rsid w:val="00C6148F"/>
    <w:rsid w:val="00C614F5"/>
    <w:rsid w:val="00C61634"/>
    <w:rsid w:val="00C61806"/>
    <w:rsid w:val="00C619AC"/>
    <w:rsid w:val="00C61A11"/>
    <w:rsid w:val="00C61B6D"/>
    <w:rsid w:val="00C61B7F"/>
    <w:rsid w:val="00C61C67"/>
    <w:rsid w:val="00C61D8D"/>
    <w:rsid w:val="00C61EA5"/>
    <w:rsid w:val="00C620B7"/>
    <w:rsid w:val="00C62165"/>
    <w:rsid w:val="00C6217C"/>
    <w:rsid w:val="00C621B1"/>
    <w:rsid w:val="00C62241"/>
    <w:rsid w:val="00C62256"/>
    <w:rsid w:val="00C622E0"/>
    <w:rsid w:val="00C622E9"/>
    <w:rsid w:val="00C62303"/>
    <w:rsid w:val="00C6232D"/>
    <w:rsid w:val="00C62364"/>
    <w:rsid w:val="00C62694"/>
    <w:rsid w:val="00C62797"/>
    <w:rsid w:val="00C627BD"/>
    <w:rsid w:val="00C62824"/>
    <w:rsid w:val="00C62882"/>
    <w:rsid w:val="00C62AA0"/>
    <w:rsid w:val="00C62C8A"/>
    <w:rsid w:val="00C62C8F"/>
    <w:rsid w:val="00C62C93"/>
    <w:rsid w:val="00C62CC8"/>
    <w:rsid w:val="00C62D78"/>
    <w:rsid w:val="00C62E15"/>
    <w:rsid w:val="00C62E63"/>
    <w:rsid w:val="00C62F11"/>
    <w:rsid w:val="00C62F7A"/>
    <w:rsid w:val="00C63073"/>
    <w:rsid w:val="00C63080"/>
    <w:rsid w:val="00C63155"/>
    <w:rsid w:val="00C63166"/>
    <w:rsid w:val="00C631A5"/>
    <w:rsid w:val="00C6333D"/>
    <w:rsid w:val="00C6335D"/>
    <w:rsid w:val="00C633FF"/>
    <w:rsid w:val="00C63448"/>
    <w:rsid w:val="00C634C1"/>
    <w:rsid w:val="00C635B6"/>
    <w:rsid w:val="00C63673"/>
    <w:rsid w:val="00C636B9"/>
    <w:rsid w:val="00C636D9"/>
    <w:rsid w:val="00C637C9"/>
    <w:rsid w:val="00C63A39"/>
    <w:rsid w:val="00C63B9C"/>
    <w:rsid w:val="00C63DE5"/>
    <w:rsid w:val="00C63E5F"/>
    <w:rsid w:val="00C63ECB"/>
    <w:rsid w:val="00C63ED9"/>
    <w:rsid w:val="00C63F88"/>
    <w:rsid w:val="00C64039"/>
    <w:rsid w:val="00C6415C"/>
    <w:rsid w:val="00C641E9"/>
    <w:rsid w:val="00C64209"/>
    <w:rsid w:val="00C642B7"/>
    <w:rsid w:val="00C642FC"/>
    <w:rsid w:val="00C64323"/>
    <w:rsid w:val="00C644C0"/>
    <w:rsid w:val="00C644E1"/>
    <w:rsid w:val="00C64627"/>
    <w:rsid w:val="00C64676"/>
    <w:rsid w:val="00C6470C"/>
    <w:rsid w:val="00C6473B"/>
    <w:rsid w:val="00C64939"/>
    <w:rsid w:val="00C64A9C"/>
    <w:rsid w:val="00C64D34"/>
    <w:rsid w:val="00C64DA5"/>
    <w:rsid w:val="00C64E9C"/>
    <w:rsid w:val="00C64F0D"/>
    <w:rsid w:val="00C64FA9"/>
    <w:rsid w:val="00C65013"/>
    <w:rsid w:val="00C65064"/>
    <w:rsid w:val="00C65134"/>
    <w:rsid w:val="00C65696"/>
    <w:rsid w:val="00C65889"/>
    <w:rsid w:val="00C65A52"/>
    <w:rsid w:val="00C65AF9"/>
    <w:rsid w:val="00C65B05"/>
    <w:rsid w:val="00C65E2E"/>
    <w:rsid w:val="00C65F13"/>
    <w:rsid w:val="00C66038"/>
    <w:rsid w:val="00C66066"/>
    <w:rsid w:val="00C66086"/>
    <w:rsid w:val="00C66371"/>
    <w:rsid w:val="00C663D2"/>
    <w:rsid w:val="00C66462"/>
    <w:rsid w:val="00C6648A"/>
    <w:rsid w:val="00C664B2"/>
    <w:rsid w:val="00C6657E"/>
    <w:rsid w:val="00C665AB"/>
    <w:rsid w:val="00C665B7"/>
    <w:rsid w:val="00C665E5"/>
    <w:rsid w:val="00C6671A"/>
    <w:rsid w:val="00C667C9"/>
    <w:rsid w:val="00C6682F"/>
    <w:rsid w:val="00C6690D"/>
    <w:rsid w:val="00C669BD"/>
    <w:rsid w:val="00C66AF9"/>
    <w:rsid w:val="00C66B9B"/>
    <w:rsid w:val="00C66C7F"/>
    <w:rsid w:val="00C66CA8"/>
    <w:rsid w:val="00C66EEC"/>
    <w:rsid w:val="00C66F04"/>
    <w:rsid w:val="00C66F2E"/>
    <w:rsid w:val="00C670B0"/>
    <w:rsid w:val="00C67143"/>
    <w:rsid w:val="00C67428"/>
    <w:rsid w:val="00C67460"/>
    <w:rsid w:val="00C67463"/>
    <w:rsid w:val="00C6747B"/>
    <w:rsid w:val="00C674AC"/>
    <w:rsid w:val="00C67777"/>
    <w:rsid w:val="00C67856"/>
    <w:rsid w:val="00C678DC"/>
    <w:rsid w:val="00C679F9"/>
    <w:rsid w:val="00C67A16"/>
    <w:rsid w:val="00C67A63"/>
    <w:rsid w:val="00C67B34"/>
    <w:rsid w:val="00C67B95"/>
    <w:rsid w:val="00C67BF4"/>
    <w:rsid w:val="00C67C03"/>
    <w:rsid w:val="00C67D03"/>
    <w:rsid w:val="00C67D1A"/>
    <w:rsid w:val="00C67D23"/>
    <w:rsid w:val="00C67D69"/>
    <w:rsid w:val="00C67DCB"/>
    <w:rsid w:val="00C67EE3"/>
    <w:rsid w:val="00C67FC7"/>
    <w:rsid w:val="00C7004E"/>
    <w:rsid w:val="00C70057"/>
    <w:rsid w:val="00C70091"/>
    <w:rsid w:val="00C70198"/>
    <w:rsid w:val="00C7023B"/>
    <w:rsid w:val="00C702C6"/>
    <w:rsid w:val="00C702EE"/>
    <w:rsid w:val="00C70309"/>
    <w:rsid w:val="00C70341"/>
    <w:rsid w:val="00C70347"/>
    <w:rsid w:val="00C70433"/>
    <w:rsid w:val="00C7079D"/>
    <w:rsid w:val="00C7090F"/>
    <w:rsid w:val="00C70992"/>
    <w:rsid w:val="00C70A9A"/>
    <w:rsid w:val="00C70BDF"/>
    <w:rsid w:val="00C70ECE"/>
    <w:rsid w:val="00C70F2C"/>
    <w:rsid w:val="00C70FC7"/>
    <w:rsid w:val="00C710CB"/>
    <w:rsid w:val="00C71123"/>
    <w:rsid w:val="00C7112D"/>
    <w:rsid w:val="00C71204"/>
    <w:rsid w:val="00C712AC"/>
    <w:rsid w:val="00C712AF"/>
    <w:rsid w:val="00C71390"/>
    <w:rsid w:val="00C7148E"/>
    <w:rsid w:val="00C7160B"/>
    <w:rsid w:val="00C716D9"/>
    <w:rsid w:val="00C71875"/>
    <w:rsid w:val="00C718F1"/>
    <w:rsid w:val="00C7197C"/>
    <w:rsid w:val="00C719BD"/>
    <w:rsid w:val="00C719EB"/>
    <w:rsid w:val="00C71A1E"/>
    <w:rsid w:val="00C71AD5"/>
    <w:rsid w:val="00C71D6A"/>
    <w:rsid w:val="00C71DAB"/>
    <w:rsid w:val="00C71E50"/>
    <w:rsid w:val="00C71E90"/>
    <w:rsid w:val="00C72033"/>
    <w:rsid w:val="00C720EA"/>
    <w:rsid w:val="00C72396"/>
    <w:rsid w:val="00C723CF"/>
    <w:rsid w:val="00C7246E"/>
    <w:rsid w:val="00C72751"/>
    <w:rsid w:val="00C7275E"/>
    <w:rsid w:val="00C727A3"/>
    <w:rsid w:val="00C72852"/>
    <w:rsid w:val="00C7292E"/>
    <w:rsid w:val="00C72958"/>
    <w:rsid w:val="00C72961"/>
    <w:rsid w:val="00C72A28"/>
    <w:rsid w:val="00C72A97"/>
    <w:rsid w:val="00C72CE3"/>
    <w:rsid w:val="00C72E85"/>
    <w:rsid w:val="00C72EAA"/>
    <w:rsid w:val="00C72EF0"/>
    <w:rsid w:val="00C72F88"/>
    <w:rsid w:val="00C73052"/>
    <w:rsid w:val="00C7317F"/>
    <w:rsid w:val="00C731AF"/>
    <w:rsid w:val="00C732FC"/>
    <w:rsid w:val="00C733B4"/>
    <w:rsid w:val="00C73468"/>
    <w:rsid w:val="00C734B9"/>
    <w:rsid w:val="00C735A8"/>
    <w:rsid w:val="00C735BA"/>
    <w:rsid w:val="00C73775"/>
    <w:rsid w:val="00C73797"/>
    <w:rsid w:val="00C73853"/>
    <w:rsid w:val="00C73978"/>
    <w:rsid w:val="00C73BA4"/>
    <w:rsid w:val="00C73D18"/>
    <w:rsid w:val="00C73EED"/>
    <w:rsid w:val="00C73F13"/>
    <w:rsid w:val="00C73F81"/>
    <w:rsid w:val="00C7404D"/>
    <w:rsid w:val="00C7420C"/>
    <w:rsid w:val="00C74319"/>
    <w:rsid w:val="00C7432A"/>
    <w:rsid w:val="00C74492"/>
    <w:rsid w:val="00C745C4"/>
    <w:rsid w:val="00C74783"/>
    <w:rsid w:val="00C74940"/>
    <w:rsid w:val="00C74A40"/>
    <w:rsid w:val="00C74AA0"/>
    <w:rsid w:val="00C74B3B"/>
    <w:rsid w:val="00C74B93"/>
    <w:rsid w:val="00C74C1A"/>
    <w:rsid w:val="00C74C53"/>
    <w:rsid w:val="00C74C5D"/>
    <w:rsid w:val="00C74EE1"/>
    <w:rsid w:val="00C74F1D"/>
    <w:rsid w:val="00C74F50"/>
    <w:rsid w:val="00C75418"/>
    <w:rsid w:val="00C7541F"/>
    <w:rsid w:val="00C7545B"/>
    <w:rsid w:val="00C75563"/>
    <w:rsid w:val="00C755DB"/>
    <w:rsid w:val="00C7564C"/>
    <w:rsid w:val="00C757F6"/>
    <w:rsid w:val="00C7585E"/>
    <w:rsid w:val="00C759CA"/>
    <w:rsid w:val="00C759F4"/>
    <w:rsid w:val="00C75A30"/>
    <w:rsid w:val="00C75AB4"/>
    <w:rsid w:val="00C75E03"/>
    <w:rsid w:val="00C75EB9"/>
    <w:rsid w:val="00C760BB"/>
    <w:rsid w:val="00C761BB"/>
    <w:rsid w:val="00C762D6"/>
    <w:rsid w:val="00C76429"/>
    <w:rsid w:val="00C7658B"/>
    <w:rsid w:val="00C765CB"/>
    <w:rsid w:val="00C76918"/>
    <w:rsid w:val="00C76935"/>
    <w:rsid w:val="00C76A79"/>
    <w:rsid w:val="00C76AA2"/>
    <w:rsid w:val="00C76AD0"/>
    <w:rsid w:val="00C76CE1"/>
    <w:rsid w:val="00C76DD0"/>
    <w:rsid w:val="00C76E89"/>
    <w:rsid w:val="00C76EE5"/>
    <w:rsid w:val="00C7709A"/>
    <w:rsid w:val="00C770EF"/>
    <w:rsid w:val="00C77183"/>
    <w:rsid w:val="00C77314"/>
    <w:rsid w:val="00C7735F"/>
    <w:rsid w:val="00C7740F"/>
    <w:rsid w:val="00C775B9"/>
    <w:rsid w:val="00C775E7"/>
    <w:rsid w:val="00C776CC"/>
    <w:rsid w:val="00C77830"/>
    <w:rsid w:val="00C77937"/>
    <w:rsid w:val="00C77A56"/>
    <w:rsid w:val="00C77ABE"/>
    <w:rsid w:val="00C77B48"/>
    <w:rsid w:val="00C77B7F"/>
    <w:rsid w:val="00C77D20"/>
    <w:rsid w:val="00C77DB4"/>
    <w:rsid w:val="00C77E02"/>
    <w:rsid w:val="00C77FDA"/>
    <w:rsid w:val="00C77FEB"/>
    <w:rsid w:val="00C80057"/>
    <w:rsid w:val="00C800D5"/>
    <w:rsid w:val="00C800E4"/>
    <w:rsid w:val="00C80198"/>
    <w:rsid w:val="00C80305"/>
    <w:rsid w:val="00C80376"/>
    <w:rsid w:val="00C803CB"/>
    <w:rsid w:val="00C80411"/>
    <w:rsid w:val="00C80436"/>
    <w:rsid w:val="00C804AD"/>
    <w:rsid w:val="00C805F9"/>
    <w:rsid w:val="00C8061B"/>
    <w:rsid w:val="00C8070A"/>
    <w:rsid w:val="00C808D3"/>
    <w:rsid w:val="00C80928"/>
    <w:rsid w:val="00C80A7E"/>
    <w:rsid w:val="00C80BC8"/>
    <w:rsid w:val="00C80DA2"/>
    <w:rsid w:val="00C80DF7"/>
    <w:rsid w:val="00C80E5C"/>
    <w:rsid w:val="00C80E69"/>
    <w:rsid w:val="00C81226"/>
    <w:rsid w:val="00C814A7"/>
    <w:rsid w:val="00C814F0"/>
    <w:rsid w:val="00C81728"/>
    <w:rsid w:val="00C817C3"/>
    <w:rsid w:val="00C818D2"/>
    <w:rsid w:val="00C81A99"/>
    <w:rsid w:val="00C81B3F"/>
    <w:rsid w:val="00C81BBE"/>
    <w:rsid w:val="00C81C72"/>
    <w:rsid w:val="00C81C91"/>
    <w:rsid w:val="00C81EC0"/>
    <w:rsid w:val="00C81F17"/>
    <w:rsid w:val="00C81F71"/>
    <w:rsid w:val="00C81F9D"/>
    <w:rsid w:val="00C820ED"/>
    <w:rsid w:val="00C8212D"/>
    <w:rsid w:val="00C82210"/>
    <w:rsid w:val="00C8224E"/>
    <w:rsid w:val="00C82385"/>
    <w:rsid w:val="00C823EE"/>
    <w:rsid w:val="00C825A1"/>
    <w:rsid w:val="00C827C4"/>
    <w:rsid w:val="00C829CC"/>
    <w:rsid w:val="00C82ACD"/>
    <w:rsid w:val="00C82AF7"/>
    <w:rsid w:val="00C82C46"/>
    <w:rsid w:val="00C82DE1"/>
    <w:rsid w:val="00C82FE9"/>
    <w:rsid w:val="00C83234"/>
    <w:rsid w:val="00C83293"/>
    <w:rsid w:val="00C83308"/>
    <w:rsid w:val="00C8330D"/>
    <w:rsid w:val="00C833A3"/>
    <w:rsid w:val="00C83505"/>
    <w:rsid w:val="00C83686"/>
    <w:rsid w:val="00C837BB"/>
    <w:rsid w:val="00C838AF"/>
    <w:rsid w:val="00C83E57"/>
    <w:rsid w:val="00C83E90"/>
    <w:rsid w:val="00C83F7A"/>
    <w:rsid w:val="00C83FA1"/>
    <w:rsid w:val="00C8402B"/>
    <w:rsid w:val="00C840C2"/>
    <w:rsid w:val="00C84145"/>
    <w:rsid w:val="00C841B5"/>
    <w:rsid w:val="00C841C8"/>
    <w:rsid w:val="00C841FD"/>
    <w:rsid w:val="00C842B9"/>
    <w:rsid w:val="00C843CD"/>
    <w:rsid w:val="00C844A3"/>
    <w:rsid w:val="00C84537"/>
    <w:rsid w:val="00C845A1"/>
    <w:rsid w:val="00C8484A"/>
    <w:rsid w:val="00C84953"/>
    <w:rsid w:val="00C84958"/>
    <w:rsid w:val="00C84A6A"/>
    <w:rsid w:val="00C84F6E"/>
    <w:rsid w:val="00C84FDF"/>
    <w:rsid w:val="00C850C0"/>
    <w:rsid w:val="00C85250"/>
    <w:rsid w:val="00C852B9"/>
    <w:rsid w:val="00C853F1"/>
    <w:rsid w:val="00C854B7"/>
    <w:rsid w:val="00C85594"/>
    <w:rsid w:val="00C85620"/>
    <w:rsid w:val="00C85652"/>
    <w:rsid w:val="00C857C8"/>
    <w:rsid w:val="00C85AA5"/>
    <w:rsid w:val="00C85ACD"/>
    <w:rsid w:val="00C85B98"/>
    <w:rsid w:val="00C85BE1"/>
    <w:rsid w:val="00C85BEF"/>
    <w:rsid w:val="00C85C38"/>
    <w:rsid w:val="00C85E53"/>
    <w:rsid w:val="00C85ED3"/>
    <w:rsid w:val="00C85F6F"/>
    <w:rsid w:val="00C85F81"/>
    <w:rsid w:val="00C85F86"/>
    <w:rsid w:val="00C85FD1"/>
    <w:rsid w:val="00C85FEE"/>
    <w:rsid w:val="00C8602A"/>
    <w:rsid w:val="00C86104"/>
    <w:rsid w:val="00C86241"/>
    <w:rsid w:val="00C8627D"/>
    <w:rsid w:val="00C86287"/>
    <w:rsid w:val="00C863C4"/>
    <w:rsid w:val="00C864A7"/>
    <w:rsid w:val="00C864E1"/>
    <w:rsid w:val="00C8650A"/>
    <w:rsid w:val="00C8657A"/>
    <w:rsid w:val="00C8676D"/>
    <w:rsid w:val="00C86992"/>
    <w:rsid w:val="00C869C3"/>
    <w:rsid w:val="00C86A74"/>
    <w:rsid w:val="00C86DE2"/>
    <w:rsid w:val="00C86EF2"/>
    <w:rsid w:val="00C872D5"/>
    <w:rsid w:val="00C872F9"/>
    <w:rsid w:val="00C87351"/>
    <w:rsid w:val="00C8736D"/>
    <w:rsid w:val="00C8740D"/>
    <w:rsid w:val="00C877E6"/>
    <w:rsid w:val="00C87835"/>
    <w:rsid w:val="00C878B7"/>
    <w:rsid w:val="00C878C0"/>
    <w:rsid w:val="00C87A6A"/>
    <w:rsid w:val="00C87A6C"/>
    <w:rsid w:val="00C87CEE"/>
    <w:rsid w:val="00C87EB4"/>
    <w:rsid w:val="00C90088"/>
    <w:rsid w:val="00C90117"/>
    <w:rsid w:val="00C901FA"/>
    <w:rsid w:val="00C9020E"/>
    <w:rsid w:val="00C902A1"/>
    <w:rsid w:val="00C902F3"/>
    <w:rsid w:val="00C90612"/>
    <w:rsid w:val="00C9064A"/>
    <w:rsid w:val="00C908DA"/>
    <w:rsid w:val="00C90969"/>
    <w:rsid w:val="00C9097A"/>
    <w:rsid w:val="00C90ADD"/>
    <w:rsid w:val="00C90B29"/>
    <w:rsid w:val="00C90C1F"/>
    <w:rsid w:val="00C90C2E"/>
    <w:rsid w:val="00C90D60"/>
    <w:rsid w:val="00C90D84"/>
    <w:rsid w:val="00C90DAB"/>
    <w:rsid w:val="00C90FB0"/>
    <w:rsid w:val="00C910C5"/>
    <w:rsid w:val="00C910ED"/>
    <w:rsid w:val="00C9132F"/>
    <w:rsid w:val="00C913AC"/>
    <w:rsid w:val="00C913FB"/>
    <w:rsid w:val="00C9140C"/>
    <w:rsid w:val="00C91487"/>
    <w:rsid w:val="00C914DA"/>
    <w:rsid w:val="00C915F5"/>
    <w:rsid w:val="00C91737"/>
    <w:rsid w:val="00C91793"/>
    <w:rsid w:val="00C9187F"/>
    <w:rsid w:val="00C91AA9"/>
    <w:rsid w:val="00C91CCF"/>
    <w:rsid w:val="00C91D48"/>
    <w:rsid w:val="00C91DA0"/>
    <w:rsid w:val="00C91EDE"/>
    <w:rsid w:val="00C92014"/>
    <w:rsid w:val="00C920B9"/>
    <w:rsid w:val="00C920EA"/>
    <w:rsid w:val="00C921E2"/>
    <w:rsid w:val="00C922EB"/>
    <w:rsid w:val="00C92389"/>
    <w:rsid w:val="00C92430"/>
    <w:rsid w:val="00C9247C"/>
    <w:rsid w:val="00C924A3"/>
    <w:rsid w:val="00C924E4"/>
    <w:rsid w:val="00C925A2"/>
    <w:rsid w:val="00C925F5"/>
    <w:rsid w:val="00C92607"/>
    <w:rsid w:val="00C927A2"/>
    <w:rsid w:val="00C927E2"/>
    <w:rsid w:val="00C927E8"/>
    <w:rsid w:val="00C92ACC"/>
    <w:rsid w:val="00C92DC1"/>
    <w:rsid w:val="00C92EED"/>
    <w:rsid w:val="00C93060"/>
    <w:rsid w:val="00C93132"/>
    <w:rsid w:val="00C93166"/>
    <w:rsid w:val="00C9316B"/>
    <w:rsid w:val="00C933AE"/>
    <w:rsid w:val="00C93412"/>
    <w:rsid w:val="00C93514"/>
    <w:rsid w:val="00C93666"/>
    <w:rsid w:val="00C93682"/>
    <w:rsid w:val="00C936B3"/>
    <w:rsid w:val="00C936F0"/>
    <w:rsid w:val="00C93723"/>
    <w:rsid w:val="00C93742"/>
    <w:rsid w:val="00C937FC"/>
    <w:rsid w:val="00C9381F"/>
    <w:rsid w:val="00C9382A"/>
    <w:rsid w:val="00C93974"/>
    <w:rsid w:val="00C939B2"/>
    <w:rsid w:val="00C93A92"/>
    <w:rsid w:val="00C93AA8"/>
    <w:rsid w:val="00C93BCE"/>
    <w:rsid w:val="00C93C3E"/>
    <w:rsid w:val="00C93C73"/>
    <w:rsid w:val="00C93D3E"/>
    <w:rsid w:val="00C93D68"/>
    <w:rsid w:val="00C93DF7"/>
    <w:rsid w:val="00C93DFD"/>
    <w:rsid w:val="00C93F73"/>
    <w:rsid w:val="00C940C9"/>
    <w:rsid w:val="00C940E7"/>
    <w:rsid w:val="00C94190"/>
    <w:rsid w:val="00C9456B"/>
    <w:rsid w:val="00C94656"/>
    <w:rsid w:val="00C9474A"/>
    <w:rsid w:val="00C94759"/>
    <w:rsid w:val="00C94807"/>
    <w:rsid w:val="00C94865"/>
    <w:rsid w:val="00C9498E"/>
    <w:rsid w:val="00C949CE"/>
    <w:rsid w:val="00C94A03"/>
    <w:rsid w:val="00C94ABA"/>
    <w:rsid w:val="00C94BAD"/>
    <w:rsid w:val="00C94C0F"/>
    <w:rsid w:val="00C94C7E"/>
    <w:rsid w:val="00C94D38"/>
    <w:rsid w:val="00C94E45"/>
    <w:rsid w:val="00C94E8B"/>
    <w:rsid w:val="00C94E96"/>
    <w:rsid w:val="00C94E9D"/>
    <w:rsid w:val="00C95039"/>
    <w:rsid w:val="00C95122"/>
    <w:rsid w:val="00C951D7"/>
    <w:rsid w:val="00C95244"/>
    <w:rsid w:val="00C9528C"/>
    <w:rsid w:val="00C952C0"/>
    <w:rsid w:val="00C95344"/>
    <w:rsid w:val="00C9559F"/>
    <w:rsid w:val="00C95605"/>
    <w:rsid w:val="00C9568D"/>
    <w:rsid w:val="00C95693"/>
    <w:rsid w:val="00C95888"/>
    <w:rsid w:val="00C959A5"/>
    <w:rsid w:val="00C95A5D"/>
    <w:rsid w:val="00C95AAF"/>
    <w:rsid w:val="00C95B20"/>
    <w:rsid w:val="00C96182"/>
    <w:rsid w:val="00C962CF"/>
    <w:rsid w:val="00C96323"/>
    <w:rsid w:val="00C9646D"/>
    <w:rsid w:val="00C9655D"/>
    <w:rsid w:val="00C9677A"/>
    <w:rsid w:val="00C96A03"/>
    <w:rsid w:val="00C96A4B"/>
    <w:rsid w:val="00C96AF4"/>
    <w:rsid w:val="00C96AF8"/>
    <w:rsid w:val="00C96ED8"/>
    <w:rsid w:val="00C96FA4"/>
    <w:rsid w:val="00C97040"/>
    <w:rsid w:val="00C97257"/>
    <w:rsid w:val="00C97259"/>
    <w:rsid w:val="00C97622"/>
    <w:rsid w:val="00C97684"/>
    <w:rsid w:val="00C9769D"/>
    <w:rsid w:val="00C9776A"/>
    <w:rsid w:val="00C9787A"/>
    <w:rsid w:val="00C97AB2"/>
    <w:rsid w:val="00C97B5B"/>
    <w:rsid w:val="00C97B89"/>
    <w:rsid w:val="00C97C32"/>
    <w:rsid w:val="00C97CBC"/>
    <w:rsid w:val="00C97D0F"/>
    <w:rsid w:val="00C97E76"/>
    <w:rsid w:val="00C97F11"/>
    <w:rsid w:val="00C97F8B"/>
    <w:rsid w:val="00C97FA5"/>
    <w:rsid w:val="00CA00EA"/>
    <w:rsid w:val="00CA02AD"/>
    <w:rsid w:val="00CA02D0"/>
    <w:rsid w:val="00CA02D6"/>
    <w:rsid w:val="00CA02F1"/>
    <w:rsid w:val="00CA0317"/>
    <w:rsid w:val="00CA05FB"/>
    <w:rsid w:val="00CA09B3"/>
    <w:rsid w:val="00CA0A3C"/>
    <w:rsid w:val="00CA0E3D"/>
    <w:rsid w:val="00CA0F48"/>
    <w:rsid w:val="00CA1023"/>
    <w:rsid w:val="00CA1029"/>
    <w:rsid w:val="00CA1078"/>
    <w:rsid w:val="00CA1206"/>
    <w:rsid w:val="00CA12E3"/>
    <w:rsid w:val="00CA1476"/>
    <w:rsid w:val="00CA14FE"/>
    <w:rsid w:val="00CA1542"/>
    <w:rsid w:val="00CA1565"/>
    <w:rsid w:val="00CA15F7"/>
    <w:rsid w:val="00CA16CF"/>
    <w:rsid w:val="00CA16FC"/>
    <w:rsid w:val="00CA1860"/>
    <w:rsid w:val="00CA1A5E"/>
    <w:rsid w:val="00CA1AA8"/>
    <w:rsid w:val="00CA1B50"/>
    <w:rsid w:val="00CA1B60"/>
    <w:rsid w:val="00CA1B9C"/>
    <w:rsid w:val="00CA1E19"/>
    <w:rsid w:val="00CA1F6D"/>
    <w:rsid w:val="00CA204F"/>
    <w:rsid w:val="00CA2111"/>
    <w:rsid w:val="00CA21AD"/>
    <w:rsid w:val="00CA21DC"/>
    <w:rsid w:val="00CA22EF"/>
    <w:rsid w:val="00CA2384"/>
    <w:rsid w:val="00CA23E1"/>
    <w:rsid w:val="00CA24AE"/>
    <w:rsid w:val="00CA24E0"/>
    <w:rsid w:val="00CA2570"/>
    <w:rsid w:val="00CA2654"/>
    <w:rsid w:val="00CA2702"/>
    <w:rsid w:val="00CA27CC"/>
    <w:rsid w:val="00CA2BF4"/>
    <w:rsid w:val="00CA2C14"/>
    <w:rsid w:val="00CA2C95"/>
    <w:rsid w:val="00CA2D2C"/>
    <w:rsid w:val="00CA2DD4"/>
    <w:rsid w:val="00CA2DE6"/>
    <w:rsid w:val="00CA2E46"/>
    <w:rsid w:val="00CA2EEA"/>
    <w:rsid w:val="00CA2F07"/>
    <w:rsid w:val="00CA2FB0"/>
    <w:rsid w:val="00CA2FB2"/>
    <w:rsid w:val="00CA3005"/>
    <w:rsid w:val="00CA310F"/>
    <w:rsid w:val="00CA3121"/>
    <w:rsid w:val="00CA3138"/>
    <w:rsid w:val="00CA3146"/>
    <w:rsid w:val="00CA3599"/>
    <w:rsid w:val="00CA368F"/>
    <w:rsid w:val="00CA3766"/>
    <w:rsid w:val="00CA37BC"/>
    <w:rsid w:val="00CA37DC"/>
    <w:rsid w:val="00CA3853"/>
    <w:rsid w:val="00CA38E9"/>
    <w:rsid w:val="00CA38F2"/>
    <w:rsid w:val="00CA3A16"/>
    <w:rsid w:val="00CA3BE1"/>
    <w:rsid w:val="00CA3D97"/>
    <w:rsid w:val="00CA3DA0"/>
    <w:rsid w:val="00CA3E97"/>
    <w:rsid w:val="00CA4411"/>
    <w:rsid w:val="00CA4619"/>
    <w:rsid w:val="00CA4647"/>
    <w:rsid w:val="00CA469C"/>
    <w:rsid w:val="00CA46F9"/>
    <w:rsid w:val="00CA473F"/>
    <w:rsid w:val="00CA4766"/>
    <w:rsid w:val="00CA48B5"/>
    <w:rsid w:val="00CA48F5"/>
    <w:rsid w:val="00CA493B"/>
    <w:rsid w:val="00CA4A1C"/>
    <w:rsid w:val="00CA4BAC"/>
    <w:rsid w:val="00CA4C2E"/>
    <w:rsid w:val="00CA4EFB"/>
    <w:rsid w:val="00CA5176"/>
    <w:rsid w:val="00CA51CF"/>
    <w:rsid w:val="00CA51E7"/>
    <w:rsid w:val="00CA521E"/>
    <w:rsid w:val="00CA53BC"/>
    <w:rsid w:val="00CA542E"/>
    <w:rsid w:val="00CA55E6"/>
    <w:rsid w:val="00CA5725"/>
    <w:rsid w:val="00CA5956"/>
    <w:rsid w:val="00CA5A92"/>
    <w:rsid w:val="00CA5AB0"/>
    <w:rsid w:val="00CA5B12"/>
    <w:rsid w:val="00CA614C"/>
    <w:rsid w:val="00CA618F"/>
    <w:rsid w:val="00CA61D8"/>
    <w:rsid w:val="00CA637E"/>
    <w:rsid w:val="00CA641C"/>
    <w:rsid w:val="00CA650C"/>
    <w:rsid w:val="00CA6611"/>
    <w:rsid w:val="00CA675E"/>
    <w:rsid w:val="00CA678C"/>
    <w:rsid w:val="00CA6797"/>
    <w:rsid w:val="00CA6803"/>
    <w:rsid w:val="00CA6947"/>
    <w:rsid w:val="00CA6AB6"/>
    <w:rsid w:val="00CA6AE6"/>
    <w:rsid w:val="00CA6B28"/>
    <w:rsid w:val="00CA6B63"/>
    <w:rsid w:val="00CA6BD2"/>
    <w:rsid w:val="00CA6BF9"/>
    <w:rsid w:val="00CA6EA3"/>
    <w:rsid w:val="00CA6F0F"/>
    <w:rsid w:val="00CA7126"/>
    <w:rsid w:val="00CA7189"/>
    <w:rsid w:val="00CA72FA"/>
    <w:rsid w:val="00CA73B5"/>
    <w:rsid w:val="00CA741B"/>
    <w:rsid w:val="00CA763C"/>
    <w:rsid w:val="00CA771B"/>
    <w:rsid w:val="00CA7722"/>
    <w:rsid w:val="00CA774E"/>
    <w:rsid w:val="00CA77D9"/>
    <w:rsid w:val="00CA782F"/>
    <w:rsid w:val="00CA7923"/>
    <w:rsid w:val="00CA79F3"/>
    <w:rsid w:val="00CA7A41"/>
    <w:rsid w:val="00CA7B26"/>
    <w:rsid w:val="00CA7B4D"/>
    <w:rsid w:val="00CA7C04"/>
    <w:rsid w:val="00CA7C33"/>
    <w:rsid w:val="00CA7D43"/>
    <w:rsid w:val="00CA7E10"/>
    <w:rsid w:val="00CA7E17"/>
    <w:rsid w:val="00CA7F0B"/>
    <w:rsid w:val="00CA7F62"/>
    <w:rsid w:val="00CB00D1"/>
    <w:rsid w:val="00CB0235"/>
    <w:rsid w:val="00CB02A9"/>
    <w:rsid w:val="00CB02AC"/>
    <w:rsid w:val="00CB0343"/>
    <w:rsid w:val="00CB039E"/>
    <w:rsid w:val="00CB03C4"/>
    <w:rsid w:val="00CB05A7"/>
    <w:rsid w:val="00CB06AB"/>
    <w:rsid w:val="00CB06B4"/>
    <w:rsid w:val="00CB087A"/>
    <w:rsid w:val="00CB08AC"/>
    <w:rsid w:val="00CB08E0"/>
    <w:rsid w:val="00CB094C"/>
    <w:rsid w:val="00CB09EE"/>
    <w:rsid w:val="00CB0B05"/>
    <w:rsid w:val="00CB0B50"/>
    <w:rsid w:val="00CB0C75"/>
    <w:rsid w:val="00CB0DFC"/>
    <w:rsid w:val="00CB100A"/>
    <w:rsid w:val="00CB10AB"/>
    <w:rsid w:val="00CB12AC"/>
    <w:rsid w:val="00CB139A"/>
    <w:rsid w:val="00CB14BB"/>
    <w:rsid w:val="00CB14FE"/>
    <w:rsid w:val="00CB1566"/>
    <w:rsid w:val="00CB15BD"/>
    <w:rsid w:val="00CB15CA"/>
    <w:rsid w:val="00CB16E6"/>
    <w:rsid w:val="00CB1741"/>
    <w:rsid w:val="00CB1821"/>
    <w:rsid w:val="00CB187B"/>
    <w:rsid w:val="00CB1A97"/>
    <w:rsid w:val="00CB1AD5"/>
    <w:rsid w:val="00CB1D0A"/>
    <w:rsid w:val="00CB1D2A"/>
    <w:rsid w:val="00CB1FE8"/>
    <w:rsid w:val="00CB209A"/>
    <w:rsid w:val="00CB21F6"/>
    <w:rsid w:val="00CB21FA"/>
    <w:rsid w:val="00CB22FD"/>
    <w:rsid w:val="00CB23EA"/>
    <w:rsid w:val="00CB253F"/>
    <w:rsid w:val="00CB257D"/>
    <w:rsid w:val="00CB2662"/>
    <w:rsid w:val="00CB27A6"/>
    <w:rsid w:val="00CB27C7"/>
    <w:rsid w:val="00CB2835"/>
    <w:rsid w:val="00CB2944"/>
    <w:rsid w:val="00CB2A2C"/>
    <w:rsid w:val="00CB2A3A"/>
    <w:rsid w:val="00CB2A88"/>
    <w:rsid w:val="00CB2A92"/>
    <w:rsid w:val="00CB2B37"/>
    <w:rsid w:val="00CB2BBE"/>
    <w:rsid w:val="00CB2DFA"/>
    <w:rsid w:val="00CB3249"/>
    <w:rsid w:val="00CB3285"/>
    <w:rsid w:val="00CB3500"/>
    <w:rsid w:val="00CB3662"/>
    <w:rsid w:val="00CB3692"/>
    <w:rsid w:val="00CB389F"/>
    <w:rsid w:val="00CB3A25"/>
    <w:rsid w:val="00CB3A46"/>
    <w:rsid w:val="00CB3AC1"/>
    <w:rsid w:val="00CB3E05"/>
    <w:rsid w:val="00CB3FB2"/>
    <w:rsid w:val="00CB3FE2"/>
    <w:rsid w:val="00CB401F"/>
    <w:rsid w:val="00CB41C0"/>
    <w:rsid w:val="00CB41F9"/>
    <w:rsid w:val="00CB420E"/>
    <w:rsid w:val="00CB43F2"/>
    <w:rsid w:val="00CB4478"/>
    <w:rsid w:val="00CB4500"/>
    <w:rsid w:val="00CB45AD"/>
    <w:rsid w:val="00CB4682"/>
    <w:rsid w:val="00CB4792"/>
    <w:rsid w:val="00CB48C8"/>
    <w:rsid w:val="00CB4910"/>
    <w:rsid w:val="00CB4979"/>
    <w:rsid w:val="00CB4A11"/>
    <w:rsid w:val="00CB4AC8"/>
    <w:rsid w:val="00CB4B4C"/>
    <w:rsid w:val="00CB4B56"/>
    <w:rsid w:val="00CB4C0B"/>
    <w:rsid w:val="00CB4C55"/>
    <w:rsid w:val="00CB4CF2"/>
    <w:rsid w:val="00CB4D2D"/>
    <w:rsid w:val="00CB4D42"/>
    <w:rsid w:val="00CB4DCB"/>
    <w:rsid w:val="00CB4F79"/>
    <w:rsid w:val="00CB525F"/>
    <w:rsid w:val="00CB53CF"/>
    <w:rsid w:val="00CB5466"/>
    <w:rsid w:val="00CB55BB"/>
    <w:rsid w:val="00CB5750"/>
    <w:rsid w:val="00CB5896"/>
    <w:rsid w:val="00CB5A5E"/>
    <w:rsid w:val="00CB5B5E"/>
    <w:rsid w:val="00CB5E16"/>
    <w:rsid w:val="00CB5EA2"/>
    <w:rsid w:val="00CB5EB0"/>
    <w:rsid w:val="00CB6038"/>
    <w:rsid w:val="00CB61D9"/>
    <w:rsid w:val="00CB628A"/>
    <w:rsid w:val="00CB63A9"/>
    <w:rsid w:val="00CB63DA"/>
    <w:rsid w:val="00CB64B6"/>
    <w:rsid w:val="00CB65DD"/>
    <w:rsid w:val="00CB6649"/>
    <w:rsid w:val="00CB679B"/>
    <w:rsid w:val="00CB67D9"/>
    <w:rsid w:val="00CB683A"/>
    <w:rsid w:val="00CB68C2"/>
    <w:rsid w:val="00CB68C5"/>
    <w:rsid w:val="00CB6912"/>
    <w:rsid w:val="00CB6B0B"/>
    <w:rsid w:val="00CB6B25"/>
    <w:rsid w:val="00CB6D7D"/>
    <w:rsid w:val="00CB6F11"/>
    <w:rsid w:val="00CB6F41"/>
    <w:rsid w:val="00CB7082"/>
    <w:rsid w:val="00CB71A5"/>
    <w:rsid w:val="00CB7478"/>
    <w:rsid w:val="00CB7530"/>
    <w:rsid w:val="00CB759A"/>
    <w:rsid w:val="00CB7696"/>
    <w:rsid w:val="00CB76FB"/>
    <w:rsid w:val="00CB771E"/>
    <w:rsid w:val="00CB77FF"/>
    <w:rsid w:val="00CB7836"/>
    <w:rsid w:val="00CB7A28"/>
    <w:rsid w:val="00CB7B55"/>
    <w:rsid w:val="00CB7F45"/>
    <w:rsid w:val="00CC001B"/>
    <w:rsid w:val="00CC0138"/>
    <w:rsid w:val="00CC0379"/>
    <w:rsid w:val="00CC046A"/>
    <w:rsid w:val="00CC06B8"/>
    <w:rsid w:val="00CC095E"/>
    <w:rsid w:val="00CC0A40"/>
    <w:rsid w:val="00CC0AF7"/>
    <w:rsid w:val="00CC0C72"/>
    <w:rsid w:val="00CC0D4B"/>
    <w:rsid w:val="00CC0DD6"/>
    <w:rsid w:val="00CC0E01"/>
    <w:rsid w:val="00CC0F72"/>
    <w:rsid w:val="00CC0FCD"/>
    <w:rsid w:val="00CC107F"/>
    <w:rsid w:val="00CC109A"/>
    <w:rsid w:val="00CC10AB"/>
    <w:rsid w:val="00CC110B"/>
    <w:rsid w:val="00CC111A"/>
    <w:rsid w:val="00CC11CB"/>
    <w:rsid w:val="00CC1269"/>
    <w:rsid w:val="00CC13B7"/>
    <w:rsid w:val="00CC149C"/>
    <w:rsid w:val="00CC14DC"/>
    <w:rsid w:val="00CC1518"/>
    <w:rsid w:val="00CC1647"/>
    <w:rsid w:val="00CC1689"/>
    <w:rsid w:val="00CC17B6"/>
    <w:rsid w:val="00CC1A45"/>
    <w:rsid w:val="00CC1BB0"/>
    <w:rsid w:val="00CC1BF5"/>
    <w:rsid w:val="00CC1CB1"/>
    <w:rsid w:val="00CC1E61"/>
    <w:rsid w:val="00CC1EB7"/>
    <w:rsid w:val="00CC1FDF"/>
    <w:rsid w:val="00CC200D"/>
    <w:rsid w:val="00CC20C6"/>
    <w:rsid w:val="00CC248A"/>
    <w:rsid w:val="00CC261D"/>
    <w:rsid w:val="00CC2731"/>
    <w:rsid w:val="00CC28F8"/>
    <w:rsid w:val="00CC295F"/>
    <w:rsid w:val="00CC2A57"/>
    <w:rsid w:val="00CC2AC2"/>
    <w:rsid w:val="00CC2BD2"/>
    <w:rsid w:val="00CC2BFD"/>
    <w:rsid w:val="00CC2C57"/>
    <w:rsid w:val="00CC2C5B"/>
    <w:rsid w:val="00CC3109"/>
    <w:rsid w:val="00CC32EA"/>
    <w:rsid w:val="00CC33A3"/>
    <w:rsid w:val="00CC3547"/>
    <w:rsid w:val="00CC364A"/>
    <w:rsid w:val="00CC3665"/>
    <w:rsid w:val="00CC3670"/>
    <w:rsid w:val="00CC3696"/>
    <w:rsid w:val="00CC3879"/>
    <w:rsid w:val="00CC3BB0"/>
    <w:rsid w:val="00CC3E51"/>
    <w:rsid w:val="00CC3F7A"/>
    <w:rsid w:val="00CC4064"/>
    <w:rsid w:val="00CC406E"/>
    <w:rsid w:val="00CC412A"/>
    <w:rsid w:val="00CC434A"/>
    <w:rsid w:val="00CC4437"/>
    <w:rsid w:val="00CC444A"/>
    <w:rsid w:val="00CC452B"/>
    <w:rsid w:val="00CC453D"/>
    <w:rsid w:val="00CC4556"/>
    <w:rsid w:val="00CC4645"/>
    <w:rsid w:val="00CC4659"/>
    <w:rsid w:val="00CC4804"/>
    <w:rsid w:val="00CC492A"/>
    <w:rsid w:val="00CC4964"/>
    <w:rsid w:val="00CC4A01"/>
    <w:rsid w:val="00CC4B8F"/>
    <w:rsid w:val="00CC4B95"/>
    <w:rsid w:val="00CC4D39"/>
    <w:rsid w:val="00CC5009"/>
    <w:rsid w:val="00CC50B9"/>
    <w:rsid w:val="00CC51E4"/>
    <w:rsid w:val="00CC51FE"/>
    <w:rsid w:val="00CC5366"/>
    <w:rsid w:val="00CC5435"/>
    <w:rsid w:val="00CC54B6"/>
    <w:rsid w:val="00CC54F3"/>
    <w:rsid w:val="00CC5514"/>
    <w:rsid w:val="00CC5782"/>
    <w:rsid w:val="00CC57D0"/>
    <w:rsid w:val="00CC580A"/>
    <w:rsid w:val="00CC5854"/>
    <w:rsid w:val="00CC585B"/>
    <w:rsid w:val="00CC5884"/>
    <w:rsid w:val="00CC592C"/>
    <w:rsid w:val="00CC59D9"/>
    <w:rsid w:val="00CC5A3E"/>
    <w:rsid w:val="00CC5A64"/>
    <w:rsid w:val="00CC5D0B"/>
    <w:rsid w:val="00CC5E65"/>
    <w:rsid w:val="00CC5F16"/>
    <w:rsid w:val="00CC5FD9"/>
    <w:rsid w:val="00CC6028"/>
    <w:rsid w:val="00CC60CA"/>
    <w:rsid w:val="00CC6107"/>
    <w:rsid w:val="00CC616F"/>
    <w:rsid w:val="00CC6174"/>
    <w:rsid w:val="00CC61E6"/>
    <w:rsid w:val="00CC63E7"/>
    <w:rsid w:val="00CC64AE"/>
    <w:rsid w:val="00CC66C9"/>
    <w:rsid w:val="00CC66E9"/>
    <w:rsid w:val="00CC67D0"/>
    <w:rsid w:val="00CC6860"/>
    <w:rsid w:val="00CC69F9"/>
    <w:rsid w:val="00CC6B71"/>
    <w:rsid w:val="00CC6BE6"/>
    <w:rsid w:val="00CC6E3C"/>
    <w:rsid w:val="00CC6F40"/>
    <w:rsid w:val="00CC6F95"/>
    <w:rsid w:val="00CC710F"/>
    <w:rsid w:val="00CC7339"/>
    <w:rsid w:val="00CC7344"/>
    <w:rsid w:val="00CC7402"/>
    <w:rsid w:val="00CC7448"/>
    <w:rsid w:val="00CC7495"/>
    <w:rsid w:val="00CC757E"/>
    <w:rsid w:val="00CC75E5"/>
    <w:rsid w:val="00CC766A"/>
    <w:rsid w:val="00CC7936"/>
    <w:rsid w:val="00CC79E2"/>
    <w:rsid w:val="00CC79EA"/>
    <w:rsid w:val="00CC7B1D"/>
    <w:rsid w:val="00CC7BC1"/>
    <w:rsid w:val="00CC7C6F"/>
    <w:rsid w:val="00CC7DA1"/>
    <w:rsid w:val="00CC7DFA"/>
    <w:rsid w:val="00CC7EC6"/>
    <w:rsid w:val="00CC7FCA"/>
    <w:rsid w:val="00CC7FF7"/>
    <w:rsid w:val="00CD0071"/>
    <w:rsid w:val="00CD016F"/>
    <w:rsid w:val="00CD030A"/>
    <w:rsid w:val="00CD0341"/>
    <w:rsid w:val="00CD039A"/>
    <w:rsid w:val="00CD0415"/>
    <w:rsid w:val="00CD0521"/>
    <w:rsid w:val="00CD0556"/>
    <w:rsid w:val="00CD0589"/>
    <w:rsid w:val="00CD0623"/>
    <w:rsid w:val="00CD0701"/>
    <w:rsid w:val="00CD0729"/>
    <w:rsid w:val="00CD0860"/>
    <w:rsid w:val="00CD0A17"/>
    <w:rsid w:val="00CD0A9F"/>
    <w:rsid w:val="00CD0AA3"/>
    <w:rsid w:val="00CD0AF5"/>
    <w:rsid w:val="00CD0D1A"/>
    <w:rsid w:val="00CD0DEA"/>
    <w:rsid w:val="00CD0E79"/>
    <w:rsid w:val="00CD10F1"/>
    <w:rsid w:val="00CD112E"/>
    <w:rsid w:val="00CD131C"/>
    <w:rsid w:val="00CD1556"/>
    <w:rsid w:val="00CD1626"/>
    <w:rsid w:val="00CD170F"/>
    <w:rsid w:val="00CD1727"/>
    <w:rsid w:val="00CD1790"/>
    <w:rsid w:val="00CD1A46"/>
    <w:rsid w:val="00CD1C46"/>
    <w:rsid w:val="00CD1E3D"/>
    <w:rsid w:val="00CD1E71"/>
    <w:rsid w:val="00CD1EAB"/>
    <w:rsid w:val="00CD1EC8"/>
    <w:rsid w:val="00CD1F56"/>
    <w:rsid w:val="00CD2002"/>
    <w:rsid w:val="00CD22D0"/>
    <w:rsid w:val="00CD23A7"/>
    <w:rsid w:val="00CD23E1"/>
    <w:rsid w:val="00CD24F6"/>
    <w:rsid w:val="00CD280B"/>
    <w:rsid w:val="00CD288E"/>
    <w:rsid w:val="00CD294B"/>
    <w:rsid w:val="00CD2A08"/>
    <w:rsid w:val="00CD2A60"/>
    <w:rsid w:val="00CD2AB6"/>
    <w:rsid w:val="00CD2BA0"/>
    <w:rsid w:val="00CD2D59"/>
    <w:rsid w:val="00CD2E6E"/>
    <w:rsid w:val="00CD30A8"/>
    <w:rsid w:val="00CD310C"/>
    <w:rsid w:val="00CD31F2"/>
    <w:rsid w:val="00CD31F6"/>
    <w:rsid w:val="00CD32B8"/>
    <w:rsid w:val="00CD3376"/>
    <w:rsid w:val="00CD3476"/>
    <w:rsid w:val="00CD3510"/>
    <w:rsid w:val="00CD36A3"/>
    <w:rsid w:val="00CD3702"/>
    <w:rsid w:val="00CD3862"/>
    <w:rsid w:val="00CD3927"/>
    <w:rsid w:val="00CD3AF0"/>
    <w:rsid w:val="00CD3AF7"/>
    <w:rsid w:val="00CD3C03"/>
    <w:rsid w:val="00CD3CC3"/>
    <w:rsid w:val="00CD3DD0"/>
    <w:rsid w:val="00CD3F36"/>
    <w:rsid w:val="00CD3FBD"/>
    <w:rsid w:val="00CD4080"/>
    <w:rsid w:val="00CD4122"/>
    <w:rsid w:val="00CD418A"/>
    <w:rsid w:val="00CD42CE"/>
    <w:rsid w:val="00CD438A"/>
    <w:rsid w:val="00CD439B"/>
    <w:rsid w:val="00CD45C6"/>
    <w:rsid w:val="00CD45FF"/>
    <w:rsid w:val="00CD4689"/>
    <w:rsid w:val="00CD4726"/>
    <w:rsid w:val="00CD482E"/>
    <w:rsid w:val="00CD4C49"/>
    <w:rsid w:val="00CD4CE7"/>
    <w:rsid w:val="00CD4DB9"/>
    <w:rsid w:val="00CD4F71"/>
    <w:rsid w:val="00CD5045"/>
    <w:rsid w:val="00CD5123"/>
    <w:rsid w:val="00CD5142"/>
    <w:rsid w:val="00CD51D1"/>
    <w:rsid w:val="00CD5277"/>
    <w:rsid w:val="00CD52D6"/>
    <w:rsid w:val="00CD5341"/>
    <w:rsid w:val="00CD5596"/>
    <w:rsid w:val="00CD563B"/>
    <w:rsid w:val="00CD581A"/>
    <w:rsid w:val="00CD582D"/>
    <w:rsid w:val="00CD5884"/>
    <w:rsid w:val="00CD58E0"/>
    <w:rsid w:val="00CD59B4"/>
    <w:rsid w:val="00CD5A03"/>
    <w:rsid w:val="00CD5BA3"/>
    <w:rsid w:val="00CD5C12"/>
    <w:rsid w:val="00CD5CCC"/>
    <w:rsid w:val="00CD5F5C"/>
    <w:rsid w:val="00CD6325"/>
    <w:rsid w:val="00CD637E"/>
    <w:rsid w:val="00CD640F"/>
    <w:rsid w:val="00CD64DF"/>
    <w:rsid w:val="00CD6532"/>
    <w:rsid w:val="00CD6572"/>
    <w:rsid w:val="00CD6673"/>
    <w:rsid w:val="00CD697F"/>
    <w:rsid w:val="00CD69CB"/>
    <w:rsid w:val="00CD6A0E"/>
    <w:rsid w:val="00CD6A1E"/>
    <w:rsid w:val="00CD6AB3"/>
    <w:rsid w:val="00CD6B0F"/>
    <w:rsid w:val="00CD6B49"/>
    <w:rsid w:val="00CD6B8D"/>
    <w:rsid w:val="00CD6CA0"/>
    <w:rsid w:val="00CD6D2F"/>
    <w:rsid w:val="00CD6F25"/>
    <w:rsid w:val="00CD6F33"/>
    <w:rsid w:val="00CD6F72"/>
    <w:rsid w:val="00CD6FA2"/>
    <w:rsid w:val="00CD6FF9"/>
    <w:rsid w:val="00CD7009"/>
    <w:rsid w:val="00CD70C3"/>
    <w:rsid w:val="00CD7116"/>
    <w:rsid w:val="00CD7276"/>
    <w:rsid w:val="00CD75CB"/>
    <w:rsid w:val="00CD7780"/>
    <w:rsid w:val="00CD79F0"/>
    <w:rsid w:val="00CD7A99"/>
    <w:rsid w:val="00CD7AAD"/>
    <w:rsid w:val="00CD7C8E"/>
    <w:rsid w:val="00CD7CA3"/>
    <w:rsid w:val="00CD7CBA"/>
    <w:rsid w:val="00CD7DF7"/>
    <w:rsid w:val="00CD7F5E"/>
    <w:rsid w:val="00CE025D"/>
    <w:rsid w:val="00CE0355"/>
    <w:rsid w:val="00CE035E"/>
    <w:rsid w:val="00CE0404"/>
    <w:rsid w:val="00CE06B9"/>
    <w:rsid w:val="00CE06D5"/>
    <w:rsid w:val="00CE071B"/>
    <w:rsid w:val="00CE0B12"/>
    <w:rsid w:val="00CE0B98"/>
    <w:rsid w:val="00CE0DC0"/>
    <w:rsid w:val="00CE0DF9"/>
    <w:rsid w:val="00CE0EC8"/>
    <w:rsid w:val="00CE105E"/>
    <w:rsid w:val="00CE10E1"/>
    <w:rsid w:val="00CE10FA"/>
    <w:rsid w:val="00CE11C9"/>
    <w:rsid w:val="00CE123A"/>
    <w:rsid w:val="00CE1252"/>
    <w:rsid w:val="00CE1269"/>
    <w:rsid w:val="00CE1392"/>
    <w:rsid w:val="00CE13C2"/>
    <w:rsid w:val="00CE1445"/>
    <w:rsid w:val="00CE156F"/>
    <w:rsid w:val="00CE18C8"/>
    <w:rsid w:val="00CE19A0"/>
    <w:rsid w:val="00CE1AEE"/>
    <w:rsid w:val="00CE1EF2"/>
    <w:rsid w:val="00CE20A1"/>
    <w:rsid w:val="00CE20D2"/>
    <w:rsid w:val="00CE21C9"/>
    <w:rsid w:val="00CE2213"/>
    <w:rsid w:val="00CE225F"/>
    <w:rsid w:val="00CE22CA"/>
    <w:rsid w:val="00CE2344"/>
    <w:rsid w:val="00CE2382"/>
    <w:rsid w:val="00CE23DA"/>
    <w:rsid w:val="00CE2427"/>
    <w:rsid w:val="00CE26D8"/>
    <w:rsid w:val="00CE276A"/>
    <w:rsid w:val="00CE2785"/>
    <w:rsid w:val="00CE285D"/>
    <w:rsid w:val="00CE2901"/>
    <w:rsid w:val="00CE29B3"/>
    <w:rsid w:val="00CE2A85"/>
    <w:rsid w:val="00CE2B86"/>
    <w:rsid w:val="00CE2CCD"/>
    <w:rsid w:val="00CE2EDD"/>
    <w:rsid w:val="00CE3097"/>
    <w:rsid w:val="00CE3165"/>
    <w:rsid w:val="00CE32FD"/>
    <w:rsid w:val="00CE32FE"/>
    <w:rsid w:val="00CE3341"/>
    <w:rsid w:val="00CE35EB"/>
    <w:rsid w:val="00CE3847"/>
    <w:rsid w:val="00CE387E"/>
    <w:rsid w:val="00CE3894"/>
    <w:rsid w:val="00CE38C7"/>
    <w:rsid w:val="00CE38E3"/>
    <w:rsid w:val="00CE3958"/>
    <w:rsid w:val="00CE3B3E"/>
    <w:rsid w:val="00CE3BBA"/>
    <w:rsid w:val="00CE3BE3"/>
    <w:rsid w:val="00CE3D23"/>
    <w:rsid w:val="00CE3D46"/>
    <w:rsid w:val="00CE3E4B"/>
    <w:rsid w:val="00CE3E8E"/>
    <w:rsid w:val="00CE3EDA"/>
    <w:rsid w:val="00CE3EDE"/>
    <w:rsid w:val="00CE3F09"/>
    <w:rsid w:val="00CE3FE2"/>
    <w:rsid w:val="00CE4083"/>
    <w:rsid w:val="00CE40AA"/>
    <w:rsid w:val="00CE41BD"/>
    <w:rsid w:val="00CE445E"/>
    <w:rsid w:val="00CE446B"/>
    <w:rsid w:val="00CE44AF"/>
    <w:rsid w:val="00CE4515"/>
    <w:rsid w:val="00CE460C"/>
    <w:rsid w:val="00CE478F"/>
    <w:rsid w:val="00CE4870"/>
    <w:rsid w:val="00CE494C"/>
    <w:rsid w:val="00CE4BC3"/>
    <w:rsid w:val="00CE4E15"/>
    <w:rsid w:val="00CE4EEE"/>
    <w:rsid w:val="00CE4F4D"/>
    <w:rsid w:val="00CE4F7A"/>
    <w:rsid w:val="00CE5087"/>
    <w:rsid w:val="00CE51B7"/>
    <w:rsid w:val="00CE51D4"/>
    <w:rsid w:val="00CE5204"/>
    <w:rsid w:val="00CE5296"/>
    <w:rsid w:val="00CE5356"/>
    <w:rsid w:val="00CE5371"/>
    <w:rsid w:val="00CE53D7"/>
    <w:rsid w:val="00CE5537"/>
    <w:rsid w:val="00CE559A"/>
    <w:rsid w:val="00CE5874"/>
    <w:rsid w:val="00CE588D"/>
    <w:rsid w:val="00CE5A41"/>
    <w:rsid w:val="00CE5A7A"/>
    <w:rsid w:val="00CE5BFB"/>
    <w:rsid w:val="00CE5C47"/>
    <w:rsid w:val="00CE5CA4"/>
    <w:rsid w:val="00CE5CFB"/>
    <w:rsid w:val="00CE5E2B"/>
    <w:rsid w:val="00CE5F64"/>
    <w:rsid w:val="00CE606E"/>
    <w:rsid w:val="00CE62F3"/>
    <w:rsid w:val="00CE6376"/>
    <w:rsid w:val="00CE63B4"/>
    <w:rsid w:val="00CE65B2"/>
    <w:rsid w:val="00CE65F1"/>
    <w:rsid w:val="00CE681F"/>
    <w:rsid w:val="00CE68BD"/>
    <w:rsid w:val="00CE6E3F"/>
    <w:rsid w:val="00CE7100"/>
    <w:rsid w:val="00CE73A1"/>
    <w:rsid w:val="00CE742A"/>
    <w:rsid w:val="00CE7564"/>
    <w:rsid w:val="00CE75FB"/>
    <w:rsid w:val="00CE76DF"/>
    <w:rsid w:val="00CE7701"/>
    <w:rsid w:val="00CE770D"/>
    <w:rsid w:val="00CE7878"/>
    <w:rsid w:val="00CE78C7"/>
    <w:rsid w:val="00CE7C41"/>
    <w:rsid w:val="00CE7CAA"/>
    <w:rsid w:val="00CE7D60"/>
    <w:rsid w:val="00CE7E32"/>
    <w:rsid w:val="00CE7E4E"/>
    <w:rsid w:val="00CE7E94"/>
    <w:rsid w:val="00CE7E9F"/>
    <w:rsid w:val="00CE7EAD"/>
    <w:rsid w:val="00CE7EB4"/>
    <w:rsid w:val="00CE7F0C"/>
    <w:rsid w:val="00CF0043"/>
    <w:rsid w:val="00CF0098"/>
    <w:rsid w:val="00CF00F8"/>
    <w:rsid w:val="00CF01BC"/>
    <w:rsid w:val="00CF0417"/>
    <w:rsid w:val="00CF0623"/>
    <w:rsid w:val="00CF06CA"/>
    <w:rsid w:val="00CF0725"/>
    <w:rsid w:val="00CF0766"/>
    <w:rsid w:val="00CF09B2"/>
    <w:rsid w:val="00CF0A72"/>
    <w:rsid w:val="00CF0DC2"/>
    <w:rsid w:val="00CF0FB3"/>
    <w:rsid w:val="00CF100E"/>
    <w:rsid w:val="00CF10EA"/>
    <w:rsid w:val="00CF11C2"/>
    <w:rsid w:val="00CF126C"/>
    <w:rsid w:val="00CF1343"/>
    <w:rsid w:val="00CF1583"/>
    <w:rsid w:val="00CF1710"/>
    <w:rsid w:val="00CF182C"/>
    <w:rsid w:val="00CF1849"/>
    <w:rsid w:val="00CF184A"/>
    <w:rsid w:val="00CF18F1"/>
    <w:rsid w:val="00CF19EC"/>
    <w:rsid w:val="00CF1A6F"/>
    <w:rsid w:val="00CF1AF4"/>
    <w:rsid w:val="00CF1B90"/>
    <w:rsid w:val="00CF1BC1"/>
    <w:rsid w:val="00CF1BDC"/>
    <w:rsid w:val="00CF1D6D"/>
    <w:rsid w:val="00CF1DC7"/>
    <w:rsid w:val="00CF1E90"/>
    <w:rsid w:val="00CF1F79"/>
    <w:rsid w:val="00CF1F88"/>
    <w:rsid w:val="00CF1F8B"/>
    <w:rsid w:val="00CF2088"/>
    <w:rsid w:val="00CF21B1"/>
    <w:rsid w:val="00CF2211"/>
    <w:rsid w:val="00CF22D8"/>
    <w:rsid w:val="00CF2351"/>
    <w:rsid w:val="00CF23C0"/>
    <w:rsid w:val="00CF24E9"/>
    <w:rsid w:val="00CF24EB"/>
    <w:rsid w:val="00CF25C2"/>
    <w:rsid w:val="00CF27A6"/>
    <w:rsid w:val="00CF27DD"/>
    <w:rsid w:val="00CF2837"/>
    <w:rsid w:val="00CF2B61"/>
    <w:rsid w:val="00CF2CEC"/>
    <w:rsid w:val="00CF2D30"/>
    <w:rsid w:val="00CF2E6B"/>
    <w:rsid w:val="00CF2E9B"/>
    <w:rsid w:val="00CF2EB4"/>
    <w:rsid w:val="00CF2EBF"/>
    <w:rsid w:val="00CF2F50"/>
    <w:rsid w:val="00CF30AE"/>
    <w:rsid w:val="00CF3183"/>
    <w:rsid w:val="00CF3194"/>
    <w:rsid w:val="00CF31F9"/>
    <w:rsid w:val="00CF324E"/>
    <w:rsid w:val="00CF330F"/>
    <w:rsid w:val="00CF3383"/>
    <w:rsid w:val="00CF351A"/>
    <w:rsid w:val="00CF3528"/>
    <w:rsid w:val="00CF354A"/>
    <w:rsid w:val="00CF365D"/>
    <w:rsid w:val="00CF36BB"/>
    <w:rsid w:val="00CF373C"/>
    <w:rsid w:val="00CF39D2"/>
    <w:rsid w:val="00CF3A42"/>
    <w:rsid w:val="00CF3C30"/>
    <w:rsid w:val="00CF3CE6"/>
    <w:rsid w:val="00CF3D3C"/>
    <w:rsid w:val="00CF3FA9"/>
    <w:rsid w:val="00CF3FB3"/>
    <w:rsid w:val="00CF4075"/>
    <w:rsid w:val="00CF4168"/>
    <w:rsid w:val="00CF4252"/>
    <w:rsid w:val="00CF42FA"/>
    <w:rsid w:val="00CF4425"/>
    <w:rsid w:val="00CF453F"/>
    <w:rsid w:val="00CF4911"/>
    <w:rsid w:val="00CF4974"/>
    <w:rsid w:val="00CF49A9"/>
    <w:rsid w:val="00CF49D6"/>
    <w:rsid w:val="00CF4A3B"/>
    <w:rsid w:val="00CF4A4E"/>
    <w:rsid w:val="00CF4A53"/>
    <w:rsid w:val="00CF4CD6"/>
    <w:rsid w:val="00CF4E72"/>
    <w:rsid w:val="00CF51FF"/>
    <w:rsid w:val="00CF5256"/>
    <w:rsid w:val="00CF53D5"/>
    <w:rsid w:val="00CF543A"/>
    <w:rsid w:val="00CF551E"/>
    <w:rsid w:val="00CF5536"/>
    <w:rsid w:val="00CF5730"/>
    <w:rsid w:val="00CF58B6"/>
    <w:rsid w:val="00CF597D"/>
    <w:rsid w:val="00CF5982"/>
    <w:rsid w:val="00CF5C42"/>
    <w:rsid w:val="00CF5C5B"/>
    <w:rsid w:val="00CF5D11"/>
    <w:rsid w:val="00CF5D24"/>
    <w:rsid w:val="00CF5D41"/>
    <w:rsid w:val="00CF5D92"/>
    <w:rsid w:val="00CF6004"/>
    <w:rsid w:val="00CF60DC"/>
    <w:rsid w:val="00CF6106"/>
    <w:rsid w:val="00CF611D"/>
    <w:rsid w:val="00CF6198"/>
    <w:rsid w:val="00CF6278"/>
    <w:rsid w:val="00CF643E"/>
    <w:rsid w:val="00CF665A"/>
    <w:rsid w:val="00CF6696"/>
    <w:rsid w:val="00CF6937"/>
    <w:rsid w:val="00CF695C"/>
    <w:rsid w:val="00CF6C83"/>
    <w:rsid w:val="00CF6D9A"/>
    <w:rsid w:val="00CF6EC1"/>
    <w:rsid w:val="00CF6F0B"/>
    <w:rsid w:val="00CF6FF6"/>
    <w:rsid w:val="00CF7386"/>
    <w:rsid w:val="00CF75B4"/>
    <w:rsid w:val="00CF75CB"/>
    <w:rsid w:val="00CF7604"/>
    <w:rsid w:val="00CF7611"/>
    <w:rsid w:val="00CF769C"/>
    <w:rsid w:val="00CF774A"/>
    <w:rsid w:val="00CF77FE"/>
    <w:rsid w:val="00CF786F"/>
    <w:rsid w:val="00CF78C3"/>
    <w:rsid w:val="00CF79B1"/>
    <w:rsid w:val="00CF7B10"/>
    <w:rsid w:val="00CF7D54"/>
    <w:rsid w:val="00CF7E35"/>
    <w:rsid w:val="00CF7E61"/>
    <w:rsid w:val="00CF7E71"/>
    <w:rsid w:val="00CF7FC3"/>
    <w:rsid w:val="00D000B9"/>
    <w:rsid w:val="00D00252"/>
    <w:rsid w:val="00D0027C"/>
    <w:rsid w:val="00D002D5"/>
    <w:rsid w:val="00D0033D"/>
    <w:rsid w:val="00D007EA"/>
    <w:rsid w:val="00D008B3"/>
    <w:rsid w:val="00D0092F"/>
    <w:rsid w:val="00D00AA6"/>
    <w:rsid w:val="00D00CD9"/>
    <w:rsid w:val="00D00D39"/>
    <w:rsid w:val="00D00DA8"/>
    <w:rsid w:val="00D00F9C"/>
    <w:rsid w:val="00D01069"/>
    <w:rsid w:val="00D010B3"/>
    <w:rsid w:val="00D0112E"/>
    <w:rsid w:val="00D011E7"/>
    <w:rsid w:val="00D01459"/>
    <w:rsid w:val="00D01472"/>
    <w:rsid w:val="00D014ED"/>
    <w:rsid w:val="00D014FE"/>
    <w:rsid w:val="00D01545"/>
    <w:rsid w:val="00D01558"/>
    <w:rsid w:val="00D015DC"/>
    <w:rsid w:val="00D015F4"/>
    <w:rsid w:val="00D01634"/>
    <w:rsid w:val="00D01648"/>
    <w:rsid w:val="00D01659"/>
    <w:rsid w:val="00D0170F"/>
    <w:rsid w:val="00D017E1"/>
    <w:rsid w:val="00D01AD0"/>
    <w:rsid w:val="00D01AE5"/>
    <w:rsid w:val="00D01B72"/>
    <w:rsid w:val="00D01BDE"/>
    <w:rsid w:val="00D01CB2"/>
    <w:rsid w:val="00D01E83"/>
    <w:rsid w:val="00D01EBD"/>
    <w:rsid w:val="00D01F4A"/>
    <w:rsid w:val="00D02003"/>
    <w:rsid w:val="00D02166"/>
    <w:rsid w:val="00D02322"/>
    <w:rsid w:val="00D023CA"/>
    <w:rsid w:val="00D02508"/>
    <w:rsid w:val="00D0255B"/>
    <w:rsid w:val="00D0257F"/>
    <w:rsid w:val="00D02594"/>
    <w:rsid w:val="00D0275A"/>
    <w:rsid w:val="00D02778"/>
    <w:rsid w:val="00D02919"/>
    <w:rsid w:val="00D029FB"/>
    <w:rsid w:val="00D02BDD"/>
    <w:rsid w:val="00D02C26"/>
    <w:rsid w:val="00D02CC3"/>
    <w:rsid w:val="00D02D04"/>
    <w:rsid w:val="00D02D14"/>
    <w:rsid w:val="00D02D46"/>
    <w:rsid w:val="00D02D4A"/>
    <w:rsid w:val="00D02EAF"/>
    <w:rsid w:val="00D02F85"/>
    <w:rsid w:val="00D02FCC"/>
    <w:rsid w:val="00D03057"/>
    <w:rsid w:val="00D03166"/>
    <w:rsid w:val="00D031E7"/>
    <w:rsid w:val="00D03344"/>
    <w:rsid w:val="00D03469"/>
    <w:rsid w:val="00D034A1"/>
    <w:rsid w:val="00D0357C"/>
    <w:rsid w:val="00D0358E"/>
    <w:rsid w:val="00D035B0"/>
    <w:rsid w:val="00D0376F"/>
    <w:rsid w:val="00D037CE"/>
    <w:rsid w:val="00D037DD"/>
    <w:rsid w:val="00D038F0"/>
    <w:rsid w:val="00D03BFA"/>
    <w:rsid w:val="00D03CDF"/>
    <w:rsid w:val="00D03E4B"/>
    <w:rsid w:val="00D03EFE"/>
    <w:rsid w:val="00D03F0A"/>
    <w:rsid w:val="00D03F1A"/>
    <w:rsid w:val="00D04035"/>
    <w:rsid w:val="00D0403D"/>
    <w:rsid w:val="00D04149"/>
    <w:rsid w:val="00D041B3"/>
    <w:rsid w:val="00D041C8"/>
    <w:rsid w:val="00D04262"/>
    <w:rsid w:val="00D042FD"/>
    <w:rsid w:val="00D043BE"/>
    <w:rsid w:val="00D04468"/>
    <w:rsid w:val="00D04682"/>
    <w:rsid w:val="00D046F6"/>
    <w:rsid w:val="00D0488F"/>
    <w:rsid w:val="00D048AF"/>
    <w:rsid w:val="00D04AC3"/>
    <w:rsid w:val="00D04AE3"/>
    <w:rsid w:val="00D04B07"/>
    <w:rsid w:val="00D04B41"/>
    <w:rsid w:val="00D04B9D"/>
    <w:rsid w:val="00D04BE5"/>
    <w:rsid w:val="00D04C61"/>
    <w:rsid w:val="00D04F3F"/>
    <w:rsid w:val="00D0507E"/>
    <w:rsid w:val="00D050F4"/>
    <w:rsid w:val="00D053B1"/>
    <w:rsid w:val="00D05439"/>
    <w:rsid w:val="00D0549C"/>
    <w:rsid w:val="00D05597"/>
    <w:rsid w:val="00D056DC"/>
    <w:rsid w:val="00D05777"/>
    <w:rsid w:val="00D05B30"/>
    <w:rsid w:val="00D05B3C"/>
    <w:rsid w:val="00D05B8D"/>
    <w:rsid w:val="00D05B9B"/>
    <w:rsid w:val="00D05D91"/>
    <w:rsid w:val="00D05DE7"/>
    <w:rsid w:val="00D05E7A"/>
    <w:rsid w:val="00D0612C"/>
    <w:rsid w:val="00D06261"/>
    <w:rsid w:val="00D06296"/>
    <w:rsid w:val="00D06372"/>
    <w:rsid w:val="00D064BD"/>
    <w:rsid w:val="00D064D8"/>
    <w:rsid w:val="00D0657C"/>
    <w:rsid w:val="00D065A2"/>
    <w:rsid w:val="00D0664D"/>
    <w:rsid w:val="00D066B6"/>
    <w:rsid w:val="00D0679C"/>
    <w:rsid w:val="00D067AE"/>
    <w:rsid w:val="00D068EB"/>
    <w:rsid w:val="00D06913"/>
    <w:rsid w:val="00D0693B"/>
    <w:rsid w:val="00D069F9"/>
    <w:rsid w:val="00D069FF"/>
    <w:rsid w:val="00D06A08"/>
    <w:rsid w:val="00D06A55"/>
    <w:rsid w:val="00D06C00"/>
    <w:rsid w:val="00D06CB2"/>
    <w:rsid w:val="00D06CE8"/>
    <w:rsid w:val="00D06D71"/>
    <w:rsid w:val="00D06DF2"/>
    <w:rsid w:val="00D06EA9"/>
    <w:rsid w:val="00D07099"/>
    <w:rsid w:val="00D070E6"/>
    <w:rsid w:val="00D0765D"/>
    <w:rsid w:val="00D076E5"/>
    <w:rsid w:val="00D076EA"/>
    <w:rsid w:val="00D0794D"/>
    <w:rsid w:val="00D079AA"/>
    <w:rsid w:val="00D07A51"/>
    <w:rsid w:val="00D07AF4"/>
    <w:rsid w:val="00D07B97"/>
    <w:rsid w:val="00D07BD8"/>
    <w:rsid w:val="00D07BF6"/>
    <w:rsid w:val="00D07D11"/>
    <w:rsid w:val="00D07D33"/>
    <w:rsid w:val="00D07D73"/>
    <w:rsid w:val="00D07F00"/>
    <w:rsid w:val="00D07F17"/>
    <w:rsid w:val="00D07FBA"/>
    <w:rsid w:val="00D1007D"/>
    <w:rsid w:val="00D101D1"/>
    <w:rsid w:val="00D101D7"/>
    <w:rsid w:val="00D102A3"/>
    <w:rsid w:val="00D104F4"/>
    <w:rsid w:val="00D104F9"/>
    <w:rsid w:val="00D10520"/>
    <w:rsid w:val="00D10800"/>
    <w:rsid w:val="00D109DC"/>
    <w:rsid w:val="00D109E9"/>
    <w:rsid w:val="00D10B5D"/>
    <w:rsid w:val="00D10DD7"/>
    <w:rsid w:val="00D10FC4"/>
    <w:rsid w:val="00D11010"/>
    <w:rsid w:val="00D1130F"/>
    <w:rsid w:val="00D113B2"/>
    <w:rsid w:val="00D11462"/>
    <w:rsid w:val="00D11499"/>
    <w:rsid w:val="00D11985"/>
    <w:rsid w:val="00D11A20"/>
    <w:rsid w:val="00D11ABA"/>
    <w:rsid w:val="00D11BA4"/>
    <w:rsid w:val="00D11BDA"/>
    <w:rsid w:val="00D11BE6"/>
    <w:rsid w:val="00D11CD6"/>
    <w:rsid w:val="00D11CFC"/>
    <w:rsid w:val="00D11E34"/>
    <w:rsid w:val="00D11F9D"/>
    <w:rsid w:val="00D12043"/>
    <w:rsid w:val="00D12083"/>
    <w:rsid w:val="00D12182"/>
    <w:rsid w:val="00D1228A"/>
    <w:rsid w:val="00D122D9"/>
    <w:rsid w:val="00D12332"/>
    <w:rsid w:val="00D12547"/>
    <w:rsid w:val="00D1279D"/>
    <w:rsid w:val="00D12813"/>
    <w:rsid w:val="00D12862"/>
    <w:rsid w:val="00D129F5"/>
    <w:rsid w:val="00D12A5C"/>
    <w:rsid w:val="00D12A80"/>
    <w:rsid w:val="00D12A84"/>
    <w:rsid w:val="00D12B60"/>
    <w:rsid w:val="00D12C28"/>
    <w:rsid w:val="00D12C85"/>
    <w:rsid w:val="00D12D91"/>
    <w:rsid w:val="00D12E33"/>
    <w:rsid w:val="00D12FF5"/>
    <w:rsid w:val="00D130D9"/>
    <w:rsid w:val="00D13152"/>
    <w:rsid w:val="00D1316A"/>
    <w:rsid w:val="00D1326E"/>
    <w:rsid w:val="00D132E0"/>
    <w:rsid w:val="00D1333F"/>
    <w:rsid w:val="00D133C6"/>
    <w:rsid w:val="00D134BB"/>
    <w:rsid w:val="00D135C5"/>
    <w:rsid w:val="00D13659"/>
    <w:rsid w:val="00D13751"/>
    <w:rsid w:val="00D137CD"/>
    <w:rsid w:val="00D1387C"/>
    <w:rsid w:val="00D13AED"/>
    <w:rsid w:val="00D13B38"/>
    <w:rsid w:val="00D13C25"/>
    <w:rsid w:val="00D13C88"/>
    <w:rsid w:val="00D13CE8"/>
    <w:rsid w:val="00D13E3D"/>
    <w:rsid w:val="00D13E80"/>
    <w:rsid w:val="00D13F6A"/>
    <w:rsid w:val="00D13FD7"/>
    <w:rsid w:val="00D14083"/>
    <w:rsid w:val="00D14220"/>
    <w:rsid w:val="00D14348"/>
    <w:rsid w:val="00D14548"/>
    <w:rsid w:val="00D145FF"/>
    <w:rsid w:val="00D14688"/>
    <w:rsid w:val="00D14790"/>
    <w:rsid w:val="00D14820"/>
    <w:rsid w:val="00D1497F"/>
    <w:rsid w:val="00D14A25"/>
    <w:rsid w:val="00D14A3F"/>
    <w:rsid w:val="00D14BA7"/>
    <w:rsid w:val="00D14CDC"/>
    <w:rsid w:val="00D14D68"/>
    <w:rsid w:val="00D14DFC"/>
    <w:rsid w:val="00D14F19"/>
    <w:rsid w:val="00D14F28"/>
    <w:rsid w:val="00D14FB0"/>
    <w:rsid w:val="00D1503E"/>
    <w:rsid w:val="00D15078"/>
    <w:rsid w:val="00D15189"/>
    <w:rsid w:val="00D15201"/>
    <w:rsid w:val="00D15288"/>
    <w:rsid w:val="00D153E6"/>
    <w:rsid w:val="00D15426"/>
    <w:rsid w:val="00D15454"/>
    <w:rsid w:val="00D156CD"/>
    <w:rsid w:val="00D156F9"/>
    <w:rsid w:val="00D1574E"/>
    <w:rsid w:val="00D15936"/>
    <w:rsid w:val="00D15959"/>
    <w:rsid w:val="00D159D7"/>
    <w:rsid w:val="00D15C5C"/>
    <w:rsid w:val="00D15CCE"/>
    <w:rsid w:val="00D15D45"/>
    <w:rsid w:val="00D15DF1"/>
    <w:rsid w:val="00D15EAE"/>
    <w:rsid w:val="00D15F42"/>
    <w:rsid w:val="00D1602D"/>
    <w:rsid w:val="00D16040"/>
    <w:rsid w:val="00D16086"/>
    <w:rsid w:val="00D16214"/>
    <w:rsid w:val="00D1622B"/>
    <w:rsid w:val="00D16396"/>
    <w:rsid w:val="00D16626"/>
    <w:rsid w:val="00D1674A"/>
    <w:rsid w:val="00D169FF"/>
    <w:rsid w:val="00D16B8B"/>
    <w:rsid w:val="00D16BD7"/>
    <w:rsid w:val="00D16CF9"/>
    <w:rsid w:val="00D16E3F"/>
    <w:rsid w:val="00D16F31"/>
    <w:rsid w:val="00D16F62"/>
    <w:rsid w:val="00D17012"/>
    <w:rsid w:val="00D17217"/>
    <w:rsid w:val="00D1738C"/>
    <w:rsid w:val="00D1740D"/>
    <w:rsid w:val="00D17490"/>
    <w:rsid w:val="00D1749D"/>
    <w:rsid w:val="00D17510"/>
    <w:rsid w:val="00D17869"/>
    <w:rsid w:val="00D178E2"/>
    <w:rsid w:val="00D17A1F"/>
    <w:rsid w:val="00D17A61"/>
    <w:rsid w:val="00D17A9F"/>
    <w:rsid w:val="00D17AC9"/>
    <w:rsid w:val="00D17B72"/>
    <w:rsid w:val="00D17B90"/>
    <w:rsid w:val="00D17BC6"/>
    <w:rsid w:val="00D17CFE"/>
    <w:rsid w:val="00D17D6B"/>
    <w:rsid w:val="00D17D9C"/>
    <w:rsid w:val="00D17E9A"/>
    <w:rsid w:val="00D17F17"/>
    <w:rsid w:val="00D201DF"/>
    <w:rsid w:val="00D202D0"/>
    <w:rsid w:val="00D20342"/>
    <w:rsid w:val="00D203E7"/>
    <w:rsid w:val="00D2044A"/>
    <w:rsid w:val="00D204F2"/>
    <w:rsid w:val="00D20507"/>
    <w:rsid w:val="00D205AD"/>
    <w:rsid w:val="00D205C4"/>
    <w:rsid w:val="00D206F0"/>
    <w:rsid w:val="00D2079B"/>
    <w:rsid w:val="00D20830"/>
    <w:rsid w:val="00D20AF4"/>
    <w:rsid w:val="00D20C27"/>
    <w:rsid w:val="00D20DA0"/>
    <w:rsid w:val="00D211BB"/>
    <w:rsid w:val="00D21269"/>
    <w:rsid w:val="00D2128F"/>
    <w:rsid w:val="00D21399"/>
    <w:rsid w:val="00D21454"/>
    <w:rsid w:val="00D214BE"/>
    <w:rsid w:val="00D2150D"/>
    <w:rsid w:val="00D2158A"/>
    <w:rsid w:val="00D216C2"/>
    <w:rsid w:val="00D216D3"/>
    <w:rsid w:val="00D217D5"/>
    <w:rsid w:val="00D21809"/>
    <w:rsid w:val="00D21892"/>
    <w:rsid w:val="00D219AF"/>
    <w:rsid w:val="00D21AFC"/>
    <w:rsid w:val="00D21B73"/>
    <w:rsid w:val="00D21B7E"/>
    <w:rsid w:val="00D21E2D"/>
    <w:rsid w:val="00D21E6E"/>
    <w:rsid w:val="00D21F3C"/>
    <w:rsid w:val="00D21F77"/>
    <w:rsid w:val="00D21FEF"/>
    <w:rsid w:val="00D2201E"/>
    <w:rsid w:val="00D22049"/>
    <w:rsid w:val="00D2208D"/>
    <w:rsid w:val="00D220A2"/>
    <w:rsid w:val="00D22262"/>
    <w:rsid w:val="00D222D9"/>
    <w:rsid w:val="00D22306"/>
    <w:rsid w:val="00D22356"/>
    <w:rsid w:val="00D22389"/>
    <w:rsid w:val="00D223A6"/>
    <w:rsid w:val="00D2278C"/>
    <w:rsid w:val="00D227AC"/>
    <w:rsid w:val="00D22881"/>
    <w:rsid w:val="00D2290A"/>
    <w:rsid w:val="00D22BDE"/>
    <w:rsid w:val="00D22BE6"/>
    <w:rsid w:val="00D22C10"/>
    <w:rsid w:val="00D22C39"/>
    <w:rsid w:val="00D22D04"/>
    <w:rsid w:val="00D23078"/>
    <w:rsid w:val="00D230A2"/>
    <w:rsid w:val="00D230F6"/>
    <w:rsid w:val="00D23168"/>
    <w:rsid w:val="00D2336F"/>
    <w:rsid w:val="00D23405"/>
    <w:rsid w:val="00D2348D"/>
    <w:rsid w:val="00D237D6"/>
    <w:rsid w:val="00D2384F"/>
    <w:rsid w:val="00D238A7"/>
    <w:rsid w:val="00D238B9"/>
    <w:rsid w:val="00D238BD"/>
    <w:rsid w:val="00D238D3"/>
    <w:rsid w:val="00D238E6"/>
    <w:rsid w:val="00D2393A"/>
    <w:rsid w:val="00D23A99"/>
    <w:rsid w:val="00D23AA5"/>
    <w:rsid w:val="00D23AFA"/>
    <w:rsid w:val="00D23B40"/>
    <w:rsid w:val="00D23BA7"/>
    <w:rsid w:val="00D23CF4"/>
    <w:rsid w:val="00D23D34"/>
    <w:rsid w:val="00D23EC7"/>
    <w:rsid w:val="00D240BE"/>
    <w:rsid w:val="00D2417F"/>
    <w:rsid w:val="00D2440E"/>
    <w:rsid w:val="00D2449F"/>
    <w:rsid w:val="00D244D7"/>
    <w:rsid w:val="00D24627"/>
    <w:rsid w:val="00D246B1"/>
    <w:rsid w:val="00D24725"/>
    <w:rsid w:val="00D2473B"/>
    <w:rsid w:val="00D24770"/>
    <w:rsid w:val="00D24850"/>
    <w:rsid w:val="00D24927"/>
    <w:rsid w:val="00D24A99"/>
    <w:rsid w:val="00D24AC5"/>
    <w:rsid w:val="00D24AD1"/>
    <w:rsid w:val="00D24AE5"/>
    <w:rsid w:val="00D24B08"/>
    <w:rsid w:val="00D24B25"/>
    <w:rsid w:val="00D24B41"/>
    <w:rsid w:val="00D24C33"/>
    <w:rsid w:val="00D24CC2"/>
    <w:rsid w:val="00D24D18"/>
    <w:rsid w:val="00D24F70"/>
    <w:rsid w:val="00D2518F"/>
    <w:rsid w:val="00D251A0"/>
    <w:rsid w:val="00D2523C"/>
    <w:rsid w:val="00D253A7"/>
    <w:rsid w:val="00D25532"/>
    <w:rsid w:val="00D255CA"/>
    <w:rsid w:val="00D255D2"/>
    <w:rsid w:val="00D255D3"/>
    <w:rsid w:val="00D255EA"/>
    <w:rsid w:val="00D2564A"/>
    <w:rsid w:val="00D257FC"/>
    <w:rsid w:val="00D2590D"/>
    <w:rsid w:val="00D25A01"/>
    <w:rsid w:val="00D25A0F"/>
    <w:rsid w:val="00D25AA0"/>
    <w:rsid w:val="00D25BF3"/>
    <w:rsid w:val="00D25C2E"/>
    <w:rsid w:val="00D25C5E"/>
    <w:rsid w:val="00D25C66"/>
    <w:rsid w:val="00D25D97"/>
    <w:rsid w:val="00D25DD3"/>
    <w:rsid w:val="00D25E67"/>
    <w:rsid w:val="00D25E70"/>
    <w:rsid w:val="00D25EEE"/>
    <w:rsid w:val="00D26076"/>
    <w:rsid w:val="00D26084"/>
    <w:rsid w:val="00D26130"/>
    <w:rsid w:val="00D26182"/>
    <w:rsid w:val="00D263B0"/>
    <w:rsid w:val="00D26443"/>
    <w:rsid w:val="00D2652F"/>
    <w:rsid w:val="00D2661A"/>
    <w:rsid w:val="00D26755"/>
    <w:rsid w:val="00D26779"/>
    <w:rsid w:val="00D2693E"/>
    <w:rsid w:val="00D26B2A"/>
    <w:rsid w:val="00D26D2B"/>
    <w:rsid w:val="00D26D6E"/>
    <w:rsid w:val="00D26D93"/>
    <w:rsid w:val="00D26DE9"/>
    <w:rsid w:val="00D26ECC"/>
    <w:rsid w:val="00D26EF4"/>
    <w:rsid w:val="00D26FCC"/>
    <w:rsid w:val="00D270A8"/>
    <w:rsid w:val="00D270E9"/>
    <w:rsid w:val="00D271E3"/>
    <w:rsid w:val="00D27227"/>
    <w:rsid w:val="00D2723D"/>
    <w:rsid w:val="00D27334"/>
    <w:rsid w:val="00D27374"/>
    <w:rsid w:val="00D27441"/>
    <w:rsid w:val="00D27510"/>
    <w:rsid w:val="00D2759F"/>
    <w:rsid w:val="00D275E5"/>
    <w:rsid w:val="00D275E8"/>
    <w:rsid w:val="00D277C4"/>
    <w:rsid w:val="00D27834"/>
    <w:rsid w:val="00D27981"/>
    <w:rsid w:val="00D279E7"/>
    <w:rsid w:val="00D27A24"/>
    <w:rsid w:val="00D27AEC"/>
    <w:rsid w:val="00D27B5D"/>
    <w:rsid w:val="00D27C7B"/>
    <w:rsid w:val="00D27D76"/>
    <w:rsid w:val="00D27EC1"/>
    <w:rsid w:val="00D30089"/>
    <w:rsid w:val="00D30118"/>
    <w:rsid w:val="00D30144"/>
    <w:rsid w:val="00D301C2"/>
    <w:rsid w:val="00D304B5"/>
    <w:rsid w:val="00D305E4"/>
    <w:rsid w:val="00D3065A"/>
    <w:rsid w:val="00D3088E"/>
    <w:rsid w:val="00D30899"/>
    <w:rsid w:val="00D30900"/>
    <w:rsid w:val="00D309EF"/>
    <w:rsid w:val="00D30A3D"/>
    <w:rsid w:val="00D30AB2"/>
    <w:rsid w:val="00D30B91"/>
    <w:rsid w:val="00D30C06"/>
    <w:rsid w:val="00D30C38"/>
    <w:rsid w:val="00D30CF5"/>
    <w:rsid w:val="00D30DFD"/>
    <w:rsid w:val="00D30F21"/>
    <w:rsid w:val="00D30F7E"/>
    <w:rsid w:val="00D30F98"/>
    <w:rsid w:val="00D311FD"/>
    <w:rsid w:val="00D31247"/>
    <w:rsid w:val="00D312AE"/>
    <w:rsid w:val="00D312D0"/>
    <w:rsid w:val="00D31313"/>
    <w:rsid w:val="00D313D2"/>
    <w:rsid w:val="00D313E3"/>
    <w:rsid w:val="00D315B1"/>
    <w:rsid w:val="00D315FB"/>
    <w:rsid w:val="00D3164E"/>
    <w:rsid w:val="00D3167A"/>
    <w:rsid w:val="00D31715"/>
    <w:rsid w:val="00D317B4"/>
    <w:rsid w:val="00D31834"/>
    <w:rsid w:val="00D3185C"/>
    <w:rsid w:val="00D3188C"/>
    <w:rsid w:val="00D318F4"/>
    <w:rsid w:val="00D319F9"/>
    <w:rsid w:val="00D31A2E"/>
    <w:rsid w:val="00D31AEE"/>
    <w:rsid w:val="00D31C75"/>
    <w:rsid w:val="00D31C94"/>
    <w:rsid w:val="00D31CB3"/>
    <w:rsid w:val="00D31D31"/>
    <w:rsid w:val="00D31D6B"/>
    <w:rsid w:val="00D31DD2"/>
    <w:rsid w:val="00D31E9D"/>
    <w:rsid w:val="00D31ECB"/>
    <w:rsid w:val="00D31FDB"/>
    <w:rsid w:val="00D32047"/>
    <w:rsid w:val="00D3205F"/>
    <w:rsid w:val="00D323F2"/>
    <w:rsid w:val="00D32425"/>
    <w:rsid w:val="00D324FF"/>
    <w:rsid w:val="00D32501"/>
    <w:rsid w:val="00D3261B"/>
    <w:rsid w:val="00D32BDB"/>
    <w:rsid w:val="00D32BDE"/>
    <w:rsid w:val="00D32C56"/>
    <w:rsid w:val="00D32D20"/>
    <w:rsid w:val="00D32D4C"/>
    <w:rsid w:val="00D32D67"/>
    <w:rsid w:val="00D32DA3"/>
    <w:rsid w:val="00D32F21"/>
    <w:rsid w:val="00D32F77"/>
    <w:rsid w:val="00D33023"/>
    <w:rsid w:val="00D330E4"/>
    <w:rsid w:val="00D3318E"/>
    <w:rsid w:val="00D331AA"/>
    <w:rsid w:val="00D332BA"/>
    <w:rsid w:val="00D33538"/>
    <w:rsid w:val="00D335E0"/>
    <w:rsid w:val="00D3364D"/>
    <w:rsid w:val="00D338C9"/>
    <w:rsid w:val="00D33920"/>
    <w:rsid w:val="00D33BAA"/>
    <w:rsid w:val="00D33C3C"/>
    <w:rsid w:val="00D33E72"/>
    <w:rsid w:val="00D33F16"/>
    <w:rsid w:val="00D33F6F"/>
    <w:rsid w:val="00D33FC7"/>
    <w:rsid w:val="00D340B2"/>
    <w:rsid w:val="00D342F9"/>
    <w:rsid w:val="00D343E8"/>
    <w:rsid w:val="00D344F9"/>
    <w:rsid w:val="00D345A0"/>
    <w:rsid w:val="00D34770"/>
    <w:rsid w:val="00D347D6"/>
    <w:rsid w:val="00D3481A"/>
    <w:rsid w:val="00D3496E"/>
    <w:rsid w:val="00D34A55"/>
    <w:rsid w:val="00D34C6C"/>
    <w:rsid w:val="00D34D92"/>
    <w:rsid w:val="00D34E2C"/>
    <w:rsid w:val="00D34E67"/>
    <w:rsid w:val="00D34E99"/>
    <w:rsid w:val="00D34F3C"/>
    <w:rsid w:val="00D3513B"/>
    <w:rsid w:val="00D3520E"/>
    <w:rsid w:val="00D35233"/>
    <w:rsid w:val="00D35288"/>
    <w:rsid w:val="00D352B9"/>
    <w:rsid w:val="00D35400"/>
    <w:rsid w:val="00D3555E"/>
    <w:rsid w:val="00D356E5"/>
    <w:rsid w:val="00D357EE"/>
    <w:rsid w:val="00D358AA"/>
    <w:rsid w:val="00D358C0"/>
    <w:rsid w:val="00D358E9"/>
    <w:rsid w:val="00D359DC"/>
    <w:rsid w:val="00D35B22"/>
    <w:rsid w:val="00D35BD6"/>
    <w:rsid w:val="00D35CA4"/>
    <w:rsid w:val="00D35DEA"/>
    <w:rsid w:val="00D35E33"/>
    <w:rsid w:val="00D35E37"/>
    <w:rsid w:val="00D35E96"/>
    <w:rsid w:val="00D35FB2"/>
    <w:rsid w:val="00D36033"/>
    <w:rsid w:val="00D3608F"/>
    <w:rsid w:val="00D360AB"/>
    <w:rsid w:val="00D360D6"/>
    <w:rsid w:val="00D361B5"/>
    <w:rsid w:val="00D36260"/>
    <w:rsid w:val="00D3653B"/>
    <w:rsid w:val="00D3672E"/>
    <w:rsid w:val="00D3673B"/>
    <w:rsid w:val="00D3699D"/>
    <w:rsid w:val="00D36A64"/>
    <w:rsid w:val="00D36AAD"/>
    <w:rsid w:val="00D36B73"/>
    <w:rsid w:val="00D36BC4"/>
    <w:rsid w:val="00D36CE0"/>
    <w:rsid w:val="00D36E03"/>
    <w:rsid w:val="00D36F33"/>
    <w:rsid w:val="00D36F35"/>
    <w:rsid w:val="00D36FF4"/>
    <w:rsid w:val="00D3702C"/>
    <w:rsid w:val="00D37379"/>
    <w:rsid w:val="00D374AF"/>
    <w:rsid w:val="00D375ED"/>
    <w:rsid w:val="00D376E6"/>
    <w:rsid w:val="00D37B91"/>
    <w:rsid w:val="00D37BC5"/>
    <w:rsid w:val="00D37D83"/>
    <w:rsid w:val="00D37E01"/>
    <w:rsid w:val="00D37E11"/>
    <w:rsid w:val="00D37F93"/>
    <w:rsid w:val="00D37FB0"/>
    <w:rsid w:val="00D37FE6"/>
    <w:rsid w:val="00D4010A"/>
    <w:rsid w:val="00D4022A"/>
    <w:rsid w:val="00D402A7"/>
    <w:rsid w:val="00D402FF"/>
    <w:rsid w:val="00D4033E"/>
    <w:rsid w:val="00D4036C"/>
    <w:rsid w:val="00D405B7"/>
    <w:rsid w:val="00D405C2"/>
    <w:rsid w:val="00D40618"/>
    <w:rsid w:val="00D40680"/>
    <w:rsid w:val="00D406CD"/>
    <w:rsid w:val="00D40741"/>
    <w:rsid w:val="00D4084F"/>
    <w:rsid w:val="00D408D6"/>
    <w:rsid w:val="00D409D9"/>
    <w:rsid w:val="00D40A97"/>
    <w:rsid w:val="00D40B62"/>
    <w:rsid w:val="00D40DED"/>
    <w:rsid w:val="00D40EB7"/>
    <w:rsid w:val="00D41011"/>
    <w:rsid w:val="00D410D8"/>
    <w:rsid w:val="00D411A2"/>
    <w:rsid w:val="00D41246"/>
    <w:rsid w:val="00D41392"/>
    <w:rsid w:val="00D413A8"/>
    <w:rsid w:val="00D413F5"/>
    <w:rsid w:val="00D4141F"/>
    <w:rsid w:val="00D415B9"/>
    <w:rsid w:val="00D415DC"/>
    <w:rsid w:val="00D41713"/>
    <w:rsid w:val="00D41817"/>
    <w:rsid w:val="00D4187D"/>
    <w:rsid w:val="00D418C1"/>
    <w:rsid w:val="00D4193F"/>
    <w:rsid w:val="00D41980"/>
    <w:rsid w:val="00D41DB1"/>
    <w:rsid w:val="00D41DBA"/>
    <w:rsid w:val="00D41E0E"/>
    <w:rsid w:val="00D41F02"/>
    <w:rsid w:val="00D41F22"/>
    <w:rsid w:val="00D41F9F"/>
    <w:rsid w:val="00D4224F"/>
    <w:rsid w:val="00D4231D"/>
    <w:rsid w:val="00D423D7"/>
    <w:rsid w:val="00D42491"/>
    <w:rsid w:val="00D42601"/>
    <w:rsid w:val="00D426D9"/>
    <w:rsid w:val="00D4281A"/>
    <w:rsid w:val="00D428A2"/>
    <w:rsid w:val="00D42A8A"/>
    <w:rsid w:val="00D42E41"/>
    <w:rsid w:val="00D42F92"/>
    <w:rsid w:val="00D43027"/>
    <w:rsid w:val="00D43085"/>
    <w:rsid w:val="00D430FF"/>
    <w:rsid w:val="00D431EE"/>
    <w:rsid w:val="00D433F8"/>
    <w:rsid w:val="00D43454"/>
    <w:rsid w:val="00D4351E"/>
    <w:rsid w:val="00D43639"/>
    <w:rsid w:val="00D43669"/>
    <w:rsid w:val="00D43720"/>
    <w:rsid w:val="00D43805"/>
    <w:rsid w:val="00D43864"/>
    <w:rsid w:val="00D43A31"/>
    <w:rsid w:val="00D43C51"/>
    <w:rsid w:val="00D43D6B"/>
    <w:rsid w:val="00D43EA3"/>
    <w:rsid w:val="00D44093"/>
    <w:rsid w:val="00D44224"/>
    <w:rsid w:val="00D44366"/>
    <w:rsid w:val="00D44514"/>
    <w:rsid w:val="00D4456B"/>
    <w:rsid w:val="00D4470D"/>
    <w:rsid w:val="00D4474B"/>
    <w:rsid w:val="00D44856"/>
    <w:rsid w:val="00D44897"/>
    <w:rsid w:val="00D44C3E"/>
    <w:rsid w:val="00D44C53"/>
    <w:rsid w:val="00D44C97"/>
    <w:rsid w:val="00D44CD1"/>
    <w:rsid w:val="00D44F60"/>
    <w:rsid w:val="00D450E2"/>
    <w:rsid w:val="00D45115"/>
    <w:rsid w:val="00D452A3"/>
    <w:rsid w:val="00D452F1"/>
    <w:rsid w:val="00D45319"/>
    <w:rsid w:val="00D45325"/>
    <w:rsid w:val="00D453B9"/>
    <w:rsid w:val="00D453DC"/>
    <w:rsid w:val="00D454CD"/>
    <w:rsid w:val="00D4553A"/>
    <w:rsid w:val="00D4569F"/>
    <w:rsid w:val="00D456B8"/>
    <w:rsid w:val="00D45725"/>
    <w:rsid w:val="00D4596A"/>
    <w:rsid w:val="00D45B2A"/>
    <w:rsid w:val="00D45CC0"/>
    <w:rsid w:val="00D45CD2"/>
    <w:rsid w:val="00D4606D"/>
    <w:rsid w:val="00D46153"/>
    <w:rsid w:val="00D462AA"/>
    <w:rsid w:val="00D464AB"/>
    <w:rsid w:val="00D465AF"/>
    <w:rsid w:val="00D466BB"/>
    <w:rsid w:val="00D46804"/>
    <w:rsid w:val="00D46829"/>
    <w:rsid w:val="00D46832"/>
    <w:rsid w:val="00D4685F"/>
    <w:rsid w:val="00D468C7"/>
    <w:rsid w:val="00D46916"/>
    <w:rsid w:val="00D46945"/>
    <w:rsid w:val="00D46989"/>
    <w:rsid w:val="00D46994"/>
    <w:rsid w:val="00D46AC3"/>
    <w:rsid w:val="00D46BC8"/>
    <w:rsid w:val="00D46F84"/>
    <w:rsid w:val="00D46FB7"/>
    <w:rsid w:val="00D47088"/>
    <w:rsid w:val="00D470EE"/>
    <w:rsid w:val="00D472F6"/>
    <w:rsid w:val="00D473E2"/>
    <w:rsid w:val="00D4749C"/>
    <w:rsid w:val="00D47527"/>
    <w:rsid w:val="00D4755D"/>
    <w:rsid w:val="00D475A6"/>
    <w:rsid w:val="00D476A4"/>
    <w:rsid w:val="00D477A8"/>
    <w:rsid w:val="00D477C4"/>
    <w:rsid w:val="00D478D0"/>
    <w:rsid w:val="00D478E4"/>
    <w:rsid w:val="00D47968"/>
    <w:rsid w:val="00D47991"/>
    <w:rsid w:val="00D47A59"/>
    <w:rsid w:val="00D47B40"/>
    <w:rsid w:val="00D47B4C"/>
    <w:rsid w:val="00D47B91"/>
    <w:rsid w:val="00D47DDA"/>
    <w:rsid w:val="00D50084"/>
    <w:rsid w:val="00D50117"/>
    <w:rsid w:val="00D50327"/>
    <w:rsid w:val="00D5034E"/>
    <w:rsid w:val="00D5043E"/>
    <w:rsid w:val="00D50444"/>
    <w:rsid w:val="00D5054C"/>
    <w:rsid w:val="00D50562"/>
    <w:rsid w:val="00D5059B"/>
    <w:rsid w:val="00D5072B"/>
    <w:rsid w:val="00D507C7"/>
    <w:rsid w:val="00D50806"/>
    <w:rsid w:val="00D5094D"/>
    <w:rsid w:val="00D50966"/>
    <w:rsid w:val="00D50B9C"/>
    <w:rsid w:val="00D50C28"/>
    <w:rsid w:val="00D50C6A"/>
    <w:rsid w:val="00D50D3D"/>
    <w:rsid w:val="00D50E4B"/>
    <w:rsid w:val="00D510C2"/>
    <w:rsid w:val="00D51195"/>
    <w:rsid w:val="00D5121E"/>
    <w:rsid w:val="00D513AF"/>
    <w:rsid w:val="00D513C3"/>
    <w:rsid w:val="00D515C8"/>
    <w:rsid w:val="00D515DC"/>
    <w:rsid w:val="00D51626"/>
    <w:rsid w:val="00D516CC"/>
    <w:rsid w:val="00D518DE"/>
    <w:rsid w:val="00D51A9D"/>
    <w:rsid w:val="00D51D4B"/>
    <w:rsid w:val="00D51D5D"/>
    <w:rsid w:val="00D51F8B"/>
    <w:rsid w:val="00D51F9B"/>
    <w:rsid w:val="00D5204F"/>
    <w:rsid w:val="00D5213F"/>
    <w:rsid w:val="00D524F8"/>
    <w:rsid w:val="00D52523"/>
    <w:rsid w:val="00D525CF"/>
    <w:rsid w:val="00D5270E"/>
    <w:rsid w:val="00D5277E"/>
    <w:rsid w:val="00D528C4"/>
    <w:rsid w:val="00D528F4"/>
    <w:rsid w:val="00D52923"/>
    <w:rsid w:val="00D529DE"/>
    <w:rsid w:val="00D52A98"/>
    <w:rsid w:val="00D52AFB"/>
    <w:rsid w:val="00D52BD5"/>
    <w:rsid w:val="00D52C19"/>
    <w:rsid w:val="00D52C22"/>
    <w:rsid w:val="00D52D03"/>
    <w:rsid w:val="00D52D73"/>
    <w:rsid w:val="00D52E56"/>
    <w:rsid w:val="00D52E58"/>
    <w:rsid w:val="00D53128"/>
    <w:rsid w:val="00D5324B"/>
    <w:rsid w:val="00D533ED"/>
    <w:rsid w:val="00D5341A"/>
    <w:rsid w:val="00D534C5"/>
    <w:rsid w:val="00D535C7"/>
    <w:rsid w:val="00D53620"/>
    <w:rsid w:val="00D53695"/>
    <w:rsid w:val="00D536BE"/>
    <w:rsid w:val="00D53702"/>
    <w:rsid w:val="00D53716"/>
    <w:rsid w:val="00D53917"/>
    <w:rsid w:val="00D539CC"/>
    <w:rsid w:val="00D53A14"/>
    <w:rsid w:val="00D53A3F"/>
    <w:rsid w:val="00D53B3E"/>
    <w:rsid w:val="00D53B9D"/>
    <w:rsid w:val="00D53C21"/>
    <w:rsid w:val="00D53DA7"/>
    <w:rsid w:val="00D54326"/>
    <w:rsid w:val="00D5434C"/>
    <w:rsid w:val="00D54363"/>
    <w:rsid w:val="00D544AF"/>
    <w:rsid w:val="00D54507"/>
    <w:rsid w:val="00D545BA"/>
    <w:rsid w:val="00D547BE"/>
    <w:rsid w:val="00D548AC"/>
    <w:rsid w:val="00D54999"/>
    <w:rsid w:val="00D54AFF"/>
    <w:rsid w:val="00D54B55"/>
    <w:rsid w:val="00D54B98"/>
    <w:rsid w:val="00D54BEF"/>
    <w:rsid w:val="00D54C57"/>
    <w:rsid w:val="00D54C6C"/>
    <w:rsid w:val="00D54D46"/>
    <w:rsid w:val="00D54E2D"/>
    <w:rsid w:val="00D54E50"/>
    <w:rsid w:val="00D54F85"/>
    <w:rsid w:val="00D5528B"/>
    <w:rsid w:val="00D5529A"/>
    <w:rsid w:val="00D552FB"/>
    <w:rsid w:val="00D5535F"/>
    <w:rsid w:val="00D553B5"/>
    <w:rsid w:val="00D5541F"/>
    <w:rsid w:val="00D55563"/>
    <w:rsid w:val="00D55585"/>
    <w:rsid w:val="00D557E6"/>
    <w:rsid w:val="00D557F2"/>
    <w:rsid w:val="00D55881"/>
    <w:rsid w:val="00D559E1"/>
    <w:rsid w:val="00D55B58"/>
    <w:rsid w:val="00D55B6D"/>
    <w:rsid w:val="00D55BB4"/>
    <w:rsid w:val="00D55C76"/>
    <w:rsid w:val="00D55CBF"/>
    <w:rsid w:val="00D55D1A"/>
    <w:rsid w:val="00D55EFD"/>
    <w:rsid w:val="00D55EFE"/>
    <w:rsid w:val="00D562D1"/>
    <w:rsid w:val="00D5642B"/>
    <w:rsid w:val="00D564B5"/>
    <w:rsid w:val="00D56670"/>
    <w:rsid w:val="00D56728"/>
    <w:rsid w:val="00D56883"/>
    <w:rsid w:val="00D56ABF"/>
    <w:rsid w:val="00D56B20"/>
    <w:rsid w:val="00D56B6C"/>
    <w:rsid w:val="00D56B78"/>
    <w:rsid w:val="00D56C0A"/>
    <w:rsid w:val="00D56DAE"/>
    <w:rsid w:val="00D56DB0"/>
    <w:rsid w:val="00D56DD9"/>
    <w:rsid w:val="00D56EA2"/>
    <w:rsid w:val="00D5705E"/>
    <w:rsid w:val="00D57069"/>
    <w:rsid w:val="00D57167"/>
    <w:rsid w:val="00D5725F"/>
    <w:rsid w:val="00D5732C"/>
    <w:rsid w:val="00D5736F"/>
    <w:rsid w:val="00D5747E"/>
    <w:rsid w:val="00D5757C"/>
    <w:rsid w:val="00D57806"/>
    <w:rsid w:val="00D578B3"/>
    <w:rsid w:val="00D579C8"/>
    <w:rsid w:val="00D57AD3"/>
    <w:rsid w:val="00D57BE6"/>
    <w:rsid w:val="00D57BEC"/>
    <w:rsid w:val="00D57CEC"/>
    <w:rsid w:val="00D57ED3"/>
    <w:rsid w:val="00D6003A"/>
    <w:rsid w:val="00D6021F"/>
    <w:rsid w:val="00D602EE"/>
    <w:rsid w:val="00D60329"/>
    <w:rsid w:val="00D603C9"/>
    <w:rsid w:val="00D605C2"/>
    <w:rsid w:val="00D605E3"/>
    <w:rsid w:val="00D60607"/>
    <w:rsid w:val="00D6074E"/>
    <w:rsid w:val="00D60885"/>
    <w:rsid w:val="00D608B1"/>
    <w:rsid w:val="00D60AEF"/>
    <w:rsid w:val="00D60B39"/>
    <w:rsid w:val="00D60B90"/>
    <w:rsid w:val="00D60DF5"/>
    <w:rsid w:val="00D61088"/>
    <w:rsid w:val="00D610C8"/>
    <w:rsid w:val="00D61360"/>
    <w:rsid w:val="00D613E8"/>
    <w:rsid w:val="00D61515"/>
    <w:rsid w:val="00D6158E"/>
    <w:rsid w:val="00D6162F"/>
    <w:rsid w:val="00D61881"/>
    <w:rsid w:val="00D618F4"/>
    <w:rsid w:val="00D61908"/>
    <w:rsid w:val="00D61960"/>
    <w:rsid w:val="00D61A07"/>
    <w:rsid w:val="00D61B77"/>
    <w:rsid w:val="00D61BA3"/>
    <w:rsid w:val="00D61C69"/>
    <w:rsid w:val="00D61C71"/>
    <w:rsid w:val="00D61FD5"/>
    <w:rsid w:val="00D61FDE"/>
    <w:rsid w:val="00D620A7"/>
    <w:rsid w:val="00D622BA"/>
    <w:rsid w:val="00D62360"/>
    <w:rsid w:val="00D624C6"/>
    <w:rsid w:val="00D625C4"/>
    <w:rsid w:val="00D62741"/>
    <w:rsid w:val="00D6287B"/>
    <w:rsid w:val="00D628BD"/>
    <w:rsid w:val="00D62C87"/>
    <w:rsid w:val="00D62CF7"/>
    <w:rsid w:val="00D62E3A"/>
    <w:rsid w:val="00D62F22"/>
    <w:rsid w:val="00D62F64"/>
    <w:rsid w:val="00D62F8F"/>
    <w:rsid w:val="00D63052"/>
    <w:rsid w:val="00D6307D"/>
    <w:rsid w:val="00D630C7"/>
    <w:rsid w:val="00D632C3"/>
    <w:rsid w:val="00D6330F"/>
    <w:rsid w:val="00D6335A"/>
    <w:rsid w:val="00D633DB"/>
    <w:rsid w:val="00D63636"/>
    <w:rsid w:val="00D63705"/>
    <w:rsid w:val="00D63716"/>
    <w:rsid w:val="00D63A48"/>
    <w:rsid w:val="00D63A7B"/>
    <w:rsid w:val="00D63A9A"/>
    <w:rsid w:val="00D63ACE"/>
    <w:rsid w:val="00D63B8D"/>
    <w:rsid w:val="00D63C65"/>
    <w:rsid w:val="00D63D88"/>
    <w:rsid w:val="00D63F10"/>
    <w:rsid w:val="00D64037"/>
    <w:rsid w:val="00D6407D"/>
    <w:rsid w:val="00D64233"/>
    <w:rsid w:val="00D642E7"/>
    <w:rsid w:val="00D642EF"/>
    <w:rsid w:val="00D643B4"/>
    <w:rsid w:val="00D64593"/>
    <w:rsid w:val="00D646A5"/>
    <w:rsid w:val="00D64731"/>
    <w:rsid w:val="00D64741"/>
    <w:rsid w:val="00D647C6"/>
    <w:rsid w:val="00D6481C"/>
    <w:rsid w:val="00D64823"/>
    <w:rsid w:val="00D64881"/>
    <w:rsid w:val="00D64927"/>
    <w:rsid w:val="00D64941"/>
    <w:rsid w:val="00D6499A"/>
    <w:rsid w:val="00D64AF6"/>
    <w:rsid w:val="00D64C20"/>
    <w:rsid w:val="00D64C85"/>
    <w:rsid w:val="00D64CAA"/>
    <w:rsid w:val="00D64D3D"/>
    <w:rsid w:val="00D64E2C"/>
    <w:rsid w:val="00D64E3B"/>
    <w:rsid w:val="00D64E71"/>
    <w:rsid w:val="00D64F30"/>
    <w:rsid w:val="00D65063"/>
    <w:rsid w:val="00D650B4"/>
    <w:rsid w:val="00D6517D"/>
    <w:rsid w:val="00D65199"/>
    <w:rsid w:val="00D651F2"/>
    <w:rsid w:val="00D652CC"/>
    <w:rsid w:val="00D653A9"/>
    <w:rsid w:val="00D653D3"/>
    <w:rsid w:val="00D6555E"/>
    <w:rsid w:val="00D65571"/>
    <w:rsid w:val="00D6558F"/>
    <w:rsid w:val="00D6559A"/>
    <w:rsid w:val="00D655DE"/>
    <w:rsid w:val="00D6567B"/>
    <w:rsid w:val="00D65786"/>
    <w:rsid w:val="00D65C35"/>
    <w:rsid w:val="00D65CE7"/>
    <w:rsid w:val="00D65D8E"/>
    <w:rsid w:val="00D65E35"/>
    <w:rsid w:val="00D65E57"/>
    <w:rsid w:val="00D65EC8"/>
    <w:rsid w:val="00D65F3F"/>
    <w:rsid w:val="00D65FFF"/>
    <w:rsid w:val="00D6609A"/>
    <w:rsid w:val="00D660D4"/>
    <w:rsid w:val="00D66193"/>
    <w:rsid w:val="00D66253"/>
    <w:rsid w:val="00D6625B"/>
    <w:rsid w:val="00D662D0"/>
    <w:rsid w:val="00D663F0"/>
    <w:rsid w:val="00D664CC"/>
    <w:rsid w:val="00D6682A"/>
    <w:rsid w:val="00D66A37"/>
    <w:rsid w:val="00D66A53"/>
    <w:rsid w:val="00D66BF0"/>
    <w:rsid w:val="00D66C54"/>
    <w:rsid w:val="00D66E4D"/>
    <w:rsid w:val="00D66E94"/>
    <w:rsid w:val="00D670D1"/>
    <w:rsid w:val="00D67255"/>
    <w:rsid w:val="00D672B1"/>
    <w:rsid w:val="00D673BB"/>
    <w:rsid w:val="00D6768D"/>
    <w:rsid w:val="00D676FC"/>
    <w:rsid w:val="00D67798"/>
    <w:rsid w:val="00D67A29"/>
    <w:rsid w:val="00D67A77"/>
    <w:rsid w:val="00D67B18"/>
    <w:rsid w:val="00D67D6C"/>
    <w:rsid w:val="00D67DFC"/>
    <w:rsid w:val="00D67E63"/>
    <w:rsid w:val="00D67FE7"/>
    <w:rsid w:val="00D70025"/>
    <w:rsid w:val="00D700CF"/>
    <w:rsid w:val="00D70163"/>
    <w:rsid w:val="00D703A8"/>
    <w:rsid w:val="00D70407"/>
    <w:rsid w:val="00D7042C"/>
    <w:rsid w:val="00D7044F"/>
    <w:rsid w:val="00D704CC"/>
    <w:rsid w:val="00D708AD"/>
    <w:rsid w:val="00D70946"/>
    <w:rsid w:val="00D709CF"/>
    <w:rsid w:val="00D70A15"/>
    <w:rsid w:val="00D70AAA"/>
    <w:rsid w:val="00D70ECB"/>
    <w:rsid w:val="00D70FA1"/>
    <w:rsid w:val="00D7100B"/>
    <w:rsid w:val="00D71084"/>
    <w:rsid w:val="00D71161"/>
    <w:rsid w:val="00D714CC"/>
    <w:rsid w:val="00D715FC"/>
    <w:rsid w:val="00D717E5"/>
    <w:rsid w:val="00D71940"/>
    <w:rsid w:val="00D71BCB"/>
    <w:rsid w:val="00D71BEE"/>
    <w:rsid w:val="00D71C0E"/>
    <w:rsid w:val="00D71CED"/>
    <w:rsid w:val="00D71F70"/>
    <w:rsid w:val="00D720E1"/>
    <w:rsid w:val="00D72210"/>
    <w:rsid w:val="00D72450"/>
    <w:rsid w:val="00D728EC"/>
    <w:rsid w:val="00D72993"/>
    <w:rsid w:val="00D72A14"/>
    <w:rsid w:val="00D72A78"/>
    <w:rsid w:val="00D72AF7"/>
    <w:rsid w:val="00D72B1F"/>
    <w:rsid w:val="00D72BBB"/>
    <w:rsid w:val="00D72DFC"/>
    <w:rsid w:val="00D72E67"/>
    <w:rsid w:val="00D72E9B"/>
    <w:rsid w:val="00D72ECA"/>
    <w:rsid w:val="00D72F08"/>
    <w:rsid w:val="00D72F75"/>
    <w:rsid w:val="00D73016"/>
    <w:rsid w:val="00D731EA"/>
    <w:rsid w:val="00D73319"/>
    <w:rsid w:val="00D7336E"/>
    <w:rsid w:val="00D73516"/>
    <w:rsid w:val="00D73663"/>
    <w:rsid w:val="00D73744"/>
    <w:rsid w:val="00D737D5"/>
    <w:rsid w:val="00D73916"/>
    <w:rsid w:val="00D7396E"/>
    <w:rsid w:val="00D73A4F"/>
    <w:rsid w:val="00D73D02"/>
    <w:rsid w:val="00D73D17"/>
    <w:rsid w:val="00D73DD5"/>
    <w:rsid w:val="00D73E97"/>
    <w:rsid w:val="00D74060"/>
    <w:rsid w:val="00D740A2"/>
    <w:rsid w:val="00D74165"/>
    <w:rsid w:val="00D741FA"/>
    <w:rsid w:val="00D742FE"/>
    <w:rsid w:val="00D7481A"/>
    <w:rsid w:val="00D74861"/>
    <w:rsid w:val="00D748EE"/>
    <w:rsid w:val="00D74904"/>
    <w:rsid w:val="00D74A62"/>
    <w:rsid w:val="00D74A91"/>
    <w:rsid w:val="00D74A93"/>
    <w:rsid w:val="00D74B5D"/>
    <w:rsid w:val="00D74C2D"/>
    <w:rsid w:val="00D74DAB"/>
    <w:rsid w:val="00D74E8A"/>
    <w:rsid w:val="00D74F66"/>
    <w:rsid w:val="00D74FE9"/>
    <w:rsid w:val="00D74FEE"/>
    <w:rsid w:val="00D751EA"/>
    <w:rsid w:val="00D752A8"/>
    <w:rsid w:val="00D75512"/>
    <w:rsid w:val="00D755F5"/>
    <w:rsid w:val="00D7566F"/>
    <w:rsid w:val="00D7569E"/>
    <w:rsid w:val="00D757C2"/>
    <w:rsid w:val="00D757F3"/>
    <w:rsid w:val="00D7580A"/>
    <w:rsid w:val="00D758F7"/>
    <w:rsid w:val="00D759EF"/>
    <w:rsid w:val="00D75A4C"/>
    <w:rsid w:val="00D75BC1"/>
    <w:rsid w:val="00D75C1A"/>
    <w:rsid w:val="00D75C59"/>
    <w:rsid w:val="00D75D50"/>
    <w:rsid w:val="00D75E4B"/>
    <w:rsid w:val="00D75EA7"/>
    <w:rsid w:val="00D75EA8"/>
    <w:rsid w:val="00D75F14"/>
    <w:rsid w:val="00D7603B"/>
    <w:rsid w:val="00D7617C"/>
    <w:rsid w:val="00D76429"/>
    <w:rsid w:val="00D7643E"/>
    <w:rsid w:val="00D7656F"/>
    <w:rsid w:val="00D76595"/>
    <w:rsid w:val="00D76653"/>
    <w:rsid w:val="00D76724"/>
    <w:rsid w:val="00D768E4"/>
    <w:rsid w:val="00D76ACB"/>
    <w:rsid w:val="00D76B94"/>
    <w:rsid w:val="00D76D1B"/>
    <w:rsid w:val="00D76D1E"/>
    <w:rsid w:val="00D76D38"/>
    <w:rsid w:val="00D76E27"/>
    <w:rsid w:val="00D76ECC"/>
    <w:rsid w:val="00D771DE"/>
    <w:rsid w:val="00D774A8"/>
    <w:rsid w:val="00D77613"/>
    <w:rsid w:val="00D7765E"/>
    <w:rsid w:val="00D778BA"/>
    <w:rsid w:val="00D77DC3"/>
    <w:rsid w:val="00D80119"/>
    <w:rsid w:val="00D80262"/>
    <w:rsid w:val="00D802AF"/>
    <w:rsid w:val="00D80305"/>
    <w:rsid w:val="00D80374"/>
    <w:rsid w:val="00D8046A"/>
    <w:rsid w:val="00D80519"/>
    <w:rsid w:val="00D806FE"/>
    <w:rsid w:val="00D8076A"/>
    <w:rsid w:val="00D807DB"/>
    <w:rsid w:val="00D808C1"/>
    <w:rsid w:val="00D80932"/>
    <w:rsid w:val="00D809DA"/>
    <w:rsid w:val="00D80BD9"/>
    <w:rsid w:val="00D80D01"/>
    <w:rsid w:val="00D80D14"/>
    <w:rsid w:val="00D80DB9"/>
    <w:rsid w:val="00D80E07"/>
    <w:rsid w:val="00D80FD0"/>
    <w:rsid w:val="00D8100D"/>
    <w:rsid w:val="00D810DC"/>
    <w:rsid w:val="00D8116E"/>
    <w:rsid w:val="00D811DB"/>
    <w:rsid w:val="00D81372"/>
    <w:rsid w:val="00D8164B"/>
    <w:rsid w:val="00D81662"/>
    <w:rsid w:val="00D8175E"/>
    <w:rsid w:val="00D8177B"/>
    <w:rsid w:val="00D8179D"/>
    <w:rsid w:val="00D8184E"/>
    <w:rsid w:val="00D81872"/>
    <w:rsid w:val="00D81ADF"/>
    <w:rsid w:val="00D81B1C"/>
    <w:rsid w:val="00D81B26"/>
    <w:rsid w:val="00D81B2E"/>
    <w:rsid w:val="00D81DB0"/>
    <w:rsid w:val="00D81ECC"/>
    <w:rsid w:val="00D81F19"/>
    <w:rsid w:val="00D81F21"/>
    <w:rsid w:val="00D81F26"/>
    <w:rsid w:val="00D81F3D"/>
    <w:rsid w:val="00D82170"/>
    <w:rsid w:val="00D822F4"/>
    <w:rsid w:val="00D82804"/>
    <w:rsid w:val="00D82915"/>
    <w:rsid w:val="00D8297A"/>
    <w:rsid w:val="00D829B2"/>
    <w:rsid w:val="00D829DF"/>
    <w:rsid w:val="00D82A4F"/>
    <w:rsid w:val="00D82BAB"/>
    <w:rsid w:val="00D82CCE"/>
    <w:rsid w:val="00D82F06"/>
    <w:rsid w:val="00D8319A"/>
    <w:rsid w:val="00D83293"/>
    <w:rsid w:val="00D832ED"/>
    <w:rsid w:val="00D833A3"/>
    <w:rsid w:val="00D834B9"/>
    <w:rsid w:val="00D8351F"/>
    <w:rsid w:val="00D835C7"/>
    <w:rsid w:val="00D8368E"/>
    <w:rsid w:val="00D83782"/>
    <w:rsid w:val="00D838ED"/>
    <w:rsid w:val="00D83911"/>
    <w:rsid w:val="00D83985"/>
    <w:rsid w:val="00D83989"/>
    <w:rsid w:val="00D83B31"/>
    <w:rsid w:val="00D83B76"/>
    <w:rsid w:val="00D83D2E"/>
    <w:rsid w:val="00D83DFA"/>
    <w:rsid w:val="00D83E54"/>
    <w:rsid w:val="00D83E84"/>
    <w:rsid w:val="00D83F69"/>
    <w:rsid w:val="00D8401B"/>
    <w:rsid w:val="00D8412D"/>
    <w:rsid w:val="00D8413D"/>
    <w:rsid w:val="00D841BB"/>
    <w:rsid w:val="00D8425A"/>
    <w:rsid w:val="00D84444"/>
    <w:rsid w:val="00D84483"/>
    <w:rsid w:val="00D84505"/>
    <w:rsid w:val="00D847A1"/>
    <w:rsid w:val="00D849C0"/>
    <w:rsid w:val="00D84B5C"/>
    <w:rsid w:val="00D84C1F"/>
    <w:rsid w:val="00D84D72"/>
    <w:rsid w:val="00D84DE6"/>
    <w:rsid w:val="00D84EBB"/>
    <w:rsid w:val="00D84FBC"/>
    <w:rsid w:val="00D84FCD"/>
    <w:rsid w:val="00D850D9"/>
    <w:rsid w:val="00D85372"/>
    <w:rsid w:val="00D854C8"/>
    <w:rsid w:val="00D85B18"/>
    <w:rsid w:val="00D85BDE"/>
    <w:rsid w:val="00D85D38"/>
    <w:rsid w:val="00D85EB3"/>
    <w:rsid w:val="00D860C6"/>
    <w:rsid w:val="00D860E9"/>
    <w:rsid w:val="00D86147"/>
    <w:rsid w:val="00D86195"/>
    <w:rsid w:val="00D861B0"/>
    <w:rsid w:val="00D861BC"/>
    <w:rsid w:val="00D862B2"/>
    <w:rsid w:val="00D8632E"/>
    <w:rsid w:val="00D86436"/>
    <w:rsid w:val="00D864F2"/>
    <w:rsid w:val="00D86518"/>
    <w:rsid w:val="00D86626"/>
    <w:rsid w:val="00D8672F"/>
    <w:rsid w:val="00D868E2"/>
    <w:rsid w:val="00D86900"/>
    <w:rsid w:val="00D8690D"/>
    <w:rsid w:val="00D86A8F"/>
    <w:rsid w:val="00D86CAC"/>
    <w:rsid w:val="00D86E01"/>
    <w:rsid w:val="00D86E0E"/>
    <w:rsid w:val="00D86ED4"/>
    <w:rsid w:val="00D86EF4"/>
    <w:rsid w:val="00D86F26"/>
    <w:rsid w:val="00D86FCF"/>
    <w:rsid w:val="00D87045"/>
    <w:rsid w:val="00D87063"/>
    <w:rsid w:val="00D870A0"/>
    <w:rsid w:val="00D871AB"/>
    <w:rsid w:val="00D871B2"/>
    <w:rsid w:val="00D87388"/>
    <w:rsid w:val="00D874D0"/>
    <w:rsid w:val="00D874F7"/>
    <w:rsid w:val="00D87604"/>
    <w:rsid w:val="00D8765B"/>
    <w:rsid w:val="00D87680"/>
    <w:rsid w:val="00D8768C"/>
    <w:rsid w:val="00D876F0"/>
    <w:rsid w:val="00D87733"/>
    <w:rsid w:val="00D87A07"/>
    <w:rsid w:val="00D87A1B"/>
    <w:rsid w:val="00D87C35"/>
    <w:rsid w:val="00D87C8A"/>
    <w:rsid w:val="00D87CF7"/>
    <w:rsid w:val="00D87EFF"/>
    <w:rsid w:val="00D87F26"/>
    <w:rsid w:val="00D90135"/>
    <w:rsid w:val="00D90148"/>
    <w:rsid w:val="00D9024B"/>
    <w:rsid w:val="00D902AA"/>
    <w:rsid w:val="00D9032F"/>
    <w:rsid w:val="00D904B1"/>
    <w:rsid w:val="00D905B6"/>
    <w:rsid w:val="00D90926"/>
    <w:rsid w:val="00D909CE"/>
    <w:rsid w:val="00D90A26"/>
    <w:rsid w:val="00D90A2D"/>
    <w:rsid w:val="00D90B3D"/>
    <w:rsid w:val="00D90BA1"/>
    <w:rsid w:val="00D90C76"/>
    <w:rsid w:val="00D90CE9"/>
    <w:rsid w:val="00D90D00"/>
    <w:rsid w:val="00D90E29"/>
    <w:rsid w:val="00D90F90"/>
    <w:rsid w:val="00D91066"/>
    <w:rsid w:val="00D91173"/>
    <w:rsid w:val="00D9119D"/>
    <w:rsid w:val="00D91227"/>
    <w:rsid w:val="00D91298"/>
    <w:rsid w:val="00D912E4"/>
    <w:rsid w:val="00D912E6"/>
    <w:rsid w:val="00D913A3"/>
    <w:rsid w:val="00D9151C"/>
    <w:rsid w:val="00D9151E"/>
    <w:rsid w:val="00D915BD"/>
    <w:rsid w:val="00D915FD"/>
    <w:rsid w:val="00D916E4"/>
    <w:rsid w:val="00D91826"/>
    <w:rsid w:val="00D91901"/>
    <w:rsid w:val="00D919C0"/>
    <w:rsid w:val="00D91B8B"/>
    <w:rsid w:val="00D91C63"/>
    <w:rsid w:val="00D91E27"/>
    <w:rsid w:val="00D91E9B"/>
    <w:rsid w:val="00D91EB0"/>
    <w:rsid w:val="00D91FD4"/>
    <w:rsid w:val="00D9207B"/>
    <w:rsid w:val="00D92142"/>
    <w:rsid w:val="00D92218"/>
    <w:rsid w:val="00D92361"/>
    <w:rsid w:val="00D92426"/>
    <w:rsid w:val="00D92612"/>
    <w:rsid w:val="00D92843"/>
    <w:rsid w:val="00D9285C"/>
    <w:rsid w:val="00D92910"/>
    <w:rsid w:val="00D92AAB"/>
    <w:rsid w:val="00D92AE9"/>
    <w:rsid w:val="00D92B04"/>
    <w:rsid w:val="00D92DDE"/>
    <w:rsid w:val="00D92E51"/>
    <w:rsid w:val="00D92F7A"/>
    <w:rsid w:val="00D93030"/>
    <w:rsid w:val="00D93152"/>
    <w:rsid w:val="00D931CA"/>
    <w:rsid w:val="00D93241"/>
    <w:rsid w:val="00D93310"/>
    <w:rsid w:val="00D93468"/>
    <w:rsid w:val="00D934FD"/>
    <w:rsid w:val="00D9352B"/>
    <w:rsid w:val="00D9359E"/>
    <w:rsid w:val="00D9359F"/>
    <w:rsid w:val="00D935BE"/>
    <w:rsid w:val="00D93656"/>
    <w:rsid w:val="00D936A8"/>
    <w:rsid w:val="00D936D0"/>
    <w:rsid w:val="00D93747"/>
    <w:rsid w:val="00D9381B"/>
    <w:rsid w:val="00D938A7"/>
    <w:rsid w:val="00D938B1"/>
    <w:rsid w:val="00D938E9"/>
    <w:rsid w:val="00D9391A"/>
    <w:rsid w:val="00D93C6B"/>
    <w:rsid w:val="00D93CD7"/>
    <w:rsid w:val="00D93E7A"/>
    <w:rsid w:val="00D93EED"/>
    <w:rsid w:val="00D93F39"/>
    <w:rsid w:val="00D940AD"/>
    <w:rsid w:val="00D943A2"/>
    <w:rsid w:val="00D943F8"/>
    <w:rsid w:val="00D94446"/>
    <w:rsid w:val="00D94457"/>
    <w:rsid w:val="00D9461C"/>
    <w:rsid w:val="00D94B56"/>
    <w:rsid w:val="00D94B8F"/>
    <w:rsid w:val="00D94BB2"/>
    <w:rsid w:val="00D94BC9"/>
    <w:rsid w:val="00D94C38"/>
    <w:rsid w:val="00D94C4C"/>
    <w:rsid w:val="00D94E0E"/>
    <w:rsid w:val="00D94E2B"/>
    <w:rsid w:val="00D94F1B"/>
    <w:rsid w:val="00D94F5E"/>
    <w:rsid w:val="00D94F73"/>
    <w:rsid w:val="00D95069"/>
    <w:rsid w:val="00D950CC"/>
    <w:rsid w:val="00D950D9"/>
    <w:rsid w:val="00D95158"/>
    <w:rsid w:val="00D951DA"/>
    <w:rsid w:val="00D95446"/>
    <w:rsid w:val="00D95470"/>
    <w:rsid w:val="00D954A7"/>
    <w:rsid w:val="00D95776"/>
    <w:rsid w:val="00D957D9"/>
    <w:rsid w:val="00D95861"/>
    <w:rsid w:val="00D9599E"/>
    <w:rsid w:val="00D959F5"/>
    <w:rsid w:val="00D95C65"/>
    <w:rsid w:val="00D95E03"/>
    <w:rsid w:val="00D95EBF"/>
    <w:rsid w:val="00D95F17"/>
    <w:rsid w:val="00D95F7F"/>
    <w:rsid w:val="00D96017"/>
    <w:rsid w:val="00D96107"/>
    <w:rsid w:val="00D9613E"/>
    <w:rsid w:val="00D961C1"/>
    <w:rsid w:val="00D96231"/>
    <w:rsid w:val="00D9634A"/>
    <w:rsid w:val="00D964BD"/>
    <w:rsid w:val="00D9650A"/>
    <w:rsid w:val="00D96634"/>
    <w:rsid w:val="00D9664E"/>
    <w:rsid w:val="00D96794"/>
    <w:rsid w:val="00D967D8"/>
    <w:rsid w:val="00D9682C"/>
    <w:rsid w:val="00D9686F"/>
    <w:rsid w:val="00D9697E"/>
    <w:rsid w:val="00D96985"/>
    <w:rsid w:val="00D96AB7"/>
    <w:rsid w:val="00D96B55"/>
    <w:rsid w:val="00D96DD1"/>
    <w:rsid w:val="00D96E02"/>
    <w:rsid w:val="00D96FEC"/>
    <w:rsid w:val="00D970BE"/>
    <w:rsid w:val="00D971FE"/>
    <w:rsid w:val="00D97216"/>
    <w:rsid w:val="00D973F0"/>
    <w:rsid w:val="00D973F2"/>
    <w:rsid w:val="00D976A8"/>
    <w:rsid w:val="00D97AC4"/>
    <w:rsid w:val="00D97AE5"/>
    <w:rsid w:val="00D97C6A"/>
    <w:rsid w:val="00D97CA9"/>
    <w:rsid w:val="00D97D1D"/>
    <w:rsid w:val="00D97DD1"/>
    <w:rsid w:val="00D97DD9"/>
    <w:rsid w:val="00D97E3F"/>
    <w:rsid w:val="00D97F58"/>
    <w:rsid w:val="00DA00DF"/>
    <w:rsid w:val="00DA0151"/>
    <w:rsid w:val="00DA01C5"/>
    <w:rsid w:val="00DA01C8"/>
    <w:rsid w:val="00DA01D6"/>
    <w:rsid w:val="00DA0264"/>
    <w:rsid w:val="00DA0281"/>
    <w:rsid w:val="00DA0282"/>
    <w:rsid w:val="00DA029A"/>
    <w:rsid w:val="00DA03AF"/>
    <w:rsid w:val="00DA0423"/>
    <w:rsid w:val="00DA05BD"/>
    <w:rsid w:val="00DA05C9"/>
    <w:rsid w:val="00DA0673"/>
    <w:rsid w:val="00DA07B0"/>
    <w:rsid w:val="00DA0936"/>
    <w:rsid w:val="00DA0A47"/>
    <w:rsid w:val="00DA0B5F"/>
    <w:rsid w:val="00DA0BF5"/>
    <w:rsid w:val="00DA0CFC"/>
    <w:rsid w:val="00DA0D21"/>
    <w:rsid w:val="00DA0DCE"/>
    <w:rsid w:val="00DA0E06"/>
    <w:rsid w:val="00DA0E72"/>
    <w:rsid w:val="00DA0E83"/>
    <w:rsid w:val="00DA0E9E"/>
    <w:rsid w:val="00DA0EF5"/>
    <w:rsid w:val="00DA1049"/>
    <w:rsid w:val="00DA10E5"/>
    <w:rsid w:val="00DA1191"/>
    <w:rsid w:val="00DA13B4"/>
    <w:rsid w:val="00DA13BC"/>
    <w:rsid w:val="00DA1414"/>
    <w:rsid w:val="00DA15FE"/>
    <w:rsid w:val="00DA16B8"/>
    <w:rsid w:val="00DA1748"/>
    <w:rsid w:val="00DA17D2"/>
    <w:rsid w:val="00DA19B0"/>
    <w:rsid w:val="00DA19C2"/>
    <w:rsid w:val="00DA1AC4"/>
    <w:rsid w:val="00DA1B20"/>
    <w:rsid w:val="00DA1B65"/>
    <w:rsid w:val="00DA1B85"/>
    <w:rsid w:val="00DA1BB1"/>
    <w:rsid w:val="00DA1CFE"/>
    <w:rsid w:val="00DA1D73"/>
    <w:rsid w:val="00DA1E00"/>
    <w:rsid w:val="00DA1E4C"/>
    <w:rsid w:val="00DA1E56"/>
    <w:rsid w:val="00DA1FFE"/>
    <w:rsid w:val="00DA2002"/>
    <w:rsid w:val="00DA2009"/>
    <w:rsid w:val="00DA219C"/>
    <w:rsid w:val="00DA21C5"/>
    <w:rsid w:val="00DA21DB"/>
    <w:rsid w:val="00DA2319"/>
    <w:rsid w:val="00DA2329"/>
    <w:rsid w:val="00DA241C"/>
    <w:rsid w:val="00DA2452"/>
    <w:rsid w:val="00DA24EA"/>
    <w:rsid w:val="00DA2523"/>
    <w:rsid w:val="00DA2534"/>
    <w:rsid w:val="00DA2577"/>
    <w:rsid w:val="00DA2619"/>
    <w:rsid w:val="00DA267F"/>
    <w:rsid w:val="00DA26D9"/>
    <w:rsid w:val="00DA2745"/>
    <w:rsid w:val="00DA28E6"/>
    <w:rsid w:val="00DA296F"/>
    <w:rsid w:val="00DA2988"/>
    <w:rsid w:val="00DA2A0C"/>
    <w:rsid w:val="00DA2A5C"/>
    <w:rsid w:val="00DA2B94"/>
    <w:rsid w:val="00DA2BAB"/>
    <w:rsid w:val="00DA2BEC"/>
    <w:rsid w:val="00DA2D32"/>
    <w:rsid w:val="00DA2E63"/>
    <w:rsid w:val="00DA305B"/>
    <w:rsid w:val="00DA313B"/>
    <w:rsid w:val="00DA3199"/>
    <w:rsid w:val="00DA325C"/>
    <w:rsid w:val="00DA32EF"/>
    <w:rsid w:val="00DA3373"/>
    <w:rsid w:val="00DA3462"/>
    <w:rsid w:val="00DA3487"/>
    <w:rsid w:val="00DA34FB"/>
    <w:rsid w:val="00DA35A8"/>
    <w:rsid w:val="00DA3989"/>
    <w:rsid w:val="00DA3A1E"/>
    <w:rsid w:val="00DA3A94"/>
    <w:rsid w:val="00DA3ABC"/>
    <w:rsid w:val="00DA3C76"/>
    <w:rsid w:val="00DA3D02"/>
    <w:rsid w:val="00DA3D46"/>
    <w:rsid w:val="00DA3E62"/>
    <w:rsid w:val="00DA3EBB"/>
    <w:rsid w:val="00DA3EF6"/>
    <w:rsid w:val="00DA3F2A"/>
    <w:rsid w:val="00DA3FB5"/>
    <w:rsid w:val="00DA403B"/>
    <w:rsid w:val="00DA405C"/>
    <w:rsid w:val="00DA4147"/>
    <w:rsid w:val="00DA4199"/>
    <w:rsid w:val="00DA419F"/>
    <w:rsid w:val="00DA4205"/>
    <w:rsid w:val="00DA422E"/>
    <w:rsid w:val="00DA4239"/>
    <w:rsid w:val="00DA42CF"/>
    <w:rsid w:val="00DA4339"/>
    <w:rsid w:val="00DA449A"/>
    <w:rsid w:val="00DA4517"/>
    <w:rsid w:val="00DA4610"/>
    <w:rsid w:val="00DA480C"/>
    <w:rsid w:val="00DA48AB"/>
    <w:rsid w:val="00DA48CE"/>
    <w:rsid w:val="00DA4972"/>
    <w:rsid w:val="00DA4A21"/>
    <w:rsid w:val="00DA4B0A"/>
    <w:rsid w:val="00DA4C75"/>
    <w:rsid w:val="00DA4CD3"/>
    <w:rsid w:val="00DA4E72"/>
    <w:rsid w:val="00DA4E74"/>
    <w:rsid w:val="00DA50E1"/>
    <w:rsid w:val="00DA5204"/>
    <w:rsid w:val="00DA524B"/>
    <w:rsid w:val="00DA5466"/>
    <w:rsid w:val="00DA551E"/>
    <w:rsid w:val="00DA56F7"/>
    <w:rsid w:val="00DA571F"/>
    <w:rsid w:val="00DA57E0"/>
    <w:rsid w:val="00DA5879"/>
    <w:rsid w:val="00DA588C"/>
    <w:rsid w:val="00DA5944"/>
    <w:rsid w:val="00DA59AE"/>
    <w:rsid w:val="00DA59E6"/>
    <w:rsid w:val="00DA5B2F"/>
    <w:rsid w:val="00DA5BB5"/>
    <w:rsid w:val="00DA5D06"/>
    <w:rsid w:val="00DA5E17"/>
    <w:rsid w:val="00DA5E25"/>
    <w:rsid w:val="00DA5E9D"/>
    <w:rsid w:val="00DA5F24"/>
    <w:rsid w:val="00DA607D"/>
    <w:rsid w:val="00DA60DE"/>
    <w:rsid w:val="00DA6139"/>
    <w:rsid w:val="00DA6445"/>
    <w:rsid w:val="00DA65B8"/>
    <w:rsid w:val="00DA65DE"/>
    <w:rsid w:val="00DA67F9"/>
    <w:rsid w:val="00DA68BA"/>
    <w:rsid w:val="00DA69F5"/>
    <w:rsid w:val="00DA6C43"/>
    <w:rsid w:val="00DA6D02"/>
    <w:rsid w:val="00DA6D60"/>
    <w:rsid w:val="00DA6D90"/>
    <w:rsid w:val="00DA6E54"/>
    <w:rsid w:val="00DA6FD9"/>
    <w:rsid w:val="00DA6FE3"/>
    <w:rsid w:val="00DA721D"/>
    <w:rsid w:val="00DA72A1"/>
    <w:rsid w:val="00DA731E"/>
    <w:rsid w:val="00DA74B0"/>
    <w:rsid w:val="00DA7640"/>
    <w:rsid w:val="00DA76BD"/>
    <w:rsid w:val="00DA7709"/>
    <w:rsid w:val="00DA7770"/>
    <w:rsid w:val="00DA77AC"/>
    <w:rsid w:val="00DA77E2"/>
    <w:rsid w:val="00DA77F7"/>
    <w:rsid w:val="00DA781A"/>
    <w:rsid w:val="00DA7941"/>
    <w:rsid w:val="00DA7C83"/>
    <w:rsid w:val="00DA7C88"/>
    <w:rsid w:val="00DA7E6B"/>
    <w:rsid w:val="00DB00A3"/>
    <w:rsid w:val="00DB00F6"/>
    <w:rsid w:val="00DB012E"/>
    <w:rsid w:val="00DB01DA"/>
    <w:rsid w:val="00DB030A"/>
    <w:rsid w:val="00DB0339"/>
    <w:rsid w:val="00DB0379"/>
    <w:rsid w:val="00DB042F"/>
    <w:rsid w:val="00DB05F8"/>
    <w:rsid w:val="00DB060F"/>
    <w:rsid w:val="00DB062B"/>
    <w:rsid w:val="00DB0705"/>
    <w:rsid w:val="00DB07EC"/>
    <w:rsid w:val="00DB0AEA"/>
    <w:rsid w:val="00DB0B61"/>
    <w:rsid w:val="00DB0D9B"/>
    <w:rsid w:val="00DB0DC5"/>
    <w:rsid w:val="00DB0EF6"/>
    <w:rsid w:val="00DB0FDC"/>
    <w:rsid w:val="00DB103E"/>
    <w:rsid w:val="00DB105C"/>
    <w:rsid w:val="00DB11AB"/>
    <w:rsid w:val="00DB1221"/>
    <w:rsid w:val="00DB135C"/>
    <w:rsid w:val="00DB1385"/>
    <w:rsid w:val="00DB1402"/>
    <w:rsid w:val="00DB1474"/>
    <w:rsid w:val="00DB1663"/>
    <w:rsid w:val="00DB1846"/>
    <w:rsid w:val="00DB1930"/>
    <w:rsid w:val="00DB196C"/>
    <w:rsid w:val="00DB1ADA"/>
    <w:rsid w:val="00DB1B75"/>
    <w:rsid w:val="00DB1B80"/>
    <w:rsid w:val="00DB1BB1"/>
    <w:rsid w:val="00DB1C96"/>
    <w:rsid w:val="00DB1DF3"/>
    <w:rsid w:val="00DB1F6B"/>
    <w:rsid w:val="00DB1F6C"/>
    <w:rsid w:val="00DB1FD6"/>
    <w:rsid w:val="00DB2055"/>
    <w:rsid w:val="00DB2080"/>
    <w:rsid w:val="00DB2138"/>
    <w:rsid w:val="00DB226D"/>
    <w:rsid w:val="00DB22D1"/>
    <w:rsid w:val="00DB2302"/>
    <w:rsid w:val="00DB2344"/>
    <w:rsid w:val="00DB24EA"/>
    <w:rsid w:val="00DB2558"/>
    <w:rsid w:val="00DB25A7"/>
    <w:rsid w:val="00DB25E5"/>
    <w:rsid w:val="00DB284F"/>
    <w:rsid w:val="00DB28F4"/>
    <w:rsid w:val="00DB2962"/>
    <w:rsid w:val="00DB2ADE"/>
    <w:rsid w:val="00DB2BF7"/>
    <w:rsid w:val="00DB2DC5"/>
    <w:rsid w:val="00DB2DFF"/>
    <w:rsid w:val="00DB2E40"/>
    <w:rsid w:val="00DB2F37"/>
    <w:rsid w:val="00DB2F39"/>
    <w:rsid w:val="00DB2FA1"/>
    <w:rsid w:val="00DB3095"/>
    <w:rsid w:val="00DB30A1"/>
    <w:rsid w:val="00DB320A"/>
    <w:rsid w:val="00DB3236"/>
    <w:rsid w:val="00DB3290"/>
    <w:rsid w:val="00DB32FF"/>
    <w:rsid w:val="00DB33D9"/>
    <w:rsid w:val="00DB3425"/>
    <w:rsid w:val="00DB3452"/>
    <w:rsid w:val="00DB3468"/>
    <w:rsid w:val="00DB35D8"/>
    <w:rsid w:val="00DB36A5"/>
    <w:rsid w:val="00DB36CC"/>
    <w:rsid w:val="00DB3777"/>
    <w:rsid w:val="00DB37BD"/>
    <w:rsid w:val="00DB39E3"/>
    <w:rsid w:val="00DB39F9"/>
    <w:rsid w:val="00DB3A08"/>
    <w:rsid w:val="00DB3AF4"/>
    <w:rsid w:val="00DB3C8D"/>
    <w:rsid w:val="00DB3C9E"/>
    <w:rsid w:val="00DB3CCC"/>
    <w:rsid w:val="00DB3D00"/>
    <w:rsid w:val="00DB3DEF"/>
    <w:rsid w:val="00DB3E39"/>
    <w:rsid w:val="00DB3FA8"/>
    <w:rsid w:val="00DB406D"/>
    <w:rsid w:val="00DB4093"/>
    <w:rsid w:val="00DB42A8"/>
    <w:rsid w:val="00DB4509"/>
    <w:rsid w:val="00DB4571"/>
    <w:rsid w:val="00DB45A2"/>
    <w:rsid w:val="00DB4716"/>
    <w:rsid w:val="00DB49EA"/>
    <w:rsid w:val="00DB4B46"/>
    <w:rsid w:val="00DB4BA9"/>
    <w:rsid w:val="00DB4CE3"/>
    <w:rsid w:val="00DB4D54"/>
    <w:rsid w:val="00DB4D87"/>
    <w:rsid w:val="00DB4D95"/>
    <w:rsid w:val="00DB5294"/>
    <w:rsid w:val="00DB52FB"/>
    <w:rsid w:val="00DB5471"/>
    <w:rsid w:val="00DB549D"/>
    <w:rsid w:val="00DB55CF"/>
    <w:rsid w:val="00DB567D"/>
    <w:rsid w:val="00DB576E"/>
    <w:rsid w:val="00DB57F6"/>
    <w:rsid w:val="00DB57F8"/>
    <w:rsid w:val="00DB583F"/>
    <w:rsid w:val="00DB5965"/>
    <w:rsid w:val="00DB596A"/>
    <w:rsid w:val="00DB5A3E"/>
    <w:rsid w:val="00DB5AFE"/>
    <w:rsid w:val="00DB5B44"/>
    <w:rsid w:val="00DB5BCF"/>
    <w:rsid w:val="00DB5C79"/>
    <w:rsid w:val="00DB5D50"/>
    <w:rsid w:val="00DB5F67"/>
    <w:rsid w:val="00DB5FBC"/>
    <w:rsid w:val="00DB60DF"/>
    <w:rsid w:val="00DB629E"/>
    <w:rsid w:val="00DB63DE"/>
    <w:rsid w:val="00DB659C"/>
    <w:rsid w:val="00DB65F0"/>
    <w:rsid w:val="00DB65FB"/>
    <w:rsid w:val="00DB660E"/>
    <w:rsid w:val="00DB6698"/>
    <w:rsid w:val="00DB6745"/>
    <w:rsid w:val="00DB6796"/>
    <w:rsid w:val="00DB6815"/>
    <w:rsid w:val="00DB6965"/>
    <w:rsid w:val="00DB6C93"/>
    <w:rsid w:val="00DB6CFC"/>
    <w:rsid w:val="00DB6DB2"/>
    <w:rsid w:val="00DB6ED0"/>
    <w:rsid w:val="00DB707C"/>
    <w:rsid w:val="00DB70D2"/>
    <w:rsid w:val="00DB7411"/>
    <w:rsid w:val="00DB75C1"/>
    <w:rsid w:val="00DB760F"/>
    <w:rsid w:val="00DB765C"/>
    <w:rsid w:val="00DB76AA"/>
    <w:rsid w:val="00DB771E"/>
    <w:rsid w:val="00DB7878"/>
    <w:rsid w:val="00DB7928"/>
    <w:rsid w:val="00DB79F4"/>
    <w:rsid w:val="00DB7ADA"/>
    <w:rsid w:val="00DB7C40"/>
    <w:rsid w:val="00DB7CBF"/>
    <w:rsid w:val="00DB7D8F"/>
    <w:rsid w:val="00DB7ECD"/>
    <w:rsid w:val="00DB7FEF"/>
    <w:rsid w:val="00DC0096"/>
    <w:rsid w:val="00DC013B"/>
    <w:rsid w:val="00DC0194"/>
    <w:rsid w:val="00DC033D"/>
    <w:rsid w:val="00DC03CD"/>
    <w:rsid w:val="00DC045F"/>
    <w:rsid w:val="00DC04EE"/>
    <w:rsid w:val="00DC0526"/>
    <w:rsid w:val="00DC065D"/>
    <w:rsid w:val="00DC067D"/>
    <w:rsid w:val="00DC0722"/>
    <w:rsid w:val="00DC0727"/>
    <w:rsid w:val="00DC0770"/>
    <w:rsid w:val="00DC090B"/>
    <w:rsid w:val="00DC0ADC"/>
    <w:rsid w:val="00DC0DE5"/>
    <w:rsid w:val="00DC0E60"/>
    <w:rsid w:val="00DC0E7F"/>
    <w:rsid w:val="00DC113A"/>
    <w:rsid w:val="00DC121B"/>
    <w:rsid w:val="00DC1249"/>
    <w:rsid w:val="00DC1678"/>
    <w:rsid w:val="00DC1679"/>
    <w:rsid w:val="00DC17BC"/>
    <w:rsid w:val="00DC17EF"/>
    <w:rsid w:val="00DC198C"/>
    <w:rsid w:val="00DC19E8"/>
    <w:rsid w:val="00DC1BC2"/>
    <w:rsid w:val="00DC1BEA"/>
    <w:rsid w:val="00DC1E40"/>
    <w:rsid w:val="00DC1FDA"/>
    <w:rsid w:val="00DC2036"/>
    <w:rsid w:val="00DC2126"/>
    <w:rsid w:val="00DC219B"/>
    <w:rsid w:val="00DC224A"/>
    <w:rsid w:val="00DC22A1"/>
    <w:rsid w:val="00DC22D7"/>
    <w:rsid w:val="00DC256F"/>
    <w:rsid w:val="00DC269D"/>
    <w:rsid w:val="00DC27D1"/>
    <w:rsid w:val="00DC28C2"/>
    <w:rsid w:val="00DC298F"/>
    <w:rsid w:val="00DC29E5"/>
    <w:rsid w:val="00DC2A89"/>
    <w:rsid w:val="00DC2B19"/>
    <w:rsid w:val="00DC2CF1"/>
    <w:rsid w:val="00DC2DC7"/>
    <w:rsid w:val="00DC2EA0"/>
    <w:rsid w:val="00DC31A3"/>
    <w:rsid w:val="00DC32F8"/>
    <w:rsid w:val="00DC3323"/>
    <w:rsid w:val="00DC3434"/>
    <w:rsid w:val="00DC3458"/>
    <w:rsid w:val="00DC38AA"/>
    <w:rsid w:val="00DC38AF"/>
    <w:rsid w:val="00DC3A7C"/>
    <w:rsid w:val="00DC3AE0"/>
    <w:rsid w:val="00DC3BAE"/>
    <w:rsid w:val="00DC3CDA"/>
    <w:rsid w:val="00DC3D4E"/>
    <w:rsid w:val="00DC3DA6"/>
    <w:rsid w:val="00DC4042"/>
    <w:rsid w:val="00DC40E3"/>
    <w:rsid w:val="00DC428B"/>
    <w:rsid w:val="00DC45DE"/>
    <w:rsid w:val="00DC45F5"/>
    <w:rsid w:val="00DC4646"/>
    <w:rsid w:val="00DC4845"/>
    <w:rsid w:val="00DC4946"/>
    <w:rsid w:val="00DC4D25"/>
    <w:rsid w:val="00DC4F99"/>
    <w:rsid w:val="00DC4FA4"/>
    <w:rsid w:val="00DC4FCF"/>
    <w:rsid w:val="00DC50DF"/>
    <w:rsid w:val="00DC50E0"/>
    <w:rsid w:val="00DC51BB"/>
    <w:rsid w:val="00DC52A4"/>
    <w:rsid w:val="00DC539B"/>
    <w:rsid w:val="00DC53A9"/>
    <w:rsid w:val="00DC53D8"/>
    <w:rsid w:val="00DC54BA"/>
    <w:rsid w:val="00DC54C3"/>
    <w:rsid w:val="00DC580D"/>
    <w:rsid w:val="00DC5838"/>
    <w:rsid w:val="00DC5A5F"/>
    <w:rsid w:val="00DC5C1A"/>
    <w:rsid w:val="00DC5C65"/>
    <w:rsid w:val="00DC5D60"/>
    <w:rsid w:val="00DC5DD6"/>
    <w:rsid w:val="00DC5E21"/>
    <w:rsid w:val="00DC5EE3"/>
    <w:rsid w:val="00DC5FE2"/>
    <w:rsid w:val="00DC6075"/>
    <w:rsid w:val="00DC6099"/>
    <w:rsid w:val="00DC60EF"/>
    <w:rsid w:val="00DC614C"/>
    <w:rsid w:val="00DC6182"/>
    <w:rsid w:val="00DC629A"/>
    <w:rsid w:val="00DC6386"/>
    <w:rsid w:val="00DC649B"/>
    <w:rsid w:val="00DC6589"/>
    <w:rsid w:val="00DC66FF"/>
    <w:rsid w:val="00DC681C"/>
    <w:rsid w:val="00DC6906"/>
    <w:rsid w:val="00DC691D"/>
    <w:rsid w:val="00DC6B2D"/>
    <w:rsid w:val="00DC6B71"/>
    <w:rsid w:val="00DC6D24"/>
    <w:rsid w:val="00DC6E92"/>
    <w:rsid w:val="00DC6ED4"/>
    <w:rsid w:val="00DC7043"/>
    <w:rsid w:val="00DC7060"/>
    <w:rsid w:val="00DC710B"/>
    <w:rsid w:val="00DC7187"/>
    <w:rsid w:val="00DC724A"/>
    <w:rsid w:val="00DC72EB"/>
    <w:rsid w:val="00DC7396"/>
    <w:rsid w:val="00DC73B2"/>
    <w:rsid w:val="00DC73D1"/>
    <w:rsid w:val="00DC7442"/>
    <w:rsid w:val="00DC748C"/>
    <w:rsid w:val="00DC75CF"/>
    <w:rsid w:val="00DC75D6"/>
    <w:rsid w:val="00DC7608"/>
    <w:rsid w:val="00DC763C"/>
    <w:rsid w:val="00DC7642"/>
    <w:rsid w:val="00DC7678"/>
    <w:rsid w:val="00DC7747"/>
    <w:rsid w:val="00DC77A2"/>
    <w:rsid w:val="00DC7826"/>
    <w:rsid w:val="00DC7886"/>
    <w:rsid w:val="00DC78BD"/>
    <w:rsid w:val="00DC794A"/>
    <w:rsid w:val="00DC79EF"/>
    <w:rsid w:val="00DC7C87"/>
    <w:rsid w:val="00DC7DD3"/>
    <w:rsid w:val="00DC7F88"/>
    <w:rsid w:val="00DD0005"/>
    <w:rsid w:val="00DD009E"/>
    <w:rsid w:val="00DD02EE"/>
    <w:rsid w:val="00DD0306"/>
    <w:rsid w:val="00DD0324"/>
    <w:rsid w:val="00DD0331"/>
    <w:rsid w:val="00DD045E"/>
    <w:rsid w:val="00DD072F"/>
    <w:rsid w:val="00DD0754"/>
    <w:rsid w:val="00DD07AA"/>
    <w:rsid w:val="00DD0843"/>
    <w:rsid w:val="00DD094E"/>
    <w:rsid w:val="00DD0AB2"/>
    <w:rsid w:val="00DD0BEA"/>
    <w:rsid w:val="00DD0C86"/>
    <w:rsid w:val="00DD0CFF"/>
    <w:rsid w:val="00DD0E71"/>
    <w:rsid w:val="00DD0F13"/>
    <w:rsid w:val="00DD0FA2"/>
    <w:rsid w:val="00DD0FCD"/>
    <w:rsid w:val="00DD1001"/>
    <w:rsid w:val="00DD111F"/>
    <w:rsid w:val="00DD1130"/>
    <w:rsid w:val="00DD11F2"/>
    <w:rsid w:val="00DD13C1"/>
    <w:rsid w:val="00DD155C"/>
    <w:rsid w:val="00DD1663"/>
    <w:rsid w:val="00DD16AB"/>
    <w:rsid w:val="00DD17A7"/>
    <w:rsid w:val="00DD17D9"/>
    <w:rsid w:val="00DD182D"/>
    <w:rsid w:val="00DD1861"/>
    <w:rsid w:val="00DD1951"/>
    <w:rsid w:val="00DD1974"/>
    <w:rsid w:val="00DD1A4E"/>
    <w:rsid w:val="00DD1B18"/>
    <w:rsid w:val="00DD1CB6"/>
    <w:rsid w:val="00DD1DAB"/>
    <w:rsid w:val="00DD1E6D"/>
    <w:rsid w:val="00DD1F50"/>
    <w:rsid w:val="00DD1F55"/>
    <w:rsid w:val="00DD21EE"/>
    <w:rsid w:val="00DD22BF"/>
    <w:rsid w:val="00DD24A9"/>
    <w:rsid w:val="00DD2516"/>
    <w:rsid w:val="00DD2657"/>
    <w:rsid w:val="00DD267A"/>
    <w:rsid w:val="00DD269A"/>
    <w:rsid w:val="00DD2763"/>
    <w:rsid w:val="00DD28FC"/>
    <w:rsid w:val="00DD29E2"/>
    <w:rsid w:val="00DD2A0B"/>
    <w:rsid w:val="00DD2A5E"/>
    <w:rsid w:val="00DD2C20"/>
    <w:rsid w:val="00DD2CC0"/>
    <w:rsid w:val="00DD2E46"/>
    <w:rsid w:val="00DD2F54"/>
    <w:rsid w:val="00DD2F73"/>
    <w:rsid w:val="00DD2F9A"/>
    <w:rsid w:val="00DD2FD6"/>
    <w:rsid w:val="00DD30C0"/>
    <w:rsid w:val="00DD3102"/>
    <w:rsid w:val="00DD3138"/>
    <w:rsid w:val="00DD31DF"/>
    <w:rsid w:val="00DD321D"/>
    <w:rsid w:val="00DD323B"/>
    <w:rsid w:val="00DD3379"/>
    <w:rsid w:val="00DD34BE"/>
    <w:rsid w:val="00DD34F4"/>
    <w:rsid w:val="00DD3527"/>
    <w:rsid w:val="00DD3585"/>
    <w:rsid w:val="00DD35DB"/>
    <w:rsid w:val="00DD3792"/>
    <w:rsid w:val="00DD392F"/>
    <w:rsid w:val="00DD3936"/>
    <w:rsid w:val="00DD39A8"/>
    <w:rsid w:val="00DD3AF7"/>
    <w:rsid w:val="00DD3B20"/>
    <w:rsid w:val="00DD3BFF"/>
    <w:rsid w:val="00DD3C0B"/>
    <w:rsid w:val="00DD3CF8"/>
    <w:rsid w:val="00DD3DB2"/>
    <w:rsid w:val="00DD3F9F"/>
    <w:rsid w:val="00DD3FCF"/>
    <w:rsid w:val="00DD408C"/>
    <w:rsid w:val="00DD4189"/>
    <w:rsid w:val="00DD41AD"/>
    <w:rsid w:val="00DD42C3"/>
    <w:rsid w:val="00DD437F"/>
    <w:rsid w:val="00DD4520"/>
    <w:rsid w:val="00DD4547"/>
    <w:rsid w:val="00DD45FC"/>
    <w:rsid w:val="00DD46EE"/>
    <w:rsid w:val="00DD47F4"/>
    <w:rsid w:val="00DD487D"/>
    <w:rsid w:val="00DD497E"/>
    <w:rsid w:val="00DD4A00"/>
    <w:rsid w:val="00DD4B08"/>
    <w:rsid w:val="00DD4B90"/>
    <w:rsid w:val="00DD4BC0"/>
    <w:rsid w:val="00DD4C23"/>
    <w:rsid w:val="00DD4E83"/>
    <w:rsid w:val="00DD502D"/>
    <w:rsid w:val="00DD503C"/>
    <w:rsid w:val="00DD53F1"/>
    <w:rsid w:val="00DD54D5"/>
    <w:rsid w:val="00DD5519"/>
    <w:rsid w:val="00DD5551"/>
    <w:rsid w:val="00DD55BE"/>
    <w:rsid w:val="00DD5700"/>
    <w:rsid w:val="00DD575C"/>
    <w:rsid w:val="00DD57B0"/>
    <w:rsid w:val="00DD5A10"/>
    <w:rsid w:val="00DD5A1E"/>
    <w:rsid w:val="00DD5B2E"/>
    <w:rsid w:val="00DD5B37"/>
    <w:rsid w:val="00DD5B48"/>
    <w:rsid w:val="00DD5D7B"/>
    <w:rsid w:val="00DD5ECE"/>
    <w:rsid w:val="00DD60CD"/>
    <w:rsid w:val="00DD6195"/>
    <w:rsid w:val="00DD6314"/>
    <w:rsid w:val="00DD63F1"/>
    <w:rsid w:val="00DD65FC"/>
    <w:rsid w:val="00DD6628"/>
    <w:rsid w:val="00DD66B3"/>
    <w:rsid w:val="00DD689D"/>
    <w:rsid w:val="00DD68EC"/>
    <w:rsid w:val="00DD6945"/>
    <w:rsid w:val="00DD69C5"/>
    <w:rsid w:val="00DD6A07"/>
    <w:rsid w:val="00DD6AFD"/>
    <w:rsid w:val="00DD6BA6"/>
    <w:rsid w:val="00DD6C1D"/>
    <w:rsid w:val="00DD6C3D"/>
    <w:rsid w:val="00DD6D22"/>
    <w:rsid w:val="00DD6E29"/>
    <w:rsid w:val="00DD6EBF"/>
    <w:rsid w:val="00DD6F04"/>
    <w:rsid w:val="00DD70CF"/>
    <w:rsid w:val="00DD71D4"/>
    <w:rsid w:val="00DD7219"/>
    <w:rsid w:val="00DD7228"/>
    <w:rsid w:val="00DD7497"/>
    <w:rsid w:val="00DD74B1"/>
    <w:rsid w:val="00DD74C1"/>
    <w:rsid w:val="00DD7537"/>
    <w:rsid w:val="00DD7583"/>
    <w:rsid w:val="00DD77A0"/>
    <w:rsid w:val="00DD7918"/>
    <w:rsid w:val="00DD79B4"/>
    <w:rsid w:val="00DD79E9"/>
    <w:rsid w:val="00DD7BE6"/>
    <w:rsid w:val="00DD7D4C"/>
    <w:rsid w:val="00DD7D95"/>
    <w:rsid w:val="00DD7F8C"/>
    <w:rsid w:val="00DD7FD2"/>
    <w:rsid w:val="00DE0006"/>
    <w:rsid w:val="00DE0062"/>
    <w:rsid w:val="00DE015C"/>
    <w:rsid w:val="00DE023E"/>
    <w:rsid w:val="00DE02F5"/>
    <w:rsid w:val="00DE0352"/>
    <w:rsid w:val="00DE0359"/>
    <w:rsid w:val="00DE03F6"/>
    <w:rsid w:val="00DE04BA"/>
    <w:rsid w:val="00DE04CA"/>
    <w:rsid w:val="00DE0855"/>
    <w:rsid w:val="00DE0989"/>
    <w:rsid w:val="00DE0AD1"/>
    <w:rsid w:val="00DE10B3"/>
    <w:rsid w:val="00DE115D"/>
    <w:rsid w:val="00DE1264"/>
    <w:rsid w:val="00DE1284"/>
    <w:rsid w:val="00DE12DB"/>
    <w:rsid w:val="00DE12F3"/>
    <w:rsid w:val="00DE1310"/>
    <w:rsid w:val="00DE1387"/>
    <w:rsid w:val="00DE139F"/>
    <w:rsid w:val="00DE1659"/>
    <w:rsid w:val="00DE16A1"/>
    <w:rsid w:val="00DE16AA"/>
    <w:rsid w:val="00DE1913"/>
    <w:rsid w:val="00DE1AD0"/>
    <w:rsid w:val="00DE1B25"/>
    <w:rsid w:val="00DE1B3E"/>
    <w:rsid w:val="00DE1C3E"/>
    <w:rsid w:val="00DE1CB3"/>
    <w:rsid w:val="00DE1D96"/>
    <w:rsid w:val="00DE1DEE"/>
    <w:rsid w:val="00DE1EFC"/>
    <w:rsid w:val="00DE1F17"/>
    <w:rsid w:val="00DE202E"/>
    <w:rsid w:val="00DE21B3"/>
    <w:rsid w:val="00DE2241"/>
    <w:rsid w:val="00DE235B"/>
    <w:rsid w:val="00DE237D"/>
    <w:rsid w:val="00DE23CB"/>
    <w:rsid w:val="00DE2519"/>
    <w:rsid w:val="00DE26C6"/>
    <w:rsid w:val="00DE26D4"/>
    <w:rsid w:val="00DE285A"/>
    <w:rsid w:val="00DE2ACA"/>
    <w:rsid w:val="00DE2B8E"/>
    <w:rsid w:val="00DE2BAD"/>
    <w:rsid w:val="00DE2C0A"/>
    <w:rsid w:val="00DE2C57"/>
    <w:rsid w:val="00DE2C7C"/>
    <w:rsid w:val="00DE2D04"/>
    <w:rsid w:val="00DE2D9C"/>
    <w:rsid w:val="00DE2DCD"/>
    <w:rsid w:val="00DE2DF0"/>
    <w:rsid w:val="00DE2E9A"/>
    <w:rsid w:val="00DE2FF5"/>
    <w:rsid w:val="00DE31B2"/>
    <w:rsid w:val="00DE321C"/>
    <w:rsid w:val="00DE324B"/>
    <w:rsid w:val="00DE3250"/>
    <w:rsid w:val="00DE33DD"/>
    <w:rsid w:val="00DE344B"/>
    <w:rsid w:val="00DE353C"/>
    <w:rsid w:val="00DE3621"/>
    <w:rsid w:val="00DE367C"/>
    <w:rsid w:val="00DE3946"/>
    <w:rsid w:val="00DE3DF0"/>
    <w:rsid w:val="00DE3E3A"/>
    <w:rsid w:val="00DE3ED6"/>
    <w:rsid w:val="00DE3F35"/>
    <w:rsid w:val="00DE407A"/>
    <w:rsid w:val="00DE4211"/>
    <w:rsid w:val="00DE4280"/>
    <w:rsid w:val="00DE4342"/>
    <w:rsid w:val="00DE45E5"/>
    <w:rsid w:val="00DE489B"/>
    <w:rsid w:val="00DE494C"/>
    <w:rsid w:val="00DE4968"/>
    <w:rsid w:val="00DE4A52"/>
    <w:rsid w:val="00DE4B55"/>
    <w:rsid w:val="00DE4B6C"/>
    <w:rsid w:val="00DE4B77"/>
    <w:rsid w:val="00DE4BD6"/>
    <w:rsid w:val="00DE4F16"/>
    <w:rsid w:val="00DE4FFD"/>
    <w:rsid w:val="00DE50A4"/>
    <w:rsid w:val="00DE51A4"/>
    <w:rsid w:val="00DE51F5"/>
    <w:rsid w:val="00DE52A9"/>
    <w:rsid w:val="00DE5345"/>
    <w:rsid w:val="00DE542E"/>
    <w:rsid w:val="00DE5612"/>
    <w:rsid w:val="00DE563D"/>
    <w:rsid w:val="00DE580F"/>
    <w:rsid w:val="00DE5912"/>
    <w:rsid w:val="00DE5955"/>
    <w:rsid w:val="00DE59B0"/>
    <w:rsid w:val="00DE59BB"/>
    <w:rsid w:val="00DE5B3A"/>
    <w:rsid w:val="00DE5B3F"/>
    <w:rsid w:val="00DE5B92"/>
    <w:rsid w:val="00DE5C75"/>
    <w:rsid w:val="00DE5DB3"/>
    <w:rsid w:val="00DE5E58"/>
    <w:rsid w:val="00DE6028"/>
    <w:rsid w:val="00DE6047"/>
    <w:rsid w:val="00DE60FE"/>
    <w:rsid w:val="00DE628D"/>
    <w:rsid w:val="00DE6328"/>
    <w:rsid w:val="00DE669A"/>
    <w:rsid w:val="00DE66C0"/>
    <w:rsid w:val="00DE674E"/>
    <w:rsid w:val="00DE67A6"/>
    <w:rsid w:val="00DE67CC"/>
    <w:rsid w:val="00DE6963"/>
    <w:rsid w:val="00DE6AFA"/>
    <w:rsid w:val="00DE6B56"/>
    <w:rsid w:val="00DE6BAD"/>
    <w:rsid w:val="00DE6C75"/>
    <w:rsid w:val="00DE6C85"/>
    <w:rsid w:val="00DE6D80"/>
    <w:rsid w:val="00DE6DD4"/>
    <w:rsid w:val="00DE6E60"/>
    <w:rsid w:val="00DE6F6C"/>
    <w:rsid w:val="00DE7184"/>
    <w:rsid w:val="00DE726F"/>
    <w:rsid w:val="00DE7290"/>
    <w:rsid w:val="00DE74E7"/>
    <w:rsid w:val="00DE77AC"/>
    <w:rsid w:val="00DE78A3"/>
    <w:rsid w:val="00DE78F3"/>
    <w:rsid w:val="00DE79BF"/>
    <w:rsid w:val="00DE7AE1"/>
    <w:rsid w:val="00DE7B03"/>
    <w:rsid w:val="00DE7C7F"/>
    <w:rsid w:val="00DE7CAC"/>
    <w:rsid w:val="00DE7D4F"/>
    <w:rsid w:val="00DE7FD2"/>
    <w:rsid w:val="00DF003A"/>
    <w:rsid w:val="00DF005C"/>
    <w:rsid w:val="00DF0103"/>
    <w:rsid w:val="00DF0299"/>
    <w:rsid w:val="00DF02E6"/>
    <w:rsid w:val="00DF0373"/>
    <w:rsid w:val="00DF03BC"/>
    <w:rsid w:val="00DF03F6"/>
    <w:rsid w:val="00DF0460"/>
    <w:rsid w:val="00DF0579"/>
    <w:rsid w:val="00DF073F"/>
    <w:rsid w:val="00DF07E5"/>
    <w:rsid w:val="00DF08F7"/>
    <w:rsid w:val="00DF0950"/>
    <w:rsid w:val="00DF09AF"/>
    <w:rsid w:val="00DF09D0"/>
    <w:rsid w:val="00DF09EA"/>
    <w:rsid w:val="00DF0A1F"/>
    <w:rsid w:val="00DF0A6D"/>
    <w:rsid w:val="00DF0A6E"/>
    <w:rsid w:val="00DF0AB4"/>
    <w:rsid w:val="00DF0B73"/>
    <w:rsid w:val="00DF0B87"/>
    <w:rsid w:val="00DF0BB5"/>
    <w:rsid w:val="00DF0BF2"/>
    <w:rsid w:val="00DF0DF3"/>
    <w:rsid w:val="00DF0F80"/>
    <w:rsid w:val="00DF1095"/>
    <w:rsid w:val="00DF10A0"/>
    <w:rsid w:val="00DF118B"/>
    <w:rsid w:val="00DF126B"/>
    <w:rsid w:val="00DF13DE"/>
    <w:rsid w:val="00DF13F6"/>
    <w:rsid w:val="00DF14B6"/>
    <w:rsid w:val="00DF14EC"/>
    <w:rsid w:val="00DF19AD"/>
    <w:rsid w:val="00DF1A71"/>
    <w:rsid w:val="00DF1A80"/>
    <w:rsid w:val="00DF1A8E"/>
    <w:rsid w:val="00DF1AAF"/>
    <w:rsid w:val="00DF1AB9"/>
    <w:rsid w:val="00DF1B67"/>
    <w:rsid w:val="00DF1C75"/>
    <w:rsid w:val="00DF1CF7"/>
    <w:rsid w:val="00DF1D6D"/>
    <w:rsid w:val="00DF20F2"/>
    <w:rsid w:val="00DF2105"/>
    <w:rsid w:val="00DF2118"/>
    <w:rsid w:val="00DF2130"/>
    <w:rsid w:val="00DF2242"/>
    <w:rsid w:val="00DF2327"/>
    <w:rsid w:val="00DF242C"/>
    <w:rsid w:val="00DF2454"/>
    <w:rsid w:val="00DF26CF"/>
    <w:rsid w:val="00DF2793"/>
    <w:rsid w:val="00DF27C7"/>
    <w:rsid w:val="00DF2AA5"/>
    <w:rsid w:val="00DF2B45"/>
    <w:rsid w:val="00DF2BBE"/>
    <w:rsid w:val="00DF2CF9"/>
    <w:rsid w:val="00DF2D54"/>
    <w:rsid w:val="00DF2E71"/>
    <w:rsid w:val="00DF2E94"/>
    <w:rsid w:val="00DF2EE0"/>
    <w:rsid w:val="00DF2F92"/>
    <w:rsid w:val="00DF307F"/>
    <w:rsid w:val="00DF315C"/>
    <w:rsid w:val="00DF32B1"/>
    <w:rsid w:val="00DF32C0"/>
    <w:rsid w:val="00DF330C"/>
    <w:rsid w:val="00DF33A1"/>
    <w:rsid w:val="00DF34E0"/>
    <w:rsid w:val="00DF34F9"/>
    <w:rsid w:val="00DF35C8"/>
    <w:rsid w:val="00DF36D1"/>
    <w:rsid w:val="00DF3945"/>
    <w:rsid w:val="00DF396D"/>
    <w:rsid w:val="00DF3AB7"/>
    <w:rsid w:val="00DF3AD3"/>
    <w:rsid w:val="00DF3AD9"/>
    <w:rsid w:val="00DF3CB8"/>
    <w:rsid w:val="00DF3E1E"/>
    <w:rsid w:val="00DF3EAB"/>
    <w:rsid w:val="00DF4065"/>
    <w:rsid w:val="00DF40A0"/>
    <w:rsid w:val="00DF410E"/>
    <w:rsid w:val="00DF411F"/>
    <w:rsid w:val="00DF4151"/>
    <w:rsid w:val="00DF416F"/>
    <w:rsid w:val="00DF43BD"/>
    <w:rsid w:val="00DF4443"/>
    <w:rsid w:val="00DF4466"/>
    <w:rsid w:val="00DF4470"/>
    <w:rsid w:val="00DF44BD"/>
    <w:rsid w:val="00DF4581"/>
    <w:rsid w:val="00DF45E2"/>
    <w:rsid w:val="00DF4620"/>
    <w:rsid w:val="00DF46ED"/>
    <w:rsid w:val="00DF46F7"/>
    <w:rsid w:val="00DF474D"/>
    <w:rsid w:val="00DF4753"/>
    <w:rsid w:val="00DF4869"/>
    <w:rsid w:val="00DF4C25"/>
    <w:rsid w:val="00DF4E91"/>
    <w:rsid w:val="00DF4EAB"/>
    <w:rsid w:val="00DF50FC"/>
    <w:rsid w:val="00DF5258"/>
    <w:rsid w:val="00DF53DB"/>
    <w:rsid w:val="00DF5526"/>
    <w:rsid w:val="00DF55C8"/>
    <w:rsid w:val="00DF56ED"/>
    <w:rsid w:val="00DF5779"/>
    <w:rsid w:val="00DF5821"/>
    <w:rsid w:val="00DF5869"/>
    <w:rsid w:val="00DF5AAE"/>
    <w:rsid w:val="00DF5BEB"/>
    <w:rsid w:val="00DF5C71"/>
    <w:rsid w:val="00DF5D21"/>
    <w:rsid w:val="00DF6054"/>
    <w:rsid w:val="00DF60E8"/>
    <w:rsid w:val="00DF62CA"/>
    <w:rsid w:val="00DF6325"/>
    <w:rsid w:val="00DF666E"/>
    <w:rsid w:val="00DF6846"/>
    <w:rsid w:val="00DF68C7"/>
    <w:rsid w:val="00DF6900"/>
    <w:rsid w:val="00DF69C0"/>
    <w:rsid w:val="00DF69D0"/>
    <w:rsid w:val="00DF69F2"/>
    <w:rsid w:val="00DF6D83"/>
    <w:rsid w:val="00DF6DC6"/>
    <w:rsid w:val="00DF6E0F"/>
    <w:rsid w:val="00DF6F3C"/>
    <w:rsid w:val="00DF700F"/>
    <w:rsid w:val="00DF710B"/>
    <w:rsid w:val="00DF71D1"/>
    <w:rsid w:val="00DF71EC"/>
    <w:rsid w:val="00DF721C"/>
    <w:rsid w:val="00DF731A"/>
    <w:rsid w:val="00DF7355"/>
    <w:rsid w:val="00DF746C"/>
    <w:rsid w:val="00DF74A1"/>
    <w:rsid w:val="00DF7829"/>
    <w:rsid w:val="00DF78C2"/>
    <w:rsid w:val="00DF7937"/>
    <w:rsid w:val="00DF7A50"/>
    <w:rsid w:val="00DF7C48"/>
    <w:rsid w:val="00DF7CA2"/>
    <w:rsid w:val="00DF7D1E"/>
    <w:rsid w:val="00DF7D84"/>
    <w:rsid w:val="00DF7E27"/>
    <w:rsid w:val="00DF7EEB"/>
    <w:rsid w:val="00DF7FB0"/>
    <w:rsid w:val="00E0012A"/>
    <w:rsid w:val="00E00135"/>
    <w:rsid w:val="00E004D3"/>
    <w:rsid w:val="00E0079D"/>
    <w:rsid w:val="00E00978"/>
    <w:rsid w:val="00E00A13"/>
    <w:rsid w:val="00E00A18"/>
    <w:rsid w:val="00E00AD0"/>
    <w:rsid w:val="00E00BD2"/>
    <w:rsid w:val="00E00DB7"/>
    <w:rsid w:val="00E00F09"/>
    <w:rsid w:val="00E0111E"/>
    <w:rsid w:val="00E0134F"/>
    <w:rsid w:val="00E0141B"/>
    <w:rsid w:val="00E014CA"/>
    <w:rsid w:val="00E014E1"/>
    <w:rsid w:val="00E014EA"/>
    <w:rsid w:val="00E015D9"/>
    <w:rsid w:val="00E016B9"/>
    <w:rsid w:val="00E01777"/>
    <w:rsid w:val="00E01887"/>
    <w:rsid w:val="00E018F6"/>
    <w:rsid w:val="00E019F4"/>
    <w:rsid w:val="00E01B0A"/>
    <w:rsid w:val="00E01DC1"/>
    <w:rsid w:val="00E01E43"/>
    <w:rsid w:val="00E01EA6"/>
    <w:rsid w:val="00E01FDA"/>
    <w:rsid w:val="00E01FEB"/>
    <w:rsid w:val="00E020A3"/>
    <w:rsid w:val="00E02165"/>
    <w:rsid w:val="00E02365"/>
    <w:rsid w:val="00E02555"/>
    <w:rsid w:val="00E0259F"/>
    <w:rsid w:val="00E02945"/>
    <w:rsid w:val="00E02B08"/>
    <w:rsid w:val="00E02BDA"/>
    <w:rsid w:val="00E02C25"/>
    <w:rsid w:val="00E02D80"/>
    <w:rsid w:val="00E02D9F"/>
    <w:rsid w:val="00E02E48"/>
    <w:rsid w:val="00E02FDD"/>
    <w:rsid w:val="00E03040"/>
    <w:rsid w:val="00E03208"/>
    <w:rsid w:val="00E03315"/>
    <w:rsid w:val="00E03446"/>
    <w:rsid w:val="00E0344F"/>
    <w:rsid w:val="00E034A1"/>
    <w:rsid w:val="00E034E6"/>
    <w:rsid w:val="00E03773"/>
    <w:rsid w:val="00E03786"/>
    <w:rsid w:val="00E03830"/>
    <w:rsid w:val="00E03A19"/>
    <w:rsid w:val="00E03BE9"/>
    <w:rsid w:val="00E03C79"/>
    <w:rsid w:val="00E03EAD"/>
    <w:rsid w:val="00E03F1D"/>
    <w:rsid w:val="00E03F8B"/>
    <w:rsid w:val="00E041DC"/>
    <w:rsid w:val="00E042BD"/>
    <w:rsid w:val="00E044D8"/>
    <w:rsid w:val="00E045AF"/>
    <w:rsid w:val="00E047C4"/>
    <w:rsid w:val="00E05050"/>
    <w:rsid w:val="00E051CB"/>
    <w:rsid w:val="00E051D3"/>
    <w:rsid w:val="00E052AF"/>
    <w:rsid w:val="00E05335"/>
    <w:rsid w:val="00E0533C"/>
    <w:rsid w:val="00E05520"/>
    <w:rsid w:val="00E055B6"/>
    <w:rsid w:val="00E0560D"/>
    <w:rsid w:val="00E05668"/>
    <w:rsid w:val="00E0566D"/>
    <w:rsid w:val="00E057C2"/>
    <w:rsid w:val="00E058E1"/>
    <w:rsid w:val="00E059B3"/>
    <w:rsid w:val="00E05B90"/>
    <w:rsid w:val="00E05CF5"/>
    <w:rsid w:val="00E05D29"/>
    <w:rsid w:val="00E05DD5"/>
    <w:rsid w:val="00E05DE5"/>
    <w:rsid w:val="00E06024"/>
    <w:rsid w:val="00E06028"/>
    <w:rsid w:val="00E060FF"/>
    <w:rsid w:val="00E0646D"/>
    <w:rsid w:val="00E064ED"/>
    <w:rsid w:val="00E06542"/>
    <w:rsid w:val="00E069EC"/>
    <w:rsid w:val="00E06B2E"/>
    <w:rsid w:val="00E06B75"/>
    <w:rsid w:val="00E06B84"/>
    <w:rsid w:val="00E06C5A"/>
    <w:rsid w:val="00E06D53"/>
    <w:rsid w:val="00E06F70"/>
    <w:rsid w:val="00E06FC5"/>
    <w:rsid w:val="00E07065"/>
    <w:rsid w:val="00E07281"/>
    <w:rsid w:val="00E073A3"/>
    <w:rsid w:val="00E0747F"/>
    <w:rsid w:val="00E0773D"/>
    <w:rsid w:val="00E0779F"/>
    <w:rsid w:val="00E07847"/>
    <w:rsid w:val="00E0785E"/>
    <w:rsid w:val="00E07878"/>
    <w:rsid w:val="00E07893"/>
    <w:rsid w:val="00E07B57"/>
    <w:rsid w:val="00E07BD8"/>
    <w:rsid w:val="00E07C4A"/>
    <w:rsid w:val="00E07CB2"/>
    <w:rsid w:val="00E07D8C"/>
    <w:rsid w:val="00E07DBC"/>
    <w:rsid w:val="00E07EB8"/>
    <w:rsid w:val="00E07EFD"/>
    <w:rsid w:val="00E10073"/>
    <w:rsid w:val="00E10124"/>
    <w:rsid w:val="00E104D0"/>
    <w:rsid w:val="00E10978"/>
    <w:rsid w:val="00E109EC"/>
    <w:rsid w:val="00E10AD8"/>
    <w:rsid w:val="00E10B14"/>
    <w:rsid w:val="00E10BD8"/>
    <w:rsid w:val="00E10CF2"/>
    <w:rsid w:val="00E10DE5"/>
    <w:rsid w:val="00E10DF7"/>
    <w:rsid w:val="00E10F03"/>
    <w:rsid w:val="00E1116D"/>
    <w:rsid w:val="00E11239"/>
    <w:rsid w:val="00E11332"/>
    <w:rsid w:val="00E11352"/>
    <w:rsid w:val="00E113D6"/>
    <w:rsid w:val="00E1145B"/>
    <w:rsid w:val="00E11515"/>
    <w:rsid w:val="00E115BA"/>
    <w:rsid w:val="00E115DD"/>
    <w:rsid w:val="00E118DC"/>
    <w:rsid w:val="00E11994"/>
    <w:rsid w:val="00E11B6B"/>
    <w:rsid w:val="00E11B8E"/>
    <w:rsid w:val="00E11F96"/>
    <w:rsid w:val="00E12118"/>
    <w:rsid w:val="00E1221A"/>
    <w:rsid w:val="00E122E1"/>
    <w:rsid w:val="00E12331"/>
    <w:rsid w:val="00E1237E"/>
    <w:rsid w:val="00E123C2"/>
    <w:rsid w:val="00E124E1"/>
    <w:rsid w:val="00E1252C"/>
    <w:rsid w:val="00E12700"/>
    <w:rsid w:val="00E12711"/>
    <w:rsid w:val="00E1286D"/>
    <w:rsid w:val="00E12C9B"/>
    <w:rsid w:val="00E12E2D"/>
    <w:rsid w:val="00E12FE0"/>
    <w:rsid w:val="00E13002"/>
    <w:rsid w:val="00E130E2"/>
    <w:rsid w:val="00E132A2"/>
    <w:rsid w:val="00E132C2"/>
    <w:rsid w:val="00E13406"/>
    <w:rsid w:val="00E1342E"/>
    <w:rsid w:val="00E13527"/>
    <w:rsid w:val="00E1393D"/>
    <w:rsid w:val="00E1396D"/>
    <w:rsid w:val="00E13AA2"/>
    <w:rsid w:val="00E13C8B"/>
    <w:rsid w:val="00E13EF6"/>
    <w:rsid w:val="00E13F6B"/>
    <w:rsid w:val="00E13FF0"/>
    <w:rsid w:val="00E14010"/>
    <w:rsid w:val="00E140D1"/>
    <w:rsid w:val="00E14249"/>
    <w:rsid w:val="00E142A1"/>
    <w:rsid w:val="00E142F7"/>
    <w:rsid w:val="00E14331"/>
    <w:rsid w:val="00E1445B"/>
    <w:rsid w:val="00E14636"/>
    <w:rsid w:val="00E1463D"/>
    <w:rsid w:val="00E146B1"/>
    <w:rsid w:val="00E14810"/>
    <w:rsid w:val="00E14955"/>
    <w:rsid w:val="00E1495C"/>
    <w:rsid w:val="00E1497D"/>
    <w:rsid w:val="00E14B55"/>
    <w:rsid w:val="00E14B75"/>
    <w:rsid w:val="00E14C14"/>
    <w:rsid w:val="00E14C7C"/>
    <w:rsid w:val="00E14CE6"/>
    <w:rsid w:val="00E14DFF"/>
    <w:rsid w:val="00E14E3F"/>
    <w:rsid w:val="00E14E6B"/>
    <w:rsid w:val="00E14F99"/>
    <w:rsid w:val="00E15016"/>
    <w:rsid w:val="00E1525C"/>
    <w:rsid w:val="00E15382"/>
    <w:rsid w:val="00E15470"/>
    <w:rsid w:val="00E154AA"/>
    <w:rsid w:val="00E15510"/>
    <w:rsid w:val="00E1554B"/>
    <w:rsid w:val="00E15625"/>
    <w:rsid w:val="00E1565B"/>
    <w:rsid w:val="00E1569E"/>
    <w:rsid w:val="00E157A6"/>
    <w:rsid w:val="00E157D7"/>
    <w:rsid w:val="00E1585C"/>
    <w:rsid w:val="00E15912"/>
    <w:rsid w:val="00E15B1C"/>
    <w:rsid w:val="00E15C5A"/>
    <w:rsid w:val="00E15CE3"/>
    <w:rsid w:val="00E15F3B"/>
    <w:rsid w:val="00E1604E"/>
    <w:rsid w:val="00E16162"/>
    <w:rsid w:val="00E1625F"/>
    <w:rsid w:val="00E16368"/>
    <w:rsid w:val="00E164A3"/>
    <w:rsid w:val="00E16594"/>
    <w:rsid w:val="00E1685F"/>
    <w:rsid w:val="00E16895"/>
    <w:rsid w:val="00E16942"/>
    <w:rsid w:val="00E16976"/>
    <w:rsid w:val="00E16B06"/>
    <w:rsid w:val="00E16B76"/>
    <w:rsid w:val="00E16C28"/>
    <w:rsid w:val="00E16C80"/>
    <w:rsid w:val="00E16CC7"/>
    <w:rsid w:val="00E16CD6"/>
    <w:rsid w:val="00E16EE9"/>
    <w:rsid w:val="00E16F35"/>
    <w:rsid w:val="00E16F45"/>
    <w:rsid w:val="00E170D2"/>
    <w:rsid w:val="00E170DC"/>
    <w:rsid w:val="00E170E4"/>
    <w:rsid w:val="00E170E6"/>
    <w:rsid w:val="00E17156"/>
    <w:rsid w:val="00E1723B"/>
    <w:rsid w:val="00E17546"/>
    <w:rsid w:val="00E175A8"/>
    <w:rsid w:val="00E17678"/>
    <w:rsid w:val="00E1784A"/>
    <w:rsid w:val="00E1793F"/>
    <w:rsid w:val="00E17A7A"/>
    <w:rsid w:val="00E17B09"/>
    <w:rsid w:val="00E17BB5"/>
    <w:rsid w:val="00E17EB7"/>
    <w:rsid w:val="00E200FD"/>
    <w:rsid w:val="00E20100"/>
    <w:rsid w:val="00E2014A"/>
    <w:rsid w:val="00E20275"/>
    <w:rsid w:val="00E20280"/>
    <w:rsid w:val="00E20374"/>
    <w:rsid w:val="00E2056A"/>
    <w:rsid w:val="00E205FA"/>
    <w:rsid w:val="00E20734"/>
    <w:rsid w:val="00E208CF"/>
    <w:rsid w:val="00E209C1"/>
    <w:rsid w:val="00E20B37"/>
    <w:rsid w:val="00E20B3D"/>
    <w:rsid w:val="00E20CE9"/>
    <w:rsid w:val="00E20DCC"/>
    <w:rsid w:val="00E20E06"/>
    <w:rsid w:val="00E20E87"/>
    <w:rsid w:val="00E20F30"/>
    <w:rsid w:val="00E20FA1"/>
    <w:rsid w:val="00E21036"/>
    <w:rsid w:val="00E210B5"/>
    <w:rsid w:val="00E210D9"/>
    <w:rsid w:val="00E2141E"/>
    <w:rsid w:val="00E21452"/>
    <w:rsid w:val="00E216C8"/>
    <w:rsid w:val="00E2176F"/>
    <w:rsid w:val="00E21967"/>
    <w:rsid w:val="00E21B73"/>
    <w:rsid w:val="00E21B76"/>
    <w:rsid w:val="00E21CEF"/>
    <w:rsid w:val="00E21E2F"/>
    <w:rsid w:val="00E21E78"/>
    <w:rsid w:val="00E21F50"/>
    <w:rsid w:val="00E221C1"/>
    <w:rsid w:val="00E223A3"/>
    <w:rsid w:val="00E22440"/>
    <w:rsid w:val="00E224D2"/>
    <w:rsid w:val="00E2294A"/>
    <w:rsid w:val="00E22A7F"/>
    <w:rsid w:val="00E22B3B"/>
    <w:rsid w:val="00E22D9E"/>
    <w:rsid w:val="00E22E7F"/>
    <w:rsid w:val="00E22FCE"/>
    <w:rsid w:val="00E23044"/>
    <w:rsid w:val="00E2307E"/>
    <w:rsid w:val="00E230A9"/>
    <w:rsid w:val="00E230C9"/>
    <w:rsid w:val="00E2313C"/>
    <w:rsid w:val="00E23298"/>
    <w:rsid w:val="00E232E0"/>
    <w:rsid w:val="00E23428"/>
    <w:rsid w:val="00E23455"/>
    <w:rsid w:val="00E23630"/>
    <w:rsid w:val="00E238E7"/>
    <w:rsid w:val="00E23955"/>
    <w:rsid w:val="00E23A54"/>
    <w:rsid w:val="00E23C07"/>
    <w:rsid w:val="00E23CB9"/>
    <w:rsid w:val="00E23DF5"/>
    <w:rsid w:val="00E23E95"/>
    <w:rsid w:val="00E23F39"/>
    <w:rsid w:val="00E2429D"/>
    <w:rsid w:val="00E243A8"/>
    <w:rsid w:val="00E2441F"/>
    <w:rsid w:val="00E245C3"/>
    <w:rsid w:val="00E246E3"/>
    <w:rsid w:val="00E24731"/>
    <w:rsid w:val="00E24758"/>
    <w:rsid w:val="00E2475B"/>
    <w:rsid w:val="00E24897"/>
    <w:rsid w:val="00E2497A"/>
    <w:rsid w:val="00E24992"/>
    <w:rsid w:val="00E249B8"/>
    <w:rsid w:val="00E249FD"/>
    <w:rsid w:val="00E24A36"/>
    <w:rsid w:val="00E24ADB"/>
    <w:rsid w:val="00E24CB1"/>
    <w:rsid w:val="00E24D1D"/>
    <w:rsid w:val="00E24EE5"/>
    <w:rsid w:val="00E24F55"/>
    <w:rsid w:val="00E250D5"/>
    <w:rsid w:val="00E251AD"/>
    <w:rsid w:val="00E251B6"/>
    <w:rsid w:val="00E252AE"/>
    <w:rsid w:val="00E25584"/>
    <w:rsid w:val="00E25599"/>
    <w:rsid w:val="00E2561B"/>
    <w:rsid w:val="00E2562F"/>
    <w:rsid w:val="00E256BA"/>
    <w:rsid w:val="00E2587F"/>
    <w:rsid w:val="00E2598B"/>
    <w:rsid w:val="00E259DE"/>
    <w:rsid w:val="00E25DB9"/>
    <w:rsid w:val="00E25EF7"/>
    <w:rsid w:val="00E25FE7"/>
    <w:rsid w:val="00E26041"/>
    <w:rsid w:val="00E26171"/>
    <w:rsid w:val="00E261B3"/>
    <w:rsid w:val="00E26261"/>
    <w:rsid w:val="00E2628E"/>
    <w:rsid w:val="00E262A3"/>
    <w:rsid w:val="00E26500"/>
    <w:rsid w:val="00E2652A"/>
    <w:rsid w:val="00E26587"/>
    <w:rsid w:val="00E26592"/>
    <w:rsid w:val="00E266D2"/>
    <w:rsid w:val="00E266E7"/>
    <w:rsid w:val="00E266F3"/>
    <w:rsid w:val="00E266FF"/>
    <w:rsid w:val="00E26752"/>
    <w:rsid w:val="00E267C0"/>
    <w:rsid w:val="00E26818"/>
    <w:rsid w:val="00E26892"/>
    <w:rsid w:val="00E2692A"/>
    <w:rsid w:val="00E26955"/>
    <w:rsid w:val="00E26B1B"/>
    <w:rsid w:val="00E26B21"/>
    <w:rsid w:val="00E26BEB"/>
    <w:rsid w:val="00E26C52"/>
    <w:rsid w:val="00E26C7D"/>
    <w:rsid w:val="00E26DCB"/>
    <w:rsid w:val="00E26E5A"/>
    <w:rsid w:val="00E26EC3"/>
    <w:rsid w:val="00E26F10"/>
    <w:rsid w:val="00E26F1E"/>
    <w:rsid w:val="00E26F71"/>
    <w:rsid w:val="00E26F9B"/>
    <w:rsid w:val="00E270CD"/>
    <w:rsid w:val="00E271D7"/>
    <w:rsid w:val="00E27272"/>
    <w:rsid w:val="00E2736F"/>
    <w:rsid w:val="00E275AF"/>
    <w:rsid w:val="00E27689"/>
    <w:rsid w:val="00E276C4"/>
    <w:rsid w:val="00E27833"/>
    <w:rsid w:val="00E27934"/>
    <w:rsid w:val="00E27B5A"/>
    <w:rsid w:val="00E27B9F"/>
    <w:rsid w:val="00E27CCA"/>
    <w:rsid w:val="00E27D7D"/>
    <w:rsid w:val="00E27E35"/>
    <w:rsid w:val="00E27F5C"/>
    <w:rsid w:val="00E27F8D"/>
    <w:rsid w:val="00E27FFC"/>
    <w:rsid w:val="00E2AC52"/>
    <w:rsid w:val="00E3008C"/>
    <w:rsid w:val="00E30235"/>
    <w:rsid w:val="00E302DC"/>
    <w:rsid w:val="00E3038E"/>
    <w:rsid w:val="00E30428"/>
    <w:rsid w:val="00E304CC"/>
    <w:rsid w:val="00E3052E"/>
    <w:rsid w:val="00E30532"/>
    <w:rsid w:val="00E30705"/>
    <w:rsid w:val="00E3071C"/>
    <w:rsid w:val="00E30750"/>
    <w:rsid w:val="00E30810"/>
    <w:rsid w:val="00E308BC"/>
    <w:rsid w:val="00E308C7"/>
    <w:rsid w:val="00E30986"/>
    <w:rsid w:val="00E30988"/>
    <w:rsid w:val="00E30A9F"/>
    <w:rsid w:val="00E30B15"/>
    <w:rsid w:val="00E30C05"/>
    <w:rsid w:val="00E30C20"/>
    <w:rsid w:val="00E30C2B"/>
    <w:rsid w:val="00E30CBC"/>
    <w:rsid w:val="00E30DBE"/>
    <w:rsid w:val="00E30F49"/>
    <w:rsid w:val="00E312BA"/>
    <w:rsid w:val="00E312F2"/>
    <w:rsid w:val="00E3139C"/>
    <w:rsid w:val="00E31495"/>
    <w:rsid w:val="00E31608"/>
    <w:rsid w:val="00E31704"/>
    <w:rsid w:val="00E3178E"/>
    <w:rsid w:val="00E3182B"/>
    <w:rsid w:val="00E319B2"/>
    <w:rsid w:val="00E319CE"/>
    <w:rsid w:val="00E31A4A"/>
    <w:rsid w:val="00E31A6A"/>
    <w:rsid w:val="00E31CB2"/>
    <w:rsid w:val="00E31F77"/>
    <w:rsid w:val="00E32076"/>
    <w:rsid w:val="00E320B4"/>
    <w:rsid w:val="00E320BB"/>
    <w:rsid w:val="00E320EB"/>
    <w:rsid w:val="00E32154"/>
    <w:rsid w:val="00E323BC"/>
    <w:rsid w:val="00E325F4"/>
    <w:rsid w:val="00E32603"/>
    <w:rsid w:val="00E326FA"/>
    <w:rsid w:val="00E326FF"/>
    <w:rsid w:val="00E32880"/>
    <w:rsid w:val="00E32897"/>
    <w:rsid w:val="00E329CB"/>
    <w:rsid w:val="00E32AEB"/>
    <w:rsid w:val="00E32CBA"/>
    <w:rsid w:val="00E32DDC"/>
    <w:rsid w:val="00E32E32"/>
    <w:rsid w:val="00E32EE0"/>
    <w:rsid w:val="00E32FA5"/>
    <w:rsid w:val="00E32FB9"/>
    <w:rsid w:val="00E330CD"/>
    <w:rsid w:val="00E330E1"/>
    <w:rsid w:val="00E33237"/>
    <w:rsid w:val="00E334CA"/>
    <w:rsid w:val="00E334E1"/>
    <w:rsid w:val="00E3358C"/>
    <w:rsid w:val="00E33590"/>
    <w:rsid w:val="00E336BA"/>
    <w:rsid w:val="00E3381C"/>
    <w:rsid w:val="00E33889"/>
    <w:rsid w:val="00E338DE"/>
    <w:rsid w:val="00E338F3"/>
    <w:rsid w:val="00E33A87"/>
    <w:rsid w:val="00E33B18"/>
    <w:rsid w:val="00E33BA6"/>
    <w:rsid w:val="00E33BED"/>
    <w:rsid w:val="00E33C39"/>
    <w:rsid w:val="00E33CDE"/>
    <w:rsid w:val="00E33D08"/>
    <w:rsid w:val="00E33DC2"/>
    <w:rsid w:val="00E33E20"/>
    <w:rsid w:val="00E33E81"/>
    <w:rsid w:val="00E33F6A"/>
    <w:rsid w:val="00E3404E"/>
    <w:rsid w:val="00E34155"/>
    <w:rsid w:val="00E34309"/>
    <w:rsid w:val="00E34351"/>
    <w:rsid w:val="00E34444"/>
    <w:rsid w:val="00E3453C"/>
    <w:rsid w:val="00E3467D"/>
    <w:rsid w:val="00E3469E"/>
    <w:rsid w:val="00E3474C"/>
    <w:rsid w:val="00E347A3"/>
    <w:rsid w:val="00E348B3"/>
    <w:rsid w:val="00E34C60"/>
    <w:rsid w:val="00E34DE4"/>
    <w:rsid w:val="00E34E07"/>
    <w:rsid w:val="00E34E7E"/>
    <w:rsid w:val="00E34F2A"/>
    <w:rsid w:val="00E34FFB"/>
    <w:rsid w:val="00E350E6"/>
    <w:rsid w:val="00E350EB"/>
    <w:rsid w:val="00E35294"/>
    <w:rsid w:val="00E35341"/>
    <w:rsid w:val="00E3537D"/>
    <w:rsid w:val="00E355B8"/>
    <w:rsid w:val="00E356F3"/>
    <w:rsid w:val="00E35782"/>
    <w:rsid w:val="00E3579C"/>
    <w:rsid w:val="00E359EA"/>
    <w:rsid w:val="00E35B1E"/>
    <w:rsid w:val="00E35B51"/>
    <w:rsid w:val="00E35C51"/>
    <w:rsid w:val="00E35C68"/>
    <w:rsid w:val="00E35CB3"/>
    <w:rsid w:val="00E35D2D"/>
    <w:rsid w:val="00E35D3C"/>
    <w:rsid w:val="00E35D47"/>
    <w:rsid w:val="00E35EE4"/>
    <w:rsid w:val="00E360AB"/>
    <w:rsid w:val="00E36423"/>
    <w:rsid w:val="00E36538"/>
    <w:rsid w:val="00E365C3"/>
    <w:rsid w:val="00E36877"/>
    <w:rsid w:val="00E36938"/>
    <w:rsid w:val="00E36A6F"/>
    <w:rsid w:val="00E36B07"/>
    <w:rsid w:val="00E36C18"/>
    <w:rsid w:val="00E36C28"/>
    <w:rsid w:val="00E36CF9"/>
    <w:rsid w:val="00E36E17"/>
    <w:rsid w:val="00E372A0"/>
    <w:rsid w:val="00E373DA"/>
    <w:rsid w:val="00E3753C"/>
    <w:rsid w:val="00E37555"/>
    <w:rsid w:val="00E37585"/>
    <w:rsid w:val="00E3763E"/>
    <w:rsid w:val="00E377CC"/>
    <w:rsid w:val="00E37820"/>
    <w:rsid w:val="00E378CC"/>
    <w:rsid w:val="00E3799B"/>
    <w:rsid w:val="00E37AE3"/>
    <w:rsid w:val="00E37B18"/>
    <w:rsid w:val="00E37D6F"/>
    <w:rsid w:val="00E37DCF"/>
    <w:rsid w:val="00E37EB4"/>
    <w:rsid w:val="00E37EBE"/>
    <w:rsid w:val="00E37F18"/>
    <w:rsid w:val="00E37FC5"/>
    <w:rsid w:val="00E4002F"/>
    <w:rsid w:val="00E40155"/>
    <w:rsid w:val="00E40181"/>
    <w:rsid w:val="00E401EF"/>
    <w:rsid w:val="00E401FB"/>
    <w:rsid w:val="00E40237"/>
    <w:rsid w:val="00E40293"/>
    <w:rsid w:val="00E4037E"/>
    <w:rsid w:val="00E40517"/>
    <w:rsid w:val="00E4074C"/>
    <w:rsid w:val="00E407FE"/>
    <w:rsid w:val="00E40BB7"/>
    <w:rsid w:val="00E40DB6"/>
    <w:rsid w:val="00E40DBB"/>
    <w:rsid w:val="00E40DD4"/>
    <w:rsid w:val="00E40E44"/>
    <w:rsid w:val="00E40EE3"/>
    <w:rsid w:val="00E410B4"/>
    <w:rsid w:val="00E410E1"/>
    <w:rsid w:val="00E41115"/>
    <w:rsid w:val="00E41142"/>
    <w:rsid w:val="00E4114F"/>
    <w:rsid w:val="00E413ED"/>
    <w:rsid w:val="00E41442"/>
    <w:rsid w:val="00E415B9"/>
    <w:rsid w:val="00E4160A"/>
    <w:rsid w:val="00E41852"/>
    <w:rsid w:val="00E41901"/>
    <w:rsid w:val="00E4190E"/>
    <w:rsid w:val="00E419DB"/>
    <w:rsid w:val="00E41AF5"/>
    <w:rsid w:val="00E41C5D"/>
    <w:rsid w:val="00E41E2F"/>
    <w:rsid w:val="00E41ECA"/>
    <w:rsid w:val="00E41F17"/>
    <w:rsid w:val="00E41FE2"/>
    <w:rsid w:val="00E4204E"/>
    <w:rsid w:val="00E420D7"/>
    <w:rsid w:val="00E4216C"/>
    <w:rsid w:val="00E42229"/>
    <w:rsid w:val="00E4225A"/>
    <w:rsid w:val="00E4225C"/>
    <w:rsid w:val="00E42491"/>
    <w:rsid w:val="00E424E2"/>
    <w:rsid w:val="00E4259F"/>
    <w:rsid w:val="00E4262D"/>
    <w:rsid w:val="00E42647"/>
    <w:rsid w:val="00E4274B"/>
    <w:rsid w:val="00E42772"/>
    <w:rsid w:val="00E428D1"/>
    <w:rsid w:val="00E42904"/>
    <w:rsid w:val="00E42C6F"/>
    <w:rsid w:val="00E42CAD"/>
    <w:rsid w:val="00E42E02"/>
    <w:rsid w:val="00E42E73"/>
    <w:rsid w:val="00E43072"/>
    <w:rsid w:val="00E43073"/>
    <w:rsid w:val="00E4329F"/>
    <w:rsid w:val="00E43366"/>
    <w:rsid w:val="00E43389"/>
    <w:rsid w:val="00E4338C"/>
    <w:rsid w:val="00E434E9"/>
    <w:rsid w:val="00E43548"/>
    <w:rsid w:val="00E4367F"/>
    <w:rsid w:val="00E437E0"/>
    <w:rsid w:val="00E43813"/>
    <w:rsid w:val="00E43847"/>
    <w:rsid w:val="00E43886"/>
    <w:rsid w:val="00E4398A"/>
    <w:rsid w:val="00E43BFC"/>
    <w:rsid w:val="00E43C25"/>
    <w:rsid w:val="00E43C9B"/>
    <w:rsid w:val="00E43CDB"/>
    <w:rsid w:val="00E43ED5"/>
    <w:rsid w:val="00E44094"/>
    <w:rsid w:val="00E443EA"/>
    <w:rsid w:val="00E44417"/>
    <w:rsid w:val="00E44450"/>
    <w:rsid w:val="00E446C9"/>
    <w:rsid w:val="00E4476D"/>
    <w:rsid w:val="00E44844"/>
    <w:rsid w:val="00E44968"/>
    <w:rsid w:val="00E44A00"/>
    <w:rsid w:val="00E44AD3"/>
    <w:rsid w:val="00E44B3E"/>
    <w:rsid w:val="00E44DA5"/>
    <w:rsid w:val="00E44DBE"/>
    <w:rsid w:val="00E44EB9"/>
    <w:rsid w:val="00E44F96"/>
    <w:rsid w:val="00E45010"/>
    <w:rsid w:val="00E45037"/>
    <w:rsid w:val="00E452DC"/>
    <w:rsid w:val="00E453B2"/>
    <w:rsid w:val="00E454A4"/>
    <w:rsid w:val="00E4555F"/>
    <w:rsid w:val="00E4582B"/>
    <w:rsid w:val="00E4583E"/>
    <w:rsid w:val="00E458BA"/>
    <w:rsid w:val="00E458DC"/>
    <w:rsid w:val="00E459F9"/>
    <w:rsid w:val="00E45CD6"/>
    <w:rsid w:val="00E45D80"/>
    <w:rsid w:val="00E45D8A"/>
    <w:rsid w:val="00E45DB1"/>
    <w:rsid w:val="00E45F47"/>
    <w:rsid w:val="00E45FD3"/>
    <w:rsid w:val="00E46061"/>
    <w:rsid w:val="00E46125"/>
    <w:rsid w:val="00E4612E"/>
    <w:rsid w:val="00E46427"/>
    <w:rsid w:val="00E465B7"/>
    <w:rsid w:val="00E46605"/>
    <w:rsid w:val="00E46686"/>
    <w:rsid w:val="00E467D1"/>
    <w:rsid w:val="00E4680E"/>
    <w:rsid w:val="00E4683A"/>
    <w:rsid w:val="00E4683D"/>
    <w:rsid w:val="00E4687D"/>
    <w:rsid w:val="00E4697D"/>
    <w:rsid w:val="00E46981"/>
    <w:rsid w:val="00E46B50"/>
    <w:rsid w:val="00E46E90"/>
    <w:rsid w:val="00E46EA2"/>
    <w:rsid w:val="00E46F56"/>
    <w:rsid w:val="00E47055"/>
    <w:rsid w:val="00E47064"/>
    <w:rsid w:val="00E47111"/>
    <w:rsid w:val="00E471E7"/>
    <w:rsid w:val="00E4723B"/>
    <w:rsid w:val="00E4738E"/>
    <w:rsid w:val="00E47525"/>
    <w:rsid w:val="00E475E7"/>
    <w:rsid w:val="00E476F3"/>
    <w:rsid w:val="00E47946"/>
    <w:rsid w:val="00E47983"/>
    <w:rsid w:val="00E47BDC"/>
    <w:rsid w:val="00E47CBD"/>
    <w:rsid w:val="00E47DB4"/>
    <w:rsid w:val="00E50033"/>
    <w:rsid w:val="00E50201"/>
    <w:rsid w:val="00E50232"/>
    <w:rsid w:val="00E50349"/>
    <w:rsid w:val="00E50395"/>
    <w:rsid w:val="00E50427"/>
    <w:rsid w:val="00E506D3"/>
    <w:rsid w:val="00E507CC"/>
    <w:rsid w:val="00E50901"/>
    <w:rsid w:val="00E50A18"/>
    <w:rsid w:val="00E50B9C"/>
    <w:rsid w:val="00E50C69"/>
    <w:rsid w:val="00E50E85"/>
    <w:rsid w:val="00E50EC2"/>
    <w:rsid w:val="00E50EF6"/>
    <w:rsid w:val="00E50F4E"/>
    <w:rsid w:val="00E50F59"/>
    <w:rsid w:val="00E51130"/>
    <w:rsid w:val="00E51358"/>
    <w:rsid w:val="00E51383"/>
    <w:rsid w:val="00E514C9"/>
    <w:rsid w:val="00E5151B"/>
    <w:rsid w:val="00E51617"/>
    <w:rsid w:val="00E516B0"/>
    <w:rsid w:val="00E518A0"/>
    <w:rsid w:val="00E518A7"/>
    <w:rsid w:val="00E51BBC"/>
    <w:rsid w:val="00E51D35"/>
    <w:rsid w:val="00E51DE0"/>
    <w:rsid w:val="00E51E1C"/>
    <w:rsid w:val="00E51F2D"/>
    <w:rsid w:val="00E521CF"/>
    <w:rsid w:val="00E5222B"/>
    <w:rsid w:val="00E522AD"/>
    <w:rsid w:val="00E5236A"/>
    <w:rsid w:val="00E524CD"/>
    <w:rsid w:val="00E524F9"/>
    <w:rsid w:val="00E525E0"/>
    <w:rsid w:val="00E5260C"/>
    <w:rsid w:val="00E5272F"/>
    <w:rsid w:val="00E52943"/>
    <w:rsid w:val="00E52994"/>
    <w:rsid w:val="00E529E7"/>
    <w:rsid w:val="00E52A3E"/>
    <w:rsid w:val="00E52C15"/>
    <w:rsid w:val="00E52D5E"/>
    <w:rsid w:val="00E52E0C"/>
    <w:rsid w:val="00E53035"/>
    <w:rsid w:val="00E5306E"/>
    <w:rsid w:val="00E5307D"/>
    <w:rsid w:val="00E53147"/>
    <w:rsid w:val="00E532D7"/>
    <w:rsid w:val="00E532F4"/>
    <w:rsid w:val="00E53383"/>
    <w:rsid w:val="00E535CE"/>
    <w:rsid w:val="00E53619"/>
    <w:rsid w:val="00E536C5"/>
    <w:rsid w:val="00E537FC"/>
    <w:rsid w:val="00E53822"/>
    <w:rsid w:val="00E53879"/>
    <w:rsid w:val="00E53967"/>
    <w:rsid w:val="00E53A91"/>
    <w:rsid w:val="00E53C19"/>
    <w:rsid w:val="00E53C7C"/>
    <w:rsid w:val="00E53D17"/>
    <w:rsid w:val="00E53E9C"/>
    <w:rsid w:val="00E53F82"/>
    <w:rsid w:val="00E5431B"/>
    <w:rsid w:val="00E54686"/>
    <w:rsid w:val="00E546A6"/>
    <w:rsid w:val="00E54752"/>
    <w:rsid w:val="00E54804"/>
    <w:rsid w:val="00E5484D"/>
    <w:rsid w:val="00E54875"/>
    <w:rsid w:val="00E548DA"/>
    <w:rsid w:val="00E54950"/>
    <w:rsid w:val="00E5499F"/>
    <w:rsid w:val="00E54AE0"/>
    <w:rsid w:val="00E54AFA"/>
    <w:rsid w:val="00E54CDD"/>
    <w:rsid w:val="00E54D0D"/>
    <w:rsid w:val="00E54D50"/>
    <w:rsid w:val="00E54DB6"/>
    <w:rsid w:val="00E54DFB"/>
    <w:rsid w:val="00E54E42"/>
    <w:rsid w:val="00E54E4C"/>
    <w:rsid w:val="00E54EC0"/>
    <w:rsid w:val="00E54F68"/>
    <w:rsid w:val="00E54FF9"/>
    <w:rsid w:val="00E550A1"/>
    <w:rsid w:val="00E55189"/>
    <w:rsid w:val="00E551E6"/>
    <w:rsid w:val="00E55261"/>
    <w:rsid w:val="00E552E3"/>
    <w:rsid w:val="00E553BB"/>
    <w:rsid w:val="00E5569C"/>
    <w:rsid w:val="00E556D0"/>
    <w:rsid w:val="00E55824"/>
    <w:rsid w:val="00E55A34"/>
    <w:rsid w:val="00E55DDB"/>
    <w:rsid w:val="00E55E9D"/>
    <w:rsid w:val="00E55F13"/>
    <w:rsid w:val="00E55FB3"/>
    <w:rsid w:val="00E56208"/>
    <w:rsid w:val="00E562F6"/>
    <w:rsid w:val="00E563D8"/>
    <w:rsid w:val="00E56531"/>
    <w:rsid w:val="00E565C1"/>
    <w:rsid w:val="00E5671B"/>
    <w:rsid w:val="00E5699C"/>
    <w:rsid w:val="00E56A00"/>
    <w:rsid w:val="00E56A01"/>
    <w:rsid w:val="00E56B2D"/>
    <w:rsid w:val="00E56D28"/>
    <w:rsid w:val="00E56E8F"/>
    <w:rsid w:val="00E56F5C"/>
    <w:rsid w:val="00E57018"/>
    <w:rsid w:val="00E57102"/>
    <w:rsid w:val="00E57159"/>
    <w:rsid w:val="00E571AC"/>
    <w:rsid w:val="00E5738E"/>
    <w:rsid w:val="00E57391"/>
    <w:rsid w:val="00E57499"/>
    <w:rsid w:val="00E575C0"/>
    <w:rsid w:val="00E575FE"/>
    <w:rsid w:val="00E5774B"/>
    <w:rsid w:val="00E57802"/>
    <w:rsid w:val="00E5783F"/>
    <w:rsid w:val="00E578EE"/>
    <w:rsid w:val="00E579AB"/>
    <w:rsid w:val="00E57A34"/>
    <w:rsid w:val="00E57A51"/>
    <w:rsid w:val="00E57B1F"/>
    <w:rsid w:val="00E57BC4"/>
    <w:rsid w:val="00E57C0D"/>
    <w:rsid w:val="00E57CB3"/>
    <w:rsid w:val="00E57E85"/>
    <w:rsid w:val="00E57F0D"/>
    <w:rsid w:val="00E57FD0"/>
    <w:rsid w:val="00E600D4"/>
    <w:rsid w:val="00E600EB"/>
    <w:rsid w:val="00E602C9"/>
    <w:rsid w:val="00E60324"/>
    <w:rsid w:val="00E603A3"/>
    <w:rsid w:val="00E60607"/>
    <w:rsid w:val="00E60849"/>
    <w:rsid w:val="00E60876"/>
    <w:rsid w:val="00E60CD2"/>
    <w:rsid w:val="00E60DA1"/>
    <w:rsid w:val="00E60E5A"/>
    <w:rsid w:val="00E60E7D"/>
    <w:rsid w:val="00E60EE8"/>
    <w:rsid w:val="00E61136"/>
    <w:rsid w:val="00E61397"/>
    <w:rsid w:val="00E61706"/>
    <w:rsid w:val="00E617D0"/>
    <w:rsid w:val="00E618EB"/>
    <w:rsid w:val="00E618F9"/>
    <w:rsid w:val="00E61A8F"/>
    <w:rsid w:val="00E61AA8"/>
    <w:rsid w:val="00E61B95"/>
    <w:rsid w:val="00E61BA7"/>
    <w:rsid w:val="00E61BCB"/>
    <w:rsid w:val="00E61C15"/>
    <w:rsid w:val="00E61C2F"/>
    <w:rsid w:val="00E61D67"/>
    <w:rsid w:val="00E61EE6"/>
    <w:rsid w:val="00E621F3"/>
    <w:rsid w:val="00E621FA"/>
    <w:rsid w:val="00E62346"/>
    <w:rsid w:val="00E62569"/>
    <w:rsid w:val="00E6275E"/>
    <w:rsid w:val="00E6292B"/>
    <w:rsid w:val="00E629A1"/>
    <w:rsid w:val="00E629BA"/>
    <w:rsid w:val="00E629DC"/>
    <w:rsid w:val="00E62B15"/>
    <w:rsid w:val="00E62B8A"/>
    <w:rsid w:val="00E62C5F"/>
    <w:rsid w:val="00E62FB2"/>
    <w:rsid w:val="00E62FCB"/>
    <w:rsid w:val="00E630A3"/>
    <w:rsid w:val="00E63153"/>
    <w:rsid w:val="00E6316E"/>
    <w:rsid w:val="00E63289"/>
    <w:rsid w:val="00E632A0"/>
    <w:rsid w:val="00E63499"/>
    <w:rsid w:val="00E635E1"/>
    <w:rsid w:val="00E6360E"/>
    <w:rsid w:val="00E63643"/>
    <w:rsid w:val="00E6365A"/>
    <w:rsid w:val="00E636D5"/>
    <w:rsid w:val="00E6371C"/>
    <w:rsid w:val="00E637AA"/>
    <w:rsid w:val="00E6380D"/>
    <w:rsid w:val="00E63831"/>
    <w:rsid w:val="00E638C0"/>
    <w:rsid w:val="00E63920"/>
    <w:rsid w:val="00E63981"/>
    <w:rsid w:val="00E63991"/>
    <w:rsid w:val="00E63A4D"/>
    <w:rsid w:val="00E63B4B"/>
    <w:rsid w:val="00E63B8B"/>
    <w:rsid w:val="00E63D41"/>
    <w:rsid w:val="00E63E65"/>
    <w:rsid w:val="00E6400F"/>
    <w:rsid w:val="00E640A4"/>
    <w:rsid w:val="00E640DD"/>
    <w:rsid w:val="00E64140"/>
    <w:rsid w:val="00E64170"/>
    <w:rsid w:val="00E64198"/>
    <w:rsid w:val="00E64335"/>
    <w:rsid w:val="00E6444A"/>
    <w:rsid w:val="00E645C7"/>
    <w:rsid w:val="00E64656"/>
    <w:rsid w:val="00E6466D"/>
    <w:rsid w:val="00E64683"/>
    <w:rsid w:val="00E64797"/>
    <w:rsid w:val="00E647F1"/>
    <w:rsid w:val="00E64817"/>
    <w:rsid w:val="00E6485A"/>
    <w:rsid w:val="00E64967"/>
    <w:rsid w:val="00E64C4E"/>
    <w:rsid w:val="00E64D81"/>
    <w:rsid w:val="00E64DDC"/>
    <w:rsid w:val="00E64E25"/>
    <w:rsid w:val="00E64F20"/>
    <w:rsid w:val="00E64F48"/>
    <w:rsid w:val="00E651D2"/>
    <w:rsid w:val="00E65272"/>
    <w:rsid w:val="00E65596"/>
    <w:rsid w:val="00E6588B"/>
    <w:rsid w:val="00E659F2"/>
    <w:rsid w:val="00E65A12"/>
    <w:rsid w:val="00E65B39"/>
    <w:rsid w:val="00E65C8D"/>
    <w:rsid w:val="00E65D02"/>
    <w:rsid w:val="00E65E3C"/>
    <w:rsid w:val="00E65EEA"/>
    <w:rsid w:val="00E6601D"/>
    <w:rsid w:val="00E661CD"/>
    <w:rsid w:val="00E662A4"/>
    <w:rsid w:val="00E662CA"/>
    <w:rsid w:val="00E663D0"/>
    <w:rsid w:val="00E66421"/>
    <w:rsid w:val="00E664AB"/>
    <w:rsid w:val="00E6681B"/>
    <w:rsid w:val="00E6684C"/>
    <w:rsid w:val="00E6698A"/>
    <w:rsid w:val="00E669EC"/>
    <w:rsid w:val="00E66BE7"/>
    <w:rsid w:val="00E66CAA"/>
    <w:rsid w:val="00E66D03"/>
    <w:rsid w:val="00E66D18"/>
    <w:rsid w:val="00E66D32"/>
    <w:rsid w:val="00E66DBC"/>
    <w:rsid w:val="00E66F3D"/>
    <w:rsid w:val="00E66F66"/>
    <w:rsid w:val="00E67008"/>
    <w:rsid w:val="00E67172"/>
    <w:rsid w:val="00E67287"/>
    <w:rsid w:val="00E6730B"/>
    <w:rsid w:val="00E67408"/>
    <w:rsid w:val="00E6751C"/>
    <w:rsid w:val="00E67590"/>
    <w:rsid w:val="00E676EF"/>
    <w:rsid w:val="00E67748"/>
    <w:rsid w:val="00E677A5"/>
    <w:rsid w:val="00E67839"/>
    <w:rsid w:val="00E6794C"/>
    <w:rsid w:val="00E679B6"/>
    <w:rsid w:val="00E67A53"/>
    <w:rsid w:val="00E67A5F"/>
    <w:rsid w:val="00E67B57"/>
    <w:rsid w:val="00E67B72"/>
    <w:rsid w:val="00E67E43"/>
    <w:rsid w:val="00E67E6D"/>
    <w:rsid w:val="00E67FFE"/>
    <w:rsid w:val="00E69B48"/>
    <w:rsid w:val="00E70014"/>
    <w:rsid w:val="00E7002E"/>
    <w:rsid w:val="00E7004C"/>
    <w:rsid w:val="00E70053"/>
    <w:rsid w:val="00E7005D"/>
    <w:rsid w:val="00E700BC"/>
    <w:rsid w:val="00E70127"/>
    <w:rsid w:val="00E70196"/>
    <w:rsid w:val="00E70226"/>
    <w:rsid w:val="00E702E5"/>
    <w:rsid w:val="00E703A9"/>
    <w:rsid w:val="00E7040A"/>
    <w:rsid w:val="00E7047E"/>
    <w:rsid w:val="00E70593"/>
    <w:rsid w:val="00E706B3"/>
    <w:rsid w:val="00E70785"/>
    <w:rsid w:val="00E707D7"/>
    <w:rsid w:val="00E7089A"/>
    <w:rsid w:val="00E70A8C"/>
    <w:rsid w:val="00E70AE6"/>
    <w:rsid w:val="00E70C5A"/>
    <w:rsid w:val="00E70C7A"/>
    <w:rsid w:val="00E70D9A"/>
    <w:rsid w:val="00E70E57"/>
    <w:rsid w:val="00E710CD"/>
    <w:rsid w:val="00E710D1"/>
    <w:rsid w:val="00E71138"/>
    <w:rsid w:val="00E71359"/>
    <w:rsid w:val="00E71440"/>
    <w:rsid w:val="00E71591"/>
    <w:rsid w:val="00E716D8"/>
    <w:rsid w:val="00E716E3"/>
    <w:rsid w:val="00E71747"/>
    <w:rsid w:val="00E7182F"/>
    <w:rsid w:val="00E71851"/>
    <w:rsid w:val="00E718D4"/>
    <w:rsid w:val="00E718EB"/>
    <w:rsid w:val="00E71A55"/>
    <w:rsid w:val="00E71A81"/>
    <w:rsid w:val="00E71AD8"/>
    <w:rsid w:val="00E71B24"/>
    <w:rsid w:val="00E71BC6"/>
    <w:rsid w:val="00E71BD7"/>
    <w:rsid w:val="00E71BE7"/>
    <w:rsid w:val="00E71CEB"/>
    <w:rsid w:val="00E71CF0"/>
    <w:rsid w:val="00E71E6F"/>
    <w:rsid w:val="00E71E71"/>
    <w:rsid w:val="00E71EF0"/>
    <w:rsid w:val="00E7202A"/>
    <w:rsid w:val="00E7221F"/>
    <w:rsid w:val="00E722B8"/>
    <w:rsid w:val="00E72562"/>
    <w:rsid w:val="00E726C7"/>
    <w:rsid w:val="00E727A8"/>
    <w:rsid w:val="00E7288F"/>
    <w:rsid w:val="00E72948"/>
    <w:rsid w:val="00E729C0"/>
    <w:rsid w:val="00E72A35"/>
    <w:rsid w:val="00E72ABC"/>
    <w:rsid w:val="00E72AE0"/>
    <w:rsid w:val="00E72B09"/>
    <w:rsid w:val="00E72BCA"/>
    <w:rsid w:val="00E72C9F"/>
    <w:rsid w:val="00E72CE7"/>
    <w:rsid w:val="00E72DD2"/>
    <w:rsid w:val="00E72E54"/>
    <w:rsid w:val="00E72E79"/>
    <w:rsid w:val="00E72EF3"/>
    <w:rsid w:val="00E72F41"/>
    <w:rsid w:val="00E72FB8"/>
    <w:rsid w:val="00E72FC6"/>
    <w:rsid w:val="00E72FD8"/>
    <w:rsid w:val="00E73010"/>
    <w:rsid w:val="00E730A7"/>
    <w:rsid w:val="00E7323A"/>
    <w:rsid w:val="00E732D4"/>
    <w:rsid w:val="00E732E3"/>
    <w:rsid w:val="00E73324"/>
    <w:rsid w:val="00E73405"/>
    <w:rsid w:val="00E73430"/>
    <w:rsid w:val="00E7350D"/>
    <w:rsid w:val="00E7353D"/>
    <w:rsid w:val="00E7356A"/>
    <w:rsid w:val="00E73705"/>
    <w:rsid w:val="00E7373A"/>
    <w:rsid w:val="00E73AC4"/>
    <w:rsid w:val="00E73BC3"/>
    <w:rsid w:val="00E73C60"/>
    <w:rsid w:val="00E73C91"/>
    <w:rsid w:val="00E73CA5"/>
    <w:rsid w:val="00E73CF5"/>
    <w:rsid w:val="00E73D3F"/>
    <w:rsid w:val="00E73E31"/>
    <w:rsid w:val="00E73EE9"/>
    <w:rsid w:val="00E73F35"/>
    <w:rsid w:val="00E740A0"/>
    <w:rsid w:val="00E740AD"/>
    <w:rsid w:val="00E741CB"/>
    <w:rsid w:val="00E7427A"/>
    <w:rsid w:val="00E74384"/>
    <w:rsid w:val="00E743B3"/>
    <w:rsid w:val="00E74676"/>
    <w:rsid w:val="00E7467D"/>
    <w:rsid w:val="00E7474F"/>
    <w:rsid w:val="00E74827"/>
    <w:rsid w:val="00E7493B"/>
    <w:rsid w:val="00E749F5"/>
    <w:rsid w:val="00E74B3A"/>
    <w:rsid w:val="00E74D70"/>
    <w:rsid w:val="00E74DFB"/>
    <w:rsid w:val="00E74F58"/>
    <w:rsid w:val="00E750BF"/>
    <w:rsid w:val="00E750E7"/>
    <w:rsid w:val="00E75129"/>
    <w:rsid w:val="00E7542C"/>
    <w:rsid w:val="00E7544E"/>
    <w:rsid w:val="00E75455"/>
    <w:rsid w:val="00E75585"/>
    <w:rsid w:val="00E755F0"/>
    <w:rsid w:val="00E75612"/>
    <w:rsid w:val="00E7563B"/>
    <w:rsid w:val="00E75703"/>
    <w:rsid w:val="00E757C8"/>
    <w:rsid w:val="00E75A05"/>
    <w:rsid w:val="00E75B24"/>
    <w:rsid w:val="00E75BD0"/>
    <w:rsid w:val="00E75CEE"/>
    <w:rsid w:val="00E75E19"/>
    <w:rsid w:val="00E75E7E"/>
    <w:rsid w:val="00E75F4C"/>
    <w:rsid w:val="00E760A8"/>
    <w:rsid w:val="00E761D9"/>
    <w:rsid w:val="00E763B1"/>
    <w:rsid w:val="00E76457"/>
    <w:rsid w:val="00E766C7"/>
    <w:rsid w:val="00E766C9"/>
    <w:rsid w:val="00E76B0A"/>
    <w:rsid w:val="00E76FC1"/>
    <w:rsid w:val="00E7709B"/>
    <w:rsid w:val="00E77116"/>
    <w:rsid w:val="00E771C3"/>
    <w:rsid w:val="00E771CD"/>
    <w:rsid w:val="00E771F1"/>
    <w:rsid w:val="00E772BD"/>
    <w:rsid w:val="00E772D5"/>
    <w:rsid w:val="00E77514"/>
    <w:rsid w:val="00E775DD"/>
    <w:rsid w:val="00E776E0"/>
    <w:rsid w:val="00E7785E"/>
    <w:rsid w:val="00E77896"/>
    <w:rsid w:val="00E7790C"/>
    <w:rsid w:val="00E77915"/>
    <w:rsid w:val="00E77BED"/>
    <w:rsid w:val="00E77C63"/>
    <w:rsid w:val="00E77D6F"/>
    <w:rsid w:val="00E77EA5"/>
    <w:rsid w:val="00E8011D"/>
    <w:rsid w:val="00E803B6"/>
    <w:rsid w:val="00E8051A"/>
    <w:rsid w:val="00E8069F"/>
    <w:rsid w:val="00E806A6"/>
    <w:rsid w:val="00E8079B"/>
    <w:rsid w:val="00E807AA"/>
    <w:rsid w:val="00E808FA"/>
    <w:rsid w:val="00E80947"/>
    <w:rsid w:val="00E809D1"/>
    <w:rsid w:val="00E80ACB"/>
    <w:rsid w:val="00E80B84"/>
    <w:rsid w:val="00E80C92"/>
    <w:rsid w:val="00E80D42"/>
    <w:rsid w:val="00E80DCA"/>
    <w:rsid w:val="00E80DE3"/>
    <w:rsid w:val="00E80E40"/>
    <w:rsid w:val="00E80E57"/>
    <w:rsid w:val="00E80EFE"/>
    <w:rsid w:val="00E80FAE"/>
    <w:rsid w:val="00E8115D"/>
    <w:rsid w:val="00E81199"/>
    <w:rsid w:val="00E8124B"/>
    <w:rsid w:val="00E812C9"/>
    <w:rsid w:val="00E8132B"/>
    <w:rsid w:val="00E813B0"/>
    <w:rsid w:val="00E8156E"/>
    <w:rsid w:val="00E815E8"/>
    <w:rsid w:val="00E81612"/>
    <w:rsid w:val="00E81621"/>
    <w:rsid w:val="00E81634"/>
    <w:rsid w:val="00E8166E"/>
    <w:rsid w:val="00E81693"/>
    <w:rsid w:val="00E81835"/>
    <w:rsid w:val="00E81893"/>
    <w:rsid w:val="00E818B8"/>
    <w:rsid w:val="00E81B9D"/>
    <w:rsid w:val="00E81C28"/>
    <w:rsid w:val="00E81D35"/>
    <w:rsid w:val="00E81D43"/>
    <w:rsid w:val="00E81D80"/>
    <w:rsid w:val="00E820E9"/>
    <w:rsid w:val="00E8213C"/>
    <w:rsid w:val="00E8245F"/>
    <w:rsid w:val="00E824A6"/>
    <w:rsid w:val="00E8261F"/>
    <w:rsid w:val="00E826A1"/>
    <w:rsid w:val="00E826A7"/>
    <w:rsid w:val="00E829A9"/>
    <w:rsid w:val="00E82A62"/>
    <w:rsid w:val="00E82AC2"/>
    <w:rsid w:val="00E82B9C"/>
    <w:rsid w:val="00E82BB9"/>
    <w:rsid w:val="00E82C55"/>
    <w:rsid w:val="00E82C97"/>
    <w:rsid w:val="00E82EE9"/>
    <w:rsid w:val="00E82EF0"/>
    <w:rsid w:val="00E82F45"/>
    <w:rsid w:val="00E83064"/>
    <w:rsid w:val="00E83158"/>
    <w:rsid w:val="00E8317A"/>
    <w:rsid w:val="00E8318B"/>
    <w:rsid w:val="00E831DF"/>
    <w:rsid w:val="00E8327F"/>
    <w:rsid w:val="00E8353D"/>
    <w:rsid w:val="00E835EC"/>
    <w:rsid w:val="00E835ED"/>
    <w:rsid w:val="00E8369F"/>
    <w:rsid w:val="00E83745"/>
    <w:rsid w:val="00E837D2"/>
    <w:rsid w:val="00E83924"/>
    <w:rsid w:val="00E8395F"/>
    <w:rsid w:val="00E83A44"/>
    <w:rsid w:val="00E83D36"/>
    <w:rsid w:val="00E83D7F"/>
    <w:rsid w:val="00E83DEB"/>
    <w:rsid w:val="00E83E1F"/>
    <w:rsid w:val="00E83E55"/>
    <w:rsid w:val="00E83FD4"/>
    <w:rsid w:val="00E84174"/>
    <w:rsid w:val="00E84276"/>
    <w:rsid w:val="00E842B9"/>
    <w:rsid w:val="00E842BA"/>
    <w:rsid w:val="00E84427"/>
    <w:rsid w:val="00E84484"/>
    <w:rsid w:val="00E844E6"/>
    <w:rsid w:val="00E8450D"/>
    <w:rsid w:val="00E84548"/>
    <w:rsid w:val="00E84620"/>
    <w:rsid w:val="00E84690"/>
    <w:rsid w:val="00E84C11"/>
    <w:rsid w:val="00E84C47"/>
    <w:rsid w:val="00E84C50"/>
    <w:rsid w:val="00E84CDC"/>
    <w:rsid w:val="00E84CE8"/>
    <w:rsid w:val="00E84CEA"/>
    <w:rsid w:val="00E84F13"/>
    <w:rsid w:val="00E85019"/>
    <w:rsid w:val="00E8502C"/>
    <w:rsid w:val="00E8512E"/>
    <w:rsid w:val="00E85170"/>
    <w:rsid w:val="00E8533F"/>
    <w:rsid w:val="00E85346"/>
    <w:rsid w:val="00E8536D"/>
    <w:rsid w:val="00E85419"/>
    <w:rsid w:val="00E85489"/>
    <w:rsid w:val="00E85528"/>
    <w:rsid w:val="00E855F5"/>
    <w:rsid w:val="00E8560A"/>
    <w:rsid w:val="00E857B0"/>
    <w:rsid w:val="00E857CA"/>
    <w:rsid w:val="00E85875"/>
    <w:rsid w:val="00E85A28"/>
    <w:rsid w:val="00E85AE3"/>
    <w:rsid w:val="00E85BA0"/>
    <w:rsid w:val="00E85D09"/>
    <w:rsid w:val="00E8600B"/>
    <w:rsid w:val="00E86021"/>
    <w:rsid w:val="00E8602B"/>
    <w:rsid w:val="00E8602E"/>
    <w:rsid w:val="00E861E2"/>
    <w:rsid w:val="00E86339"/>
    <w:rsid w:val="00E86515"/>
    <w:rsid w:val="00E86645"/>
    <w:rsid w:val="00E86654"/>
    <w:rsid w:val="00E86661"/>
    <w:rsid w:val="00E867DC"/>
    <w:rsid w:val="00E8681F"/>
    <w:rsid w:val="00E8689F"/>
    <w:rsid w:val="00E86942"/>
    <w:rsid w:val="00E869C3"/>
    <w:rsid w:val="00E86AA6"/>
    <w:rsid w:val="00E86CF9"/>
    <w:rsid w:val="00E86D32"/>
    <w:rsid w:val="00E86DA7"/>
    <w:rsid w:val="00E86DE1"/>
    <w:rsid w:val="00E86E13"/>
    <w:rsid w:val="00E86F96"/>
    <w:rsid w:val="00E8723A"/>
    <w:rsid w:val="00E874FB"/>
    <w:rsid w:val="00E87519"/>
    <w:rsid w:val="00E8752B"/>
    <w:rsid w:val="00E87718"/>
    <w:rsid w:val="00E877C2"/>
    <w:rsid w:val="00E87840"/>
    <w:rsid w:val="00E8787E"/>
    <w:rsid w:val="00E87A95"/>
    <w:rsid w:val="00E87AB0"/>
    <w:rsid w:val="00E87BF9"/>
    <w:rsid w:val="00E87DDA"/>
    <w:rsid w:val="00E87F8C"/>
    <w:rsid w:val="00E87FAB"/>
    <w:rsid w:val="00E90127"/>
    <w:rsid w:val="00E90272"/>
    <w:rsid w:val="00E9042A"/>
    <w:rsid w:val="00E9049B"/>
    <w:rsid w:val="00E904A8"/>
    <w:rsid w:val="00E904D1"/>
    <w:rsid w:val="00E906A3"/>
    <w:rsid w:val="00E9072F"/>
    <w:rsid w:val="00E907D9"/>
    <w:rsid w:val="00E90A5C"/>
    <w:rsid w:val="00E90A8B"/>
    <w:rsid w:val="00E90C45"/>
    <w:rsid w:val="00E90C7E"/>
    <w:rsid w:val="00E90E96"/>
    <w:rsid w:val="00E90F62"/>
    <w:rsid w:val="00E91003"/>
    <w:rsid w:val="00E910D5"/>
    <w:rsid w:val="00E910E8"/>
    <w:rsid w:val="00E91205"/>
    <w:rsid w:val="00E9128D"/>
    <w:rsid w:val="00E913D5"/>
    <w:rsid w:val="00E914F0"/>
    <w:rsid w:val="00E91685"/>
    <w:rsid w:val="00E91689"/>
    <w:rsid w:val="00E91755"/>
    <w:rsid w:val="00E91801"/>
    <w:rsid w:val="00E9182C"/>
    <w:rsid w:val="00E9185D"/>
    <w:rsid w:val="00E91A05"/>
    <w:rsid w:val="00E91B64"/>
    <w:rsid w:val="00E91DAC"/>
    <w:rsid w:val="00E91DDC"/>
    <w:rsid w:val="00E91F22"/>
    <w:rsid w:val="00E91F40"/>
    <w:rsid w:val="00E920DC"/>
    <w:rsid w:val="00E9210C"/>
    <w:rsid w:val="00E92148"/>
    <w:rsid w:val="00E921F7"/>
    <w:rsid w:val="00E92288"/>
    <w:rsid w:val="00E923CD"/>
    <w:rsid w:val="00E9253D"/>
    <w:rsid w:val="00E927D7"/>
    <w:rsid w:val="00E92859"/>
    <w:rsid w:val="00E92AC3"/>
    <w:rsid w:val="00E92B39"/>
    <w:rsid w:val="00E92B5A"/>
    <w:rsid w:val="00E92C25"/>
    <w:rsid w:val="00E92C5E"/>
    <w:rsid w:val="00E92D01"/>
    <w:rsid w:val="00E92E71"/>
    <w:rsid w:val="00E92F75"/>
    <w:rsid w:val="00E93132"/>
    <w:rsid w:val="00E93199"/>
    <w:rsid w:val="00E9348E"/>
    <w:rsid w:val="00E9349B"/>
    <w:rsid w:val="00E934A7"/>
    <w:rsid w:val="00E934CA"/>
    <w:rsid w:val="00E938BF"/>
    <w:rsid w:val="00E938DA"/>
    <w:rsid w:val="00E939D2"/>
    <w:rsid w:val="00E93ABA"/>
    <w:rsid w:val="00E93ACD"/>
    <w:rsid w:val="00E93BE2"/>
    <w:rsid w:val="00E93D52"/>
    <w:rsid w:val="00E9400D"/>
    <w:rsid w:val="00E94012"/>
    <w:rsid w:val="00E940A3"/>
    <w:rsid w:val="00E940C3"/>
    <w:rsid w:val="00E940FA"/>
    <w:rsid w:val="00E9413B"/>
    <w:rsid w:val="00E94239"/>
    <w:rsid w:val="00E942AA"/>
    <w:rsid w:val="00E94365"/>
    <w:rsid w:val="00E944F0"/>
    <w:rsid w:val="00E9450C"/>
    <w:rsid w:val="00E9459A"/>
    <w:rsid w:val="00E94846"/>
    <w:rsid w:val="00E9486D"/>
    <w:rsid w:val="00E94CD1"/>
    <w:rsid w:val="00E94CD2"/>
    <w:rsid w:val="00E94D0B"/>
    <w:rsid w:val="00E94E0C"/>
    <w:rsid w:val="00E94E88"/>
    <w:rsid w:val="00E94EA5"/>
    <w:rsid w:val="00E94F03"/>
    <w:rsid w:val="00E94FED"/>
    <w:rsid w:val="00E94FF4"/>
    <w:rsid w:val="00E9504F"/>
    <w:rsid w:val="00E9513D"/>
    <w:rsid w:val="00E95146"/>
    <w:rsid w:val="00E95175"/>
    <w:rsid w:val="00E95195"/>
    <w:rsid w:val="00E9519B"/>
    <w:rsid w:val="00E951E2"/>
    <w:rsid w:val="00E9522B"/>
    <w:rsid w:val="00E95455"/>
    <w:rsid w:val="00E955FC"/>
    <w:rsid w:val="00E95635"/>
    <w:rsid w:val="00E95754"/>
    <w:rsid w:val="00E958DF"/>
    <w:rsid w:val="00E9595C"/>
    <w:rsid w:val="00E959D0"/>
    <w:rsid w:val="00E95ABC"/>
    <w:rsid w:val="00E95AFF"/>
    <w:rsid w:val="00E95C77"/>
    <w:rsid w:val="00E95D95"/>
    <w:rsid w:val="00E95F3C"/>
    <w:rsid w:val="00E95F79"/>
    <w:rsid w:val="00E9607C"/>
    <w:rsid w:val="00E962D7"/>
    <w:rsid w:val="00E96384"/>
    <w:rsid w:val="00E964F1"/>
    <w:rsid w:val="00E96641"/>
    <w:rsid w:val="00E96871"/>
    <w:rsid w:val="00E96882"/>
    <w:rsid w:val="00E96BF6"/>
    <w:rsid w:val="00E96C0A"/>
    <w:rsid w:val="00E96E6B"/>
    <w:rsid w:val="00E96F62"/>
    <w:rsid w:val="00E9745F"/>
    <w:rsid w:val="00E975C4"/>
    <w:rsid w:val="00E976BE"/>
    <w:rsid w:val="00E97705"/>
    <w:rsid w:val="00E978A7"/>
    <w:rsid w:val="00E979A3"/>
    <w:rsid w:val="00E979C2"/>
    <w:rsid w:val="00E97A34"/>
    <w:rsid w:val="00E97DFE"/>
    <w:rsid w:val="00E97E69"/>
    <w:rsid w:val="00E97F39"/>
    <w:rsid w:val="00E97FC1"/>
    <w:rsid w:val="00EA00CD"/>
    <w:rsid w:val="00EA013E"/>
    <w:rsid w:val="00EA022A"/>
    <w:rsid w:val="00EA02E4"/>
    <w:rsid w:val="00EA0513"/>
    <w:rsid w:val="00EA0602"/>
    <w:rsid w:val="00EA0761"/>
    <w:rsid w:val="00EA0762"/>
    <w:rsid w:val="00EA07FB"/>
    <w:rsid w:val="00EA0837"/>
    <w:rsid w:val="00EA095F"/>
    <w:rsid w:val="00EA0A10"/>
    <w:rsid w:val="00EA0AF9"/>
    <w:rsid w:val="00EA0F9A"/>
    <w:rsid w:val="00EA10E7"/>
    <w:rsid w:val="00EA10EE"/>
    <w:rsid w:val="00EA10F0"/>
    <w:rsid w:val="00EA11CE"/>
    <w:rsid w:val="00EA12E8"/>
    <w:rsid w:val="00EA1302"/>
    <w:rsid w:val="00EA1822"/>
    <w:rsid w:val="00EA187B"/>
    <w:rsid w:val="00EA18FB"/>
    <w:rsid w:val="00EA1E95"/>
    <w:rsid w:val="00EA1F4E"/>
    <w:rsid w:val="00EA2127"/>
    <w:rsid w:val="00EA2184"/>
    <w:rsid w:val="00EA22B7"/>
    <w:rsid w:val="00EA22CB"/>
    <w:rsid w:val="00EA2361"/>
    <w:rsid w:val="00EA239B"/>
    <w:rsid w:val="00EA2509"/>
    <w:rsid w:val="00EA2641"/>
    <w:rsid w:val="00EA2710"/>
    <w:rsid w:val="00EA2718"/>
    <w:rsid w:val="00EA27A1"/>
    <w:rsid w:val="00EA27C1"/>
    <w:rsid w:val="00EA2873"/>
    <w:rsid w:val="00EA2975"/>
    <w:rsid w:val="00EA29B8"/>
    <w:rsid w:val="00EA2A1D"/>
    <w:rsid w:val="00EA2B84"/>
    <w:rsid w:val="00EA2BF0"/>
    <w:rsid w:val="00EA2E60"/>
    <w:rsid w:val="00EA2E8B"/>
    <w:rsid w:val="00EA2F66"/>
    <w:rsid w:val="00EA2F6A"/>
    <w:rsid w:val="00EA3082"/>
    <w:rsid w:val="00EA30DE"/>
    <w:rsid w:val="00EA314C"/>
    <w:rsid w:val="00EA322D"/>
    <w:rsid w:val="00EA3236"/>
    <w:rsid w:val="00EA38F2"/>
    <w:rsid w:val="00EA3907"/>
    <w:rsid w:val="00EA3946"/>
    <w:rsid w:val="00EA3991"/>
    <w:rsid w:val="00EA3C3F"/>
    <w:rsid w:val="00EA3D13"/>
    <w:rsid w:val="00EA3DF5"/>
    <w:rsid w:val="00EA3F3D"/>
    <w:rsid w:val="00EA3F61"/>
    <w:rsid w:val="00EA3FA0"/>
    <w:rsid w:val="00EA401A"/>
    <w:rsid w:val="00EA4039"/>
    <w:rsid w:val="00EA422F"/>
    <w:rsid w:val="00EA4407"/>
    <w:rsid w:val="00EA4510"/>
    <w:rsid w:val="00EA456B"/>
    <w:rsid w:val="00EA4622"/>
    <w:rsid w:val="00EA4636"/>
    <w:rsid w:val="00EA4810"/>
    <w:rsid w:val="00EA490E"/>
    <w:rsid w:val="00EA491F"/>
    <w:rsid w:val="00EA4B64"/>
    <w:rsid w:val="00EA4B65"/>
    <w:rsid w:val="00EA4F6D"/>
    <w:rsid w:val="00EA5059"/>
    <w:rsid w:val="00EA50A8"/>
    <w:rsid w:val="00EA523D"/>
    <w:rsid w:val="00EA5284"/>
    <w:rsid w:val="00EA52CA"/>
    <w:rsid w:val="00EA53E1"/>
    <w:rsid w:val="00EA548D"/>
    <w:rsid w:val="00EA56FA"/>
    <w:rsid w:val="00EA594E"/>
    <w:rsid w:val="00EA5B65"/>
    <w:rsid w:val="00EA5B88"/>
    <w:rsid w:val="00EA5D1F"/>
    <w:rsid w:val="00EA5D7F"/>
    <w:rsid w:val="00EA5F9B"/>
    <w:rsid w:val="00EA607B"/>
    <w:rsid w:val="00EA609E"/>
    <w:rsid w:val="00EA624B"/>
    <w:rsid w:val="00EA6401"/>
    <w:rsid w:val="00EA667A"/>
    <w:rsid w:val="00EA66BC"/>
    <w:rsid w:val="00EA68A7"/>
    <w:rsid w:val="00EA6AA3"/>
    <w:rsid w:val="00EA6B06"/>
    <w:rsid w:val="00EA6B2D"/>
    <w:rsid w:val="00EA6B5A"/>
    <w:rsid w:val="00EA6BA4"/>
    <w:rsid w:val="00EA6BBB"/>
    <w:rsid w:val="00EA6C28"/>
    <w:rsid w:val="00EA6C31"/>
    <w:rsid w:val="00EA6E69"/>
    <w:rsid w:val="00EA6EDE"/>
    <w:rsid w:val="00EA6FA6"/>
    <w:rsid w:val="00EA706B"/>
    <w:rsid w:val="00EA7116"/>
    <w:rsid w:val="00EA71AD"/>
    <w:rsid w:val="00EA7239"/>
    <w:rsid w:val="00EA7278"/>
    <w:rsid w:val="00EA72CC"/>
    <w:rsid w:val="00EA7553"/>
    <w:rsid w:val="00EA75AE"/>
    <w:rsid w:val="00EA75F1"/>
    <w:rsid w:val="00EA75FA"/>
    <w:rsid w:val="00EA773F"/>
    <w:rsid w:val="00EA77FA"/>
    <w:rsid w:val="00EA7855"/>
    <w:rsid w:val="00EA7859"/>
    <w:rsid w:val="00EA799D"/>
    <w:rsid w:val="00EA79BA"/>
    <w:rsid w:val="00EA79C4"/>
    <w:rsid w:val="00EA7B91"/>
    <w:rsid w:val="00EA7BF7"/>
    <w:rsid w:val="00EA7C45"/>
    <w:rsid w:val="00EA7CB8"/>
    <w:rsid w:val="00EA7D2A"/>
    <w:rsid w:val="00EA7D3D"/>
    <w:rsid w:val="00EA7E50"/>
    <w:rsid w:val="00EA7F6B"/>
    <w:rsid w:val="00EB00CC"/>
    <w:rsid w:val="00EB00E0"/>
    <w:rsid w:val="00EB010D"/>
    <w:rsid w:val="00EB024C"/>
    <w:rsid w:val="00EB03C9"/>
    <w:rsid w:val="00EB0427"/>
    <w:rsid w:val="00EB05D5"/>
    <w:rsid w:val="00EB0679"/>
    <w:rsid w:val="00EB099A"/>
    <w:rsid w:val="00EB09CD"/>
    <w:rsid w:val="00EB0B17"/>
    <w:rsid w:val="00EB0B28"/>
    <w:rsid w:val="00EB0B94"/>
    <w:rsid w:val="00EB0C3F"/>
    <w:rsid w:val="00EB0CE6"/>
    <w:rsid w:val="00EB0D66"/>
    <w:rsid w:val="00EB0E5F"/>
    <w:rsid w:val="00EB0EA2"/>
    <w:rsid w:val="00EB0EDE"/>
    <w:rsid w:val="00EB0F0F"/>
    <w:rsid w:val="00EB0F6F"/>
    <w:rsid w:val="00EB10C7"/>
    <w:rsid w:val="00EB11E0"/>
    <w:rsid w:val="00EB120A"/>
    <w:rsid w:val="00EB1357"/>
    <w:rsid w:val="00EB1371"/>
    <w:rsid w:val="00EB13ED"/>
    <w:rsid w:val="00EB1577"/>
    <w:rsid w:val="00EB15FD"/>
    <w:rsid w:val="00EB164D"/>
    <w:rsid w:val="00EB16B0"/>
    <w:rsid w:val="00EB1793"/>
    <w:rsid w:val="00EB18AB"/>
    <w:rsid w:val="00EB1AA0"/>
    <w:rsid w:val="00EB1AED"/>
    <w:rsid w:val="00EB1B61"/>
    <w:rsid w:val="00EB1BF3"/>
    <w:rsid w:val="00EB1D0E"/>
    <w:rsid w:val="00EB1D8C"/>
    <w:rsid w:val="00EB1DF4"/>
    <w:rsid w:val="00EB1E68"/>
    <w:rsid w:val="00EB1F34"/>
    <w:rsid w:val="00EB1FAC"/>
    <w:rsid w:val="00EB20B7"/>
    <w:rsid w:val="00EB22B0"/>
    <w:rsid w:val="00EB231B"/>
    <w:rsid w:val="00EB236D"/>
    <w:rsid w:val="00EB238D"/>
    <w:rsid w:val="00EB2492"/>
    <w:rsid w:val="00EB295C"/>
    <w:rsid w:val="00EB2986"/>
    <w:rsid w:val="00EB2C13"/>
    <w:rsid w:val="00EB2CA2"/>
    <w:rsid w:val="00EB2D95"/>
    <w:rsid w:val="00EB30B6"/>
    <w:rsid w:val="00EB30C4"/>
    <w:rsid w:val="00EB3265"/>
    <w:rsid w:val="00EB3357"/>
    <w:rsid w:val="00EB345D"/>
    <w:rsid w:val="00EB35CD"/>
    <w:rsid w:val="00EB36DB"/>
    <w:rsid w:val="00EB36F2"/>
    <w:rsid w:val="00EB3889"/>
    <w:rsid w:val="00EB3991"/>
    <w:rsid w:val="00EB39CC"/>
    <w:rsid w:val="00EB3C7A"/>
    <w:rsid w:val="00EB401B"/>
    <w:rsid w:val="00EB422D"/>
    <w:rsid w:val="00EB4272"/>
    <w:rsid w:val="00EB4542"/>
    <w:rsid w:val="00EB456A"/>
    <w:rsid w:val="00EB4588"/>
    <w:rsid w:val="00EB477E"/>
    <w:rsid w:val="00EB48CA"/>
    <w:rsid w:val="00EB496C"/>
    <w:rsid w:val="00EB4971"/>
    <w:rsid w:val="00EB49DA"/>
    <w:rsid w:val="00EB49DC"/>
    <w:rsid w:val="00EB4A8D"/>
    <w:rsid w:val="00EB4B2D"/>
    <w:rsid w:val="00EB4B4B"/>
    <w:rsid w:val="00EB4BC7"/>
    <w:rsid w:val="00EB4BED"/>
    <w:rsid w:val="00EB4CA7"/>
    <w:rsid w:val="00EB4D11"/>
    <w:rsid w:val="00EB4D4A"/>
    <w:rsid w:val="00EB4DAB"/>
    <w:rsid w:val="00EB4F4F"/>
    <w:rsid w:val="00EB4F5B"/>
    <w:rsid w:val="00EB5032"/>
    <w:rsid w:val="00EB508C"/>
    <w:rsid w:val="00EB5230"/>
    <w:rsid w:val="00EB530A"/>
    <w:rsid w:val="00EB53C7"/>
    <w:rsid w:val="00EB53E0"/>
    <w:rsid w:val="00EB5446"/>
    <w:rsid w:val="00EB56B9"/>
    <w:rsid w:val="00EB5875"/>
    <w:rsid w:val="00EB5AAB"/>
    <w:rsid w:val="00EB5AC6"/>
    <w:rsid w:val="00EB5B7D"/>
    <w:rsid w:val="00EB5BCD"/>
    <w:rsid w:val="00EB5BCE"/>
    <w:rsid w:val="00EB5BDE"/>
    <w:rsid w:val="00EB5C08"/>
    <w:rsid w:val="00EB5CEE"/>
    <w:rsid w:val="00EB5D2A"/>
    <w:rsid w:val="00EB5FFC"/>
    <w:rsid w:val="00EB60E5"/>
    <w:rsid w:val="00EB614E"/>
    <w:rsid w:val="00EB6495"/>
    <w:rsid w:val="00EB64EA"/>
    <w:rsid w:val="00EB6578"/>
    <w:rsid w:val="00EB65AE"/>
    <w:rsid w:val="00EB6637"/>
    <w:rsid w:val="00EB6681"/>
    <w:rsid w:val="00EB668D"/>
    <w:rsid w:val="00EB6697"/>
    <w:rsid w:val="00EB672B"/>
    <w:rsid w:val="00EB682E"/>
    <w:rsid w:val="00EB6883"/>
    <w:rsid w:val="00EB6887"/>
    <w:rsid w:val="00EB6888"/>
    <w:rsid w:val="00EB68B7"/>
    <w:rsid w:val="00EB68C4"/>
    <w:rsid w:val="00EB6CF8"/>
    <w:rsid w:val="00EB6E96"/>
    <w:rsid w:val="00EB6F4B"/>
    <w:rsid w:val="00EB7004"/>
    <w:rsid w:val="00EB702C"/>
    <w:rsid w:val="00EB7098"/>
    <w:rsid w:val="00EB70AE"/>
    <w:rsid w:val="00EB717F"/>
    <w:rsid w:val="00EB7189"/>
    <w:rsid w:val="00EB71B3"/>
    <w:rsid w:val="00EB725F"/>
    <w:rsid w:val="00EB7288"/>
    <w:rsid w:val="00EB7528"/>
    <w:rsid w:val="00EB76DE"/>
    <w:rsid w:val="00EB774A"/>
    <w:rsid w:val="00EB795E"/>
    <w:rsid w:val="00EB7960"/>
    <w:rsid w:val="00EB79CA"/>
    <w:rsid w:val="00EB7A4B"/>
    <w:rsid w:val="00EB7B7B"/>
    <w:rsid w:val="00EB7E01"/>
    <w:rsid w:val="00EB7E69"/>
    <w:rsid w:val="00EC0005"/>
    <w:rsid w:val="00EC0010"/>
    <w:rsid w:val="00EC0110"/>
    <w:rsid w:val="00EC0160"/>
    <w:rsid w:val="00EC02A9"/>
    <w:rsid w:val="00EC02CF"/>
    <w:rsid w:val="00EC0395"/>
    <w:rsid w:val="00EC04F8"/>
    <w:rsid w:val="00EC059F"/>
    <w:rsid w:val="00EC074A"/>
    <w:rsid w:val="00EC0866"/>
    <w:rsid w:val="00EC08A2"/>
    <w:rsid w:val="00EC08DE"/>
    <w:rsid w:val="00EC09F2"/>
    <w:rsid w:val="00EC09F9"/>
    <w:rsid w:val="00EC0A7A"/>
    <w:rsid w:val="00EC0BA5"/>
    <w:rsid w:val="00EC0D9F"/>
    <w:rsid w:val="00EC0F24"/>
    <w:rsid w:val="00EC0F31"/>
    <w:rsid w:val="00EC11F9"/>
    <w:rsid w:val="00EC133D"/>
    <w:rsid w:val="00EC13EE"/>
    <w:rsid w:val="00EC1590"/>
    <w:rsid w:val="00EC1665"/>
    <w:rsid w:val="00EC16B2"/>
    <w:rsid w:val="00EC19ED"/>
    <w:rsid w:val="00EC1AFC"/>
    <w:rsid w:val="00EC1C45"/>
    <w:rsid w:val="00EC1C51"/>
    <w:rsid w:val="00EC1D4B"/>
    <w:rsid w:val="00EC1F24"/>
    <w:rsid w:val="00EC21EC"/>
    <w:rsid w:val="00EC22F6"/>
    <w:rsid w:val="00EC2414"/>
    <w:rsid w:val="00EC24A5"/>
    <w:rsid w:val="00EC24B0"/>
    <w:rsid w:val="00EC24BC"/>
    <w:rsid w:val="00EC2515"/>
    <w:rsid w:val="00EC2546"/>
    <w:rsid w:val="00EC2616"/>
    <w:rsid w:val="00EC26C4"/>
    <w:rsid w:val="00EC26DD"/>
    <w:rsid w:val="00EC272F"/>
    <w:rsid w:val="00EC2889"/>
    <w:rsid w:val="00EC28B5"/>
    <w:rsid w:val="00EC293C"/>
    <w:rsid w:val="00EC2A7A"/>
    <w:rsid w:val="00EC2D20"/>
    <w:rsid w:val="00EC2DCE"/>
    <w:rsid w:val="00EC2ED3"/>
    <w:rsid w:val="00EC2F6C"/>
    <w:rsid w:val="00EC31FE"/>
    <w:rsid w:val="00EC322D"/>
    <w:rsid w:val="00EC326C"/>
    <w:rsid w:val="00EC32BF"/>
    <w:rsid w:val="00EC33A2"/>
    <w:rsid w:val="00EC33E0"/>
    <w:rsid w:val="00EC36A5"/>
    <w:rsid w:val="00EC36F5"/>
    <w:rsid w:val="00EC3777"/>
    <w:rsid w:val="00EC37A7"/>
    <w:rsid w:val="00EC37F8"/>
    <w:rsid w:val="00EC386E"/>
    <w:rsid w:val="00EC3915"/>
    <w:rsid w:val="00EC3ACB"/>
    <w:rsid w:val="00EC3B07"/>
    <w:rsid w:val="00EC3B90"/>
    <w:rsid w:val="00EC3BFF"/>
    <w:rsid w:val="00EC3C91"/>
    <w:rsid w:val="00EC3DB9"/>
    <w:rsid w:val="00EC3E3B"/>
    <w:rsid w:val="00EC3E41"/>
    <w:rsid w:val="00EC3F79"/>
    <w:rsid w:val="00EC3FF7"/>
    <w:rsid w:val="00EC40F1"/>
    <w:rsid w:val="00EC4150"/>
    <w:rsid w:val="00EC42F1"/>
    <w:rsid w:val="00EC4310"/>
    <w:rsid w:val="00EC4494"/>
    <w:rsid w:val="00EC45F4"/>
    <w:rsid w:val="00EC4692"/>
    <w:rsid w:val="00EC4708"/>
    <w:rsid w:val="00EC4763"/>
    <w:rsid w:val="00EC4AF3"/>
    <w:rsid w:val="00EC4B6F"/>
    <w:rsid w:val="00EC4B7D"/>
    <w:rsid w:val="00EC4BC5"/>
    <w:rsid w:val="00EC4E4E"/>
    <w:rsid w:val="00EC4E72"/>
    <w:rsid w:val="00EC4E86"/>
    <w:rsid w:val="00EC4ED4"/>
    <w:rsid w:val="00EC5042"/>
    <w:rsid w:val="00EC51F7"/>
    <w:rsid w:val="00EC5208"/>
    <w:rsid w:val="00EC52EE"/>
    <w:rsid w:val="00EC57DB"/>
    <w:rsid w:val="00EC57F6"/>
    <w:rsid w:val="00EC5814"/>
    <w:rsid w:val="00EC5A70"/>
    <w:rsid w:val="00EC5D21"/>
    <w:rsid w:val="00EC5D24"/>
    <w:rsid w:val="00EC5D2D"/>
    <w:rsid w:val="00EC6203"/>
    <w:rsid w:val="00EC627B"/>
    <w:rsid w:val="00EC6344"/>
    <w:rsid w:val="00EC6347"/>
    <w:rsid w:val="00EC6373"/>
    <w:rsid w:val="00EC63A7"/>
    <w:rsid w:val="00EC63DE"/>
    <w:rsid w:val="00EC6404"/>
    <w:rsid w:val="00EC650C"/>
    <w:rsid w:val="00EC657D"/>
    <w:rsid w:val="00EC67A4"/>
    <w:rsid w:val="00EC6822"/>
    <w:rsid w:val="00EC6A3E"/>
    <w:rsid w:val="00EC6B14"/>
    <w:rsid w:val="00EC6C88"/>
    <w:rsid w:val="00EC6CAE"/>
    <w:rsid w:val="00EC6D7C"/>
    <w:rsid w:val="00EC6DD2"/>
    <w:rsid w:val="00EC6E5F"/>
    <w:rsid w:val="00EC726B"/>
    <w:rsid w:val="00EC73BA"/>
    <w:rsid w:val="00EC73E7"/>
    <w:rsid w:val="00EC7456"/>
    <w:rsid w:val="00EC74C1"/>
    <w:rsid w:val="00EC75E6"/>
    <w:rsid w:val="00EC76C0"/>
    <w:rsid w:val="00EC76D3"/>
    <w:rsid w:val="00EC77CC"/>
    <w:rsid w:val="00EC7924"/>
    <w:rsid w:val="00EC79EC"/>
    <w:rsid w:val="00EC7A20"/>
    <w:rsid w:val="00EC7C81"/>
    <w:rsid w:val="00EC7CD7"/>
    <w:rsid w:val="00EC7E54"/>
    <w:rsid w:val="00EC7E6E"/>
    <w:rsid w:val="00EC7F05"/>
    <w:rsid w:val="00EC7F2C"/>
    <w:rsid w:val="00EC7F95"/>
    <w:rsid w:val="00ECB833"/>
    <w:rsid w:val="00ED0044"/>
    <w:rsid w:val="00ED015A"/>
    <w:rsid w:val="00ED0177"/>
    <w:rsid w:val="00ED01B0"/>
    <w:rsid w:val="00ED03AF"/>
    <w:rsid w:val="00ED03FD"/>
    <w:rsid w:val="00ED057E"/>
    <w:rsid w:val="00ED06F6"/>
    <w:rsid w:val="00ED08F0"/>
    <w:rsid w:val="00ED0A9E"/>
    <w:rsid w:val="00ED0B1D"/>
    <w:rsid w:val="00ED0B5A"/>
    <w:rsid w:val="00ED0E67"/>
    <w:rsid w:val="00ED0F44"/>
    <w:rsid w:val="00ED0F60"/>
    <w:rsid w:val="00ED104E"/>
    <w:rsid w:val="00ED119B"/>
    <w:rsid w:val="00ED121F"/>
    <w:rsid w:val="00ED13DD"/>
    <w:rsid w:val="00ED13F4"/>
    <w:rsid w:val="00ED148F"/>
    <w:rsid w:val="00ED1568"/>
    <w:rsid w:val="00ED158C"/>
    <w:rsid w:val="00ED1914"/>
    <w:rsid w:val="00ED1934"/>
    <w:rsid w:val="00ED1A10"/>
    <w:rsid w:val="00ED1AB3"/>
    <w:rsid w:val="00ED1B91"/>
    <w:rsid w:val="00ED1CD0"/>
    <w:rsid w:val="00ED1D78"/>
    <w:rsid w:val="00ED1E3B"/>
    <w:rsid w:val="00ED2003"/>
    <w:rsid w:val="00ED209B"/>
    <w:rsid w:val="00ED20E3"/>
    <w:rsid w:val="00ED216B"/>
    <w:rsid w:val="00ED222B"/>
    <w:rsid w:val="00ED22B1"/>
    <w:rsid w:val="00ED2315"/>
    <w:rsid w:val="00ED2332"/>
    <w:rsid w:val="00ED248C"/>
    <w:rsid w:val="00ED24E9"/>
    <w:rsid w:val="00ED2664"/>
    <w:rsid w:val="00ED26D4"/>
    <w:rsid w:val="00ED2778"/>
    <w:rsid w:val="00ED27D8"/>
    <w:rsid w:val="00ED2802"/>
    <w:rsid w:val="00ED288F"/>
    <w:rsid w:val="00ED2993"/>
    <w:rsid w:val="00ED29B2"/>
    <w:rsid w:val="00ED2B09"/>
    <w:rsid w:val="00ED2BB8"/>
    <w:rsid w:val="00ED2C98"/>
    <w:rsid w:val="00ED2E68"/>
    <w:rsid w:val="00ED2EAF"/>
    <w:rsid w:val="00ED2F0C"/>
    <w:rsid w:val="00ED306B"/>
    <w:rsid w:val="00ED3115"/>
    <w:rsid w:val="00ED3117"/>
    <w:rsid w:val="00ED328D"/>
    <w:rsid w:val="00ED32E5"/>
    <w:rsid w:val="00ED3323"/>
    <w:rsid w:val="00ED3371"/>
    <w:rsid w:val="00ED35DC"/>
    <w:rsid w:val="00ED3637"/>
    <w:rsid w:val="00ED3640"/>
    <w:rsid w:val="00ED36D3"/>
    <w:rsid w:val="00ED37CE"/>
    <w:rsid w:val="00ED39E9"/>
    <w:rsid w:val="00ED3B96"/>
    <w:rsid w:val="00ED3C0E"/>
    <w:rsid w:val="00ED3D56"/>
    <w:rsid w:val="00ED3EBB"/>
    <w:rsid w:val="00ED3FCF"/>
    <w:rsid w:val="00ED4119"/>
    <w:rsid w:val="00ED4165"/>
    <w:rsid w:val="00ED4530"/>
    <w:rsid w:val="00ED45AB"/>
    <w:rsid w:val="00ED46BD"/>
    <w:rsid w:val="00ED48A1"/>
    <w:rsid w:val="00ED4974"/>
    <w:rsid w:val="00ED4A0D"/>
    <w:rsid w:val="00ED4A2D"/>
    <w:rsid w:val="00ED4C39"/>
    <w:rsid w:val="00ED4E0E"/>
    <w:rsid w:val="00ED4E88"/>
    <w:rsid w:val="00ED4ED4"/>
    <w:rsid w:val="00ED507C"/>
    <w:rsid w:val="00ED50FE"/>
    <w:rsid w:val="00ED5131"/>
    <w:rsid w:val="00ED519B"/>
    <w:rsid w:val="00ED534D"/>
    <w:rsid w:val="00ED5457"/>
    <w:rsid w:val="00ED5469"/>
    <w:rsid w:val="00ED5545"/>
    <w:rsid w:val="00ED563C"/>
    <w:rsid w:val="00ED56B7"/>
    <w:rsid w:val="00ED5718"/>
    <w:rsid w:val="00ED5743"/>
    <w:rsid w:val="00ED5820"/>
    <w:rsid w:val="00ED5826"/>
    <w:rsid w:val="00ED5828"/>
    <w:rsid w:val="00ED58A4"/>
    <w:rsid w:val="00ED5B9B"/>
    <w:rsid w:val="00ED5C5E"/>
    <w:rsid w:val="00ED5CF7"/>
    <w:rsid w:val="00ED5D9B"/>
    <w:rsid w:val="00ED5DF3"/>
    <w:rsid w:val="00ED5E2B"/>
    <w:rsid w:val="00ED5EBE"/>
    <w:rsid w:val="00ED5F20"/>
    <w:rsid w:val="00ED5F34"/>
    <w:rsid w:val="00ED604A"/>
    <w:rsid w:val="00ED6063"/>
    <w:rsid w:val="00ED60DB"/>
    <w:rsid w:val="00ED60DF"/>
    <w:rsid w:val="00ED60EE"/>
    <w:rsid w:val="00ED61A5"/>
    <w:rsid w:val="00ED621E"/>
    <w:rsid w:val="00ED6278"/>
    <w:rsid w:val="00ED646B"/>
    <w:rsid w:val="00ED6669"/>
    <w:rsid w:val="00ED6723"/>
    <w:rsid w:val="00ED67CD"/>
    <w:rsid w:val="00ED6859"/>
    <w:rsid w:val="00ED686A"/>
    <w:rsid w:val="00ED68AF"/>
    <w:rsid w:val="00ED6BAD"/>
    <w:rsid w:val="00ED6C40"/>
    <w:rsid w:val="00ED6C78"/>
    <w:rsid w:val="00ED6F3D"/>
    <w:rsid w:val="00ED6FD8"/>
    <w:rsid w:val="00ED706F"/>
    <w:rsid w:val="00ED70CC"/>
    <w:rsid w:val="00ED70E9"/>
    <w:rsid w:val="00ED71E6"/>
    <w:rsid w:val="00ED71F6"/>
    <w:rsid w:val="00ED7323"/>
    <w:rsid w:val="00ED739B"/>
    <w:rsid w:val="00ED73E9"/>
    <w:rsid w:val="00ED7447"/>
    <w:rsid w:val="00ED746B"/>
    <w:rsid w:val="00ED75D9"/>
    <w:rsid w:val="00ED75DE"/>
    <w:rsid w:val="00ED76EC"/>
    <w:rsid w:val="00ED7762"/>
    <w:rsid w:val="00ED7AAF"/>
    <w:rsid w:val="00ED7B8A"/>
    <w:rsid w:val="00ED7BEB"/>
    <w:rsid w:val="00ED7C87"/>
    <w:rsid w:val="00ED7DC8"/>
    <w:rsid w:val="00ED7F80"/>
    <w:rsid w:val="00EE00D6"/>
    <w:rsid w:val="00EE021B"/>
    <w:rsid w:val="00EE02B8"/>
    <w:rsid w:val="00EE0370"/>
    <w:rsid w:val="00EE03E7"/>
    <w:rsid w:val="00EE053D"/>
    <w:rsid w:val="00EE05BA"/>
    <w:rsid w:val="00EE05ED"/>
    <w:rsid w:val="00EE079B"/>
    <w:rsid w:val="00EE07DA"/>
    <w:rsid w:val="00EE0A34"/>
    <w:rsid w:val="00EE0BD6"/>
    <w:rsid w:val="00EE0CF2"/>
    <w:rsid w:val="00EE0DB1"/>
    <w:rsid w:val="00EE0E3B"/>
    <w:rsid w:val="00EE0EBE"/>
    <w:rsid w:val="00EE0F15"/>
    <w:rsid w:val="00EE1025"/>
    <w:rsid w:val="00EE1191"/>
    <w:rsid w:val="00EE119D"/>
    <w:rsid w:val="00EE11E7"/>
    <w:rsid w:val="00EE1293"/>
    <w:rsid w:val="00EE1488"/>
    <w:rsid w:val="00EE14F2"/>
    <w:rsid w:val="00EE155D"/>
    <w:rsid w:val="00EE1670"/>
    <w:rsid w:val="00EE16F8"/>
    <w:rsid w:val="00EE179C"/>
    <w:rsid w:val="00EE17D8"/>
    <w:rsid w:val="00EE1922"/>
    <w:rsid w:val="00EE198C"/>
    <w:rsid w:val="00EE19EC"/>
    <w:rsid w:val="00EE1B7F"/>
    <w:rsid w:val="00EE1C05"/>
    <w:rsid w:val="00EE1C28"/>
    <w:rsid w:val="00EE1E9E"/>
    <w:rsid w:val="00EE1F95"/>
    <w:rsid w:val="00EE205E"/>
    <w:rsid w:val="00EE20D1"/>
    <w:rsid w:val="00EE20D9"/>
    <w:rsid w:val="00EE210B"/>
    <w:rsid w:val="00EE2138"/>
    <w:rsid w:val="00EE2216"/>
    <w:rsid w:val="00EE222C"/>
    <w:rsid w:val="00EE2250"/>
    <w:rsid w:val="00EE2272"/>
    <w:rsid w:val="00EE239A"/>
    <w:rsid w:val="00EE23EF"/>
    <w:rsid w:val="00EE2513"/>
    <w:rsid w:val="00EE2556"/>
    <w:rsid w:val="00EE258A"/>
    <w:rsid w:val="00EE2721"/>
    <w:rsid w:val="00EE2737"/>
    <w:rsid w:val="00EE27C0"/>
    <w:rsid w:val="00EE27F5"/>
    <w:rsid w:val="00EE2827"/>
    <w:rsid w:val="00EE28F7"/>
    <w:rsid w:val="00EE29AD"/>
    <w:rsid w:val="00EE2A41"/>
    <w:rsid w:val="00EE2A92"/>
    <w:rsid w:val="00EE2BAB"/>
    <w:rsid w:val="00EE2C77"/>
    <w:rsid w:val="00EE30A7"/>
    <w:rsid w:val="00EE30AD"/>
    <w:rsid w:val="00EE3168"/>
    <w:rsid w:val="00EE336C"/>
    <w:rsid w:val="00EE33A6"/>
    <w:rsid w:val="00EE3423"/>
    <w:rsid w:val="00EE34FE"/>
    <w:rsid w:val="00EE364D"/>
    <w:rsid w:val="00EE365D"/>
    <w:rsid w:val="00EE3855"/>
    <w:rsid w:val="00EE3903"/>
    <w:rsid w:val="00EE39C9"/>
    <w:rsid w:val="00EE39FD"/>
    <w:rsid w:val="00EE3B2E"/>
    <w:rsid w:val="00EE3B45"/>
    <w:rsid w:val="00EE3C5D"/>
    <w:rsid w:val="00EE3D05"/>
    <w:rsid w:val="00EE3D57"/>
    <w:rsid w:val="00EE3E24"/>
    <w:rsid w:val="00EE3E28"/>
    <w:rsid w:val="00EE4097"/>
    <w:rsid w:val="00EE40A6"/>
    <w:rsid w:val="00EE40BC"/>
    <w:rsid w:val="00EE410D"/>
    <w:rsid w:val="00EE432E"/>
    <w:rsid w:val="00EE4510"/>
    <w:rsid w:val="00EE45B2"/>
    <w:rsid w:val="00EE4638"/>
    <w:rsid w:val="00EE46C4"/>
    <w:rsid w:val="00EE46D5"/>
    <w:rsid w:val="00EE47A8"/>
    <w:rsid w:val="00EE49E7"/>
    <w:rsid w:val="00EE4A67"/>
    <w:rsid w:val="00EE4A72"/>
    <w:rsid w:val="00EE4B2B"/>
    <w:rsid w:val="00EE4C19"/>
    <w:rsid w:val="00EE4C49"/>
    <w:rsid w:val="00EE4D0D"/>
    <w:rsid w:val="00EE4D29"/>
    <w:rsid w:val="00EE4D5D"/>
    <w:rsid w:val="00EE4E36"/>
    <w:rsid w:val="00EE4EE8"/>
    <w:rsid w:val="00EE4FA0"/>
    <w:rsid w:val="00EE5040"/>
    <w:rsid w:val="00EE5099"/>
    <w:rsid w:val="00EE5131"/>
    <w:rsid w:val="00EE5329"/>
    <w:rsid w:val="00EE533B"/>
    <w:rsid w:val="00EE536B"/>
    <w:rsid w:val="00EE53EC"/>
    <w:rsid w:val="00EE540B"/>
    <w:rsid w:val="00EE54B0"/>
    <w:rsid w:val="00EE54C9"/>
    <w:rsid w:val="00EE5670"/>
    <w:rsid w:val="00EE579E"/>
    <w:rsid w:val="00EE57DB"/>
    <w:rsid w:val="00EE58BC"/>
    <w:rsid w:val="00EE5927"/>
    <w:rsid w:val="00EE5976"/>
    <w:rsid w:val="00EE59DA"/>
    <w:rsid w:val="00EE5AF9"/>
    <w:rsid w:val="00EE5B02"/>
    <w:rsid w:val="00EE5F4E"/>
    <w:rsid w:val="00EE61BB"/>
    <w:rsid w:val="00EE61F5"/>
    <w:rsid w:val="00EE66FF"/>
    <w:rsid w:val="00EE670D"/>
    <w:rsid w:val="00EE6725"/>
    <w:rsid w:val="00EE6766"/>
    <w:rsid w:val="00EE6794"/>
    <w:rsid w:val="00EE6795"/>
    <w:rsid w:val="00EE687E"/>
    <w:rsid w:val="00EE68F8"/>
    <w:rsid w:val="00EE6976"/>
    <w:rsid w:val="00EE6B59"/>
    <w:rsid w:val="00EE6C6D"/>
    <w:rsid w:val="00EE6C97"/>
    <w:rsid w:val="00EE6D0F"/>
    <w:rsid w:val="00EE6DAB"/>
    <w:rsid w:val="00EE6F3B"/>
    <w:rsid w:val="00EE70CB"/>
    <w:rsid w:val="00EE70DF"/>
    <w:rsid w:val="00EE711D"/>
    <w:rsid w:val="00EE7137"/>
    <w:rsid w:val="00EE7139"/>
    <w:rsid w:val="00EE7224"/>
    <w:rsid w:val="00EE73B0"/>
    <w:rsid w:val="00EE7537"/>
    <w:rsid w:val="00EE75C1"/>
    <w:rsid w:val="00EE75DF"/>
    <w:rsid w:val="00EE7886"/>
    <w:rsid w:val="00EE7A00"/>
    <w:rsid w:val="00EE7A4E"/>
    <w:rsid w:val="00EE7A66"/>
    <w:rsid w:val="00EE7A91"/>
    <w:rsid w:val="00EE7B57"/>
    <w:rsid w:val="00EE7B6D"/>
    <w:rsid w:val="00EE7BCC"/>
    <w:rsid w:val="00EE7CC4"/>
    <w:rsid w:val="00EE7D92"/>
    <w:rsid w:val="00EE7E74"/>
    <w:rsid w:val="00EE7EA9"/>
    <w:rsid w:val="00EE7FCA"/>
    <w:rsid w:val="00EEFFC6"/>
    <w:rsid w:val="00EF00D1"/>
    <w:rsid w:val="00EF0172"/>
    <w:rsid w:val="00EF017E"/>
    <w:rsid w:val="00EF029A"/>
    <w:rsid w:val="00EF048B"/>
    <w:rsid w:val="00EF04E8"/>
    <w:rsid w:val="00EF0517"/>
    <w:rsid w:val="00EF0550"/>
    <w:rsid w:val="00EF057E"/>
    <w:rsid w:val="00EF0615"/>
    <w:rsid w:val="00EF0705"/>
    <w:rsid w:val="00EF09DC"/>
    <w:rsid w:val="00EF0A5C"/>
    <w:rsid w:val="00EF0AC3"/>
    <w:rsid w:val="00EF0CA2"/>
    <w:rsid w:val="00EF0F97"/>
    <w:rsid w:val="00EF0FD5"/>
    <w:rsid w:val="00EF102A"/>
    <w:rsid w:val="00EF109B"/>
    <w:rsid w:val="00EF10DF"/>
    <w:rsid w:val="00EF1169"/>
    <w:rsid w:val="00EF11BD"/>
    <w:rsid w:val="00EF139F"/>
    <w:rsid w:val="00EF143B"/>
    <w:rsid w:val="00EF16EE"/>
    <w:rsid w:val="00EF179C"/>
    <w:rsid w:val="00EF17E3"/>
    <w:rsid w:val="00EF1846"/>
    <w:rsid w:val="00EF1885"/>
    <w:rsid w:val="00EF18F4"/>
    <w:rsid w:val="00EF198E"/>
    <w:rsid w:val="00EF1B47"/>
    <w:rsid w:val="00EF1B7C"/>
    <w:rsid w:val="00EF1C70"/>
    <w:rsid w:val="00EF1C95"/>
    <w:rsid w:val="00EF1D1A"/>
    <w:rsid w:val="00EF1EC9"/>
    <w:rsid w:val="00EF1F94"/>
    <w:rsid w:val="00EF1FF4"/>
    <w:rsid w:val="00EF2003"/>
    <w:rsid w:val="00EF201C"/>
    <w:rsid w:val="00EF2077"/>
    <w:rsid w:val="00EF2117"/>
    <w:rsid w:val="00EF2190"/>
    <w:rsid w:val="00EF22C4"/>
    <w:rsid w:val="00EF2327"/>
    <w:rsid w:val="00EF23BC"/>
    <w:rsid w:val="00EF2608"/>
    <w:rsid w:val="00EF2659"/>
    <w:rsid w:val="00EF2743"/>
    <w:rsid w:val="00EF296B"/>
    <w:rsid w:val="00EF29B0"/>
    <w:rsid w:val="00EF2A3F"/>
    <w:rsid w:val="00EF2BE0"/>
    <w:rsid w:val="00EF2C72"/>
    <w:rsid w:val="00EF2CE8"/>
    <w:rsid w:val="00EF2D5A"/>
    <w:rsid w:val="00EF2E76"/>
    <w:rsid w:val="00EF2E98"/>
    <w:rsid w:val="00EF2F0E"/>
    <w:rsid w:val="00EF2FBF"/>
    <w:rsid w:val="00EF309D"/>
    <w:rsid w:val="00EF33B3"/>
    <w:rsid w:val="00EF3411"/>
    <w:rsid w:val="00EF3538"/>
    <w:rsid w:val="00EF36AF"/>
    <w:rsid w:val="00EF36BE"/>
    <w:rsid w:val="00EF36D3"/>
    <w:rsid w:val="00EF38D3"/>
    <w:rsid w:val="00EF3A1C"/>
    <w:rsid w:val="00EF3AD7"/>
    <w:rsid w:val="00EF3C39"/>
    <w:rsid w:val="00EF3E6E"/>
    <w:rsid w:val="00EF3E91"/>
    <w:rsid w:val="00EF42BB"/>
    <w:rsid w:val="00EF4367"/>
    <w:rsid w:val="00EF4435"/>
    <w:rsid w:val="00EF4635"/>
    <w:rsid w:val="00EF464F"/>
    <w:rsid w:val="00EF47D5"/>
    <w:rsid w:val="00EF47D9"/>
    <w:rsid w:val="00EF485B"/>
    <w:rsid w:val="00EF489F"/>
    <w:rsid w:val="00EF4A12"/>
    <w:rsid w:val="00EF4A83"/>
    <w:rsid w:val="00EF4ABA"/>
    <w:rsid w:val="00EF4B04"/>
    <w:rsid w:val="00EF4BBC"/>
    <w:rsid w:val="00EF4CA0"/>
    <w:rsid w:val="00EF4D12"/>
    <w:rsid w:val="00EF4E2B"/>
    <w:rsid w:val="00EF4E4C"/>
    <w:rsid w:val="00EF4E78"/>
    <w:rsid w:val="00EF502E"/>
    <w:rsid w:val="00EF5065"/>
    <w:rsid w:val="00EF508E"/>
    <w:rsid w:val="00EF514F"/>
    <w:rsid w:val="00EF5250"/>
    <w:rsid w:val="00EF531D"/>
    <w:rsid w:val="00EF533A"/>
    <w:rsid w:val="00EF54B0"/>
    <w:rsid w:val="00EF5793"/>
    <w:rsid w:val="00EF5868"/>
    <w:rsid w:val="00EF59A3"/>
    <w:rsid w:val="00EF59F5"/>
    <w:rsid w:val="00EF5ADA"/>
    <w:rsid w:val="00EF5B0C"/>
    <w:rsid w:val="00EF5B37"/>
    <w:rsid w:val="00EF5B7B"/>
    <w:rsid w:val="00EF5C00"/>
    <w:rsid w:val="00EF5C92"/>
    <w:rsid w:val="00EF5C98"/>
    <w:rsid w:val="00EF5CCF"/>
    <w:rsid w:val="00EF5D39"/>
    <w:rsid w:val="00EF5E59"/>
    <w:rsid w:val="00EF5FAC"/>
    <w:rsid w:val="00EF603E"/>
    <w:rsid w:val="00EF60A9"/>
    <w:rsid w:val="00EF61F8"/>
    <w:rsid w:val="00EF6276"/>
    <w:rsid w:val="00EF62D8"/>
    <w:rsid w:val="00EF6394"/>
    <w:rsid w:val="00EF640B"/>
    <w:rsid w:val="00EF653D"/>
    <w:rsid w:val="00EF654C"/>
    <w:rsid w:val="00EF65A5"/>
    <w:rsid w:val="00EF6603"/>
    <w:rsid w:val="00EF666E"/>
    <w:rsid w:val="00EF6675"/>
    <w:rsid w:val="00EF6802"/>
    <w:rsid w:val="00EF6838"/>
    <w:rsid w:val="00EF687F"/>
    <w:rsid w:val="00EF6962"/>
    <w:rsid w:val="00EF6965"/>
    <w:rsid w:val="00EF6A66"/>
    <w:rsid w:val="00EF6AB3"/>
    <w:rsid w:val="00EF6AD4"/>
    <w:rsid w:val="00EF6BBE"/>
    <w:rsid w:val="00EF6BCE"/>
    <w:rsid w:val="00EF6CC0"/>
    <w:rsid w:val="00EF6D45"/>
    <w:rsid w:val="00EF6D97"/>
    <w:rsid w:val="00EF6E6B"/>
    <w:rsid w:val="00EF70F0"/>
    <w:rsid w:val="00EF7104"/>
    <w:rsid w:val="00EF7114"/>
    <w:rsid w:val="00EF7351"/>
    <w:rsid w:val="00EF74DA"/>
    <w:rsid w:val="00EF750D"/>
    <w:rsid w:val="00EF75A0"/>
    <w:rsid w:val="00EF75D3"/>
    <w:rsid w:val="00EF7666"/>
    <w:rsid w:val="00EF78C8"/>
    <w:rsid w:val="00EF79C3"/>
    <w:rsid w:val="00EF7A30"/>
    <w:rsid w:val="00EF7AEA"/>
    <w:rsid w:val="00EF7BCD"/>
    <w:rsid w:val="00EF7CE6"/>
    <w:rsid w:val="00EF7D04"/>
    <w:rsid w:val="00EF7E35"/>
    <w:rsid w:val="00F00140"/>
    <w:rsid w:val="00F00353"/>
    <w:rsid w:val="00F00384"/>
    <w:rsid w:val="00F0041B"/>
    <w:rsid w:val="00F0044A"/>
    <w:rsid w:val="00F004BA"/>
    <w:rsid w:val="00F0063D"/>
    <w:rsid w:val="00F00707"/>
    <w:rsid w:val="00F0075F"/>
    <w:rsid w:val="00F007E7"/>
    <w:rsid w:val="00F00B68"/>
    <w:rsid w:val="00F00BEE"/>
    <w:rsid w:val="00F00C64"/>
    <w:rsid w:val="00F00CA2"/>
    <w:rsid w:val="00F00CB6"/>
    <w:rsid w:val="00F00CB7"/>
    <w:rsid w:val="00F00D39"/>
    <w:rsid w:val="00F00D5B"/>
    <w:rsid w:val="00F00F9C"/>
    <w:rsid w:val="00F0107A"/>
    <w:rsid w:val="00F01224"/>
    <w:rsid w:val="00F0122E"/>
    <w:rsid w:val="00F012EF"/>
    <w:rsid w:val="00F01317"/>
    <w:rsid w:val="00F01511"/>
    <w:rsid w:val="00F015BE"/>
    <w:rsid w:val="00F015C0"/>
    <w:rsid w:val="00F01652"/>
    <w:rsid w:val="00F01808"/>
    <w:rsid w:val="00F018B2"/>
    <w:rsid w:val="00F01A0E"/>
    <w:rsid w:val="00F01A2C"/>
    <w:rsid w:val="00F01A86"/>
    <w:rsid w:val="00F01AC7"/>
    <w:rsid w:val="00F01B6C"/>
    <w:rsid w:val="00F01C74"/>
    <w:rsid w:val="00F01D65"/>
    <w:rsid w:val="00F01E5F"/>
    <w:rsid w:val="00F01E80"/>
    <w:rsid w:val="00F01EA9"/>
    <w:rsid w:val="00F01EDC"/>
    <w:rsid w:val="00F01F05"/>
    <w:rsid w:val="00F01F2C"/>
    <w:rsid w:val="00F0210D"/>
    <w:rsid w:val="00F02177"/>
    <w:rsid w:val="00F02181"/>
    <w:rsid w:val="00F0218A"/>
    <w:rsid w:val="00F0219E"/>
    <w:rsid w:val="00F0236A"/>
    <w:rsid w:val="00F02386"/>
    <w:rsid w:val="00F024F3"/>
    <w:rsid w:val="00F02877"/>
    <w:rsid w:val="00F028F1"/>
    <w:rsid w:val="00F02903"/>
    <w:rsid w:val="00F02A5E"/>
    <w:rsid w:val="00F02ABA"/>
    <w:rsid w:val="00F02B00"/>
    <w:rsid w:val="00F02BC4"/>
    <w:rsid w:val="00F02CCF"/>
    <w:rsid w:val="00F030E0"/>
    <w:rsid w:val="00F030E2"/>
    <w:rsid w:val="00F03107"/>
    <w:rsid w:val="00F0312E"/>
    <w:rsid w:val="00F03172"/>
    <w:rsid w:val="00F031C3"/>
    <w:rsid w:val="00F03290"/>
    <w:rsid w:val="00F032C1"/>
    <w:rsid w:val="00F0336F"/>
    <w:rsid w:val="00F033B3"/>
    <w:rsid w:val="00F035D5"/>
    <w:rsid w:val="00F036F9"/>
    <w:rsid w:val="00F0383A"/>
    <w:rsid w:val="00F03982"/>
    <w:rsid w:val="00F03A43"/>
    <w:rsid w:val="00F03AD0"/>
    <w:rsid w:val="00F03D4F"/>
    <w:rsid w:val="00F03D6C"/>
    <w:rsid w:val="00F03DDE"/>
    <w:rsid w:val="00F03ECA"/>
    <w:rsid w:val="00F03F29"/>
    <w:rsid w:val="00F04106"/>
    <w:rsid w:val="00F0416C"/>
    <w:rsid w:val="00F041D6"/>
    <w:rsid w:val="00F04218"/>
    <w:rsid w:val="00F042BB"/>
    <w:rsid w:val="00F042C9"/>
    <w:rsid w:val="00F0437A"/>
    <w:rsid w:val="00F043DD"/>
    <w:rsid w:val="00F0440C"/>
    <w:rsid w:val="00F044F5"/>
    <w:rsid w:val="00F04525"/>
    <w:rsid w:val="00F04566"/>
    <w:rsid w:val="00F04689"/>
    <w:rsid w:val="00F046A6"/>
    <w:rsid w:val="00F046DC"/>
    <w:rsid w:val="00F04792"/>
    <w:rsid w:val="00F047D6"/>
    <w:rsid w:val="00F04863"/>
    <w:rsid w:val="00F0488B"/>
    <w:rsid w:val="00F04999"/>
    <w:rsid w:val="00F04C62"/>
    <w:rsid w:val="00F04E09"/>
    <w:rsid w:val="00F04EA2"/>
    <w:rsid w:val="00F04EAC"/>
    <w:rsid w:val="00F04EB5"/>
    <w:rsid w:val="00F04F73"/>
    <w:rsid w:val="00F0510A"/>
    <w:rsid w:val="00F0512E"/>
    <w:rsid w:val="00F05202"/>
    <w:rsid w:val="00F05230"/>
    <w:rsid w:val="00F05283"/>
    <w:rsid w:val="00F0543E"/>
    <w:rsid w:val="00F0546F"/>
    <w:rsid w:val="00F05584"/>
    <w:rsid w:val="00F0560B"/>
    <w:rsid w:val="00F056C6"/>
    <w:rsid w:val="00F057AB"/>
    <w:rsid w:val="00F057DD"/>
    <w:rsid w:val="00F058DB"/>
    <w:rsid w:val="00F059D6"/>
    <w:rsid w:val="00F05C89"/>
    <w:rsid w:val="00F05D0A"/>
    <w:rsid w:val="00F05DFB"/>
    <w:rsid w:val="00F06108"/>
    <w:rsid w:val="00F06168"/>
    <w:rsid w:val="00F061E9"/>
    <w:rsid w:val="00F0636E"/>
    <w:rsid w:val="00F06553"/>
    <w:rsid w:val="00F0659D"/>
    <w:rsid w:val="00F066B7"/>
    <w:rsid w:val="00F066F5"/>
    <w:rsid w:val="00F06774"/>
    <w:rsid w:val="00F0678D"/>
    <w:rsid w:val="00F06848"/>
    <w:rsid w:val="00F068D9"/>
    <w:rsid w:val="00F06902"/>
    <w:rsid w:val="00F06AD8"/>
    <w:rsid w:val="00F06B6D"/>
    <w:rsid w:val="00F06B84"/>
    <w:rsid w:val="00F06C44"/>
    <w:rsid w:val="00F06CE8"/>
    <w:rsid w:val="00F06DCF"/>
    <w:rsid w:val="00F07133"/>
    <w:rsid w:val="00F07190"/>
    <w:rsid w:val="00F07353"/>
    <w:rsid w:val="00F074FD"/>
    <w:rsid w:val="00F07563"/>
    <w:rsid w:val="00F0761C"/>
    <w:rsid w:val="00F07690"/>
    <w:rsid w:val="00F076DE"/>
    <w:rsid w:val="00F077A2"/>
    <w:rsid w:val="00F077D7"/>
    <w:rsid w:val="00F07857"/>
    <w:rsid w:val="00F079AD"/>
    <w:rsid w:val="00F079D3"/>
    <w:rsid w:val="00F07CC2"/>
    <w:rsid w:val="00F07E02"/>
    <w:rsid w:val="00F07E6D"/>
    <w:rsid w:val="00F100B3"/>
    <w:rsid w:val="00F100FB"/>
    <w:rsid w:val="00F10146"/>
    <w:rsid w:val="00F101A1"/>
    <w:rsid w:val="00F101B8"/>
    <w:rsid w:val="00F102C2"/>
    <w:rsid w:val="00F10341"/>
    <w:rsid w:val="00F103B3"/>
    <w:rsid w:val="00F10485"/>
    <w:rsid w:val="00F10520"/>
    <w:rsid w:val="00F105A3"/>
    <w:rsid w:val="00F105BF"/>
    <w:rsid w:val="00F10643"/>
    <w:rsid w:val="00F10771"/>
    <w:rsid w:val="00F10A90"/>
    <w:rsid w:val="00F10A98"/>
    <w:rsid w:val="00F10AFC"/>
    <w:rsid w:val="00F10C00"/>
    <w:rsid w:val="00F10C50"/>
    <w:rsid w:val="00F10EF0"/>
    <w:rsid w:val="00F10FBD"/>
    <w:rsid w:val="00F11037"/>
    <w:rsid w:val="00F11087"/>
    <w:rsid w:val="00F112AC"/>
    <w:rsid w:val="00F114E3"/>
    <w:rsid w:val="00F114F2"/>
    <w:rsid w:val="00F1151F"/>
    <w:rsid w:val="00F11657"/>
    <w:rsid w:val="00F118F0"/>
    <w:rsid w:val="00F11B97"/>
    <w:rsid w:val="00F11C26"/>
    <w:rsid w:val="00F11CEC"/>
    <w:rsid w:val="00F11DA6"/>
    <w:rsid w:val="00F11F14"/>
    <w:rsid w:val="00F11FA5"/>
    <w:rsid w:val="00F11FD1"/>
    <w:rsid w:val="00F12067"/>
    <w:rsid w:val="00F120E4"/>
    <w:rsid w:val="00F12177"/>
    <w:rsid w:val="00F121F7"/>
    <w:rsid w:val="00F12345"/>
    <w:rsid w:val="00F12524"/>
    <w:rsid w:val="00F12631"/>
    <w:rsid w:val="00F12798"/>
    <w:rsid w:val="00F127B2"/>
    <w:rsid w:val="00F12819"/>
    <w:rsid w:val="00F12A5E"/>
    <w:rsid w:val="00F12ACE"/>
    <w:rsid w:val="00F12B9C"/>
    <w:rsid w:val="00F12BF9"/>
    <w:rsid w:val="00F12C20"/>
    <w:rsid w:val="00F12D42"/>
    <w:rsid w:val="00F12D83"/>
    <w:rsid w:val="00F12E83"/>
    <w:rsid w:val="00F12EE2"/>
    <w:rsid w:val="00F13018"/>
    <w:rsid w:val="00F1305C"/>
    <w:rsid w:val="00F13169"/>
    <w:rsid w:val="00F13320"/>
    <w:rsid w:val="00F133DE"/>
    <w:rsid w:val="00F133EB"/>
    <w:rsid w:val="00F13484"/>
    <w:rsid w:val="00F1357F"/>
    <w:rsid w:val="00F139B0"/>
    <w:rsid w:val="00F139D9"/>
    <w:rsid w:val="00F13C18"/>
    <w:rsid w:val="00F13D1F"/>
    <w:rsid w:val="00F13DF8"/>
    <w:rsid w:val="00F13E67"/>
    <w:rsid w:val="00F13EF7"/>
    <w:rsid w:val="00F140DE"/>
    <w:rsid w:val="00F14227"/>
    <w:rsid w:val="00F1425C"/>
    <w:rsid w:val="00F14433"/>
    <w:rsid w:val="00F1446F"/>
    <w:rsid w:val="00F14760"/>
    <w:rsid w:val="00F14815"/>
    <w:rsid w:val="00F1487B"/>
    <w:rsid w:val="00F14A3C"/>
    <w:rsid w:val="00F14A3E"/>
    <w:rsid w:val="00F14B51"/>
    <w:rsid w:val="00F14B55"/>
    <w:rsid w:val="00F14EEF"/>
    <w:rsid w:val="00F14EF1"/>
    <w:rsid w:val="00F14F97"/>
    <w:rsid w:val="00F15066"/>
    <w:rsid w:val="00F15068"/>
    <w:rsid w:val="00F150C6"/>
    <w:rsid w:val="00F150EB"/>
    <w:rsid w:val="00F15199"/>
    <w:rsid w:val="00F15257"/>
    <w:rsid w:val="00F15275"/>
    <w:rsid w:val="00F15323"/>
    <w:rsid w:val="00F1541B"/>
    <w:rsid w:val="00F15483"/>
    <w:rsid w:val="00F1553E"/>
    <w:rsid w:val="00F1558C"/>
    <w:rsid w:val="00F15ACE"/>
    <w:rsid w:val="00F15B0F"/>
    <w:rsid w:val="00F15C81"/>
    <w:rsid w:val="00F15E42"/>
    <w:rsid w:val="00F15E7E"/>
    <w:rsid w:val="00F15F44"/>
    <w:rsid w:val="00F15F73"/>
    <w:rsid w:val="00F15FBA"/>
    <w:rsid w:val="00F1605B"/>
    <w:rsid w:val="00F16291"/>
    <w:rsid w:val="00F162C4"/>
    <w:rsid w:val="00F16371"/>
    <w:rsid w:val="00F16378"/>
    <w:rsid w:val="00F1645B"/>
    <w:rsid w:val="00F16564"/>
    <w:rsid w:val="00F1673D"/>
    <w:rsid w:val="00F16A2B"/>
    <w:rsid w:val="00F16AE2"/>
    <w:rsid w:val="00F16B73"/>
    <w:rsid w:val="00F16C3E"/>
    <w:rsid w:val="00F16D39"/>
    <w:rsid w:val="00F16D88"/>
    <w:rsid w:val="00F16DA7"/>
    <w:rsid w:val="00F16DFB"/>
    <w:rsid w:val="00F16F1B"/>
    <w:rsid w:val="00F170B6"/>
    <w:rsid w:val="00F170BD"/>
    <w:rsid w:val="00F170D5"/>
    <w:rsid w:val="00F17134"/>
    <w:rsid w:val="00F172B9"/>
    <w:rsid w:val="00F17302"/>
    <w:rsid w:val="00F17431"/>
    <w:rsid w:val="00F17530"/>
    <w:rsid w:val="00F175BE"/>
    <w:rsid w:val="00F175F7"/>
    <w:rsid w:val="00F1771F"/>
    <w:rsid w:val="00F17728"/>
    <w:rsid w:val="00F178ED"/>
    <w:rsid w:val="00F179C3"/>
    <w:rsid w:val="00F17AEA"/>
    <w:rsid w:val="00F17C3D"/>
    <w:rsid w:val="00F17C4B"/>
    <w:rsid w:val="00F17CBE"/>
    <w:rsid w:val="00F17D4B"/>
    <w:rsid w:val="00F17DD6"/>
    <w:rsid w:val="00F17EA0"/>
    <w:rsid w:val="00F20063"/>
    <w:rsid w:val="00F20217"/>
    <w:rsid w:val="00F20298"/>
    <w:rsid w:val="00F20382"/>
    <w:rsid w:val="00F205F9"/>
    <w:rsid w:val="00F20809"/>
    <w:rsid w:val="00F20819"/>
    <w:rsid w:val="00F20B8A"/>
    <w:rsid w:val="00F20B9B"/>
    <w:rsid w:val="00F20C9F"/>
    <w:rsid w:val="00F20CCD"/>
    <w:rsid w:val="00F20E9F"/>
    <w:rsid w:val="00F20EC9"/>
    <w:rsid w:val="00F20F10"/>
    <w:rsid w:val="00F20F33"/>
    <w:rsid w:val="00F2102D"/>
    <w:rsid w:val="00F210A8"/>
    <w:rsid w:val="00F210B6"/>
    <w:rsid w:val="00F2111E"/>
    <w:rsid w:val="00F21326"/>
    <w:rsid w:val="00F213C7"/>
    <w:rsid w:val="00F21509"/>
    <w:rsid w:val="00F215BF"/>
    <w:rsid w:val="00F21605"/>
    <w:rsid w:val="00F21680"/>
    <w:rsid w:val="00F21753"/>
    <w:rsid w:val="00F2176A"/>
    <w:rsid w:val="00F217D1"/>
    <w:rsid w:val="00F217E3"/>
    <w:rsid w:val="00F217EC"/>
    <w:rsid w:val="00F2184B"/>
    <w:rsid w:val="00F21886"/>
    <w:rsid w:val="00F21911"/>
    <w:rsid w:val="00F2199D"/>
    <w:rsid w:val="00F21A87"/>
    <w:rsid w:val="00F21B67"/>
    <w:rsid w:val="00F21C7D"/>
    <w:rsid w:val="00F21EC1"/>
    <w:rsid w:val="00F2207D"/>
    <w:rsid w:val="00F220E6"/>
    <w:rsid w:val="00F22238"/>
    <w:rsid w:val="00F2227A"/>
    <w:rsid w:val="00F2235C"/>
    <w:rsid w:val="00F224BF"/>
    <w:rsid w:val="00F2274A"/>
    <w:rsid w:val="00F22855"/>
    <w:rsid w:val="00F228AE"/>
    <w:rsid w:val="00F228F9"/>
    <w:rsid w:val="00F22A20"/>
    <w:rsid w:val="00F22AE4"/>
    <w:rsid w:val="00F22D1B"/>
    <w:rsid w:val="00F22E47"/>
    <w:rsid w:val="00F231B4"/>
    <w:rsid w:val="00F23308"/>
    <w:rsid w:val="00F23457"/>
    <w:rsid w:val="00F235B6"/>
    <w:rsid w:val="00F235B7"/>
    <w:rsid w:val="00F236A2"/>
    <w:rsid w:val="00F236E8"/>
    <w:rsid w:val="00F237AC"/>
    <w:rsid w:val="00F237BD"/>
    <w:rsid w:val="00F2397B"/>
    <w:rsid w:val="00F23A24"/>
    <w:rsid w:val="00F23B12"/>
    <w:rsid w:val="00F23CB9"/>
    <w:rsid w:val="00F23E23"/>
    <w:rsid w:val="00F23E32"/>
    <w:rsid w:val="00F23E72"/>
    <w:rsid w:val="00F23ED0"/>
    <w:rsid w:val="00F24283"/>
    <w:rsid w:val="00F242C0"/>
    <w:rsid w:val="00F242DC"/>
    <w:rsid w:val="00F24304"/>
    <w:rsid w:val="00F244AB"/>
    <w:rsid w:val="00F245A3"/>
    <w:rsid w:val="00F246E6"/>
    <w:rsid w:val="00F24B0B"/>
    <w:rsid w:val="00F24B50"/>
    <w:rsid w:val="00F24BDD"/>
    <w:rsid w:val="00F24D8D"/>
    <w:rsid w:val="00F24E12"/>
    <w:rsid w:val="00F24E30"/>
    <w:rsid w:val="00F250A9"/>
    <w:rsid w:val="00F250AD"/>
    <w:rsid w:val="00F250F6"/>
    <w:rsid w:val="00F25143"/>
    <w:rsid w:val="00F2531D"/>
    <w:rsid w:val="00F25704"/>
    <w:rsid w:val="00F25712"/>
    <w:rsid w:val="00F25778"/>
    <w:rsid w:val="00F25832"/>
    <w:rsid w:val="00F25A0D"/>
    <w:rsid w:val="00F25BC5"/>
    <w:rsid w:val="00F25BC6"/>
    <w:rsid w:val="00F25CA6"/>
    <w:rsid w:val="00F25E9E"/>
    <w:rsid w:val="00F25EFC"/>
    <w:rsid w:val="00F260CF"/>
    <w:rsid w:val="00F260F1"/>
    <w:rsid w:val="00F261FF"/>
    <w:rsid w:val="00F26234"/>
    <w:rsid w:val="00F26238"/>
    <w:rsid w:val="00F263A6"/>
    <w:rsid w:val="00F263D3"/>
    <w:rsid w:val="00F26482"/>
    <w:rsid w:val="00F2652B"/>
    <w:rsid w:val="00F2655F"/>
    <w:rsid w:val="00F265D6"/>
    <w:rsid w:val="00F26602"/>
    <w:rsid w:val="00F2678C"/>
    <w:rsid w:val="00F2678E"/>
    <w:rsid w:val="00F267AF"/>
    <w:rsid w:val="00F26814"/>
    <w:rsid w:val="00F268C0"/>
    <w:rsid w:val="00F269B6"/>
    <w:rsid w:val="00F26AF4"/>
    <w:rsid w:val="00F26C72"/>
    <w:rsid w:val="00F26D1E"/>
    <w:rsid w:val="00F26F9D"/>
    <w:rsid w:val="00F26FD1"/>
    <w:rsid w:val="00F27022"/>
    <w:rsid w:val="00F27156"/>
    <w:rsid w:val="00F271A6"/>
    <w:rsid w:val="00F27237"/>
    <w:rsid w:val="00F27241"/>
    <w:rsid w:val="00F2727B"/>
    <w:rsid w:val="00F27291"/>
    <w:rsid w:val="00F272AB"/>
    <w:rsid w:val="00F272F6"/>
    <w:rsid w:val="00F27453"/>
    <w:rsid w:val="00F275AE"/>
    <w:rsid w:val="00F275B0"/>
    <w:rsid w:val="00F27640"/>
    <w:rsid w:val="00F2774A"/>
    <w:rsid w:val="00F2779F"/>
    <w:rsid w:val="00F27858"/>
    <w:rsid w:val="00F2792F"/>
    <w:rsid w:val="00F2793C"/>
    <w:rsid w:val="00F279CB"/>
    <w:rsid w:val="00F27BDC"/>
    <w:rsid w:val="00F27BF1"/>
    <w:rsid w:val="00F27CE5"/>
    <w:rsid w:val="00F27D7A"/>
    <w:rsid w:val="00F27EAD"/>
    <w:rsid w:val="00F27FE3"/>
    <w:rsid w:val="00F301E7"/>
    <w:rsid w:val="00F303F0"/>
    <w:rsid w:val="00F30697"/>
    <w:rsid w:val="00F30730"/>
    <w:rsid w:val="00F309BA"/>
    <w:rsid w:val="00F30A0D"/>
    <w:rsid w:val="00F30A78"/>
    <w:rsid w:val="00F30ACD"/>
    <w:rsid w:val="00F30B22"/>
    <w:rsid w:val="00F30B7D"/>
    <w:rsid w:val="00F30E64"/>
    <w:rsid w:val="00F30FF4"/>
    <w:rsid w:val="00F31179"/>
    <w:rsid w:val="00F31199"/>
    <w:rsid w:val="00F311FF"/>
    <w:rsid w:val="00F31201"/>
    <w:rsid w:val="00F3122E"/>
    <w:rsid w:val="00F31352"/>
    <w:rsid w:val="00F313EC"/>
    <w:rsid w:val="00F31541"/>
    <w:rsid w:val="00F31B3A"/>
    <w:rsid w:val="00F31BAA"/>
    <w:rsid w:val="00F31BFC"/>
    <w:rsid w:val="00F31F4E"/>
    <w:rsid w:val="00F31FA5"/>
    <w:rsid w:val="00F32018"/>
    <w:rsid w:val="00F321E7"/>
    <w:rsid w:val="00F32368"/>
    <w:rsid w:val="00F3242C"/>
    <w:rsid w:val="00F32434"/>
    <w:rsid w:val="00F324A2"/>
    <w:rsid w:val="00F32507"/>
    <w:rsid w:val="00F3266E"/>
    <w:rsid w:val="00F32674"/>
    <w:rsid w:val="00F32693"/>
    <w:rsid w:val="00F3271C"/>
    <w:rsid w:val="00F32833"/>
    <w:rsid w:val="00F3283E"/>
    <w:rsid w:val="00F3284A"/>
    <w:rsid w:val="00F328C8"/>
    <w:rsid w:val="00F329CB"/>
    <w:rsid w:val="00F32C50"/>
    <w:rsid w:val="00F32CA0"/>
    <w:rsid w:val="00F32D63"/>
    <w:rsid w:val="00F32DCB"/>
    <w:rsid w:val="00F32E0A"/>
    <w:rsid w:val="00F32E1A"/>
    <w:rsid w:val="00F32E7E"/>
    <w:rsid w:val="00F32F92"/>
    <w:rsid w:val="00F331AD"/>
    <w:rsid w:val="00F3334E"/>
    <w:rsid w:val="00F33463"/>
    <w:rsid w:val="00F3346B"/>
    <w:rsid w:val="00F33600"/>
    <w:rsid w:val="00F33645"/>
    <w:rsid w:val="00F33751"/>
    <w:rsid w:val="00F33754"/>
    <w:rsid w:val="00F3375F"/>
    <w:rsid w:val="00F33797"/>
    <w:rsid w:val="00F33BBE"/>
    <w:rsid w:val="00F33CC5"/>
    <w:rsid w:val="00F33D97"/>
    <w:rsid w:val="00F33E1C"/>
    <w:rsid w:val="00F33F0A"/>
    <w:rsid w:val="00F34010"/>
    <w:rsid w:val="00F34123"/>
    <w:rsid w:val="00F3423F"/>
    <w:rsid w:val="00F34244"/>
    <w:rsid w:val="00F34335"/>
    <w:rsid w:val="00F34426"/>
    <w:rsid w:val="00F34523"/>
    <w:rsid w:val="00F345A2"/>
    <w:rsid w:val="00F34606"/>
    <w:rsid w:val="00F34683"/>
    <w:rsid w:val="00F346F9"/>
    <w:rsid w:val="00F3484A"/>
    <w:rsid w:val="00F34964"/>
    <w:rsid w:val="00F34967"/>
    <w:rsid w:val="00F34B5C"/>
    <w:rsid w:val="00F34CAD"/>
    <w:rsid w:val="00F34DF3"/>
    <w:rsid w:val="00F34F42"/>
    <w:rsid w:val="00F34F78"/>
    <w:rsid w:val="00F3518F"/>
    <w:rsid w:val="00F351AC"/>
    <w:rsid w:val="00F35247"/>
    <w:rsid w:val="00F35287"/>
    <w:rsid w:val="00F3536A"/>
    <w:rsid w:val="00F35586"/>
    <w:rsid w:val="00F355E0"/>
    <w:rsid w:val="00F35615"/>
    <w:rsid w:val="00F3562C"/>
    <w:rsid w:val="00F3569B"/>
    <w:rsid w:val="00F358E3"/>
    <w:rsid w:val="00F3599D"/>
    <w:rsid w:val="00F35A0E"/>
    <w:rsid w:val="00F35AFF"/>
    <w:rsid w:val="00F35B8E"/>
    <w:rsid w:val="00F35EB1"/>
    <w:rsid w:val="00F35FCD"/>
    <w:rsid w:val="00F3606C"/>
    <w:rsid w:val="00F36316"/>
    <w:rsid w:val="00F36360"/>
    <w:rsid w:val="00F3638B"/>
    <w:rsid w:val="00F3657C"/>
    <w:rsid w:val="00F365A1"/>
    <w:rsid w:val="00F36623"/>
    <w:rsid w:val="00F36667"/>
    <w:rsid w:val="00F36682"/>
    <w:rsid w:val="00F3675E"/>
    <w:rsid w:val="00F368ED"/>
    <w:rsid w:val="00F3690E"/>
    <w:rsid w:val="00F36910"/>
    <w:rsid w:val="00F36942"/>
    <w:rsid w:val="00F36B3C"/>
    <w:rsid w:val="00F36BA1"/>
    <w:rsid w:val="00F36C9B"/>
    <w:rsid w:val="00F36D4C"/>
    <w:rsid w:val="00F36EE7"/>
    <w:rsid w:val="00F3700F"/>
    <w:rsid w:val="00F3710B"/>
    <w:rsid w:val="00F37147"/>
    <w:rsid w:val="00F371BA"/>
    <w:rsid w:val="00F371BD"/>
    <w:rsid w:val="00F372C7"/>
    <w:rsid w:val="00F3730D"/>
    <w:rsid w:val="00F37621"/>
    <w:rsid w:val="00F376C7"/>
    <w:rsid w:val="00F37710"/>
    <w:rsid w:val="00F3782A"/>
    <w:rsid w:val="00F37972"/>
    <w:rsid w:val="00F37B1D"/>
    <w:rsid w:val="00F37C65"/>
    <w:rsid w:val="00F37CE1"/>
    <w:rsid w:val="00F37CE6"/>
    <w:rsid w:val="00F37DA7"/>
    <w:rsid w:val="00F37E4D"/>
    <w:rsid w:val="00F40042"/>
    <w:rsid w:val="00F4016C"/>
    <w:rsid w:val="00F4022D"/>
    <w:rsid w:val="00F40272"/>
    <w:rsid w:val="00F40286"/>
    <w:rsid w:val="00F40309"/>
    <w:rsid w:val="00F40345"/>
    <w:rsid w:val="00F403AD"/>
    <w:rsid w:val="00F40647"/>
    <w:rsid w:val="00F406AC"/>
    <w:rsid w:val="00F406B8"/>
    <w:rsid w:val="00F40924"/>
    <w:rsid w:val="00F4092A"/>
    <w:rsid w:val="00F40A42"/>
    <w:rsid w:val="00F40A70"/>
    <w:rsid w:val="00F40A7A"/>
    <w:rsid w:val="00F40B11"/>
    <w:rsid w:val="00F40C8A"/>
    <w:rsid w:val="00F40DA4"/>
    <w:rsid w:val="00F40F2E"/>
    <w:rsid w:val="00F41008"/>
    <w:rsid w:val="00F412C4"/>
    <w:rsid w:val="00F41307"/>
    <w:rsid w:val="00F4142F"/>
    <w:rsid w:val="00F414AB"/>
    <w:rsid w:val="00F4173A"/>
    <w:rsid w:val="00F417D6"/>
    <w:rsid w:val="00F41820"/>
    <w:rsid w:val="00F41840"/>
    <w:rsid w:val="00F4195D"/>
    <w:rsid w:val="00F419CF"/>
    <w:rsid w:val="00F41BA3"/>
    <w:rsid w:val="00F41C0B"/>
    <w:rsid w:val="00F41CBF"/>
    <w:rsid w:val="00F41D54"/>
    <w:rsid w:val="00F41E59"/>
    <w:rsid w:val="00F42016"/>
    <w:rsid w:val="00F42255"/>
    <w:rsid w:val="00F4243A"/>
    <w:rsid w:val="00F4244A"/>
    <w:rsid w:val="00F4258B"/>
    <w:rsid w:val="00F42732"/>
    <w:rsid w:val="00F42967"/>
    <w:rsid w:val="00F42AE7"/>
    <w:rsid w:val="00F42B42"/>
    <w:rsid w:val="00F42D63"/>
    <w:rsid w:val="00F42F4A"/>
    <w:rsid w:val="00F43046"/>
    <w:rsid w:val="00F4306D"/>
    <w:rsid w:val="00F430D6"/>
    <w:rsid w:val="00F43448"/>
    <w:rsid w:val="00F438C2"/>
    <w:rsid w:val="00F43971"/>
    <w:rsid w:val="00F43A37"/>
    <w:rsid w:val="00F43A94"/>
    <w:rsid w:val="00F43B5D"/>
    <w:rsid w:val="00F43B8D"/>
    <w:rsid w:val="00F43CDE"/>
    <w:rsid w:val="00F43EB7"/>
    <w:rsid w:val="00F43EC4"/>
    <w:rsid w:val="00F44022"/>
    <w:rsid w:val="00F441EA"/>
    <w:rsid w:val="00F44308"/>
    <w:rsid w:val="00F443B6"/>
    <w:rsid w:val="00F443D2"/>
    <w:rsid w:val="00F443DD"/>
    <w:rsid w:val="00F4445F"/>
    <w:rsid w:val="00F444EB"/>
    <w:rsid w:val="00F444EC"/>
    <w:rsid w:val="00F44526"/>
    <w:rsid w:val="00F446A6"/>
    <w:rsid w:val="00F44753"/>
    <w:rsid w:val="00F4475B"/>
    <w:rsid w:val="00F44803"/>
    <w:rsid w:val="00F44890"/>
    <w:rsid w:val="00F4493C"/>
    <w:rsid w:val="00F4494E"/>
    <w:rsid w:val="00F449C9"/>
    <w:rsid w:val="00F44B1A"/>
    <w:rsid w:val="00F44B87"/>
    <w:rsid w:val="00F44BAE"/>
    <w:rsid w:val="00F44C7A"/>
    <w:rsid w:val="00F44E85"/>
    <w:rsid w:val="00F45040"/>
    <w:rsid w:val="00F45093"/>
    <w:rsid w:val="00F4543D"/>
    <w:rsid w:val="00F45458"/>
    <w:rsid w:val="00F4547D"/>
    <w:rsid w:val="00F454EA"/>
    <w:rsid w:val="00F45612"/>
    <w:rsid w:val="00F4564E"/>
    <w:rsid w:val="00F45778"/>
    <w:rsid w:val="00F457D3"/>
    <w:rsid w:val="00F4587B"/>
    <w:rsid w:val="00F458CF"/>
    <w:rsid w:val="00F45B09"/>
    <w:rsid w:val="00F45BC1"/>
    <w:rsid w:val="00F45D44"/>
    <w:rsid w:val="00F45D70"/>
    <w:rsid w:val="00F45F23"/>
    <w:rsid w:val="00F45F9B"/>
    <w:rsid w:val="00F46064"/>
    <w:rsid w:val="00F460A8"/>
    <w:rsid w:val="00F460AF"/>
    <w:rsid w:val="00F463D2"/>
    <w:rsid w:val="00F46401"/>
    <w:rsid w:val="00F4641B"/>
    <w:rsid w:val="00F46451"/>
    <w:rsid w:val="00F4647C"/>
    <w:rsid w:val="00F4651A"/>
    <w:rsid w:val="00F4673B"/>
    <w:rsid w:val="00F468E0"/>
    <w:rsid w:val="00F46902"/>
    <w:rsid w:val="00F469AD"/>
    <w:rsid w:val="00F469C2"/>
    <w:rsid w:val="00F46A90"/>
    <w:rsid w:val="00F46ADB"/>
    <w:rsid w:val="00F46B05"/>
    <w:rsid w:val="00F46B2E"/>
    <w:rsid w:val="00F46C0E"/>
    <w:rsid w:val="00F46CAF"/>
    <w:rsid w:val="00F46DE0"/>
    <w:rsid w:val="00F46EB8"/>
    <w:rsid w:val="00F47067"/>
    <w:rsid w:val="00F47172"/>
    <w:rsid w:val="00F47193"/>
    <w:rsid w:val="00F471B8"/>
    <w:rsid w:val="00F4721F"/>
    <w:rsid w:val="00F4724A"/>
    <w:rsid w:val="00F4743E"/>
    <w:rsid w:val="00F47493"/>
    <w:rsid w:val="00F474DE"/>
    <w:rsid w:val="00F4771A"/>
    <w:rsid w:val="00F47810"/>
    <w:rsid w:val="00F47859"/>
    <w:rsid w:val="00F47936"/>
    <w:rsid w:val="00F47AAB"/>
    <w:rsid w:val="00F47AC0"/>
    <w:rsid w:val="00F47ACE"/>
    <w:rsid w:val="00F47B1A"/>
    <w:rsid w:val="00F47C67"/>
    <w:rsid w:val="00F47CCF"/>
    <w:rsid w:val="00F47E41"/>
    <w:rsid w:val="00F47F54"/>
    <w:rsid w:val="00F50003"/>
    <w:rsid w:val="00F500D5"/>
    <w:rsid w:val="00F50270"/>
    <w:rsid w:val="00F50304"/>
    <w:rsid w:val="00F5035F"/>
    <w:rsid w:val="00F50577"/>
    <w:rsid w:val="00F507D0"/>
    <w:rsid w:val="00F50840"/>
    <w:rsid w:val="00F50901"/>
    <w:rsid w:val="00F50930"/>
    <w:rsid w:val="00F5095A"/>
    <w:rsid w:val="00F50C6E"/>
    <w:rsid w:val="00F50CD1"/>
    <w:rsid w:val="00F50D88"/>
    <w:rsid w:val="00F51005"/>
    <w:rsid w:val="00F51079"/>
    <w:rsid w:val="00F510FF"/>
    <w:rsid w:val="00F511B0"/>
    <w:rsid w:val="00F511E4"/>
    <w:rsid w:val="00F513E3"/>
    <w:rsid w:val="00F5149C"/>
    <w:rsid w:val="00F514CA"/>
    <w:rsid w:val="00F514F5"/>
    <w:rsid w:val="00F515B1"/>
    <w:rsid w:val="00F515E2"/>
    <w:rsid w:val="00F5166C"/>
    <w:rsid w:val="00F5185E"/>
    <w:rsid w:val="00F5187C"/>
    <w:rsid w:val="00F51880"/>
    <w:rsid w:val="00F519DD"/>
    <w:rsid w:val="00F51BD1"/>
    <w:rsid w:val="00F51BE9"/>
    <w:rsid w:val="00F51D7F"/>
    <w:rsid w:val="00F51E60"/>
    <w:rsid w:val="00F51E93"/>
    <w:rsid w:val="00F51E96"/>
    <w:rsid w:val="00F5214C"/>
    <w:rsid w:val="00F5231C"/>
    <w:rsid w:val="00F52359"/>
    <w:rsid w:val="00F5240B"/>
    <w:rsid w:val="00F5264B"/>
    <w:rsid w:val="00F52945"/>
    <w:rsid w:val="00F5297F"/>
    <w:rsid w:val="00F52ACF"/>
    <w:rsid w:val="00F52B98"/>
    <w:rsid w:val="00F52BE4"/>
    <w:rsid w:val="00F52D09"/>
    <w:rsid w:val="00F52D52"/>
    <w:rsid w:val="00F52E08"/>
    <w:rsid w:val="00F52E48"/>
    <w:rsid w:val="00F52FF9"/>
    <w:rsid w:val="00F53033"/>
    <w:rsid w:val="00F5311A"/>
    <w:rsid w:val="00F5324F"/>
    <w:rsid w:val="00F5332F"/>
    <w:rsid w:val="00F5340C"/>
    <w:rsid w:val="00F5340F"/>
    <w:rsid w:val="00F53649"/>
    <w:rsid w:val="00F53720"/>
    <w:rsid w:val="00F539B8"/>
    <w:rsid w:val="00F539E5"/>
    <w:rsid w:val="00F53A66"/>
    <w:rsid w:val="00F53B27"/>
    <w:rsid w:val="00F53B2A"/>
    <w:rsid w:val="00F53DD1"/>
    <w:rsid w:val="00F53E43"/>
    <w:rsid w:val="00F53FFF"/>
    <w:rsid w:val="00F5405E"/>
    <w:rsid w:val="00F5418A"/>
    <w:rsid w:val="00F54253"/>
    <w:rsid w:val="00F54441"/>
    <w:rsid w:val="00F54547"/>
    <w:rsid w:val="00F545BC"/>
    <w:rsid w:val="00F545D4"/>
    <w:rsid w:val="00F5462D"/>
    <w:rsid w:val="00F546D9"/>
    <w:rsid w:val="00F5479A"/>
    <w:rsid w:val="00F54837"/>
    <w:rsid w:val="00F54938"/>
    <w:rsid w:val="00F5495D"/>
    <w:rsid w:val="00F549E8"/>
    <w:rsid w:val="00F54D46"/>
    <w:rsid w:val="00F54D8E"/>
    <w:rsid w:val="00F54E33"/>
    <w:rsid w:val="00F54E3C"/>
    <w:rsid w:val="00F54EF8"/>
    <w:rsid w:val="00F54FE8"/>
    <w:rsid w:val="00F5505D"/>
    <w:rsid w:val="00F55075"/>
    <w:rsid w:val="00F55177"/>
    <w:rsid w:val="00F551B1"/>
    <w:rsid w:val="00F5526C"/>
    <w:rsid w:val="00F5538D"/>
    <w:rsid w:val="00F5539A"/>
    <w:rsid w:val="00F55425"/>
    <w:rsid w:val="00F5554F"/>
    <w:rsid w:val="00F5586F"/>
    <w:rsid w:val="00F558B2"/>
    <w:rsid w:val="00F5591B"/>
    <w:rsid w:val="00F5595A"/>
    <w:rsid w:val="00F55A46"/>
    <w:rsid w:val="00F55B21"/>
    <w:rsid w:val="00F55B2C"/>
    <w:rsid w:val="00F55BA3"/>
    <w:rsid w:val="00F55C16"/>
    <w:rsid w:val="00F55C64"/>
    <w:rsid w:val="00F55CEC"/>
    <w:rsid w:val="00F55E84"/>
    <w:rsid w:val="00F560A1"/>
    <w:rsid w:val="00F560A8"/>
    <w:rsid w:val="00F561C1"/>
    <w:rsid w:val="00F562F0"/>
    <w:rsid w:val="00F564AB"/>
    <w:rsid w:val="00F56517"/>
    <w:rsid w:val="00F566E5"/>
    <w:rsid w:val="00F56728"/>
    <w:rsid w:val="00F5675C"/>
    <w:rsid w:val="00F56760"/>
    <w:rsid w:val="00F56780"/>
    <w:rsid w:val="00F567B8"/>
    <w:rsid w:val="00F567EF"/>
    <w:rsid w:val="00F56829"/>
    <w:rsid w:val="00F5699D"/>
    <w:rsid w:val="00F569CC"/>
    <w:rsid w:val="00F56C75"/>
    <w:rsid w:val="00F56DDF"/>
    <w:rsid w:val="00F56DEC"/>
    <w:rsid w:val="00F56E02"/>
    <w:rsid w:val="00F56E97"/>
    <w:rsid w:val="00F56EF6"/>
    <w:rsid w:val="00F56F04"/>
    <w:rsid w:val="00F56F12"/>
    <w:rsid w:val="00F56F6A"/>
    <w:rsid w:val="00F56FBD"/>
    <w:rsid w:val="00F5721D"/>
    <w:rsid w:val="00F57263"/>
    <w:rsid w:val="00F57289"/>
    <w:rsid w:val="00F57377"/>
    <w:rsid w:val="00F573C7"/>
    <w:rsid w:val="00F57449"/>
    <w:rsid w:val="00F5747E"/>
    <w:rsid w:val="00F5749F"/>
    <w:rsid w:val="00F57708"/>
    <w:rsid w:val="00F57736"/>
    <w:rsid w:val="00F577CF"/>
    <w:rsid w:val="00F57835"/>
    <w:rsid w:val="00F57904"/>
    <w:rsid w:val="00F5792F"/>
    <w:rsid w:val="00F579A5"/>
    <w:rsid w:val="00F57A27"/>
    <w:rsid w:val="00F57A3C"/>
    <w:rsid w:val="00F57A76"/>
    <w:rsid w:val="00F57B31"/>
    <w:rsid w:val="00F57B8F"/>
    <w:rsid w:val="00F57BFB"/>
    <w:rsid w:val="00F57D7F"/>
    <w:rsid w:val="00F57EC6"/>
    <w:rsid w:val="00F57FE1"/>
    <w:rsid w:val="00F57FE2"/>
    <w:rsid w:val="00F60082"/>
    <w:rsid w:val="00F60108"/>
    <w:rsid w:val="00F602EC"/>
    <w:rsid w:val="00F60333"/>
    <w:rsid w:val="00F6040C"/>
    <w:rsid w:val="00F60444"/>
    <w:rsid w:val="00F60471"/>
    <w:rsid w:val="00F605F4"/>
    <w:rsid w:val="00F60703"/>
    <w:rsid w:val="00F60843"/>
    <w:rsid w:val="00F6091C"/>
    <w:rsid w:val="00F6099A"/>
    <w:rsid w:val="00F609C0"/>
    <w:rsid w:val="00F60A1D"/>
    <w:rsid w:val="00F60A76"/>
    <w:rsid w:val="00F60B13"/>
    <w:rsid w:val="00F60B31"/>
    <w:rsid w:val="00F60BD1"/>
    <w:rsid w:val="00F60C82"/>
    <w:rsid w:val="00F60DB0"/>
    <w:rsid w:val="00F60E8C"/>
    <w:rsid w:val="00F60E99"/>
    <w:rsid w:val="00F60F04"/>
    <w:rsid w:val="00F60F9C"/>
    <w:rsid w:val="00F6105C"/>
    <w:rsid w:val="00F61099"/>
    <w:rsid w:val="00F612B4"/>
    <w:rsid w:val="00F613A2"/>
    <w:rsid w:val="00F6146C"/>
    <w:rsid w:val="00F614EB"/>
    <w:rsid w:val="00F615D8"/>
    <w:rsid w:val="00F61687"/>
    <w:rsid w:val="00F616EC"/>
    <w:rsid w:val="00F616FD"/>
    <w:rsid w:val="00F61826"/>
    <w:rsid w:val="00F618A6"/>
    <w:rsid w:val="00F61A20"/>
    <w:rsid w:val="00F61A9F"/>
    <w:rsid w:val="00F61B5F"/>
    <w:rsid w:val="00F61BFB"/>
    <w:rsid w:val="00F61D7C"/>
    <w:rsid w:val="00F61E11"/>
    <w:rsid w:val="00F61F80"/>
    <w:rsid w:val="00F62026"/>
    <w:rsid w:val="00F6214B"/>
    <w:rsid w:val="00F621DB"/>
    <w:rsid w:val="00F62470"/>
    <w:rsid w:val="00F62529"/>
    <w:rsid w:val="00F625D2"/>
    <w:rsid w:val="00F62669"/>
    <w:rsid w:val="00F62680"/>
    <w:rsid w:val="00F626DB"/>
    <w:rsid w:val="00F626E2"/>
    <w:rsid w:val="00F627FE"/>
    <w:rsid w:val="00F62864"/>
    <w:rsid w:val="00F62C14"/>
    <w:rsid w:val="00F62C64"/>
    <w:rsid w:val="00F62CDA"/>
    <w:rsid w:val="00F62D66"/>
    <w:rsid w:val="00F62E5E"/>
    <w:rsid w:val="00F62E80"/>
    <w:rsid w:val="00F62F42"/>
    <w:rsid w:val="00F62F62"/>
    <w:rsid w:val="00F62FE1"/>
    <w:rsid w:val="00F63099"/>
    <w:rsid w:val="00F6317D"/>
    <w:rsid w:val="00F631AA"/>
    <w:rsid w:val="00F6349A"/>
    <w:rsid w:val="00F6360F"/>
    <w:rsid w:val="00F63635"/>
    <w:rsid w:val="00F636F0"/>
    <w:rsid w:val="00F638BE"/>
    <w:rsid w:val="00F63A15"/>
    <w:rsid w:val="00F63AD7"/>
    <w:rsid w:val="00F63CE2"/>
    <w:rsid w:val="00F63F0B"/>
    <w:rsid w:val="00F63F51"/>
    <w:rsid w:val="00F63FDE"/>
    <w:rsid w:val="00F640B2"/>
    <w:rsid w:val="00F64419"/>
    <w:rsid w:val="00F645E0"/>
    <w:rsid w:val="00F6460E"/>
    <w:rsid w:val="00F6463E"/>
    <w:rsid w:val="00F64682"/>
    <w:rsid w:val="00F64687"/>
    <w:rsid w:val="00F64696"/>
    <w:rsid w:val="00F647A7"/>
    <w:rsid w:val="00F648BE"/>
    <w:rsid w:val="00F64E22"/>
    <w:rsid w:val="00F64EC1"/>
    <w:rsid w:val="00F64ED8"/>
    <w:rsid w:val="00F64F73"/>
    <w:rsid w:val="00F64FB0"/>
    <w:rsid w:val="00F65293"/>
    <w:rsid w:val="00F6532D"/>
    <w:rsid w:val="00F6543C"/>
    <w:rsid w:val="00F65628"/>
    <w:rsid w:val="00F65633"/>
    <w:rsid w:val="00F65738"/>
    <w:rsid w:val="00F657A8"/>
    <w:rsid w:val="00F658B3"/>
    <w:rsid w:val="00F65A5E"/>
    <w:rsid w:val="00F65AA9"/>
    <w:rsid w:val="00F65AEC"/>
    <w:rsid w:val="00F65C31"/>
    <w:rsid w:val="00F65CA6"/>
    <w:rsid w:val="00F65D14"/>
    <w:rsid w:val="00F65D8E"/>
    <w:rsid w:val="00F65DC0"/>
    <w:rsid w:val="00F65EC0"/>
    <w:rsid w:val="00F65EC9"/>
    <w:rsid w:val="00F65F04"/>
    <w:rsid w:val="00F65FA7"/>
    <w:rsid w:val="00F66027"/>
    <w:rsid w:val="00F66218"/>
    <w:rsid w:val="00F663AE"/>
    <w:rsid w:val="00F664FA"/>
    <w:rsid w:val="00F6660F"/>
    <w:rsid w:val="00F66639"/>
    <w:rsid w:val="00F66686"/>
    <w:rsid w:val="00F666F7"/>
    <w:rsid w:val="00F6682B"/>
    <w:rsid w:val="00F6699E"/>
    <w:rsid w:val="00F66A4E"/>
    <w:rsid w:val="00F66A9F"/>
    <w:rsid w:val="00F66AB3"/>
    <w:rsid w:val="00F66AFD"/>
    <w:rsid w:val="00F66C2E"/>
    <w:rsid w:val="00F66CF0"/>
    <w:rsid w:val="00F66D2B"/>
    <w:rsid w:val="00F66DBF"/>
    <w:rsid w:val="00F66F69"/>
    <w:rsid w:val="00F6712A"/>
    <w:rsid w:val="00F6728B"/>
    <w:rsid w:val="00F67399"/>
    <w:rsid w:val="00F6739B"/>
    <w:rsid w:val="00F673D3"/>
    <w:rsid w:val="00F6748F"/>
    <w:rsid w:val="00F6752A"/>
    <w:rsid w:val="00F6768F"/>
    <w:rsid w:val="00F6784E"/>
    <w:rsid w:val="00F67A9D"/>
    <w:rsid w:val="00F67BB7"/>
    <w:rsid w:val="00F700A4"/>
    <w:rsid w:val="00F7012F"/>
    <w:rsid w:val="00F70177"/>
    <w:rsid w:val="00F701E7"/>
    <w:rsid w:val="00F70318"/>
    <w:rsid w:val="00F70428"/>
    <w:rsid w:val="00F704D7"/>
    <w:rsid w:val="00F704D8"/>
    <w:rsid w:val="00F70787"/>
    <w:rsid w:val="00F70AF3"/>
    <w:rsid w:val="00F70B63"/>
    <w:rsid w:val="00F70B89"/>
    <w:rsid w:val="00F70CA6"/>
    <w:rsid w:val="00F70FC5"/>
    <w:rsid w:val="00F71149"/>
    <w:rsid w:val="00F71181"/>
    <w:rsid w:val="00F713A0"/>
    <w:rsid w:val="00F71550"/>
    <w:rsid w:val="00F71656"/>
    <w:rsid w:val="00F71665"/>
    <w:rsid w:val="00F71776"/>
    <w:rsid w:val="00F717EC"/>
    <w:rsid w:val="00F71818"/>
    <w:rsid w:val="00F718C5"/>
    <w:rsid w:val="00F71A24"/>
    <w:rsid w:val="00F71CAA"/>
    <w:rsid w:val="00F71EF4"/>
    <w:rsid w:val="00F71FF1"/>
    <w:rsid w:val="00F72028"/>
    <w:rsid w:val="00F720FC"/>
    <w:rsid w:val="00F7214E"/>
    <w:rsid w:val="00F72175"/>
    <w:rsid w:val="00F721A0"/>
    <w:rsid w:val="00F72263"/>
    <w:rsid w:val="00F722A1"/>
    <w:rsid w:val="00F72353"/>
    <w:rsid w:val="00F72364"/>
    <w:rsid w:val="00F7238F"/>
    <w:rsid w:val="00F724D0"/>
    <w:rsid w:val="00F72521"/>
    <w:rsid w:val="00F72678"/>
    <w:rsid w:val="00F72747"/>
    <w:rsid w:val="00F7286C"/>
    <w:rsid w:val="00F72952"/>
    <w:rsid w:val="00F72ACA"/>
    <w:rsid w:val="00F72B09"/>
    <w:rsid w:val="00F72BB4"/>
    <w:rsid w:val="00F72C22"/>
    <w:rsid w:val="00F72C2C"/>
    <w:rsid w:val="00F72F14"/>
    <w:rsid w:val="00F72F90"/>
    <w:rsid w:val="00F72F95"/>
    <w:rsid w:val="00F730C5"/>
    <w:rsid w:val="00F730D5"/>
    <w:rsid w:val="00F73104"/>
    <w:rsid w:val="00F73206"/>
    <w:rsid w:val="00F73255"/>
    <w:rsid w:val="00F7327E"/>
    <w:rsid w:val="00F73416"/>
    <w:rsid w:val="00F735B3"/>
    <w:rsid w:val="00F735E1"/>
    <w:rsid w:val="00F738A8"/>
    <w:rsid w:val="00F73A1A"/>
    <w:rsid w:val="00F73A4A"/>
    <w:rsid w:val="00F73CBF"/>
    <w:rsid w:val="00F73D68"/>
    <w:rsid w:val="00F73D94"/>
    <w:rsid w:val="00F73EF3"/>
    <w:rsid w:val="00F741F2"/>
    <w:rsid w:val="00F74244"/>
    <w:rsid w:val="00F742F2"/>
    <w:rsid w:val="00F743F7"/>
    <w:rsid w:val="00F744D9"/>
    <w:rsid w:val="00F7467F"/>
    <w:rsid w:val="00F747CE"/>
    <w:rsid w:val="00F747CF"/>
    <w:rsid w:val="00F749D4"/>
    <w:rsid w:val="00F74ABF"/>
    <w:rsid w:val="00F74C96"/>
    <w:rsid w:val="00F74D16"/>
    <w:rsid w:val="00F74D19"/>
    <w:rsid w:val="00F74D2A"/>
    <w:rsid w:val="00F74E87"/>
    <w:rsid w:val="00F74FB7"/>
    <w:rsid w:val="00F74FF0"/>
    <w:rsid w:val="00F750B4"/>
    <w:rsid w:val="00F750C0"/>
    <w:rsid w:val="00F75249"/>
    <w:rsid w:val="00F75266"/>
    <w:rsid w:val="00F7548A"/>
    <w:rsid w:val="00F75503"/>
    <w:rsid w:val="00F75509"/>
    <w:rsid w:val="00F755E9"/>
    <w:rsid w:val="00F755FD"/>
    <w:rsid w:val="00F75685"/>
    <w:rsid w:val="00F7569A"/>
    <w:rsid w:val="00F75A88"/>
    <w:rsid w:val="00F75BEC"/>
    <w:rsid w:val="00F75C44"/>
    <w:rsid w:val="00F75CBA"/>
    <w:rsid w:val="00F75E1F"/>
    <w:rsid w:val="00F7603A"/>
    <w:rsid w:val="00F76170"/>
    <w:rsid w:val="00F7617F"/>
    <w:rsid w:val="00F761FA"/>
    <w:rsid w:val="00F76333"/>
    <w:rsid w:val="00F76362"/>
    <w:rsid w:val="00F766F1"/>
    <w:rsid w:val="00F7671C"/>
    <w:rsid w:val="00F767FD"/>
    <w:rsid w:val="00F76827"/>
    <w:rsid w:val="00F76955"/>
    <w:rsid w:val="00F76A70"/>
    <w:rsid w:val="00F76B33"/>
    <w:rsid w:val="00F76B55"/>
    <w:rsid w:val="00F76CAB"/>
    <w:rsid w:val="00F76CDE"/>
    <w:rsid w:val="00F76CE0"/>
    <w:rsid w:val="00F76D0F"/>
    <w:rsid w:val="00F76EF6"/>
    <w:rsid w:val="00F77020"/>
    <w:rsid w:val="00F77078"/>
    <w:rsid w:val="00F77161"/>
    <w:rsid w:val="00F7720D"/>
    <w:rsid w:val="00F772C6"/>
    <w:rsid w:val="00F7732C"/>
    <w:rsid w:val="00F77381"/>
    <w:rsid w:val="00F773AA"/>
    <w:rsid w:val="00F7742F"/>
    <w:rsid w:val="00F7743B"/>
    <w:rsid w:val="00F774E0"/>
    <w:rsid w:val="00F77517"/>
    <w:rsid w:val="00F7751F"/>
    <w:rsid w:val="00F77531"/>
    <w:rsid w:val="00F776FC"/>
    <w:rsid w:val="00F7786F"/>
    <w:rsid w:val="00F778B4"/>
    <w:rsid w:val="00F77CEB"/>
    <w:rsid w:val="00F77DEC"/>
    <w:rsid w:val="00F77E67"/>
    <w:rsid w:val="00F800FE"/>
    <w:rsid w:val="00F8012A"/>
    <w:rsid w:val="00F80244"/>
    <w:rsid w:val="00F80277"/>
    <w:rsid w:val="00F80539"/>
    <w:rsid w:val="00F80560"/>
    <w:rsid w:val="00F805D4"/>
    <w:rsid w:val="00F80711"/>
    <w:rsid w:val="00F80875"/>
    <w:rsid w:val="00F80A40"/>
    <w:rsid w:val="00F80B30"/>
    <w:rsid w:val="00F80BD9"/>
    <w:rsid w:val="00F80C2E"/>
    <w:rsid w:val="00F80C6F"/>
    <w:rsid w:val="00F80DD6"/>
    <w:rsid w:val="00F80E1F"/>
    <w:rsid w:val="00F80EBF"/>
    <w:rsid w:val="00F8106C"/>
    <w:rsid w:val="00F810A5"/>
    <w:rsid w:val="00F812AA"/>
    <w:rsid w:val="00F81443"/>
    <w:rsid w:val="00F8147E"/>
    <w:rsid w:val="00F814E3"/>
    <w:rsid w:val="00F815B5"/>
    <w:rsid w:val="00F81750"/>
    <w:rsid w:val="00F81775"/>
    <w:rsid w:val="00F8177C"/>
    <w:rsid w:val="00F817BA"/>
    <w:rsid w:val="00F81800"/>
    <w:rsid w:val="00F8184E"/>
    <w:rsid w:val="00F81900"/>
    <w:rsid w:val="00F81906"/>
    <w:rsid w:val="00F81A94"/>
    <w:rsid w:val="00F81AA9"/>
    <w:rsid w:val="00F81B91"/>
    <w:rsid w:val="00F81C7A"/>
    <w:rsid w:val="00F81D76"/>
    <w:rsid w:val="00F81E8A"/>
    <w:rsid w:val="00F81EAD"/>
    <w:rsid w:val="00F82162"/>
    <w:rsid w:val="00F821A0"/>
    <w:rsid w:val="00F822F2"/>
    <w:rsid w:val="00F8234D"/>
    <w:rsid w:val="00F82388"/>
    <w:rsid w:val="00F823B3"/>
    <w:rsid w:val="00F82550"/>
    <w:rsid w:val="00F82622"/>
    <w:rsid w:val="00F8267A"/>
    <w:rsid w:val="00F8277F"/>
    <w:rsid w:val="00F827A8"/>
    <w:rsid w:val="00F82A7D"/>
    <w:rsid w:val="00F82AE2"/>
    <w:rsid w:val="00F82D15"/>
    <w:rsid w:val="00F82D5B"/>
    <w:rsid w:val="00F82EF9"/>
    <w:rsid w:val="00F82FC2"/>
    <w:rsid w:val="00F8304D"/>
    <w:rsid w:val="00F83478"/>
    <w:rsid w:val="00F83483"/>
    <w:rsid w:val="00F834CE"/>
    <w:rsid w:val="00F8359E"/>
    <w:rsid w:val="00F835C9"/>
    <w:rsid w:val="00F835CE"/>
    <w:rsid w:val="00F8360A"/>
    <w:rsid w:val="00F83876"/>
    <w:rsid w:val="00F83922"/>
    <w:rsid w:val="00F839BA"/>
    <w:rsid w:val="00F839BE"/>
    <w:rsid w:val="00F83A9C"/>
    <w:rsid w:val="00F83B1D"/>
    <w:rsid w:val="00F83B6E"/>
    <w:rsid w:val="00F83C31"/>
    <w:rsid w:val="00F83C8F"/>
    <w:rsid w:val="00F83CDB"/>
    <w:rsid w:val="00F83D8D"/>
    <w:rsid w:val="00F83D9A"/>
    <w:rsid w:val="00F83DAF"/>
    <w:rsid w:val="00F83EBD"/>
    <w:rsid w:val="00F83FEA"/>
    <w:rsid w:val="00F8400A"/>
    <w:rsid w:val="00F8407F"/>
    <w:rsid w:val="00F84107"/>
    <w:rsid w:val="00F8415F"/>
    <w:rsid w:val="00F841D5"/>
    <w:rsid w:val="00F8428A"/>
    <w:rsid w:val="00F8431B"/>
    <w:rsid w:val="00F8435E"/>
    <w:rsid w:val="00F844D5"/>
    <w:rsid w:val="00F84698"/>
    <w:rsid w:val="00F847C0"/>
    <w:rsid w:val="00F848B1"/>
    <w:rsid w:val="00F849DB"/>
    <w:rsid w:val="00F84C70"/>
    <w:rsid w:val="00F84EB4"/>
    <w:rsid w:val="00F85195"/>
    <w:rsid w:val="00F852CE"/>
    <w:rsid w:val="00F852F3"/>
    <w:rsid w:val="00F853AD"/>
    <w:rsid w:val="00F853DD"/>
    <w:rsid w:val="00F85460"/>
    <w:rsid w:val="00F8551F"/>
    <w:rsid w:val="00F8556F"/>
    <w:rsid w:val="00F856D4"/>
    <w:rsid w:val="00F856F2"/>
    <w:rsid w:val="00F8571C"/>
    <w:rsid w:val="00F85743"/>
    <w:rsid w:val="00F857B0"/>
    <w:rsid w:val="00F85812"/>
    <w:rsid w:val="00F85855"/>
    <w:rsid w:val="00F858B6"/>
    <w:rsid w:val="00F85953"/>
    <w:rsid w:val="00F859C7"/>
    <w:rsid w:val="00F85C37"/>
    <w:rsid w:val="00F85D1E"/>
    <w:rsid w:val="00F85E04"/>
    <w:rsid w:val="00F86050"/>
    <w:rsid w:val="00F86133"/>
    <w:rsid w:val="00F86173"/>
    <w:rsid w:val="00F862C7"/>
    <w:rsid w:val="00F86445"/>
    <w:rsid w:val="00F86577"/>
    <w:rsid w:val="00F86690"/>
    <w:rsid w:val="00F8672F"/>
    <w:rsid w:val="00F867C8"/>
    <w:rsid w:val="00F868A0"/>
    <w:rsid w:val="00F868E3"/>
    <w:rsid w:val="00F86A02"/>
    <w:rsid w:val="00F86B2B"/>
    <w:rsid w:val="00F86B7E"/>
    <w:rsid w:val="00F86C62"/>
    <w:rsid w:val="00F86EF8"/>
    <w:rsid w:val="00F86F44"/>
    <w:rsid w:val="00F86F5A"/>
    <w:rsid w:val="00F86FC5"/>
    <w:rsid w:val="00F870FF"/>
    <w:rsid w:val="00F871CA"/>
    <w:rsid w:val="00F872D2"/>
    <w:rsid w:val="00F8739E"/>
    <w:rsid w:val="00F8742B"/>
    <w:rsid w:val="00F875F3"/>
    <w:rsid w:val="00F8760E"/>
    <w:rsid w:val="00F87614"/>
    <w:rsid w:val="00F8762C"/>
    <w:rsid w:val="00F87682"/>
    <w:rsid w:val="00F876EA"/>
    <w:rsid w:val="00F87823"/>
    <w:rsid w:val="00F87853"/>
    <w:rsid w:val="00F87866"/>
    <w:rsid w:val="00F878F3"/>
    <w:rsid w:val="00F87905"/>
    <w:rsid w:val="00F8795D"/>
    <w:rsid w:val="00F87AF1"/>
    <w:rsid w:val="00F87C8E"/>
    <w:rsid w:val="00F87D2E"/>
    <w:rsid w:val="00F8EB86"/>
    <w:rsid w:val="00F9009B"/>
    <w:rsid w:val="00F90312"/>
    <w:rsid w:val="00F9044B"/>
    <w:rsid w:val="00F90461"/>
    <w:rsid w:val="00F9046F"/>
    <w:rsid w:val="00F904AD"/>
    <w:rsid w:val="00F90508"/>
    <w:rsid w:val="00F90628"/>
    <w:rsid w:val="00F90771"/>
    <w:rsid w:val="00F907B6"/>
    <w:rsid w:val="00F90849"/>
    <w:rsid w:val="00F909E9"/>
    <w:rsid w:val="00F90AC6"/>
    <w:rsid w:val="00F90BED"/>
    <w:rsid w:val="00F90ED8"/>
    <w:rsid w:val="00F90F01"/>
    <w:rsid w:val="00F90FC9"/>
    <w:rsid w:val="00F91054"/>
    <w:rsid w:val="00F91124"/>
    <w:rsid w:val="00F911FD"/>
    <w:rsid w:val="00F91231"/>
    <w:rsid w:val="00F91259"/>
    <w:rsid w:val="00F914EA"/>
    <w:rsid w:val="00F9168E"/>
    <w:rsid w:val="00F917E5"/>
    <w:rsid w:val="00F917EB"/>
    <w:rsid w:val="00F91829"/>
    <w:rsid w:val="00F9188A"/>
    <w:rsid w:val="00F91AB6"/>
    <w:rsid w:val="00F91B2A"/>
    <w:rsid w:val="00F91BC1"/>
    <w:rsid w:val="00F91C1F"/>
    <w:rsid w:val="00F91E30"/>
    <w:rsid w:val="00F91F03"/>
    <w:rsid w:val="00F91F51"/>
    <w:rsid w:val="00F92024"/>
    <w:rsid w:val="00F92064"/>
    <w:rsid w:val="00F920AB"/>
    <w:rsid w:val="00F92151"/>
    <w:rsid w:val="00F921D4"/>
    <w:rsid w:val="00F9227B"/>
    <w:rsid w:val="00F922A4"/>
    <w:rsid w:val="00F922F7"/>
    <w:rsid w:val="00F92326"/>
    <w:rsid w:val="00F92394"/>
    <w:rsid w:val="00F923F3"/>
    <w:rsid w:val="00F92431"/>
    <w:rsid w:val="00F924DF"/>
    <w:rsid w:val="00F9251C"/>
    <w:rsid w:val="00F92553"/>
    <w:rsid w:val="00F925CD"/>
    <w:rsid w:val="00F9269C"/>
    <w:rsid w:val="00F92740"/>
    <w:rsid w:val="00F92A7F"/>
    <w:rsid w:val="00F92B4E"/>
    <w:rsid w:val="00F92C36"/>
    <w:rsid w:val="00F92C5B"/>
    <w:rsid w:val="00F92CBF"/>
    <w:rsid w:val="00F92D49"/>
    <w:rsid w:val="00F92D4A"/>
    <w:rsid w:val="00F92DD8"/>
    <w:rsid w:val="00F92DEC"/>
    <w:rsid w:val="00F92E16"/>
    <w:rsid w:val="00F92FF7"/>
    <w:rsid w:val="00F9307C"/>
    <w:rsid w:val="00F93085"/>
    <w:rsid w:val="00F930DC"/>
    <w:rsid w:val="00F93200"/>
    <w:rsid w:val="00F932DD"/>
    <w:rsid w:val="00F933D6"/>
    <w:rsid w:val="00F934BD"/>
    <w:rsid w:val="00F93581"/>
    <w:rsid w:val="00F93684"/>
    <w:rsid w:val="00F93694"/>
    <w:rsid w:val="00F93718"/>
    <w:rsid w:val="00F938BA"/>
    <w:rsid w:val="00F939AF"/>
    <w:rsid w:val="00F93ADA"/>
    <w:rsid w:val="00F93DBC"/>
    <w:rsid w:val="00F93E0B"/>
    <w:rsid w:val="00F94057"/>
    <w:rsid w:val="00F941D8"/>
    <w:rsid w:val="00F94207"/>
    <w:rsid w:val="00F944BA"/>
    <w:rsid w:val="00F947BF"/>
    <w:rsid w:val="00F948A2"/>
    <w:rsid w:val="00F94941"/>
    <w:rsid w:val="00F949A1"/>
    <w:rsid w:val="00F949FC"/>
    <w:rsid w:val="00F94ABF"/>
    <w:rsid w:val="00F94AEA"/>
    <w:rsid w:val="00F94B10"/>
    <w:rsid w:val="00F94B33"/>
    <w:rsid w:val="00F94D0D"/>
    <w:rsid w:val="00F94D74"/>
    <w:rsid w:val="00F94EBA"/>
    <w:rsid w:val="00F94F6E"/>
    <w:rsid w:val="00F94F7E"/>
    <w:rsid w:val="00F95015"/>
    <w:rsid w:val="00F95114"/>
    <w:rsid w:val="00F95251"/>
    <w:rsid w:val="00F95270"/>
    <w:rsid w:val="00F952DD"/>
    <w:rsid w:val="00F952E8"/>
    <w:rsid w:val="00F952EA"/>
    <w:rsid w:val="00F95302"/>
    <w:rsid w:val="00F9535E"/>
    <w:rsid w:val="00F955A2"/>
    <w:rsid w:val="00F956B9"/>
    <w:rsid w:val="00F95717"/>
    <w:rsid w:val="00F9571B"/>
    <w:rsid w:val="00F957DD"/>
    <w:rsid w:val="00F95A6C"/>
    <w:rsid w:val="00F95F12"/>
    <w:rsid w:val="00F95F31"/>
    <w:rsid w:val="00F96035"/>
    <w:rsid w:val="00F962CA"/>
    <w:rsid w:val="00F963C4"/>
    <w:rsid w:val="00F9667E"/>
    <w:rsid w:val="00F968DE"/>
    <w:rsid w:val="00F968ED"/>
    <w:rsid w:val="00F96959"/>
    <w:rsid w:val="00F969F6"/>
    <w:rsid w:val="00F96A07"/>
    <w:rsid w:val="00F96ABD"/>
    <w:rsid w:val="00F96B8D"/>
    <w:rsid w:val="00F96BAB"/>
    <w:rsid w:val="00F96BBA"/>
    <w:rsid w:val="00F96C24"/>
    <w:rsid w:val="00F96E7B"/>
    <w:rsid w:val="00F96FE9"/>
    <w:rsid w:val="00F970CF"/>
    <w:rsid w:val="00F97169"/>
    <w:rsid w:val="00F971A5"/>
    <w:rsid w:val="00F972D1"/>
    <w:rsid w:val="00F97308"/>
    <w:rsid w:val="00F97698"/>
    <w:rsid w:val="00F976B0"/>
    <w:rsid w:val="00F97780"/>
    <w:rsid w:val="00F977B4"/>
    <w:rsid w:val="00F977D5"/>
    <w:rsid w:val="00F9787F"/>
    <w:rsid w:val="00F97919"/>
    <w:rsid w:val="00F979FA"/>
    <w:rsid w:val="00F97BA2"/>
    <w:rsid w:val="00F97BD9"/>
    <w:rsid w:val="00F97CE0"/>
    <w:rsid w:val="00F97E6A"/>
    <w:rsid w:val="00F97EEE"/>
    <w:rsid w:val="00F97F8F"/>
    <w:rsid w:val="00FA0032"/>
    <w:rsid w:val="00FA0088"/>
    <w:rsid w:val="00FA00F2"/>
    <w:rsid w:val="00FA036C"/>
    <w:rsid w:val="00FA0464"/>
    <w:rsid w:val="00FA0517"/>
    <w:rsid w:val="00FA05A6"/>
    <w:rsid w:val="00FA0620"/>
    <w:rsid w:val="00FA06D8"/>
    <w:rsid w:val="00FA07AE"/>
    <w:rsid w:val="00FA07E1"/>
    <w:rsid w:val="00FA0889"/>
    <w:rsid w:val="00FA0890"/>
    <w:rsid w:val="00FA094E"/>
    <w:rsid w:val="00FA09F4"/>
    <w:rsid w:val="00FA0C46"/>
    <w:rsid w:val="00FA0C85"/>
    <w:rsid w:val="00FA0D91"/>
    <w:rsid w:val="00FA0DBC"/>
    <w:rsid w:val="00FA0FFF"/>
    <w:rsid w:val="00FA10F2"/>
    <w:rsid w:val="00FA124C"/>
    <w:rsid w:val="00FA1274"/>
    <w:rsid w:val="00FA159E"/>
    <w:rsid w:val="00FA1918"/>
    <w:rsid w:val="00FA1BC5"/>
    <w:rsid w:val="00FA1C67"/>
    <w:rsid w:val="00FA1E3C"/>
    <w:rsid w:val="00FA1FA0"/>
    <w:rsid w:val="00FA20D8"/>
    <w:rsid w:val="00FA21CF"/>
    <w:rsid w:val="00FA21D2"/>
    <w:rsid w:val="00FA2396"/>
    <w:rsid w:val="00FA24BA"/>
    <w:rsid w:val="00FA24FC"/>
    <w:rsid w:val="00FA2538"/>
    <w:rsid w:val="00FA25C6"/>
    <w:rsid w:val="00FA25D8"/>
    <w:rsid w:val="00FA26CD"/>
    <w:rsid w:val="00FA28A4"/>
    <w:rsid w:val="00FA294D"/>
    <w:rsid w:val="00FA2B7F"/>
    <w:rsid w:val="00FA2C46"/>
    <w:rsid w:val="00FA2CBB"/>
    <w:rsid w:val="00FA2D50"/>
    <w:rsid w:val="00FA2EE7"/>
    <w:rsid w:val="00FA2F61"/>
    <w:rsid w:val="00FA2FBA"/>
    <w:rsid w:val="00FA2FD1"/>
    <w:rsid w:val="00FA2FFC"/>
    <w:rsid w:val="00FA3130"/>
    <w:rsid w:val="00FA3187"/>
    <w:rsid w:val="00FA32C5"/>
    <w:rsid w:val="00FA32DD"/>
    <w:rsid w:val="00FA34EA"/>
    <w:rsid w:val="00FA3525"/>
    <w:rsid w:val="00FA36BC"/>
    <w:rsid w:val="00FA36FE"/>
    <w:rsid w:val="00FA3814"/>
    <w:rsid w:val="00FA38E6"/>
    <w:rsid w:val="00FA399A"/>
    <w:rsid w:val="00FA39F5"/>
    <w:rsid w:val="00FA3A25"/>
    <w:rsid w:val="00FA3BC0"/>
    <w:rsid w:val="00FA3DEF"/>
    <w:rsid w:val="00FA3EE6"/>
    <w:rsid w:val="00FA461A"/>
    <w:rsid w:val="00FA46ED"/>
    <w:rsid w:val="00FA4786"/>
    <w:rsid w:val="00FA484B"/>
    <w:rsid w:val="00FA4868"/>
    <w:rsid w:val="00FA4B78"/>
    <w:rsid w:val="00FA4D0C"/>
    <w:rsid w:val="00FA4D72"/>
    <w:rsid w:val="00FA4D7B"/>
    <w:rsid w:val="00FA4E17"/>
    <w:rsid w:val="00FA4EB1"/>
    <w:rsid w:val="00FA4EC5"/>
    <w:rsid w:val="00FA4F60"/>
    <w:rsid w:val="00FA5231"/>
    <w:rsid w:val="00FA55D3"/>
    <w:rsid w:val="00FA5712"/>
    <w:rsid w:val="00FA57A3"/>
    <w:rsid w:val="00FA5805"/>
    <w:rsid w:val="00FA5808"/>
    <w:rsid w:val="00FA5921"/>
    <w:rsid w:val="00FA59B4"/>
    <w:rsid w:val="00FA5A53"/>
    <w:rsid w:val="00FA5A56"/>
    <w:rsid w:val="00FA5AC7"/>
    <w:rsid w:val="00FA5C1A"/>
    <w:rsid w:val="00FA5C5B"/>
    <w:rsid w:val="00FA5FBE"/>
    <w:rsid w:val="00FA604F"/>
    <w:rsid w:val="00FA615E"/>
    <w:rsid w:val="00FA6240"/>
    <w:rsid w:val="00FA6277"/>
    <w:rsid w:val="00FA6349"/>
    <w:rsid w:val="00FA6386"/>
    <w:rsid w:val="00FA64E1"/>
    <w:rsid w:val="00FA6678"/>
    <w:rsid w:val="00FA6870"/>
    <w:rsid w:val="00FA6A07"/>
    <w:rsid w:val="00FA6A60"/>
    <w:rsid w:val="00FA6B89"/>
    <w:rsid w:val="00FA6C90"/>
    <w:rsid w:val="00FA6DAE"/>
    <w:rsid w:val="00FA6EB7"/>
    <w:rsid w:val="00FA6F7B"/>
    <w:rsid w:val="00FA6FC0"/>
    <w:rsid w:val="00FA6FD8"/>
    <w:rsid w:val="00FA700D"/>
    <w:rsid w:val="00FA70A1"/>
    <w:rsid w:val="00FA70CF"/>
    <w:rsid w:val="00FA70D6"/>
    <w:rsid w:val="00FA70E1"/>
    <w:rsid w:val="00FA71E8"/>
    <w:rsid w:val="00FA7291"/>
    <w:rsid w:val="00FA741A"/>
    <w:rsid w:val="00FA74BC"/>
    <w:rsid w:val="00FA75B7"/>
    <w:rsid w:val="00FA76AE"/>
    <w:rsid w:val="00FA7707"/>
    <w:rsid w:val="00FA77AA"/>
    <w:rsid w:val="00FA77E6"/>
    <w:rsid w:val="00FA7896"/>
    <w:rsid w:val="00FA78AA"/>
    <w:rsid w:val="00FA7A5C"/>
    <w:rsid w:val="00FA7A9E"/>
    <w:rsid w:val="00FA7AFE"/>
    <w:rsid w:val="00FA7CD1"/>
    <w:rsid w:val="00FA7F8E"/>
    <w:rsid w:val="00FB0056"/>
    <w:rsid w:val="00FB009B"/>
    <w:rsid w:val="00FB0116"/>
    <w:rsid w:val="00FB05D7"/>
    <w:rsid w:val="00FB0670"/>
    <w:rsid w:val="00FB07C4"/>
    <w:rsid w:val="00FB07E8"/>
    <w:rsid w:val="00FB0822"/>
    <w:rsid w:val="00FB0958"/>
    <w:rsid w:val="00FB0A12"/>
    <w:rsid w:val="00FB0C73"/>
    <w:rsid w:val="00FB0D4A"/>
    <w:rsid w:val="00FB0E14"/>
    <w:rsid w:val="00FB0E1D"/>
    <w:rsid w:val="00FB0E5A"/>
    <w:rsid w:val="00FB0F48"/>
    <w:rsid w:val="00FB1041"/>
    <w:rsid w:val="00FB10D9"/>
    <w:rsid w:val="00FB140F"/>
    <w:rsid w:val="00FB1463"/>
    <w:rsid w:val="00FB1467"/>
    <w:rsid w:val="00FB15E0"/>
    <w:rsid w:val="00FB1A8E"/>
    <w:rsid w:val="00FB1B64"/>
    <w:rsid w:val="00FB1B8C"/>
    <w:rsid w:val="00FB1C74"/>
    <w:rsid w:val="00FB1CE3"/>
    <w:rsid w:val="00FB1D9A"/>
    <w:rsid w:val="00FB1DD6"/>
    <w:rsid w:val="00FB1E44"/>
    <w:rsid w:val="00FB1F5C"/>
    <w:rsid w:val="00FB1F6E"/>
    <w:rsid w:val="00FB1F99"/>
    <w:rsid w:val="00FB20C7"/>
    <w:rsid w:val="00FB24C3"/>
    <w:rsid w:val="00FB24CC"/>
    <w:rsid w:val="00FB261C"/>
    <w:rsid w:val="00FB26C3"/>
    <w:rsid w:val="00FB2727"/>
    <w:rsid w:val="00FB2747"/>
    <w:rsid w:val="00FB2904"/>
    <w:rsid w:val="00FB292E"/>
    <w:rsid w:val="00FB2AEB"/>
    <w:rsid w:val="00FB2B70"/>
    <w:rsid w:val="00FB2BB7"/>
    <w:rsid w:val="00FB2C9A"/>
    <w:rsid w:val="00FB2F58"/>
    <w:rsid w:val="00FB3019"/>
    <w:rsid w:val="00FB3111"/>
    <w:rsid w:val="00FB31AE"/>
    <w:rsid w:val="00FB32D0"/>
    <w:rsid w:val="00FB3323"/>
    <w:rsid w:val="00FB341B"/>
    <w:rsid w:val="00FB3467"/>
    <w:rsid w:val="00FB34C5"/>
    <w:rsid w:val="00FB36E3"/>
    <w:rsid w:val="00FB372E"/>
    <w:rsid w:val="00FB37B4"/>
    <w:rsid w:val="00FB37F3"/>
    <w:rsid w:val="00FB3803"/>
    <w:rsid w:val="00FB38CD"/>
    <w:rsid w:val="00FB3AA1"/>
    <w:rsid w:val="00FB3ABE"/>
    <w:rsid w:val="00FB3ACA"/>
    <w:rsid w:val="00FB3B91"/>
    <w:rsid w:val="00FB3C3E"/>
    <w:rsid w:val="00FB3CD0"/>
    <w:rsid w:val="00FB3E57"/>
    <w:rsid w:val="00FB3E72"/>
    <w:rsid w:val="00FB3EF3"/>
    <w:rsid w:val="00FB406C"/>
    <w:rsid w:val="00FB4155"/>
    <w:rsid w:val="00FB4337"/>
    <w:rsid w:val="00FB4606"/>
    <w:rsid w:val="00FB469B"/>
    <w:rsid w:val="00FB4751"/>
    <w:rsid w:val="00FB4769"/>
    <w:rsid w:val="00FB4B1E"/>
    <w:rsid w:val="00FB4CDA"/>
    <w:rsid w:val="00FB4D55"/>
    <w:rsid w:val="00FB4F89"/>
    <w:rsid w:val="00FB4FD5"/>
    <w:rsid w:val="00FB5079"/>
    <w:rsid w:val="00FB518F"/>
    <w:rsid w:val="00FB54D5"/>
    <w:rsid w:val="00FB5564"/>
    <w:rsid w:val="00FB55D4"/>
    <w:rsid w:val="00FB5666"/>
    <w:rsid w:val="00FB56AA"/>
    <w:rsid w:val="00FB5790"/>
    <w:rsid w:val="00FB5863"/>
    <w:rsid w:val="00FB5A60"/>
    <w:rsid w:val="00FB5C7A"/>
    <w:rsid w:val="00FB5D35"/>
    <w:rsid w:val="00FB61F9"/>
    <w:rsid w:val="00FB6481"/>
    <w:rsid w:val="00FB6516"/>
    <w:rsid w:val="00FB6539"/>
    <w:rsid w:val="00FB657C"/>
    <w:rsid w:val="00FB65C0"/>
    <w:rsid w:val="00FB65FD"/>
    <w:rsid w:val="00FB6663"/>
    <w:rsid w:val="00FB668E"/>
    <w:rsid w:val="00FB69AE"/>
    <w:rsid w:val="00FB6B52"/>
    <w:rsid w:val="00FB6C23"/>
    <w:rsid w:val="00FB6C5E"/>
    <w:rsid w:val="00FB6D36"/>
    <w:rsid w:val="00FB6DEA"/>
    <w:rsid w:val="00FB6E6C"/>
    <w:rsid w:val="00FB6ED0"/>
    <w:rsid w:val="00FB6F70"/>
    <w:rsid w:val="00FB728D"/>
    <w:rsid w:val="00FB728F"/>
    <w:rsid w:val="00FB729A"/>
    <w:rsid w:val="00FB739E"/>
    <w:rsid w:val="00FB73F7"/>
    <w:rsid w:val="00FB7536"/>
    <w:rsid w:val="00FB761A"/>
    <w:rsid w:val="00FB78F0"/>
    <w:rsid w:val="00FB7967"/>
    <w:rsid w:val="00FB7B2E"/>
    <w:rsid w:val="00FB7BCF"/>
    <w:rsid w:val="00FB7DE1"/>
    <w:rsid w:val="00FB7E04"/>
    <w:rsid w:val="00FB7E3E"/>
    <w:rsid w:val="00FB7EB0"/>
    <w:rsid w:val="00FB7FA8"/>
    <w:rsid w:val="00FC007A"/>
    <w:rsid w:val="00FC0310"/>
    <w:rsid w:val="00FC03F9"/>
    <w:rsid w:val="00FC0474"/>
    <w:rsid w:val="00FC049C"/>
    <w:rsid w:val="00FC04A6"/>
    <w:rsid w:val="00FC04DF"/>
    <w:rsid w:val="00FC073A"/>
    <w:rsid w:val="00FC0965"/>
    <w:rsid w:val="00FC0B3E"/>
    <w:rsid w:val="00FC0CE6"/>
    <w:rsid w:val="00FC0EE2"/>
    <w:rsid w:val="00FC0F62"/>
    <w:rsid w:val="00FC0F81"/>
    <w:rsid w:val="00FC0FC8"/>
    <w:rsid w:val="00FC0FFF"/>
    <w:rsid w:val="00FC1386"/>
    <w:rsid w:val="00FC1443"/>
    <w:rsid w:val="00FC144E"/>
    <w:rsid w:val="00FC14AD"/>
    <w:rsid w:val="00FC1687"/>
    <w:rsid w:val="00FC177B"/>
    <w:rsid w:val="00FC1787"/>
    <w:rsid w:val="00FC1799"/>
    <w:rsid w:val="00FC185A"/>
    <w:rsid w:val="00FC186E"/>
    <w:rsid w:val="00FC19CB"/>
    <w:rsid w:val="00FC1A7E"/>
    <w:rsid w:val="00FC1B3B"/>
    <w:rsid w:val="00FC1B63"/>
    <w:rsid w:val="00FC1C96"/>
    <w:rsid w:val="00FC1CD7"/>
    <w:rsid w:val="00FC1CF2"/>
    <w:rsid w:val="00FC1E8B"/>
    <w:rsid w:val="00FC1ED9"/>
    <w:rsid w:val="00FC2034"/>
    <w:rsid w:val="00FC241B"/>
    <w:rsid w:val="00FC251D"/>
    <w:rsid w:val="00FC252F"/>
    <w:rsid w:val="00FC28C4"/>
    <w:rsid w:val="00FC2955"/>
    <w:rsid w:val="00FC2983"/>
    <w:rsid w:val="00FC2AC8"/>
    <w:rsid w:val="00FC2AD0"/>
    <w:rsid w:val="00FC2B2D"/>
    <w:rsid w:val="00FC2BA1"/>
    <w:rsid w:val="00FC2CC8"/>
    <w:rsid w:val="00FC2D64"/>
    <w:rsid w:val="00FC2D86"/>
    <w:rsid w:val="00FC2FB5"/>
    <w:rsid w:val="00FC302F"/>
    <w:rsid w:val="00FC31F9"/>
    <w:rsid w:val="00FC322D"/>
    <w:rsid w:val="00FC32A8"/>
    <w:rsid w:val="00FC3357"/>
    <w:rsid w:val="00FC34B2"/>
    <w:rsid w:val="00FC3561"/>
    <w:rsid w:val="00FC3626"/>
    <w:rsid w:val="00FC3727"/>
    <w:rsid w:val="00FC3846"/>
    <w:rsid w:val="00FC395C"/>
    <w:rsid w:val="00FC3D6C"/>
    <w:rsid w:val="00FC3E8D"/>
    <w:rsid w:val="00FC3F05"/>
    <w:rsid w:val="00FC3F98"/>
    <w:rsid w:val="00FC3FA4"/>
    <w:rsid w:val="00FC4001"/>
    <w:rsid w:val="00FC4192"/>
    <w:rsid w:val="00FC41EF"/>
    <w:rsid w:val="00FC43AB"/>
    <w:rsid w:val="00FC449C"/>
    <w:rsid w:val="00FC4526"/>
    <w:rsid w:val="00FC45E4"/>
    <w:rsid w:val="00FC4605"/>
    <w:rsid w:val="00FC4759"/>
    <w:rsid w:val="00FC491D"/>
    <w:rsid w:val="00FC494A"/>
    <w:rsid w:val="00FC4A5E"/>
    <w:rsid w:val="00FC4B0D"/>
    <w:rsid w:val="00FC4DFB"/>
    <w:rsid w:val="00FC4F0E"/>
    <w:rsid w:val="00FC4F59"/>
    <w:rsid w:val="00FC521A"/>
    <w:rsid w:val="00FC5228"/>
    <w:rsid w:val="00FC5266"/>
    <w:rsid w:val="00FC5277"/>
    <w:rsid w:val="00FC529C"/>
    <w:rsid w:val="00FC52E1"/>
    <w:rsid w:val="00FC5469"/>
    <w:rsid w:val="00FC558C"/>
    <w:rsid w:val="00FC5600"/>
    <w:rsid w:val="00FC5670"/>
    <w:rsid w:val="00FC5683"/>
    <w:rsid w:val="00FC56BF"/>
    <w:rsid w:val="00FC57D3"/>
    <w:rsid w:val="00FC57FC"/>
    <w:rsid w:val="00FC5813"/>
    <w:rsid w:val="00FC59A4"/>
    <w:rsid w:val="00FC5A2D"/>
    <w:rsid w:val="00FC5B1E"/>
    <w:rsid w:val="00FC5B69"/>
    <w:rsid w:val="00FC5C14"/>
    <w:rsid w:val="00FC5D42"/>
    <w:rsid w:val="00FC5E8E"/>
    <w:rsid w:val="00FC5F0F"/>
    <w:rsid w:val="00FC5F1A"/>
    <w:rsid w:val="00FC5F77"/>
    <w:rsid w:val="00FC60A8"/>
    <w:rsid w:val="00FC60F3"/>
    <w:rsid w:val="00FC61C0"/>
    <w:rsid w:val="00FC6270"/>
    <w:rsid w:val="00FC6387"/>
    <w:rsid w:val="00FC639D"/>
    <w:rsid w:val="00FC63AA"/>
    <w:rsid w:val="00FC6581"/>
    <w:rsid w:val="00FC65C8"/>
    <w:rsid w:val="00FC67A2"/>
    <w:rsid w:val="00FC6910"/>
    <w:rsid w:val="00FC6988"/>
    <w:rsid w:val="00FC69F4"/>
    <w:rsid w:val="00FC6A20"/>
    <w:rsid w:val="00FC6A47"/>
    <w:rsid w:val="00FC6AE1"/>
    <w:rsid w:val="00FC6C37"/>
    <w:rsid w:val="00FC6CC7"/>
    <w:rsid w:val="00FC6E41"/>
    <w:rsid w:val="00FC6F81"/>
    <w:rsid w:val="00FC708B"/>
    <w:rsid w:val="00FC7214"/>
    <w:rsid w:val="00FC72A3"/>
    <w:rsid w:val="00FC72BB"/>
    <w:rsid w:val="00FC72C9"/>
    <w:rsid w:val="00FC72DF"/>
    <w:rsid w:val="00FC7340"/>
    <w:rsid w:val="00FC739F"/>
    <w:rsid w:val="00FC7514"/>
    <w:rsid w:val="00FC754C"/>
    <w:rsid w:val="00FC75BA"/>
    <w:rsid w:val="00FC7704"/>
    <w:rsid w:val="00FC7A37"/>
    <w:rsid w:val="00FC7BF1"/>
    <w:rsid w:val="00FC7C98"/>
    <w:rsid w:val="00FC7EC8"/>
    <w:rsid w:val="00FC7F70"/>
    <w:rsid w:val="00FD012C"/>
    <w:rsid w:val="00FD019B"/>
    <w:rsid w:val="00FD0319"/>
    <w:rsid w:val="00FD0352"/>
    <w:rsid w:val="00FD037B"/>
    <w:rsid w:val="00FD03F6"/>
    <w:rsid w:val="00FD05A3"/>
    <w:rsid w:val="00FD05C7"/>
    <w:rsid w:val="00FD07BA"/>
    <w:rsid w:val="00FD089C"/>
    <w:rsid w:val="00FD08A3"/>
    <w:rsid w:val="00FD0AAC"/>
    <w:rsid w:val="00FD0AEF"/>
    <w:rsid w:val="00FD0C76"/>
    <w:rsid w:val="00FD0EF3"/>
    <w:rsid w:val="00FD105F"/>
    <w:rsid w:val="00FD1257"/>
    <w:rsid w:val="00FD13C6"/>
    <w:rsid w:val="00FD15DB"/>
    <w:rsid w:val="00FD16F3"/>
    <w:rsid w:val="00FD1768"/>
    <w:rsid w:val="00FD185A"/>
    <w:rsid w:val="00FD19CC"/>
    <w:rsid w:val="00FD1AF1"/>
    <w:rsid w:val="00FD1CF9"/>
    <w:rsid w:val="00FD1D7A"/>
    <w:rsid w:val="00FD1E00"/>
    <w:rsid w:val="00FD1F1D"/>
    <w:rsid w:val="00FD1F72"/>
    <w:rsid w:val="00FD1FC9"/>
    <w:rsid w:val="00FD2225"/>
    <w:rsid w:val="00FD224E"/>
    <w:rsid w:val="00FD22A8"/>
    <w:rsid w:val="00FD22B6"/>
    <w:rsid w:val="00FD2540"/>
    <w:rsid w:val="00FD259E"/>
    <w:rsid w:val="00FD2604"/>
    <w:rsid w:val="00FD2607"/>
    <w:rsid w:val="00FD275B"/>
    <w:rsid w:val="00FD281C"/>
    <w:rsid w:val="00FD2851"/>
    <w:rsid w:val="00FD2854"/>
    <w:rsid w:val="00FD29F2"/>
    <w:rsid w:val="00FD2A96"/>
    <w:rsid w:val="00FD2DDB"/>
    <w:rsid w:val="00FD2E1F"/>
    <w:rsid w:val="00FD31B7"/>
    <w:rsid w:val="00FD31BB"/>
    <w:rsid w:val="00FD3410"/>
    <w:rsid w:val="00FD3455"/>
    <w:rsid w:val="00FD3766"/>
    <w:rsid w:val="00FD389F"/>
    <w:rsid w:val="00FD3936"/>
    <w:rsid w:val="00FD3955"/>
    <w:rsid w:val="00FD3975"/>
    <w:rsid w:val="00FD3B60"/>
    <w:rsid w:val="00FD3D05"/>
    <w:rsid w:val="00FD3DE3"/>
    <w:rsid w:val="00FD3E22"/>
    <w:rsid w:val="00FD3E7F"/>
    <w:rsid w:val="00FD3EF1"/>
    <w:rsid w:val="00FD3F2C"/>
    <w:rsid w:val="00FD40EC"/>
    <w:rsid w:val="00FD412C"/>
    <w:rsid w:val="00FD4289"/>
    <w:rsid w:val="00FD466D"/>
    <w:rsid w:val="00FD4776"/>
    <w:rsid w:val="00FD47C4"/>
    <w:rsid w:val="00FD487F"/>
    <w:rsid w:val="00FD49BB"/>
    <w:rsid w:val="00FD4A88"/>
    <w:rsid w:val="00FD4CA5"/>
    <w:rsid w:val="00FD4DF7"/>
    <w:rsid w:val="00FD509C"/>
    <w:rsid w:val="00FD514B"/>
    <w:rsid w:val="00FD560A"/>
    <w:rsid w:val="00FD5610"/>
    <w:rsid w:val="00FD5659"/>
    <w:rsid w:val="00FD583C"/>
    <w:rsid w:val="00FD58CA"/>
    <w:rsid w:val="00FD5A40"/>
    <w:rsid w:val="00FD5C25"/>
    <w:rsid w:val="00FD5CAC"/>
    <w:rsid w:val="00FD5E7E"/>
    <w:rsid w:val="00FD5F47"/>
    <w:rsid w:val="00FD610F"/>
    <w:rsid w:val="00FD6242"/>
    <w:rsid w:val="00FD6487"/>
    <w:rsid w:val="00FD64D5"/>
    <w:rsid w:val="00FD64F5"/>
    <w:rsid w:val="00FD65A0"/>
    <w:rsid w:val="00FD65CD"/>
    <w:rsid w:val="00FD666E"/>
    <w:rsid w:val="00FD66B0"/>
    <w:rsid w:val="00FD66E3"/>
    <w:rsid w:val="00FD6730"/>
    <w:rsid w:val="00FD6808"/>
    <w:rsid w:val="00FD6821"/>
    <w:rsid w:val="00FD6922"/>
    <w:rsid w:val="00FD6A38"/>
    <w:rsid w:val="00FD6BBF"/>
    <w:rsid w:val="00FD6DA5"/>
    <w:rsid w:val="00FD6E97"/>
    <w:rsid w:val="00FD7166"/>
    <w:rsid w:val="00FD72BF"/>
    <w:rsid w:val="00FD73CF"/>
    <w:rsid w:val="00FD744B"/>
    <w:rsid w:val="00FD74F1"/>
    <w:rsid w:val="00FD74F8"/>
    <w:rsid w:val="00FD7532"/>
    <w:rsid w:val="00FD755D"/>
    <w:rsid w:val="00FD782A"/>
    <w:rsid w:val="00FD7CE9"/>
    <w:rsid w:val="00FD7CEA"/>
    <w:rsid w:val="00FD7E16"/>
    <w:rsid w:val="00FD7EA9"/>
    <w:rsid w:val="00FD7EAF"/>
    <w:rsid w:val="00FE017C"/>
    <w:rsid w:val="00FE028B"/>
    <w:rsid w:val="00FE0425"/>
    <w:rsid w:val="00FE04E9"/>
    <w:rsid w:val="00FE06F7"/>
    <w:rsid w:val="00FE07FB"/>
    <w:rsid w:val="00FE08C3"/>
    <w:rsid w:val="00FE0C87"/>
    <w:rsid w:val="00FE0CD1"/>
    <w:rsid w:val="00FE0D60"/>
    <w:rsid w:val="00FE0D71"/>
    <w:rsid w:val="00FE0D88"/>
    <w:rsid w:val="00FE1019"/>
    <w:rsid w:val="00FE1122"/>
    <w:rsid w:val="00FE1152"/>
    <w:rsid w:val="00FE15C3"/>
    <w:rsid w:val="00FE15C5"/>
    <w:rsid w:val="00FE16B3"/>
    <w:rsid w:val="00FE1847"/>
    <w:rsid w:val="00FE192A"/>
    <w:rsid w:val="00FE1B29"/>
    <w:rsid w:val="00FE1D8A"/>
    <w:rsid w:val="00FE1E84"/>
    <w:rsid w:val="00FE1ECB"/>
    <w:rsid w:val="00FE1FE9"/>
    <w:rsid w:val="00FE2179"/>
    <w:rsid w:val="00FE231B"/>
    <w:rsid w:val="00FE23BC"/>
    <w:rsid w:val="00FE23C1"/>
    <w:rsid w:val="00FE2442"/>
    <w:rsid w:val="00FE24B5"/>
    <w:rsid w:val="00FE2547"/>
    <w:rsid w:val="00FE257C"/>
    <w:rsid w:val="00FE25BC"/>
    <w:rsid w:val="00FE268C"/>
    <w:rsid w:val="00FE26A8"/>
    <w:rsid w:val="00FE2742"/>
    <w:rsid w:val="00FE2983"/>
    <w:rsid w:val="00FE29AC"/>
    <w:rsid w:val="00FE2A9A"/>
    <w:rsid w:val="00FE2A9C"/>
    <w:rsid w:val="00FE2AE9"/>
    <w:rsid w:val="00FE2CBC"/>
    <w:rsid w:val="00FE2DCF"/>
    <w:rsid w:val="00FE3047"/>
    <w:rsid w:val="00FE305B"/>
    <w:rsid w:val="00FE308E"/>
    <w:rsid w:val="00FE3141"/>
    <w:rsid w:val="00FE329F"/>
    <w:rsid w:val="00FE3307"/>
    <w:rsid w:val="00FE339D"/>
    <w:rsid w:val="00FE33BD"/>
    <w:rsid w:val="00FE35DC"/>
    <w:rsid w:val="00FE3702"/>
    <w:rsid w:val="00FE37BD"/>
    <w:rsid w:val="00FE3841"/>
    <w:rsid w:val="00FE3883"/>
    <w:rsid w:val="00FE3938"/>
    <w:rsid w:val="00FE3946"/>
    <w:rsid w:val="00FE3971"/>
    <w:rsid w:val="00FE3A18"/>
    <w:rsid w:val="00FE3AD5"/>
    <w:rsid w:val="00FE3C70"/>
    <w:rsid w:val="00FE3D89"/>
    <w:rsid w:val="00FE3DD0"/>
    <w:rsid w:val="00FE3E23"/>
    <w:rsid w:val="00FE3FA7"/>
    <w:rsid w:val="00FE3FDE"/>
    <w:rsid w:val="00FE3FF4"/>
    <w:rsid w:val="00FE4081"/>
    <w:rsid w:val="00FE409A"/>
    <w:rsid w:val="00FE40D9"/>
    <w:rsid w:val="00FE40F8"/>
    <w:rsid w:val="00FE4107"/>
    <w:rsid w:val="00FE4130"/>
    <w:rsid w:val="00FE4223"/>
    <w:rsid w:val="00FE433A"/>
    <w:rsid w:val="00FE443A"/>
    <w:rsid w:val="00FE45AD"/>
    <w:rsid w:val="00FE45D2"/>
    <w:rsid w:val="00FE4713"/>
    <w:rsid w:val="00FE4898"/>
    <w:rsid w:val="00FE499E"/>
    <w:rsid w:val="00FE4A10"/>
    <w:rsid w:val="00FE4AB6"/>
    <w:rsid w:val="00FE4BC6"/>
    <w:rsid w:val="00FE4CE5"/>
    <w:rsid w:val="00FE4DA2"/>
    <w:rsid w:val="00FE4DEB"/>
    <w:rsid w:val="00FE4E9F"/>
    <w:rsid w:val="00FE514B"/>
    <w:rsid w:val="00FE51C2"/>
    <w:rsid w:val="00FE5201"/>
    <w:rsid w:val="00FE54F1"/>
    <w:rsid w:val="00FE58AD"/>
    <w:rsid w:val="00FE5B24"/>
    <w:rsid w:val="00FE5BB6"/>
    <w:rsid w:val="00FE5C36"/>
    <w:rsid w:val="00FE5DFC"/>
    <w:rsid w:val="00FE5F97"/>
    <w:rsid w:val="00FE5FAF"/>
    <w:rsid w:val="00FE6069"/>
    <w:rsid w:val="00FE6178"/>
    <w:rsid w:val="00FE6266"/>
    <w:rsid w:val="00FE62EB"/>
    <w:rsid w:val="00FE63FA"/>
    <w:rsid w:val="00FE6431"/>
    <w:rsid w:val="00FE6570"/>
    <w:rsid w:val="00FE6597"/>
    <w:rsid w:val="00FE65CD"/>
    <w:rsid w:val="00FE6600"/>
    <w:rsid w:val="00FE6652"/>
    <w:rsid w:val="00FE6839"/>
    <w:rsid w:val="00FE69CC"/>
    <w:rsid w:val="00FE69FE"/>
    <w:rsid w:val="00FE6A71"/>
    <w:rsid w:val="00FE6AB8"/>
    <w:rsid w:val="00FE6ADA"/>
    <w:rsid w:val="00FE6CEB"/>
    <w:rsid w:val="00FE6D96"/>
    <w:rsid w:val="00FE6E90"/>
    <w:rsid w:val="00FE6EF5"/>
    <w:rsid w:val="00FE6F33"/>
    <w:rsid w:val="00FE6F7A"/>
    <w:rsid w:val="00FE70F0"/>
    <w:rsid w:val="00FE71D7"/>
    <w:rsid w:val="00FE71E1"/>
    <w:rsid w:val="00FE7200"/>
    <w:rsid w:val="00FE72ED"/>
    <w:rsid w:val="00FE731F"/>
    <w:rsid w:val="00FE73CB"/>
    <w:rsid w:val="00FE767A"/>
    <w:rsid w:val="00FE7707"/>
    <w:rsid w:val="00FE7723"/>
    <w:rsid w:val="00FE792A"/>
    <w:rsid w:val="00FE793F"/>
    <w:rsid w:val="00FE7991"/>
    <w:rsid w:val="00FE7A06"/>
    <w:rsid w:val="00FE7ACA"/>
    <w:rsid w:val="00FE7AD2"/>
    <w:rsid w:val="00FE7C16"/>
    <w:rsid w:val="00FE7C6C"/>
    <w:rsid w:val="00FE7CA9"/>
    <w:rsid w:val="00FE7CD0"/>
    <w:rsid w:val="00FE7D2D"/>
    <w:rsid w:val="00FE7D65"/>
    <w:rsid w:val="00FE7DFA"/>
    <w:rsid w:val="00FE7E11"/>
    <w:rsid w:val="00FE7EAC"/>
    <w:rsid w:val="00FE7F97"/>
    <w:rsid w:val="00FF01D4"/>
    <w:rsid w:val="00FF023A"/>
    <w:rsid w:val="00FF02FA"/>
    <w:rsid w:val="00FF0342"/>
    <w:rsid w:val="00FF042E"/>
    <w:rsid w:val="00FF0480"/>
    <w:rsid w:val="00FF0608"/>
    <w:rsid w:val="00FF0678"/>
    <w:rsid w:val="00FF06E9"/>
    <w:rsid w:val="00FF06EC"/>
    <w:rsid w:val="00FF0793"/>
    <w:rsid w:val="00FF0837"/>
    <w:rsid w:val="00FF0A12"/>
    <w:rsid w:val="00FF0A2C"/>
    <w:rsid w:val="00FF0AA3"/>
    <w:rsid w:val="00FF0C9F"/>
    <w:rsid w:val="00FF0DD7"/>
    <w:rsid w:val="00FF0E13"/>
    <w:rsid w:val="00FF0F11"/>
    <w:rsid w:val="00FF0F4F"/>
    <w:rsid w:val="00FF0F81"/>
    <w:rsid w:val="00FF0FA3"/>
    <w:rsid w:val="00FF122E"/>
    <w:rsid w:val="00FF1234"/>
    <w:rsid w:val="00FF1327"/>
    <w:rsid w:val="00FF149F"/>
    <w:rsid w:val="00FF17F3"/>
    <w:rsid w:val="00FF188D"/>
    <w:rsid w:val="00FF1898"/>
    <w:rsid w:val="00FF1908"/>
    <w:rsid w:val="00FF1940"/>
    <w:rsid w:val="00FF19B4"/>
    <w:rsid w:val="00FF1B7E"/>
    <w:rsid w:val="00FF1CB7"/>
    <w:rsid w:val="00FF1CCB"/>
    <w:rsid w:val="00FF1F64"/>
    <w:rsid w:val="00FF20DE"/>
    <w:rsid w:val="00FF20F1"/>
    <w:rsid w:val="00FF212D"/>
    <w:rsid w:val="00FF2143"/>
    <w:rsid w:val="00FF214E"/>
    <w:rsid w:val="00FF2163"/>
    <w:rsid w:val="00FF219F"/>
    <w:rsid w:val="00FF2289"/>
    <w:rsid w:val="00FF22F4"/>
    <w:rsid w:val="00FF24F4"/>
    <w:rsid w:val="00FF25D1"/>
    <w:rsid w:val="00FF2669"/>
    <w:rsid w:val="00FF26EC"/>
    <w:rsid w:val="00FF2A4E"/>
    <w:rsid w:val="00FF2ACD"/>
    <w:rsid w:val="00FF2B75"/>
    <w:rsid w:val="00FF2BE6"/>
    <w:rsid w:val="00FF2DAF"/>
    <w:rsid w:val="00FF2E96"/>
    <w:rsid w:val="00FF2EED"/>
    <w:rsid w:val="00FF2F3F"/>
    <w:rsid w:val="00FF2F83"/>
    <w:rsid w:val="00FF2F90"/>
    <w:rsid w:val="00FF2FB0"/>
    <w:rsid w:val="00FF2FCE"/>
    <w:rsid w:val="00FF311A"/>
    <w:rsid w:val="00FF319E"/>
    <w:rsid w:val="00FF31AF"/>
    <w:rsid w:val="00FF32B8"/>
    <w:rsid w:val="00FF342E"/>
    <w:rsid w:val="00FF3822"/>
    <w:rsid w:val="00FF3937"/>
    <w:rsid w:val="00FF396E"/>
    <w:rsid w:val="00FF39F8"/>
    <w:rsid w:val="00FF3A99"/>
    <w:rsid w:val="00FF3B79"/>
    <w:rsid w:val="00FF3B7E"/>
    <w:rsid w:val="00FF3E2D"/>
    <w:rsid w:val="00FF3E7C"/>
    <w:rsid w:val="00FF3F5F"/>
    <w:rsid w:val="00FF4059"/>
    <w:rsid w:val="00FF4295"/>
    <w:rsid w:val="00FF4320"/>
    <w:rsid w:val="00FF4417"/>
    <w:rsid w:val="00FF44B7"/>
    <w:rsid w:val="00FF458A"/>
    <w:rsid w:val="00FF47EE"/>
    <w:rsid w:val="00FF483E"/>
    <w:rsid w:val="00FF48CA"/>
    <w:rsid w:val="00FF4B0C"/>
    <w:rsid w:val="00FF4B16"/>
    <w:rsid w:val="00FF4B2D"/>
    <w:rsid w:val="00FF4DCB"/>
    <w:rsid w:val="00FF4E91"/>
    <w:rsid w:val="00FF4F7D"/>
    <w:rsid w:val="00FF5049"/>
    <w:rsid w:val="00FF50C4"/>
    <w:rsid w:val="00FF5158"/>
    <w:rsid w:val="00FF5211"/>
    <w:rsid w:val="00FF5548"/>
    <w:rsid w:val="00FF558C"/>
    <w:rsid w:val="00FF5686"/>
    <w:rsid w:val="00FF5781"/>
    <w:rsid w:val="00FF5825"/>
    <w:rsid w:val="00FF587E"/>
    <w:rsid w:val="00FF59B4"/>
    <w:rsid w:val="00FF5B5A"/>
    <w:rsid w:val="00FF5C96"/>
    <w:rsid w:val="00FF5D1F"/>
    <w:rsid w:val="00FF5D33"/>
    <w:rsid w:val="00FF5D40"/>
    <w:rsid w:val="00FF5DBD"/>
    <w:rsid w:val="00FF5E33"/>
    <w:rsid w:val="00FF5EBF"/>
    <w:rsid w:val="00FF5F0E"/>
    <w:rsid w:val="00FF6144"/>
    <w:rsid w:val="00FF621D"/>
    <w:rsid w:val="00FF6327"/>
    <w:rsid w:val="00FF6328"/>
    <w:rsid w:val="00FF6344"/>
    <w:rsid w:val="00FF636A"/>
    <w:rsid w:val="00FF65AD"/>
    <w:rsid w:val="00FF65CC"/>
    <w:rsid w:val="00FF66CC"/>
    <w:rsid w:val="00FF6788"/>
    <w:rsid w:val="00FF6861"/>
    <w:rsid w:val="00FF696C"/>
    <w:rsid w:val="00FF699F"/>
    <w:rsid w:val="00FF6AA3"/>
    <w:rsid w:val="00FF6AF7"/>
    <w:rsid w:val="00FF6BD4"/>
    <w:rsid w:val="00FF6D4A"/>
    <w:rsid w:val="00FF6D9D"/>
    <w:rsid w:val="00FF6DDB"/>
    <w:rsid w:val="00FF6F4C"/>
    <w:rsid w:val="00FF6F6F"/>
    <w:rsid w:val="00FF724D"/>
    <w:rsid w:val="00FF73A0"/>
    <w:rsid w:val="00FF74F9"/>
    <w:rsid w:val="00FF756B"/>
    <w:rsid w:val="00FF7587"/>
    <w:rsid w:val="00FF7620"/>
    <w:rsid w:val="00FF76B4"/>
    <w:rsid w:val="00FF77CF"/>
    <w:rsid w:val="00FF784D"/>
    <w:rsid w:val="00FF7890"/>
    <w:rsid w:val="00FF79B0"/>
    <w:rsid w:val="00FF7A77"/>
    <w:rsid w:val="00FF7AB4"/>
    <w:rsid w:val="00FF7AC6"/>
    <w:rsid w:val="00FF7C46"/>
    <w:rsid w:val="00FF7C94"/>
    <w:rsid w:val="00FF7D6F"/>
    <w:rsid w:val="00FF7DD5"/>
    <w:rsid w:val="00FF7EF2"/>
    <w:rsid w:val="00FF7EF4"/>
    <w:rsid w:val="00FF7F56"/>
    <w:rsid w:val="00FF7F6A"/>
    <w:rsid w:val="011D0259"/>
    <w:rsid w:val="011F6FBC"/>
    <w:rsid w:val="012373CE"/>
    <w:rsid w:val="0128A35D"/>
    <w:rsid w:val="013F41D3"/>
    <w:rsid w:val="0142CF39"/>
    <w:rsid w:val="014ACBBE"/>
    <w:rsid w:val="01561354"/>
    <w:rsid w:val="016423F3"/>
    <w:rsid w:val="0169FCA7"/>
    <w:rsid w:val="01736E41"/>
    <w:rsid w:val="01A0782A"/>
    <w:rsid w:val="01B291C7"/>
    <w:rsid w:val="01E3435D"/>
    <w:rsid w:val="01E7D6E3"/>
    <w:rsid w:val="01EB2170"/>
    <w:rsid w:val="01F2A5A1"/>
    <w:rsid w:val="01F6DB1D"/>
    <w:rsid w:val="020DAA81"/>
    <w:rsid w:val="024636CC"/>
    <w:rsid w:val="024B40EA"/>
    <w:rsid w:val="025B2E20"/>
    <w:rsid w:val="0260384A"/>
    <w:rsid w:val="02790720"/>
    <w:rsid w:val="02795AF0"/>
    <w:rsid w:val="0297A924"/>
    <w:rsid w:val="0297C609"/>
    <w:rsid w:val="029DB894"/>
    <w:rsid w:val="029E0518"/>
    <w:rsid w:val="029ED1A8"/>
    <w:rsid w:val="029F36DB"/>
    <w:rsid w:val="02A6F81E"/>
    <w:rsid w:val="02A82201"/>
    <w:rsid w:val="02AD9F69"/>
    <w:rsid w:val="02B6BB4F"/>
    <w:rsid w:val="02C1DC3A"/>
    <w:rsid w:val="02C367E0"/>
    <w:rsid w:val="02C4D36F"/>
    <w:rsid w:val="02C50ECD"/>
    <w:rsid w:val="02C6EFE7"/>
    <w:rsid w:val="02CF2D84"/>
    <w:rsid w:val="02D26C82"/>
    <w:rsid w:val="02D3E786"/>
    <w:rsid w:val="02D68D1F"/>
    <w:rsid w:val="02DC161C"/>
    <w:rsid w:val="02E4BB6B"/>
    <w:rsid w:val="02F03853"/>
    <w:rsid w:val="02FB2AD4"/>
    <w:rsid w:val="030AFF4A"/>
    <w:rsid w:val="032B98AF"/>
    <w:rsid w:val="0333B3CF"/>
    <w:rsid w:val="0336BC14"/>
    <w:rsid w:val="034A0F8A"/>
    <w:rsid w:val="034B5696"/>
    <w:rsid w:val="034B5986"/>
    <w:rsid w:val="0362A1B2"/>
    <w:rsid w:val="036413B7"/>
    <w:rsid w:val="03724CA4"/>
    <w:rsid w:val="0384D4E6"/>
    <w:rsid w:val="038B3242"/>
    <w:rsid w:val="038DB086"/>
    <w:rsid w:val="03931885"/>
    <w:rsid w:val="03A08F1D"/>
    <w:rsid w:val="03B2EE05"/>
    <w:rsid w:val="03B54C6D"/>
    <w:rsid w:val="03B86E90"/>
    <w:rsid w:val="03B87694"/>
    <w:rsid w:val="03C8C118"/>
    <w:rsid w:val="03D3C631"/>
    <w:rsid w:val="03DA2685"/>
    <w:rsid w:val="0417F706"/>
    <w:rsid w:val="042F02A5"/>
    <w:rsid w:val="0434C6A3"/>
    <w:rsid w:val="04364BBA"/>
    <w:rsid w:val="04368F2F"/>
    <w:rsid w:val="04550C23"/>
    <w:rsid w:val="045F1160"/>
    <w:rsid w:val="045F6CF6"/>
    <w:rsid w:val="0462EEE6"/>
    <w:rsid w:val="0479A2C3"/>
    <w:rsid w:val="047A4FFA"/>
    <w:rsid w:val="0497B309"/>
    <w:rsid w:val="0497E7CD"/>
    <w:rsid w:val="049D3B51"/>
    <w:rsid w:val="04AAA320"/>
    <w:rsid w:val="04C089C1"/>
    <w:rsid w:val="04CA02AE"/>
    <w:rsid w:val="04D7734C"/>
    <w:rsid w:val="04D9680B"/>
    <w:rsid w:val="04DE4D1A"/>
    <w:rsid w:val="04E7492F"/>
    <w:rsid w:val="04EC3CAE"/>
    <w:rsid w:val="04FCC9B1"/>
    <w:rsid w:val="04FF3CDD"/>
    <w:rsid w:val="05219195"/>
    <w:rsid w:val="05319ADB"/>
    <w:rsid w:val="053CB1B9"/>
    <w:rsid w:val="05618354"/>
    <w:rsid w:val="056E2AA1"/>
    <w:rsid w:val="0570C5F3"/>
    <w:rsid w:val="057CF514"/>
    <w:rsid w:val="058B6214"/>
    <w:rsid w:val="058BC44D"/>
    <w:rsid w:val="0597E5F2"/>
    <w:rsid w:val="05995E21"/>
    <w:rsid w:val="05A06501"/>
    <w:rsid w:val="05A904D2"/>
    <w:rsid w:val="05B3291F"/>
    <w:rsid w:val="05C00822"/>
    <w:rsid w:val="05D4E31C"/>
    <w:rsid w:val="05D88D39"/>
    <w:rsid w:val="05DDAFAC"/>
    <w:rsid w:val="05E8456D"/>
    <w:rsid w:val="05ECC5B3"/>
    <w:rsid w:val="06007E88"/>
    <w:rsid w:val="0602D4B8"/>
    <w:rsid w:val="06059216"/>
    <w:rsid w:val="0609BC3B"/>
    <w:rsid w:val="061E26A9"/>
    <w:rsid w:val="06253182"/>
    <w:rsid w:val="0625DB69"/>
    <w:rsid w:val="0625E7CE"/>
    <w:rsid w:val="06291058"/>
    <w:rsid w:val="0638075D"/>
    <w:rsid w:val="06386C38"/>
    <w:rsid w:val="06390096"/>
    <w:rsid w:val="063A2F74"/>
    <w:rsid w:val="063F2F7B"/>
    <w:rsid w:val="064BE60B"/>
    <w:rsid w:val="0650DE6A"/>
    <w:rsid w:val="067B91E6"/>
    <w:rsid w:val="067F5AA3"/>
    <w:rsid w:val="0683927E"/>
    <w:rsid w:val="06866D07"/>
    <w:rsid w:val="068AC0BA"/>
    <w:rsid w:val="06936EFD"/>
    <w:rsid w:val="0695825E"/>
    <w:rsid w:val="06ADA889"/>
    <w:rsid w:val="06B0DBE1"/>
    <w:rsid w:val="06B160BF"/>
    <w:rsid w:val="06B968FB"/>
    <w:rsid w:val="06C036A0"/>
    <w:rsid w:val="06DC4873"/>
    <w:rsid w:val="06DFBCC9"/>
    <w:rsid w:val="06E63259"/>
    <w:rsid w:val="06EB338D"/>
    <w:rsid w:val="06ECB725"/>
    <w:rsid w:val="070BDE41"/>
    <w:rsid w:val="071BF4F9"/>
    <w:rsid w:val="072AEB3C"/>
    <w:rsid w:val="072D48F6"/>
    <w:rsid w:val="072FA0AA"/>
    <w:rsid w:val="07364294"/>
    <w:rsid w:val="07453A69"/>
    <w:rsid w:val="074580A1"/>
    <w:rsid w:val="075451DB"/>
    <w:rsid w:val="0756397E"/>
    <w:rsid w:val="075B3458"/>
    <w:rsid w:val="075CD571"/>
    <w:rsid w:val="075F8279"/>
    <w:rsid w:val="076BC388"/>
    <w:rsid w:val="076DD8E8"/>
    <w:rsid w:val="0778FE44"/>
    <w:rsid w:val="07817467"/>
    <w:rsid w:val="079CD50D"/>
    <w:rsid w:val="07A92E41"/>
    <w:rsid w:val="07AD4241"/>
    <w:rsid w:val="07B92757"/>
    <w:rsid w:val="07BC1ED4"/>
    <w:rsid w:val="07DDE09C"/>
    <w:rsid w:val="07DE862F"/>
    <w:rsid w:val="07E1B5B4"/>
    <w:rsid w:val="07E67C8F"/>
    <w:rsid w:val="07EAB84E"/>
    <w:rsid w:val="0803F274"/>
    <w:rsid w:val="080E298B"/>
    <w:rsid w:val="0814DCAC"/>
    <w:rsid w:val="0814E442"/>
    <w:rsid w:val="081B58C1"/>
    <w:rsid w:val="08266807"/>
    <w:rsid w:val="08285FEF"/>
    <w:rsid w:val="0828D674"/>
    <w:rsid w:val="08292FE2"/>
    <w:rsid w:val="08397EA3"/>
    <w:rsid w:val="0841D0AB"/>
    <w:rsid w:val="08450012"/>
    <w:rsid w:val="084559BA"/>
    <w:rsid w:val="0858DAD5"/>
    <w:rsid w:val="08768741"/>
    <w:rsid w:val="08792079"/>
    <w:rsid w:val="087A1F6F"/>
    <w:rsid w:val="087FE937"/>
    <w:rsid w:val="0883840F"/>
    <w:rsid w:val="08852842"/>
    <w:rsid w:val="088981FF"/>
    <w:rsid w:val="0889D261"/>
    <w:rsid w:val="08B01729"/>
    <w:rsid w:val="08C0E372"/>
    <w:rsid w:val="08C2B294"/>
    <w:rsid w:val="08D20F1A"/>
    <w:rsid w:val="08D49893"/>
    <w:rsid w:val="08DC571B"/>
    <w:rsid w:val="08E5CCF1"/>
    <w:rsid w:val="08EE59A4"/>
    <w:rsid w:val="08F6B0FA"/>
    <w:rsid w:val="08FCAE04"/>
    <w:rsid w:val="09018A43"/>
    <w:rsid w:val="090F0563"/>
    <w:rsid w:val="09185E25"/>
    <w:rsid w:val="09294D96"/>
    <w:rsid w:val="092F907B"/>
    <w:rsid w:val="094FB151"/>
    <w:rsid w:val="095270B4"/>
    <w:rsid w:val="09558B8A"/>
    <w:rsid w:val="095B43D7"/>
    <w:rsid w:val="095D08DE"/>
    <w:rsid w:val="09675CD3"/>
    <w:rsid w:val="096BFD89"/>
    <w:rsid w:val="096C3892"/>
    <w:rsid w:val="09862305"/>
    <w:rsid w:val="0990765E"/>
    <w:rsid w:val="09ADC3BD"/>
    <w:rsid w:val="09BA67A2"/>
    <w:rsid w:val="09C937FB"/>
    <w:rsid w:val="09CD88B1"/>
    <w:rsid w:val="09D20F58"/>
    <w:rsid w:val="09D74C52"/>
    <w:rsid w:val="09EB54C0"/>
    <w:rsid w:val="09ED8DC6"/>
    <w:rsid w:val="09F1EA37"/>
    <w:rsid w:val="09F41632"/>
    <w:rsid w:val="0A0116DF"/>
    <w:rsid w:val="0A02EDFD"/>
    <w:rsid w:val="0A0ADFC6"/>
    <w:rsid w:val="0A1076FF"/>
    <w:rsid w:val="0A112038"/>
    <w:rsid w:val="0A1F9931"/>
    <w:rsid w:val="0A20F949"/>
    <w:rsid w:val="0A2E75BA"/>
    <w:rsid w:val="0A388545"/>
    <w:rsid w:val="0A38B1E3"/>
    <w:rsid w:val="0A3C5D63"/>
    <w:rsid w:val="0A3D8622"/>
    <w:rsid w:val="0A3FD01C"/>
    <w:rsid w:val="0A427608"/>
    <w:rsid w:val="0A4EDD02"/>
    <w:rsid w:val="0A534D42"/>
    <w:rsid w:val="0A55A1F6"/>
    <w:rsid w:val="0A55D869"/>
    <w:rsid w:val="0A588CBB"/>
    <w:rsid w:val="0A59F0E5"/>
    <w:rsid w:val="0A679BAF"/>
    <w:rsid w:val="0A687A25"/>
    <w:rsid w:val="0A78834C"/>
    <w:rsid w:val="0A7F709E"/>
    <w:rsid w:val="0A9FD131"/>
    <w:rsid w:val="0AA80A38"/>
    <w:rsid w:val="0AA928F2"/>
    <w:rsid w:val="0AD8FB5C"/>
    <w:rsid w:val="0AF6BC5C"/>
    <w:rsid w:val="0AF72D53"/>
    <w:rsid w:val="0AFBA2D8"/>
    <w:rsid w:val="0B17400F"/>
    <w:rsid w:val="0B1A8DD9"/>
    <w:rsid w:val="0B21E09A"/>
    <w:rsid w:val="0B25DCE4"/>
    <w:rsid w:val="0B48B35C"/>
    <w:rsid w:val="0B50389F"/>
    <w:rsid w:val="0B5E7D2A"/>
    <w:rsid w:val="0B66AC9D"/>
    <w:rsid w:val="0B9B1424"/>
    <w:rsid w:val="0B9C22D5"/>
    <w:rsid w:val="0BAA6071"/>
    <w:rsid w:val="0BAF3080"/>
    <w:rsid w:val="0BBB9B1A"/>
    <w:rsid w:val="0BD9BF35"/>
    <w:rsid w:val="0BDAB0A4"/>
    <w:rsid w:val="0BDE9AA6"/>
    <w:rsid w:val="0BEF1E5B"/>
    <w:rsid w:val="0BF246A5"/>
    <w:rsid w:val="0BFAFFE0"/>
    <w:rsid w:val="0C0A2A34"/>
    <w:rsid w:val="0C1FE97F"/>
    <w:rsid w:val="0C2B998B"/>
    <w:rsid w:val="0C39934F"/>
    <w:rsid w:val="0C47E40A"/>
    <w:rsid w:val="0C593CCA"/>
    <w:rsid w:val="0C612754"/>
    <w:rsid w:val="0C72E420"/>
    <w:rsid w:val="0C73B491"/>
    <w:rsid w:val="0C7FD9A2"/>
    <w:rsid w:val="0C88BC53"/>
    <w:rsid w:val="0C89F9E9"/>
    <w:rsid w:val="0C8A9560"/>
    <w:rsid w:val="0C8D3DCA"/>
    <w:rsid w:val="0C9BD3B0"/>
    <w:rsid w:val="0CA63E62"/>
    <w:rsid w:val="0CA65EB2"/>
    <w:rsid w:val="0CB3DE48"/>
    <w:rsid w:val="0CC96174"/>
    <w:rsid w:val="0CE2E576"/>
    <w:rsid w:val="0CF6F523"/>
    <w:rsid w:val="0CF7E657"/>
    <w:rsid w:val="0CFF54FE"/>
    <w:rsid w:val="0D151A46"/>
    <w:rsid w:val="0D3754F5"/>
    <w:rsid w:val="0D387EB4"/>
    <w:rsid w:val="0D3B0CBE"/>
    <w:rsid w:val="0D3C0D34"/>
    <w:rsid w:val="0D4300FB"/>
    <w:rsid w:val="0D4EB8CE"/>
    <w:rsid w:val="0D5226E4"/>
    <w:rsid w:val="0D56E079"/>
    <w:rsid w:val="0D71C8E7"/>
    <w:rsid w:val="0D82A3DE"/>
    <w:rsid w:val="0D862D8C"/>
    <w:rsid w:val="0D8CB6E1"/>
    <w:rsid w:val="0D912AF5"/>
    <w:rsid w:val="0D9B15B0"/>
    <w:rsid w:val="0DA64D4B"/>
    <w:rsid w:val="0DAC6F70"/>
    <w:rsid w:val="0DBF2E0F"/>
    <w:rsid w:val="0DC80369"/>
    <w:rsid w:val="0DCBEE3F"/>
    <w:rsid w:val="0DD0BBEA"/>
    <w:rsid w:val="0DD38A7F"/>
    <w:rsid w:val="0DDD4080"/>
    <w:rsid w:val="0DDDCF04"/>
    <w:rsid w:val="0DF0A5ED"/>
    <w:rsid w:val="0DF0F3EC"/>
    <w:rsid w:val="0DFE6782"/>
    <w:rsid w:val="0E11A70B"/>
    <w:rsid w:val="0E13F36C"/>
    <w:rsid w:val="0E1B06AD"/>
    <w:rsid w:val="0E2A59E1"/>
    <w:rsid w:val="0E2AEA8F"/>
    <w:rsid w:val="0E3250B6"/>
    <w:rsid w:val="0E34908E"/>
    <w:rsid w:val="0E363A5A"/>
    <w:rsid w:val="0E38AE2B"/>
    <w:rsid w:val="0E3E10DC"/>
    <w:rsid w:val="0E4CCCA7"/>
    <w:rsid w:val="0E5D56C3"/>
    <w:rsid w:val="0E6AF48F"/>
    <w:rsid w:val="0E6ECE29"/>
    <w:rsid w:val="0E6F71F5"/>
    <w:rsid w:val="0E9C4072"/>
    <w:rsid w:val="0EA9A5A0"/>
    <w:rsid w:val="0EABC66B"/>
    <w:rsid w:val="0EB1752D"/>
    <w:rsid w:val="0EF341F5"/>
    <w:rsid w:val="0EF50072"/>
    <w:rsid w:val="0EF69706"/>
    <w:rsid w:val="0F00A1B8"/>
    <w:rsid w:val="0F037C62"/>
    <w:rsid w:val="0F111BA1"/>
    <w:rsid w:val="0F143B3E"/>
    <w:rsid w:val="0F178169"/>
    <w:rsid w:val="0F1DB273"/>
    <w:rsid w:val="0F29BA02"/>
    <w:rsid w:val="0F2B4E05"/>
    <w:rsid w:val="0F2BC5B9"/>
    <w:rsid w:val="0F2F8721"/>
    <w:rsid w:val="0F313E89"/>
    <w:rsid w:val="0F3ABB33"/>
    <w:rsid w:val="0F4FB937"/>
    <w:rsid w:val="0F62A65B"/>
    <w:rsid w:val="0F6422DA"/>
    <w:rsid w:val="0F688AFB"/>
    <w:rsid w:val="0F6F4B37"/>
    <w:rsid w:val="0F73F4FF"/>
    <w:rsid w:val="0F76A72A"/>
    <w:rsid w:val="0F80DA68"/>
    <w:rsid w:val="0F8393BC"/>
    <w:rsid w:val="0F88F56F"/>
    <w:rsid w:val="0F93DBEF"/>
    <w:rsid w:val="0F976536"/>
    <w:rsid w:val="0FA00E35"/>
    <w:rsid w:val="0FAD45C4"/>
    <w:rsid w:val="0FB3A2BB"/>
    <w:rsid w:val="0FB6F1D5"/>
    <w:rsid w:val="0FC4FB0F"/>
    <w:rsid w:val="0FC51E4F"/>
    <w:rsid w:val="0FCAD0D9"/>
    <w:rsid w:val="0FDC0231"/>
    <w:rsid w:val="0FDF47A6"/>
    <w:rsid w:val="0FE41C2E"/>
    <w:rsid w:val="0FFF7B56"/>
    <w:rsid w:val="100B0F55"/>
    <w:rsid w:val="103F23AE"/>
    <w:rsid w:val="10436BA5"/>
    <w:rsid w:val="105B3535"/>
    <w:rsid w:val="106193F3"/>
    <w:rsid w:val="106A743B"/>
    <w:rsid w:val="106CA6DC"/>
    <w:rsid w:val="1079C4A2"/>
    <w:rsid w:val="1085B77E"/>
    <w:rsid w:val="1096E28E"/>
    <w:rsid w:val="109EB550"/>
    <w:rsid w:val="10A0916F"/>
    <w:rsid w:val="10A7ACC9"/>
    <w:rsid w:val="10BB1D91"/>
    <w:rsid w:val="10BCD73A"/>
    <w:rsid w:val="10C08957"/>
    <w:rsid w:val="10C29BAD"/>
    <w:rsid w:val="10C5E2D8"/>
    <w:rsid w:val="10CC1ED4"/>
    <w:rsid w:val="10D0AD80"/>
    <w:rsid w:val="10DCFC74"/>
    <w:rsid w:val="10F2C393"/>
    <w:rsid w:val="10F3E537"/>
    <w:rsid w:val="10F49B01"/>
    <w:rsid w:val="10FF7E99"/>
    <w:rsid w:val="1135276D"/>
    <w:rsid w:val="1142C5B2"/>
    <w:rsid w:val="11480603"/>
    <w:rsid w:val="114F2B22"/>
    <w:rsid w:val="115268C3"/>
    <w:rsid w:val="1169701D"/>
    <w:rsid w:val="116A72DD"/>
    <w:rsid w:val="116E6989"/>
    <w:rsid w:val="11720DA9"/>
    <w:rsid w:val="11783F61"/>
    <w:rsid w:val="117EEDFB"/>
    <w:rsid w:val="118A2BA9"/>
    <w:rsid w:val="118EB879"/>
    <w:rsid w:val="1194EDED"/>
    <w:rsid w:val="11988F90"/>
    <w:rsid w:val="11A25468"/>
    <w:rsid w:val="11A88C3F"/>
    <w:rsid w:val="11BA1BBA"/>
    <w:rsid w:val="11C641B3"/>
    <w:rsid w:val="11E9B667"/>
    <w:rsid w:val="11EB9094"/>
    <w:rsid w:val="11ED8C2E"/>
    <w:rsid w:val="11F67F6E"/>
    <w:rsid w:val="11F72F7E"/>
    <w:rsid w:val="11FFD18F"/>
    <w:rsid w:val="1213F6B5"/>
    <w:rsid w:val="1224AE0E"/>
    <w:rsid w:val="12269CDC"/>
    <w:rsid w:val="122D2E2B"/>
    <w:rsid w:val="12488B54"/>
    <w:rsid w:val="124A94BB"/>
    <w:rsid w:val="12501EF1"/>
    <w:rsid w:val="1252E288"/>
    <w:rsid w:val="125792A3"/>
    <w:rsid w:val="1258209C"/>
    <w:rsid w:val="12582FC2"/>
    <w:rsid w:val="1261C329"/>
    <w:rsid w:val="126DAE56"/>
    <w:rsid w:val="126E949F"/>
    <w:rsid w:val="127165A2"/>
    <w:rsid w:val="127DCF65"/>
    <w:rsid w:val="12840015"/>
    <w:rsid w:val="12840806"/>
    <w:rsid w:val="128720C9"/>
    <w:rsid w:val="12A0160C"/>
    <w:rsid w:val="12A128EC"/>
    <w:rsid w:val="12B312F9"/>
    <w:rsid w:val="12BCEAD5"/>
    <w:rsid w:val="12C9573A"/>
    <w:rsid w:val="12CB9544"/>
    <w:rsid w:val="12CE56BA"/>
    <w:rsid w:val="12DC1855"/>
    <w:rsid w:val="12E0ACDC"/>
    <w:rsid w:val="12E0E331"/>
    <w:rsid w:val="12E11193"/>
    <w:rsid w:val="12E28B85"/>
    <w:rsid w:val="12E2B1FD"/>
    <w:rsid w:val="12F54277"/>
    <w:rsid w:val="12FB1D8E"/>
    <w:rsid w:val="13047F42"/>
    <w:rsid w:val="13084631"/>
    <w:rsid w:val="130ADE0A"/>
    <w:rsid w:val="130DEC61"/>
    <w:rsid w:val="130EEB81"/>
    <w:rsid w:val="131C1B3F"/>
    <w:rsid w:val="131E3F15"/>
    <w:rsid w:val="132D82EA"/>
    <w:rsid w:val="1333E593"/>
    <w:rsid w:val="133B54F9"/>
    <w:rsid w:val="133C5AAC"/>
    <w:rsid w:val="1344989F"/>
    <w:rsid w:val="1354487A"/>
    <w:rsid w:val="1357FE76"/>
    <w:rsid w:val="1361A286"/>
    <w:rsid w:val="136DAA4E"/>
    <w:rsid w:val="1378A285"/>
    <w:rsid w:val="137A2DC8"/>
    <w:rsid w:val="137F0A99"/>
    <w:rsid w:val="1382AFA1"/>
    <w:rsid w:val="138CC6A3"/>
    <w:rsid w:val="139B86B9"/>
    <w:rsid w:val="13AD980B"/>
    <w:rsid w:val="13B3D9F4"/>
    <w:rsid w:val="13B91A6F"/>
    <w:rsid w:val="13CEC18C"/>
    <w:rsid w:val="13D302C4"/>
    <w:rsid w:val="13E5C125"/>
    <w:rsid w:val="13EC695E"/>
    <w:rsid w:val="13FBFFD0"/>
    <w:rsid w:val="1401011D"/>
    <w:rsid w:val="1401BC92"/>
    <w:rsid w:val="1427E947"/>
    <w:rsid w:val="1431E496"/>
    <w:rsid w:val="14374302"/>
    <w:rsid w:val="14421003"/>
    <w:rsid w:val="1453AC0C"/>
    <w:rsid w:val="1464FD79"/>
    <w:rsid w:val="146B845D"/>
    <w:rsid w:val="146C42F8"/>
    <w:rsid w:val="146DB234"/>
    <w:rsid w:val="147B2BE7"/>
    <w:rsid w:val="148398AB"/>
    <w:rsid w:val="148422AA"/>
    <w:rsid w:val="1488EB6E"/>
    <w:rsid w:val="149B2E24"/>
    <w:rsid w:val="14A090CD"/>
    <w:rsid w:val="14A3A3EC"/>
    <w:rsid w:val="14A81BA8"/>
    <w:rsid w:val="14AAD64E"/>
    <w:rsid w:val="14B08F1D"/>
    <w:rsid w:val="14B5EE2C"/>
    <w:rsid w:val="14BE229F"/>
    <w:rsid w:val="14C495EE"/>
    <w:rsid w:val="14C7C863"/>
    <w:rsid w:val="14E68D0B"/>
    <w:rsid w:val="14ECFA3C"/>
    <w:rsid w:val="14F3678E"/>
    <w:rsid w:val="14F621D6"/>
    <w:rsid w:val="14FECB90"/>
    <w:rsid w:val="1502C378"/>
    <w:rsid w:val="15085E2F"/>
    <w:rsid w:val="150B82A1"/>
    <w:rsid w:val="15134B7A"/>
    <w:rsid w:val="1514F9AE"/>
    <w:rsid w:val="15164E1A"/>
    <w:rsid w:val="15167EC0"/>
    <w:rsid w:val="151BE3CE"/>
    <w:rsid w:val="15259800"/>
    <w:rsid w:val="1526AD8A"/>
    <w:rsid w:val="152F7B48"/>
    <w:rsid w:val="15352303"/>
    <w:rsid w:val="15377432"/>
    <w:rsid w:val="153D8D9B"/>
    <w:rsid w:val="15483137"/>
    <w:rsid w:val="154F1EB9"/>
    <w:rsid w:val="15511036"/>
    <w:rsid w:val="155BA2B0"/>
    <w:rsid w:val="1566506B"/>
    <w:rsid w:val="1570E831"/>
    <w:rsid w:val="1574BC50"/>
    <w:rsid w:val="157BBE39"/>
    <w:rsid w:val="157C24DC"/>
    <w:rsid w:val="158E6FB3"/>
    <w:rsid w:val="1593A216"/>
    <w:rsid w:val="159D8774"/>
    <w:rsid w:val="15B3EBEC"/>
    <w:rsid w:val="15B5196E"/>
    <w:rsid w:val="15B77B00"/>
    <w:rsid w:val="15BE5197"/>
    <w:rsid w:val="15C59A62"/>
    <w:rsid w:val="15C9E8B3"/>
    <w:rsid w:val="15CADAE1"/>
    <w:rsid w:val="15D25E28"/>
    <w:rsid w:val="15E2973F"/>
    <w:rsid w:val="15F26F10"/>
    <w:rsid w:val="16089FA5"/>
    <w:rsid w:val="160913E9"/>
    <w:rsid w:val="16236122"/>
    <w:rsid w:val="1626A4A9"/>
    <w:rsid w:val="16299376"/>
    <w:rsid w:val="162BD5F2"/>
    <w:rsid w:val="1642E2FC"/>
    <w:rsid w:val="1644D560"/>
    <w:rsid w:val="165F3B80"/>
    <w:rsid w:val="16616A02"/>
    <w:rsid w:val="1661B1FB"/>
    <w:rsid w:val="167105C6"/>
    <w:rsid w:val="1686562E"/>
    <w:rsid w:val="169B6B9D"/>
    <w:rsid w:val="169CD8F0"/>
    <w:rsid w:val="16B9B03D"/>
    <w:rsid w:val="16C5278C"/>
    <w:rsid w:val="16CAC19C"/>
    <w:rsid w:val="16EDCC51"/>
    <w:rsid w:val="16FB496E"/>
    <w:rsid w:val="1701D606"/>
    <w:rsid w:val="1716F36D"/>
    <w:rsid w:val="17301EDD"/>
    <w:rsid w:val="1741F928"/>
    <w:rsid w:val="17477DC7"/>
    <w:rsid w:val="174AA97A"/>
    <w:rsid w:val="17781948"/>
    <w:rsid w:val="178163C6"/>
    <w:rsid w:val="17897CBC"/>
    <w:rsid w:val="17A71E50"/>
    <w:rsid w:val="17AFBA8D"/>
    <w:rsid w:val="17CA361E"/>
    <w:rsid w:val="17CE8F2F"/>
    <w:rsid w:val="17D22271"/>
    <w:rsid w:val="17D92EC4"/>
    <w:rsid w:val="17DFDAF3"/>
    <w:rsid w:val="17E292F2"/>
    <w:rsid w:val="18029053"/>
    <w:rsid w:val="180E044F"/>
    <w:rsid w:val="180EB894"/>
    <w:rsid w:val="1811BE52"/>
    <w:rsid w:val="18129078"/>
    <w:rsid w:val="18160EBC"/>
    <w:rsid w:val="181AC460"/>
    <w:rsid w:val="1823514C"/>
    <w:rsid w:val="1828D580"/>
    <w:rsid w:val="182BBEB3"/>
    <w:rsid w:val="18376736"/>
    <w:rsid w:val="18405FB1"/>
    <w:rsid w:val="18420609"/>
    <w:rsid w:val="184748B7"/>
    <w:rsid w:val="1847B01B"/>
    <w:rsid w:val="1848FC4C"/>
    <w:rsid w:val="18490EB8"/>
    <w:rsid w:val="184A6887"/>
    <w:rsid w:val="184FCBAB"/>
    <w:rsid w:val="185895CE"/>
    <w:rsid w:val="185F0173"/>
    <w:rsid w:val="18624D32"/>
    <w:rsid w:val="187901E9"/>
    <w:rsid w:val="18882DF4"/>
    <w:rsid w:val="188B2730"/>
    <w:rsid w:val="18950ABF"/>
    <w:rsid w:val="18A4911D"/>
    <w:rsid w:val="18A52545"/>
    <w:rsid w:val="18BB34D0"/>
    <w:rsid w:val="18CEBD67"/>
    <w:rsid w:val="18DE4FF7"/>
    <w:rsid w:val="18E1562E"/>
    <w:rsid w:val="18ECCF6D"/>
    <w:rsid w:val="19114B1A"/>
    <w:rsid w:val="1912EED1"/>
    <w:rsid w:val="191A6E33"/>
    <w:rsid w:val="19276ABF"/>
    <w:rsid w:val="19295256"/>
    <w:rsid w:val="19522EEA"/>
    <w:rsid w:val="195DC9A0"/>
    <w:rsid w:val="196E2468"/>
    <w:rsid w:val="197A9681"/>
    <w:rsid w:val="198DB78D"/>
    <w:rsid w:val="199093A4"/>
    <w:rsid w:val="199184F6"/>
    <w:rsid w:val="19BA3069"/>
    <w:rsid w:val="19CA6156"/>
    <w:rsid w:val="19E2EB16"/>
    <w:rsid w:val="19E48AD2"/>
    <w:rsid w:val="19EB194F"/>
    <w:rsid w:val="19F08CD3"/>
    <w:rsid w:val="1A0A5866"/>
    <w:rsid w:val="1A19174A"/>
    <w:rsid w:val="1A1D8171"/>
    <w:rsid w:val="1A2E3FDC"/>
    <w:rsid w:val="1A2EAB6D"/>
    <w:rsid w:val="1A37B1C0"/>
    <w:rsid w:val="1A425993"/>
    <w:rsid w:val="1A4D975F"/>
    <w:rsid w:val="1A56D954"/>
    <w:rsid w:val="1A617827"/>
    <w:rsid w:val="1A83BBD0"/>
    <w:rsid w:val="1A93C5A8"/>
    <w:rsid w:val="1A94B467"/>
    <w:rsid w:val="1AA93605"/>
    <w:rsid w:val="1AAE7720"/>
    <w:rsid w:val="1AC0D612"/>
    <w:rsid w:val="1AC3CD13"/>
    <w:rsid w:val="1AD0768C"/>
    <w:rsid w:val="1AD58214"/>
    <w:rsid w:val="1AE49B55"/>
    <w:rsid w:val="1AEA5CEE"/>
    <w:rsid w:val="1AEDE2B0"/>
    <w:rsid w:val="1B006B1D"/>
    <w:rsid w:val="1B122E22"/>
    <w:rsid w:val="1B14CF76"/>
    <w:rsid w:val="1B350204"/>
    <w:rsid w:val="1B35366A"/>
    <w:rsid w:val="1B3B31FD"/>
    <w:rsid w:val="1B43EA24"/>
    <w:rsid w:val="1B4665B0"/>
    <w:rsid w:val="1B47BE5A"/>
    <w:rsid w:val="1B594645"/>
    <w:rsid w:val="1B5DB4FC"/>
    <w:rsid w:val="1B7591F6"/>
    <w:rsid w:val="1B7D940E"/>
    <w:rsid w:val="1B7ECD1F"/>
    <w:rsid w:val="1B85DA0A"/>
    <w:rsid w:val="1B89ED38"/>
    <w:rsid w:val="1B8AD9D3"/>
    <w:rsid w:val="1BA0FFAD"/>
    <w:rsid w:val="1BA498DE"/>
    <w:rsid w:val="1BA6F733"/>
    <w:rsid w:val="1BA9F9FF"/>
    <w:rsid w:val="1BBB544A"/>
    <w:rsid w:val="1BBF98AF"/>
    <w:rsid w:val="1BCB4B3B"/>
    <w:rsid w:val="1BCBE4E1"/>
    <w:rsid w:val="1BD5D42E"/>
    <w:rsid w:val="1C01B95A"/>
    <w:rsid w:val="1C051335"/>
    <w:rsid w:val="1C160CDB"/>
    <w:rsid w:val="1C22FE6E"/>
    <w:rsid w:val="1C335110"/>
    <w:rsid w:val="1C53D4CD"/>
    <w:rsid w:val="1C5A70B2"/>
    <w:rsid w:val="1C5E85C3"/>
    <w:rsid w:val="1C656B4F"/>
    <w:rsid w:val="1C77BCC0"/>
    <w:rsid w:val="1C81359E"/>
    <w:rsid w:val="1C8A691C"/>
    <w:rsid w:val="1C8BCD9C"/>
    <w:rsid w:val="1C8DB6E1"/>
    <w:rsid w:val="1C90317C"/>
    <w:rsid w:val="1C924724"/>
    <w:rsid w:val="1C9E878B"/>
    <w:rsid w:val="1C9FAB8C"/>
    <w:rsid w:val="1CCBCF0E"/>
    <w:rsid w:val="1CCD637B"/>
    <w:rsid w:val="1CD75DE6"/>
    <w:rsid w:val="1CE2C497"/>
    <w:rsid w:val="1CEA65DC"/>
    <w:rsid w:val="1CED1E7D"/>
    <w:rsid w:val="1CF6AB47"/>
    <w:rsid w:val="1D040EDF"/>
    <w:rsid w:val="1D04C0CC"/>
    <w:rsid w:val="1D185B6F"/>
    <w:rsid w:val="1D1DC1BE"/>
    <w:rsid w:val="1D2EC7F4"/>
    <w:rsid w:val="1D31145F"/>
    <w:rsid w:val="1D359E6A"/>
    <w:rsid w:val="1D416086"/>
    <w:rsid w:val="1D4197E1"/>
    <w:rsid w:val="1D41EC26"/>
    <w:rsid w:val="1D480BF4"/>
    <w:rsid w:val="1D49D89E"/>
    <w:rsid w:val="1D4B9894"/>
    <w:rsid w:val="1D4FA07A"/>
    <w:rsid w:val="1D5B3643"/>
    <w:rsid w:val="1D5E4762"/>
    <w:rsid w:val="1D62D468"/>
    <w:rsid w:val="1D75B877"/>
    <w:rsid w:val="1D7A6AAB"/>
    <w:rsid w:val="1D7C85DC"/>
    <w:rsid w:val="1D9A0327"/>
    <w:rsid w:val="1DAC411B"/>
    <w:rsid w:val="1DAF633E"/>
    <w:rsid w:val="1DB0ADFD"/>
    <w:rsid w:val="1DCEB49B"/>
    <w:rsid w:val="1DD8B139"/>
    <w:rsid w:val="1DE30019"/>
    <w:rsid w:val="1DE9F84B"/>
    <w:rsid w:val="1DF1C03B"/>
    <w:rsid w:val="1DF7BAF4"/>
    <w:rsid w:val="1E03E21E"/>
    <w:rsid w:val="1E0E1DEC"/>
    <w:rsid w:val="1E0F5F1B"/>
    <w:rsid w:val="1E18A81A"/>
    <w:rsid w:val="1E1C8056"/>
    <w:rsid w:val="1E37D172"/>
    <w:rsid w:val="1E3878C3"/>
    <w:rsid w:val="1E3A9405"/>
    <w:rsid w:val="1E405C3B"/>
    <w:rsid w:val="1E4202DF"/>
    <w:rsid w:val="1E4C16F3"/>
    <w:rsid w:val="1E50B856"/>
    <w:rsid w:val="1E55179D"/>
    <w:rsid w:val="1E57BF0B"/>
    <w:rsid w:val="1E61605A"/>
    <w:rsid w:val="1E61763E"/>
    <w:rsid w:val="1E64CD72"/>
    <w:rsid w:val="1E6D348B"/>
    <w:rsid w:val="1E758FE8"/>
    <w:rsid w:val="1E81C4D1"/>
    <w:rsid w:val="1E89286C"/>
    <w:rsid w:val="1E94D07E"/>
    <w:rsid w:val="1E9B1601"/>
    <w:rsid w:val="1EA07950"/>
    <w:rsid w:val="1EA25154"/>
    <w:rsid w:val="1EA59BD6"/>
    <w:rsid w:val="1EC5BA6F"/>
    <w:rsid w:val="1EDDBFF9"/>
    <w:rsid w:val="1EE4CAE7"/>
    <w:rsid w:val="1EE7AF48"/>
    <w:rsid w:val="1EEA4EEE"/>
    <w:rsid w:val="1EF80ED8"/>
    <w:rsid w:val="1EFEDF6D"/>
    <w:rsid w:val="1F088811"/>
    <w:rsid w:val="1F0C1B48"/>
    <w:rsid w:val="1F0D8A22"/>
    <w:rsid w:val="1F145334"/>
    <w:rsid w:val="1F3F55C1"/>
    <w:rsid w:val="1F3FD85B"/>
    <w:rsid w:val="1F416B15"/>
    <w:rsid w:val="1F4E0325"/>
    <w:rsid w:val="1F6E640D"/>
    <w:rsid w:val="1F7F01CA"/>
    <w:rsid w:val="1F9C68F9"/>
    <w:rsid w:val="1FA2165E"/>
    <w:rsid w:val="1FA6C8B3"/>
    <w:rsid w:val="1FBD7FE3"/>
    <w:rsid w:val="1FC1E9C3"/>
    <w:rsid w:val="1FE16091"/>
    <w:rsid w:val="1FE5C11C"/>
    <w:rsid w:val="1FE7A1F9"/>
    <w:rsid w:val="1FFAB4A2"/>
    <w:rsid w:val="201714BA"/>
    <w:rsid w:val="201FCF15"/>
    <w:rsid w:val="20265202"/>
    <w:rsid w:val="20272120"/>
    <w:rsid w:val="2027E837"/>
    <w:rsid w:val="2038AF3C"/>
    <w:rsid w:val="203AD4BC"/>
    <w:rsid w:val="20435C3D"/>
    <w:rsid w:val="2061B2B9"/>
    <w:rsid w:val="20726484"/>
    <w:rsid w:val="2079B728"/>
    <w:rsid w:val="207EB035"/>
    <w:rsid w:val="20882872"/>
    <w:rsid w:val="2088ED24"/>
    <w:rsid w:val="20B24423"/>
    <w:rsid w:val="20C3BDDB"/>
    <w:rsid w:val="20C867E6"/>
    <w:rsid w:val="20C90A1F"/>
    <w:rsid w:val="20D08C5B"/>
    <w:rsid w:val="20E4F849"/>
    <w:rsid w:val="20F18CC6"/>
    <w:rsid w:val="20F69E0B"/>
    <w:rsid w:val="21035A99"/>
    <w:rsid w:val="2108F7AE"/>
    <w:rsid w:val="21442FA3"/>
    <w:rsid w:val="215725B9"/>
    <w:rsid w:val="216EF240"/>
    <w:rsid w:val="218AECBF"/>
    <w:rsid w:val="219F3E17"/>
    <w:rsid w:val="219F9302"/>
    <w:rsid w:val="21BF9A7B"/>
    <w:rsid w:val="21C6E876"/>
    <w:rsid w:val="21C79FBF"/>
    <w:rsid w:val="21D19307"/>
    <w:rsid w:val="21D751E5"/>
    <w:rsid w:val="21E28024"/>
    <w:rsid w:val="21FFE4AF"/>
    <w:rsid w:val="22010052"/>
    <w:rsid w:val="22024B98"/>
    <w:rsid w:val="22089373"/>
    <w:rsid w:val="220C607F"/>
    <w:rsid w:val="221551C1"/>
    <w:rsid w:val="2231E474"/>
    <w:rsid w:val="2237CF9B"/>
    <w:rsid w:val="223C1AA6"/>
    <w:rsid w:val="223F0846"/>
    <w:rsid w:val="2247AF53"/>
    <w:rsid w:val="2256D146"/>
    <w:rsid w:val="225EC152"/>
    <w:rsid w:val="22627486"/>
    <w:rsid w:val="22720B9A"/>
    <w:rsid w:val="228A930E"/>
    <w:rsid w:val="228D6034"/>
    <w:rsid w:val="2291AD21"/>
    <w:rsid w:val="22AADEFD"/>
    <w:rsid w:val="22ABDA0C"/>
    <w:rsid w:val="22B0A4D7"/>
    <w:rsid w:val="22D01811"/>
    <w:rsid w:val="22D17A0F"/>
    <w:rsid w:val="22D2920E"/>
    <w:rsid w:val="22D6072F"/>
    <w:rsid w:val="22D8F57D"/>
    <w:rsid w:val="22FA26BA"/>
    <w:rsid w:val="22FD77C0"/>
    <w:rsid w:val="22FDE0C7"/>
    <w:rsid w:val="2301099D"/>
    <w:rsid w:val="2301B154"/>
    <w:rsid w:val="230635D1"/>
    <w:rsid w:val="230D014B"/>
    <w:rsid w:val="2318D936"/>
    <w:rsid w:val="231ED5DF"/>
    <w:rsid w:val="23274774"/>
    <w:rsid w:val="23544B51"/>
    <w:rsid w:val="235562B6"/>
    <w:rsid w:val="2360DAC8"/>
    <w:rsid w:val="236667B5"/>
    <w:rsid w:val="236D39D9"/>
    <w:rsid w:val="2378F51D"/>
    <w:rsid w:val="237CE5BA"/>
    <w:rsid w:val="237F9BE5"/>
    <w:rsid w:val="2387034F"/>
    <w:rsid w:val="2387AF40"/>
    <w:rsid w:val="23943DAD"/>
    <w:rsid w:val="239676A3"/>
    <w:rsid w:val="23A02C5C"/>
    <w:rsid w:val="23A2DF66"/>
    <w:rsid w:val="23A9C143"/>
    <w:rsid w:val="23BD7C63"/>
    <w:rsid w:val="23BDA0CC"/>
    <w:rsid w:val="23BE410F"/>
    <w:rsid w:val="23D7D160"/>
    <w:rsid w:val="23DA0437"/>
    <w:rsid w:val="23EB74E7"/>
    <w:rsid w:val="23FD898C"/>
    <w:rsid w:val="24090312"/>
    <w:rsid w:val="24098A97"/>
    <w:rsid w:val="241E9022"/>
    <w:rsid w:val="242300F7"/>
    <w:rsid w:val="2430CBD3"/>
    <w:rsid w:val="244AC4B0"/>
    <w:rsid w:val="244FBE97"/>
    <w:rsid w:val="245132BA"/>
    <w:rsid w:val="2453AE70"/>
    <w:rsid w:val="246087E2"/>
    <w:rsid w:val="246D5DEA"/>
    <w:rsid w:val="246FDB3B"/>
    <w:rsid w:val="2472229E"/>
    <w:rsid w:val="2478F513"/>
    <w:rsid w:val="24828254"/>
    <w:rsid w:val="2482F9EA"/>
    <w:rsid w:val="24895DE1"/>
    <w:rsid w:val="248F2471"/>
    <w:rsid w:val="24A01318"/>
    <w:rsid w:val="24B93EE7"/>
    <w:rsid w:val="24BA61C2"/>
    <w:rsid w:val="24C9664B"/>
    <w:rsid w:val="24CC2D07"/>
    <w:rsid w:val="24D917E3"/>
    <w:rsid w:val="24DAE076"/>
    <w:rsid w:val="24FA21A2"/>
    <w:rsid w:val="250835EB"/>
    <w:rsid w:val="250E0EDD"/>
    <w:rsid w:val="252131F6"/>
    <w:rsid w:val="25225126"/>
    <w:rsid w:val="25244254"/>
    <w:rsid w:val="2528DF04"/>
    <w:rsid w:val="252EB40A"/>
    <w:rsid w:val="252EC7E9"/>
    <w:rsid w:val="252F2729"/>
    <w:rsid w:val="253D5BAE"/>
    <w:rsid w:val="2558E78B"/>
    <w:rsid w:val="255A9D47"/>
    <w:rsid w:val="255B3527"/>
    <w:rsid w:val="2573EC73"/>
    <w:rsid w:val="2581CC62"/>
    <w:rsid w:val="258EE193"/>
    <w:rsid w:val="259C36A1"/>
    <w:rsid w:val="259D5DC3"/>
    <w:rsid w:val="25A73235"/>
    <w:rsid w:val="25C018A4"/>
    <w:rsid w:val="25C5922B"/>
    <w:rsid w:val="25D7525C"/>
    <w:rsid w:val="25DAB34C"/>
    <w:rsid w:val="25E0D06E"/>
    <w:rsid w:val="25E1902B"/>
    <w:rsid w:val="25E37F86"/>
    <w:rsid w:val="25FA1346"/>
    <w:rsid w:val="261025BE"/>
    <w:rsid w:val="2614A18F"/>
    <w:rsid w:val="261B32CF"/>
    <w:rsid w:val="26201AB9"/>
    <w:rsid w:val="26252A64"/>
    <w:rsid w:val="262B59DC"/>
    <w:rsid w:val="263E605C"/>
    <w:rsid w:val="2649C6C6"/>
    <w:rsid w:val="264AFA2C"/>
    <w:rsid w:val="265BA779"/>
    <w:rsid w:val="265C762D"/>
    <w:rsid w:val="266C3A2F"/>
    <w:rsid w:val="266EA264"/>
    <w:rsid w:val="267E8265"/>
    <w:rsid w:val="2691259A"/>
    <w:rsid w:val="269462B0"/>
    <w:rsid w:val="269A5E5C"/>
    <w:rsid w:val="269C8655"/>
    <w:rsid w:val="26A36A6C"/>
    <w:rsid w:val="26B6E972"/>
    <w:rsid w:val="26CB09A4"/>
    <w:rsid w:val="26D885F5"/>
    <w:rsid w:val="26D88F39"/>
    <w:rsid w:val="26E01D5E"/>
    <w:rsid w:val="26E0DA0C"/>
    <w:rsid w:val="26E9876B"/>
    <w:rsid w:val="26F60308"/>
    <w:rsid w:val="26FEDD56"/>
    <w:rsid w:val="27007D75"/>
    <w:rsid w:val="2711E8CD"/>
    <w:rsid w:val="272AE5B2"/>
    <w:rsid w:val="2740484C"/>
    <w:rsid w:val="2740A169"/>
    <w:rsid w:val="2752E21E"/>
    <w:rsid w:val="275D00BE"/>
    <w:rsid w:val="275E9AFA"/>
    <w:rsid w:val="276CB920"/>
    <w:rsid w:val="276F8D62"/>
    <w:rsid w:val="277D7FA8"/>
    <w:rsid w:val="2780190C"/>
    <w:rsid w:val="278637E7"/>
    <w:rsid w:val="279907BD"/>
    <w:rsid w:val="279F987C"/>
    <w:rsid w:val="27A3AAFF"/>
    <w:rsid w:val="27A4D5D0"/>
    <w:rsid w:val="27B060C9"/>
    <w:rsid w:val="27B8C002"/>
    <w:rsid w:val="28172366"/>
    <w:rsid w:val="281B3E5A"/>
    <w:rsid w:val="28247518"/>
    <w:rsid w:val="282E948E"/>
    <w:rsid w:val="283DB3B9"/>
    <w:rsid w:val="28433AE8"/>
    <w:rsid w:val="285181EA"/>
    <w:rsid w:val="285A6B6A"/>
    <w:rsid w:val="28625101"/>
    <w:rsid w:val="286354C4"/>
    <w:rsid w:val="287D5C98"/>
    <w:rsid w:val="287DE1B4"/>
    <w:rsid w:val="287E1600"/>
    <w:rsid w:val="287EE640"/>
    <w:rsid w:val="288B409A"/>
    <w:rsid w:val="288F891B"/>
    <w:rsid w:val="2890DE36"/>
    <w:rsid w:val="28937060"/>
    <w:rsid w:val="289CF737"/>
    <w:rsid w:val="28A643A7"/>
    <w:rsid w:val="28A9DCED"/>
    <w:rsid w:val="28B9A417"/>
    <w:rsid w:val="28C64A2C"/>
    <w:rsid w:val="28D7EDF3"/>
    <w:rsid w:val="28EB0A9C"/>
    <w:rsid w:val="28F3B5A1"/>
    <w:rsid w:val="28F92F9C"/>
    <w:rsid w:val="29008EB8"/>
    <w:rsid w:val="2906CE40"/>
    <w:rsid w:val="290B3166"/>
    <w:rsid w:val="290C5E5D"/>
    <w:rsid w:val="291BAAE8"/>
    <w:rsid w:val="29282C9D"/>
    <w:rsid w:val="2928CEDA"/>
    <w:rsid w:val="292EDD92"/>
    <w:rsid w:val="29414534"/>
    <w:rsid w:val="2950781B"/>
    <w:rsid w:val="2966DB8D"/>
    <w:rsid w:val="297079CC"/>
    <w:rsid w:val="297A9D5E"/>
    <w:rsid w:val="297CEF7A"/>
    <w:rsid w:val="298B6830"/>
    <w:rsid w:val="298EEA29"/>
    <w:rsid w:val="2993ECD4"/>
    <w:rsid w:val="2999636A"/>
    <w:rsid w:val="29D464C5"/>
    <w:rsid w:val="29D77C06"/>
    <w:rsid w:val="29D988B4"/>
    <w:rsid w:val="29F177A3"/>
    <w:rsid w:val="29F63EEE"/>
    <w:rsid w:val="2A03D7C5"/>
    <w:rsid w:val="2A08EAD8"/>
    <w:rsid w:val="2A0D0FE3"/>
    <w:rsid w:val="2A1A60C5"/>
    <w:rsid w:val="2A1D7C53"/>
    <w:rsid w:val="2A213286"/>
    <w:rsid w:val="2A2FC38F"/>
    <w:rsid w:val="2A3A102D"/>
    <w:rsid w:val="2A428E0F"/>
    <w:rsid w:val="2A42C51C"/>
    <w:rsid w:val="2A58935B"/>
    <w:rsid w:val="2A5BFE86"/>
    <w:rsid w:val="2A63B55B"/>
    <w:rsid w:val="2A6AA04F"/>
    <w:rsid w:val="2A6E3BA6"/>
    <w:rsid w:val="2A7AF286"/>
    <w:rsid w:val="2A7FE667"/>
    <w:rsid w:val="2A8530A8"/>
    <w:rsid w:val="2A890D4C"/>
    <w:rsid w:val="2A8C3A48"/>
    <w:rsid w:val="2A8C8137"/>
    <w:rsid w:val="2A90E05A"/>
    <w:rsid w:val="2A9AD4CE"/>
    <w:rsid w:val="2A9CE644"/>
    <w:rsid w:val="2AA637BD"/>
    <w:rsid w:val="2AACFBB2"/>
    <w:rsid w:val="2AB73AE6"/>
    <w:rsid w:val="2AC01007"/>
    <w:rsid w:val="2AC5E17D"/>
    <w:rsid w:val="2ACAD7CB"/>
    <w:rsid w:val="2AD44956"/>
    <w:rsid w:val="2AE7EC6C"/>
    <w:rsid w:val="2AEDA5B3"/>
    <w:rsid w:val="2AEE61F0"/>
    <w:rsid w:val="2AF30CF8"/>
    <w:rsid w:val="2B01830E"/>
    <w:rsid w:val="2B0CCE39"/>
    <w:rsid w:val="2B173535"/>
    <w:rsid w:val="2B216D00"/>
    <w:rsid w:val="2B37E7CE"/>
    <w:rsid w:val="2B520D11"/>
    <w:rsid w:val="2B5727EA"/>
    <w:rsid w:val="2B592195"/>
    <w:rsid w:val="2B5F810C"/>
    <w:rsid w:val="2B6EF836"/>
    <w:rsid w:val="2B75106A"/>
    <w:rsid w:val="2B7FF620"/>
    <w:rsid w:val="2B810CDC"/>
    <w:rsid w:val="2B92D60E"/>
    <w:rsid w:val="2B9B4C2D"/>
    <w:rsid w:val="2BA0CD88"/>
    <w:rsid w:val="2BB30A2C"/>
    <w:rsid w:val="2BC4256D"/>
    <w:rsid w:val="2BD8D274"/>
    <w:rsid w:val="2BE316F6"/>
    <w:rsid w:val="2BE3CA11"/>
    <w:rsid w:val="2BF24843"/>
    <w:rsid w:val="2C06A1EC"/>
    <w:rsid w:val="2C2213FC"/>
    <w:rsid w:val="2C26D0E1"/>
    <w:rsid w:val="2C36C7ED"/>
    <w:rsid w:val="2C36F781"/>
    <w:rsid w:val="2C3C9B08"/>
    <w:rsid w:val="2C494A50"/>
    <w:rsid w:val="2C57D4BB"/>
    <w:rsid w:val="2C57EE1F"/>
    <w:rsid w:val="2C581B25"/>
    <w:rsid w:val="2C5C063A"/>
    <w:rsid w:val="2C5ED946"/>
    <w:rsid w:val="2C71C935"/>
    <w:rsid w:val="2C7E3052"/>
    <w:rsid w:val="2C8B2CF9"/>
    <w:rsid w:val="2C95CD37"/>
    <w:rsid w:val="2C960FC6"/>
    <w:rsid w:val="2CA92702"/>
    <w:rsid w:val="2CC6AD21"/>
    <w:rsid w:val="2CD64220"/>
    <w:rsid w:val="2CDDBA94"/>
    <w:rsid w:val="2CFB77A5"/>
    <w:rsid w:val="2D103763"/>
    <w:rsid w:val="2D1541C0"/>
    <w:rsid w:val="2D17A06D"/>
    <w:rsid w:val="2D1AB5BD"/>
    <w:rsid w:val="2D23DDEA"/>
    <w:rsid w:val="2D44A362"/>
    <w:rsid w:val="2D476F8E"/>
    <w:rsid w:val="2D50D8EA"/>
    <w:rsid w:val="2D5C91FD"/>
    <w:rsid w:val="2D6B7989"/>
    <w:rsid w:val="2D78CD92"/>
    <w:rsid w:val="2D873770"/>
    <w:rsid w:val="2D88DA2E"/>
    <w:rsid w:val="2D9C6417"/>
    <w:rsid w:val="2DA3F10B"/>
    <w:rsid w:val="2DB6BCC5"/>
    <w:rsid w:val="2DBF8925"/>
    <w:rsid w:val="2DC1E76C"/>
    <w:rsid w:val="2DC58EF9"/>
    <w:rsid w:val="2DC91BFB"/>
    <w:rsid w:val="2DCADAA7"/>
    <w:rsid w:val="2DCC7AD6"/>
    <w:rsid w:val="2DD9AA67"/>
    <w:rsid w:val="2E043FB1"/>
    <w:rsid w:val="2E14B794"/>
    <w:rsid w:val="2E18D79E"/>
    <w:rsid w:val="2E19FE7D"/>
    <w:rsid w:val="2E1B133D"/>
    <w:rsid w:val="2E3B2F09"/>
    <w:rsid w:val="2E42367C"/>
    <w:rsid w:val="2E4577FA"/>
    <w:rsid w:val="2E55667F"/>
    <w:rsid w:val="2E5B9E0D"/>
    <w:rsid w:val="2E6E1A8C"/>
    <w:rsid w:val="2EAAF327"/>
    <w:rsid w:val="2EAC1E47"/>
    <w:rsid w:val="2EB237BB"/>
    <w:rsid w:val="2EB498A5"/>
    <w:rsid w:val="2EB66586"/>
    <w:rsid w:val="2ED46168"/>
    <w:rsid w:val="2EE1896B"/>
    <w:rsid w:val="2EEE8FDB"/>
    <w:rsid w:val="2EEEFDF3"/>
    <w:rsid w:val="2EF69169"/>
    <w:rsid w:val="2EF83928"/>
    <w:rsid w:val="2F134520"/>
    <w:rsid w:val="2F1678AA"/>
    <w:rsid w:val="2F29E2D8"/>
    <w:rsid w:val="2F2F1729"/>
    <w:rsid w:val="2F423815"/>
    <w:rsid w:val="2F562D21"/>
    <w:rsid w:val="2F6084DC"/>
    <w:rsid w:val="2F824542"/>
    <w:rsid w:val="2F84B9CE"/>
    <w:rsid w:val="2F851837"/>
    <w:rsid w:val="2F8CF25E"/>
    <w:rsid w:val="2F8CFFB3"/>
    <w:rsid w:val="2FA1111D"/>
    <w:rsid w:val="2FA141CA"/>
    <w:rsid w:val="2FA77394"/>
    <w:rsid w:val="2FAB1C80"/>
    <w:rsid w:val="2FABEAE7"/>
    <w:rsid w:val="2FAEAC2C"/>
    <w:rsid w:val="2FB33643"/>
    <w:rsid w:val="2FB90C56"/>
    <w:rsid w:val="2FBCF983"/>
    <w:rsid w:val="2FCA0E9E"/>
    <w:rsid w:val="2FD9EB75"/>
    <w:rsid w:val="2FDE20F7"/>
    <w:rsid w:val="2FE03F87"/>
    <w:rsid w:val="2FE9B348"/>
    <w:rsid w:val="2FF562BD"/>
    <w:rsid w:val="300DEF50"/>
    <w:rsid w:val="300E9873"/>
    <w:rsid w:val="30224A8A"/>
    <w:rsid w:val="30381875"/>
    <w:rsid w:val="303E093C"/>
    <w:rsid w:val="305FCEBD"/>
    <w:rsid w:val="30618A3C"/>
    <w:rsid w:val="30688760"/>
    <w:rsid w:val="306F1534"/>
    <w:rsid w:val="30704650"/>
    <w:rsid w:val="30944015"/>
    <w:rsid w:val="30A3A07F"/>
    <w:rsid w:val="30A3EA46"/>
    <w:rsid w:val="30A51A06"/>
    <w:rsid w:val="30A61CEC"/>
    <w:rsid w:val="30A6C784"/>
    <w:rsid w:val="30A9159D"/>
    <w:rsid w:val="30B4A989"/>
    <w:rsid w:val="30BBE2B6"/>
    <w:rsid w:val="30BFD1A6"/>
    <w:rsid w:val="30C1B917"/>
    <w:rsid w:val="30C228CC"/>
    <w:rsid w:val="30E5F883"/>
    <w:rsid w:val="30E8714F"/>
    <w:rsid w:val="30EDE833"/>
    <w:rsid w:val="30F039B7"/>
    <w:rsid w:val="30F1F60C"/>
    <w:rsid w:val="3103EC99"/>
    <w:rsid w:val="3116167A"/>
    <w:rsid w:val="31216DAD"/>
    <w:rsid w:val="31225F0C"/>
    <w:rsid w:val="3128B08B"/>
    <w:rsid w:val="312A189C"/>
    <w:rsid w:val="312F9C10"/>
    <w:rsid w:val="31380C80"/>
    <w:rsid w:val="313921F8"/>
    <w:rsid w:val="31601A90"/>
    <w:rsid w:val="31614D70"/>
    <w:rsid w:val="316A575D"/>
    <w:rsid w:val="317B4E84"/>
    <w:rsid w:val="3185F5AF"/>
    <w:rsid w:val="31868AD1"/>
    <w:rsid w:val="318E8C8F"/>
    <w:rsid w:val="319CC8B6"/>
    <w:rsid w:val="31B9B02B"/>
    <w:rsid w:val="31BF6921"/>
    <w:rsid w:val="31C3537A"/>
    <w:rsid w:val="31D80014"/>
    <w:rsid w:val="31DA9527"/>
    <w:rsid w:val="31E1C609"/>
    <w:rsid w:val="31F21ABF"/>
    <w:rsid w:val="3200C989"/>
    <w:rsid w:val="321143F7"/>
    <w:rsid w:val="32417241"/>
    <w:rsid w:val="32420902"/>
    <w:rsid w:val="3256E034"/>
    <w:rsid w:val="325B34CE"/>
    <w:rsid w:val="325FA837"/>
    <w:rsid w:val="3260AB77"/>
    <w:rsid w:val="3261AF62"/>
    <w:rsid w:val="32749011"/>
    <w:rsid w:val="3275AF52"/>
    <w:rsid w:val="3276ADBE"/>
    <w:rsid w:val="327B48A3"/>
    <w:rsid w:val="32878177"/>
    <w:rsid w:val="328CDCA8"/>
    <w:rsid w:val="3292DB94"/>
    <w:rsid w:val="329B8556"/>
    <w:rsid w:val="32A22357"/>
    <w:rsid w:val="32BD83F1"/>
    <w:rsid w:val="32BE71E2"/>
    <w:rsid w:val="32BFD92D"/>
    <w:rsid w:val="32D67C21"/>
    <w:rsid w:val="32E411AF"/>
    <w:rsid w:val="32EABF6C"/>
    <w:rsid w:val="32EE79A8"/>
    <w:rsid w:val="32F9552F"/>
    <w:rsid w:val="32FABBCE"/>
    <w:rsid w:val="32FB1816"/>
    <w:rsid w:val="32FE0646"/>
    <w:rsid w:val="33006799"/>
    <w:rsid w:val="330CDB8F"/>
    <w:rsid w:val="33104084"/>
    <w:rsid w:val="331674F9"/>
    <w:rsid w:val="33274306"/>
    <w:rsid w:val="333F2B92"/>
    <w:rsid w:val="333F870E"/>
    <w:rsid w:val="3351ECD1"/>
    <w:rsid w:val="335D5902"/>
    <w:rsid w:val="335D6E7F"/>
    <w:rsid w:val="335F4262"/>
    <w:rsid w:val="3365196A"/>
    <w:rsid w:val="337B8484"/>
    <w:rsid w:val="338890FF"/>
    <w:rsid w:val="338AA0E3"/>
    <w:rsid w:val="3394FDCB"/>
    <w:rsid w:val="33A4325F"/>
    <w:rsid w:val="33A62964"/>
    <w:rsid w:val="33A6DA82"/>
    <w:rsid w:val="33E61034"/>
    <w:rsid w:val="34011CCD"/>
    <w:rsid w:val="34269D6F"/>
    <w:rsid w:val="34447BDC"/>
    <w:rsid w:val="3449DD5F"/>
    <w:rsid w:val="344A4708"/>
    <w:rsid w:val="344E85DF"/>
    <w:rsid w:val="3459F60B"/>
    <w:rsid w:val="345C1D06"/>
    <w:rsid w:val="346DDD26"/>
    <w:rsid w:val="347FFB59"/>
    <w:rsid w:val="348B344C"/>
    <w:rsid w:val="34AB6A34"/>
    <w:rsid w:val="34B136A1"/>
    <w:rsid w:val="34B98DA4"/>
    <w:rsid w:val="34BAF703"/>
    <w:rsid w:val="34C2AF05"/>
    <w:rsid w:val="34E17CA5"/>
    <w:rsid w:val="34EEB033"/>
    <w:rsid w:val="34F04B7F"/>
    <w:rsid w:val="34F8EEFD"/>
    <w:rsid w:val="35092C28"/>
    <w:rsid w:val="3539EC23"/>
    <w:rsid w:val="353DA95C"/>
    <w:rsid w:val="353DD8A9"/>
    <w:rsid w:val="3548BAB0"/>
    <w:rsid w:val="355CD7C5"/>
    <w:rsid w:val="3561A30B"/>
    <w:rsid w:val="356DAB61"/>
    <w:rsid w:val="356FE2F9"/>
    <w:rsid w:val="35745965"/>
    <w:rsid w:val="357B0C89"/>
    <w:rsid w:val="357BD52A"/>
    <w:rsid w:val="357C142C"/>
    <w:rsid w:val="357D4B1E"/>
    <w:rsid w:val="357F23AB"/>
    <w:rsid w:val="3586CD32"/>
    <w:rsid w:val="3587DD54"/>
    <w:rsid w:val="358D9109"/>
    <w:rsid w:val="359117C1"/>
    <w:rsid w:val="3592E6E3"/>
    <w:rsid w:val="359B1818"/>
    <w:rsid w:val="35A7BC34"/>
    <w:rsid w:val="35B51A36"/>
    <w:rsid w:val="35B67265"/>
    <w:rsid w:val="35B9D4E2"/>
    <w:rsid w:val="35BB81DE"/>
    <w:rsid w:val="35BC0DE7"/>
    <w:rsid w:val="35BE226C"/>
    <w:rsid w:val="35D0030E"/>
    <w:rsid w:val="35D4D6C3"/>
    <w:rsid w:val="35EA315C"/>
    <w:rsid w:val="35EF10FF"/>
    <w:rsid w:val="35F1D88C"/>
    <w:rsid w:val="35F20961"/>
    <w:rsid w:val="35F4F3AD"/>
    <w:rsid w:val="35FFEF0E"/>
    <w:rsid w:val="36049B9D"/>
    <w:rsid w:val="360E44FC"/>
    <w:rsid w:val="360F3AA2"/>
    <w:rsid w:val="3615FC29"/>
    <w:rsid w:val="361EA918"/>
    <w:rsid w:val="36200E9F"/>
    <w:rsid w:val="363AB444"/>
    <w:rsid w:val="363EC04F"/>
    <w:rsid w:val="3669B33F"/>
    <w:rsid w:val="366D944B"/>
    <w:rsid w:val="366EABC7"/>
    <w:rsid w:val="36734382"/>
    <w:rsid w:val="36A5189F"/>
    <w:rsid w:val="36A78209"/>
    <w:rsid w:val="36BAF9DB"/>
    <w:rsid w:val="36C48B62"/>
    <w:rsid w:val="36CE7270"/>
    <w:rsid w:val="36D77B9B"/>
    <w:rsid w:val="36D85E5B"/>
    <w:rsid w:val="36E1BA19"/>
    <w:rsid w:val="36EA17B7"/>
    <w:rsid w:val="36ED4A69"/>
    <w:rsid w:val="36F65C5E"/>
    <w:rsid w:val="370AB54F"/>
    <w:rsid w:val="372D6726"/>
    <w:rsid w:val="373624B3"/>
    <w:rsid w:val="373A56F2"/>
    <w:rsid w:val="374A52F5"/>
    <w:rsid w:val="37561932"/>
    <w:rsid w:val="37588131"/>
    <w:rsid w:val="3759269E"/>
    <w:rsid w:val="3765C340"/>
    <w:rsid w:val="376EAB45"/>
    <w:rsid w:val="377B4618"/>
    <w:rsid w:val="377F43A2"/>
    <w:rsid w:val="3780C764"/>
    <w:rsid w:val="379482E3"/>
    <w:rsid w:val="37BB61EB"/>
    <w:rsid w:val="37D26743"/>
    <w:rsid w:val="37DBFE93"/>
    <w:rsid w:val="37DD3B34"/>
    <w:rsid w:val="37E3240A"/>
    <w:rsid w:val="37F75A77"/>
    <w:rsid w:val="37FBC304"/>
    <w:rsid w:val="3800E6C3"/>
    <w:rsid w:val="380435AA"/>
    <w:rsid w:val="3810D43D"/>
    <w:rsid w:val="381ABF95"/>
    <w:rsid w:val="382D4F70"/>
    <w:rsid w:val="38366C34"/>
    <w:rsid w:val="38472A5F"/>
    <w:rsid w:val="384A736B"/>
    <w:rsid w:val="384C4EEF"/>
    <w:rsid w:val="384FBCEE"/>
    <w:rsid w:val="385831CF"/>
    <w:rsid w:val="385C2F70"/>
    <w:rsid w:val="38677911"/>
    <w:rsid w:val="38681B08"/>
    <w:rsid w:val="386C6DC4"/>
    <w:rsid w:val="386DE9FD"/>
    <w:rsid w:val="38873803"/>
    <w:rsid w:val="388B361C"/>
    <w:rsid w:val="38A0E451"/>
    <w:rsid w:val="38A1160E"/>
    <w:rsid w:val="38A5F626"/>
    <w:rsid w:val="38B09360"/>
    <w:rsid w:val="38BA65ED"/>
    <w:rsid w:val="38BAB399"/>
    <w:rsid w:val="38BC6139"/>
    <w:rsid w:val="38C3B60D"/>
    <w:rsid w:val="38C8EC69"/>
    <w:rsid w:val="38C9790B"/>
    <w:rsid w:val="38CB33C4"/>
    <w:rsid w:val="38CDE2B6"/>
    <w:rsid w:val="38D86E3D"/>
    <w:rsid w:val="38F81F91"/>
    <w:rsid w:val="38FAF1C1"/>
    <w:rsid w:val="3906909F"/>
    <w:rsid w:val="39385B8C"/>
    <w:rsid w:val="3939D336"/>
    <w:rsid w:val="394F6363"/>
    <w:rsid w:val="39505657"/>
    <w:rsid w:val="3962FBF9"/>
    <w:rsid w:val="39683A10"/>
    <w:rsid w:val="396BF960"/>
    <w:rsid w:val="3970F190"/>
    <w:rsid w:val="397C8BA6"/>
    <w:rsid w:val="3988ABBA"/>
    <w:rsid w:val="399ACD15"/>
    <w:rsid w:val="39AE53DC"/>
    <w:rsid w:val="39B78D5D"/>
    <w:rsid w:val="39C37845"/>
    <w:rsid w:val="39C70FBB"/>
    <w:rsid w:val="39CB7A5F"/>
    <w:rsid w:val="39D4BCDA"/>
    <w:rsid w:val="39D74E82"/>
    <w:rsid w:val="3A024229"/>
    <w:rsid w:val="3A0CD707"/>
    <w:rsid w:val="3A0CE625"/>
    <w:rsid w:val="3A2D61F0"/>
    <w:rsid w:val="3A32F486"/>
    <w:rsid w:val="3A3F60C6"/>
    <w:rsid w:val="3A4B179B"/>
    <w:rsid w:val="3A5328CE"/>
    <w:rsid w:val="3A5849D4"/>
    <w:rsid w:val="3A5BB2D7"/>
    <w:rsid w:val="3A5FCC80"/>
    <w:rsid w:val="3A63CDBE"/>
    <w:rsid w:val="3A678FD7"/>
    <w:rsid w:val="3A7280ED"/>
    <w:rsid w:val="3A746D9D"/>
    <w:rsid w:val="3A75127D"/>
    <w:rsid w:val="3A7D3504"/>
    <w:rsid w:val="3A7D3FC2"/>
    <w:rsid w:val="3A9A45A1"/>
    <w:rsid w:val="3A9CCA73"/>
    <w:rsid w:val="3ABE895B"/>
    <w:rsid w:val="3AD2C03D"/>
    <w:rsid w:val="3AED6889"/>
    <w:rsid w:val="3AF2E1BC"/>
    <w:rsid w:val="3AF43F43"/>
    <w:rsid w:val="3AF546E4"/>
    <w:rsid w:val="3AFECD2D"/>
    <w:rsid w:val="3B08D29D"/>
    <w:rsid w:val="3B0E24F4"/>
    <w:rsid w:val="3B0F422C"/>
    <w:rsid w:val="3B1BD649"/>
    <w:rsid w:val="3B291F53"/>
    <w:rsid w:val="3B3F9F01"/>
    <w:rsid w:val="3B441D28"/>
    <w:rsid w:val="3B495BAA"/>
    <w:rsid w:val="3B4C60A4"/>
    <w:rsid w:val="3B4EDD6F"/>
    <w:rsid w:val="3B558BCD"/>
    <w:rsid w:val="3B67E890"/>
    <w:rsid w:val="3B6EA32C"/>
    <w:rsid w:val="3B71C08B"/>
    <w:rsid w:val="3B7A195B"/>
    <w:rsid w:val="3B82DDE2"/>
    <w:rsid w:val="3B84A483"/>
    <w:rsid w:val="3B888021"/>
    <w:rsid w:val="3B88BF3E"/>
    <w:rsid w:val="3B99A1EB"/>
    <w:rsid w:val="3B9CA057"/>
    <w:rsid w:val="3BBB2039"/>
    <w:rsid w:val="3BBC4126"/>
    <w:rsid w:val="3BBEF3E5"/>
    <w:rsid w:val="3BC0E89D"/>
    <w:rsid w:val="3BCF31C9"/>
    <w:rsid w:val="3BDAA6A0"/>
    <w:rsid w:val="3BE2673A"/>
    <w:rsid w:val="3BEDA480"/>
    <w:rsid w:val="3BEECB0B"/>
    <w:rsid w:val="3BF16ED5"/>
    <w:rsid w:val="3BF54E64"/>
    <w:rsid w:val="3BF5CFCB"/>
    <w:rsid w:val="3C01E670"/>
    <w:rsid w:val="3C047862"/>
    <w:rsid w:val="3C05F292"/>
    <w:rsid w:val="3C067515"/>
    <w:rsid w:val="3C0F018A"/>
    <w:rsid w:val="3C22FCEF"/>
    <w:rsid w:val="3C276C07"/>
    <w:rsid w:val="3C3D5734"/>
    <w:rsid w:val="3C40195C"/>
    <w:rsid w:val="3C4AA5B9"/>
    <w:rsid w:val="3C5740C8"/>
    <w:rsid w:val="3C594574"/>
    <w:rsid w:val="3C5DDD24"/>
    <w:rsid w:val="3C5DDDCD"/>
    <w:rsid w:val="3C5FF2A7"/>
    <w:rsid w:val="3C60B38E"/>
    <w:rsid w:val="3C7D6F75"/>
    <w:rsid w:val="3C82092F"/>
    <w:rsid w:val="3C859EB6"/>
    <w:rsid w:val="3C8E6CDA"/>
    <w:rsid w:val="3CDC5D35"/>
    <w:rsid w:val="3CE6D603"/>
    <w:rsid w:val="3CEE386C"/>
    <w:rsid w:val="3CEFA920"/>
    <w:rsid w:val="3D006CD4"/>
    <w:rsid w:val="3D10AE0C"/>
    <w:rsid w:val="3D1F45EB"/>
    <w:rsid w:val="3D1FE8D6"/>
    <w:rsid w:val="3D3124BD"/>
    <w:rsid w:val="3D388654"/>
    <w:rsid w:val="3D399932"/>
    <w:rsid w:val="3D3C50C8"/>
    <w:rsid w:val="3D540112"/>
    <w:rsid w:val="3D6308AB"/>
    <w:rsid w:val="3D69E3E1"/>
    <w:rsid w:val="3D6CCCEC"/>
    <w:rsid w:val="3D6E42A4"/>
    <w:rsid w:val="3D779DC4"/>
    <w:rsid w:val="3D7F2089"/>
    <w:rsid w:val="3D87492F"/>
    <w:rsid w:val="3D8BB49A"/>
    <w:rsid w:val="3D8CD07B"/>
    <w:rsid w:val="3D976DA0"/>
    <w:rsid w:val="3DB0541C"/>
    <w:rsid w:val="3DB22DE2"/>
    <w:rsid w:val="3DBC1276"/>
    <w:rsid w:val="3DBDB9B5"/>
    <w:rsid w:val="3DC039C2"/>
    <w:rsid w:val="3DCAF521"/>
    <w:rsid w:val="3DCB3322"/>
    <w:rsid w:val="3DCE37A2"/>
    <w:rsid w:val="3DD2F00A"/>
    <w:rsid w:val="3DD7545F"/>
    <w:rsid w:val="3DE18574"/>
    <w:rsid w:val="3DF4C5FD"/>
    <w:rsid w:val="3DFEBBDF"/>
    <w:rsid w:val="3E164F35"/>
    <w:rsid w:val="3E21049E"/>
    <w:rsid w:val="3E26B069"/>
    <w:rsid w:val="3E288F8C"/>
    <w:rsid w:val="3E2B8E03"/>
    <w:rsid w:val="3E49A201"/>
    <w:rsid w:val="3E4BAB23"/>
    <w:rsid w:val="3E65193F"/>
    <w:rsid w:val="3E684474"/>
    <w:rsid w:val="3E710BBE"/>
    <w:rsid w:val="3E7A5F3F"/>
    <w:rsid w:val="3E84F9D1"/>
    <w:rsid w:val="3E878EA4"/>
    <w:rsid w:val="3E888085"/>
    <w:rsid w:val="3E88F9D2"/>
    <w:rsid w:val="3E9843A0"/>
    <w:rsid w:val="3EAFEDF8"/>
    <w:rsid w:val="3EB5DB6F"/>
    <w:rsid w:val="3EBC5697"/>
    <w:rsid w:val="3EC2B31D"/>
    <w:rsid w:val="3EC42B6B"/>
    <w:rsid w:val="3EC6450B"/>
    <w:rsid w:val="3EE0D009"/>
    <w:rsid w:val="3EEBEBCF"/>
    <w:rsid w:val="3EF48DA8"/>
    <w:rsid w:val="3EF79076"/>
    <w:rsid w:val="3F005DB1"/>
    <w:rsid w:val="3F0960FE"/>
    <w:rsid w:val="3F11E238"/>
    <w:rsid w:val="3F131D90"/>
    <w:rsid w:val="3F1EC4C3"/>
    <w:rsid w:val="3F1F930D"/>
    <w:rsid w:val="3F1FA862"/>
    <w:rsid w:val="3F218F24"/>
    <w:rsid w:val="3F24B132"/>
    <w:rsid w:val="3F315341"/>
    <w:rsid w:val="3F3814B0"/>
    <w:rsid w:val="3F3AF961"/>
    <w:rsid w:val="3F4937A6"/>
    <w:rsid w:val="3F51BE7F"/>
    <w:rsid w:val="3F5DA223"/>
    <w:rsid w:val="3F6794A7"/>
    <w:rsid w:val="3F6EAA32"/>
    <w:rsid w:val="3F6FF500"/>
    <w:rsid w:val="3F9C21CA"/>
    <w:rsid w:val="3FA38DAD"/>
    <w:rsid w:val="3FA44603"/>
    <w:rsid w:val="3FAC185C"/>
    <w:rsid w:val="3FB21778"/>
    <w:rsid w:val="3FC3BBBA"/>
    <w:rsid w:val="3FCC8985"/>
    <w:rsid w:val="3FCF7BD7"/>
    <w:rsid w:val="3FD550FE"/>
    <w:rsid w:val="3FD9E1E0"/>
    <w:rsid w:val="3FDC4F22"/>
    <w:rsid w:val="3FE6B5E1"/>
    <w:rsid w:val="4017C50B"/>
    <w:rsid w:val="402CD021"/>
    <w:rsid w:val="402F6C2A"/>
    <w:rsid w:val="403362B0"/>
    <w:rsid w:val="404B5A7E"/>
    <w:rsid w:val="404E3B00"/>
    <w:rsid w:val="40587131"/>
    <w:rsid w:val="4065091C"/>
    <w:rsid w:val="4066B452"/>
    <w:rsid w:val="40883C8C"/>
    <w:rsid w:val="408A5191"/>
    <w:rsid w:val="409174BF"/>
    <w:rsid w:val="40A64C9F"/>
    <w:rsid w:val="40B9C49A"/>
    <w:rsid w:val="40B9EB7B"/>
    <w:rsid w:val="40C58531"/>
    <w:rsid w:val="40C8B4F9"/>
    <w:rsid w:val="40C94FD2"/>
    <w:rsid w:val="40CD1B88"/>
    <w:rsid w:val="40D7733D"/>
    <w:rsid w:val="40DB9813"/>
    <w:rsid w:val="40DD683D"/>
    <w:rsid w:val="40ED4321"/>
    <w:rsid w:val="40FDE607"/>
    <w:rsid w:val="41020F43"/>
    <w:rsid w:val="4103C775"/>
    <w:rsid w:val="412BA06C"/>
    <w:rsid w:val="4143EB6F"/>
    <w:rsid w:val="4144B87B"/>
    <w:rsid w:val="414D9ADE"/>
    <w:rsid w:val="41575F5A"/>
    <w:rsid w:val="415F01EA"/>
    <w:rsid w:val="415F5748"/>
    <w:rsid w:val="41616765"/>
    <w:rsid w:val="41661A81"/>
    <w:rsid w:val="418B46BE"/>
    <w:rsid w:val="418CC698"/>
    <w:rsid w:val="418D5732"/>
    <w:rsid w:val="419A0784"/>
    <w:rsid w:val="41B4EDFF"/>
    <w:rsid w:val="41B5AB3C"/>
    <w:rsid w:val="41C04699"/>
    <w:rsid w:val="41C2E346"/>
    <w:rsid w:val="41C48423"/>
    <w:rsid w:val="41E16BAB"/>
    <w:rsid w:val="41EE0346"/>
    <w:rsid w:val="41F6CAED"/>
    <w:rsid w:val="42058D58"/>
    <w:rsid w:val="420DA3DE"/>
    <w:rsid w:val="4219D073"/>
    <w:rsid w:val="421A93E4"/>
    <w:rsid w:val="4224B042"/>
    <w:rsid w:val="423A4A2D"/>
    <w:rsid w:val="423C9BA9"/>
    <w:rsid w:val="424A002D"/>
    <w:rsid w:val="424BB7D4"/>
    <w:rsid w:val="424D2854"/>
    <w:rsid w:val="424D5F0F"/>
    <w:rsid w:val="424EFDA9"/>
    <w:rsid w:val="425B6B70"/>
    <w:rsid w:val="4261A4AE"/>
    <w:rsid w:val="426266D3"/>
    <w:rsid w:val="4289E876"/>
    <w:rsid w:val="428B5CCA"/>
    <w:rsid w:val="428BB8ED"/>
    <w:rsid w:val="42AB5EAF"/>
    <w:rsid w:val="42BA0DC7"/>
    <w:rsid w:val="42D31A47"/>
    <w:rsid w:val="42D76ECC"/>
    <w:rsid w:val="42FA2489"/>
    <w:rsid w:val="42FECF00"/>
    <w:rsid w:val="42FF09CC"/>
    <w:rsid w:val="43004E6A"/>
    <w:rsid w:val="430F188D"/>
    <w:rsid w:val="432A8707"/>
    <w:rsid w:val="432C233D"/>
    <w:rsid w:val="432F1A7F"/>
    <w:rsid w:val="4331DF4F"/>
    <w:rsid w:val="433608D0"/>
    <w:rsid w:val="43372AA9"/>
    <w:rsid w:val="43383241"/>
    <w:rsid w:val="434C5BE9"/>
    <w:rsid w:val="434C63A9"/>
    <w:rsid w:val="4362BA3D"/>
    <w:rsid w:val="436491CC"/>
    <w:rsid w:val="436E0D88"/>
    <w:rsid w:val="437218D7"/>
    <w:rsid w:val="437F1840"/>
    <w:rsid w:val="43873E90"/>
    <w:rsid w:val="438FDB75"/>
    <w:rsid w:val="4390EBB4"/>
    <w:rsid w:val="43929491"/>
    <w:rsid w:val="439CBB05"/>
    <w:rsid w:val="43B863C7"/>
    <w:rsid w:val="43C6C280"/>
    <w:rsid w:val="43C804F5"/>
    <w:rsid w:val="43CC1C63"/>
    <w:rsid w:val="43E1E0C4"/>
    <w:rsid w:val="43E1FDAD"/>
    <w:rsid w:val="43EA184B"/>
    <w:rsid w:val="43EAFE58"/>
    <w:rsid w:val="43F68718"/>
    <w:rsid w:val="440F2544"/>
    <w:rsid w:val="44163B58"/>
    <w:rsid w:val="441B45AB"/>
    <w:rsid w:val="4433C3F9"/>
    <w:rsid w:val="4440368D"/>
    <w:rsid w:val="44512431"/>
    <w:rsid w:val="44561E47"/>
    <w:rsid w:val="44971CC1"/>
    <w:rsid w:val="449942B0"/>
    <w:rsid w:val="4499FCD6"/>
    <w:rsid w:val="449B87C7"/>
    <w:rsid w:val="44A198A5"/>
    <w:rsid w:val="44ACE51B"/>
    <w:rsid w:val="44B00C13"/>
    <w:rsid w:val="44B84AAD"/>
    <w:rsid w:val="44CB229A"/>
    <w:rsid w:val="44D1746E"/>
    <w:rsid w:val="44D33555"/>
    <w:rsid w:val="44E47673"/>
    <w:rsid w:val="44E86EC1"/>
    <w:rsid w:val="44E93DC6"/>
    <w:rsid w:val="44F75D70"/>
    <w:rsid w:val="44FCC6EB"/>
    <w:rsid w:val="4504A2ED"/>
    <w:rsid w:val="4507E730"/>
    <w:rsid w:val="450D0C5F"/>
    <w:rsid w:val="4511EE92"/>
    <w:rsid w:val="45269758"/>
    <w:rsid w:val="4529CEE5"/>
    <w:rsid w:val="4538F4BD"/>
    <w:rsid w:val="4541E945"/>
    <w:rsid w:val="4542027C"/>
    <w:rsid w:val="4542260D"/>
    <w:rsid w:val="4544B625"/>
    <w:rsid w:val="454D3452"/>
    <w:rsid w:val="4565343F"/>
    <w:rsid w:val="4578EF99"/>
    <w:rsid w:val="4597E72D"/>
    <w:rsid w:val="45AFDD31"/>
    <w:rsid w:val="45B558C7"/>
    <w:rsid w:val="45B823B2"/>
    <w:rsid w:val="45B87916"/>
    <w:rsid w:val="45B995BA"/>
    <w:rsid w:val="45BDEAB8"/>
    <w:rsid w:val="45CDA6C2"/>
    <w:rsid w:val="45F12602"/>
    <w:rsid w:val="4600B55C"/>
    <w:rsid w:val="461065C8"/>
    <w:rsid w:val="461A8BA5"/>
    <w:rsid w:val="461D4983"/>
    <w:rsid w:val="462DCEEA"/>
    <w:rsid w:val="462ED831"/>
    <w:rsid w:val="462F0615"/>
    <w:rsid w:val="463B7E63"/>
    <w:rsid w:val="465DE928"/>
    <w:rsid w:val="466A2159"/>
    <w:rsid w:val="4679AF2F"/>
    <w:rsid w:val="46846A4E"/>
    <w:rsid w:val="4684A4E6"/>
    <w:rsid w:val="468BF207"/>
    <w:rsid w:val="46C01A40"/>
    <w:rsid w:val="46D7883A"/>
    <w:rsid w:val="46E18A7C"/>
    <w:rsid w:val="46F0C243"/>
    <w:rsid w:val="4702D2CB"/>
    <w:rsid w:val="470AC527"/>
    <w:rsid w:val="4718B182"/>
    <w:rsid w:val="471EF44D"/>
    <w:rsid w:val="47306F5F"/>
    <w:rsid w:val="47354A76"/>
    <w:rsid w:val="4737956C"/>
    <w:rsid w:val="473AA043"/>
    <w:rsid w:val="4740A5A3"/>
    <w:rsid w:val="474649A9"/>
    <w:rsid w:val="474C5981"/>
    <w:rsid w:val="47506F0D"/>
    <w:rsid w:val="475A6A13"/>
    <w:rsid w:val="47610226"/>
    <w:rsid w:val="476ADA3A"/>
    <w:rsid w:val="476C6E70"/>
    <w:rsid w:val="4792975A"/>
    <w:rsid w:val="4796CB38"/>
    <w:rsid w:val="47B07748"/>
    <w:rsid w:val="47B25B19"/>
    <w:rsid w:val="47CA98CF"/>
    <w:rsid w:val="47D0BF57"/>
    <w:rsid w:val="47D545D9"/>
    <w:rsid w:val="47D852BE"/>
    <w:rsid w:val="47DA8F6F"/>
    <w:rsid w:val="47E4A474"/>
    <w:rsid w:val="47EC195B"/>
    <w:rsid w:val="47FB77EF"/>
    <w:rsid w:val="48158C5B"/>
    <w:rsid w:val="482D69D8"/>
    <w:rsid w:val="483401FC"/>
    <w:rsid w:val="48377AFE"/>
    <w:rsid w:val="48474D6B"/>
    <w:rsid w:val="485B6872"/>
    <w:rsid w:val="485CB6F0"/>
    <w:rsid w:val="486EAA44"/>
    <w:rsid w:val="4878DE60"/>
    <w:rsid w:val="4879AFB3"/>
    <w:rsid w:val="4882E8B3"/>
    <w:rsid w:val="488EA959"/>
    <w:rsid w:val="48957537"/>
    <w:rsid w:val="489E6C2C"/>
    <w:rsid w:val="48A18DB5"/>
    <w:rsid w:val="48BA2E6F"/>
    <w:rsid w:val="48BB37BC"/>
    <w:rsid w:val="48BDABEB"/>
    <w:rsid w:val="48C247E5"/>
    <w:rsid w:val="48C5B947"/>
    <w:rsid w:val="48CCE62B"/>
    <w:rsid w:val="48D2CCBD"/>
    <w:rsid w:val="48D3E94F"/>
    <w:rsid w:val="48EEB3CE"/>
    <w:rsid w:val="48FE429D"/>
    <w:rsid w:val="49007982"/>
    <w:rsid w:val="4906F5FB"/>
    <w:rsid w:val="490F09DA"/>
    <w:rsid w:val="491686B0"/>
    <w:rsid w:val="4926E0BE"/>
    <w:rsid w:val="4928A378"/>
    <w:rsid w:val="49295467"/>
    <w:rsid w:val="493110E4"/>
    <w:rsid w:val="49364B96"/>
    <w:rsid w:val="4939742C"/>
    <w:rsid w:val="4947103B"/>
    <w:rsid w:val="494DE2B2"/>
    <w:rsid w:val="49531130"/>
    <w:rsid w:val="4957E355"/>
    <w:rsid w:val="4968420E"/>
    <w:rsid w:val="49738943"/>
    <w:rsid w:val="497B6B53"/>
    <w:rsid w:val="49872BCC"/>
    <w:rsid w:val="498AACF7"/>
    <w:rsid w:val="4994C531"/>
    <w:rsid w:val="499E52E1"/>
    <w:rsid w:val="499EA629"/>
    <w:rsid w:val="49A4A5BE"/>
    <w:rsid w:val="49A6B2A1"/>
    <w:rsid w:val="49A95DB6"/>
    <w:rsid w:val="49A975C0"/>
    <w:rsid w:val="49B59EDF"/>
    <w:rsid w:val="49BE2A70"/>
    <w:rsid w:val="49BF06E6"/>
    <w:rsid w:val="49BF76ED"/>
    <w:rsid w:val="49C03EB0"/>
    <w:rsid w:val="49C50BCE"/>
    <w:rsid w:val="49C72934"/>
    <w:rsid w:val="49EA6FE0"/>
    <w:rsid w:val="4A01DDD4"/>
    <w:rsid w:val="4A0A326D"/>
    <w:rsid w:val="4A0CC7CB"/>
    <w:rsid w:val="4A14DD7C"/>
    <w:rsid w:val="4A1692D2"/>
    <w:rsid w:val="4A1E143D"/>
    <w:rsid w:val="4A20EBED"/>
    <w:rsid w:val="4A21B6FE"/>
    <w:rsid w:val="4A249A95"/>
    <w:rsid w:val="4A2E9329"/>
    <w:rsid w:val="4A49E43C"/>
    <w:rsid w:val="4A4CD1E4"/>
    <w:rsid w:val="4A518650"/>
    <w:rsid w:val="4A56FE0B"/>
    <w:rsid w:val="4A58521C"/>
    <w:rsid w:val="4A6A91EA"/>
    <w:rsid w:val="4A6B1603"/>
    <w:rsid w:val="4A73568B"/>
    <w:rsid w:val="4A743280"/>
    <w:rsid w:val="4A75263B"/>
    <w:rsid w:val="4A7A5829"/>
    <w:rsid w:val="4A7ECFD1"/>
    <w:rsid w:val="4A85084C"/>
    <w:rsid w:val="4A8719F1"/>
    <w:rsid w:val="4A94DD8A"/>
    <w:rsid w:val="4A97AB37"/>
    <w:rsid w:val="4AAA68B5"/>
    <w:rsid w:val="4ABA5E79"/>
    <w:rsid w:val="4AC1A243"/>
    <w:rsid w:val="4AC9F0E5"/>
    <w:rsid w:val="4AD52ECA"/>
    <w:rsid w:val="4AD9D477"/>
    <w:rsid w:val="4ADCEF38"/>
    <w:rsid w:val="4AE951F9"/>
    <w:rsid w:val="4AF4E80F"/>
    <w:rsid w:val="4B088BF7"/>
    <w:rsid w:val="4B12948D"/>
    <w:rsid w:val="4B2196DA"/>
    <w:rsid w:val="4B272D1F"/>
    <w:rsid w:val="4B2E8954"/>
    <w:rsid w:val="4B38551F"/>
    <w:rsid w:val="4B5788FA"/>
    <w:rsid w:val="4B706C65"/>
    <w:rsid w:val="4B7FB7A2"/>
    <w:rsid w:val="4B96FCD2"/>
    <w:rsid w:val="4B976F42"/>
    <w:rsid w:val="4B9D77F9"/>
    <w:rsid w:val="4B9FD035"/>
    <w:rsid w:val="4BAB40D4"/>
    <w:rsid w:val="4BAB9DAB"/>
    <w:rsid w:val="4BCB54D3"/>
    <w:rsid w:val="4BE36A9D"/>
    <w:rsid w:val="4BE95379"/>
    <w:rsid w:val="4BE990FF"/>
    <w:rsid w:val="4BED93D2"/>
    <w:rsid w:val="4C0DC1B1"/>
    <w:rsid w:val="4C0E3610"/>
    <w:rsid w:val="4C256E66"/>
    <w:rsid w:val="4C43514F"/>
    <w:rsid w:val="4C4BDED6"/>
    <w:rsid w:val="4C55DDF3"/>
    <w:rsid w:val="4C60859B"/>
    <w:rsid w:val="4C7DB6CB"/>
    <w:rsid w:val="4C7E3F1F"/>
    <w:rsid w:val="4C85AF17"/>
    <w:rsid w:val="4C8C8104"/>
    <w:rsid w:val="4C90C411"/>
    <w:rsid w:val="4C92083F"/>
    <w:rsid w:val="4C9A89F2"/>
    <w:rsid w:val="4CA23134"/>
    <w:rsid w:val="4CA525E6"/>
    <w:rsid w:val="4CBB046A"/>
    <w:rsid w:val="4CC21B41"/>
    <w:rsid w:val="4CC3618E"/>
    <w:rsid w:val="4CDBC8A4"/>
    <w:rsid w:val="4CE6541D"/>
    <w:rsid w:val="4CE96EDD"/>
    <w:rsid w:val="4CEDC687"/>
    <w:rsid w:val="4CF37518"/>
    <w:rsid w:val="4D083383"/>
    <w:rsid w:val="4D0A1597"/>
    <w:rsid w:val="4D0D0A81"/>
    <w:rsid w:val="4D0ED1B0"/>
    <w:rsid w:val="4D28F10F"/>
    <w:rsid w:val="4D2AEA5F"/>
    <w:rsid w:val="4D35293C"/>
    <w:rsid w:val="4D3A03C8"/>
    <w:rsid w:val="4D43D8C3"/>
    <w:rsid w:val="4D471AB4"/>
    <w:rsid w:val="4D4E7F7E"/>
    <w:rsid w:val="4D5B58D3"/>
    <w:rsid w:val="4D5F3BD4"/>
    <w:rsid w:val="4D6005F1"/>
    <w:rsid w:val="4D67D9C2"/>
    <w:rsid w:val="4D79DD53"/>
    <w:rsid w:val="4D7BF619"/>
    <w:rsid w:val="4D83C34C"/>
    <w:rsid w:val="4D841487"/>
    <w:rsid w:val="4D8460DD"/>
    <w:rsid w:val="4D97CB2C"/>
    <w:rsid w:val="4D9C84DB"/>
    <w:rsid w:val="4DAC17F5"/>
    <w:rsid w:val="4DADA54D"/>
    <w:rsid w:val="4DAF2D95"/>
    <w:rsid w:val="4DB41A61"/>
    <w:rsid w:val="4DC9CFEF"/>
    <w:rsid w:val="4DD9B57E"/>
    <w:rsid w:val="4DE000FE"/>
    <w:rsid w:val="4DE39770"/>
    <w:rsid w:val="4E03AE04"/>
    <w:rsid w:val="4E07AF79"/>
    <w:rsid w:val="4E0C391E"/>
    <w:rsid w:val="4E138226"/>
    <w:rsid w:val="4E1979B5"/>
    <w:rsid w:val="4E1D184D"/>
    <w:rsid w:val="4E2215AB"/>
    <w:rsid w:val="4E237624"/>
    <w:rsid w:val="4E23D554"/>
    <w:rsid w:val="4E2B3150"/>
    <w:rsid w:val="4E2BE117"/>
    <w:rsid w:val="4E3B5F92"/>
    <w:rsid w:val="4E40DDDA"/>
    <w:rsid w:val="4E445C6B"/>
    <w:rsid w:val="4E47EB11"/>
    <w:rsid w:val="4E5C439B"/>
    <w:rsid w:val="4E6175CA"/>
    <w:rsid w:val="4E65F49D"/>
    <w:rsid w:val="4E66F068"/>
    <w:rsid w:val="4E6B6709"/>
    <w:rsid w:val="4E8791B3"/>
    <w:rsid w:val="4E88A016"/>
    <w:rsid w:val="4E8F404C"/>
    <w:rsid w:val="4E906192"/>
    <w:rsid w:val="4E922ECE"/>
    <w:rsid w:val="4EA0C220"/>
    <w:rsid w:val="4EC44E9F"/>
    <w:rsid w:val="4EC69B34"/>
    <w:rsid w:val="4ECC8A94"/>
    <w:rsid w:val="4EEC26AE"/>
    <w:rsid w:val="4F0112DF"/>
    <w:rsid w:val="4F0B5EB1"/>
    <w:rsid w:val="4F0F0847"/>
    <w:rsid w:val="4F16A4DE"/>
    <w:rsid w:val="4F20D4CB"/>
    <w:rsid w:val="4F223E11"/>
    <w:rsid w:val="4F245E22"/>
    <w:rsid w:val="4F29DAE4"/>
    <w:rsid w:val="4F463DB8"/>
    <w:rsid w:val="4F592C5E"/>
    <w:rsid w:val="4F6D4401"/>
    <w:rsid w:val="4F75C789"/>
    <w:rsid w:val="4F7A7E06"/>
    <w:rsid w:val="4F7C540B"/>
    <w:rsid w:val="4F850C6C"/>
    <w:rsid w:val="4F8CF154"/>
    <w:rsid w:val="4F8DBCD0"/>
    <w:rsid w:val="4F9E7BEE"/>
    <w:rsid w:val="4FAC6D0B"/>
    <w:rsid w:val="4FCB1467"/>
    <w:rsid w:val="4FD0DCDD"/>
    <w:rsid w:val="4FD8D06F"/>
    <w:rsid w:val="500C187A"/>
    <w:rsid w:val="500EB70E"/>
    <w:rsid w:val="501C49DB"/>
    <w:rsid w:val="50223875"/>
    <w:rsid w:val="50297CE3"/>
    <w:rsid w:val="50298FAD"/>
    <w:rsid w:val="502A17FB"/>
    <w:rsid w:val="5050BAD0"/>
    <w:rsid w:val="505D6823"/>
    <w:rsid w:val="506A1046"/>
    <w:rsid w:val="50768078"/>
    <w:rsid w:val="50887E84"/>
    <w:rsid w:val="508DC3DF"/>
    <w:rsid w:val="50A0A9C4"/>
    <w:rsid w:val="50A384E2"/>
    <w:rsid w:val="50A79A70"/>
    <w:rsid w:val="50BAE99C"/>
    <w:rsid w:val="50BB99DD"/>
    <w:rsid w:val="50CD0917"/>
    <w:rsid w:val="50DE732A"/>
    <w:rsid w:val="50E6EDB8"/>
    <w:rsid w:val="50EE81B6"/>
    <w:rsid w:val="50F7AEE2"/>
    <w:rsid w:val="50F9E9CF"/>
    <w:rsid w:val="51039FAE"/>
    <w:rsid w:val="5110EE61"/>
    <w:rsid w:val="5111F188"/>
    <w:rsid w:val="511D46CD"/>
    <w:rsid w:val="5129B81D"/>
    <w:rsid w:val="51347B7D"/>
    <w:rsid w:val="514369DD"/>
    <w:rsid w:val="51485855"/>
    <w:rsid w:val="51563E95"/>
    <w:rsid w:val="51577B99"/>
    <w:rsid w:val="5173BE12"/>
    <w:rsid w:val="51772A46"/>
    <w:rsid w:val="5187123D"/>
    <w:rsid w:val="518F0156"/>
    <w:rsid w:val="51930D5C"/>
    <w:rsid w:val="51965807"/>
    <w:rsid w:val="519AD6A9"/>
    <w:rsid w:val="519D7305"/>
    <w:rsid w:val="51AADE93"/>
    <w:rsid w:val="51ADD924"/>
    <w:rsid w:val="51C85D2B"/>
    <w:rsid w:val="51D19ECB"/>
    <w:rsid w:val="51DEC101"/>
    <w:rsid w:val="51E00F93"/>
    <w:rsid w:val="51E1FA98"/>
    <w:rsid w:val="51E40054"/>
    <w:rsid w:val="51EC7D53"/>
    <w:rsid w:val="51F49402"/>
    <w:rsid w:val="51F6241D"/>
    <w:rsid w:val="52007C80"/>
    <w:rsid w:val="520EA6EB"/>
    <w:rsid w:val="520FC91B"/>
    <w:rsid w:val="52168BF8"/>
    <w:rsid w:val="521D0E8F"/>
    <w:rsid w:val="522679BA"/>
    <w:rsid w:val="52282FD7"/>
    <w:rsid w:val="522EDAE1"/>
    <w:rsid w:val="522F3612"/>
    <w:rsid w:val="524676AD"/>
    <w:rsid w:val="524961F3"/>
    <w:rsid w:val="524AC2A4"/>
    <w:rsid w:val="52503D25"/>
    <w:rsid w:val="5250728A"/>
    <w:rsid w:val="52679499"/>
    <w:rsid w:val="5267AB00"/>
    <w:rsid w:val="527EBCC0"/>
    <w:rsid w:val="528885CC"/>
    <w:rsid w:val="528D849D"/>
    <w:rsid w:val="529BED20"/>
    <w:rsid w:val="529D93D7"/>
    <w:rsid w:val="52A0B6CC"/>
    <w:rsid w:val="52A2B11E"/>
    <w:rsid w:val="52BBF9B8"/>
    <w:rsid w:val="52CC9B1E"/>
    <w:rsid w:val="52CE14E1"/>
    <w:rsid w:val="52D0E67B"/>
    <w:rsid w:val="52D17AB4"/>
    <w:rsid w:val="52E9639A"/>
    <w:rsid w:val="52F62A2D"/>
    <w:rsid w:val="53077691"/>
    <w:rsid w:val="530C0F62"/>
    <w:rsid w:val="53124614"/>
    <w:rsid w:val="53235437"/>
    <w:rsid w:val="53385D70"/>
    <w:rsid w:val="535296D6"/>
    <w:rsid w:val="536CCEF9"/>
    <w:rsid w:val="53726001"/>
    <w:rsid w:val="537415B4"/>
    <w:rsid w:val="5389F78F"/>
    <w:rsid w:val="539B9996"/>
    <w:rsid w:val="53A410C4"/>
    <w:rsid w:val="53AD6CBA"/>
    <w:rsid w:val="53B99B08"/>
    <w:rsid w:val="53C52B70"/>
    <w:rsid w:val="53C84D5D"/>
    <w:rsid w:val="53E14266"/>
    <w:rsid w:val="53E74CC1"/>
    <w:rsid w:val="53F5C29D"/>
    <w:rsid w:val="53FDDB4C"/>
    <w:rsid w:val="540C7675"/>
    <w:rsid w:val="540E70BA"/>
    <w:rsid w:val="541184EC"/>
    <w:rsid w:val="5449051F"/>
    <w:rsid w:val="5454C0DD"/>
    <w:rsid w:val="546EDEBE"/>
    <w:rsid w:val="54828DFD"/>
    <w:rsid w:val="5485B7E6"/>
    <w:rsid w:val="548DD743"/>
    <w:rsid w:val="5497F257"/>
    <w:rsid w:val="549BBF7A"/>
    <w:rsid w:val="54ADF016"/>
    <w:rsid w:val="54B1564F"/>
    <w:rsid w:val="54B4A5CE"/>
    <w:rsid w:val="54BD769D"/>
    <w:rsid w:val="54D307FA"/>
    <w:rsid w:val="54D87EC2"/>
    <w:rsid w:val="54E29E59"/>
    <w:rsid w:val="54F56F71"/>
    <w:rsid w:val="5505A376"/>
    <w:rsid w:val="550DE31B"/>
    <w:rsid w:val="552CBDE1"/>
    <w:rsid w:val="552CC9F9"/>
    <w:rsid w:val="5539DBBD"/>
    <w:rsid w:val="554AC5C7"/>
    <w:rsid w:val="554D2FC6"/>
    <w:rsid w:val="55580D70"/>
    <w:rsid w:val="5560A60D"/>
    <w:rsid w:val="55641C0F"/>
    <w:rsid w:val="5579CFBD"/>
    <w:rsid w:val="557B81BE"/>
    <w:rsid w:val="55932AEA"/>
    <w:rsid w:val="559EFF9A"/>
    <w:rsid w:val="55A32276"/>
    <w:rsid w:val="55AF0A75"/>
    <w:rsid w:val="55B74707"/>
    <w:rsid w:val="55BACFA6"/>
    <w:rsid w:val="55BB51C9"/>
    <w:rsid w:val="55E3B097"/>
    <w:rsid w:val="55E4228C"/>
    <w:rsid w:val="55EF6339"/>
    <w:rsid w:val="55EFD17C"/>
    <w:rsid w:val="55F6366C"/>
    <w:rsid w:val="55FD0A3D"/>
    <w:rsid w:val="563659AA"/>
    <w:rsid w:val="5679612A"/>
    <w:rsid w:val="568DA143"/>
    <w:rsid w:val="568DBE91"/>
    <w:rsid w:val="56927CE0"/>
    <w:rsid w:val="56AF3076"/>
    <w:rsid w:val="56B26AC3"/>
    <w:rsid w:val="56B29417"/>
    <w:rsid w:val="56CC81E4"/>
    <w:rsid w:val="56D4BFF5"/>
    <w:rsid w:val="56DDF652"/>
    <w:rsid w:val="570D03AA"/>
    <w:rsid w:val="570F54E7"/>
    <w:rsid w:val="5712A647"/>
    <w:rsid w:val="5716B39B"/>
    <w:rsid w:val="571B35EE"/>
    <w:rsid w:val="57336353"/>
    <w:rsid w:val="5738BE14"/>
    <w:rsid w:val="5739553E"/>
    <w:rsid w:val="573B8B3B"/>
    <w:rsid w:val="574346CD"/>
    <w:rsid w:val="574434FF"/>
    <w:rsid w:val="574862D3"/>
    <w:rsid w:val="575303D0"/>
    <w:rsid w:val="57575D28"/>
    <w:rsid w:val="575793DE"/>
    <w:rsid w:val="5757AC8C"/>
    <w:rsid w:val="5774AA2B"/>
    <w:rsid w:val="57808CD7"/>
    <w:rsid w:val="57836948"/>
    <w:rsid w:val="579C36DC"/>
    <w:rsid w:val="579CD4E3"/>
    <w:rsid w:val="57AB955E"/>
    <w:rsid w:val="57B2A1E6"/>
    <w:rsid w:val="57B74BCC"/>
    <w:rsid w:val="57C41B59"/>
    <w:rsid w:val="57D260C9"/>
    <w:rsid w:val="57D261D6"/>
    <w:rsid w:val="57D52958"/>
    <w:rsid w:val="57DE5EB6"/>
    <w:rsid w:val="57DF715D"/>
    <w:rsid w:val="580A91CE"/>
    <w:rsid w:val="581D664E"/>
    <w:rsid w:val="582EF15F"/>
    <w:rsid w:val="5841CACC"/>
    <w:rsid w:val="5842CA91"/>
    <w:rsid w:val="584BBB79"/>
    <w:rsid w:val="58576E92"/>
    <w:rsid w:val="585F71F1"/>
    <w:rsid w:val="58672C24"/>
    <w:rsid w:val="58698893"/>
    <w:rsid w:val="58700A55"/>
    <w:rsid w:val="58748683"/>
    <w:rsid w:val="587ED229"/>
    <w:rsid w:val="58866622"/>
    <w:rsid w:val="5895DE1A"/>
    <w:rsid w:val="58979BCF"/>
    <w:rsid w:val="5898AC92"/>
    <w:rsid w:val="589BD804"/>
    <w:rsid w:val="58A3303A"/>
    <w:rsid w:val="58A68A35"/>
    <w:rsid w:val="58B9D3DE"/>
    <w:rsid w:val="58C0AA48"/>
    <w:rsid w:val="58C74A42"/>
    <w:rsid w:val="58C853A8"/>
    <w:rsid w:val="58CCCE04"/>
    <w:rsid w:val="58D33EFD"/>
    <w:rsid w:val="58DB5DA8"/>
    <w:rsid w:val="58EEF1D0"/>
    <w:rsid w:val="58FD9FC3"/>
    <w:rsid w:val="5901EF02"/>
    <w:rsid w:val="5911BC1D"/>
    <w:rsid w:val="591701D3"/>
    <w:rsid w:val="591A34D2"/>
    <w:rsid w:val="5922A375"/>
    <w:rsid w:val="5924E64A"/>
    <w:rsid w:val="5949EBD5"/>
    <w:rsid w:val="594D7AA3"/>
    <w:rsid w:val="595592E7"/>
    <w:rsid w:val="59560828"/>
    <w:rsid w:val="59741F09"/>
    <w:rsid w:val="598703BD"/>
    <w:rsid w:val="599DF2A2"/>
    <w:rsid w:val="59B028C9"/>
    <w:rsid w:val="59B25E10"/>
    <w:rsid w:val="59B64C8E"/>
    <w:rsid w:val="59C25CBC"/>
    <w:rsid w:val="59D68619"/>
    <w:rsid w:val="59E3AA54"/>
    <w:rsid w:val="59EDF844"/>
    <w:rsid w:val="59EF3B8A"/>
    <w:rsid w:val="59F13EE5"/>
    <w:rsid w:val="59F6CB54"/>
    <w:rsid w:val="5A08FDBC"/>
    <w:rsid w:val="5A0AF839"/>
    <w:rsid w:val="5A0B8C6F"/>
    <w:rsid w:val="5A235C2B"/>
    <w:rsid w:val="5A24701D"/>
    <w:rsid w:val="5A251039"/>
    <w:rsid w:val="5A334DC9"/>
    <w:rsid w:val="5A3493FE"/>
    <w:rsid w:val="5A35E6BD"/>
    <w:rsid w:val="5A3E86C7"/>
    <w:rsid w:val="5A44BD4A"/>
    <w:rsid w:val="5A489667"/>
    <w:rsid w:val="5A53AF75"/>
    <w:rsid w:val="5A5E6C3B"/>
    <w:rsid w:val="5A75BF93"/>
    <w:rsid w:val="5A7BFFA2"/>
    <w:rsid w:val="5A7DAD16"/>
    <w:rsid w:val="5A8908AC"/>
    <w:rsid w:val="5A94529B"/>
    <w:rsid w:val="5AABAC87"/>
    <w:rsid w:val="5ABC681E"/>
    <w:rsid w:val="5AC22264"/>
    <w:rsid w:val="5AE52163"/>
    <w:rsid w:val="5AF0F812"/>
    <w:rsid w:val="5AF35076"/>
    <w:rsid w:val="5B115FFD"/>
    <w:rsid w:val="5B131F4E"/>
    <w:rsid w:val="5B1BA3F3"/>
    <w:rsid w:val="5B1EDC52"/>
    <w:rsid w:val="5B23C8D9"/>
    <w:rsid w:val="5B3DF7FB"/>
    <w:rsid w:val="5B45A4E5"/>
    <w:rsid w:val="5B46A8D7"/>
    <w:rsid w:val="5B54A144"/>
    <w:rsid w:val="5B5C4611"/>
    <w:rsid w:val="5B6D7065"/>
    <w:rsid w:val="5B6DC151"/>
    <w:rsid w:val="5B7A1B11"/>
    <w:rsid w:val="5B83B60E"/>
    <w:rsid w:val="5B929AA1"/>
    <w:rsid w:val="5B9740DB"/>
    <w:rsid w:val="5B9D9579"/>
    <w:rsid w:val="5BA2AA0A"/>
    <w:rsid w:val="5BA4C102"/>
    <w:rsid w:val="5BAA385D"/>
    <w:rsid w:val="5BAE319A"/>
    <w:rsid w:val="5BAF91FD"/>
    <w:rsid w:val="5BB0DFB9"/>
    <w:rsid w:val="5BC00A55"/>
    <w:rsid w:val="5BCDCD65"/>
    <w:rsid w:val="5BD0ABC5"/>
    <w:rsid w:val="5BEA95A0"/>
    <w:rsid w:val="5BEB0CF5"/>
    <w:rsid w:val="5BEB4553"/>
    <w:rsid w:val="5C0D3950"/>
    <w:rsid w:val="5C28ED56"/>
    <w:rsid w:val="5C33A82D"/>
    <w:rsid w:val="5C41E58C"/>
    <w:rsid w:val="5C4AB2D7"/>
    <w:rsid w:val="5C5367BF"/>
    <w:rsid w:val="5C5BD910"/>
    <w:rsid w:val="5C62018E"/>
    <w:rsid w:val="5C63A1B1"/>
    <w:rsid w:val="5C646A5B"/>
    <w:rsid w:val="5C6AC227"/>
    <w:rsid w:val="5C718799"/>
    <w:rsid w:val="5C7BA6D5"/>
    <w:rsid w:val="5C80BC5C"/>
    <w:rsid w:val="5C8C6650"/>
    <w:rsid w:val="5C951F8B"/>
    <w:rsid w:val="5C97160A"/>
    <w:rsid w:val="5CA3AA52"/>
    <w:rsid w:val="5CAC2BA7"/>
    <w:rsid w:val="5CAE4A02"/>
    <w:rsid w:val="5CB066EC"/>
    <w:rsid w:val="5CB62AC7"/>
    <w:rsid w:val="5CC08DC6"/>
    <w:rsid w:val="5CC19722"/>
    <w:rsid w:val="5CCDD085"/>
    <w:rsid w:val="5CDC04A0"/>
    <w:rsid w:val="5CE3BCC5"/>
    <w:rsid w:val="5CE44ED0"/>
    <w:rsid w:val="5CF5B9E1"/>
    <w:rsid w:val="5D043D70"/>
    <w:rsid w:val="5D1D6C1E"/>
    <w:rsid w:val="5D1E7CBE"/>
    <w:rsid w:val="5D2B30C7"/>
    <w:rsid w:val="5D303BA6"/>
    <w:rsid w:val="5D3B9B75"/>
    <w:rsid w:val="5D4907B0"/>
    <w:rsid w:val="5D4CF687"/>
    <w:rsid w:val="5D63779A"/>
    <w:rsid w:val="5D66EE78"/>
    <w:rsid w:val="5D7C426A"/>
    <w:rsid w:val="5D856A52"/>
    <w:rsid w:val="5D883B0C"/>
    <w:rsid w:val="5DB7A459"/>
    <w:rsid w:val="5DCC11B8"/>
    <w:rsid w:val="5DCF5489"/>
    <w:rsid w:val="5DE2D5DC"/>
    <w:rsid w:val="5DE57C26"/>
    <w:rsid w:val="5DE95D41"/>
    <w:rsid w:val="5DF0E82B"/>
    <w:rsid w:val="5DFEFF9C"/>
    <w:rsid w:val="5E02866F"/>
    <w:rsid w:val="5E050A81"/>
    <w:rsid w:val="5E0BD870"/>
    <w:rsid w:val="5E200898"/>
    <w:rsid w:val="5E2CCFCD"/>
    <w:rsid w:val="5E381E73"/>
    <w:rsid w:val="5E3B22C3"/>
    <w:rsid w:val="5E3BF02A"/>
    <w:rsid w:val="5E407B71"/>
    <w:rsid w:val="5E480A4F"/>
    <w:rsid w:val="5E4C2006"/>
    <w:rsid w:val="5E611359"/>
    <w:rsid w:val="5E623DFF"/>
    <w:rsid w:val="5E626628"/>
    <w:rsid w:val="5E6D97D7"/>
    <w:rsid w:val="5E848FF3"/>
    <w:rsid w:val="5E8A54B4"/>
    <w:rsid w:val="5E8A58F0"/>
    <w:rsid w:val="5E936F56"/>
    <w:rsid w:val="5E9403F2"/>
    <w:rsid w:val="5E9C4CD9"/>
    <w:rsid w:val="5EA489E0"/>
    <w:rsid w:val="5EA8F4E2"/>
    <w:rsid w:val="5EAA38B1"/>
    <w:rsid w:val="5EB47B35"/>
    <w:rsid w:val="5EB863B5"/>
    <w:rsid w:val="5EC0EF04"/>
    <w:rsid w:val="5EC6658C"/>
    <w:rsid w:val="5ED712BC"/>
    <w:rsid w:val="5EDABABE"/>
    <w:rsid w:val="5EE33E09"/>
    <w:rsid w:val="5EED9F81"/>
    <w:rsid w:val="5EEFC685"/>
    <w:rsid w:val="5EF0B0A8"/>
    <w:rsid w:val="5EF56744"/>
    <w:rsid w:val="5EF972B3"/>
    <w:rsid w:val="5F05407B"/>
    <w:rsid w:val="5F07348C"/>
    <w:rsid w:val="5F138EFB"/>
    <w:rsid w:val="5F343E27"/>
    <w:rsid w:val="5F4AFED9"/>
    <w:rsid w:val="5F5C107F"/>
    <w:rsid w:val="5F940D9E"/>
    <w:rsid w:val="5F9C232D"/>
    <w:rsid w:val="5FA0BCA2"/>
    <w:rsid w:val="5FACA553"/>
    <w:rsid w:val="5FB1C0EE"/>
    <w:rsid w:val="5FBB7B8F"/>
    <w:rsid w:val="5FCC3DE8"/>
    <w:rsid w:val="5FD7FB30"/>
    <w:rsid w:val="5FDB17B8"/>
    <w:rsid w:val="5FEC9079"/>
    <w:rsid w:val="5FEE4781"/>
    <w:rsid w:val="5FF7FE18"/>
    <w:rsid w:val="5FFE49E7"/>
    <w:rsid w:val="6004C3B3"/>
    <w:rsid w:val="60076DD4"/>
    <w:rsid w:val="600AD9D0"/>
    <w:rsid w:val="600DD8B8"/>
    <w:rsid w:val="600EA727"/>
    <w:rsid w:val="6018FAB6"/>
    <w:rsid w:val="60229FF2"/>
    <w:rsid w:val="6025B960"/>
    <w:rsid w:val="602CE473"/>
    <w:rsid w:val="603AF55E"/>
    <w:rsid w:val="60402BC9"/>
    <w:rsid w:val="6041ECA3"/>
    <w:rsid w:val="6049D728"/>
    <w:rsid w:val="605C8CE0"/>
    <w:rsid w:val="605DED3B"/>
    <w:rsid w:val="60609FC4"/>
    <w:rsid w:val="6066CA12"/>
    <w:rsid w:val="607897F6"/>
    <w:rsid w:val="608D809A"/>
    <w:rsid w:val="609831E1"/>
    <w:rsid w:val="60997DF1"/>
    <w:rsid w:val="609F7757"/>
    <w:rsid w:val="60B049A8"/>
    <w:rsid w:val="60B66C0C"/>
    <w:rsid w:val="60C637E0"/>
    <w:rsid w:val="60E55061"/>
    <w:rsid w:val="60F8761B"/>
    <w:rsid w:val="60FBD8E0"/>
    <w:rsid w:val="60FEBCA0"/>
    <w:rsid w:val="61041CD9"/>
    <w:rsid w:val="612278E1"/>
    <w:rsid w:val="612B4270"/>
    <w:rsid w:val="613EE11D"/>
    <w:rsid w:val="61408F88"/>
    <w:rsid w:val="6140D9DF"/>
    <w:rsid w:val="614D1520"/>
    <w:rsid w:val="615A5847"/>
    <w:rsid w:val="617153EB"/>
    <w:rsid w:val="61803022"/>
    <w:rsid w:val="618565CF"/>
    <w:rsid w:val="618C372C"/>
    <w:rsid w:val="6194E977"/>
    <w:rsid w:val="61A2E61F"/>
    <w:rsid w:val="61BB79A6"/>
    <w:rsid w:val="61BCADD8"/>
    <w:rsid w:val="61C21E60"/>
    <w:rsid w:val="61DDC53A"/>
    <w:rsid w:val="61E09184"/>
    <w:rsid w:val="62143E13"/>
    <w:rsid w:val="6221ED68"/>
    <w:rsid w:val="622265BB"/>
    <w:rsid w:val="6230748D"/>
    <w:rsid w:val="62340EEF"/>
    <w:rsid w:val="62414BF9"/>
    <w:rsid w:val="6242EAC9"/>
    <w:rsid w:val="624B116C"/>
    <w:rsid w:val="6251E14A"/>
    <w:rsid w:val="6263DE5C"/>
    <w:rsid w:val="626DE70E"/>
    <w:rsid w:val="62713A3B"/>
    <w:rsid w:val="62714F3F"/>
    <w:rsid w:val="627CA8D3"/>
    <w:rsid w:val="628853C2"/>
    <w:rsid w:val="628EABF0"/>
    <w:rsid w:val="629055C9"/>
    <w:rsid w:val="629504B4"/>
    <w:rsid w:val="62A66826"/>
    <w:rsid w:val="62A94649"/>
    <w:rsid w:val="62AD5318"/>
    <w:rsid w:val="62AFEA14"/>
    <w:rsid w:val="62BFA9D9"/>
    <w:rsid w:val="62C1AD08"/>
    <w:rsid w:val="62C5000F"/>
    <w:rsid w:val="62C57D18"/>
    <w:rsid w:val="62D31402"/>
    <w:rsid w:val="62E124B2"/>
    <w:rsid w:val="62EAD7FF"/>
    <w:rsid w:val="62F8E126"/>
    <w:rsid w:val="62FEDC05"/>
    <w:rsid w:val="62FEF052"/>
    <w:rsid w:val="6319EBBA"/>
    <w:rsid w:val="63219945"/>
    <w:rsid w:val="632CA60C"/>
    <w:rsid w:val="633C370B"/>
    <w:rsid w:val="634E1621"/>
    <w:rsid w:val="634F1B7D"/>
    <w:rsid w:val="6355A23C"/>
    <w:rsid w:val="637F58EE"/>
    <w:rsid w:val="6387F491"/>
    <w:rsid w:val="63A2731D"/>
    <w:rsid w:val="63A6BED9"/>
    <w:rsid w:val="63AD5E19"/>
    <w:rsid w:val="63B03FD4"/>
    <w:rsid w:val="63B0A385"/>
    <w:rsid w:val="63B9BC7D"/>
    <w:rsid w:val="63BDE736"/>
    <w:rsid w:val="63BE17FC"/>
    <w:rsid w:val="63C2E866"/>
    <w:rsid w:val="63D3C229"/>
    <w:rsid w:val="63D82F1F"/>
    <w:rsid w:val="63D9AF99"/>
    <w:rsid w:val="63DCE243"/>
    <w:rsid w:val="63DF8178"/>
    <w:rsid w:val="63E56B47"/>
    <w:rsid w:val="63EF99A8"/>
    <w:rsid w:val="63FDD672"/>
    <w:rsid w:val="6425559D"/>
    <w:rsid w:val="6433327D"/>
    <w:rsid w:val="643775E4"/>
    <w:rsid w:val="6450ACD5"/>
    <w:rsid w:val="6455FFC0"/>
    <w:rsid w:val="645EFE3F"/>
    <w:rsid w:val="646484FA"/>
    <w:rsid w:val="6466C0C2"/>
    <w:rsid w:val="646CBDF5"/>
    <w:rsid w:val="648F9C52"/>
    <w:rsid w:val="649A9D60"/>
    <w:rsid w:val="649FAD44"/>
    <w:rsid w:val="64AD649B"/>
    <w:rsid w:val="64AF2ADE"/>
    <w:rsid w:val="64BA8BDC"/>
    <w:rsid w:val="64BCB532"/>
    <w:rsid w:val="64C37B4E"/>
    <w:rsid w:val="64CCE532"/>
    <w:rsid w:val="64D9191D"/>
    <w:rsid w:val="64F42F3A"/>
    <w:rsid w:val="64F6D738"/>
    <w:rsid w:val="65099838"/>
    <w:rsid w:val="651A9D02"/>
    <w:rsid w:val="6529C91D"/>
    <w:rsid w:val="652C50BB"/>
    <w:rsid w:val="654C8AB5"/>
    <w:rsid w:val="654D5463"/>
    <w:rsid w:val="654F81F7"/>
    <w:rsid w:val="655C2C71"/>
    <w:rsid w:val="655DA578"/>
    <w:rsid w:val="655FE757"/>
    <w:rsid w:val="6563B72B"/>
    <w:rsid w:val="6564CF67"/>
    <w:rsid w:val="656C5393"/>
    <w:rsid w:val="657B000A"/>
    <w:rsid w:val="657D0C5F"/>
    <w:rsid w:val="6589A1A1"/>
    <w:rsid w:val="658B975E"/>
    <w:rsid w:val="6590E598"/>
    <w:rsid w:val="65AA4A56"/>
    <w:rsid w:val="65B36398"/>
    <w:rsid w:val="65BD1492"/>
    <w:rsid w:val="65CFD29C"/>
    <w:rsid w:val="65D3D4D4"/>
    <w:rsid w:val="65DB2B9B"/>
    <w:rsid w:val="661B955C"/>
    <w:rsid w:val="6622B3E5"/>
    <w:rsid w:val="662F8E92"/>
    <w:rsid w:val="662FD706"/>
    <w:rsid w:val="663BFDAB"/>
    <w:rsid w:val="66416765"/>
    <w:rsid w:val="6657F366"/>
    <w:rsid w:val="665BB588"/>
    <w:rsid w:val="6664E4C4"/>
    <w:rsid w:val="66662710"/>
    <w:rsid w:val="666A5DA6"/>
    <w:rsid w:val="667ADD79"/>
    <w:rsid w:val="667E3B09"/>
    <w:rsid w:val="668EE2D1"/>
    <w:rsid w:val="669234D4"/>
    <w:rsid w:val="66A7CE09"/>
    <w:rsid w:val="66A9EF0C"/>
    <w:rsid w:val="66AC04E4"/>
    <w:rsid w:val="66B09FEE"/>
    <w:rsid w:val="66C46B77"/>
    <w:rsid w:val="66C5B072"/>
    <w:rsid w:val="66C8B35E"/>
    <w:rsid w:val="66D765EE"/>
    <w:rsid w:val="66DEB490"/>
    <w:rsid w:val="66EB503E"/>
    <w:rsid w:val="66F30695"/>
    <w:rsid w:val="66F45EF3"/>
    <w:rsid w:val="66FB6408"/>
    <w:rsid w:val="6701D1BF"/>
    <w:rsid w:val="67117394"/>
    <w:rsid w:val="6715E8A7"/>
    <w:rsid w:val="6726D10E"/>
    <w:rsid w:val="67330451"/>
    <w:rsid w:val="6735B2F9"/>
    <w:rsid w:val="673CB9FF"/>
    <w:rsid w:val="67420206"/>
    <w:rsid w:val="67694081"/>
    <w:rsid w:val="676B3D79"/>
    <w:rsid w:val="676B6EFE"/>
    <w:rsid w:val="67793927"/>
    <w:rsid w:val="6796F3B7"/>
    <w:rsid w:val="67A7CA83"/>
    <w:rsid w:val="67B390C2"/>
    <w:rsid w:val="67C62FF8"/>
    <w:rsid w:val="67CC2844"/>
    <w:rsid w:val="67CC98F7"/>
    <w:rsid w:val="67CD0796"/>
    <w:rsid w:val="67D18D52"/>
    <w:rsid w:val="67DD2FBE"/>
    <w:rsid w:val="67EA3459"/>
    <w:rsid w:val="67EDAB61"/>
    <w:rsid w:val="6800F0E5"/>
    <w:rsid w:val="68016E71"/>
    <w:rsid w:val="680F8067"/>
    <w:rsid w:val="6810A42F"/>
    <w:rsid w:val="68266B6B"/>
    <w:rsid w:val="68373A47"/>
    <w:rsid w:val="6845DB5A"/>
    <w:rsid w:val="684EBB92"/>
    <w:rsid w:val="688405C1"/>
    <w:rsid w:val="689D1F9F"/>
    <w:rsid w:val="68A1ECB2"/>
    <w:rsid w:val="68A3A9D4"/>
    <w:rsid w:val="68B10E68"/>
    <w:rsid w:val="68BA9098"/>
    <w:rsid w:val="68BEF2A3"/>
    <w:rsid w:val="68C73EDC"/>
    <w:rsid w:val="68CEDFEB"/>
    <w:rsid w:val="68CF633C"/>
    <w:rsid w:val="68D2615F"/>
    <w:rsid w:val="68D8C845"/>
    <w:rsid w:val="6940358F"/>
    <w:rsid w:val="694FF37B"/>
    <w:rsid w:val="6952A628"/>
    <w:rsid w:val="695A9F4E"/>
    <w:rsid w:val="6964E72A"/>
    <w:rsid w:val="697245DB"/>
    <w:rsid w:val="69744967"/>
    <w:rsid w:val="69782DC8"/>
    <w:rsid w:val="698FE5CC"/>
    <w:rsid w:val="69990520"/>
    <w:rsid w:val="69A4134F"/>
    <w:rsid w:val="69A694BF"/>
    <w:rsid w:val="69C4967C"/>
    <w:rsid w:val="69C7386A"/>
    <w:rsid w:val="69C899D6"/>
    <w:rsid w:val="69CA37CF"/>
    <w:rsid w:val="69DDC6CB"/>
    <w:rsid w:val="69DDDBE8"/>
    <w:rsid w:val="69E25A4D"/>
    <w:rsid w:val="69E3A431"/>
    <w:rsid w:val="69EF0243"/>
    <w:rsid w:val="69F39DA6"/>
    <w:rsid w:val="69F61BF3"/>
    <w:rsid w:val="69F93F83"/>
    <w:rsid w:val="69FF4DB4"/>
    <w:rsid w:val="6A0A6B00"/>
    <w:rsid w:val="6A153A8A"/>
    <w:rsid w:val="6A193EA7"/>
    <w:rsid w:val="6A1AA054"/>
    <w:rsid w:val="6A1D0AD4"/>
    <w:rsid w:val="6A206CDE"/>
    <w:rsid w:val="6A25E584"/>
    <w:rsid w:val="6A28A35A"/>
    <w:rsid w:val="6A2B8259"/>
    <w:rsid w:val="6A322319"/>
    <w:rsid w:val="6A3A7B37"/>
    <w:rsid w:val="6A440B45"/>
    <w:rsid w:val="6A598A78"/>
    <w:rsid w:val="6A63EDC7"/>
    <w:rsid w:val="6A688235"/>
    <w:rsid w:val="6A6A4BAA"/>
    <w:rsid w:val="6A6F60AB"/>
    <w:rsid w:val="6A7FE700"/>
    <w:rsid w:val="6A860DEC"/>
    <w:rsid w:val="6AA62BB7"/>
    <w:rsid w:val="6AADC658"/>
    <w:rsid w:val="6AAE7428"/>
    <w:rsid w:val="6AB0DFE9"/>
    <w:rsid w:val="6AC0433E"/>
    <w:rsid w:val="6AC5407B"/>
    <w:rsid w:val="6ACB4F88"/>
    <w:rsid w:val="6AE8DDBE"/>
    <w:rsid w:val="6AECBA6D"/>
    <w:rsid w:val="6AECF107"/>
    <w:rsid w:val="6AF457E1"/>
    <w:rsid w:val="6B0E121E"/>
    <w:rsid w:val="6B12147B"/>
    <w:rsid w:val="6B12585C"/>
    <w:rsid w:val="6B19F5E5"/>
    <w:rsid w:val="6B1DE968"/>
    <w:rsid w:val="6B399FA9"/>
    <w:rsid w:val="6B3EC3E1"/>
    <w:rsid w:val="6B40F985"/>
    <w:rsid w:val="6B537B84"/>
    <w:rsid w:val="6B5CF813"/>
    <w:rsid w:val="6B628588"/>
    <w:rsid w:val="6B74930E"/>
    <w:rsid w:val="6B7516AA"/>
    <w:rsid w:val="6B8E644E"/>
    <w:rsid w:val="6BB5C7BD"/>
    <w:rsid w:val="6BC8A63B"/>
    <w:rsid w:val="6BC8B599"/>
    <w:rsid w:val="6BD4C7D1"/>
    <w:rsid w:val="6BF337DD"/>
    <w:rsid w:val="6BF50D5F"/>
    <w:rsid w:val="6BF7EF50"/>
    <w:rsid w:val="6BFBD38C"/>
    <w:rsid w:val="6C27861A"/>
    <w:rsid w:val="6C2C3FAB"/>
    <w:rsid w:val="6C4EFB64"/>
    <w:rsid w:val="6C4F4640"/>
    <w:rsid w:val="6C556013"/>
    <w:rsid w:val="6C6C0CDC"/>
    <w:rsid w:val="6C7C0221"/>
    <w:rsid w:val="6C7C3032"/>
    <w:rsid w:val="6C7EDE1B"/>
    <w:rsid w:val="6C8FA901"/>
    <w:rsid w:val="6C9FFF7E"/>
    <w:rsid w:val="6CB9F333"/>
    <w:rsid w:val="6CC800A4"/>
    <w:rsid w:val="6CF3D905"/>
    <w:rsid w:val="6CF7B276"/>
    <w:rsid w:val="6D0E7C75"/>
    <w:rsid w:val="6D0E80D1"/>
    <w:rsid w:val="6D111B6E"/>
    <w:rsid w:val="6D156E10"/>
    <w:rsid w:val="6D16283C"/>
    <w:rsid w:val="6D1B3144"/>
    <w:rsid w:val="6D1DEDC4"/>
    <w:rsid w:val="6D34503C"/>
    <w:rsid w:val="6D38AA62"/>
    <w:rsid w:val="6D556D6F"/>
    <w:rsid w:val="6D6686C1"/>
    <w:rsid w:val="6D669B17"/>
    <w:rsid w:val="6D840909"/>
    <w:rsid w:val="6D9E57A8"/>
    <w:rsid w:val="6D9FBE14"/>
    <w:rsid w:val="6DA1DA09"/>
    <w:rsid w:val="6DAA3787"/>
    <w:rsid w:val="6DAF9AD7"/>
    <w:rsid w:val="6DB3E444"/>
    <w:rsid w:val="6DCD0B55"/>
    <w:rsid w:val="6DD00EB5"/>
    <w:rsid w:val="6DD5363D"/>
    <w:rsid w:val="6DD90D40"/>
    <w:rsid w:val="6DD94A30"/>
    <w:rsid w:val="6DFC10F7"/>
    <w:rsid w:val="6E0130B8"/>
    <w:rsid w:val="6E0C0734"/>
    <w:rsid w:val="6E0CB16B"/>
    <w:rsid w:val="6E2AE7FA"/>
    <w:rsid w:val="6E322221"/>
    <w:rsid w:val="6E595ACC"/>
    <w:rsid w:val="6E5A8EB3"/>
    <w:rsid w:val="6E76E6B1"/>
    <w:rsid w:val="6E7D3077"/>
    <w:rsid w:val="6E8A31F8"/>
    <w:rsid w:val="6E8E47F5"/>
    <w:rsid w:val="6E9171C7"/>
    <w:rsid w:val="6E9417A8"/>
    <w:rsid w:val="6EA9998D"/>
    <w:rsid w:val="6EB113CF"/>
    <w:rsid w:val="6EB28396"/>
    <w:rsid w:val="6EC288B6"/>
    <w:rsid w:val="6EC2B890"/>
    <w:rsid w:val="6EC9EDC9"/>
    <w:rsid w:val="6F0850A2"/>
    <w:rsid w:val="6F0CA04F"/>
    <w:rsid w:val="6F1BBCEE"/>
    <w:rsid w:val="6F326A33"/>
    <w:rsid w:val="6F3321A4"/>
    <w:rsid w:val="6F447E95"/>
    <w:rsid w:val="6F4BFDF3"/>
    <w:rsid w:val="6F5867C8"/>
    <w:rsid w:val="6F6780D8"/>
    <w:rsid w:val="6F6AE704"/>
    <w:rsid w:val="6F733A7D"/>
    <w:rsid w:val="6F7561A5"/>
    <w:rsid w:val="6F81F2E4"/>
    <w:rsid w:val="6F941B6D"/>
    <w:rsid w:val="6F995CAF"/>
    <w:rsid w:val="6FBF330F"/>
    <w:rsid w:val="6FC53CBB"/>
    <w:rsid w:val="6FCA9D3E"/>
    <w:rsid w:val="6FD0728B"/>
    <w:rsid w:val="6FD45F51"/>
    <w:rsid w:val="6FDF4BA0"/>
    <w:rsid w:val="6FE9E0E8"/>
    <w:rsid w:val="700E5FCD"/>
    <w:rsid w:val="704D04B9"/>
    <w:rsid w:val="705A8FD2"/>
    <w:rsid w:val="7069DFD5"/>
    <w:rsid w:val="707A4826"/>
    <w:rsid w:val="707E9006"/>
    <w:rsid w:val="70A650FC"/>
    <w:rsid w:val="70ACFE55"/>
    <w:rsid w:val="70AF9118"/>
    <w:rsid w:val="70B4B03B"/>
    <w:rsid w:val="70B75E62"/>
    <w:rsid w:val="70C7C58E"/>
    <w:rsid w:val="71009925"/>
    <w:rsid w:val="710D4D72"/>
    <w:rsid w:val="71108978"/>
    <w:rsid w:val="711F9948"/>
    <w:rsid w:val="712B65E3"/>
    <w:rsid w:val="713ADE44"/>
    <w:rsid w:val="71580D13"/>
    <w:rsid w:val="71614B59"/>
    <w:rsid w:val="716DB66D"/>
    <w:rsid w:val="71833CD5"/>
    <w:rsid w:val="7189012F"/>
    <w:rsid w:val="7189A2C2"/>
    <w:rsid w:val="7190BA82"/>
    <w:rsid w:val="7193B5B9"/>
    <w:rsid w:val="71A38702"/>
    <w:rsid w:val="71A539CD"/>
    <w:rsid w:val="71B33609"/>
    <w:rsid w:val="71B40EBA"/>
    <w:rsid w:val="71C744E4"/>
    <w:rsid w:val="71CB0343"/>
    <w:rsid w:val="71CCC842"/>
    <w:rsid w:val="71D6778C"/>
    <w:rsid w:val="71DA69EF"/>
    <w:rsid w:val="71DAB116"/>
    <w:rsid w:val="71E1AA70"/>
    <w:rsid w:val="71E45741"/>
    <w:rsid w:val="71ED050A"/>
    <w:rsid w:val="71F03CB5"/>
    <w:rsid w:val="72018DA1"/>
    <w:rsid w:val="720437AF"/>
    <w:rsid w:val="722766E5"/>
    <w:rsid w:val="722F842E"/>
    <w:rsid w:val="7238FB5F"/>
    <w:rsid w:val="723B5F39"/>
    <w:rsid w:val="7241B7AD"/>
    <w:rsid w:val="72435B38"/>
    <w:rsid w:val="726C494C"/>
    <w:rsid w:val="72755FB8"/>
    <w:rsid w:val="728CFEF5"/>
    <w:rsid w:val="728F2B29"/>
    <w:rsid w:val="72A4CCE6"/>
    <w:rsid w:val="72A68174"/>
    <w:rsid w:val="72C1DDD3"/>
    <w:rsid w:val="72D5DFC9"/>
    <w:rsid w:val="72D5FD52"/>
    <w:rsid w:val="72D96ACD"/>
    <w:rsid w:val="72DF2BA9"/>
    <w:rsid w:val="72EC048E"/>
    <w:rsid w:val="72F06B4C"/>
    <w:rsid w:val="72FD5308"/>
    <w:rsid w:val="73320929"/>
    <w:rsid w:val="7335449A"/>
    <w:rsid w:val="733D3562"/>
    <w:rsid w:val="734AF77F"/>
    <w:rsid w:val="73558CB4"/>
    <w:rsid w:val="735A682B"/>
    <w:rsid w:val="735C9256"/>
    <w:rsid w:val="73820BA2"/>
    <w:rsid w:val="7382407B"/>
    <w:rsid w:val="73899F35"/>
    <w:rsid w:val="7389F451"/>
    <w:rsid w:val="7392BDF5"/>
    <w:rsid w:val="73966D7C"/>
    <w:rsid w:val="73A02AE4"/>
    <w:rsid w:val="73ADADEB"/>
    <w:rsid w:val="73E30C12"/>
    <w:rsid w:val="73E7A029"/>
    <w:rsid w:val="73E91031"/>
    <w:rsid w:val="7403E421"/>
    <w:rsid w:val="740E2E09"/>
    <w:rsid w:val="742167D2"/>
    <w:rsid w:val="7427BE5E"/>
    <w:rsid w:val="742A518B"/>
    <w:rsid w:val="7431C19D"/>
    <w:rsid w:val="74384BF9"/>
    <w:rsid w:val="743C370B"/>
    <w:rsid w:val="744910BD"/>
    <w:rsid w:val="74530B50"/>
    <w:rsid w:val="745ACFFD"/>
    <w:rsid w:val="746BBB77"/>
    <w:rsid w:val="74868A44"/>
    <w:rsid w:val="7492E616"/>
    <w:rsid w:val="749CB683"/>
    <w:rsid w:val="74A39B95"/>
    <w:rsid w:val="74D0E80C"/>
    <w:rsid w:val="74F1FD12"/>
    <w:rsid w:val="74F6CA6B"/>
    <w:rsid w:val="75074F8B"/>
    <w:rsid w:val="751C3DE0"/>
    <w:rsid w:val="7528CE42"/>
    <w:rsid w:val="752C21F2"/>
    <w:rsid w:val="752E51FF"/>
    <w:rsid w:val="753ADFFB"/>
    <w:rsid w:val="753CA5BE"/>
    <w:rsid w:val="7564A5DD"/>
    <w:rsid w:val="75698A5D"/>
    <w:rsid w:val="756AAE47"/>
    <w:rsid w:val="757B26B7"/>
    <w:rsid w:val="75844DAD"/>
    <w:rsid w:val="75939891"/>
    <w:rsid w:val="7593D5D0"/>
    <w:rsid w:val="7595CAE0"/>
    <w:rsid w:val="759C4EF2"/>
    <w:rsid w:val="759F3EDC"/>
    <w:rsid w:val="75A0CCA4"/>
    <w:rsid w:val="75A4A962"/>
    <w:rsid w:val="75B2BEED"/>
    <w:rsid w:val="75B397B6"/>
    <w:rsid w:val="75BFA1FF"/>
    <w:rsid w:val="75CE6AA0"/>
    <w:rsid w:val="75DADC43"/>
    <w:rsid w:val="75DE4B05"/>
    <w:rsid w:val="75E24A81"/>
    <w:rsid w:val="75E2542D"/>
    <w:rsid w:val="75E4089D"/>
    <w:rsid w:val="75FA73AA"/>
    <w:rsid w:val="7603DCBA"/>
    <w:rsid w:val="76050AE0"/>
    <w:rsid w:val="7611433E"/>
    <w:rsid w:val="761A59E0"/>
    <w:rsid w:val="76291134"/>
    <w:rsid w:val="762CACBD"/>
    <w:rsid w:val="76520D49"/>
    <w:rsid w:val="7656AE2F"/>
    <w:rsid w:val="76575CCD"/>
    <w:rsid w:val="7663AD09"/>
    <w:rsid w:val="76804DC0"/>
    <w:rsid w:val="768B09C7"/>
    <w:rsid w:val="768CD73D"/>
    <w:rsid w:val="769B68E0"/>
    <w:rsid w:val="769B98F6"/>
    <w:rsid w:val="76E36F1A"/>
    <w:rsid w:val="76EB44E2"/>
    <w:rsid w:val="76F75E5B"/>
    <w:rsid w:val="76F80768"/>
    <w:rsid w:val="76FD34BE"/>
    <w:rsid w:val="76FDC7A7"/>
    <w:rsid w:val="77126B2E"/>
    <w:rsid w:val="7716C3B9"/>
    <w:rsid w:val="7719407E"/>
    <w:rsid w:val="77197EF7"/>
    <w:rsid w:val="77309D6C"/>
    <w:rsid w:val="77367C37"/>
    <w:rsid w:val="773F7104"/>
    <w:rsid w:val="774FCB09"/>
    <w:rsid w:val="775A1057"/>
    <w:rsid w:val="777ACEF0"/>
    <w:rsid w:val="777B43DA"/>
    <w:rsid w:val="777FAAA3"/>
    <w:rsid w:val="7783BB48"/>
    <w:rsid w:val="7784C882"/>
    <w:rsid w:val="77A4F965"/>
    <w:rsid w:val="77A78EE3"/>
    <w:rsid w:val="77B07E9E"/>
    <w:rsid w:val="77B16B7B"/>
    <w:rsid w:val="77B2344A"/>
    <w:rsid w:val="77BB3AEA"/>
    <w:rsid w:val="77D38AC2"/>
    <w:rsid w:val="77D67E8F"/>
    <w:rsid w:val="77E52DC1"/>
    <w:rsid w:val="77F238D3"/>
    <w:rsid w:val="78013BAC"/>
    <w:rsid w:val="7822352E"/>
    <w:rsid w:val="782B2128"/>
    <w:rsid w:val="782E944B"/>
    <w:rsid w:val="783CF080"/>
    <w:rsid w:val="784956E7"/>
    <w:rsid w:val="784D7049"/>
    <w:rsid w:val="7854853C"/>
    <w:rsid w:val="78548A28"/>
    <w:rsid w:val="78563601"/>
    <w:rsid w:val="7856AAF9"/>
    <w:rsid w:val="785831C8"/>
    <w:rsid w:val="78592554"/>
    <w:rsid w:val="7864D926"/>
    <w:rsid w:val="787F823E"/>
    <w:rsid w:val="789D97BE"/>
    <w:rsid w:val="78AD223E"/>
    <w:rsid w:val="78BA342F"/>
    <w:rsid w:val="78BBD2E0"/>
    <w:rsid w:val="78BFD9E2"/>
    <w:rsid w:val="78FA0C21"/>
    <w:rsid w:val="78FCDF91"/>
    <w:rsid w:val="78FDD419"/>
    <w:rsid w:val="790B897F"/>
    <w:rsid w:val="7914B821"/>
    <w:rsid w:val="7915A22E"/>
    <w:rsid w:val="791C3BCF"/>
    <w:rsid w:val="792C08B9"/>
    <w:rsid w:val="79394A78"/>
    <w:rsid w:val="7939FE38"/>
    <w:rsid w:val="793E9EE9"/>
    <w:rsid w:val="79470D29"/>
    <w:rsid w:val="7947B396"/>
    <w:rsid w:val="79499BAC"/>
    <w:rsid w:val="795037ED"/>
    <w:rsid w:val="79553034"/>
    <w:rsid w:val="79595BFB"/>
    <w:rsid w:val="796A272D"/>
    <w:rsid w:val="797BF280"/>
    <w:rsid w:val="79877E79"/>
    <w:rsid w:val="798B61D6"/>
    <w:rsid w:val="79A18C83"/>
    <w:rsid w:val="79B4A0BD"/>
    <w:rsid w:val="79B75BFD"/>
    <w:rsid w:val="79B81110"/>
    <w:rsid w:val="79B9FFFC"/>
    <w:rsid w:val="79C53C96"/>
    <w:rsid w:val="79C5D705"/>
    <w:rsid w:val="79D0B27B"/>
    <w:rsid w:val="79D91C66"/>
    <w:rsid w:val="79EAA8FC"/>
    <w:rsid w:val="79F79E8E"/>
    <w:rsid w:val="7A0E0855"/>
    <w:rsid w:val="7A0E18ED"/>
    <w:rsid w:val="7A0E35A1"/>
    <w:rsid w:val="7A17B402"/>
    <w:rsid w:val="7A1D9C86"/>
    <w:rsid w:val="7A2AD585"/>
    <w:rsid w:val="7A42CD85"/>
    <w:rsid w:val="7A56F046"/>
    <w:rsid w:val="7A629D12"/>
    <w:rsid w:val="7A644512"/>
    <w:rsid w:val="7A689A63"/>
    <w:rsid w:val="7A6BD09C"/>
    <w:rsid w:val="7A7098BA"/>
    <w:rsid w:val="7A816BE1"/>
    <w:rsid w:val="7A8DC375"/>
    <w:rsid w:val="7A941236"/>
    <w:rsid w:val="7A9CB584"/>
    <w:rsid w:val="7A9D0461"/>
    <w:rsid w:val="7A9EA63D"/>
    <w:rsid w:val="7AAD8E63"/>
    <w:rsid w:val="7AAE5ED0"/>
    <w:rsid w:val="7AB8FAEB"/>
    <w:rsid w:val="7AC89C45"/>
    <w:rsid w:val="7AF46CF9"/>
    <w:rsid w:val="7AF5A91C"/>
    <w:rsid w:val="7AF681E6"/>
    <w:rsid w:val="7AFB4966"/>
    <w:rsid w:val="7B0A2DD1"/>
    <w:rsid w:val="7B1D6232"/>
    <w:rsid w:val="7B25DCC6"/>
    <w:rsid w:val="7B410DD7"/>
    <w:rsid w:val="7B456635"/>
    <w:rsid w:val="7B477C6F"/>
    <w:rsid w:val="7B4A485D"/>
    <w:rsid w:val="7B571BB0"/>
    <w:rsid w:val="7B6061C1"/>
    <w:rsid w:val="7B66BA8A"/>
    <w:rsid w:val="7B6E5D12"/>
    <w:rsid w:val="7B7EE416"/>
    <w:rsid w:val="7B876AA4"/>
    <w:rsid w:val="7BA85564"/>
    <w:rsid w:val="7BB8E13D"/>
    <w:rsid w:val="7BBEEFB6"/>
    <w:rsid w:val="7BD7DB6A"/>
    <w:rsid w:val="7BECA5F6"/>
    <w:rsid w:val="7BFF5265"/>
    <w:rsid w:val="7C056FCE"/>
    <w:rsid w:val="7C0945F1"/>
    <w:rsid w:val="7C09F188"/>
    <w:rsid w:val="7C0BE0E6"/>
    <w:rsid w:val="7C0C6293"/>
    <w:rsid w:val="7C14E722"/>
    <w:rsid w:val="7C20A935"/>
    <w:rsid w:val="7C24FF35"/>
    <w:rsid w:val="7C29947A"/>
    <w:rsid w:val="7C2BA974"/>
    <w:rsid w:val="7C3C1295"/>
    <w:rsid w:val="7C431B41"/>
    <w:rsid w:val="7C47478F"/>
    <w:rsid w:val="7C4D6C56"/>
    <w:rsid w:val="7C4F0087"/>
    <w:rsid w:val="7C56E36B"/>
    <w:rsid w:val="7C574B6B"/>
    <w:rsid w:val="7C5B1268"/>
    <w:rsid w:val="7C5BACA8"/>
    <w:rsid w:val="7C68DB9D"/>
    <w:rsid w:val="7C7865AB"/>
    <w:rsid w:val="7C7FDEDD"/>
    <w:rsid w:val="7C914848"/>
    <w:rsid w:val="7C98299E"/>
    <w:rsid w:val="7C9AF758"/>
    <w:rsid w:val="7CA6EF8C"/>
    <w:rsid w:val="7CAA91F7"/>
    <w:rsid w:val="7CB56A05"/>
    <w:rsid w:val="7CBEB920"/>
    <w:rsid w:val="7CD7C0AF"/>
    <w:rsid w:val="7CD7F189"/>
    <w:rsid w:val="7CE03857"/>
    <w:rsid w:val="7CFA2C4E"/>
    <w:rsid w:val="7CFB787C"/>
    <w:rsid w:val="7CFFE6C2"/>
    <w:rsid w:val="7D16FAC6"/>
    <w:rsid w:val="7D31D91F"/>
    <w:rsid w:val="7D3255F8"/>
    <w:rsid w:val="7D39B793"/>
    <w:rsid w:val="7D502D14"/>
    <w:rsid w:val="7D5E573A"/>
    <w:rsid w:val="7D72A888"/>
    <w:rsid w:val="7D72B9C2"/>
    <w:rsid w:val="7D784191"/>
    <w:rsid w:val="7D7DE756"/>
    <w:rsid w:val="7D92C377"/>
    <w:rsid w:val="7D97714B"/>
    <w:rsid w:val="7D9D6E75"/>
    <w:rsid w:val="7DA36DCE"/>
    <w:rsid w:val="7DB50205"/>
    <w:rsid w:val="7DBECB1B"/>
    <w:rsid w:val="7DC9F75D"/>
    <w:rsid w:val="7DCD4BD0"/>
    <w:rsid w:val="7DD0C164"/>
    <w:rsid w:val="7DD3220E"/>
    <w:rsid w:val="7DE736B5"/>
    <w:rsid w:val="7DEB2FF1"/>
    <w:rsid w:val="7DEC1FD8"/>
    <w:rsid w:val="7DEF2E5C"/>
    <w:rsid w:val="7DFE6E38"/>
    <w:rsid w:val="7DFEF7EA"/>
    <w:rsid w:val="7E06C2D6"/>
    <w:rsid w:val="7E09B8C5"/>
    <w:rsid w:val="7E0A46E8"/>
    <w:rsid w:val="7E1A029C"/>
    <w:rsid w:val="7E2870D3"/>
    <w:rsid w:val="7E3AEF2F"/>
    <w:rsid w:val="7E50B921"/>
    <w:rsid w:val="7E793982"/>
    <w:rsid w:val="7E86536F"/>
    <w:rsid w:val="7EA34F7A"/>
    <w:rsid w:val="7EA89B4E"/>
    <w:rsid w:val="7EAE44EB"/>
    <w:rsid w:val="7EB6D153"/>
    <w:rsid w:val="7EBC0B1E"/>
    <w:rsid w:val="7ECB6EA8"/>
    <w:rsid w:val="7F05EC4B"/>
    <w:rsid w:val="7F149CBA"/>
    <w:rsid w:val="7F1BCDA8"/>
    <w:rsid w:val="7F2EE0DF"/>
    <w:rsid w:val="7F30E66B"/>
    <w:rsid w:val="7F310158"/>
    <w:rsid w:val="7F336B55"/>
    <w:rsid w:val="7F3C149B"/>
    <w:rsid w:val="7F40B3A6"/>
    <w:rsid w:val="7F447415"/>
    <w:rsid w:val="7F5EF365"/>
    <w:rsid w:val="7F64FA39"/>
    <w:rsid w:val="7F68BF8C"/>
    <w:rsid w:val="7F68F0AF"/>
    <w:rsid w:val="7F6B9503"/>
    <w:rsid w:val="7F6E5992"/>
    <w:rsid w:val="7F714E54"/>
    <w:rsid w:val="7F80D3F9"/>
    <w:rsid w:val="7F8B13E0"/>
    <w:rsid w:val="7F906DC3"/>
    <w:rsid w:val="7F90F400"/>
    <w:rsid w:val="7F94A786"/>
    <w:rsid w:val="7F9C232D"/>
    <w:rsid w:val="7F9F3E60"/>
    <w:rsid w:val="7FA05ED4"/>
    <w:rsid w:val="7FA13ED8"/>
    <w:rsid w:val="7FBC05B5"/>
    <w:rsid w:val="7FBDF9F0"/>
    <w:rsid w:val="7FC4F0EC"/>
    <w:rsid w:val="7FC53E11"/>
    <w:rsid w:val="7FC61AE4"/>
    <w:rsid w:val="7FC9F62D"/>
    <w:rsid w:val="7FD11136"/>
    <w:rsid w:val="7FD755E7"/>
    <w:rsid w:val="7FE8440A"/>
    <w:rsid w:val="7FEAB666"/>
    <w:rsid w:val="7FF11FD1"/>
    <w:rsid w:val="7FF16C49"/>
    <w:rsid w:val="7FFFE4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E018E4"/>
  <w15:docId w15:val="{72EFC729-A2BC-497D-AB97-4C9C3537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F7AB4"/>
    <w:pPr>
      <w:keepNext/>
      <w:keepLines/>
      <w:spacing w:before="360" w:after="120" w:line="340" w:lineRule="atLeast"/>
      <w:outlineLvl w:val="1"/>
    </w:pPr>
    <w:rPr>
      <w:rFonts w:ascii="Arial" w:hAnsi="Arial"/>
      <w:b/>
      <w:color w:val="53565A"/>
      <w:sz w:val="34"/>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47091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F7AB4"/>
    <w:rPr>
      <w:rFonts w:ascii="Arial" w:hAnsi="Arial"/>
      <w:b/>
      <w:color w:val="53565A"/>
      <w:sz w:val="34"/>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Ind w:w="0" w:type="nil"/>
      <w:tblCellMar>
        <w:left w:w="0" w:type="dxa"/>
        <w:right w:w="0" w:type="dxa"/>
      </w:tblCellMar>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style>
  <w:style w:type="numbering" w:customStyle="1" w:styleId="ZZQuotebullets">
    <w:name w:val="ZZ Quote bullets"/>
    <w:basedOn w:val="ZZNumbersdigit"/>
    <w:rsid w:val="00C60411"/>
    <w:pPr>
      <w:numPr>
        <w:numId w:val="1"/>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4"/>
      </w:numPr>
    </w:pPr>
  </w:style>
  <w:style w:type="numbering" w:customStyle="1" w:styleId="ZZNumbersloweralpha">
    <w:name w:val="ZZ Numbers lower alpha"/>
    <w:basedOn w:val="NoList"/>
    <w:rsid w:val="00C60411"/>
    <w:pPr>
      <w:numPr>
        <w:numId w:val="17"/>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37248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Heading6Char">
    <w:name w:val="Heading 6 Char"/>
    <w:basedOn w:val="DefaultParagraphFont"/>
    <w:link w:val="Heading6"/>
    <w:uiPriority w:val="9"/>
    <w:semiHidden/>
    <w:rsid w:val="0047091E"/>
    <w:rPr>
      <w:rFonts w:asciiTheme="majorHAnsi" w:eastAsiaTheme="majorEastAsia" w:hAnsiTheme="majorHAnsi" w:cstheme="majorBidi"/>
      <w:color w:val="243F60" w:themeColor="accent1" w:themeShade="7F"/>
      <w:sz w:val="21"/>
      <w:lang w:eastAsia="en-US"/>
    </w:rPr>
  </w:style>
  <w:style w:type="paragraph" w:customStyle="1" w:styleId="DHHSbody">
    <w:name w:val="DHHS body"/>
    <w:qFormat/>
    <w:rsid w:val="00863C09"/>
    <w:pPr>
      <w:spacing w:after="120" w:line="270" w:lineRule="atLeast"/>
    </w:pPr>
    <w:rPr>
      <w:rFonts w:ascii="Arial" w:eastAsia="Times" w:hAnsi="Arial"/>
      <w:lang w:eastAsia="en-US"/>
    </w:rPr>
  </w:style>
  <w:style w:type="character" w:styleId="Mention">
    <w:name w:val="Mention"/>
    <w:basedOn w:val="DefaultParagraphFont"/>
    <w:uiPriority w:val="99"/>
    <w:unhideWhenUsed/>
    <w:rsid w:val="009207B4"/>
    <w:rPr>
      <w:color w:val="2B579A"/>
      <w:shd w:val="clear" w:color="auto" w:fill="E1DFDD"/>
    </w:rPr>
  </w:style>
  <w:style w:type="table" w:styleId="GridTable1Light-Accent1">
    <w:name w:val="Grid Table 1 Light Accent 1"/>
    <w:basedOn w:val="TableNormal"/>
    <w:uiPriority w:val="46"/>
    <w:rsid w:val="00E54AFA"/>
    <w:tblPr/>
    <w:tblStylePr w:type="firstRow">
      <w:rPr>
        <w:b/>
        <w:bCs/>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E54AFA"/>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Accent5">
    <w:name w:val="Grid Table 5 Dark Accent 5"/>
    <w:basedOn w:val="TableNormal"/>
    <w:uiPriority w:val="50"/>
    <w:rsid w:val="00744B2A"/>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rsid w:val="00744B2A"/>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ListTable4-Accent1">
    <w:name w:val="List Table 4 Accent 1"/>
    <w:basedOn w:val="TableNormal"/>
    <w:uiPriority w:val="49"/>
    <w:rsid w:val="0059254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8C0E4E"/>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3-Accent1">
    <w:name w:val="List Table 3 Accent 1"/>
    <w:basedOn w:val="TableNormal"/>
    <w:uiPriority w:val="48"/>
    <w:rsid w:val="004D6189"/>
    <w:tblPr>
      <w:tblStyleRowBandSize w:val="1"/>
      <w:tblStyleColBandSize w:val="1"/>
    </w:tblPr>
    <w:tcPr>
      <w:tcBorders>
        <w:left w:val="single" w:sz="4" w:space="0" w:color="4F81BD" w:themeColor="accent1"/>
        <w:right w:val="single" w:sz="4" w:space="0" w:color="4F81BD" w:themeColor="accent1"/>
      </w:tcBorders>
      <w:shd w:val="clear" w:color="auto" w:fill="4F81BD" w:themeFill="accent1"/>
    </w:tcPr>
    <w:tblStylePr w:type="firstRow">
      <w:rPr>
        <w:b/>
        <w:bCs/>
        <w:color w:val="FFFFFF" w:themeColor="background1"/>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Accent5">
    <w:name w:val="Grid Table 1 Light Accent 5"/>
    <w:basedOn w:val="TableNormal"/>
    <w:uiPriority w:val="46"/>
    <w:rsid w:val="004D6189"/>
    <w:tblPr>
      <w:tblStyleRowBandSize w:val="1"/>
      <w:tblStyleColBandSize w:val="1"/>
    </w:tblPr>
    <w:tcPr>
      <w:tcBorders>
        <w:bottom w:val="single" w:sz="12" w:space="0" w:color="92CDDC" w:themeColor="accent5"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ListTable4-Accent5">
    <w:name w:val="List Table 4 Accent 5"/>
    <w:basedOn w:val="TableNormal"/>
    <w:uiPriority w:val="49"/>
    <w:rsid w:val="0005478D"/>
    <w:tblPr>
      <w:tblStyleRowBandSize w:val="1"/>
      <w:tblStyleColBandSize w:val="1"/>
    </w:tblPr>
    <w:tcPr>
      <w:tcBorders>
        <w:left w:val="single" w:sz="4" w:space="0" w:color="4BACC6" w:themeColor="accent5"/>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3">
    <w:name w:val="List Table 3 Accent 3"/>
    <w:basedOn w:val="TableNormal"/>
    <w:uiPriority w:val="48"/>
    <w:rsid w:val="007B551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5">
    <w:name w:val="List Table 3 Accent 5"/>
    <w:basedOn w:val="TableNormal"/>
    <w:uiPriority w:val="48"/>
    <w:rsid w:val="007B551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4">
    <w:name w:val="List Table 4 Accent 4"/>
    <w:basedOn w:val="TableNormal"/>
    <w:uiPriority w:val="49"/>
    <w:rsid w:val="001C2E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
    <w:name w:val="List Table 3"/>
    <w:basedOn w:val="TableNormal"/>
    <w:uiPriority w:val="48"/>
    <w:rsid w:val="001C2E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Accent1">
    <w:name w:val="List Table 7 Colorful Accent 1"/>
    <w:basedOn w:val="TableNormal"/>
    <w:uiPriority w:val="52"/>
    <w:rsid w:val="002E6A07"/>
    <w:rPr>
      <w:color w:val="365F91" w:themeColor="accent1"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1Light-Accent1">
    <w:name w:val="List Table 1 Light Accent 1"/>
    <w:basedOn w:val="TableNormal"/>
    <w:uiPriority w:val="46"/>
    <w:rsid w:val="002E6A0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692738"/>
  </w:style>
  <w:style w:type="character" w:customStyle="1" w:styleId="HeaderChar">
    <w:name w:val="Header Char"/>
    <w:basedOn w:val="DefaultParagraphFont"/>
    <w:link w:val="Header"/>
    <w:uiPriority w:val="99"/>
    <w:rsid w:val="00692738"/>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9273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2936">
      <w:bodyDiv w:val="1"/>
      <w:marLeft w:val="0"/>
      <w:marRight w:val="0"/>
      <w:marTop w:val="0"/>
      <w:marBottom w:val="0"/>
      <w:divBdr>
        <w:top w:val="none" w:sz="0" w:space="0" w:color="auto"/>
        <w:left w:val="none" w:sz="0" w:space="0" w:color="auto"/>
        <w:bottom w:val="none" w:sz="0" w:space="0" w:color="auto"/>
        <w:right w:val="none" w:sz="0" w:space="0" w:color="auto"/>
      </w:divBdr>
      <w:divsChild>
        <w:div w:id="1527330989">
          <w:marLeft w:val="0"/>
          <w:marRight w:val="0"/>
          <w:marTop w:val="0"/>
          <w:marBottom w:val="180"/>
          <w:divBdr>
            <w:top w:val="none" w:sz="0" w:space="0" w:color="auto"/>
            <w:left w:val="none" w:sz="0" w:space="0" w:color="auto"/>
            <w:bottom w:val="none" w:sz="0" w:space="0" w:color="auto"/>
            <w:right w:val="none" w:sz="0" w:space="0" w:color="auto"/>
          </w:divBdr>
          <w:divsChild>
            <w:div w:id="1526477616">
              <w:marLeft w:val="0"/>
              <w:marRight w:val="0"/>
              <w:marTop w:val="0"/>
              <w:marBottom w:val="0"/>
              <w:divBdr>
                <w:top w:val="none" w:sz="0" w:space="0" w:color="auto"/>
                <w:left w:val="none" w:sz="0" w:space="0" w:color="auto"/>
                <w:bottom w:val="none" w:sz="0" w:space="0" w:color="auto"/>
                <w:right w:val="none" w:sz="0" w:space="0" w:color="auto"/>
              </w:divBdr>
              <w:divsChild>
                <w:div w:id="1121189964">
                  <w:marLeft w:val="30"/>
                  <w:marRight w:val="30"/>
                  <w:marTop w:val="0"/>
                  <w:marBottom w:val="0"/>
                  <w:divBdr>
                    <w:top w:val="none" w:sz="0" w:space="0" w:color="auto"/>
                    <w:left w:val="none" w:sz="0" w:space="0" w:color="auto"/>
                    <w:bottom w:val="none" w:sz="0" w:space="0" w:color="auto"/>
                    <w:right w:val="none" w:sz="0" w:space="0" w:color="auto"/>
                  </w:divBdr>
                  <w:divsChild>
                    <w:div w:id="40591752">
                      <w:marLeft w:val="0"/>
                      <w:marRight w:val="0"/>
                      <w:marTop w:val="0"/>
                      <w:marBottom w:val="0"/>
                      <w:divBdr>
                        <w:top w:val="none" w:sz="0" w:space="0" w:color="auto"/>
                        <w:left w:val="none" w:sz="0" w:space="0" w:color="auto"/>
                        <w:bottom w:val="none" w:sz="0" w:space="0" w:color="auto"/>
                        <w:right w:val="none" w:sz="0" w:space="0" w:color="auto"/>
                      </w:divBdr>
                      <w:divsChild>
                        <w:div w:id="1962227883">
                          <w:marLeft w:val="0"/>
                          <w:marRight w:val="0"/>
                          <w:marTop w:val="0"/>
                          <w:marBottom w:val="0"/>
                          <w:divBdr>
                            <w:top w:val="none" w:sz="0" w:space="0" w:color="auto"/>
                            <w:left w:val="none" w:sz="0" w:space="0" w:color="auto"/>
                            <w:bottom w:val="none" w:sz="0" w:space="0" w:color="auto"/>
                            <w:right w:val="none" w:sz="0" w:space="0" w:color="auto"/>
                          </w:divBdr>
                          <w:divsChild>
                            <w:div w:id="1414279118">
                              <w:marLeft w:val="0"/>
                              <w:marRight w:val="0"/>
                              <w:marTop w:val="0"/>
                              <w:marBottom w:val="480"/>
                              <w:divBdr>
                                <w:top w:val="none" w:sz="0" w:space="0" w:color="auto"/>
                                <w:left w:val="none" w:sz="0" w:space="0" w:color="auto"/>
                                <w:bottom w:val="none" w:sz="0" w:space="0" w:color="auto"/>
                                <w:right w:val="none" w:sz="0" w:space="0" w:color="auto"/>
                              </w:divBdr>
                              <w:divsChild>
                                <w:div w:id="1009603979">
                                  <w:marLeft w:val="0"/>
                                  <w:marRight w:val="0"/>
                                  <w:marTop w:val="0"/>
                                  <w:marBottom w:val="0"/>
                                  <w:divBdr>
                                    <w:top w:val="none" w:sz="0" w:space="0" w:color="auto"/>
                                    <w:left w:val="none" w:sz="0" w:space="0" w:color="auto"/>
                                    <w:bottom w:val="none" w:sz="0" w:space="0" w:color="auto"/>
                                    <w:right w:val="none" w:sz="0" w:space="0" w:color="auto"/>
                                  </w:divBdr>
                                  <w:divsChild>
                                    <w:div w:id="1945262878">
                                      <w:marLeft w:val="0"/>
                                      <w:marRight w:val="0"/>
                                      <w:marTop w:val="0"/>
                                      <w:marBottom w:val="0"/>
                                      <w:divBdr>
                                        <w:top w:val="none" w:sz="0" w:space="0" w:color="auto"/>
                                        <w:left w:val="none" w:sz="0" w:space="0" w:color="auto"/>
                                        <w:bottom w:val="none" w:sz="0" w:space="0" w:color="auto"/>
                                        <w:right w:val="none" w:sz="0" w:space="0" w:color="auto"/>
                                      </w:divBdr>
                                      <w:divsChild>
                                        <w:div w:id="1017776552">
                                          <w:marLeft w:val="0"/>
                                          <w:marRight w:val="0"/>
                                          <w:marTop w:val="0"/>
                                          <w:marBottom w:val="0"/>
                                          <w:divBdr>
                                            <w:top w:val="none" w:sz="0" w:space="0" w:color="auto"/>
                                            <w:left w:val="none" w:sz="0" w:space="0" w:color="auto"/>
                                            <w:bottom w:val="none" w:sz="0" w:space="0" w:color="auto"/>
                                            <w:right w:val="none" w:sz="0" w:space="0" w:color="auto"/>
                                          </w:divBdr>
                                          <w:divsChild>
                                            <w:div w:id="279461450">
                                              <w:marLeft w:val="0"/>
                                              <w:marRight w:val="0"/>
                                              <w:marTop w:val="0"/>
                                              <w:marBottom w:val="0"/>
                                              <w:divBdr>
                                                <w:top w:val="none" w:sz="0" w:space="0" w:color="auto"/>
                                                <w:left w:val="none" w:sz="0" w:space="0" w:color="auto"/>
                                                <w:bottom w:val="none" w:sz="0" w:space="0" w:color="auto"/>
                                                <w:right w:val="none" w:sz="0" w:space="0" w:color="auto"/>
                                              </w:divBdr>
                                              <w:divsChild>
                                                <w:div w:id="1452674249">
                                                  <w:marLeft w:val="0"/>
                                                  <w:marRight w:val="0"/>
                                                  <w:marTop w:val="0"/>
                                                  <w:marBottom w:val="0"/>
                                                  <w:divBdr>
                                                    <w:top w:val="none" w:sz="0" w:space="0" w:color="auto"/>
                                                    <w:left w:val="none" w:sz="0" w:space="0" w:color="auto"/>
                                                    <w:bottom w:val="none" w:sz="0" w:space="0" w:color="auto"/>
                                                    <w:right w:val="none" w:sz="0" w:space="0" w:color="auto"/>
                                                  </w:divBdr>
                                                  <w:divsChild>
                                                    <w:div w:id="319358431">
                                                      <w:marLeft w:val="0"/>
                                                      <w:marRight w:val="0"/>
                                                      <w:marTop w:val="0"/>
                                                      <w:marBottom w:val="0"/>
                                                      <w:divBdr>
                                                        <w:top w:val="none" w:sz="0" w:space="0" w:color="auto"/>
                                                        <w:left w:val="none" w:sz="0" w:space="0" w:color="auto"/>
                                                        <w:bottom w:val="none" w:sz="0" w:space="0" w:color="auto"/>
                                                        <w:right w:val="none" w:sz="0" w:space="0" w:color="auto"/>
                                                      </w:divBdr>
                                                      <w:divsChild>
                                                        <w:div w:id="334189377">
                                                          <w:marLeft w:val="0"/>
                                                          <w:marRight w:val="0"/>
                                                          <w:marTop w:val="0"/>
                                                          <w:marBottom w:val="0"/>
                                                          <w:divBdr>
                                                            <w:top w:val="none" w:sz="0" w:space="0" w:color="auto"/>
                                                            <w:left w:val="none" w:sz="0" w:space="0" w:color="auto"/>
                                                            <w:bottom w:val="none" w:sz="0" w:space="0" w:color="auto"/>
                                                            <w:right w:val="none" w:sz="0" w:space="0" w:color="auto"/>
                                                          </w:divBdr>
                                                          <w:divsChild>
                                                            <w:div w:id="7091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149380">
          <w:marLeft w:val="0"/>
          <w:marRight w:val="0"/>
          <w:marTop w:val="0"/>
          <w:marBottom w:val="180"/>
          <w:divBdr>
            <w:top w:val="none" w:sz="0" w:space="0" w:color="auto"/>
            <w:left w:val="none" w:sz="0" w:space="0" w:color="auto"/>
            <w:bottom w:val="none" w:sz="0" w:space="0" w:color="auto"/>
            <w:right w:val="none" w:sz="0" w:space="0" w:color="auto"/>
          </w:divBdr>
          <w:divsChild>
            <w:div w:id="208274151">
              <w:marLeft w:val="0"/>
              <w:marRight w:val="0"/>
              <w:marTop w:val="0"/>
              <w:marBottom w:val="0"/>
              <w:divBdr>
                <w:top w:val="none" w:sz="0" w:space="0" w:color="auto"/>
                <w:left w:val="none" w:sz="0" w:space="0" w:color="auto"/>
                <w:bottom w:val="none" w:sz="0" w:space="0" w:color="auto"/>
                <w:right w:val="none" w:sz="0" w:space="0" w:color="auto"/>
              </w:divBdr>
              <w:divsChild>
                <w:div w:id="203753883">
                  <w:marLeft w:val="30"/>
                  <w:marRight w:val="30"/>
                  <w:marTop w:val="0"/>
                  <w:marBottom w:val="0"/>
                  <w:divBdr>
                    <w:top w:val="none" w:sz="0" w:space="0" w:color="auto"/>
                    <w:left w:val="none" w:sz="0" w:space="0" w:color="auto"/>
                    <w:bottom w:val="none" w:sz="0" w:space="0" w:color="auto"/>
                    <w:right w:val="none" w:sz="0" w:space="0" w:color="auto"/>
                  </w:divBdr>
                  <w:divsChild>
                    <w:div w:id="2114934707">
                      <w:marLeft w:val="0"/>
                      <w:marRight w:val="0"/>
                      <w:marTop w:val="0"/>
                      <w:marBottom w:val="0"/>
                      <w:divBdr>
                        <w:top w:val="none" w:sz="0" w:space="0" w:color="auto"/>
                        <w:left w:val="none" w:sz="0" w:space="0" w:color="auto"/>
                        <w:bottom w:val="none" w:sz="0" w:space="0" w:color="auto"/>
                        <w:right w:val="none" w:sz="0" w:space="0" w:color="auto"/>
                      </w:divBdr>
                      <w:divsChild>
                        <w:div w:id="654451414">
                          <w:marLeft w:val="0"/>
                          <w:marRight w:val="0"/>
                          <w:marTop w:val="0"/>
                          <w:marBottom w:val="0"/>
                          <w:divBdr>
                            <w:top w:val="none" w:sz="0" w:space="0" w:color="auto"/>
                            <w:left w:val="none" w:sz="0" w:space="0" w:color="auto"/>
                            <w:bottom w:val="none" w:sz="0" w:space="0" w:color="auto"/>
                            <w:right w:val="none" w:sz="0" w:space="0" w:color="auto"/>
                          </w:divBdr>
                          <w:divsChild>
                            <w:div w:id="418480074">
                              <w:marLeft w:val="0"/>
                              <w:marRight w:val="0"/>
                              <w:marTop w:val="0"/>
                              <w:marBottom w:val="480"/>
                              <w:divBdr>
                                <w:top w:val="none" w:sz="0" w:space="0" w:color="auto"/>
                                <w:left w:val="none" w:sz="0" w:space="0" w:color="auto"/>
                                <w:bottom w:val="none" w:sz="0" w:space="0" w:color="auto"/>
                                <w:right w:val="none" w:sz="0" w:space="0" w:color="auto"/>
                              </w:divBdr>
                              <w:divsChild>
                                <w:div w:id="135421098">
                                  <w:marLeft w:val="0"/>
                                  <w:marRight w:val="0"/>
                                  <w:marTop w:val="0"/>
                                  <w:marBottom w:val="0"/>
                                  <w:divBdr>
                                    <w:top w:val="none" w:sz="0" w:space="0" w:color="auto"/>
                                    <w:left w:val="none" w:sz="0" w:space="0" w:color="auto"/>
                                    <w:bottom w:val="none" w:sz="0" w:space="0" w:color="auto"/>
                                    <w:right w:val="none" w:sz="0" w:space="0" w:color="auto"/>
                                  </w:divBdr>
                                  <w:divsChild>
                                    <w:div w:id="343634835">
                                      <w:marLeft w:val="0"/>
                                      <w:marRight w:val="0"/>
                                      <w:marTop w:val="0"/>
                                      <w:marBottom w:val="0"/>
                                      <w:divBdr>
                                        <w:top w:val="none" w:sz="0" w:space="0" w:color="auto"/>
                                        <w:left w:val="none" w:sz="0" w:space="0" w:color="auto"/>
                                        <w:bottom w:val="none" w:sz="0" w:space="0" w:color="auto"/>
                                        <w:right w:val="none" w:sz="0" w:space="0" w:color="auto"/>
                                      </w:divBdr>
                                      <w:divsChild>
                                        <w:div w:id="635066591">
                                          <w:marLeft w:val="0"/>
                                          <w:marRight w:val="0"/>
                                          <w:marTop w:val="0"/>
                                          <w:marBottom w:val="0"/>
                                          <w:divBdr>
                                            <w:top w:val="none" w:sz="0" w:space="0" w:color="auto"/>
                                            <w:left w:val="none" w:sz="0" w:space="0" w:color="auto"/>
                                            <w:bottom w:val="none" w:sz="0" w:space="0" w:color="auto"/>
                                            <w:right w:val="none" w:sz="0" w:space="0" w:color="auto"/>
                                          </w:divBdr>
                                          <w:divsChild>
                                            <w:div w:id="1662460758">
                                              <w:marLeft w:val="0"/>
                                              <w:marRight w:val="0"/>
                                              <w:marTop w:val="0"/>
                                              <w:marBottom w:val="0"/>
                                              <w:divBdr>
                                                <w:top w:val="none" w:sz="0" w:space="0" w:color="auto"/>
                                                <w:left w:val="none" w:sz="0" w:space="0" w:color="auto"/>
                                                <w:bottom w:val="none" w:sz="0" w:space="0" w:color="auto"/>
                                                <w:right w:val="none" w:sz="0" w:space="0" w:color="auto"/>
                                              </w:divBdr>
                                              <w:divsChild>
                                                <w:div w:id="1766874481">
                                                  <w:marLeft w:val="0"/>
                                                  <w:marRight w:val="0"/>
                                                  <w:marTop w:val="0"/>
                                                  <w:marBottom w:val="0"/>
                                                  <w:divBdr>
                                                    <w:top w:val="none" w:sz="0" w:space="0" w:color="auto"/>
                                                    <w:left w:val="none" w:sz="0" w:space="0" w:color="auto"/>
                                                    <w:bottom w:val="none" w:sz="0" w:space="0" w:color="auto"/>
                                                    <w:right w:val="none" w:sz="0" w:space="0" w:color="auto"/>
                                                  </w:divBdr>
                                                  <w:divsChild>
                                                    <w:div w:id="994138691">
                                                      <w:marLeft w:val="0"/>
                                                      <w:marRight w:val="0"/>
                                                      <w:marTop w:val="0"/>
                                                      <w:marBottom w:val="0"/>
                                                      <w:divBdr>
                                                        <w:top w:val="none" w:sz="0" w:space="0" w:color="auto"/>
                                                        <w:left w:val="none" w:sz="0" w:space="0" w:color="auto"/>
                                                        <w:bottom w:val="none" w:sz="0" w:space="0" w:color="auto"/>
                                                        <w:right w:val="none" w:sz="0" w:space="0" w:color="auto"/>
                                                      </w:divBdr>
                                                      <w:divsChild>
                                                        <w:div w:id="563838466">
                                                          <w:marLeft w:val="0"/>
                                                          <w:marRight w:val="0"/>
                                                          <w:marTop w:val="0"/>
                                                          <w:marBottom w:val="0"/>
                                                          <w:divBdr>
                                                            <w:top w:val="none" w:sz="0" w:space="0" w:color="auto"/>
                                                            <w:left w:val="none" w:sz="0" w:space="0" w:color="auto"/>
                                                            <w:bottom w:val="none" w:sz="0" w:space="0" w:color="auto"/>
                                                            <w:right w:val="none" w:sz="0" w:space="0" w:color="auto"/>
                                                          </w:divBdr>
                                                          <w:divsChild>
                                                            <w:div w:id="15667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124008">
                              <w:marLeft w:val="0"/>
                              <w:marRight w:val="0"/>
                              <w:marTop w:val="0"/>
                              <w:marBottom w:val="0"/>
                              <w:divBdr>
                                <w:top w:val="none" w:sz="0" w:space="0" w:color="auto"/>
                                <w:left w:val="none" w:sz="0" w:space="0" w:color="auto"/>
                                <w:bottom w:val="none" w:sz="0" w:space="0" w:color="auto"/>
                                <w:right w:val="none" w:sz="0" w:space="0" w:color="auto"/>
                              </w:divBdr>
                              <w:divsChild>
                                <w:div w:id="21083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433038">
              <w:marLeft w:val="0"/>
              <w:marRight w:val="0"/>
              <w:marTop w:val="0"/>
              <w:marBottom w:val="0"/>
              <w:divBdr>
                <w:top w:val="none" w:sz="0" w:space="0" w:color="auto"/>
                <w:left w:val="none" w:sz="0" w:space="0" w:color="auto"/>
                <w:bottom w:val="none" w:sz="0" w:space="0" w:color="auto"/>
                <w:right w:val="none" w:sz="0" w:space="0" w:color="auto"/>
              </w:divBdr>
              <w:divsChild>
                <w:div w:id="1059324454">
                  <w:marLeft w:val="0"/>
                  <w:marRight w:val="0"/>
                  <w:marTop w:val="0"/>
                  <w:marBottom w:val="0"/>
                  <w:divBdr>
                    <w:top w:val="none" w:sz="0" w:space="0" w:color="auto"/>
                    <w:left w:val="none" w:sz="0" w:space="0" w:color="auto"/>
                    <w:bottom w:val="none" w:sz="0" w:space="0" w:color="auto"/>
                    <w:right w:val="none" w:sz="0" w:space="0" w:color="auto"/>
                  </w:divBdr>
                  <w:divsChild>
                    <w:div w:id="1834105071">
                      <w:marLeft w:val="0"/>
                      <w:marRight w:val="0"/>
                      <w:marTop w:val="0"/>
                      <w:marBottom w:val="0"/>
                      <w:divBdr>
                        <w:top w:val="none" w:sz="0" w:space="0" w:color="auto"/>
                        <w:left w:val="none" w:sz="0" w:space="0" w:color="auto"/>
                        <w:bottom w:val="none" w:sz="0" w:space="0" w:color="auto"/>
                        <w:right w:val="none" w:sz="0" w:space="0" w:color="auto"/>
                      </w:divBdr>
                      <w:divsChild>
                        <w:div w:id="535822963">
                          <w:marLeft w:val="0"/>
                          <w:marRight w:val="0"/>
                          <w:marTop w:val="0"/>
                          <w:marBottom w:val="0"/>
                          <w:divBdr>
                            <w:top w:val="single" w:sz="4" w:space="6" w:color="auto"/>
                            <w:left w:val="single" w:sz="4" w:space="12" w:color="auto"/>
                            <w:bottom w:val="single" w:sz="4" w:space="6" w:color="auto"/>
                            <w:right w:val="single" w:sz="4" w:space="12" w:color="auto"/>
                          </w:divBdr>
                          <w:divsChild>
                            <w:div w:id="15859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7718410">
      <w:bodyDiv w:val="1"/>
      <w:marLeft w:val="0"/>
      <w:marRight w:val="0"/>
      <w:marTop w:val="0"/>
      <w:marBottom w:val="0"/>
      <w:divBdr>
        <w:top w:val="none" w:sz="0" w:space="0" w:color="auto"/>
        <w:left w:val="none" w:sz="0" w:space="0" w:color="auto"/>
        <w:bottom w:val="none" w:sz="0" w:space="0" w:color="auto"/>
        <w:right w:val="none" w:sz="0" w:space="0" w:color="auto"/>
      </w:divBdr>
    </w:div>
    <w:div w:id="224343194">
      <w:bodyDiv w:val="1"/>
      <w:marLeft w:val="0"/>
      <w:marRight w:val="0"/>
      <w:marTop w:val="0"/>
      <w:marBottom w:val="0"/>
      <w:divBdr>
        <w:top w:val="none" w:sz="0" w:space="0" w:color="auto"/>
        <w:left w:val="none" w:sz="0" w:space="0" w:color="auto"/>
        <w:bottom w:val="none" w:sz="0" w:space="0" w:color="auto"/>
        <w:right w:val="none" w:sz="0" w:space="0" w:color="auto"/>
      </w:divBdr>
      <w:divsChild>
        <w:div w:id="326521045">
          <w:marLeft w:val="0"/>
          <w:marRight w:val="0"/>
          <w:marTop w:val="0"/>
          <w:marBottom w:val="0"/>
          <w:divBdr>
            <w:top w:val="none" w:sz="0" w:space="0" w:color="auto"/>
            <w:left w:val="none" w:sz="0" w:space="0" w:color="auto"/>
            <w:bottom w:val="none" w:sz="0" w:space="0" w:color="auto"/>
            <w:right w:val="none" w:sz="0" w:space="0" w:color="auto"/>
          </w:divBdr>
        </w:div>
        <w:div w:id="445080139">
          <w:marLeft w:val="0"/>
          <w:marRight w:val="0"/>
          <w:marTop w:val="0"/>
          <w:marBottom w:val="0"/>
          <w:divBdr>
            <w:top w:val="none" w:sz="0" w:space="0" w:color="auto"/>
            <w:left w:val="none" w:sz="0" w:space="0" w:color="auto"/>
            <w:bottom w:val="none" w:sz="0" w:space="0" w:color="auto"/>
            <w:right w:val="none" w:sz="0" w:space="0" w:color="auto"/>
          </w:divBdr>
        </w:div>
        <w:div w:id="519974138">
          <w:marLeft w:val="0"/>
          <w:marRight w:val="0"/>
          <w:marTop w:val="0"/>
          <w:marBottom w:val="0"/>
          <w:divBdr>
            <w:top w:val="none" w:sz="0" w:space="0" w:color="auto"/>
            <w:left w:val="none" w:sz="0" w:space="0" w:color="auto"/>
            <w:bottom w:val="none" w:sz="0" w:space="0" w:color="auto"/>
            <w:right w:val="none" w:sz="0" w:space="0" w:color="auto"/>
          </w:divBdr>
        </w:div>
        <w:div w:id="782383321">
          <w:marLeft w:val="0"/>
          <w:marRight w:val="0"/>
          <w:marTop w:val="0"/>
          <w:marBottom w:val="0"/>
          <w:divBdr>
            <w:top w:val="none" w:sz="0" w:space="0" w:color="auto"/>
            <w:left w:val="none" w:sz="0" w:space="0" w:color="auto"/>
            <w:bottom w:val="none" w:sz="0" w:space="0" w:color="auto"/>
            <w:right w:val="none" w:sz="0" w:space="0" w:color="auto"/>
          </w:divBdr>
        </w:div>
        <w:div w:id="1865702841">
          <w:marLeft w:val="0"/>
          <w:marRight w:val="0"/>
          <w:marTop w:val="0"/>
          <w:marBottom w:val="0"/>
          <w:divBdr>
            <w:top w:val="none" w:sz="0" w:space="0" w:color="auto"/>
            <w:left w:val="none" w:sz="0" w:space="0" w:color="auto"/>
            <w:bottom w:val="none" w:sz="0" w:space="0" w:color="auto"/>
            <w:right w:val="none" w:sz="0" w:space="0" w:color="auto"/>
          </w:divBdr>
        </w:div>
        <w:div w:id="2046785342">
          <w:marLeft w:val="0"/>
          <w:marRight w:val="0"/>
          <w:marTop w:val="0"/>
          <w:marBottom w:val="0"/>
          <w:divBdr>
            <w:top w:val="none" w:sz="0" w:space="0" w:color="auto"/>
            <w:left w:val="none" w:sz="0" w:space="0" w:color="auto"/>
            <w:bottom w:val="none" w:sz="0" w:space="0" w:color="auto"/>
            <w:right w:val="none" w:sz="0" w:space="0" w:color="auto"/>
          </w:divBdr>
        </w:div>
      </w:divsChild>
    </w:div>
    <w:div w:id="270433666">
      <w:bodyDiv w:val="1"/>
      <w:marLeft w:val="0"/>
      <w:marRight w:val="0"/>
      <w:marTop w:val="0"/>
      <w:marBottom w:val="0"/>
      <w:divBdr>
        <w:top w:val="none" w:sz="0" w:space="0" w:color="auto"/>
        <w:left w:val="none" w:sz="0" w:space="0" w:color="auto"/>
        <w:bottom w:val="none" w:sz="0" w:space="0" w:color="auto"/>
        <w:right w:val="none" w:sz="0" w:space="0" w:color="auto"/>
      </w:divBdr>
    </w:div>
    <w:div w:id="29380079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9311208">
      <w:bodyDiv w:val="1"/>
      <w:marLeft w:val="0"/>
      <w:marRight w:val="0"/>
      <w:marTop w:val="0"/>
      <w:marBottom w:val="0"/>
      <w:divBdr>
        <w:top w:val="none" w:sz="0" w:space="0" w:color="auto"/>
        <w:left w:val="none" w:sz="0" w:space="0" w:color="auto"/>
        <w:bottom w:val="none" w:sz="0" w:space="0" w:color="auto"/>
        <w:right w:val="none" w:sz="0" w:space="0" w:color="auto"/>
      </w:divBdr>
    </w:div>
    <w:div w:id="326057597">
      <w:bodyDiv w:val="1"/>
      <w:marLeft w:val="0"/>
      <w:marRight w:val="0"/>
      <w:marTop w:val="0"/>
      <w:marBottom w:val="0"/>
      <w:divBdr>
        <w:top w:val="none" w:sz="0" w:space="0" w:color="auto"/>
        <w:left w:val="none" w:sz="0" w:space="0" w:color="auto"/>
        <w:bottom w:val="none" w:sz="0" w:space="0" w:color="auto"/>
        <w:right w:val="none" w:sz="0" w:space="0" w:color="auto"/>
      </w:divBdr>
    </w:div>
    <w:div w:id="340667850">
      <w:bodyDiv w:val="1"/>
      <w:marLeft w:val="0"/>
      <w:marRight w:val="0"/>
      <w:marTop w:val="0"/>
      <w:marBottom w:val="0"/>
      <w:divBdr>
        <w:top w:val="none" w:sz="0" w:space="0" w:color="auto"/>
        <w:left w:val="none" w:sz="0" w:space="0" w:color="auto"/>
        <w:bottom w:val="none" w:sz="0" w:space="0" w:color="auto"/>
        <w:right w:val="none" w:sz="0" w:space="0" w:color="auto"/>
      </w:divBdr>
    </w:div>
    <w:div w:id="378671044">
      <w:bodyDiv w:val="1"/>
      <w:marLeft w:val="0"/>
      <w:marRight w:val="0"/>
      <w:marTop w:val="0"/>
      <w:marBottom w:val="0"/>
      <w:divBdr>
        <w:top w:val="none" w:sz="0" w:space="0" w:color="auto"/>
        <w:left w:val="none" w:sz="0" w:space="0" w:color="auto"/>
        <w:bottom w:val="none" w:sz="0" w:space="0" w:color="auto"/>
        <w:right w:val="none" w:sz="0" w:space="0" w:color="auto"/>
      </w:divBdr>
      <w:divsChild>
        <w:div w:id="142283701">
          <w:marLeft w:val="0"/>
          <w:marRight w:val="0"/>
          <w:marTop w:val="0"/>
          <w:marBottom w:val="0"/>
          <w:divBdr>
            <w:top w:val="none" w:sz="0" w:space="0" w:color="auto"/>
            <w:left w:val="none" w:sz="0" w:space="0" w:color="auto"/>
            <w:bottom w:val="none" w:sz="0" w:space="0" w:color="auto"/>
            <w:right w:val="none" w:sz="0" w:space="0" w:color="auto"/>
          </w:divBdr>
        </w:div>
        <w:div w:id="227573034">
          <w:marLeft w:val="0"/>
          <w:marRight w:val="0"/>
          <w:marTop w:val="0"/>
          <w:marBottom w:val="0"/>
          <w:divBdr>
            <w:top w:val="none" w:sz="0" w:space="0" w:color="auto"/>
            <w:left w:val="none" w:sz="0" w:space="0" w:color="auto"/>
            <w:bottom w:val="none" w:sz="0" w:space="0" w:color="auto"/>
            <w:right w:val="none" w:sz="0" w:space="0" w:color="auto"/>
          </w:divBdr>
        </w:div>
        <w:div w:id="1194733336">
          <w:marLeft w:val="0"/>
          <w:marRight w:val="0"/>
          <w:marTop w:val="0"/>
          <w:marBottom w:val="0"/>
          <w:divBdr>
            <w:top w:val="none" w:sz="0" w:space="0" w:color="auto"/>
            <w:left w:val="none" w:sz="0" w:space="0" w:color="auto"/>
            <w:bottom w:val="none" w:sz="0" w:space="0" w:color="auto"/>
            <w:right w:val="none" w:sz="0" w:space="0" w:color="auto"/>
          </w:divBdr>
        </w:div>
        <w:div w:id="1316185679">
          <w:marLeft w:val="0"/>
          <w:marRight w:val="0"/>
          <w:marTop w:val="0"/>
          <w:marBottom w:val="0"/>
          <w:divBdr>
            <w:top w:val="none" w:sz="0" w:space="0" w:color="auto"/>
            <w:left w:val="none" w:sz="0" w:space="0" w:color="auto"/>
            <w:bottom w:val="none" w:sz="0" w:space="0" w:color="auto"/>
            <w:right w:val="none" w:sz="0" w:space="0" w:color="auto"/>
          </w:divBdr>
        </w:div>
        <w:div w:id="1594171459">
          <w:marLeft w:val="0"/>
          <w:marRight w:val="0"/>
          <w:marTop w:val="0"/>
          <w:marBottom w:val="0"/>
          <w:divBdr>
            <w:top w:val="none" w:sz="0" w:space="0" w:color="auto"/>
            <w:left w:val="none" w:sz="0" w:space="0" w:color="auto"/>
            <w:bottom w:val="none" w:sz="0" w:space="0" w:color="auto"/>
            <w:right w:val="none" w:sz="0" w:space="0" w:color="auto"/>
          </w:divBdr>
        </w:div>
      </w:divsChild>
    </w:div>
    <w:div w:id="389233074">
      <w:bodyDiv w:val="1"/>
      <w:marLeft w:val="0"/>
      <w:marRight w:val="0"/>
      <w:marTop w:val="0"/>
      <w:marBottom w:val="0"/>
      <w:divBdr>
        <w:top w:val="none" w:sz="0" w:space="0" w:color="auto"/>
        <w:left w:val="none" w:sz="0" w:space="0" w:color="auto"/>
        <w:bottom w:val="none" w:sz="0" w:space="0" w:color="auto"/>
        <w:right w:val="none" w:sz="0" w:space="0" w:color="auto"/>
      </w:divBdr>
      <w:divsChild>
        <w:div w:id="647245971">
          <w:marLeft w:val="-300"/>
          <w:marRight w:val="-300"/>
          <w:marTop w:val="0"/>
          <w:marBottom w:val="0"/>
          <w:divBdr>
            <w:top w:val="none" w:sz="0" w:space="0" w:color="auto"/>
            <w:left w:val="none" w:sz="0" w:space="0" w:color="auto"/>
            <w:bottom w:val="none" w:sz="0" w:space="0" w:color="auto"/>
            <w:right w:val="none" w:sz="0" w:space="0" w:color="auto"/>
          </w:divBdr>
        </w:div>
      </w:divsChild>
    </w:div>
    <w:div w:id="393815868">
      <w:bodyDiv w:val="1"/>
      <w:marLeft w:val="0"/>
      <w:marRight w:val="0"/>
      <w:marTop w:val="0"/>
      <w:marBottom w:val="0"/>
      <w:divBdr>
        <w:top w:val="none" w:sz="0" w:space="0" w:color="auto"/>
        <w:left w:val="none" w:sz="0" w:space="0" w:color="auto"/>
        <w:bottom w:val="none" w:sz="0" w:space="0" w:color="auto"/>
        <w:right w:val="none" w:sz="0" w:space="0" w:color="auto"/>
      </w:divBdr>
    </w:div>
    <w:div w:id="440757653">
      <w:bodyDiv w:val="1"/>
      <w:marLeft w:val="0"/>
      <w:marRight w:val="0"/>
      <w:marTop w:val="0"/>
      <w:marBottom w:val="0"/>
      <w:divBdr>
        <w:top w:val="none" w:sz="0" w:space="0" w:color="auto"/>
        <w:left w:val="none" w:sz="0" w:space="0" w:color="auto"/>
        <w:bottom w:val="none" w:sz="0" w:space="0" w:color="auto"/>
        <w:right w:val="none" w:sz="0" w:space="0" w:color="auto"/>
      </w:divBdr>
    </w:div>
    <w:div w:id="442308638">
      <w:bodyDiv w:val="1"/>
      <w:marLeft w:val="0"/>
      <w:marRight w:val="0"/>
      <w:marTop w:val="0"/>
      <w:marBottom w:val="0"/>
      <w:divBdr>
        <w:top w:val="none" w:sz="0" w:space="0" w:color="auto"/>
        <w:left w:val="none" w:sz="0" w:space="0" w:color="auto"/>
        <w:bottom w:val="none" w:sz="0" w:space="0" w:color="auto"/>
        <w:right w:val="none" w:sz="0" w:space="0" w:color="auto"/>
      </w:divBdr>
    </w:div>
    <w:div w:id="477841611">
      <w:bodyDiv w:val="1"/>
      <w:marLeft w:val="0"/>
      <w:marRight w:val="0"/>
      <w:marTop w:val="0"/>
      <w:marBottom w:val="0"/>
      <w:divBdr>
        <w:top w:val="none" w:sz="0" w:space="0" w:color="auto"/>
        <w:left w:val="none" w:sz="0" w:space="0" w:color="auto"/>
        <w:bottom w:val="none" w:sz="0" w:space="0" w:color="auto"/>
        <w:right w:val="none" w:sz="0" w:space="0" w:color="auto"/>
      </w:divBdr>
    </w:div>
    <w:div w:id="530073761">
      <w:bodyDiv w:val="1"/>
      <w:marLeft w:val="0"/>
      <w:marRight w:val="0"/>
      <w:marTop w:val="0"/>
      <w:marBottom w:val="0"/>
      <w:divBdr>
        <w:top w:val="none" w:sz="0" w:space="0" w:color="auto"/>
        <w:left w:val="none" w:sz="0" w:space="0" w:color="auto"/>
        <w:bottom w:val="none" w:sz="0" w:space="0" w:color="auto"/>
        <w:right w:val="none" w:sz="0" w:space="0" w:color="auto"/>
      </w:divBdr>
      <w:divsChild>
        <w:div w:id="1049500420">
          <w:marLeft w:val="-300"/>
          <w:marRight w:val="-300"/>
          <w:marTop w:val="0"/>
          <w:marBottom w:val="0"/>
          <w:divBdr>
            <w:top w:val="none" w:sz="0" w:space="0" w:color="auto"/>
            <w:left w:val="none" w:sz="0" w:space="0" w:color="auto"/>
            <w:bottom w:val="none" w:sz="0" w:space="0" w:color="auto"/>
            <w:right w:val="none" w:sz="0" w:space="0" w:color="auto"/>
          </w:divBdr>
        </w:div>
        <w:div w:id="2132555313">
          <w:marLeft w:val="-300"/>
          <w:marRight w:val="-300"/>
          <w:marTop w:val="0"/>
          <w:marBottom w:val="0"/>
          <w:divBdr>
            <w:top w:val="none" w:sz="0" w:space="0" w:color="auto"/>
            <w:left w:val="none" w:sz="0" w:space="0" w:color="auto"/>
            <w:bottom w:val="none" w:sz="0" w:space="0" w:color="auto"/>
            <w:right w:val="none" w:sz="0" w:space="0" w:color="auto"/>
          </w:divBdr>
        </w:div>
      </w:divsChild>
    </w:div>
    <w:div w:id="548078291">
      <w:bodyDiv w:val="1"/>
      <w:marLeft w:val="0"/>
      <w:marRight w:val="0"/>
      <w:marTop w:val="0"/>
      <w:marBottom w:val="0"/>
      <w:divBdr>
        <w:top w:val="none" w:sz="0" w:space="0" w:color="auto"/>
        <w:left w:val="none" w:sz="0" w:space="0" w:color="auto"/>
        <w:bottom w:val="none" w:sz="0" w:space="0" w:color="auto"/>
        <w:right w:val="none" w:sz="0" w:space="0" w:color="auto"/>
      </w:divBdr>
      <w:divsChild>
        <w:div w:id="635379555">
          <w:marLeft w:val="0"/>
          <w:marRight w:val="0"/>
          <w:marTop w:val="0"/>
          <w:marBottom w:val="0"/>
          <w:divBdr>
            <w:top w:val="none" w:sz="0" w:space="0" w:color="auto"/>
            <w:left w:val="none" w:sz="0" w:space="0" w:color="auto"/>
            <w:bottom w:val="none" w:sz="0" w:space="0" w:color="auto"/>
            <w:right w:val="none" w:sz="0" w:space="0" w:color="auto"/>
          </w:divBdr>
          <w:divsChild>
            <w:div w:id="37626520">
              <w:marLeft w:val="0"/>
              <w:marRight w:val="0"/>
              <w:marTop w:val="0"/>
              <w:marBottom w:val="0"/>
              <w:divBdr>
                <w:top w:val="none" w:sz="0" w:space="0" w:color="auto"/>
                <w:left w:val="none" w:sz="0" w:space="0" w:color="auto"/>
                <w:bottom w:val="none" w:sz="0" w:space="0" w:color="auto"/>
                <w:right w:val="none" w:sz="0" w:space="0" w:color="auto"/>
              </w:divBdr>
              <w:divsChild>
                <w:div w:id="761219771">
                  <w:marLeft w:val="0"/>
                  <w:marRight w:val="0"/>
                  <w:marTop w:val="0"/>
                  <w:marBottom w:val="0"/>
                  <w:divBdr>
                    <w:top w:val="none" w:sz="0" w:space="0" w:color="auto"/>
                    <w:left w:val="none" w:sz="0" w:space="0" w:color="auto"/>
                    <w:bottom w:val="none" w:sz="0" w:space="0" w:color="auto"/>
                    <w:right w:val="none" w:sz="0" w:space="0" w:color="auto"/>
                  </w:divBdr>
                  <w:divsChild>
                    <w:div w:id="2098748897">
                      <w:marLeft w:val="0"/>
                      <w:marRight w:val="0"/>
                      <w:marTop w:val="0"/>
                      <w:marBottom w:val="0"/>
                      <w:divBdr>
                        <w:top w:val="none" w:sz="0" w:space="0" w:color="auto"/>
                        <w:left w:val="none" w:sz="0" w:space="0" w:color="auto"/>
                        <w:bottom w:val="none" w:sz="0" w:space="0" w:color="auto"/>
                        <w:right w:val="none" w:sz="0" w:space="0" w:color="auto"/>
                      </w:divBdr>
                      <w:divsChild>
                        <w:div w:id="945311326">
                          <w:marLeft w:val="0"/>
                          <w:marRight w:val="0"/>
                          <w:marTop w:val="0"/>
                          <w:marBottom w:val="0"/>
                          <w:divBdr>
                            <w:top w:val="none" w:sz="0" w:space="0" w:color="auto"/>
                            <w:left w:val="none" w:sz="0" w:space="0" w:color="auto"/>
                            <w:bottom w:val="none" w:sz="0" w:space="0" w:color="auto"/>
                            <w:right w:val="none" w:sz="0" w:space="0" w:color="auto"/>
                          </w:divBdr>
                          <w:divsChild>
                            <w:div w:id="386145917">
                              <w:marLeft w:val="0"/>
                              <w:marRight w:val="0"/>
                              <w:marTop w:val="0"/>
                              <w:marBottom w:val="0"/>
                              <w:divBdr>
                                <w:top w:val="none" w:sz="0" w:space="0" w:color="auto"/>
                                <w:left w:val="none" w:sz="0" w:space="0" w:color="auto"/>
                                <w:bottom w:val="none" w:sz="0" w:space="0" w:color="auto"/>
                                <w:right w:val="none" w:sz="0" w:space="0" w:color="auto"/>
                              </w:divBdr>
                              <w:divsChild>
                                <w:div w:id="992031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557702">
      <w:bodyDiv w:val="1"/>
      <w:marLeft w:val="0"/>
      <w:marRight w:val="0"/>
      <w:marTop w:val="0"/>
      <w:marBottom w:val="0"/>
      <w:divBdr>
        <w:top w:val="none" w:sz="0" w:space="0" w:color="auto"/>
        <w:left w:val="none" w:sz="0" w:space="0" w:color="auto"/>
        <w:bottom w:val="none" w:sz="0" w:space="0" w:color="auto"/>
        <w:right w:val="none" w:sz="0" w:space="0" w:color="auto"/>
      </w:divBdr>
    </w:div>
    <w:div w:id="614948156">
      <w:bodyDiv w:val="1"/>
      <w:marLeft w:val="0"/>
      <w:marRight w:val="0"/>
      <w:marTop w:val="0"/>
      <w:marBottom w:val="0"/>
      <w:divBdr>
        <w:top w:val="none" w:sz="0" w:space="0" w:color="auto"/>
        <w:left w:val="none" w:sz="0" w:space="0" w:color="auto"/>
        <w:bottom w:val="none" w:sz="0" w:space="0" w:color="auto"/>
        <w:right w:val="none" w:sz="0" w:space="0" w:color="auto"/>
      </w:divBdr>
    </w:div>
    <w:div w:id="747773573">
      <w:bodyDiv w:val="1"/>
      <w:marLeft w:val="0"/>
      <w:marRight w:val="0"/>
      <w:marTop w:val="0"/>
      <w:marBottom w:val="0"/>
      <w:divBdr>
        <w:top w:val="none" w:sz="0" w:space="0" w:color="auto"/>
        <w:left w:val="none" w:sz="0" w:space="0" w:color="auto"/>
        <w:bottom w:val="none" w:sz="0" w:space="0" w:color="auto"/>
        <w:right w:val="none" w:sz="0" w:space="0" w:color="auto"/>
      </w:divBdr>
    </w:div>
    <w:div w:id="772628041">
      <w:bodyDiv w:val="1"/>
      <w:marLeft w:val="0"/>
      <w:marRight w:val="0"/>
      <w:marTop w:val="0"/>
      <w:marBottom w:val="0"/>
      <w:divBdr>
        <w:top w:val="none" w:sz="0" w:space="0" w:color="auto"/>
        <w:left w:val="none" w:sz="0" w:space="0" w:color="auto"/>
        <w:bottom w:val="none" w:sz="0" w:space="0" w:color="auto"/>
        <w:right w:val="none" w:sz="0" w:space="0" w:color="auto"/>
      </w:divBdr>
    </w:div>
    <w:div w:id="82995151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138435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371564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4143692">
      <w:bodyDiv w:val="1"/>
      <w:marLeft w:val="0"/>
      <w:marRight w:val="0"/>
      <w:marTop w:val="0"/>
      <w:marBottom w:val="0"/>
      <w:divBdr>
        <w:top w:val="none" w:sz="0" w:space="0" w:color="auto"/>
        <w:left w:val="none" w:sz="0" w:space="0" w:color="auto"/>
        <w:bottom w:val="none" w:sz="0" w:space="0" w:color="auto"/>
        <w:right w:val="none" w:sz="0" w:space="0" w:color="auto"/>
      </w:divBdr>
    </w:div>
    <w:div w:id="1023943696">
      <w:bodyDiv w:val="1"/>
      <w:marLeft w:val="0"/>
      <w:marRight w:val="0"/>
      <w:marTop w:val="0"/>
      <w:marBottom w:val="0"/>
      <w:divBdr>
        <w:top w:val="none" w:sz="0" w:space="0" w:color="auto"/>
        <w:left w:val="none" w:sz="0" w:space="0" w:color="auto"/>
        <w:bottom w:val="none" w:sz="0" w:space="0" w:color="auto"/>
        <w:right w:val="none" w:sz="0" w:space="0" w:color="auto"/>
      </w:divBdr>
    </w:div>
    <w:div w:id="1041438049">
      <w:bodyDiv w:val="1"/>
      <w:marLeft w:val="0"/>
      <w:marRight w:val="0"/>
      <w:marTop w:val="0"/>
      <w:marBottom w:val="0"/>
      <w:divBdr>
        <w:top w:val="none" w:sz="0" w:space="0" w:color="auto"/>
        <w:left w:val="none" w:sz="0" w:space="0" w:color="auto"/>
        <w:bottom w:val="none" w:sz="0" w:space="0" w:color="auto"/>
        <w:right w:val="none" w:sz="0" w:space="0" w:color="auto"/>
      </w:divBdr>
    </w:div>
    <w:div w:id="1077945746">
      <w:bodyDiv w:val="1"/>
      <w:marLeft w:val="0"/>
      <w:marRight w:val="0"/>
      <w:marTop w:val="0"/>
      <w:marBottom w:val="0"/>
      <w:divBdr>
        <w:top w:val="none" w:sz="0" w:space="0" w:color="auto"/>
        <w:left w:val="none" w:sz="0" w:space="0" w:color="auto"/>
        <w:bottom w:val="none" w:sz="0" w:space="0" w:color="auto"/>
        <w:right w:val="none" w:sz="0" w:space="0" w:color="auto"/>
      </w:divBdr>
    </w:div>
    <w:div w:id="1101491719">
      <w:bodyDiv w:val="1"/>
      <w:marLeft w:val="0"/>
      <w:marRight w:val="0"/>
      <w:marTop w:val="0"/>
      <w:marBottom w:val="0"/>
      <w:divBdr>
        <w:top w:val="none" w:sz="0" w:space="0" w:color="auto"/>
        <w:left w:val="none" w:sz="0" w:space="0" w:color="auto"/>
        <w:bottom w:val="none" w:sz="0" w:space="0" w:color="auto"/>
        <w:right w:val="none" w:sz="0" w:space="0" w:color="auto"/>
      </w:divBdr>
    </w:div>
    <w:div w:id="1106656285">
      <w:bodyDiv w:val="1"/>
      <w:marLeft w:val="0"/>
      <w:marRight w:val="0"/>
      <w:marTop w:val="0"/>
      <w:marBottom w:val="0"/>
      <w:divBdr>
        <w:top w:val="none" w:sz="0" w:space="0" w:color="auto"/>
        <w:left w:val="none" w:sz="0" w:space="0" w:color="auto"/>
        <w:bottom w:val="none" w:sz="0" w:space="0" w:color="auto"/>
        <w:right w:val="none" w:sz="0" w:space="0" w:color="auto"/>
      </w:divBdr>
    </w:div>
    <w:div w:id="1159883900">
      <w:bodyDiv w:val="1"/>
      <w:marLeft w:val="0"/>
      <w:marRight w:val="0"/>
      <w:marTop w:val="0"/>
      <w:marBottom w:val="0"/>
      <w:divBdr>
        <w:top w:val="none" w:sz="0" w:space="0" w:color="auto"/>
        <w:left w:val="none" w:sz="0" w:space="0" w:color="auto"/>
        <w:bottom w:val="none" w:sz="0" w:space="0" w:color="auto"/>
        <w:right w:val="none" w:sz="0" w:space="0" w:color="auto"/>
      </w:divBdr>
    </w:div>
    <w:div w:id="1160930396">
      <w:bodyDiv w:val="1"/>
      <w:marLeft w:val="0"/>
      <w:marRight w:val="0"/>
      <w:marTop w:val="0"/>
      <w:marBottom w:val="0"/>
      <w:divBdr>
        <w:top w:val="none" w:sz="0" w:space="0" w:color="auto"/>
        <w:left w:val="none" w:sz="0" w:space="0" w:color="auto"/>
        <w:bottom w:val="none" w:sz="0" w:space="0" w:color="auto"/>
        <w:right w:val="none" w:sz="0" w:space="0" w:color="auto"/>
      </w:divBdr>
    </w:div>
    <w:div w:id="1179200906">
      <w:bodyDiv w:val="1"/>
      <w:marLeft w:val="0"/>
      <w:marRight w:val="0"/>
      <w:marTop w:val="0"/>
      <w:marBottom w:val="0"/>
      <w:divBdr>
        <w:top w:val="none" w:sz="0" w:space="0" w:color="auto"/>
        <w:left w:val="none" w:sz="0" w:space="0" w:color="auto"/>
        <w:bottom w:val="none" w:sz="0" w:space="0" w:color="auto"/>
        <w:right w:val="none" w:sz="0" w:space="0" w:color="auto"/>
      </w:divBdr>
      <w:divsChild>
        <w:div w:id="37434176">
          <w:marLeft w:val="-300"/>
          <w:marRight w:val="-300"/>
          <w:marTop w:val="0"/>
          <w:marBottom w:val="0"/>
          <w:divBdr>
            <w:top w:val="none" w:sz="0" w:space="0" w:color="auto"/>
            <w:left w:val="none" w:sz="0" w:space="0" w:color="auto"/>
            <w:bottom w:val="none" w:sz="0" w:space="0" w:color="auto"/>
            <w:right w:val="none" w:sz="0" w:space="0" w:color="auto"/>
          </w:divBdr>
        </w:div>
        <w:div w:id="832793295">
          <w:marLeft w:val="-300"/>
          <w:marRight w:val="-300"/>
          <w:marTop w:val="0"/>
          <w:marBottom w:val="0"/>
          <w:divBdr>
            <w:top w:val="none" w:sz="0" w:space="0" w:color="auto"/>
            <w:left w:val="none" w:sz="0" w:space="0" w:color="auto"/>
            <w:bottom w:val="none" w:sz="0" w:space="0" w:color="auto"/>
            <w:right w:val="none" w:sz="0" w:space="0" w:color="auto"/>
          </w:divBdr>
        </w:div>
      </w:divsChild>
    </w:div>
    <w:div w:id="1186793245">
      <w:bodyDiv w:val="1"/>
      <w:marLeft w:val="0"/>
      <w:marRight w:val="0"/>
      <w:marTop w:val="0"/>
      <w:marBottom w:val="0"/>
      <w:divBdr>
        <w:top w:val="none" w:sz="0" w:space="0" w:color="auto"/>
        <w:left w:val="none" w:sz="0" w:space="0" w:color="auto"/>
        <w:bottom w:val="none" w:sz="0" w:space="0" w:color="auto"/>
        <w:right w:val="none" w:sz="0" w:space="0" w:color="auto"/>
      </w:divBdr>
      <w:divsChild>
        <w:div w:id="508644279">
          <w:marLeft w:val="0"/>
          <w:marRight w:val="0"/>
          <w:marTop w:val="0"/>
          <w:marBottom w:val="0"/>
          <w:divBdr>
            <w:top w:val="none" w:sz="0" w:space="0" w:color="auto"/>
            <w:left w:val="none" w:sz="0" w:space="0" w:color="auto"/>
            <w:bottom w:val="none" w:sz="0" w:space="0" w:color="auto"/>
            <w:right w:val="none" w:sz="0" w:space="0" w:color="auto"/>
          </w:divBdr>
        </w:div>
        <w:div w:id="857235785">
          <w:marLeft w:val="0"/>
          <w:marRight w:val="0"/>
          <w:marTop w:val="0"/>
          <w:marBottom w:val="0"/>
          <w:divBdr>
            <w:top w:val="none" w:sz="0" w:space="0" w:color="auto"/>
            <w:left w:val="none" w:sz="0" w:space="0" w:color="auto"/>
            <w:bottom w:val="none" w:sz="0" w:space="0" w:color="auto"/>
            <w:right w:val="none" w:sz="0" w:space="0" w:color="auto"/>
          </w:divBdr>
        </w:div>
        <w:div w:id="1279948890">
          <w:marLeft w:val="0"/>
          <w:marRight w:val="0"/>
          <w:marTop w:val="0"/>
          <w:marBottom w:val="0"/>
          <w:divBdr>
            <w:top w:val="none" w:sz="0" w:space="0" w:color="auto"/>
            <w:left w:val="none" w:sz="0" w:space="0" w:color="auto"/>
            <w:bottom w:val="none" w:sz="0" w:space="0" w:color="auto"/>
            <w:right w:val="none" w:sz="0" w:space="0" w:color="auto"/>
          </w:divBdr>
        </w:div>
        <w:div w:id="1401831336">
          <w:marLeft w:val="0"/>
          <w:marRight w:val="0"/>
          <w:marTop w:val="0"/>
          <w:marBottom w:val="0"/>
          <w:divBdr>
            <w:top w:val="none" w:sz="0" w:space="0" w:color="auto"/>
            <w:left w:val="none" w:sz="0" w:space="0" w:color="auto"/>
            <w:bottom w:val="none" w:sz="0" w:space="0" w:color="auto"/>
            <w:right w:val="none" w:sz="0" w:space="0" w:color="auto"/>
          </w:divBdr>
        </w:div>
        <w:div w:id="1518159543">
          <w:marLeft w:val="0"/>
          <w:marRight w:val="0"/>
          <w:marTop w:val="0"/>
          <w:marBottom w:val="0"/>
          <w:divBdr>
            <w:top w:val="none" w:sz="0" w:space="0" w:color="auto"/>
            <w:left w:val="none" w:sz="0" w:space="0" w:color="auto"/>
            <w:bottom w:val="none" w:sz="0" w:space="0" w:color="auto"/>
            <w:right w:val="none" w:sz="0" w:space="0" w:color="auto"/>
          </w:divBdr>
        </w:div>
        <w:div w:id="1997760451">
          <w:marLeft w:val="0"/>
          <w:marRight w:val="0"/>
          <w:marTop w:val="0"/>
          <w:marBottom w:val="0"/>
          <w:divBdr>
            <w:top w:val="none" w:sz="0" w:space="0" w:color="auto"/>
            <w:left w:val="none" w:sz="0" w:space="0" w:color="auto"/>
            <w:bottom w:val="none" w:sz="0" w:space="0" w:color="auto"/>
            <w:right w:val="none" w:sz="0" w:space="0" w:color="auto"/>
          </w:divBdr>
        </w:div>
      </w:divsChild>
    </w:div>
    <w:div w:id="1201817838">
      <w:bodyDiv w:val="1"/>
      <w:marLeft w:val="0"/>
      <w:marRight w:val="0"/>
      <w:marTop w:val="0"/>
      <w:marBottom w:val="0"/>
      <w:divBdr>
        <w:top w:val="none" w:sz="0" w:space="0" w:color="auto"/>
        <w:left w:val="none" w:sz="0" w:space="0" w:color="auto"/>
        <w:bottom w:val="none" w:sz="0" w:space="0" w:color="auto"/>
        <w:right w:val="none" w:sz="0" w:space="0" w:color="auto"/>
      </w:divBdr>
      <w:divsChild>
        <w:div w:id="220602946">
          <w:marLeft w:val="0"/>
          <w:marRight w:val="0"/>
          <w:marTop w:val="0"/>
          <w:marBottom w:val="180"/>
          <w:divBdr>
            <w:top w:val="none" w:sz="0" w:space="0" w:color="auto"/>
            <w:left w:val="none" w:sz="0" w:space="0" w:color="auto"/>
            <w:bottom w:val="none" w:sz="0" w:space="0" w:color="auto"/>
            <w:right w:val="none" w:sz="0" w:space="0" w:color="auto"/>
          </w:divBdr>
          <w:divsChild>
            <w:div w:id="1699235852">
              <w:marLeft w:val="0"/>
              <w:marRight w:val="0"/>
              <w:marTop w:val="0"/>
              <w:marBottom w:val="0"/>
              <w:divBdr>
                <w:top w:val="none" w:sz="0" w:space="0" w:color="auto"/>
                <w:left w:val="none" w:sz="0" w:space="0" w:color="auto"/>
                <w:bottom w:val="none" w:sz="0" w:space="0" w:color="auto"/>
                <w:right w:val="none" w:sz="0" w:space="0" w:color="auto"/>
              </w:divBdr>
              <w:divsChild>
                <w:div w:id="1757942771">
                  <w:marLeft w:val="30"/>
                  <w:marRight w:val="30"/>
                  <w:marTop w:val="0"/>
                  <w:marBottom w:val="0"/>
                  <w:divBdr>
                    <w:top w:val="none" w:sz="0" w:space="0" w:color="auto"/>
                    <w:left w:val="none" w:sz="0" w:space="0" w:color="auto"/>
                    <w:bottom w:val="none" w:sz="0" w:space="0" w:color="auto"/>
                    <w:right w:val="none" w:sz="0" w:space="0" w:color="auto"/>
                  </w:divBdr>
                  <w:divsChild>
                    <w:div w:id="1623417031">
                      <w:marLeft w:val="0"/>
                      <w:marRight w:val="0"/>
                      <w:marTop w:val="0"/>
                      <w:marBottom w:val="0"/>
                      <w:divBdr>
                        <w:top w:val="none" w:sz="0" w:space="0" w:color="auto"/>
                        <w:left w:val="none" w:sz="0" w:space="0" w:color="auto"/>
                        <w:bottom w:val="none" w:sz="0" w:space="0" w:color="auto"/>
                        <w:right w:val="none" w:sz="0" w:space="0" w:color="auto"/>
                      </w:divBdr>
                      <w:divsChild>
                        <w:div w:id="1289776692">
                          <w:marLeft w:val="0"/>
                          <w:marRight w:val="0"/>
                          <w:marTop w:val="0"/>
                          <w:marBottom w:val="0"/>
                          <w:divBdr>
                            <w:top w:val="none" w:sz="0" w:space="0" w:color="auto"/>
                            <w:left w:val="none" w:sz="0" w:space="0" w:color="auto"/>
                            <w:bottom w:val="none" w:sz="0" w:space="0" w:color="auto"/>
                            <w:right w:val="none" w:sz="0" w:space="0" w:color="auto"/>
                          </w:divBdr>
                          <w:divsChild>
                            <w:div w:id="1993286947">
                              <w:marLeft w:val="0"/>
                              <w:marRight w:val="0"/>
                              <w:marTop w:val="0"/>
                              <w:marBottom w:val="480"/>
                              <w:divBdr>
                                <w:top w:val="none" w:sz="0" w:space="0" w:color="auto"/>
                                <w:left w:val="none" w:sz="0" w:space="0" w:color="auto"/>
                                <w:bottom w:val="none" w:sz="0" w:space="0" w:color="auto"/>
                                <w:right w:val="none" w:sz="0" w:space="0" w:color="auto"/>
                              </w:divBdr>
                              <w:divsChild>
                                <w:div w:id="384332618">
                                  <w:marLeft w:val="0"/>
                                  <w:marRight w:val="0"/>
                                  <w:marTop w:val="0"/>
                                  <w:marBottom w:val="0"/>
                                  <w:divBdr>
                                    <w:top w:val="none" w:sz="0" w:space="0" w:color="auto"/>
                                    <w:left w:val="none" w:sz="0" w:space="0" w:color="auto"/>
                                    <w:bottom w:val="none" w:sz="0" w:space="0" w:color="auto"/>
                                    <w:right w:val="none" w:sz="0" w:space="0" w:color="auto"/>
                                  </w:divBdr>
                                  <w:divsChild>
                                    <w:div w:id="506529229">
                                      <w:marLeft w:val="0"/>
                                      <w:marRight w:val="0"/>
                                      <w:marTop w:val="0"/>
                                      <w:marBottom w:val="0"/>
                                      <w:divBdr>
                                        <w:top w:val="none" w:sz="0" w:space="0" w:color="auto"/>
                                        <w:left w:val="none" w:sz="0" w:space="0" w:color="auto"/>
                                        <w:bottom w:val="none" w:sz="0" w:space="0" w:color="auto"/>
                                        <w:right w:val="none" w:sz="0" w:space="0" w:color="auto"/>
                                      </w:divBdr>
                                      <w:divsChild>
                                        <w:div w:id="1786730900">
                                          <w:marLeft w:val="0"/>
                                          <w:marRight w:val="0"/>
                                          <w:marTop w:val="0"/>
                                          <w:marBottom w:val="0"/>
                                          <w:divBdr>
                                            <w:top w:val="none" w:sz="0" w:space="0" w:color="auto"/>
                                            <w:left w:val="none" w:sz="0" w:space="0" w:color="auto"/>
                                            <w:bottom w:val="none" w:sz="0" w:space="0" w:color="auto"/>
                                            <w:right w:val="none" w:sz="0" w:space="0" w:color="auto"/>
                                          </w:divBdr>
                                          <w:divsChild>
                                            <w:div w:id="133374254">
                                              <w:marLeft w:val="0"/>
                                              <w:marRight w:val="0"/>
                                              <w:marTop w:val="0"/>
                                              <w:marBottom w:val="0"/>
                                              <w:divBdr>
                                                <w:top w:val="none" w:sz="0" w:space="0" w:color="auto"/>
                                                <w:left w:val="none" w:sz="0" w:space="0" w:color="auto"/>
                                                <w:bottom w:val="none" w:sz="0" w:space="0" w:color="auto"/>
                                                <w:right w:val="none" w:sz="0" w:space="0" w:color="auto"/>
                                              </w:divBdr>
                                              <w:divsChild>
                                                <w:div w:id="2081250534">
                                                  <w:marLeft w:val="0"/>
                                                  <w:marRight w:val="0"/>
                                                  <w:marTop w:val="0"/>
                                                  <w:marBottom w:val="0"/>
                                                  <w:divBdr>
                                                    <w:top w:val="none" w:sz="0" w:space="0" w:color="auto"/>
                                                    <w:left w:val="none" w:sz="0" w:space="0" w:color="auto"/>
                                                    <w:bottom w:val="none" w:sz="0" w:space="0" w:color="auto"/>
                                                    <w:right w:val="none" w:sz="0" w:space="0" w:color="auto"/>
                                                  </w:divBdr>
                                                  <w:divsChild>
                                                    <w:div w:id="46338970">
                                                      <w:marLeft w:val="0"/>
                                                      <w:marRight w:val="0"/>
                                                      <w:marTop w:val="0"/>
                                                      <w:marBottom w:val="0"/>
                                                      <w:divBdr>
                                                        <w:top w:val="none" w:sz="0" w:space="0" w:color="auto"/>
                                                        <w:left w:val="none" w:sz="0" w:space="0" w:color="auto"/>
                                                        <w:bottom w:val="none" w:sz="0" w:space="0" w:color="auto"/>
                                                        <w:right w:val="none" w:sz="0" w:space="0" w:color="auto"/>
                                                      </w:divBdr>
                                                      <w:divsChild>
                                                        <w:div w:id="1698847083">
                                                          <w:marLeft w:val="0"/>
                                                          <w:marRight w:val="0"/>
                                                          <w:marTop w:val="0"/>
                                                          <w:marBottom w:val="0"/>
                                                          <w:divBdr>
                                                            <w:top w:val="none" w:sz="0" w:space="0" w:color="auto"/>
                                                            <w:left w:val="none" w:sz="0" w:space="0" w:color="auto"/>
                                                            <w:bottom w:val="none" w:sz="0" w:space="0" w:color="auto"/>
                                                            <w:right w:val="none" w:sz="0" w:space="0" w:color="auto"/>
                                                          </w:divBdr>
                                                          <w:divsChild>
                                                            <w:div w:id="3422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872977">
          <w:marLeft w:val="0"/>
          <w:marRight w:val="0"/>
          <w:marTop w:val="0"/>
          <w:marBottom w:val="180"/>
          <w:divBdr>
            <w:top w:val="none" w:sz="0" w:space="0" w:color="auto"/>
            <w:left w:val="none" w:sz="0" w:space="0" w:color="auto"/>
            <w:bottom w:val="none" w:sz="0" w:space="0" w:color="auto"/>
            <w:right w:val="none" w:sz="0" w:space="0" w:color="auto"/>
          </w:divBdr>
          <w:divsChild>
            <w:div w:id="1621107262">
              <w:marLeft w:val="0"/>
              <w:marRight w:val="0"/>
              <w:marTop w:val="0"/>
              <w:marBottom w:val="0"/>
              <w:divBdr>
                <w:top w:val="none" w:sz="0" w:space="0" w:color="auto"/>
                <w:left w:val="none" w:sz="0" w:space="0" w:color="auto"/>
                <w:bottom w:val="none" w:sz="0" w:space="0" w:color="auto"/>
                <w:right w:val="none" w:sz="0" w:space="0" w:color="auto"/>
              </w:divBdr>
              <w:divsChild>
                <w:div w:id="2058120048">
                  <w:marLeft w:val="30"/>
                  <w:marRight w:val="30"/>
                  <w:marTop w:val="0"/>
                  <w:marBottom w:val="0"/>
                  <w:divBdr>
                    <w:top w:val="none" w:sz="0" w:space="0" w:color="auto"/>
                    <w:left w:val="none" w:sz="0" w:space="0" w:color="auto"/>
                    <w:bottom w:val="none" w:sz="0" w:space="0" w:color="auto"/>
                    <w:right w:val="none" w:sz="0" w:space="0" w:color="auto"/>
                  </w:divBdr>
                  <w:divsChild>
                    <w:div w:id="890964882">
                      <w:marLeft w:val="0"/>
                      <w:marRight w:val="0"/>
                      <w:marTop w:val="0"/>
                      <w:marBottom w:val="0"/>
                      <w:divBdr>
                        <w:top w:val="none" w:sz="0" w:space="0" w:color="auto"/>
                        <w:left w:val="none" w:sz="0" w:space="0" w:color="auto"/>
                        <w:bottom w:val="none" w:sz="0" w:space="0" w:color="auto"/>
                        <w:right w:val="none" w:sz="0" w:space="0" w:color="auto"/>
                      </w:divBdr>
                      <w:divsChild>
                        <w:div w:id="2901171">
                          <w:marLeft w:val="0"/>
                          <w:marRight w:val="0"/>
                          <w:marTop w:val="0"/>
                          <w:marBottom w:val="0"/>
                          <w:divBdr>
                            <w:top w:val="none" w:sz="0" w:space="0" w:color="auto"/>
                            <w:left w:val="none" w:sz="0" w:space="0" w:color="auto"/>
                            <w:bottom w:val="none" w:sz="0" w:space="0" w:color="auto"/>
                            <w:right w:val="none" w:sz="0" w:space="0" w:color="auto"/>
                          </w:divBdr>
                          <w:divsChild>
                            <w:div w:id="327754211">
                              <w:marLeft w:val="0"/>
                              <w:marRight w:val="0"/>
                              <w:marTop w:val="0"/>
                              <w:marBottom w:val="480"/>
                              <w:divBdr>
                                <w:top w:val="none" w:sz="0" w:space="0" w:color="auto"/>
                                <w:left w:val="none" w:sz="0" w:space="0" w:color="auto"/>
                                <w:bottom w:val="none" w:sz="0" w:space="0" w:color="auto"/>
                                <w:right w:val="none" w:sz="0" w:space="0" w:color="auto"/>
                              </w:divBdr>
                              <w:divsChild>
                                <w:div w:id="1888297246">
                                  <w:marLeft w:val="0"/>
                                  <w:marRight w:val="0"/>
                                  <w:marTop w:val="0"/>
                                  <w:marBottom w:val="0"/>
                                  <w:divBdr>
                                    <w:top w:val="none" w:sz="0" w:space="0" w:color="auto"/>
                                    <w:left w:val="none" w:sz="0" w:space="0" w:color="auto"/>
                                    <w:bottom w:val="none" w:sz="0" w:space="0" w:color="auto"/>
                                    <w:right w:val="none" w:sz="0" w:space="0" w:color="auto"/>
                                  </w:divBdr>
                                  <w:divsChild>
                                    <w:div w:id="1828285010">
                                      <w:marLeft w:val="0"/>
                                      <w:marRight w:val="0"/>
                                      <w:marTop w:val="0"/>
                                      <w:marBottom w:val="0"/>
                                      <w:divBdr>
                                        <w:top w:val="none" w:sz="0" w:space="0" w:color="auto"/>
                                        <w:left w:val="none" w:sz="0" w:space="0" w:color="auto"/>
                                        <w:bottom w:val="none" w:sz="0" w:space="0" w:color="auto"/>
                                        <w:right w:val="none" w:sz="0" w:space="0" w:color="auto"/>
                                      </w:divBdr>
                                      <w:divsChild>
                                        <w:div w:id="595138848">
                                          <w:marLeft w:val="0"/>
                                          <w:marRight w:val="0"/>
                                          <w:marTop w:val="0"/>
                                          <w:marBottom w:val="0"/>
                                          <w:divBdr>
                                            <w:top w:val="none" w:sz="0" w:space="0" w:color="auto"/>
                                            <w:left w:val="none" w:sz="0" w:space="0" w:color="auto"/>
                                            <w:bottom w:val="none" w:sz="0" w:space="0" w:color="auto"/>
                                            <w:right w:val="none" w:sz="0" w:space="0" w:color="auto"/>
                                          </w:divBdr>
                                          <w:divsChild>
                                            <w:div w:id="1898782693">
                                              <w:marLeft w:val="0"/>
                                              <w:marRight w:val="0"/>
                                              <w:marTop w:val="0"/>
                                              <w:marBottom w:val="0"/>
                                              <w:divBdr>
                                                <w:top w:val="none" w:sz="0" w:space="0" w:color="auto"/>
                                                <w:left w:val="none" w:sz="0" w:space="0" w:color="auto"/>
                                                <w:bottom w:val="none" w:sz="0" w:space="0" w:color="auto"/>
                                                <w:right w:val="none" w:sz="0" w:space="0" w:color="auto"/>
                                              </w:divBdr>
                                              <w:divsChild>
                                                <w:div w:id="768086384">
                                                  <w:marLeft w:val="0"/>
                                                  <w:marRight w:val="0"/>
                                                  <w:marTop w:val="0"/>
                                                  <w:marBottom w:val="0"/>
                                                  <w:divBdr>
                                                    <w:top w:val="none" w:sz="0" w:space="0" w:color="auto"/>
                                                    <w:left w:val="none" w:sz="0" w:space="0" w:color="auto"/>
                                                    <w:bottom w:val="none" w:sz="0" w:space="0" w:color="auto"/>
                                                    <w:right w:val="none" w:sz="0" w:space="0" w:color="auto"/>
                                                  </w:divBdr>
                                                  <w:divsChild>
                                                    <w:div w:id="1741322717">
                                                      <w:marLeft w:val="0"/>
                                                      <w:marRight w:val="0"/>
                                                      <w:marTop w:val="0"/>
                                                      <w:marBottom w:val="0"/>
                                                      <w:divBdr>
                                                        <w:top w:val="none" w:sz="0" w:space="0" w:color="auto"/>
                                                        <w:left w:val="none" w:sz="0" w:space="0" w:color="auto"/>
                                                        <w:bottom w:val="none" w:sz="0" w:space="0" w:color="auto"/>
                                                        <w:right w:val="none" w:sz="0" w:space="0" w:color="auto"/>
                                                      </w:divBdr>
                                                      <w:divsChild>
                                                        <w:div w:id="774591250">
                                                          <w:marLeft w:val="0"/>
                                                          <w:marRight w:val="0"/>
                                                          <w:marTop w:val="0"/>
                                                          <w:marBottom w:val="0"/>
                                                          <w:divBdr>
                                                            <w:top w:val="none" w:sz="0" w:space="0" w:color="auto"/>
                                                            <w:left w:val="none" w:sz="0" w:space="0" w:color="auto"/>
                                                            <w:bottom w:val="none" w:sz="0" w:space="0" w:color="auto"/>
                                                            <w:right w:val="none" w:sz="0" w:space="0" w:color="auto"/>
                                                          </w:divBdr>
                                                          <w:divsChild>
                                                            <w:div w:id="4511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057231">
                              <w:marLeft w:val="0"/>
                              <w:marRight w:val="0"/>
                              <w:marTop w:val="0"/>
                              <w:marBottom w:val="0"/>
                              <w:divBdr>
                                <w:top w:val="none" w:sz="0" w:space="0" w:color="auto"/>
                                <w:left w:val="none" w:sz="0" w:space="0" w:color="auto"/>
                                <w:bottom w:val="none" w:sz="0" w:space="0" w:color="auto"/>
                                <w:right w:val="none" w:sz="0" w:space="0" w:color="auto"/>
                              </w:divBdr>
                              <w:divsChild>
                                <w:div w:id="2966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89883">
              <w:marLeft w:val="0"/>
              <w:marRight w:val="0"/>
              <w:marTop w:val="0"/>
              <w:marBottom w:val="0"/>
              <w:divBdr>
                <w:top w:val="none" w:sz="0" w:space="0" w:color="auto"/>
                <w:left w:val="none" w:sz="0" w:space="0" w:color="auto"/>
                <w:bottom w:val="none" w:sz="0" w:space="0" w:color="auto"/>
                <w:right w:val="none" w:sz="0" w:space="0" w:color="auto"/>
              </w:divBdr>
              <w:divsChild>
                <w:div w:id="300576188">
                  <w:marLeft w:val="0"/>
                  <w:marRight w:val="0"/>
                  <w:marTop w:val="0"/>
                  <w:marBottom w:val="0"/>
                  <w:divBdr>
                    <w:top w:val="none" w:sz="0" w:space="0" w:color="auto"/>
                    <w:left w:val="none" w:sz="0" w:space="0" w:color="auto"/>
                    <w:bottom w:val="none" w:sz="0" w:space="0" w:color="auto"/>
                    <w:right w:val="none" w:sz="0" w:space="0" w:color="auto"/>
                  </w:divBdr>
                  <w:divsChild>
                    <w:div w:id="303197128">
                      <w:marLeft w:val="0"/>
                      <w:marRight w:val="0"/>
                      <w:marTop w:val="0"/>
                      <w:marBottom w:val="0"/>
                      <w:divBdr>
                        <w:top w:val="none" w:sz="0" w:space="0" w:color="auto"/>
                        <w:left w:val="none" w:sz="0" w:space="0" w:color="auto"/>
                        <w:bottom w:val="none" w:sz="0" w:space="0" w:color="auto"/>
                        <w:right w:val="none" w:sz="0" w:space="0" w:color="auto"/>
                      </w:divBdr>
                      <w:divsChild>
                        <w:div w:id="115300625">
                          <w:marLeft w:val="0"/>
                          <w:marRight w:val="0"/>
                          <w:marTop w:val="0"/>
                          <w:marBottom w:val="0"/>
                          <w:divBdr>
                            <w:top w:val="single" w:sz="4" w:space="6" w:color="auto"/>
                            <w:left w:val="single" w:sz="4" w:space="12" w:color="auto"/>
                            <w:bottom w:val="single" w:sz="4" w:space="6" w:color="auto"/>
                            <w:right w:val="single" w:sz="4" w:space="12" w:color="auto"/>
                          </w:divBdr>
                          <w:divsChild>
                            <w:div w:id="10504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28382">
      <w:bodyDiv w:val="1"/>
      <w:marLeft w:val="0"/>
      <w:marRight w:val="0"/>
      <w:marTop w:val="0"/>
      <w:marBottom w:val="0"/>
      <w:divBdr>
        <w:top w:val="none" w:sz="0" w:space="0" w:color="auto"/>
        <w:left w:val="none" w:sz="0" w:space="0" w:color="auto"/>
        <w:bottom w:val="none" w:sz="0" w:space="0" w:color="auto"/>
        <w:right w:val="none" w:sz="0" w:space="0" w:color="auto"/>
      </w:divBdr>
    </w:div>
    <w:div w:id="1231038365">
      <w:bodyDiv w:val="1"/>
      <w:marLeft w:val="0"/>
      <w:marRight w:val="0"/>
      <w:marTop w:val="0"/>
      <w:marBottom w:val="0"/>
      <w:divBdr>
        <w:top w:val="none" w:sz="0" w:space="0" w:color="auto"/>
        <w:left w:val="none" w:sz="0" w:space="0" w:color="auto"/>
        <w:bottom w:val="none" w:sz="0" w:space="0" w:color="auto"/>
        <w:right w:val="none" w:sz="0" w:space="0" w:color="auto"/>
      </w:divBdr>
    </w:div>
    <w:div w:id="1303465182">
      <w:bodyDiv w:val="1"/>
      <w:marLeft w:val="0"/>
      <w:marRight w:val="0"/>
      <w:marTop w:val="0"/>
      <w:marBottom w:val="0"/>
      <w:divBdr>
        <w:top w:val="none" w:sz="0" w:space="0" w:color="auto"/>
        <w:left w:val="none" w:sz="0" w:space="0" w:color="auto"/>
        <w:bottom w:val="none" w:sz="0" w:space="0" w:color="auto"/>
        <w:right w:val="none" w:sz="0" w:space="0" w:color="auto"/>
      </w:divBdr>
      <w:divsChild>
        <w:div w:id="442456993">
          <w:marLeft w:val="0"/>
          <w:marRight w:val="0"/>
          <w:marTop w:val="0"/>
          <w:marBottom w:val="0"/>
          <w:divBdr>
            <w:top w:val="none" w:sz="0" w:space="0" w:color="auto"/>
            <w:left w:val="none" w:sz="0" w:space="0" w:color="auto"/>
            <w:bottom w:val="none" w:sz="0" w:space="0" w:color="auto"/>
            <w:right w:val="none" w:sz="0" w:space="0" w:color="auto"/>
          </w:divBdr>
        </w:div>
        <w:div w:id="744689113">
          <w:marLeft w:val="0"/>
          <w:marRight w:val="0"/>
          <w:marTop w:val="0"/>
          <w:marBottom w:val="0"/>
          <w:divBdr>
            <w:top w:val="none" w:sz="0" w:space="0" w:color="auto"/>
            <w:left w:val="none" w:sz="0" w:space="0" w:color="auto"/>
            <w:bottom w:val="none" w:sz="0" w:space="0" w:color="auto"/>
            <w:right w:val="none" w:sz="0" w:space="0" w:color="auto"/>
          </w:divBdr>
        </w:div>
        <w:div w:id="795218477">
          <w:marLeft w:val="0"/>
          <w:marRight w:val="0"/>
          <w:marTop w:val="0"/>
          <w:marBottom w:val="0"/>
          <w:divBdr>
            <w:top w:val="none" w:sz="0" w:space="0" w:color="auto"/>
            <w:left w:val="none" w:sz="0" w:space="0" w:color="auto"/>
            <w:bottom w:val="none" w:sz="0" w:space="0" w:color="auto"/>
            <w:right w:val="none" w:sz="0" w:space="0" w:color="auto"/>
          </w:divBdr>
        </w:div>
        <w:div w:id="1180242546">
          <w:marLeft w:val="0"/>
          <w:marRight w:val="0"/>
          <w:marTop w:val="0"/>
          <w:marBottom w:val="0"/>
          <w:divBdr>
            <w:top w:val="none" w:sz="0" w:space="0" w:color="auto"/>
            <w:left w:val="none" w:sz="0" w:space="0" w:color="auto"/>
            <w:bottom w:val="none" w:sz="0" w:space="0" w:color="auto"/>
            <w:right w:val="none" w:sz="0" w:space="0" w:color="auto"/>
          </w:divBdr>
        </w:div>
        <w:div w:id="1461335585">
          <w:marLeft w:val="0"/>
          <w:marRight w:val="0"/>
          <w:marTop w:val="0"/>
          <w:marBottom w:val="0"/>
          <w:divBdr>
            <w:top w:val="none" w:sz="0" w:space="0" w:color="auto"/>
            <w:left w:val="none" w:sz="0" w:space="0" w:color="auto"/>
            <w:bottom w:val="none" w:sz="0" w:space="0" w:color="auto"/>
            <w:right w:val="none" w:sz="0" w:space="0" w:color="auto"/>
          </w:divBdr>
        </w:div>
      </w:divsChild>
    </w:div>
    <w:div w:id="1324505090">
      <w:bodyDiv w:val="1"/>
      <w:marLeft w:val="0"/>
      <w:marRight w:val="0"/>
      <w:marTop w:val="0"/>
      <w:marBottom w:val="0"/>
      <w:divBdr>
        <w:top w:val="none" w:sz="0" w:space="0" w:color="auto"/>
        <w:left w:val="none" w:sz="0" w:space="0" w:color="auto"/>
        <w:bottom w:val="none" w:sz="0" w:space="0" w:color="auto"/>
        <w:right w:val="none" w:sz="0" w:space="0" w:color="auto"/>
      </w:divBdr>
    </w:div>
    <w:div w:id="1362165846">
      <w:bodyDiv w:val="1"/>
      <w:marLeft w:val="0"/>
      <w:marRight w:val="0"/>
      <w:marTop w:val="0"/>
      <w:marBottom w:val="0"/>
      <w:divBdr>
        <w:top w:val="none" w:sz="0" w:space="0" w:color="auto"/>
        <w:left w:val="none" w:sz="0" w:space="0" w:color="auto"/>
        <w:bottom w:val="none" w:sz="0" w:space="0" w:color="auto"/>
        <w:right w:val="none" w:sz="0" w:space="0" w:color="auto"/>
      </w:divBdr>
      <w:divsChild>
        <w:div w:id="1494876786">
          <w:marLeft w:val="0"/>
          <w:marRight w:val="0"/>
          <w:marTop w:val="0"/>
          <w:marBottom w:val="180"/>
          <w:divBdr>
            <w:top w:val="none" w:sz="0" w:space="0" w:color="auto"/>
            <w:left w:val="none" w:sz="0" w:space="0" w:color="auto"/>
            <w:bottom w:val="none" w:sz="0" w:space="0" w:color="auto"/>
            <w:right w:val="none" w:sz="0" w:space="0" w:color="auto"/>
          </w:divBdr>
          <w:divsChild>
            <w:div w:id="720980866">
              <w:marLeft w:val="0"/>
              <w:marRight w:val="0"/>
              <w:marTop w:val="0"/>
              <w:marBottom w:val="0"/>
              <w:divBdr>
                <w:top w:val="none" w:sz="0" w:space="0" w:color="auto"/>
                <w:left w:val="none" w:sz="0" w:space="0" w:color="auto"/>
                <w:bottom w:val="none" w:sz="0" w:space="0" w:color="auto"/>
                <w:right w:val="none" w:sz="0" w:space="0" w:color="auto"/>
              </w:divBdr>
              <w:divsChild>
                <w:div w:id="377361978">
                  <w:marLeft w:val="30"/>
                  <w:marRight w:val="30"/>
                  <w:marTop w:val="0"/>
                  <w:marBottom w:val="0"/>
                  <w:divBdr>
                    <w:top w:val="none" w:sz="0" w:space="0" w:color="auto"/>
                    <w:left w:val="none" w:sz="0" w:space="0" w:color="auto"/>
                    <w:bottom w:val="none" w:sz="0" w:space="0" w:color="auto"/>
                    <w:right w:val="none" w:sz="0" w:space="0" w:color="auto"/>
                  </w:divBdr>
                  <w:divsChild>
                    <w:div w:id="2052067099">
                      <w:marLeft w:val="0"/>
                      <w:marRight w:val="0"/>
                      <w:marTop w:val="0"/>
                      <w:marBottom w:val="0"/>
                      <w:divBdr>
                        <w:top w:val="none" w:sz="0" w:space="0" w:color="auto"/>
                        <w:left w:val="none" w:sz="0" w:space="0" w:color="auto"/>
                        <w:bottom w:val="none" w:sz="0" w:space="0" w:color="auto"/>
                        <w:right w:val="none" w:sz="0" w:space="0" w:color="auto"/>
                      </w:divBdr>
                      <w:divsChild>
                        <w:div w:id="402677243">
                          <w:marLeft w:val="0"/>
                          <w:marRight w:val="0"/>
                          <w:marTop w:val="0"/>
                          <w:marBottom w:val="0"/>
                          <w:divBdr>
                            <w:top w:val="none" w:sz="0" w:space="0" w:color="auto"/>
                            <w:left w:val="none" w:sz="0" w:space="0" w:color="auto"/>
                            <w:bottom w:val="none" w:sz="0" w:space="0" w:color="auto"/>
                            <w:right w:val="none" w:sz="0" w:space="0" w:color="auto"/>
                          </w:divBdr>
                          <w:divsChild>
                            <w:div w:id="583222823">
                              <w:marLeft w:val="0"/>
                              <w:marRight w:val="0"/>
                              <w:marTop w:val="0"/>
                              <w:marBottom w:val="0"/>
                              <w:divBdr>
                                <w:top w:val="none" w:sz="0" w:space="0" w:color="auto"/>
                                <w:left w:val="none" w:sz="0" w:space="0" w:color="auto"/>
                                <w:bottom w:val="none" w:sz="0" w:space="0" w:color="auto"/>
                                <w:right w:val="none" w:sz="0" w:space="0" w:color="auto"/>
                              </w:divBdr>
                              <w:divsChild>
                                <w:div w:id="1029725141">
                                  <w:marLeft w:val="0"/>
                                  <w:marRight w:val="0"/>
                                  <w:marTop w:val="0"/>
                                  <w:marBottom w:val="0"/>
                                  <w:divBdr>
                                    <w:top w:val="none" w:sz="0" w:space="0" w:color="auto"/>
                                    <w:left w:val="none" w:sz="0" w:space="0" w:color="auto"/>
                                    <w:bottom w:val="none" w:sz="0" w:space="0" w:color="auto"/>
                                    <w:right w:val="none" w:sz="0" w:space="0" w:color="auto"/>
                                  </w:divBdr>
                                  <w:divsChild>
                                    <w:div w:id="1550874694">
                                      <w:marLeft w:val="0"/>
                                      <w:marRight w:val="0"/>
                                      <w:marTop w:val="0"/>
                                      <w:marBottom w:val="0"/>
                                      <w:divBdr>
                                        <w:top w:val="none" w:sz="0" w:space="0" w:color="auto"/>
                                        <w:left w:val="none" w:sz="0" w:space="0" w:color="auto"/>
                                        <w:bottom w:val="none" w:sz="0" w:space="0" w:color="auto"/>
                                        <w:right w:val="none" w:sz="0" w:space="0" w:color="auto"/>
                                      </w:divBdr>
                                      <w:divsChild>
                                        <w:div w:id="3912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8067">
                                  <w:marLeft w:val="0"/>
                                  <w:marRight w:val="0"/>
                                  <w:marTop w:val="0"/>
                                  <w:marBottom w:val="0"/>
                                  <w:divBdr>
                                    <w:top w:val="none" w:sz="0" w:space="0" w:color="auto"/>
                                    <w:left w:val="none" w:sz="0" w:space="0" w:color="auto"/>
                                    <w:bottom w:val="none" w:sz="0" w:space="0" w:color="auto"/>
                                    <w:right w:val="none" w:sz="0" w:space="0" w:color="auto"/>
                                  </w:divBdr>
                                </w:div>
                              </w:divsChild>
                            </w:div>
                            <w:div w:id="1868832264">
                              <w:marLeft w:val="0"/>
                              <w:marRight w:val="0"/>
                              <w:marTop w:val="0"/>
                              <w:marBottom w:val="480"/>
                              <w:divBdr>
                                <w:top w:val="none" w:sz="0" w:space="0" w:color="auto"/>
                                <w:left w:val="none" w:sz="0" w:space="0" w:color="auto"/>
                                <w:bottom w:val="none" w:sz="0" w:space="0" w:color="auto"/>
                                <w:right w:val="none" w:sz="0" w:space="0" w:color="auto"/>
                              </w:divBdr>
                              <w:divsChild>
                                <w:div w:id="1043674125">
                                  <w:marLeft w:val="0"/>
                                  <w:marRight w:val="0"/>
                                  <w:marTop w:val="0"/>
                                  <w:marBottom w:val="0"/>
                                  <w:divBdr>
                                    <w:top w:val="none" w:sz="0" w:space="0" w:color="auto"/>
                                    <w:left w:val="none" w:sz="0" w:space="0" w:color="auto"/>
                                    <w:bottom w:val="none" w:sz="0" w:space="0" w:color="auto"/>
                                    <w:right w:val="none" w:sz="0" w:space="0" w:color="auto"/>
                                  </w:divBdr>
                                  <w:divsChild>
                                    <w:div w:id="1124232665">
                                      <w:marLeft w:val="0"/>
                                      <w:marRight w:val="0"/>
                                      <w:marTop w:val="0"/>
                                      <w:marBottom w:val="0"/>
                                      <w:divBdr>
                                        <w:top w:val="none" w:sz="0" w:space="0" w:color="auto"/>
                                        <w:left w:val="none" w:sz="0" w:space="0" w:color="auto"/>
                                        <w:bottom w:val="none" w:sz="0" w:space="0" w:color="auto"/>
                                        <w:right w:val="none" w:sz="0" w:space="0" w:color="auto"/>
                                      </w:divBdr>
                                      <w:divsChild>
                                        <w:div w:id="803737222">
                                          <w:marLeft w:val="0"/>
                                          <w:marRight w:val="0"/>
                                          <w:marTop w:val="0"/>
                                          <w:marBottom w:val="0"/>
                                          <w:divBdr>
                                            <w:top w:val="none" w:sz="0" w:space="0" w:color="auto"/>
                                            <w:left w:val="none" w:sz="0" w:space="0" w:color="auto"/>
                                            <w:bottom w:val="none" w:sz="0" w:space="0" w:color="auto"/>
                                            <w:right w:val="none" w:sz="0" w:space="0" w:color="auto"/>
                                          </w:divBdr>
                                          <w:divsChild>
                                            <w:div w:id="1013805212">
                                              <w:marLeft w:val="0"/>
                                              <w:marRight w:val="0"/>
                                              <w:marTop w:val="0"/>
                                              <w:marBottom w:val="0"/>
                                              <w:divBdr>
                                                <w:top w:val="none" w:sz="0" w:space="0" w:color="auto"/>
                                                <w:left w:val="none" w:sz="0" w:space="0" w:color="auto"/>
                                                <w:bottom w:val="none" w:sz="0" w:space="0" w:color="auto"/>
                                                <w:right w:val="none" w:sz="0" w:space="0" w:color="auto"/>
                                              </w:divBdr>
                                              <w:divsChild>
                                                <w:div w:id="1595086321">
                                                  <w:marLeft w:val="0"/>
                                                  <w:marRight w:val="0"/>
                                                  <w:marTop w:val="0"/>
                                                  <w:marBottom w:val="0"/>
                                                  <w:divBdr>
                                                    <w:top w:val="none" w:sz="0" w:space="0" w:color="auto"/>
                                                    <w:left w:val="none" w:sz="0" w:space="0" w:color="auto"/>
                                                    <w:bottom w:val="none" w:sz="0" w:space="0" w:color="auto"/>
                                                    <w:right w:val="none" w:sz="0" w:space="0" w:color="auto"/>
                                                  </w:divBdr>
                                                  <w:divsChild>
                                                    <w:div w:id="688025687">
                                                      <w:marLeft w:val="0"/>
                                                      <w:marRight w:val="0"/>
                                                      <w:marTop w:val="0"/>
                                                      <w:marBottom w:val="0"/>
                                                      <w:divBdr>
                                                        <w:top w:val="none" w:sz="0" w:space="0" w:color="auto"/>
                                                        <w:left w:val="none" w:sz="0" w:space="0" w:color="auto"/>
                                                        <w:bottom w:val="none" w:sz="0" w:space="0" w:color="auto"/>
                                                        <w:right w:val="none" w:sz="0" w:space="0" w:color="auto"/>
                                                      </w:divBdr>
                                                      <w:divsChild>
                                                        <w:div w:id="368385224">
                                                          <w:marLeft w:val="0"/>
                                                          <w:marRight w:val="0"/>
                                                          <w:marTop w:val="0"/>
                                                          <w:marBottom w:val="0"/>
                                                          <w:divBdr>
                                                            <w:top w:val="none" w:sz="0" w:space="0" w:color="auto"/>
                                                            <w:left w:val="none" w:sz="0" w:space="0" w:color="auto"/>
                                                            <w:bottom w:val="none" w:sz="0" w:space="0" w:color="auto"/>
                                                            <w:right w:val="none" w:sz="0" w:space="0" w:color="auto"/>
                                                          </w:divBdr>
                                                          <w:divsChild>
                                                            <w:div w:id="1024669050">
                                                              <w:marLeft w:val="0"/>
                                                              <w:marRight w:val="0"/>
                                                              <w:marTop w:val="0"/>
                                                              <w:marBottom w:val="0"/>
                                                              <w:divBdr>
                                                                <w:top w:val="none" w:sz="0" w:space="0" w:color="auto"/>
                                                                <w:left w:val="none" w:sz="0" w:space="0" w:color="auto"/>
                                                                <w:bottom w:val="none" w:sz="0" w:space="0" w:color="auto"/>
                                                                <w:right w:val="none" w:sz="0" w:space="0" w:color="auto"/>
                                                              </w:divBdr>
                                                              <w:divsChild>
                                                                <w:div w:id="87629319">
                                                                  <w:marLeft w:val="-300"/>
                                                                  <w:marRight w:val="-300"/>
                                                                  <w:marTop w:val="0"/>
                                                                  <w:marBottom w:val="0"/>
                                                                  <w:divBdr>
                                                                    <w:top w:val="none" w:sz="0" w:space="0" w:color="auto"/>
                                                                    <w:left w:val="none" w:sz="0" w:space="0" w:color="auto"/>
                                                                    <w:bottom w:val="none" w:sz="0" w:space="0" w:color="auto"/>
                                                                    <w:right w:val="none" w:sz="0" w:space="0" w:color="auto"/>
                                                                  </w:divBdr>
                                                                </w:div>
                                                                <w:div w:id="193104095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489708">
              <w:marLeft w:val="0"/>
              <w:marRight w:val="0"/>
              <w:marTop w:val="0"/>
              <w:marBottom w:val="0"/>
              <w:divBdr>
                <w:top w:val="none" w:sz="0" w:space="0" w:color="auto"/>
                <w:left w:val="none" w:sz="0" w:space="0" w:color="auto"/>
                <w:bottom w:val="none" w:sz="0" w:space="0" w:color="auto"/>
                <w:right w:val="none" w:sz="0" w:space="0" w:color="auto"/>
              </w:divBdr>
              <w:divsChild>
                <w:div w:id="978728456">
                  <w:marLeft w:val="0"/>
                  <w:marRight w:val="0"/>
                  <w:marTop w:val="0"/>
                  <w:marBottom w:val="0"/>
                  <w:divBdr>
                    <w:top w:val="none" w:sz="0" w:space="0" w:color="auto"/>
                    <w:left w:val="none" w:sz="0" w:space="0" w:color="auto"/>
                    <w:bottom w:val="none" w:sz="0" w:space="0" w:color="auto"/>
                    <w:right w:val="none" w:sz="0" w:space="0" w:color="auto"/>
                  </w:divBdr>
                  <w:divsChild>
                    <w:div w:id="188835261">
                      <w:marLeft w:val="0"/>
                      <w:marRight w:val="0"/>
                      <w:marTop w:val="0"/>
                      <w:marBottom w:val="0"/>
                      <w:divBdr>
                        <w:top w:val="none" w:sz="0" w:space="0" w:color="auto"/>
                        <w:left w:val="none" w:sz="0" w:space="0" w:color="auto"/>
                        <w:bottom w:val="none" w:sz="0" w:space="0" w:color="auto"/>
                        <w:right w:val="none" w:sz="0" w:space="0" w:color="auto"/>
                      </w:divBdr>
                      <w:divsChild>
                        <w:div w:id="378406779">
                          <w:marLeft w:val="0"/>
                          <w:marRight w:val="0"/>
                          <w:marTop w:val="0"/>
                          <w:marBottom w:val="0"/>
                          <w:divBdr>
                            <w:top w:val="single" w:sz="4" w:space="6" w:color="auto"/>
                            <w:left w:val="single" w:sz="4" w:space="12" w:color="auto"/>
                            <w:bottom w:val="single" w:sz="4" w:space="6" w:color="auto"/>
                            <w:right w:val="single" w:sz="4" w:space="12" w:color="auto"/>
                          </w:divBdr>
                          <w:divsChild>
                            <w:div w:id="19474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17827">
          <w:marLeft w:val="0"/>
          <w:marRight w:val="0"/>
          <w:marTop w:val="0"/>
          <w:marBottom w:val="180"/>
          <w:divBdr>
            <w:top w:val="none" w:sz="0" w:space="0" w:color="auto"/>
            <w:left w:val="none" w:sz="0" w:space="0" w:color="auto"/>
            <w:bottom w:val="none" w:sz="0" w:space="0" w:color="auto"/>
            <w:right w:val="none" w:sz="0" w:space="0" w:color="auto"/>
          </w:divBdr>
          <w:divsChild>
            <w:div w:id="899024589">
              <w:marLeft w:val="0"/>
              <w:marRight w:val="0"/>
              <w:marTop w:val="0"/>
              <w:marBottom w:val="0"/>
              <w:divBdr>
                <w:top w:val="none" w:sz="0" w:space="0" w:color="auto"/>
                <w:left w:val="none" w:sz="0" w:space="0" w:color="auto"/>
                <w:bottom w:val="none" w:sz="0" w:space="0" w:color="auto"/>
                <w:right w:val="none" w:sz="0" w:space="0" w:color="auto"/>
              </w:divBdr>
              <w:divsChild>
                <w:div w:id="241330762">
                  <w:marLeft w:val="30"/>
                  <w:marRight w:val="30"/>
                  <w:marTop w:val="0"/>
                  <w:marBottom w:val="0"/>
                  <w:divBdr>
                    <w:top w:val="none" w:sz="0" w:space="0" w:color="auto"/>
                    <w:left w:val="none" w:sz="0" w:space="0" w:color="auto"/>
                    <w:bottom w:val="none" w:sz="0" w:space="0" w:color="auto"/>
                    <w:right w:val="none" w:sz="0" w:space="0" w:color="auto"/>
                  </w:divBdr>
                  <w:divsChild>
                    <w:div w:id="1553541764">
                      <w:marLeft w:val="0"/>
                      <w:marRight w:val="0"/>
                      <w:marTop w:val="0"/>
                      <w:marBottom w:val="0"/>
                      <w:divBdr>
                        <w:top w:val="none" w:sz="0" w:space="0" w:color="auto"/>
                        <w:left w:val="none" w:sz="0" w:space="0" w:color="auto"/>
                        <w:bottom w:val="none" w:sz="0" w:space="0" w:color="auto"/>
                        <w:right w:val="none" w:sz="0" w:space="0" w:color="auto"/>
                      </w:divBdr>
                      <w:divsChild>
                        <w:div w:id="1568765486">
                          <w:marLeft w:val="0"/>
                          <w:marRight w:val="0"/>
                          <w:marTop w:val="0"/>
                          <w:marBottom w:val="0"/>
                          <w:divBdr>
                            <w:top w:val="none" w:sz="0" w:space="0" w:color="auto"/>
                            <w:left w:val="none" w:sz="0" w:space="0" w:color="auto"/>
                            <w:bottom w:val="none" w:sz="0" w:space="0" w:color="auto"/>
                            <w:right w:val="none" w:sz="0" w:space="0" w:color="auto"/>
                          </w:divBdr>
                          <w:divsChild>
                            <w:div w:id="952590298">
                              <w:marLeft w:val="0"/>
                              <w:marRight w:val="0"/>
                              <w:marTop w:val="0"/>
                              <w:marBottom w:val="480"/>
                              <w:divBdr>
                                <w:top w:val="none" w:sz="0" w:space="0" w:color="auto"/>
                                <w:left w:val="none" w:sz="0" w:space="0" w:color="auto"/>
                                <w:bottom w:val="none" w:sz="0" w:space="0" w:color="auto"/>
                                <w:right w:val="none" w:sz="0" w:space="0" w:color="auto"/>
                              </w:divBdr>
                              <w:divsChild>
                                <w:div w:id="1824160521">
                                  <w:marLeft w:val="0"/>
                                  <w:marRight w:val="0"/>
                                  <w:marTop w:val="0"/>
                                  <w:marBottom w:val="0"/>
                                  <w:divBdr>
                                    <w:top w:val="none" w:sz="0" w:space="0" w:color="auto"/>
                                    <w:left w:val="none" w:sz="0" w:space="0" w:color="auto"/>
                                    <w:bottom w:val="none" w:sz="0" w:space="0" w:color="auto"/>
                                    <w:right w:val="none" w:sz="0" w:space="0" w:color="auto"/>
                                  </w:divBdr>
                                  <w:divsChild>
                                    <w:div w:id="1794052837">
                                      <w:marLeft w:val="0"/>
                                      <w:marRight w:val="0"/>
                                      <w:marTop w:val="0"/>
                                      <w:marBottom w:val="0"/>
                                      <w:divBdr>
                                        <w:top w:val="none" w:sz="0" w:space="0" w:color="auto"/>
                                        <w:left w:val="none" w:sz="0" w:space="0" w:color="auto"/>
                                        <w:bottom w:val="none" w:sz="0" w:space="0" w:color="auto"/>
                                        <w:right w:val="none" w:sz="0" w:space="0" w:color="auto"/>
                                      </w:divBdr>
                                      <w:divsChild>
                                        <w:div w:id="1054038208">
                                          <w:marLeft w:val="0"/>
                                          <w:marRight w:val="0"/>
                                          <w:marTop w:val="0"/>
                                          <w:marBottom w:val="0"/>
                                          <w:divBdr>
                                            <w:top w:val="none" w:sz="0" w:space="0" w:color="auto"/>
                                            <w:left w:val="none" w:sz="0" w:space="0" w:color="auto"/>
                                            <w:bottom w:val="none" w:sz="0" w:space="0" w:color="auto"/>
                                            <w:right w:val="none" w:sz="0" w:space="0" w:color="auto"/>
                                          </w:divBdr>
                                          <w:divsChild>
                                            <w:div w:id="189998893">
                                              <w:marLeft w:val="0"/>
                                              <w:marRight w:val="0"/>
                                              <w:marTop w:val="0"/>
                                              <w:marBottom w:val="0"/>
                                              <w:divBdr>
                                                <w:top w:val="none" w:sz="0" w:space="0" w:color="auto"/>
                                                <w:left w:val="none" w:sz="0" w:space="0" w:color="auto"/>
                                                <w:bottom w:val="none" w:sz="0" w:space="0" w:color="auto"/>
                                                <w:right w:val="none" w:sz="0" w:space="0" w:color="auto"/>
                                              </w:divBdr>
                                              <w:divsChild>
                                                <w:div w:id="977806799">
                                                  <w:marLeft w:val="0"/>
                                                  <w:marRight w:val="0"/>
                                                  <w:marTop w:val="0"/>
                                                  <w:marBottom w:val="0"/>
                                                  <w:divBdr>
                                                    <w:top w:val="none" w:sz="0" w:space="0" w:color="auto"/>
                                                    <w:left w:val="none" w:sz="0" w:space="0" w:color="auto"/>
                                                    <w:bottom w:val="none" w:sz="0" w:space="0" w:color="auto"/>
                                                    <w:right w:val="none" w:sz="0" w:space="0" w:color="auto"/>
                                                  </w:divBdr>
                                                  <w:divsChild>
                                                    <w:div w:id="365102669">
                                                      <w:marLeft w:val="0"/>
                                                      <w:marRight w:val="0"/>
                                                      <w:marTop w:val="0"/>
                                                      <w:marBottom w:val="0"/>
                                                      <w:divBdr>
                                                        <w:top w:val="none" w:sz="0" w:space="0" w:color="auto"/>
                                                        <w:left w:val="none" w:sz="0" w:space="0" w:color="auto"/>
                                                        <w:bottom w:val="none" w:sz="0" w:space="0" w:color="auto"/>
                                                        <w:right w:val="none" w:sz="0" w:space="0" w:color="auto"/>
                                                      </w:divBdr>
                                                      <w:divsChild>
                                                        <w:div w:id="1769621960">
                                                          <w:marLeft w:val="0"/>
                                                          <w:marRight w:val="0"/>
                                                          <w:marTop w:val="0"/>
                                                          <w:marBottom w:val="0"/>
                                                          <w:divBdr>
                                                            <w:top w:val="none" w:sz="0" w:space="0" w:color="auto"/>
                                                            <w:left w:val="none" w:sz="0" w:space="0" w:color="auto"/>
                                                            <w:bottom w:val="none" w:sz="0" w:space="0" w:color="auto"/>
                                                            <w:right w:val="none" w:sz="0" w:space="0" w:color="auto"/>
                                                          </w:divBdr>
                                                          <w:divsChild>
                                                            <w:div w:id="1014527554">
                                                              <w:marLeft w:val="0"/>
                                                              <w:marRight w:val="0"/>
                                                              <w:marTop w:val="0"/>
                                                              <w:marBottom w:val="0"/>
                                                              <w:divBdr>
                                                                <w:top w:val="none" w:sz="0" w:space="0" w:color="auto"/>
                                                                <w:left w:val="none" w:sz="0" w:space="0" w:color="auto"/>
                                                                <w:bottom w:val="none" w:sz="0" w:space="0" w:color="auto"/>
                                                                <w:right w:val="none" w:sz="0" w:space="0" w:color="auto"/>
                                                              </w:divBdr>
                                                              <w:divsChild>
                                                                <w:div w:id="153301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768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165419">
          <w:marLeft w:val="0"/>
          <w:marRight w:val="0"/>
          <w:marTop w:val="0"/>
          <w:marBottom w:val="180"/>
          <w:divBdr>
            <w:top w:val="none" w:sz="0" w:space="0" w:color="auto"/>
            <w:left w:val="none" w:sz="0" w:space="0" w:color="auto"/>
            <w:bottom w:val="none" w:sz="0" w:space="0" w:color="auto"/>
            <w:right w:val="none" w:sz="0" w:space="0" w:color="auto"/>
          </w:divBdr>
          <w:divsChild>
            <w:div w:id="89468581">
              <w:marLeft w:val="0"/>
              <w:marRight w:val="0"/>
              <w:marTop w:val="0"/>
              <w:marBottom w:val="0"/>
              <w:divBdr>
                <w:top w:val="none" w:sz="0" w:space="0" w:color="auto"/>
                <w:left w:val="none" w:sz="0" w:space="0" w:color="auto"/>
                <w:bottom w:val="none" w:sz="0" w:space="0" w:color="auto"/>
                <w:right w:val="none" w:sz="0" w:space="0" w:color="auto"/>
              </w:divBdr>
              <w:divsChild>
                <w:div w:id="873228709">
                  <w:marLeft w:val="30"/>
                  <w:marRight w:val="30"/>
                  <w:marTop w:val="0"/>
                  <w:marBottom w:val="0"/>
                  <w:divBdr>
                    <w:top w:val="none" w:sz="0" w:space="0" w:color="auto"/>
                    <w:left w:val="none" w:sz="0" w:space="0" w:color="auto"/>
                    <w:bottom w:val="none" w:sz="0" w:space="0" w:color="auto"/>
                    <w:right w:val="none" w:sz="0" w:space="0" w:color="auto"/>
                  </w:divBdr>
                  <w:divsChild>
                    <w:div w:id="1726680586">
                      <w:marLeft w:val="0"/>
                      <w:marRight w:val="0"/>
                      <w:marTop w:val="0"/>
                      <w:marBottom w:val="0"/>
                      <w:divBdr>
                        <w:top w:val="none" w:sz="0" w:space="0" w:color="auto"/>
                        <w:left w:val="none" w:sz="0" w:space="0" w:color="auto"/>
                        <w:bottom w:val="none" w:sz="0" w:space="0" w:color="auto"/>
                        <w:right w:val="none" w:sz="0" w:space="0" w:color="auto"/>
                      </w:divBdr>
                      <w:divsChild>
                        <w:div w:id="866912179">
                          <w:marLeft w:val="0"/>
                          <w:marRight w:val="0"/>
                          <w:marTop w:val="0"/>
                          <w:marBottom w:val="0"/>
                          <w:divBdr>
                            <w:top w:val="none" w:sz="0" w:space="0" w:color="auto"/>
                            <w:left w:val="none" w:sz="0" w:space="0" w:color="auto"/>
                            <w:bottom w:val="none" w:sz="0" w:space="0" w:color="auto"/>
                            <w:right w:val="none" w:sz="0" w:space="0" w:color="auto"/>
                          </w:divBdr>
                          <w:divsChild>
                            <w:div w:id="7100507">
                              <w:marLeft w:val="0"/>
                              <w:marRight w:val="0"/>
                              <w:marTop w:val="0"/>
                              <w:marBottom w:val="0"/>
                              <w:divBdr>
                                <w:top w:val="none" w:sz="0" w:space="0" w:color="auto"/>
                                <w:left w:val="none" w:sz="0" w:space="0" w:color="auto"/>
                                <w:bottom w:val="none" w:sz="0" w:space="0" w:color="auto"/>
                                <w:right w:val="none" w:sz="0" w:space="0" w:color="auto"/>
                              </w:divBdr>
                              <w:divsChild>
                                <w:div w:id="168835132">
                                  <w:marLeft w:val="0"/>
                                  <w:marRight w:val="0"/>
                                  <w:marTop w:val="0"/>
                                  <w:marBottom w:val="0"/>
                                  <w:divBdr>
                                    <w:top w:val="none" w:sz="0" w:space="0" w:color="auto"/>
                                    <w:left w:val="none" w:sz="0" w:space="0" w:color="auto"/>
                                    <w:bottom w:val="none" w:sz="0" w:space="0" w:color="auto"/>
                                    <w:right w:val="none" w:sz="0" w:space="0" w:color="auto"/>
                                  </w:divBdr>
                                  <w:divsChild>
                                    <w:div w:id="557860022">
                                      <w:marLeft w:val="0"/>
                                      <w:marRight w:val="0"/>
                                      <w:marTop w:val="0"/>
                                      <w:marBottom w:val="300"/>
                                      <w:divBdr>
                                        <w:top w:val="none" w:sz="0" w:space="0" w:color="auto"/>
                                        <w:left w:val="none" w:sz="0" w:space="0" w:color="auto"/>
                                        <w:bottom w:val="none" w:sz="0" w:space="0" w:color="auto"/>
                                        <w:right w:val="none" w:sz="0" w:space="0" w:color="auto"/>
                                      </w:divBdr>
                                      <w:divsChild>
                                        <w:div w:id="1901594595">
                                          <w:marLeft w:val="0"/>
                                          <w:marRight w:val="0"/>
                                          <w:marTop w:val="0"/>
                                          <w:marBottom w:val="0"/>
                                          <w:divBdr>
                                            <w:top w:val="none" w:sz="0" w:space="0" w:color="auto"/>
                                            <w:left w:val="none" w:sz="0" w:space="0" w:color="auto"/>
                                            <w:bottom w:val="none" w:sz="0" w:space="0" w:color="auto"/>
                                            <w:right w:val="none" w:sz="0" w:space="0" w:color="auto"/>
                                          </w:divBdr>
                                          <w:divsChild>
                                            <w:div w:id="1332564490">
                                              <w:marLeft w:val="0"/>
                                              <w:marRight w:val="0"/>
                                              <w:marTop w:val="0"/>
                                              <w:marBottom w:val="0"/>
                                              <w:divBdr>
                                                <w:top w:val="none" w:sz="0" w:space="0" w:color="auto"/>
                                                <w:left w:val="none" w:sz="0" w:space="0" w:color="auto"/>
                                                <w:bottom w:val="none" w:sz="0" w:space="0" w:color="auto"/>
                                                <w:right w:val="none" w:sz="0" w:space="0" w:color="auto"/>
                                              </w:divBdr>
                                              <w:divsChild>
                                                <w:div w:id="428434788">
                                                  <w:marLeft w:val="0"/>
                                                  <w:marRight w:val="0"/>
                                                  <w:marTop w:val="0"/>
                                                  <w:marBottom w:val="0"/>
                                                  <w:divBdr>
                                                    <w:top w:val="none" w:sz="0" w:space="0" w:color="auto"/>
                                                    <w:left w:val="none" w:sz="0" w:space="0" w:color="auto"/>
                                                    <w:bottom w:val="none" w:sz="0" w:space="0" w:color="auto"/>
                                                    <w:right w:val="none" w:sz="0" w:space="0" w:color="auto"/>
                                                  </w:divBdr>
                                                  <w:divsChild>
                                                    <w:div w:id="4081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429139">
                              <w:marLeft w:val="0"/>
                              <w:marRight w:val="0"/>
                              <w:marTop w:val="0"/>
                              <w:marBottom w:val="0"/>
                              <w:divBdr>
                                <w:top w:val="none" w:sz="0" w:space="0" w:color="auto"/>
                                <w:left w:val="none" w:sz="0" w:space="0" w:color="auto"/>
                                <w:bottom w:val="none" w:sz="0" w:space="0" w:color="auto"/>
                                <w:right w:val="none" w:sz="0" w:space="0" w:color="auto"/>
                              </w:divBdr>
                              <w:divsChild>
                                <w:div w:id="1285699609">
                                  <w:marLeft w:val="0"/>
                                  <w:marRight w:val="0"/>
                                  <w:marTop w:val="0"/>
                                  <w:marBottom w:val="0"/>
                                  <w:divBdr>
                                    <w:top w:val="none" w:sz="0" w:space="0" w:color="auto"/>
                                    <w:left w:val="none" w:sz="0" w:space="0" w:color="auto"/>
                                    <w:bottom w:val="none" w:sz="0" w:space="0" w:color="auto"/>
                                    <w:right w:val="none" w:sz="0" w:space="0" w:color="auto"/>
                                  </w:divBdr>
                                  <w:divsChild>
                                    <w:div w:id="414476224">
                                      <w:marLeft w:val="0"/>
                                      <w:marRight w:val="0"/>
                                      <w:marTop w:val="0"/>
                                      <w:marBottom w:val="0"/>
                                      <w:divBdr>
                                        <w:top w:val="none" w:sz="0" w:space="0" w:color="auto"/>
                                        <w:left w:val="none" w:sz="0" w:space="0" w:color="auto"/>
                                        <w:bottom w:val="none" w:sz="0" w:space="0" w:color="auto"/>
                                        <w:right w:val="none" w:sz="0" w:space="0" w:color="auto"/>
                                      </w:divBdr>
                                      <w:divsChild>
                                        <w:div w:id="1430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917">
                                  <w:marLeft w:val="0"/>
                                  <w:marRight w:val="0"/>
                                  <w:marTop w:val="0"/>
                                  <w:marBottom w:val="0"/>
                                  <w:divBdr>
                                    <w:top w:val="none" w:sz="0" w:space="0" w:color="auto"/>
                                    <w:left w:val="none" w:sz="0" w:space="0" w:color="auto"/>
                                    <w:bottom w:val="none" w:sz="0" w:space="0" w:color="auto"/>
                                    <w:right w:val="none" w:sz="0" w:space="0" w:color="auto"/>
                                  </w:divBdr>
                                </w:div>
                              </w:divsChild>
                            </w:div>
                            <w:div w:id="1848783416">
                              <w:marLeft w:val="0"/>
                              <w:marRight w:val="0"/>
                              <w:marTop w:val="0"/>
                              <w:marBottom w:val="480"/>
                              <w:divBdr>
                                <w:top w:val="none" w:sz="0" w:space="0" w:color="auto"/>
                                <w:left w:val="none" w:sz="0" w:space="0" w:color="auto"/>
                                <w:bottom w:val="none" w:sz="0" w:space="0" w:color="auto"/>
                                <w:right w:val="none" w:sz="0" w:space="0" w:color="auto"/>
                              </w:divBdr>
                              <w:divsChild>
                                <w:div w:id="1448549454">
                                  <w:marLeft w:val="0"/>
                                  <w:marRight w:val="0"/>
                                  <w:marTop w:val="0"/>
                                  <w:marBottom w:val="0"/>
                                  <w:divBdr>
                                    <w:top w:val="none" w:sz="0" w:space="0" w:color="auto"/>
                                    <w:left w:val="none" w:sz="0" w:space="0" w:color="auto"/>
                                    <w:bottom w:val="none" w:sz="0" w:space="0" w:color="auto"/>
                                    <w:right w:val="none" w:sz="0" w:space="0" w:color="auto"/>
                                  </w:divBdr>
                                  <w:divsChild>
                                    <w:div w:id="1892573059">
                                      <w:marLeft w:val="0"/>
                                      <w:marRight w:val="0"/>
                                      <w:marTop w:val="0"/>
                                      <w:marBottom w:val="0"/>
                                      <w:divBdr>
                                        <w:top w:val="none" w:sz="0" w:space="0" w:color="auto"/>
                                        <w:left w:val="none" w:sz="0" w:space="0" w:color="auto"/>
                                        <w:bottom w:val="none" w:sz="0" w:space="0" w:color="auto"/>
                                        <w:right w:val="none" w:sz="0" w:space="0" w:color="auto"/>
                                      </w:divBdr>
                                      <w:divsChild>
                                        <w:div w:id="1929657011">
                                          <w:marLeft w:val="0"/>
                                          <w:marRight w:val="0"/>
                                          <w:marTop w:val="0"/>
                                          <w:marBottom w:val="0"/>
                                          <w:divBdr>
                                            <w:top w:val="none" w:sz="0" w:space="0" w:color="auto"/>
                                            <w:left w:val="none" w:sz="0" w:space="0" w:color="auto"/>
                                            <w:bottom w:val="none" w:sz="0" w:space="0" w:color="auto"/>
                                            <w:right w:val="none" w:sz="0" w:space="0" w:color="auto"/>
                                          </w:divBdr>
                                          <w:divsChild>
                                            <w:div w:id="22639108">
                                              <w:marLeft w:val="0"/>
                                              <w:marRight w:val="0"/>
                                              <w:marTop w:val="0"/>
                                              <w:marBottom w:val="0"/>
                                              <w:divBdr>
                                                <w:top w:val="none" w:sz="0" w:space="0" w:color="auto"/>
                                                <w:left w:val="none" w:sz="0" w:space="0" w:color="auto"/>
                                                <w:bottom w:val="none" w:sz="0" w:space="0" w:color="auto"/>
                                                <w:right w:val="none" w:sz="0" w:space="0" w:color="auto"/>
                                              </w:divBdr>
                                              <w:divsChild>
                                                <w:div w:id="1440834797">
                                                  <w:marLeft w:val="0"/>
                                                  <w:marRight w:val="0"/>
                                                  <w:marTop w:val="0"/>
                                                  <w:marBottom w:val="0"/>
                                                  <w:divBdr>
                                                    <w:top w:val="none" w:sz="0" w:space="0" w:color="auto"/>
                                                    <w:left w:val="none" w:sz="0" w:space="0" w:color="auto"/>
                                                    <w:bottom w:val="none" w:sz="0" w:space="0" w:color="auto"/>
                                                    <w:right w:val="none" w:sz="0" w:space="0" w:color="auto"/>
                                                  </w:divBdr>
                                                  <w:divsChild>
                                                    <w:div w:id="72700536">
                                                      <w:marLeft w:val="0"/>
                                                      <w:marRight w:val="0"/>
                                                      <w:marTop w:val="0"/>
                                                      <w:marBottom w:val="0"/>
                                                      <w:divBdr>
                                                        <w:top w:val="none" w:sz="0" w:space="0" w:color="auto"/>
                                                        <w:left w:val="none" w:sz="0" w:space="0" w:color="auto"/>
                                                        <w:bottom w:val="none" w:sz="0" w:space="0" w:color="auto"/>
                                                        <w:right w:val="none" w:sz="0" w:space="0" w:color="auto"/>
                                                      </w:divBdr>
                                                      <w:divsChild>
                                                        <w:div w:id="943464887">
                                                          <w:marLeft w:val="0"/>
                                                          <w:marRight w:val="0"/>
                                                          <w:marTop w:val="0"/>
                                                          <w:marBottom w:val="0"/>
                                                          <w:divBdr>
                                                            <w:top w:val="none" w:sz="0" w:space="0" w:color="auto"/>
                                                            <w:left w:val="none" w:sz="0" w:space="0" w:color="auto"/>
                                                            <w:bottom w:val="none" w:sz="0" w:space="0" w:color="auto"/>
                                                            <w:right w:val="none" w:sz="0" w:space="0" w:color="auto"/>
                                                          </w:divBdr>
                                                          <w:divsChild>
                                                            <w:div w:id="1693722021">
                                                              <w:marLeft w:val="0"/>
                                                              <w:marRight w:val="0"/>
                                                              <w:marTop w:val="0"/>
                                                              <w:marBottom w:val="0"/>
                                                              <w:divBdr>
                                                                <w:top w:val="none" w:sz="0" w:space="0" w:color="auto"/>
                                                                <w:left w:val="none" w:sz="0" w:space="0" w:color="auto"/>
                                                                <w:bottom w:val="none" w:sz="0" w:space="0" w:color="auto"/>
                                                                <w:right w:val="none" w:sz="0" w:space="0" w:color="auto"/>
                                                              </w:divBdr>
                                                              <w:divsChild>
                                                                <w:div w:id="69785201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111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526326">
              <w:marLeft w:val="0"/>
              <w:marRight w:val="0"/>
              <w:marTop w:val="0"/>
              <w:marBottom w:val="0"/>
              <w:divBdr>
                <w:top w:val="none" w:sz="0" w:space="0" w:color="auto"/>
                <w:left w:val="none" w:sz="0" w:space="0" w:color="auto"/>
                <w:bottom w:val="none" w:sz="0" w:space="0" w:color="auto"/>
                <w:right w:val="none" w:sz="0" w:space="0" w:color="auto"/>
              </w:divBdr>
              <w:divsChild>
                <w:div w:id="938754764">
                  <w:marLeft w:val="0"/>
                  <w:marRight w:val="0"/>
                  <w:marTop w:val="0"/>
                  <w:marBottom w:val="0"/>
                  <w:divBdr>
                    <w:top w:val="none" w:sz="0" w:space="0" w:color="auto"/>
                    <w:left w:val="none" w:sz="0" w:space="0" w:color="auto"/>
                    <w:bottom w:val="none" w:sz="0" w:space="0" w:color="auto"/>
                    <w:right w:val="none" w:sz="0" w:space="0" w:color="auto"/>
                  </w:divBdr>
                  <w:divsChild>
                    <w:div w:id="252320167">
                      <w:marLeft w:val="0"/>
                      <w:marRight w:val="0"/>
                      <w:marTop w:val="0"/>
                      <w:marBottom w:val="0"/>
                      <w:divBdr>
                        <w:top w:val="none" w:sz="0" w:space="0" w:color="auto"/>
                        <w:left w:val="none" w:sz="0" w:space="0" w:color="auto"/>
                        <w:bottom w:val="none" w:sz="0" w:space="0" w:color="auto"/>
                        <w:right w:val="none" w:sz="0" w:space="0" w:color="auto"/>
                      </w:divBdr>
                      <w:divsChild>
                        <w:div w:id="2083402556">
                          <w:marLeft w:val="0"/>
                          <w:marRight w:val="0"/>
                          <w:marTop w:val="0"/>
                          <w:marBottom w:val="0"/>
                          <w:divBdr>
                            <w:top w:val="single" w:sz="4" w:space="6" w:color="auto"/>
                            <w:left w:val="single" w:sz="4" w:space="12" w:color="auto"/>
                            <w:bottom w:val="single" w:sz="4" w:space="6" w:color="auto"/>
                            <w:right w:val="single" w:sz="4" w:space="12" w:color="auto"/>
                          </w:divBdr>
                          <w:divsChild>
                            <w:div w:id="9002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6604284">
      <w:bodyDiv w:val="1"/>
      <w:marLeft w:val="0"/>
      <w:marRight w:val="0"/>
      <w:marTop w:val="0"/>
      <w:marBottom w:val="0"/>
      <w:divBdr>
        <w:top w:val="none" w:sz="0" w:space="0" w:color="auto"/>
        <w:left w:val="none" w:sz="0" w:space="0" w:color="auto"/>
        <w:bottom w:val="none" w:sz="0" w:space="0" w:color="auto"/>
        <w:right w:val="none" w:sz="0" w:space="0" w:color="auto"/>
      </w:divBdr>
    </w:div>
    <w:div w:id="1564563229">
      <w:bodyDiv w:val="1"/>
      <w:marLeft w:val="0"/>
      <w:marRight w:val="0"/>
      <w:marTop w:val="0"/>
      <w:marBottom w:val="0"/>
      <w:divBdr>
        <w:top w:val="none" w:sz="0" w:space="0" w:color="auto"/>
        <w:left w:val="none" w:sz="0" w:space="0" w:color="auto"/>
        <w:bottom w:val="none" w:sz="0" w:space="0" w:color="auto"/>
        <w:right w:val="none" w:sz="0" w:space="0" w:color="auto"/>
      </w:divBdr>
    </w:div>
    <w:div w:id="1573463939">
      <w:bodyDiv w:val="1"/>
      <w:marLeft w:val="0"/>
      <w:marRight w:val="0"/>
      <w:marTop w:val="0"/>
      <w:marBottom w:val="0"/>
      <w:divBdr>
        <w:top w:val="none" w:sz="0" w:space="0" w:color="auto"/>
        <w:left w:val="none" w:sz="0" w:space="0" w:color="auto"/>
        <w:bottom w:val="none" w:sz="0" w:space="0" w:color="auto"/>
        <w:right w:val="none" w:sz="0" w:space="0" w:color="auto"/>
      </w:divBdr>
      <w:divsChild>
        <w:div w:id="1004673058">
          <w:marLeft w:val="0"/>
          <w:marRight w:val="0"/>
          <w:marTop w:val="0"/>
          <w:marBottom w:val="0"/>
          <w:divBdr>
            <w:top w:val="none" w:sz="0" w:space="0" w:color="auto"/>
            <w:left w:val="none" w:sz="0" w:space="0" w:color="auto"/>
            <w:bottom w:val="none" w:sz="0" w:space="0" w:color="auto"/>
            <w:right w:val="none" w:sz="0" w:space="0" w:color="auto"/>
          </w:divBdr>
        </w:div>
        <w:div w:id="1048724840">
          <w:marLeft w:val="0"/>
          <w:marRight w:val="0"/>
          <w:marTop w:val="0"/>
          <w:marBottom w:val="0"/>
          <w:divBdr>
            <w:top w:val="none" w:sz="0" w:space="0" w:color="auto"/>
            <w:left w:val="none" w:sz="0" w:space="0" w:color="auto"/>
            <w:bottom w:val="none" w:sz="0" w:space="0" w:color="auto"/>
            <w:right w:val="none" w:sz="0" w:space="0" w:color="auto"/>
          </w:divBdr>
        </w:div>
        <w:div w:id="1628508664">
          <w:marLeft w:val="0"/>
          <w:marRight w:val="0"/>
          <w:marTop w:val="0"/>
          <w:marBottom w:val="0"/>
          <w:divBdr>
            <w:top w:val="none" w:sz="0" w:space="0" w:color="auto"/>
            <w:left w:val="none" w:sz="0" w:space="0" w:color="auto"/>
            <w:bottom w:val="none" w:sz="0" w:space="0" w:color="auto"/>
            <w:right w:val="none" w:sz="0" w:space="0" w:color="auto"/>
          </w:divBdr>
        </w:div>
        <w:div w:id="1930119168">
          <w:marLeft w:val="0"/>
          <w:marRight w:val="0"/>
          <w:marTop w:val="0"/>
          <w:marBottom w:val="0"/>
          <w:divBdr>
            <w:top w:val="none" w:sz="0" w:space="0" w:color="auto"/>
            <w:left w:val="none" w:sz="0" w:space="0" w:color="auto"/>
            <w:bottom w:val="none" w:sz="0" w:space="0" w:color="auto"/>
            <w:right w:val="none" w:sz="0" w:space="0" w:color="auto"/>
          </w:divBdr>
        </w:div>
      </w:divsChild>
    </w:div>
    <w:div w:id="1577282515">
      <w:bodyDiv w:val="1"/>
      <w:marLeft w:val="0"/>
      <w:marRight w:val="0"/>
      <w:marTop w:val="0"/>
      <w:marBottom w:val="0"/>
      <w:divBdr>
        <w:top w:val="none" w:sz="0" w:space="0" w:color="auto"/>
        <w:left w:val="none" w:sz="0" w:space="0" w:color="auto"/>
        <w:bottom w:val="none" w:sz="0" w:space="0" w:color="auto"/>
        <w:right w:val="none" w:sz="0" w:space="0" w:color="auto"/>
      </w:divBdr>
    </w:div>
    <w:div w:id="157916797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214136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9856862">
      <w:bodyDiv w:val="1"/>
      <w:marLeft w:val="0"/>
      <w:marRight w:val="0"/>
      <w:marTop w:val="0"/>
      <w:marBottom w:val="0"/>
      <w:divBdr>
        <w:top w:val="none" w:sz="0" w:space="0" w:color="auto"/>
        <w:left w:val="none" w:sz="0" w:space="0" w:color="auto"/>
        <w:bottom w:val="none" w:sz="0" w:space="0" w:color="auto"/>
        <w:right w:val="none" w:sz="0" w:space="0" w:color="auto"/>
      </w:divBdr>
    </w:div>
    <w:div w:id="1847404247">
      <w:bodyDiv w:val="1"/>
      <w:marLeft w:val="0"/>
      <w:marRight w:val="0"/>
      <w:marTop w:val="0"/>
      <w:marBottom w:val="0"/>
      <w:divBdr>
        <w:top w:val="none" w:sz="0" w:space="0" w:color="auto"/>
        <w:left w:val="none" w:sz="0" w:space="0" w:color="auto"/>
        <w:bottom w:val="none" w:sz="0" w:space="0" w:color="auto"/>
        <w:right w:val="none" w:sz="0" w:space="0" w:color="auto"/>
      </w:divBdr>
    </w:div>
    <w:div w:id="1890724870">
      <w:bodyDiv w:val="1"/>
      <w:marLeft w:val="0"/>
      <w:marRight w:val="0"/>
      <w:marTop w:val="0"/>
      <w:marBottom w:val="0"/>
      <w:divBdr>
        <w:top w:val="none" w:sz="0" w:space="0" w:color="auto"/>
        <w:left w:val="none" w:sz="0" w:space="0" w:color="auto"/>
        <w:bottom w:val="none" w:sz="0" w:space="0" w:color="auto"/>
        <w:right w:val="none" w:sz="0" w:space="0" w:color="auto"/>
      </w:divBdr>
      <w:divsChild>
        <w:div w:id="169833608">
          <w:marLeft w:val="0"/>
          <w:marRight w:val="0"/>
          <w:marTop w:val="0"/>
          <w:marBottom w:val="0"/>
          <w:divBdr>
            <w:top w:val="none" w:sz="0" w:space="0" w:color="auto"/>
            <w:left w:val="none" w:sz="0" w:space="0" w:color="auto"/>
            <w:bottom w:val="none" w:sz="0" w:space="0" w:color="auto"/>
            <w:right w:val="none" w:sz="0" w:space="0" w:color="auto"/>
          </w:divBdr>
          <w:divsChild>
            <w:div w:id="1728651096">
              <w:marLeft w:val="0"/>
              <w:marRight w:val="0"/>
              <w:marTop w:val="0"/>
              <w:marBottom w:val="0"/>
              <w:divBdr>
                <w:top w:val="none" w:sz="0" w:space="0" w:color="auto"/>
                <w:left w:val="none" w:sz="0" w:space="0" w:color="auto"/>
                <w:bottom w:val="none" w:sz="0" w:space="0" w:color="auto"/>
                <w:right w:val="none" w:sz="0" w:space="0" w:color="auto"/>
              </w:divBdr>
            </w:div>
          </w:divsChild>
        </w:div>
        <w:div w:id="678387978">
          <w:marLeft w:val="0"/>
          <w:marRight w:val="0"/>
          <w:marTop w:val="0"/>
          <w:marBottom w:val="0"/>
          <w:divBdr>
            <w:top w:val="none" w:sz="0" w:space="0" w:color="auto"/>
            <w:left w:val="none" w:sz="0" w:space="0" w:color="auto"/>
            <w:bottom w:val="none" w:sz="0" w:space="0" w:color="auto"/>
            <w:right w:val="none" w:sz="0" w:space="0" w:color="auto"/>
          </w:divBdr>
          <w:divsChild>
            <w:div w:id="728000637">
              <w:marLeft w:val="0"/>
              <w:marRight w:val="0"/>
              <w:marTop w:val="0"/>
              <w:marBottom w:val="0"/>
              <w:divBdr>
                <w:top w:val="none" w:sz="0" w:space="0" w:color="auto"/>
                <w:left w:val="none" w:sz="0" w:space="0" w:color="auto"/>
                <w:bottom w:val="none" w:sz="0" w:space="0" w:color="auto"/>
                <w:right w:val="none" w:sz="0" w:space="0" w:color="auto"/>
              </w:divBdr>
              <w:divsChild>
                <w:div w:id="1740976906">
                  <w:marLeft w:val="0"/>
                  <w:marRight w:val="0"/>
                  <w:marTop w:val="0"/>
                  <w:marBottom w:val="0"/>
                  <w:divBdr>
                    <w:top w:val="none" w:sz="0" w:space="0" w:color="auto"/>
                    <w:left w:val="none" w:sz="0" w:space="0" w:color="auto"/>
                    <w:bottom w:val="none" w:sz="0" w:space="0" w:color="auto"/>
                    <w:right w:val="none" w:sz="0" w:space="0" w:color="auto"/>
                  </w:divBdr>
                  <w:divsChild>
                    <w:div w:id="1378818453">
                      <w:marLeft w:val="0"/>
                      <w:marRight w:val="0"/>
                      <w:marTop w:val="0"/>
                      <w:marBottom w:val="0"/>
                      <w:divBdr>
                        <w:top w:val="none" w:sz="0" w:space="0" w:color="auto"/>
                        <w:left w:val="none" w:sz="0" w:space="0" w:color="auto"/>
                        <w:bottom w:val="none" w:sz="0" w:space="0" w:color="auto"/>
                        <w:right w:val="none" w:sz="0" w:space="0" w:color="auto"/>
                      </w:divBdr>
                      <w:divsChild>
                        <w:div w:id="2058116832">
                          <w:marLeft w:val="0"/>
                          <w:marRight w:val="0"/>
                          <w:marTop w:val="0"/>
                          <w:marBottom w:val="0"/>
                          <w:divBdr>
                            <w:top w:val="none" w:sz="0" w:space="0" w:color="auto"/>
                            <w:left w:val="none" w:sz="0" w:space="0" w:color="auto"/>
                            <w:bottom w:val="none" w:sz="0" w:space="0" w:color="auto"/>
                            <w:right w:val="none" w:sz="0" w:space="0" w:color="auto"/>
                          </w:divBdr>
                          <w:divsChild>
                            <w:div w:id="217326658">
                              <w:marLeft w:val="0"/>
                              <w:marRight w:val="0"/>
                              <w:marTop w:val="0"/>
                              <w:marBottom w:val="0"/>
                              <w:divBdr>
                                <w:top w:val="none" w:sz="0" w:space="0" w:color="auto"/>
                                <w:left w:val="none" w:sz="0" w:space="0" w:color="auto"/>
                                <w:bottom w:val="none" w:sz="0" w:space="0" w:color="auto"/>
                                <w:right w:val="none" w:sz="0" w:space="0" w:color="auto"/>
                              </w:divBdr>
                              <w:divsChild>
                                <w:div w:id="1824736468">
                                  <w:marLeft w:val="0"/>
                                  <w:marRight w:val="0"/>
                                  <w:marTop w:val="0"/>
                                  <w:marBottom w:val="0"/>
                                  <w:divBdr>
                                    <w:top w:val="none" w:sz="0" w:space="0" w:color="auto"/>
                                    <w:left w:val="none" w:sz="0" w:space="0" w:color="auto"/>
                                    <w:bottom w:val="none" w:sz="0" w:space="0" w:color="auto"/>
                                    <w:right w:val="none" w:sz="0" w:space="0" w:color="auto"/>
                                  </w:divBdr>
                                  <w:divsChild>
                                    <w:div w:id="940333836">
                                      <w:marLeft w:val="0"/>
                                      <w:marRight w:val="0"/>
                                      <w:marTop w:val="0"/>
                                      <w:marBottom w:val="0"/>
                                      <w:divBdr>
                                        <w:top w:val="none" w:sz="0" w:space="0" w:color="auto"/>
                                        <w:left w:val="none" w:sz="0" w:space="0" w:color="auto"/>
                                        <w:bottom w:val="none" w:sz="0" w:space="0" w:color="auto"/>
                                        <w:right w:val="none" w:sz="0" w:space="0" w:color="auto"/>
                                      </w:divBdr>
                                      <w:divsChild>
                                        <w:div w:id="10023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56125">
      <w:bodyDiv w:val="1"/>
      <w:marLeft w:val="0"/>
      <w:marRight w:val="0"/>
      <w:marTop w:val="0"/>
      <w:marBottom w:val="0"/>
      <w:divBdr>
        <w:top w:val="none" w:sz="0" w:space="0" w:color="auto"/>
        <w:left w:val="none" w:sz="0" w:space="0" w:color="auto"/>
        <w:bottom w:val="none" w:sz="0" w:space="0" w:color="auto"/>
        <w:right w:val="none" w:sz="0" w:space="0" w:color="auto"/>
      </w:divBdr>
    </w:div>
    <w:div w:id="193797738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0088894">
      <w:bodyDiv w:val="1"/>
      <w:marLeft w:val="0"/>
      <w:marRight w:val="0"/>
      <w:marTop w:val="0"/>
      <w:marBottom w:val="0"/>
      <w:divBdr>
        <w:top w:val="none" w:sz="0" w:space="0" w:color="auto"/>
        <w:left w:val="none" w:sz="0" w:space="0" w:color="auto"/>
        <w:bottom w:val="none" w:sz="0" w:space="0" w:color="auto"/>
        <w:right w:val="none" w:sz="0" w:space="0" w:color="auto"/>
      </w:divBdr>
    </w:div>
    <w:div w:id="1971355477">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4428832">
      <w:bodyDiv w:val="1"/>
      <w:marLeft w:val="0"/>
      <w:marRight w:val="0"/>
      <w:marTop w:val="0"/>
      <w:marBottom w:val="0"/>
      <w:divBdr>
        <w:top w:val="none" w:sz="0" w:space="0" w:color="auto"/>
        <w:left w:val="none" w:sz="0" w:space="0" w:color="auto"/>
        <w:bottom w:val="none" w:sz="0" w:space="0" w:color="auto"/>
        <w:right w:val="none" w:sz="0" w:space="0" w:color="auto"/>
      </w:divBdr>
    </w:div>
    <w:div w:id="2054959238">
      <w:bodyDiv w:val="1"/>
      <w:marLeft w:val="0"/>
      <w:marRight w:val="0"/>
      <w:marTop w:val="0"/>
      <w:marBottom w:val="0"/>
      <w:divBdr>
        <w:top w:val="none" w:sz="0" w:space="0" w:color="auto"/>
        <w:left w:val="none" w:sz="0" w:space="0" w:color="auto"/>
        <w:bottom w:val="none" w:sz="0" w:space="0" w:color="auto"/>
        <w:right w:val="none" w:sz="0" w:space="0" w:color="auto"/>
      </w:divBdr>
      <w:divsChild>
        <w:div w:id="567225657">
          <w:marLeft w:val="-300"/>
          <w:marRight w:val="-300"/>
          <w:marTop w:val="0"/>
          <w:marBottom w:val="0"/>
          <w:divBdr>
            <w:top w:val="none" w:sz="0" w:space="0" w:color="auto"/>
            <w:left w:val="none" w:sz="0" w:space="0" w:color="auto"/>
            <w:bottom w:val="none" w:sz="0" w:space="0" w:color="auto"/>
            <w:right w:val="none" w:sz="0" w:space="0" w:color="auto"/>
          </w:divBdr>
        </w:div>
      </w:divsChild>
    </w:div>
    <w:div w:id="2070883460">
      <w:bodyDiv w:val="1"/>
      <w:marLeft w:val="0"/>
      <w:marRight w:val="0"/>
      <w:marTop w:val="0"/>
      <w:marBottom w:val="0"/>
      <w:divBdr>
        <w:top w:val="none" w:sz="0" w:space="0" w:color="auto"/>
        <w:left w:val="none" w:sz="0" w:space="0" w:color="auto"/>
        <w:bottom w:val="none" w:sz="0" w:space="0" w:color="auto"/>
        <w:right w:val="none" w:sz="0" w:space="0" w:color="auto"/>
      </w:divBdr>
      <w:divsChild>
        <w:div w:id="1502357553">
          <w:marLeft w:val="0"/>
          <w:marRight w:val="0"/>
          <w:marTop w:val="0"/>
          <w:marBottom w:val="0"/>
          <w:divBdr>
            <w:top w:val="none" w:sz="0" w:space="0" w:color="auto"/>
            <w:left w:val="none" w:sz="0" w:space="0" w:color="auto"/>
            <w:bottom w:val="none" w:sz="0" w:space="0" w:color="auto"/>
            <w:right w:val="none" w:sz="0" w:space="0" w:color="auto"/>
          </w:divBdr>
          <w:divsChild>
            <w:div w:id="1292445664">
              <w:marLeft w:val="0"/>
              <w:marRight w:val="0"/>
              <w:marTop w:val="0"/>
              <w:marBottom w:val="0"/>
              <w:divBdr>
                <w:top w:val="none" w:sz="0" w:space="0" w:color="auto"/>
                <w:left w:val="none" w:sz="0" w:space="0" w:color="auto"/>
                <w:bottom w:val="none" w:sz="0" w:space="0" w:color="auto"/>
                <w:right w:val="none" w:sz="0" w:space="0" w:color="auto"/>
              </w:divBdr>
              <w:divsChild>
                <w:div w:id="1189486102">
                  <w:marLeft w:val="0"/>
                  <w:marRight w:val="0"/>
                  <w:marTop w:val="0"/>
                  <w:marBottom w:val="0"/>
                  <w:divBdr>
                    <w:top w:val="none" w:sz="0" w:space="0" w:color="auto"/>
                    <w:left w:val="none" w:sz="0" w:space="0" w:color="auto"/>
                    <w:bottom w:val="none" w:sz="0" w:space="0" w:color="auto"/>
                    <w:right w:val="none" w:sz="0" w:space="0" w:color="auto"/>
                  </w:divBdr>
                  <w:divsChild>
                    <w:div w:id="1140075348">
                      <w:marLeft w:val="0"/>
                      <w:marRight w:val="0"/>
                      <w:marTop w:val="0"/>
                      <w:marBottom w:val="0"/>
                      <w:divBdr>
                        <w:top w:val="none" w:sz="0" w:space="0" w:color="auto"/>
                        <w:left w:val="none" w:sz="0" w:space="0" w:color="auto"/>
                        <w:bottom w:val="none" w:sz="0" w:space="0" w:color="auto"/>
                        <w:right w:val="none" w:sz="0" w:space="0" w:color="auto"/>
                      </w:divBdr>
                      <w:divsChild>
                        <w:div w:id="667950144">
                          <w:marLeft w:val="0"/>
                          <w:marRight w:val="0"/>
                          <w:marTop w:val="0"/>
                          <w:marBottom w:val="0"/>
                          <w:divBdr>
                            <w:top w:val="none" w:sz="0" w:space="0" w:color="auto"/>
                            <w:left w:val="none" w:sz="0" w:space="0" w:color="auto"/>
                            <w:bottom w:val="none" w:sz="0" w:space="0" w:color="auto"/>
                            <w:right w:val="none" w:sz="0" w:space="0" w:color="auto"/>
                          </w:divBdr>
                          <w:divsChild>
                            <w:div w:id="663975308">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566401">
      <w:bodyDiv w:val="1"/>
      <w:marLeft w:val="0"/>
      <w:marRight w:val="0"/>
      <w:marTop w:val="0"/>
      <w:marBottom w:val="0"/>
      <w:divBdr>
        <w:top w:val="none" w:sz="0" w:space="0" w:color="auto"/>
        <w:left w:val="none" w:sz="0" w:space="0" w:color="auto"/>
        <w:bottom w:val="none" w:sz="0" w:space="0" w:color="auto"/>
        <w:right w:val="none" w:sz="0" w:space="0" w:color="auto"/>
      </w:divBdr>
      <w:divsChild>
        <w:div w:id="72439080">
          <w:marLeft w:val="0"/>
          <w:marRight w:val="0"/>
          <w:marTop w:val="0"/>
          <w:marBottom w:val="0"/>
          <w:divBdr>
            <w:top w:val="none" w:sz="0" w:space="0" w:color="auto"/>
            <w:left w:val="none" w:sz="0" w:space="0" w:color="auto"/>
            <w:bottom w:val="none" w:sz="0" w:space="0" w:color="auto"/>
            <w:right w:val="none" w:sz="0" w:space="0" w:color="auto"/>
          </w:divBdr>
          <w:divsChild>
            <w:div w:id="839581929">
              <w:marLeft w:val="0"/>
              <w:marRight w:val="0"/>
              <w:marTop w:val="0"/>
              <w:marBottom w:val="0"/>
              <w:divBdr>
                <w:top w:val="none" w:sz="0" w:space="0" w:color="auto"/>
                <w:left w:val="none" w:sz="0" w:space="0" w:color="auto"/>
                <w:bottom w:val="none" w:sz="0" w:space="0" w:color="auto"/>
                <w:right w:val="none" w:sz="0" w:space="0" w:color="auto"/>
              </w:divBdr>
            </w:div>
          </w:divsChild>
        </w:div>
        <w:div w:id="271011648">
          <w:marLeft w:val="0"/>
          <w:marRight w:val="0"/>
          <w:marTop w:val="0"/>
          <w:marBottom w:val="0"/>
          <w:divBdr>
            <w:top w:val="none" w:sz="0" w:space="0" w:color="auto"/>
            <w:left w:val="none" w:sz="0" w:space="0" w:color="auto"/>
            <w:bottom w:val="none" w:sz="0" w:space="0" w:color="auto"/>
            <w:right w:val="none" w:sz="0" w:space="0" w:color="auto"/>
          </w:divBdr>
          <w:divsChild>
            <w:div w:id="966622651">
              <w:marLeft w:val="0"/>
              <w:marRight w:val="0"/>
              <w:marTop w:val="0"/>
              <w:marBottom w:val="0"/>
              <w:divBdr>
                <w:top w:val="none" w:sz="0" w:space="0" w:color="auto"/>
                <w:left w:val="none" w:sz="0" w:space="0" w:color="auto"/>
                <w:bottom w:val="none" w:sz="0" w:space="0" w:color="auto"/>
                <w:right w:val="none" w:sz="0" w:space="0" w:color="auto"/>
              </w:divBdr>
              <w:divsChild>
                <w:div w:id="1334796863">
                  <w:marLeft w:val="0"/>
                  <w:marRight w:val="0"/>
                  <w:marTop w:val="0"/>
                  <w:marBottom w:val="0"/>
                  <w:divBdr>
                    <w:top w:val="none" w:sz="0" w:space="0" w:color="auto"/>
                    <w:left w:val="none" w:sz="0" w:space="0" w:color="auto"/>
                    <w:bottom w:val="none" w:sz="0" w:space="0" w:color="auto"/>
                    <w:right w:val="none" w:sz="0" w:space="0" w:color="auto"/>
                  </w:divBdr>
                  <w:divsChild>
                    <w:div w:id="1237351788">
                      <w:marLeft w:val="0"/>
                      <w:marRight w:val="0"/>
                      <w:marTop w:val="0"/>
                      <w:marBottom w:val="0"/>
                      <w:divBdr>
                        <w:top w:val="none" w:sz="0" w:space="0" w:color="auto"/>
                        <w:left w:val="none" w:sz="0" w:space="0" w:color="auto"/>
                        <w:bottom w:val="none" w:sz="0" w:space="0" w:color="auto"/>
                        <w:right w:val="none" w:sz="0" w:space="0" w:color="auto"/>
                      </w:divBdr>
                      <w:divsChild>
                        <w:div w:id="452673736">
                          <w:marLeft w:val="0"/>
                          <w:marRight w:val="0"/>
                          <w:marTop w:val="0"/>
                          <w:marBottom w:val="0"/>
                          <w:divBdr>
                            <w:top w:val="none" w:sz="0" w:space="0" w:color="auto"/>
                            <w:left w:val="none" w:sz="0" w:space="0" w:color="auto"/>
                            <w:bottom w:val="none" w:sz="0" w:space="0" w:color="auto"/>
                            <w:right w:val="none" w:sz="0" w:space="0" w:color="auto"/>
                          </w:divBdr>
                          <w:divsChild>
                            <w:div w:id="1467580335">
                              <w:marLeft w:val="0"/>
                              <w:marRight w:val="0"/>
                              <w:marTop w:val="0"/>
                              <w:marBottom w:val="0"/>
                              <w:divBdr>
                                <w:top w:val="none" w:sz="0" w:space="0" w:color="auto"/>
                                <w:left w:val="none" w:sz="0" w:space="0" w:color="auto"/>
                                <w:bottom w:val="none" w:sz="0" w:space="0" w:color="auto"/>
                                <w:right w:val="none" w:sz="0" w:space="0" w:color="auto"/>
                              </w:divBdr>
                              <w:divsChild>
                                <w:div w:id="1743723474">
                                  <w:marLeft w:val="0"/>
                                  <w:marRight w:val="0"/>
                                  <w:marTop w:val="0"/>
                                  <w:marBottom w:val="0"/>
                                  <w:divBdr>
                                    <w:top w:val="none" w:sz="0" w:space="0" w:color="auto"/>
                                    <w:left w:val="none" w:sz="0" w:space="0" w:color="auto"/>
                                    <w:bottom w:val="none" w:sz="0" w:space="0" w:color="auto"/>
                                    <w:right w:val="none" w:sz="0" w:space="0" w:color="auto"/>
                                  </w:divBdr>
                                  <w:divsChild>
                                    <w:div w:id="1703091475">
                                      <w:marLeft w:val="0"/>
                                      <w:marRight w:val="0"/>
                                      <w:marTop w:val="0"/>
                                      <w:marBottom w:val="0"/>
                                      <w:divBdr>
                                        <w:top w:val="none" w:sz="0" w:space="0" w:color="auto"/>
                                        <w:left w:val="none" w:sz="0" w:space="0" w:color="auto"/>
                                        <w:bottom w:val="none" w:sz="0" w:space="0" w:color="auto"/>
                                        <w:right w:val="none" w:sz="0" w:space="0" w:color="auto"/>
                                      </w:divBdr>
                                      <w:divsChild>
                                        <w:div w:id="2107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295322">
      <w:bodyDiv w:val="1"/>
      <w:marLeft w:val="0"/>
      <w:marRight w:val="0"/>
      <w:marTop w:val="0"/>
      <w:marBottom w:val="0"/>
      <w:divBdr>
        <w:top w:val="none" w:sz="0" w:space="0" w:color="auto"/>
        <w:left w:val="none" w:sz="0" w:space="0" w:color="auto"/>
        <w:bottom w:val="none" w:sz="0" w:space="0" w:color="auto"/>
        <w:right w:val="none" w:sz="0" w:space="0" w:color="auto"/>
      </w:divBdr>
    </w:div>
    <w:div w:id="2129664284">
      <w:bodyDiv w:val="1"/>
      <w:marLeft w:val="0"/>
      <w:marRight w:val="0"/>
      <w:marTop w:val="0"/>
      <w:marBottom w:val="0"/>
      <w:divBdr>
        <w:top w:val="none" w:sz="0" w:space="0" w:color="auto"/>
        <w:left w:val="none" w:sz="0" w:space="0" w:color="auto"/>
        <w:bottom w:val="none" w:sz="0" w:space="0" w:color="auto"/>
        <w:right w:val="none" w:sz="0" w:space="0" w:color="auto"/>
      </w:divBdr>
      <w:divsChild>
        <w:div w:id="14574156">
          <w:marLeft w:val="0"/>
          <w:marRight w:val="0"/>
          <w:marTop w:val="0"/>
          <w:marBottom w:val="180"/>
          <w:divBdr>
            <w:top w:val="none" w:sz="0" w:space="0" w:color="auto"/>
            <w:left w:val="none" w:sz="0" w:space="0" w:color="auto"/>
            <w:bottom w:val="none" w:sz="0" w:space="0" w:color="auto"/>
            <w:right w:val="none" w:sz="0" w:space="0" w:color="auto"/>
          </w:divBdr>
          <w:divsChild>
            <w:div w:id="103884426">
              <w:marLeft w:val="0"/>
              <w:marRight w:val="0"/>
              <w:marTop w:val="0"/>
              <w:marBottom w:val="0"/>
              <w:divBdr>
                <w:top w:val="none" w:sz="0" w:space="0" w:color="auto"/>
                <w:left w:val="none" w:sz="0" w:space="0" w:color="auto"/>
                <w:bottom w:val="none" w:sz="0" w:space="0" w:color="auto"/>
                <w:right w:val="none" w:sz="0" w:space="0" w:color="auto"/>
              </w:divBdr>
              <w:divsChild>
                <w:div w:id="769661707">
                  <w:marLeft w:val="30"/>
                  <w:marRight w:val="30"/>
                  <w:marTop w:val="0"/>
                  <w:marBottom w:val="0"/>
                  <w:divBdr>
                    <w:top w:val="none" w:sz="0" w:space="0" w:color="auto"/>
                    <w:left w:val="none" w:sz="0" w:space="0" w:color="auto"/>
                    <w:bottom w:val="none" w:sz="0" w:space="0" w:color="auto"/>
                    <w:right w:val="none" w:sz="0" w:space="0" w:color="auto"/>
                  </w:divBdr>
                  <w:divsChild>
                    <w:div w:id="1309239041">
                      <w:marLeft w:val="0"/>
                      <w:marRight w:val="0"/>
                      <w:marTop w:val="0"/>
                      <w:marBottom w:val="0"/>
                      <w:divBdr>
                        <w:top w:val="none" w:sz="0" w:space="0" w:color="auto"/>
                        <w:left w:val="none" w:sz="0" w:space="0" w:color="auto"/>
                        <w:bottom w:val="none" w:sz="0" w:space="0" w:color="auto"/>
                        <w:right w:val="none" w:sz="0" w:space="0" w:color="auto"/>
                      </w:divBdr>
                      <w:divsChild>
                        <w:div w:id="403142423">
                          <w:marLeft w:val="0"/>
                          <w:marRight w:val="0"/>
                          <w:marTop w:val="0"/>
                          <w:marBottom w:val="0"/>
                          <w:divBdr>
                            <w:top w:val="none" w:sz="0" w:space="0" w:color="auto"/>
                            <w:left w:val="none" w:sz="0" w:space="0" w:color="auto"/>
                            <w:bottom w:val="none" w:sz="0" w:space="0" w:color="auto"/>
                            <w:right w:val="none" w:sz="0" w:space="0" w:color="auto"/>
                          </w:divBdr>
                          <w:divsChild>
                            <w:div w:id="164976460">
                              <w:marLeft w:val="0"/>
                              <w:marRight w:val="0"/>
                              <w:marTop w:val="0"/>
                              <w:marBottom w:val="480"/>
                              <w:divBdr>
                                <w:top w:val="none" w:sz="0" w:space="0" w:color="auto"/>
                                <w:left w:val="none" w:sz="0" w:space="0" w:color="auto"/>
                                <w:bottom w:val="none" w:sz="0" w:space="0" w:color="auto"/>
                                <w:right w:val="none" w:sz="0" w:space="0" w:color="auto"/>
                              </w:divBdr>
                              <w:divsChild>
                                <w:div w:id="2029941501">
                                  <w:marLeft w:val="0"/>
                                  <w:marRight w:val="0"/>
                                  <w:marTop w:val="0"/>
                                  <w:marBottom w:val="0"/>
                                  <w:divBdr>
                                    <w:top w:val="none" w:sz="0" w:space="0" w:color="auto"/>
                                    <w:left w:val="none" w:sz="0" w:space="0" w:color="auto"/>
                                    <w:bottom w:val="none" w:sz="0" w:space="0" w:color="auto"/>
                                    <w:right w:val="none" w:sz="0" w:space="0" w:color="auto"/>
                                  </w:divBdr>
                                  <w:divsChild>
                                    <w:div w:id="1060136737">
                                      <w:marLeft w:val="0"/>
                                      <w:marRight w:val="0"/>
                                      <w:marTop w:val="0"/>
                                      <w:marBottom w:val="0"/>
                                      <w:divBdr>
                                        <w:top w:val="none" w:sz="0" w:space="0" w:color="auto"/>
                                        <w:left w:val="none" w:sz="0" w:space="0" w:color="auto"/>
                                        <w:bottom w:val="none" w:sz="0" w:space="0" w:color="auto"/>
                                        <w:right w:val="none" w:sz="0" w:space="0" w:color="auto"/>
                                      </w:divBdr>
                                      <w:divsChild>
                                        <w:div w:id="179243380">
                                          <w:marLeft w:val="0"/>
                                          <w:marRight w:val="0"/>
                                          <w:marTop w:val="0"/>
                                          <w:marBottom w:val="0"/>
                                          <w:divBdr>
                                            <w:top w:val="none" w:sz="0" w:space="0" w:color="auto"/>
                                            <w:left w:val="none" w:sz="0" w:space="0" w:color="auto"/>
                                            <w:bottom w:val="none" w:sz="0" w:space="0" w:color="auto"/>
                                            <w:right w:val="none" w:sz="0" w:space="0" w:color="auto"/>
                                          </w:divBdr>
                                          <w:divsChild>
                                            <w:div w:id="747653678">
                                              <w:marLeft w:val="0"/>
                                              <w:marRight w:val="0"/>
                                              <w:marTop w:val="0"/>
                                              <w:marBottom w:val="0"/>
                                              <w:divBdr>
                                                <w:top w:val="none" w:sz="0" w:space="0" w:color="auto"/>
                                                <w:left w:val="none" w:sz="0" w:space="0" w:color="auto"/>
                                                <w:bottom w:val="none" w:sz="0" w:space="0" w:color="auto"/>
                                                <w:right w:val="none" w:sz="0" w:space="0" w:color="auto"/>
                                              </w:divBdr>
                                              <w:divsChild>
                                                <w:div w:id="240220216">
                                                  <w:marLeft w:val="0"/>
                                                  <w:marRight w:val="0"/>
                                                  <w:marTop w:val="0"/>
                                                  <w:marBottom w:val="0"/>
                                                  <w:divBdr>
                                                    <w:top w:val="none" w:sz="0" w:space="0" w:color="auto"/>
                                                    <w:left w:val="none" w:sz="0" w:space="0" w:color="auto"/>
                                                    <w:bottom w:val="none" w:sz="0" w:space="0" w:color="auto"/>
                                                    <w:right w:val="none" w:sz="0" w:space="0" w:color="auto"/>
                                                  </w:divBdr>
                                                  <w:divsChild>
                                                    <w:div w:id="2000645528">
                                                      <w:marLeft w:val="0"/>
                                                      <w:marRight w:val="0"/>
                                                      <w:marTop w:val="0"/>
                                                      <w:marBottom w:val="0"/>
                                                      <w:divBdr>
                                                        <w:top w:val="none" w:sz="0" w:space="0" w:color="auto"/>
                                                        <w:left w:val="none" w:sz="0" w:space="0" w:color="auto"/>
                                                        <w:bottom w:val="none" w:sz="0" w:space="0" w:color="auto"/>
                                                        <w:right w:val="none" w:sz="0" w:space="0" w:color="auto"/>
                                                      </w:divBdr>
                                                      <w:divsChild>
                                                        <w:div w:id="1845506685">
                                                          <w:marLeft w:val="0"/>
                                                          <w:marRight w:val="0"/>
                                                          <w:marTop w:val="0"/>
                                                          <w:marBottom w:val="0"/>
                                                          <w:divBdr>
                                                            <w:top w:val="none" w:sz="0" w:space="0" w:color="auto"/>
                                                            <w:left w:val="none" w:sz="0" w:space="0" w:color="auto"/>
                                                            <w:bottom w:val="none" w:sz="0" w:space="0" w:color="auto"/>
                                                            <w:right w:val="none" w:sz="0" w:space="0" w:color="auto"/>
                                                          </w:divBdr>
                                                          <w:divsChild>
                                                            <w:div w:id="1881702135">
                                                              <w:marLeft w:val="0"/>
                                                              <w:marRight w:val="0"/>
                                                              <w:marTop w:val="0"/>
                                                              <w:marBottom w:val="0"/>
                                                              <w:divBdr>
                                                                <w:top w:val="none" w:sz="0" w:space="0" w:color="auto"/>
                                                                <w:left w:val="none" w:sz="0" w:space="0" w:color="auto"/>
                                                                <w:bottom w:val="none" w:sz="0" w:space="0" w:color="auto"/>
                                                                <w:right w:val="none" w:sz="0" w:space="0" w:color="auto"/>
                                                              </w:divBdr>
                                                              <w:divsChild>
                                                                <w:div w:id="191307944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58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026768">
          <w:marLeft w:val="0"/>
          <w:marRight w:val="0"/>
          <w:marTop w:val="0"/>
          <w:marBottom w:val="180"/>
          <w:divBdr>
            <w:top w:val="none" w:sz="0" w:space="0" w:color="auto"/>
            <w:left w:val="none" w:sz="0" w:space="0" w:color="auto"/>
            <w:bottom w:val="none" w:sz="0" w:space="0" w:color="auto"/>
            <w:right w:val="none" w:sz="0" w:space="0" w:color="auto"/>
          </w:divBdr>
          <w:divsChild>
            <w:div w:id="606549464">
              <w:marLeft w:val="0"/>
              <w:marRight w:val="0"/>
              <w:marTop w:val="0"/>
              <w:marBottom w:val="0"/>
              <w:divBdr>
                <w:top w:val="none" w:sz="0" w:space="0" w:color="auto"/>
                <w:left w:val="none" w:sz="0" w:space="0" w:color="auto"/>
                <w:bottom w:val="none" w:sz="0" w:space="0" w:color="auto"/>
                <w:right w:val="none" w:sz="0" w:space="0" w:color="auto"/>
              </w:divBdr>
              <w:divsChild>
                <w:div w:id="626666950">
                  <w:marLeft w:val="0"/>
                  <w:marRight w:val="0"/>
                  <w:marTop w:val="0"/>
                  <w:marBottom w:val="0"/>
                  <w:divBdr>
                    <w:top w:val="none" w:sz="0" w:space="0" w:color="auto"/>
                    <w:left w:val="none" w:sz="0" w:space="0" w:color="auto"/>
                    <w:bottom w:val="none" w:sz="0" w:space="0" w:color="auto"/>
                    <w:right w:val="none" w:sz="0" w:space="0" w:color="auto"/>
                  </w:divBdr>
                  <w:divsChild>
                    <w:div w:id="446899030">
                      <w:marLeft w:val="0"/>
                      <w:marRight w:val="0"/>
                      <w:marTop w:val="0"/>
                      <w:marBottom w:val="0"/>
                      <w:divBdr>
                        <w:top w:val="none" w:sz="0" w:space="0" w:color="auto"/>
                        <w:left w:val="none" w:sz="0" w:space="0" w:color="auto"/>
                        <w:bottom w:val="none" w:sz="0" w:space="0" w:color="auto"/>
                        <w:right w:val="none" w:sz="0" w:space="0" w:color="auto"/>
                      </w:divBdr>
                      <w:divsChild>
                        <w:div w:id="1377972612">
                          <w:marLeft w:val="0"/>
                          <w:marRight w:val="0"/>
                          <w:marTop w:val="0"/>
                          <w:marBottom w:val="0"/>
                          <w:divBdr>
                            <w:top w:val="single" w:sz="4" w:space="6" w:color="auto"/>
                            <w:left w:val="single" w:sz="4" w:space="12" w:color="auto"/>
                            <w:bottom w:val="single" w:sz="4" w:space="6" w:color="auto"/>
                            <w:right w:val="single" w:sz="4" w:space="12" w:color="auto"/>
                          </w:divBdr>
                          <w:divsChild>
                            <w:div w:id="2963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26268">
              <w:marLeft w:val="0"/>
              <w:marRight w:val="0"/>
              <w:marTop w:val="0"/>
              <w:marBottom w:val="0"/>
              <w:divBdr>
                <w:top w:val="none" w:sz="0" w:space="0" w:color="auto"/>
                <w:left w:val="none" w:sz="0" w:space="0" w:color="auto"/>
                <w:bottom w:val="none" w:sz="0" w:space="0" w:color="auto"/>
                <w:right w:val="none" w:sz="0" w:space="0" w:color="auto"/>
              </w:divBdr>
              <w:divsChild>
                <w:div w:id="935013709">
                  <w:marLeft w:val="30"/>
                  <w:marRight w:val="30"/>
                  <w:marTop w:val="0"/>
                  <w:marBottom w:val="0"/>
                  <w:divBdr>
                    <w:top w:val="none" w:sz="0" w:space="0" w:color="auto"/>
                    <w:left w:val="none" w:sz="0" w:space="0" w:color="auto"/>
                    <w:bottom w:val="none" w:sz="0" w:space="0" w:color="auto"/>
                    <w:right w:val="none" w:sz="0" w:space="0" w:color="auto"/>
                  </w:divBdr>
                  <w:divsChild>
                    <w:div w:id="378745614">
                      <w:marLeft w:val="0"/>
                      <w:marRight w:val="0"/>
                      <w:marTop w:val="0"/>
                      <w:marBottom w:val="0"/>
                      <w:divBdr>
                        <w:top w:val="none" w:sz="0" w:space="0" w:color="auto"/>
                        <w:left w:val="none" w:sz="0" w:space="0" w:color="auto"/>
                        <w:bottom w:val="none" w:sz="0" w:space="0" w:color="auto"/>
                        <w:right w:val="none" w:sz="0" w:space="0" w:color="auto"/>
                      </w:divBdr>
                      <w:divsChild>
                        <w:div w:id="1766460677">
                          <w:marLeft w:val="0"/>
                          <w:marRight w:val="0"/>
                          <w:marTop w:val="0"/>
                          <w:marBottom w:val="0"/>
                          <w:divBdr>
                            <w:top w:val="none" w:sz="0" w:space="0" w:color="auto"/>
                            <w:left w:val="none" w:sz="0" w:space="0" w:color="auto"/>
                            <w:bottom w:val="none" w:sz="0" w:space="0" w:color="auto"/>
                            <w:right w:val="none" w:sz="0" w:space="0" w:color="auto"/>
                          </w:divBdr>
                          <w:divsChild>
                            <w:div w:id="1895005145">
                              <w:marLeft w:val="0"/>
                              <w:marRight w:val="0"/>
                              <w:marTop w:val="0"/>
                              <w:marBottom w:val="0"/>
                              <w:divBdr>
                                <w:top w:val="none" w:sz="0" w:space="0" w:color="auto"/>
                                <w:left w:val="none" w:sz="0" w:space="0" w:color="auto"/>
                                <w:bottom w:val="none" w:sz="0" w:space="0" w:color="auto"/>
                                <w:right w:val="none" w:sz="0" w:space="0" w:color="auto"/>
                              </w:divBdr>
                              <w:divsChild>
                                <w:div w:id="63527768">
                                  <w:marLeft w:val="0"/>
                                  <w:marRight w:val="0"/>
                                  <w:marTop w:val="0"/>
                                  <w:marBottom w:val="0"/>
                                  <w:divBdr>
                                    <w:top w:val="none" w:sz="0" w:space="0" w:color="auto"/>
                                    <w:left w:val="none" w:sz="0" w:space="0" w:color="auto"/>
                                    <w:bottom w:val="none" w:sz="0" w:space="0" w:color="auto"/>
                                    <w:right w:val="none" w:sz="0" w:space="0" w:color="auto"/>
                                  </w:divBdr>
                                  <w:divsChild>
                                    <w:div w:id="1062019561">
                                      <w:marLeft w:val="0"/>
                                      <w:marRight w:val="0"/>
                                      <w:marTop w:val="0"/>
                                      <w:marBottom w:val="0"/>
                                      <w:divBdr>
                                        <w:top w:val="none" w:sz="0" w:space="0" w:color="auto"/>
                                        <w:left w:val="none" w:sz="0" w:space="0" w:color="auto"/>
                                        <w:bottom w:val="none" w:sz="0" w:space="0" w:color="auto"/>
                                        <w:right w:val="none" w:sz="0" w:space="0" w:color="auto"/>
                                      </w:divBdr>
                                      <w:divsChild>
                                        <w:div w:id="13288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18414">
                                  <w:marLeft w:val="0"/>
                                  <w:marRight w:val="0"/>
                                  <w:marTop w:val="0"/>
                                  <w:marBottom w:val="0"/>
                                  <w:divBdr>
                                    <w:top w:val="none" w:sz="0" w:space="0" w:color="auto"/>
                                    <w:left w:val="none" w:sz="0" w:space="0" w:color="auto"/>
                                    <w:bottom w:val="none" w:sz="0" w:space="0" w:color="auto"/>
                                    <w:right w:val="none" w:sz="0" w:space="0" w:color="auto"/>
                                  </w:divBdr>
                                </w:div>
                              </w:divsChild>
                            </w:div>
                            <w:div w:id="2034260524">
                              <w:marLeft w:val="0"/>
                              <w:marRight w:val="0"/>
                              <w:marTop w:val="0"/>
                              <w:marBottom w:val="480"/>
                              <w:divBdr>
                                <w:top w:val="none" w:sz="0" w:space="0" w:color="auto"/>
                                <w:left w:val="none" w:sz="0" w:space="0" w:color="auto"/>
                                <w:bottom w:val="none" w:sz="0" w:space="0" w:color="auto"/>
                                <w:right w:val="none" w:sz="0" w:space="0" w:color="auto"/>
                              </w:divBdr>
                              <w:divsChild>
                                <w:div w:id="1262562954">
                                  <w:marLeft w:val="0"/>
                                  <w:marRight w:val="0"/>
                                  <w:marTop w:val="0"/>
                                  <w:marBottom w:val="0"/>
                                  <w:divBdr>
                                    <w:top w:val="none" w:sz="0" w:space="0" w:color="auto"/>
                                    <w:left w:val="none" w:sz="0" w:space="0" w:color="auto"/>
                                    <w:bottom w:val="none" w:sz="0" w:space="0" w:color="auto"/>
                                    <w:right w:val="none" w:sz="0" w:space="0" w:color="auto"/>
                                  </w:divBdr>
                                  <w:divsChild>
                                    <w:div w:id="979654604">
                                      <w:marLeft w:val="0"/>
                                      <w:marRight w:val="0"/>
                                      <w:marTop w:val="0"/>
                                      <w:marBottom w:val="0"/>
                                      <w:divBdr>
                                        <w:top w:val="none" w:sz="0" w:space="0" w:color="auto"/>
                                        <w:left w:val="none" w:sz="0" w:space="0" w:color="auto"/>
                                        <w:bottom w:val="none" w:sz="0" w:space="0" w:color="auto"/>
                                        <w:right w:val="none" w:sz="0" w:space="0" w:color="auto"/>
                                      </w:divBdr>
                                      <w:divsChild>
                                        <w:div w:id="626592106">
                                          <w:marLeft w:val="0"/>
                                          <w:marRight w:val="0"/>
                                          <w:marTop w:val="0"/>
                                          <w:marBottom w:val="0"/>
                                          <w:divBdr>
                                            <w:top w:val="none" w:sz="0" w:space="0" w:color="auto"/>
                                            <w:left w:val="none" w:sz="0" w:space="0" w:color="auto"/>
                                            <w:bottom w:val="none" w:sz="0" w:space="0" w:color="auto"/>
                                            <w:right w:val="none" w:sz="0" w:space="0" w:color="auto"/>
                                          </w:divBdr>
                                          <w:divsChild>
                                            <w:div w:id="1863394394">
                                              <w:marLeft w:val="0"/>
                                              <w:marRight w:val="0"/>
                                              <w:marTop w:val="0"/>
                                              <w:marBottom w:val="0"/>
                                              <w:divBdr>
                                                <w:top w:val="none" w:sz="0" w:space="0" w:color="auto"/>
                                                <w:left w:val="none" w:sz="0" w:space="0" w:color="auto"/>
                                                <w:bottom w:val="none" w:sz="0" w:space="0" w:color="auto"/>
                                                <w:right w:val="none" w:sz="0" w:space="0" w:color="auto"/>
                                              </w:divBdr>
                                              <w:divsChild>
                                                <w:div w:id="418916524">
                                                  <w:marLeft w:val="0"/>
                                                  <w:marRight w:val="0"/>
                                                  <w:marTop w:val="0"/>
                                                  <w:marBottom w:val="0"/>
                                                  <w:divBdr>
                                                    <w:top w:val="none" w:sz="0" w:space="0" w:color="auto"/>
                                                    <w:left w:val="none" w:sz="0" w:space="0" w:color="auto"/>
                                                    <w:bottom w:val="none" w:sz="0" w:space="0" w:color="auto"/>
                                                    <w:right w:val="none" w:sz="0" w:space="0" w:color="auto"/>
                                                  </w:divBdr>
                                                  <w:divsChild>
                                                    <w:div w:id="212893165">
                                                      <w:marLeft w:val="0"/>
                                                      <w:marRight w:val="0"/>
                                                      <w:marTop w:val="0"/>
                                                      <w:marBottom w:val="0"/>
                                                      <w:divBdr>
                                                        <w:top w:val="none" w:sz="0" w:space="0" w:color="auto"/>
                                                        <w:left w:val="none" w:sz="0" w:space="0" w:color="auto"/>
                                                        <w:bottom w:val="none" w:sz="0" w:space="0" w:color="auto"/>
                                                        <w:right w:val="none" w:sz="0" w:space="0" w:color="auto"/>
                                                      </w:divBdr>
                                                      <w:divsChild>
                                                        <w:div w:id="947003698">
                                                          <w:marLeft w:val="0"/>
                                                          <w:marRight w:val="0"/>
                                                          <w:marTop w:val="0"/>
                                                          <w:marBottom w:val="0"/>
                                                          <w:divBdr>
                                                            <w:top w:val="none" w:sz="0" w:space="0" w:color="auto"/>
                                                            <w:left w:val="none" w:sz="0" w:space="0" w:color="auto"/>
                                                            <w:bottom w:val="none" w:sz="0" w:space="0" w:color="auto"/>
                                                            <w:right w:val="none" w:sz="0" w:space="0" w:color="auto"/>
                                                          </w:divBdr>
                                                          <w:divsChild>
                                                            <w:div w:id="1027217598">
                                                              <w:marLeft w:val="0"/>
                                                              <w:marRight w:val="0"/>
                                                              <w:marTop w:val="0"/>
                                                              <w:marBottom w:val="0"/>
                                                              <w:divBdr>
                                                                <w:top w:val="none" w:sz="0" w:space="0" w:color="auto"/>
                                                                <w:left w:val="none" w:sz="0" w:space="0" w:color="auto"/>
                                                                <w:bottom w:val="none" w:sz="0" w:space="0" w:color="auto"/>
                                                                <w:right w:val="none" w:sz="0" w:space="0" w:color="auto"/>
                                                              </w:divBdr>
                                                              <w:divsChild>
                                                                <w:div w:id="18313425">
                                                                  <w:marLeft w:val="-300"/>
                                                                  <w:marRight w:val="-300"/>
                                                                  <w:marTop w:val="0"/>
                                                                  <w:marBottom w:val="0"/>
                                                                  <w:divBdr>
                                                                    <w:top w:val="none" w:sz="0" w:space="0" w:color="auto"/>
                                                                    <w:left w:val="none" w:sz="0" w:space="0" w:color="auto"/>
                                                                    <w:bottom w:val="none" w:sz="0" w:space="0" w:color="auto"/>
                                                                    <w:right w:val="none" w:sz="0" w:space="0" w:color="auto"/>
                                                                  </w:divBdr>
                                                                </w:div>
                                                                <w:div w:id="54260066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093746">
          <w:marLeft w:val="0"/>
          <w:marRight w:val="0"/>
          <w:marTop w:val="0"/>
          <w:marBottom w:val="180"/>
          <w:divBdr>
            <w:top w:val="none" w:sz="0" w:space="0" w:color="auto"/>
            <w:left w:val="none" w:sz="0" w:space="0" w:color="auto"/>
            <w:bottom w:val="none" w:sz="0" w:space="0" w:color="auto"/>
            <w:right w:val="none" w:sz="0" w:space="0" w:color="auto"/>
          </w:divBdr>
          <w:divsChild>
            <w:div w:id="1436900164">
              <w:marLeft w:val="0"/>
              <w:marRight w:val="0"/>
              <w:marTop w:val="0"/>
              <w:marBottom w:val="0"/>
              <w:divBdr>
                <w:top w:val="none" w:sz="0" w:space="0" w:color="auto"/>
                <w:left w:val="none" w:sz="0" w:space="0" w:color="auto"/>
                <w:bottom w:val="none" w:sz="0" w:space="0" w:color="auto"/>
                <w:right w:val="none" w:sz="0" w:space="0" w:color="auto"/>
              </w:divBdr>
              <w:divsChild>
                <w:div w:id="1645620483">
                  <w:marLeft w:val="0"/>
                  <w:marRight w:val="0"/>
                  <w:marTop w:val="0"/>
                  <w:marBottom w:val="0"/>
                  <w:divBdr>
                    <w:top w:val="none" w:sz="0" w:space="0" w:color="auto"/>
                    <w:left w:val="none" w:sz="0" w:space="0" w:color="auto"/>
                    <w:bottom w:val="none" w:sz="0" w:space="0" w:color="auto"/>
                    <w:right w:val="none" w:sz="0" w:space="0" w:color="auto"/>
                  </w:divBdr>
                  <w:divsChild>
                    <w:div w:id="658461384">
                      <w:marLeft w:val="0"/>
                      <w:marRight w:val="0"/>
                      <w:marTop w:val="0"/>
                      <w:marBottom w:val="0"/>
                      <w:divBdr>
                        <w:top w:val="none" w:sz="0" w:space="0" w:color="auto"/>
                        <w:left w:val="none" w:sz="0" w:space="0" w:color="auto"/>
                        <w:bottom w:val="none" w:sz="0" w:space="0" w:color="auto"/>
                        <w:right w:val="none" w:sz="0" w:space="0" w:color="auto"/>
                      </w:divBdr>
                      <w:divsChild>
                        <w:div w:id="2068526852">
                          <w:marLeft w:val="0"/>
                          <w:marRight w:val="0"/>
                          <w:marTop w:val="0"/>
                          <w:marBottom w:val="0"/>
                          <w:divBdr>
                            <w:top w:val="single" w:sz="4" w:space="6" w:color="auto"/>
                            <w:left w:val="single" w:sz="4" w:space="12" w:color="auto"/>
                            <w:bottom w:val="single" w:sz="4" w:space="6" w:color="auto"/>
                            <w:right w:val="single" w:sz="4" w:space="12" w:color="auto"/>
                          </w:divBdr>
                          <w:divsChild>
                            <w:div w:id="5631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839079">
              <w:marLeft w:val="0"/>
              <w:marRight w:val="0"/>
              <w:marTop w:val="0"/>
              <w:marBottom w:val="0"/>
              <w:divBdr>
                <w:top w:val="none" w:sz="0" w:space="0" w:color="auto"/>
                <w:left w:val="none" w:sz="0" w:space="0" w:color="auto"/>
                <w:bottom w:val="none" w:sz="0" w:space="0" w:color="auto"/>
                <w:right w:val="none" w:sz="0" w:space="0" w:color="auto"/>
              </w:divBdr>
              <w:divsChild>
                <w:div w:id="1414661866">
                  <w:marLeft w:val="30"/>
                  <w:marRight w:val="30"/>
                  <w:marTop w:val="0"/>
                  <w:marBottom w:val="0"/>
                  <w:divBdr>
                    <w:top w:val="none" w:sz="0" w:space="0" w:color="auto"/>
                    <w:left w:val="none" w:sz="0" w:space="0" w:color="auto"/>
                    <w:bottom w:val="none" w:sz="0" w:space="0" w:color="auto"/>
                    <w:right w:val="none" w:sz="0" w:space="0" w:color="auto"/>
                  </w:divBdr>
                  <w:divsChild>
                    <w:div w:id="980114661">
                      <w:marLeft w:val="0"/>
                      <w:marRight w:val="0"/>
                      <w:marTop w:val="0"/>
                      <w:marBottom w:val="0"/>
                      <w:divBdr>
                        <w:top w:val="none" w:sz="0" w:space="0" w:color="auto"/>
                        <w:left w:val="none" w:sz="0" w:space="0" w:color="auto"/>
                        <w:bottom w:val="none" w:sz="0" w:space="0" w:color="auto"/>
                        <w:right w:val="none" w:sz="0" w:space="0" w:color="auto"/>
                      </w:divBdr>
                      <w:divsChild>
                        <w:div w:id="824853824">
                          <w:marLeft w:val="0"/>
                          <w:marRight w:val="0"/>
                          <w:marTop w:val="0"/>
                          <w:marBottom w:val="0"/>
                          <w:divBdr>
                            <w:top w:val="none" w:sz="0" w:space="0" w:color="auto"/>
                            <w:left w:val="none" w:sz="0" w:space="0" w:color="auto"/>
                            <w:bottom w:val="none" w:sz="0" w:space="0" w:color="auto"/>
                            <w:right w:val="none" w:sz="0" w:space="0" w:color="auto"/>
                          </w:divBdr>
                          <w:divsChild>
                            <w:div w:id="1563637201">
                              <w:marLeft w:val="0"/>
                              <w:marRight w:val="0"/>
                              <w:marTop w:val="0"/>
                              <w:marBottom w:val="0"/>
                              <w:divBdr>
                                <w:top w:val="none" w:sz="0" w:space="0" w:color="auto"/>
                                <w:left w:val="none" w:sz="0" w:space="0" w:color="auto"/>
                                <w:bottom w:val="none" w:sz="0" w:space="0" w:color="auto"/>
                                <w:right w:val="none" w:sz="0" w:space="0" w:color="auto"/>
                              </w:divBdr>
                              <w:divsChild>
                                <w:div w:id="1470636600">
                                  <w:marLeft w:val="0"/>
                                  <w:marRight w:val="0"/>
                                  <w:marTop w:val="0"/>
                                  <w:marBottom w:val="0"/>
                                  <w:divBdr>
                                    <w:top w:val="none" w:sz="0" w:space="0" w:color="auto"/>
                                    <w:left w:val="none" w:sz="0" w:space="0" w:color="auto"/>
                                    <w:bottom w:val="none" w:sz="0" w:space="0" w:color="auto"/>
                                    <w:right w:val="none" w:sz="0" w:space="0" w:color="auto"/>
                                  </w:divBdr>
                                  <w:divsChild>
                                    <w:div w:id="1191139627">
                                      <w:marLeft w:val="0"/>
                                      <w:marRight w:val="0"/>
                                      <w:marTop w:val="0"/>
                                      <w:marBottom w:val="300"/>
                                      <w:divBdr>
                                        <w:top w:val="none" w:sz="0" w:space="0" w:color="auto"/>
                                        <w:left w:val="none" w:sz="0" w:space="0" w:color="auto"/>
                                        <w:bottom w:val="none" w:sz="0" w:space="0" w:color="auto"/>
                                        <w:right w:val="none" w:sz="0" w:space="0" w:color="auto"/>
                                      </w:divBdr>
                                      <w:divsChild>
                                        <w:div w:id="1134059442">
                                          <w:marLeft w:val="0"/>
                                          <w:marRight w:val="0"/>
                                          <w:marTop w:val="0"/>
                                          <w:marBottom w:val="0"/>
                                          <w:divBdr>
                                            <w:top w:val="none" w:sz="0" w:space="0" w:color="auto"/>
                                            <w:left w:val="none" w:sz="0" w:space="0" w:color="auto"/>
                                            <w:bottom w:val="none" w:sz="0" w:space="0" w:color="auto"/>
                                            <w:right w:val="none" w:sz="0" w:space="0" w:color="auto"/>
                                          </w:divBdr>
                                          <w:divsChild>
                                            <w:div w:id="1092118066">
                                              <w:marLeft w:val="0"/>
                                              <w:marRight w:val="0"/>
                                              <w:marTop w:val="0"/>
                                              <w:marBottom w:val="0"/>
                                              <w:divBdr>
                                                <w:top w:val="none" w:sz="0" w:space="0" w:color="auto"/>
                                                <w:left w:val="none" w:sz="0" w:space="0" w:color="auto"/>
                                                <w:bottom w:val="none" w:sz="0" w:space="0" w:color="auto"/>
                                                <w:right w:val="none" w:sz="0" w:space="0" w:color="auto"/>
                                              </w:divBdr>
                                              <w:divsChild>
                                                <w:div w:id="545600958">
                                                  <w:marLeft w:val="0"/>
                                                  <w:marRight w:val="0"/>
                                                  <w:marTop w:val="0"/>
                                                  <w:marBottom w:val="0"/>
                                                  <w:divBdr>
                                                    <w:top w:val="none" w:sz="0" w:space="0" w:color="auto"/>
                                                    <w:left w:val="none" w:sz="0" w:space="0" w:color="auto"/>
                                                    <w:bottom w:val="none" w:sz="0" w:space="0" w:color="auto"/>
                                                    <w:right w:val="none" w:sz="0" w:space="0" w:color="auto"/>
                                                  </w:divBdr>
                                                  <w:divsChild>
                                                    <w:div w:id="14175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57851">
                              <w:marLeft w:val="0"/>
                              <w:marRight w:val="0"/>
                              <w:marTop w:val="0"/>
                              <w:marBottom w:val="480"/>
                              <w:divBdr>
                                <w:top w:val="none" w:sz="0" w:space="0" w:color="auto"/>
                                <w:left w:val="none" w:sz="0" w:space="0" w:color="auto"/>
                                <w:bottom w:val="none" w:sz="0" w:space="0" w:color="auto"/>
                                <w:right w:val="none" w:sz="0" w:space="0" w:color="auto"/>
                              </w:divBdr>
                              <w:divsChild>
                                <w:div w:id="1424112623">
                                  <w:marLeft w:val="0"/>
                                  <w:marRight w:val="0"/>
                                  <w:marTop w:val="0"/>
                                  <w:marBottom w:val="0"/>
                                  <w:divBdr>
                                    <w:top w:val="none" w:sz="0" w:space="0" w:color="auto"/>
                                    <w:left w:val="none" w:sz="0" w:space="0" w:color="auto"/>
                                    <w:bottom w:val="none" w:sz="0" w:space="0" w:color="auto"/>
                                    <w:right w:val="none" w:sz="0" w:space="0" w:color="auto"/>
                                  </w:divBdr>
                                  <w:divsChild>
                                    <w:div w:id="552040882">
                                      <w:marLeft w:val="0"/>
                                      <w:marRight w:val="0"/>
                                      <w:marTop w:val="0"/>
                                      <w:marBottom w:val="0"/>
                                      <w:divBdr>
                                        <w:top w:val="none" w:sz="0" w:space="0" w:color="auto"/>
                                        <w:left w:val="none" w:sz="0" w:space="0" w:color="auto"/>
                                        <w:bottom w:val="none" w:sz="0" w:space="0" w:color="auto"/>
                                        <w:right w:val="none" w:sz="0" w:space="0" w:color="auto"/>
                                      </w:divBdr>
                                      <w:divsChild>
                                        <w:div w:id="1109399738">
                                          <w:marLeft w:val="0"/>
                                          <w:marRight w:val="0"/>
                                          <w:marTop w:val="0"/>
                                          <w:marBottom w:val="0"/>
                                          <w:divBdr>
                                            <w:top w:val="none" w:sz="0" w:space="0" w:color="auto"/>
                                            <w:left w:val="none" w:sz="0" w:space="0" w:color="auto"/>
                                            <w:bottom w:val="none" w:sz="0" w:space="0" w:color="auto"/>
                                            <w:right w:val="none" w:sz="0" w:space="0" w:color="auto"/>
                                          </w:divBdr>
                                          <w:divsChild>
                                            <w:div w:id="931283077">
                                              <w:marLeft w:val="0"/>
                                              <w:marRight w:val="0"/>
                                              <w:marTop w:val="0"/>
                                              <w:marBottom w:val="0"/>
                                              <w:divBdr>
                                                <w:top w:val="none" w:sz="0" w:space="0" w:color="auto"/>
                                                <w:left w:val="none" w:sz="0" w:space="0" w:color="auto"/>
                                                <w:bottom w:val="none" w:sz="0" w:space="0" w:color="auto"/>
                                                <w:right w:val="none" w:sz="0" w:space="0" w:color="auto"/>
                                              </w:divBdr>
                                              <w:divsChild>
                                                <w:div w:id="772825687">
                                                  <w:marLeft w:val="0"/>
                                                  <w:marRight w:val="0"/>
                                                  <w:marTop w:val="0"/>
                                                  <w:marBottom w:val="0"/>
                                                  <w:divBdr>
                                                    <w:top w:val="none" w:sz="0" w:space="0" w:color="auto"/>
                                                    <w:left w:val="none" w:sz="0" w:space="0" w:color="auto"/>
                                                    <w:bottom w:val="none" w:sz="0" w:space="0" w:color="auto"/>
                                                    <w:right w:val="none" w:sz="0" w:space="0" w:color="auto"/>
                                                  </w:divBdr>
                                                  <w:divsChild>
                                                    <w:div w:id="1315253112">
                                                      <w:marLeft w:val="0"/>
                                                      <w:marRight w:val="0"/>
                                                      <w:marTop w:val="0"/>
                                                      <w:marBottom w:val="0"/>
                                                      <w:divBdr>
                                                        <w:top w:val="none" w:sz="0" w:space="0" w:color="auto"/>
                                                        <w:left w:val="none" w:sz="0" w:space="0" w:color="auto"/>
                                                        <w:bottom w:val="none" w:sz="0" w:space="0" w:color="auto"/>
                                                        <w:right w:val="none" w:sz="0" w:space="0" w:color="auto"/>
                                                      </w:divBdr>
                                                      <w:divsChild>
                                                        <w:div w:id="1967464142">
                                                          <w:marLeft w:val="0"/>
                                                          <w:marRight w:val="0"/>
                                                          <w:marTop w:val="0"/>
                                                          <w:marBottom w:val="0"/>
                                                          <w:divBdr>
                                                            <w:top w:val="none" w:sz="0" w:space="0" w:color="auto"/>
                                                            <w:left w:val="none" w:sz="0" w:space="0" w:color="auto"/>
                                                            <w:bottom w:val="none" w:sz="0" w:space="0" w:color="auto"/>
                                                            <w:right w:val="none" w:sz="0" w:space="0" w:color="auto"/>
                                                          </w:divBdr>
                                                          <w:divsChild>
                                                            <w:div w:id="1452749507">
                                                              <w:marLeft w:val="0"/>
                                                              <w:marRight w:val="0"/>
                                                              <w:marTop w:val="0"/>
                                                              <w:marBottom w:val="0"/>
                                                              <w:divBdr>
                                                                <w:top w:val="none" w:sz="0" w:space="0" w:color="auto"/>
                                                                <w:left w:val="none" w:sz="0" w:space="0" w:color="auto"/>
                                                                <w:bottom w:val="none" w:sz="0" w:space="0" w:color="auto"/>
                                                                <w:right w:val="none" w:sz="0" w:space="0" w:color="auto"/>
                                                              </w:divBdr>
                                                              <w:divsChild>
                                                                <w:div w:id="201872605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8500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9889">
                              <w:marLeft w:val="0"/>
                              <w:marRight w:val="0"/>
                              <w:marTop w:val="0"/>
                              <w:marBottom w:val="0"/>
                              <w:divBdr>
                                <w:top w:val="none" w:sz="0" w:space="0" w:color="auto"/>
                                <w:left w:val="none" w:sz="0" w:space="0" w:color="auto"/>
                                <w:bottom w:val="none" w:sz="0" w:space="0" w:color="auto"/>
                                <w:right w:val="none" w:sz="0" w:space="0" w:color="auto"/>
                              </w:divBdr>
                              <w:divsChild>
                                <w:div w:id="1476996091">
                                  <w:marLeft w:val="0"/>
                                  <w:marRight w:val="0"/>
                                  <w:marTop w:val="0"/>
                                  <w:marBottom w:val="0"/>
                                  <w:divBdr>
                                    <w:top w:val="none" w:sz="0" w:space="0" w:color="auto"/>
                                    <w:left w:val="none" w:sz="0" w:space="0" w:color="auto"/>
                                    <w:bottom w:val="none" w:sz="0" w:space="0" w:color="auto"/>
                                    <w:right w:val="none" w:sz="0" w:space="0" w:color="auto"/>
                                  </w:divBdr>
                                  <w:divsChild>
                                    <w:div w:id="1044258133">
                                      <w:marLeft w:val="0"/>
                                      <w:marRight w:val="0"/>
                                      <w:marTop w:val="0"/>
                                      <w:marBottom w:val="0"/>
                                      <w:divBdr>
                                        <w:top w:val="none" w:sz="0" w:space="0" w:color="auto"/>
                                        <w:left w:val="none" w:sz="0" w:space="0" w:color="auto"/>
                                        <w:bottom w:val="none" w:sz="0" w:space="0" w:color="auto"/>
                                        <w:right w:val="none" w:sz="0" w:space="0" w:color="auto"/>
                                      </w:divBdr>
                                      <w:divsChild>
                                        <w:div w:id="3030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568567">
      <w:bodyDiv w:val="1"/>
      <w:marLeft w:val="0"/>
      <w:marRight w:val="0"/>
      <w:marTop w:val="0"/>
      <w:marBottom w:val="0"/>
      <w:divBdr>
        <w:top w:val="none" w:sz="0" w:space="0" w:color="auto"/>
        <w:left w:val="none" w:sz="0" w:space="0" w:color="auto"/>
        <w:bottom w:val="none" w:sz="0" w:space="0" w:color="auto"/>
        <w:right w:val="none" w:sz="0" w:space="0" w:color="auto"/>
      </w:divBdr>
      <w:divsChild>
        <w:div w:id="734544802">
          <w:marLeft w:val="0"/>
          <w:marRight w:val="0"/>
          <w:marTop w:val="0"/>
          <w:marBottom w:val="0"/>
          <w:divBdr>
            <w:top w:val="none" w:sz="0" w:space="0" w:color="auto"/>
            <w:left w:val="none" w:sz="0" w:space="0" w:color="auto"/>
            <w:bottom w:val="none" w:sz="0" w:space="0" w:color="auto"/>
            <w:right w:val="none" w:sz="0" w:space="0" w:color="auto"/>
          </w:divBdr>
        </w:div>
        <w:div w:id="1190528947">
          <w:marLeft w:val="0"/>
          <w:marRight w:val="0"/>
          <w:marTop w:val="0"/>
          <w:marBottom w:val="0"/>
          <w:divBdr>
            <w:top w:val="none" w:sz="0" w:space="0" w:color="auto"/>
            <w:left w:val="none" w:sz="0" w:space="0" w:color="auto"/>
            <w:bottom w:val="none" w:sz="0" w:space="0" w:color="auto"/>
            <w:right w:val="none" w:sz="0" w:space="0" w:color="auto"/>
          </w:divBdr>
        </w:div>
        <w:div w:id="1933975966">
          <w:marLeft w:val="0"/>
          <w:marRight w:val="0"/>
          <w:marTop w:val="0"/>
          <w:marBottom w:val="0"/>
          <w:divBdr>
            <w:top w:val="none" w:sz="0" w:space="0" w:color="auto"/>
            <w:left w:val="none" w:sz="0" w:space="0" w:color="auto"/>
            <w:bottom w:val="none" w:sz="0" w:space="0" w:color="auto"/>
            <w:right w:val="none" w:sz="0" w:space="0" w:color="auto"/>
          </w:divBdr>
        </w:div>
        <w:div w:id="2036689927">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vic.gov.au/patient-care/nept-legislation-and-clinical-practice-protocols" TargetMode="External"/><Relationship Id="rId26" Type="http://schemas.openxmlformats.org/officeDocument/2006/relationships/hyperlink" Target="mailto:Legislation%20and%20Regulation%20Reform%20(HEALTH)%20%3clegandregreform@health.vic.gov.au%3e" TargetMode="External"/><Relationship Id="rId3" Type="http://schemas.openxmlformats.org/officeDocument/2006/relationships/customXml" Target="../customXml/item3.xml"/><Relationship Id="rId21" Type="http://schemas.openxmlformats.org/officeDocument/2006/relationships/hyperlink" Target="mailto:legandregreform@health.vic.gov.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legandregreform@health.vic.gov.au" TargetMode="External"/><Relationship Id="rId25" Type="http://schemas.openxmlformats.org/officeDocument/2006/relationships/hyperlink" Target="https://www.health.vic.gov.au/department-of-health-privacy-policy"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tient-care/nept-legislation-and-clinical-practice-protocol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privacy@health.vic.gov.au"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Legislation%20and%20Regulation%20Reform%20(HEALTH)%20%3clegandregreform@health.vic.gov.au%3e" TargetMode="External"/><Relationship Id="rId28" Type="http://schemas.openxmlformats.org/officeDocument/2006/relationships/hyperlink" Target="https://www.health.vic.gov.au/patient-care/non-emergency-patient-transport-review" TargetMode="External"/><Relationship Id="rId10" Type="http://schemas.openxmlformats.org/officeDocument/2006/relationships/endnotes" Target="endnotes.xml"/><Relationship Id="rId19" Type="http://schemas.openxmlformats.org/officeDocument/2006/relationships/hyperlink" Target="https://www.health.vic.gov.au/patient-care/non-emergency-patient-transport-review"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epartment-of-health-privacy-policy" TargetMode="External"/><Relationship Id="rId27" Type="http://schemas.openxmlformats.org/officeDocument/2006/relationships/hyperlink" Target="mailto:privacy@health.vic.gov.au"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safercare.vic.gov.au/report-manage-issues/sentinel-events" TargetMode="External"/><Relationship Id="rId2" Type="http://schemas.openxmlformats.org/officeDocument/2006/relationships/hyperlink" Target="https://www.health.vic.gov.au/patient-care/nept-legislation-and-clinical-practice-protocols" TargetMode="External"/><Relationship Id="rId1" Type="http://schemas.openxmlformats.org/officeDocument/2006/relationships/hyperlink" Target="https://www.health.vic.gov.au/patient-care/non-emergency-patient-transport-review" TargetMode="External"/><Relationship Id="rId6" Type="http://schemas.openxmlformats.org/officeDocument/2006/relationships/hyperlink" Target="https://www.health.vic.gov.au/patient-care/non-emergency-patient-transport-review" TargetMode="External"/><Relationship Id="rId5" Type="http://schemas.openxmlformats.org/officeDocument/2006/relationships/hyperlink" Target="https://www.vic.gov.au/victorian-guide-regulation" TargetMode="External"/><Relationship Id="rId4" Type="http://schemas.openxmlformats.org/officeDocument/2006/relationships/hyperlink" Target="https://www.safercare.vic.gov.au/report-manage-issues/sentinel-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lcf76f155ced4ddcb4097134ff3c332f xmlns="47f98658-1cbe-4b10-a767-4f9447a207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8bf18370f1d12376866d0362034496b6">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5da683df9ed88ee7e1f34994a9bce329"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47f98658-1cbe-4b10-a767-4f9447a207a3"/>
  </ds:schemaRefs>
</ds:datastoreItem>
</file>

<file path=customXml/itemProps3.xml><?xml version="1.0" encoding="utf-8"?>
<ds:datastoreItem xmlns:ds="http://schemas.openxmlformats.org/officeDocument/2006/customXml" ds:itemID="{F70B58FC-D2F1-445E-B3E9-422C81A9A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16453</Words>
  <Characters>95921</Characters>
  <Application>Microsoft Office Word</Application>
  <DocSecurity>0</DocSecurity>
  <Lines>1598</Lines>
  <Paragraphs>649</Paragraphs>
  <ScaleCrop>false</ScaleCrop>
  <Manager/>
  <Company>Victoria State Government, Department of Health</Company>
  <LinksUpToDate>false</LinksUpToDate>
  <CharactersWithSpaces>111725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Non-Emergency Patient Transport Regulations 2026 Regulatory Impact Statement</dc:title>
  <dc:subject>Non-Emergency Patient Transport Regulations 2026 Regulatory Impact Statement</dc:subject>
  <dc:creator>legandregreform@health.vic.gov.au</dc:creator>
  <cp:keywords>NEPT Regulations RIS</cp:keywords>
  <dc:description/>
  <cp:lastModifiedBy>Sarah Luscombe (Health)</cp:lastModifiedBy>
  <cp:revision>3</cp:revision>
  <cp:lastPrinted>2025-11-16T03:20:00Z</cp:lastPrinted>
  <dcterms:created xsi:type="dcterms:W3CDTF">2026-02-06T02:51:00Z</dcterms:created>
  <dcterms:modified xsi:type="dcterms:W3CDTF">2026-03-01T22:45:00Z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Sensitivity">
    <vt:lpwstr>1;#OFFICIAL|df0ee81d-089c-4707-9ef8-ac9a7d96e4bd</vt:lpwstr>
  </property>
  <property fmtid="{D5CDD505-2E9C-101B-9397-08002B2CF9AE}" pid="14" name="docLang">
    <vt:lpwstr>en</vt:lpwstr>
  </property>
  <property fmtid="{D5CDD505-2E9C-101B-9397-08002B2CF9AE}" pid="15" name="lcf76f155ced4ddcb4097134ff3c332f">
    <vt:lpwstr/>
  </property>
</Properties>
</file>