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13D5" w14:textId="69AD0460" w:rsidR="00A62D44" w:rsidRPr="0051689E" w:rsidRDefault="00904AB4" w:rsidP="00EC40D5">
      <w:pPr>
        <w:pStyle w:val="Sectionbreakfirstpage"/>
        <w:rPr>
          <w:rFonts w:cs="Arial"/>
        </w:rPr>
        <w:sectPr w:rsidR="00A62D44" w:rsidRPr="0051689E" w:rsidSect="00E62622">
          <w:headerReference w:type="default" r:id="rId8"/>
          <w:footerReference w:type="even" r:id="rId9"/>
          <w:footerReference w:type="default" r:id="rId10"/>
          <w:footerReference w:type="first" r:id="rId11"/>
          <w:pgSz w:w="11906" w:h="16838" w:code="9"/>
          <w:pgMar w:top="454" w:right="851" w:bottom="1418" w:left="851" w:header="340" w:footer="851" w:gutter="0"/>
          <w:cols w:space="708"/>
          <w:docGrid w:linePitch="360"/>
        </w:sectPr>
      </w:pPr>
      <w:r w:rsidRPr="0051689E">
        <w:rPr>
          <w:rFonts w:cs="Arial"/>
        </w:rPr>
        <w:drawing>
          <wp:anchor distT="0" distB="0" distL="114300" distR="114300" simplePos="0" relativeHeight="251658240" behindDoc="1" locked="1" layoutInCell="1" allowOverlap="0" wp14:anchorId="77FF742D" wp14:editId="24A6811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677"/>
      </w:tblGrid>
      <w:tr w:rsidR="003B5733" w:rsidRPr="0051689E" w14:paraId="64B0B30C" w14:textId="77777777" w:rsidTr="001C0791">
        <w:trPr>
          <w:trHeight w:val="474"/>
        </w:trPr>
        <w:tc>
          <w:tcPr>
            <w:tcW w:w="9677" w:type="dxa"/>
            <w:tcMar>
              <w:top w:w="1531" w:type="dxa"/>
              <w:left w:w="0" w:type="dxa"/>
              <w:right w:w="0" w:type="dxa"/>
            </w:tcMar>
          </w:tcPr>
          <w:p w14:paraId="18DCAB9F" w14:textId="7158FCE0" w:rsidR="001C0791" w:rsidRPr="001C0791" w:rsidRDefault="5F15F63A" w:rsidP="001C0791">
            <w:pPr>
              <w:pStyle w:val="Documenttitle"/>
              <w:rPr>
                <w:rFonts w:cs="Arial"/>
              </w:rPr>
            </w:pPr>
            <w:r w:rsidRPr="0051689E">
              <w:rPr>
                <w:rFonts w:cs="Arial"/>
              </w:rPr>
              <w:t>Naloxone administration</w:t>
            </w:r>
            <w:r w:rsidR="789D5142" w:rsidRPr="0051689E">
              <w:rPr>
                <w:rFonts w:cs="Arial"/>
              </w:rPr>
              <w:t xml:space="preserve"> </w:t>
            </w:r>
            <w:r w:rsidR="0515FC67" w:rsidRPr="0051689E">
              <w:rPr>
                <w:rFonts w:cs="Arial"/>
              </w:rPr>
              <w:t>by</w:t>
            </w:r>
            <w:r w:rsidR="789D5142" w:rsidRPr="0051689E">
              <w:rPr>
                <w:rFonts w:cs="Arial"/>
              </w:rPr>
              <w:t xml:space="preserve"> </w:t>
            </w:r>
            <w:r w:rsidR="21F306C2" w:rsidRPr="0051689E">
              <w:rPr>
                <w:rFonts w:cs="Arial"/>
              </w:rPr>
              <w:t>workers</w:t>
            </w:r>
            <w:r w:rsidR="789D5142" w:rsidRPr="0051689E">
              <w:rPr>
                <w:rFonts w:cs="Arial"/>
              </w:rPr>
              <w:t xml:space="preserve"> responding to opioid overdose in </w:t>
            </w:r>
            <w:r w:rsidR="240BBA68" w:rsidRPr="0051689E">
              <w:rPr>
                <w:rFonts w:cs="Arial"/>
              </w:rPr>
              <w:t xml:space="preserve">Health </w:t>
            </w:r>
            <w:r w:rsidR="522FC635" w:rsidRPr="0051689E">
              <w:rPr>
                <w:rFonts w:cs="Arial"/>
              </w:rPr>
              <w:t>and Community Services</w:t>
            </w:r>
            <w:r w:rsidR="5ADDAAC2" w:rsidRPr="0051689E">
              <w:rPr>
                <w:rFonts w:cs="Arial"/>
              </w:rPr>
              <w:t xml:space="preserve"> </w:t>
            </w:r>
          </w:p>
        </w:tc>
      </w:tr>
      <w:bookmarkStart w:id="0" w:name="_Hlk179464570"/>
      <w:bookmarkStart w:id="1" w:name="_Hlk41913885"/>
      <w:tr w:rsidR="001C0791" w:rsidRPr="001E5058" w14:paraId="465523A5" w14:textId="77777777" w:rsidTr="001C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77" w:type="dxa"/>
            <w:tcBorders>
              <w:top w:val="nil"/>
              <w:left w:val="nil"/>
              <w:bottom w:val="nil"/>
              <w:right w:val="nil"/>
            </w:tcBorders>
          </w:tcPr>
          <w:p w14:paraId="698249C6" w14:textId="77777777" w:rsidR="001C0791" w:rsidRPr="001E5058" w:rsidRDefault="001C0791" w:rsidP="00E30A38">
            <w:pPr>
              <w:pStyle w:val="Bannermarking"/>
            </w:pPr>
            <w:r>
              <w:fldChar w:fldCharType="begin"/>
            </w:r>
            <w:r>
              <w:instrText xml:space="preserve"> FILLIN  "Type the protective marking" \d OFFICIAL \o  \* MERGEFORMAT </w:instrText>
            </w:r>
            <w:r>
              <w:fldChar w:fldCharType="separate"/>
            </w:r>
            <w:r>
              <w:t>OFFICIAL</w:t>
            </w:r>
            <w:r>
              <w:fldChar w:fldCharType="end"/>
            </w:r>
          </w:p>
        </w:tc>
      </w:tr>
    </w:tbl>
    <w:p w14:paraId="515E6990" w14:textId="56006CA3" w:rsidR="002D3B03" w:rsidRPr="0051689E" w:rsidRDefault="002D3B03" w:rsidP="001C0791">
      <w:pPr>
        <w:pStyle w:val="Heading2"/>
      </w:pPr>
      <w:r w:rsidRPr="00BB401B">
        <w:t>Introduction</w:t>
      </w:r>
    </w:p>
    <w:p w14:paraId="5C955A5C" w14:textId="41DDBB3F" w:rsidR="002E2480" w:rsidRPr="0051689E" w:rsidRDefault="009400D3" w:rsidP="00003630">
      <w:pPr>
        <w:pStyle w:val="Body"/>
        <w:spacing w:before="180" w:after="180" w:line="240" w:lineRule="auto"/>
        <w:rPr>
          <w:rFonts w:cs="Arial"/>
        </w:rPr>
      </w:pPr>
      <w:r w:rsidRPr="0051689E">
        <w:rPr>
          <w:rFonts w:cs="Arial"/>
        </w:rPr>
        <w:t xml:space="preserve">Naloxone is a medicine that quickly </w:t>
      </w:r>
      <w:r w:rsidR="004E0D08" w:rsidRPr="0051689E">
        <w:rPr>
          <w:rFonts w:cs="Arial"/>
        </w:rPr>
        <w:t>reverses</w:t>
      </w:r>
      <w:r w:rsidR="3205CF27" w:rsidRPr="0051689E">
        <w:rPr>
          <w:rFonts w:cs="Arial"/>
        </w:rPr>
        <w:t xml:space="preserve"> </w:t>
      </w:r>
      <w:r w:rsidR="00BA3800" w:rsidRPr="0051689E">
        <w:rPr>
          <w:rFonts w:cs="Arial"/>
        </w:rPr>
        <w:t>the effects of opioids</w:t>
      </w:r>
      <w:r w:rsidR="002E2480" w:rsidRPr="0051689E">
        <w:rPr>
          <w:rFonts w:cs="Arial"/>
        </w:rPr>
        <w:t xml:space="preserve"> during an overdose</w:t>
      </w:r>
      <w:r w:rsidR="00BA3800" w:rsidRPr="0051689E">
        <w:rPr>
          <w:rFonts w:cs="Arial"/>
        </w:rPr>
        <w:t xml:space="preserve">. </w:t>
      </w:r>
      <w:r w:rsidR="00462A20" w:rsidRPr="0051689E">
        <w:rPr>
          <w:rFonts w:cs="Arial"/>
        </w:rPr>
        <w:t xml:space="preserve">It has been </w:t>
      </w:r>
      <w:r w:rsidR="3205CF27" w:rsidRPr="0051689E">
        <w:rPr>
          <w:rFonts w:cs="Arial"/>
        </w:rPr>
        <w:t>utilised globally for many years as a critical intervention in opioid overdose response. In recent years</w:t>
      </w:r>
      <w:r w:rsidR="002E2480" w:rsidRPr="0051689E">
        <w:rPr>
          <w:rFonts w:cs="Arial"/>
        </w:rPr>
        <w:t xml:space="preserve">, naloxone </w:t>
      </w:r>
      <w:r w:rsidR="3205CF27" w:rsidRPr="0051689E">
        <w:rPr>
          <w:rFonts w:cs="Arial"/>
        </w:rPr>
        <w:t xml:space="preserve">has </w:t>
      </w:r>
      <w:r w:rsidR="002E2480" w:rsidRPr="0051689E">
        <w:rPr>
          <w:rFonts w:cs="Arial"/>
        </w:rPr>
        <w:t>become</w:t>
      </w:r>
      <w:r w:rsidR="3205CF27" w:rsidRPr="0051689E">
        <w:rPr>
          <w:rFonts w:cs="Arial"/>
        </w:rPr>
        <w:t xml:space="preserve"> available as a single-dose nasal spray</w:t>
      </w:r>
      <w:r w:rsidR="00443836" w:rsidRPr="0051689E">
        <w:rPr>
          <w:rFonts w:cs="Arial"/>
        </w:rPr>
        <w:t>.</w:t>
      </w:r>
    </w:p>
    <w:p w14:paraId="53800302" w14:textId="3618482B" w:rsidR="3DC55744" w:rsidRPr="0051689E" w:rsidRDefault="3DC55744" w:rsidP="001C0791">
      <w:pPr>
        <w:pStyle w:val="Heading2"/>
      </w:pPr>
      <w:r w:rsidRPr="0051689E">
        <w:t>Safety</w:t>
      </w:r>
    </w:p>
    <w:p w14:paraId="6AC250FD" w14:textId="19AC999E" w:rsidR="3DC55744" w:rsidRPr="0051689E" w:rsidRDefault="3DC55744" w:rsidP="00003630">
      <w:pPr>
        <w:pStyle w:val="Body"/>
        <w:spacing w:before="180" w:after="180" w:line="240" w:lineRule="auto"/>
        <w:rPr>
          <w:rFonts w:cs="Arial"/>
        </w:rPr>
      </w:pPr>
      <w:r w:rsidRPr="0051689E">
        <w:rPr>
          <w:rFonts w:cs="Arial"/>
        </w:rPr>
        <w:t>Naloxone is safe and effective for reversing opioid overdose</w:t>
      </w:r>
      <w:r w:rsidR="3E3B1A80" w:rsidRPr="0051689E">
        <w:rPr>
          <w:rFonts w:cs="Arial"/>
        </w:rPr>
        <w:t xml:space="preserve"> </w:t>
      </w:r>
      <w:r w:rsidR="00881727" w:rsidRPr="0051689E">
        <w:rPr>
          <w:rFonts w:cs="Arial"/>
        </w:rPr>
        <w:t>in people</w:t>
      </w:r>
      <w:r w:rsidR="3E3B1A80" w:rsidRPr="0051689E">
        <w:rPr>
          <w:rFonts w:cs="Arial"/>
        </w:rPr>
        <w:t xml:space="preserve"> </w:t>
      </w:r>
      <w:r w:rsidR="155B6134" w:rsidRPr="0051689E">
        <w:rPr>
          <w:rFonts w:cs="Arial"/>
        </w:rPr>
        <w:t xml:space="preserve">of </w:t>
      </w:r>
      <w:r w:rsidR="3E3B1A80" w:rsidRPr="0051689E">
        <w:rPr>
          <w:rFonts w:cs="Arial"/>
        </w:rPr>
        <w:t xml:space="preserve">all ages, including infants and older </w:t>
      </w:r>
      <w:r w:rsidR="00467A6F" w:rsidRPr="0051689E">
        <w:rPr>
          <w:rFonts w:cs="Arial"/>
        </w:rPr>
        <w:t>adults.</w:t>
      </w:r>
      <w:r w:rsidRPr="0051689E">
        <w:rPr>
          <w:rFonts w:cs="Arial"/>
        </w:rPr>
        <w:t xml:space="preserve"> Naloxone has no effect if no opioids are present; </w:t>
      </w:r>
      <w:r w:rsidR="7A168D77" w:rsidRPr="0051689E">
        <w:rPr>
          <w:rFonts w:cs="Arial"/>
        </w:rPr>
        <w:t xml:space="preserve">it is </w:t>
      </w:r>
      <w:r w:rsidRPr="0051689E">
        <w:rPr>
          <w:rFonts w:cs="Arial"/>
        </w:rPr>
        <w:t>non-addictive and non-intoxicating</w:t>
      </w:r>
      <w:r w:rsidR="7D5DBA16" w:rsidRPr="0051689E">
        <w:rPr>
          <w:rFonts w:cs="Arial"/>
        </w:rPr>
        <w:t>. There are n</w:t>
      </w:r>
      <w:r w:rsidRPr="0051689E">
        <w:rPr>
          <w:rFonts w:cs="Arial"/>
        </w:rPr>
        <w:t>o known serious allergic reactions</w:t>
      </w:r>
      <w:r w:rsidR="68F37F4C" w:rsidRPr="0051689E">
        <w:rPr>
          <w:rFonts w:cs="Arial"/>
        </w:rPr>
        <w:t>. The m</w:t>
      </w:r>
      <w:r w:rsidRPr="0051689E">
        <w:rPr>
          <w:rFonts w:cs="Arial"/>
        </w:rPr>
        <w:t>ain side effect</w:t>
      </w:r>
      <w:r w:rsidR="3D5DEE13" w:rsidRPr="0051689E">
        <w:rPr>
          <w:rFonts w:cs="Arial"/>
        </w:rPr>
        <w:t xml:space="preserve"> can be </w:t>
      </w:r>
      <w:r w:rsidRPr="0051689E">
        <w:rPr>
          <w:rFonts w:cs="Arial"/>
        </w:rPr>
        <w:t>temporary withdrawal symptoms in opioid-dependent individuals</w:t>
      </w:r>
      <w:r w:rsidR="7CA48E2A" w:rsidRPr="0051689E">
        <w:rPr>
          <w:rFonts w:cs="Arial"/>
        </w:rPr>
        <w:t>.</w:t>
      </w:r>
    </w:p>
    <w:p w14:paraId="710F453E" w14:textId="5933E613" w:rsidR="7CA48E2A" w:rsidRPr="0051689E" w:rsidRDefault="7CA48E2A" w:rsidP="001C0791">
      <w:pPr>
        <w:pStyle w:val="Heading2"/>
      </w:pPr>
      <w:r w:rsidRPr="0051689E">
        <w:t>Community supply</w:t>
      </w:r>
    </w:p>
    <w:p w14:paraId="0AB49BC9" w14:textId="6911063E" w:rsidR="00A7001A" w:rsidRPr="00A7001A" w:rsidRDefault="00A7001A" w:rsidP="00A7001A">
      <w:pPr>
        <w:pStyle w:val="Body"/>
        <w:spacing w:before="180" w:after="180" w:line="240" w:lineRule="auto"/>
        <w:rPr>
          <w:rFonts w:cs="Arial"/>
        </w:rPr>
      </w:pPr>
      <w:r w:rsidRPr="533004B5">
        <w:rPr>
          <w:rFonts w:cs="Arial"/>
        </w:rPr>
        <w:t>The Department of Health (the department) provides naloxone to the community through approved providers participating in Victoria’s Take</w:t>
      </w:r>
      <w:r w:rsidR="494645D6" w:rsidRPr="533004B5">
        <w:rPr>
          <w:rFonts w:cs="Arial"/>
        </w:rPr>
        <w:t>-</w:t>
      </w:r>
      <w:r w:rsidRPr="533004B5">
        <w:rPr>
          <w:rFonts w:cs="Arial"/>
        </w:rPr>
        <w:t>Home Naloxone Program. Naloxone is available free of charge at participating community pharmacies, selected needle and syringe programs, the Victorian Pill Testing Service, and the Medically Supervised Injecting Centre.</w:t>
      </w:r>
    </w:p>
    <w:p w14:paraId="4DC92072" w14:textId="266F83BD" w:rsidR="00A7001A" w:rsidRPr="00A7001A" w:rsidRDefault="00A7001A" w:rsidP="00A7001A">
      <w:pPr>
        <w:pStyle w:val="Body"/>
        <w:spacing w:before="180" w:after="180" w:line="240" w:lineRule="auto"/>
        <w:rPr>
          <w:rFonts w:cs="Arial"/>
        </w:rPr>
      </w:pPr>
      <w:r w:rsidRPr="00A7001A">
        <w:rPr>
          <w:rFonts w:cs="Arial"/>
        </w:rPr>
        <w:t>When naloxone is supplied through the program, factsheets on its administration are provided to support safe and effective use. The department also funds training for individuals and organisations on how to administer naloxone.</w:t>
      </w:r>
      <w:r w:rsidR="009C3443">
        <w:rPr>
          <w:rFonts w:cs="Arial"/>
        </w:rPr>
        <w:t xml:space="preserve"> </w:t>
      </w:r>
      <w:r w:rsidR="000B6D1A">
        <w:rPr>
          <w:rFonts w:cs="Arial"/>
        </w:rPr>
        <w:t>Anyone can administer naloxone by following the instructions on the packaging</w:t>
      </w:r>
      <w:r w:rsidR="000B6D1A">
        <w:rPr>
          <w:rStyle w:val="FootnoteReference"/>
          <w:rFonts w:cs="Arial"/>
        </w:rPr>
        <w:footnoteReference w:id="2"/>
      </w:r>
      <w:r w:rsidRPr="00A7001A">
        <w:rPr>
          <w:rFonts w:cs="Arial"/>
        </w:rPr>
        <w:t>.</w:t>
      </w:r>
    </w:p>
    <w:p w14:paraId="3A4124ED" w14:textId="7ABC730C" w:rsidR="009C7B8A" w:rsidRPr="0051689E" w:rsidRDefault="009937A3" w:rsidP="009C7B8A">
      <w:pPr>
        <w:pStyle w:val="Body"/>
        <w:spacing w:before="180" w:after="180" w:line="240" w:lineRule="auto"/>
        <w:rPr>
          <w:rFonts w:cs="Arial"/>
        </w:rPr>
      </w:pPr>
      <w:r w:rsidRPr="009937A3">
        <w:rPr>
          <w:rFonts w:cs="Arial"/>
        </w:rPr>
        <w:t xml:space="preserve">The </w:t>
      </w:r>
      <w:r w:rsidR="00743487" w:rsidRPr="670C464C">
        <w:rPr>
          <w:rFonts w:cs="Arial"/>
        </w:rPr>
        <w:t>department</w:t>
      </w:r>
      <w:r w:rsidRPr="009937A3">
        <w:rPr>
          <w:rFonts w:cs="Arial"/>
        </w:rPr>
        <w:t xml:space="preserve"> recognises that both workers and employers seek confidence in administering naloxone as part of a first aid response to opioid overdose. To support this, the Australian and New Zealand Committee on Resuscitation (ANZCOR) has updated </w:t>
      </w:r>
      <w:r w:rsidRPr="009C7B8A">
        <w:rPr>
          <w:rFonts w:cs="Arial"/>
          <w:i/>
          <w:iCs/>
        </w:rPr>
        <w:t>Guideline 9.5.2 – First Aid Management of Suspected Opioid Overdose</w:t>
      </w:r>
      <w:r w:rsidRPr="009937A3">
        <w:rPr>
          <w:rFonts w:cs="Arial"/>
        </w:rPr>
        <w:t> to include the use of intranasal naloxone (</w:t>
      </w:r>
      <w:proofErr w:type="spellStart"/>
      <w:r w:rsidRPr="009937A3">
        <w:rPr>
          <w:rFonts w:cs="Arial"/>
        </w:rPr>
        <w:t>Nyxoid</w:t>
      </w:r>
      <w:proofErr w:type="spellEnd"/>
      <w:r w:rsidRPr="009937A3">
        <w:rPr>
          <w:rFonts w:cs="Arial"/>
        </w:rPr>
        <w:t>®) as a recommended intervention</w:t>
      </w:r>
      <w:r>
        <w:rPr>
          <w:rFonts w:cs="Arial"/>
        </w:rPr>
        <w:t>.</w:t>
      </w:r>
      <w:r w:rsidR="009C7B8A" w:rsidRPr="009C7B8A">
        <w:rPr>
          <w:rFonts w:cs="Arial"/>
        </w:rPr>
        <w:t xml:space="preserve"> </w:t>
      </w:r>
      <w:r w:rsidR="009C7B8A" w:rsidRPr="0051689E">
        <w:rPr>
          <w:rFonts w:cs="Arial"/>
        </w:rPr>
        <w:t>From July 2025, all first aid courses in Australia and New Zealand will include instruction on the administration of intranasal naloxone</w:t>
      </w:r>
      <w:r w:rsidR="009C7B8A">
        <w:rPr>
          <w:rFonts w:cs="Arial"/>
        </w:rPr>
        <w:t>.</w:t>
      </w:r>
    </w:p>
    <w:bookmarkEnd w:id="0"/>
    <w:p w14:paraId="25D4E957" w14:textId="77777777" w:rsidR="00DF7BA3" w:rsidRPr="00B20AC9" w:rsidRDefault="00DF7BA3" w:rsidP="001C0791">
      <w:pPr>
        <w:pStyle w:val="Heading2"/>
      </w:pPr>
      <w:r w:rsidRPr="00B20AC9">
        <w:lastRenderedPageBreak/>
        <w:t>When to administer naloxone</w:t>
      </w:r>
    </w:p>
    <w:p w14:paraId="0C087AA6" w14:textId="77777777" w:rsidR="00B32474" w:rsidRPr="0051689E" w:rsidRDefault="00B32474" w:rsidP="00DF7BA3">
      <w:pPr>
        <w:pStyle w:val="Body"/>
        <w:spacing w:before="180" w:after="180" w:line="240" w:lineRule="auto"/>
        <w:rPr>
          <w:rFonts w:cs="Arial"/>
        </w:rPr>
      </w:pPr>
      <w:r w:rsidRPr="0051689E">
        <w:rPr>
          <w:rFonts w:cs="Arial"/>
          <w:b/>
          <w:bCs/>
          <w:noProof/>
        </w:rPr>
        <mc:AlternateContent>
          <mc:Choice Requires="wps">
            <w:drawing>
              <wp:inline distT="0" distB="0" distL="0" distR="0" wp14:anchorId="68F54245" wp14:editId="23FC2EF4">
                <wp:extent cx="6330950" cy="1117600"/>
                <wp:effectExtent l="19050" t="19050" r="12700" b="25400"/>
                <wp:docPr id="413537030" name="Rectangle 1"/>
                <wp:cNvGraphicFramePr/>
                <a:graphic xmlns:a="http://schemas.openxmlformats.org/drawingml/2006/main">
                  <a:graphicData uri="http://schemas.microsoft.com/office/word/2010/wordprocessingShape">
                    <wps:wsp>
                      <wps:cNvSpPr/>
                      <wps:spPr>
                        <a:xfrm>
                          <a:off x="0" y="0"/>
                          <a:ext cx="6330950" cy="1117600"/>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0125F61E" w14:textId="10440D34" w:rsidR="00B32474" w:rsidRPr="00EF246C" w:rsidRDefault="00B32474" w:rsidP="00B32474">
                            <w:pPr>
                              <w:pStyle w:val="Body"/>
                              <w:jc w:val="center"/>
                              <w:rPr>
                                <w:color w:val="000000" w:themeColor="text1"/>
                              </w:rPr>
                            </w:pPr>
                            <w:r w:rsidRPr="00EF246C">
                              <w:rPr>
                                <w:color w:val="000000" w:themeColor="text1"/>
                              </w:rPr>
                              <w:t xml:space="preserve">The Department of Health recommends that in all circumstances in the instance of a suspected opioid overdose, the best and safest approach is to administer naloxone and to call 000. The </w:t>
                            </w:r>
                            <w:hyperlink r:id="rId13" w:history="1">
                              <w:r w:rsidRPr="00EF246C">
                                <w:rPr>
                                  <w:rStyle w:val="Hyperlink"/>
                                </w:rPr>
                                <w:t>Therapeutic Goods Administration (TGA) confirms</w:t>
                              </w:r>
                            </w:hyperlink>
                            <w:r w:rsidRPr="00EF246C">
                              <w:rPr>
                                <w:color w:val="000000" w:themeColor="text1"/>
                              </w:rPr>
                              <w:t xml:space="preserve"> that intra-nasal naloxone can be administered by any person with minimal trainin</w:t>
                            </w:r>
                            <w:r w:rsidR="00C87FA4" w:rsidRPr="00EF246C">
                              <w:rPr>
                                <w:color w:val="000000" w:themeColor="text1"/>
                              </w:rPr>
                              <w:t>g</w:t>
                            </w:r>
                            <w:r w:rsidRPr="00EF246C">
                              <w:rPr>
                                <w:color w:val="000000" w:themeColor="text1"/>
                              </w:rPr>
                              <w:t>.</w:t>
                            </w:r>
                          </w:p>
                          <w:p w14:paraId="285F983E" w14:textId="77777777" w:rsidR="00B32474" w:rsidRPr="003D2514" w:rsidRDefault="00B32474" w:rsidP="00B32474">
                            <w:pPr>
                              <w:pStyle w:val="Body"/>
                              <w:jc w:val="center"/>
                              <w:rPr>
                                <w:b/>
                                <w:bCs/>
                                <w:color w:val="000000" w:themeColor="text1"/>
                              </w:rPr>
                            </w:pPr>
                            <w:r>
                              <w:rPr>
                                <w:b/>
                                <w:bCs/>
                                <w:color w:val="000000" w:themeColor="text1"/>
                              </w:rPr>
                              <w:t>Dr Paul MacCartney – Chief Addiction Medicine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F54245" id="Rectangle 1" o:spid="_x0000_s1026" style="width:498.5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" filled="f" strokecolor="#4f81bd [3204]" strokeweight="2.25pt">
                <v:stroke joinstyle="round"/>
                <v:textbox>
                  <w:txbxContent>
                    <w:p w14:paraId="0125F61E" w14:textId="10440D34" w:rsidR="00B32474" w:rsidRPr="00EF246C" w:rsidRDefault="00B32474" w:rsidP="00B32474">
                      <w:pPr>
                        <w:pStyle w:val="Body"/>
                        <w:jc w:val="center"/>
                        <w:rPr>
                          <w:color w:val="000000" w:themeColor="text1"/>
                        </w:rPr>
                      </w:pPr>
                      <w:r w:rsidRPr="00EF246C">
                        <w:rPr>
                          <w:color w:val="000000" w:themeColor="text1"/>
                        </w:rPr>
                        <w:t xml:space="preserve">The Department of Health recommends that in all circumstances in the instance of a suspected opioid overdose, the best and safest approach is to administer naloxone and to call 000. The </w:t>
                      </w:r>
                      <w:hyperlink r:id="rId14" w:history="1">
                        <w:r w:rsidRPr="00EF246C">
                          <w:rPr>
                            <w:rStyle w:val="Hyperlink"/>
                          </w:rPr>
                          <w:t>Therapeutic Goods Administration (TGA) confirms</w:t>
                        </w:r>
                      </w:hyperlink>
                      <w:r w:rsidRPr="00EF246C">
                        <w:rPr>
                          <w:color w:val="000000" w:themeColor="text1"/>
                        </w:rPr>
                        <w:t xml:space="preserve"> that intra-nasal naloxone can be administered by any person with minimal trainin</w:t>
                      </w:r>
                      <w:r w:rsidR="00C87FA4" w:rsidRPr="00EF246C">
                        <w:rPr>
                          <w:color w:val="000000" w:themeColor="text1"/>
                        </w:rPr>
                        <w:t>g</w:t>
                      </w:r>
                      <w:r w:rsidRPr="00EF246C">
                        <w:rPr>
                          <w:color w:val="000000" w:themeColor="text1"/>
                        </w:rPr>
                        <w:t>.</w:t>
                      </w:r>
                    </w:p>
                    <w:p w14:paraId="285F983E" w14:textId="77777777" w:rsidR="00B32474" w:rsidRPr="003D2514" w:rsidRDefault="00B32474" w:rsidP="00B32474">
                      <w:pPr>
                        <w:pStyle w:val="Body"/>
                        <w:jc w:val="center"/>
                        <w:rPr>
                          <w:b/>
                          <w:bCs/>
                          <w:color w:val="000000" w:themeColor="text1"/>
                        </w:rPr>
                      </w:pPr>
                      <w:r>
                        <w:rPr>
                          <w:b/>
                          <w:bCs/>
                          <w:color w:val="000000" w:themeColor="text1"/>
                        </w:rPr>
                        <w:t>Dr Paul MacCartney – Chief Addiction Medicine Advisor</w:t>
                      </w:r>
                    </w:p>
                  </w:txbxContent>
                </v:textbox>
                <w10:anchorlock/>
              </v:rect>
            </w:pict>
          </mc:Fallback>
        </mc:AlternateContent>
      </w:r>
    </w:p>
    <w:p w14:paraId="3A874ACA" w14:textId="77777777" w:rsidR="00B32474" w:rsidRPr="0051689E" w:rsidRDefault="00DF7BA3" w:rsidP="00DF7BA3">
      <w:pPr>
        <w:pStyle w:val="Body"/>
        <w:spacing w:before="180" w:after="180" w:line="240" w:lineRule="auto"/>
        <w:rPr>
          <w:rFonts w:cs="Arial"/>
        </w:rPr>
      </w:pPr>
      <w:r w:rsidRPr="0051689E">
        <w:rPr>
          <w:rFonts w:cs="Arial"/>
        </w:rPr>
        <w:t xml:space="preserve">Naloxone is an easy-to-use medication that can reverse opioid overdose – it is safe to use even </w:t>
      </w:r>
      <w:r w:rsidR="6EC7D12A" w:rsidRPr="0051689E">
        <w:rPr>
          <w:rFonts w:cs="Arial"/>
        </w:rPr>
        <w:t>when it is uncertain</w:t>
      </w:r>
      <w:r w:rsidRPr="0051689E">
        <w:rPr>
          <w:rFonts w:cs="Arial"/>
        </w:rPr>
        <w:t xml:space="preserve"> whether someone has taken opioids. </w:t>
      </w:r>
    </w:p>
    <w:p w14:paraId="2A0F11D3" w14:textId="77777777" w:rsidR="006D2FA4" w:rsidRDefault="00EE1D49" w:rsidP="00DF7BA3">
      <w:pPr>
        <w:pStyle w:val="Body"/>
        <w:spacing w:before="180" w:after="180" w:line="240" w:lineRule="auto"/>
        <w:rPr>
          <w:rFonts w:cs="Arial"/>
        </w:rPr>
      </w:pPr>
      <w:r w:rsidRPr="00EE1D49">
        <w:rPr>
          <w:rFonts w:cs="Arial"/>
        </w:rPr>
        <w:t>Signs of an opioid overdose may include slow or shallow breathing and reduced consciousness, meaning the person is difficult to wake or rouse. In some cases, the person may also have very small (pinpoint) pupils.</w:t>
      </w:r>
      <w:r>
        <w:rPr>
          <w:rFonts w:cs="Arial"/>
        </w:rPr>
        <w:t xml:space="preserve"> </w:t>
      </w:r>
    </w:p>
    <w:p w14:paraId="7992FF77" w14:textId="0844427D" w:rsidR="00DF7BA3" w:rsidRPr="0051689E" w:rsidRDefault="00DF7BA3" w:rsidP="00DF7BA3">
      <w:pPr>
        <w:pStyle w:val="Body"/>
        <w:spacing w:before="180" w:after="180" w:line="240" w:lineRule="auto"/>
        <w:rPr>
          <w:rFonts w:cs="Arial"/>
        </w:rPr>
      </w:pPr>
      <w:r w:rsidRPr="0051689E">
        <w:rPr>
          <w:rFonts w:cs="Arial"/>
        </w:rPr>
        <w:t xml:space="preserve">More information about opioid overdose response can be found on </w:t>
      </w:r>
      <w:hyperlink r:id="rId15" w:history="1">
        <w:r w:rsidR="1B8902EF" w:rsidRPr="001C0791">
          <w:rPr>
            <w:rStyle w:val="Hyperlink"/>
            <w:rFonts w:cs="Arial"/>
          </w:rPr>
          <w:t xml:space="preserve">Better </w:t>
        </w:r>
        <w:r w:rsidR="001C0791" w:rsidRPr="001C0791">
          <w:rPr>
            <w:rStyle w:val="Hyperlink"/>
            <w:rFonts w:cs="Arial"/>
          </w:rPr>
          <w:t>H</w:t>
        </w:r>
        <w:r w:rsidR="1B8902EF" w:rsidRPr="001C0791">
          <w:rPr>
            <w:rStyle w:val="Hyperlink"/>
            <w:rFonts w:cs="Arial"/>
          </w:rPr>
          <w:t>ealth Channel</w:t>
        </w:r>
      </w:hyperlink>
      <w:r w:rsidR="003F3221" w:rsidRPr="0051689E">
        <w:rPr>
          <w:rFonts w:cs="Arial"/>
        </w:rPr>
        <w:t xml:space="preserve"> (</w:t>
      </w:r>
      <w:hyperlink r:id="rId16" w:history="1">
        <w:r w:rsidR="003F3221" w:rsidRPr="0051689E">
          <w:rPr>
            <w:rStyle w:val="Hyperlink"/>
            <w:rFonts w:cs="Arial"/>
          </w:rPr>
          <w:t>https://www.betterhealth.vic.gov.au/health/servicesandsupport/overdose-what-to-do-in-an-emergency</w:t>
        </w:r>
      </w:hyperlink>
      <w:r w:rsidR="003F3221" w:rsidRPr="0051689E">
        <w:rPr>
          <w:rFonts w:cs="Arial"/>
        </w:rPr>
        <w:t>)</w:t>
      </w:r>
      <w:r w:rsidR="00A5475D" w:rsidRPr="0051689E">
        <w:rPr>
          <w:rFonts w:cs="Arial"/>
        </w:rPr>
        <w:t>.</w:t>
      </w:r>
    </w:p>
    <w:p w14:paraId="3A5AB4C8" w14:textId="6FAB1AFD" w:rsidR="00C95591" w:rsidRPr="00B20AC9" w:rsidRDefault="517B57DA" w:rsidP="001C0791">
      <w:pPr>
        <w:pStyle w:val="Heading2"/>
      </w:pPr>
      <w:r w:rsidRPr="00B20AC9">
        <w:t>Administration in Health</w:t>
      </w:r>
      <w:r w:rsidR="00EF55EA" w:rsidRPr="00B20AC9">
        <w:t xml:space="preserve"> and Community</w:t>
      </w:r>
      <w:r w:rsidRPr="00B20AC9">
        <w:t xml:space="preserve"> Services</w:t>
      </w:r>
    </w:p>
    <w:p w14:paraId="51C4DD4B" w14:textId="7427B87E" w:rsidR="00C95591" w:rsidRPr="00AE4960" w:rsidRDefault="517B57DA" w:rsidP="00003630">
      <w:pPr>
        <w:pStyle w:val="Body"/>
        <w:spacing w:before="180" w:after="180" w:line="240" w:lineRule="auto"/>
        <w:rPr>
          <w:rFonts w:cs="Arial"/>
        </w:rPr>
      </w:pPr>
      <w:r w:rsidRPr="0051689E">
        <w:rPr>
          <w:rFonts w:cs="Arial"/>
        </w:rPr>
        <w:t xml:space="preserve">In relation to the administration of </w:t>
      </w:r>
      <w:r w:rsidR="00032ED5">
        <w:rPr>
          <w:rFonts w:cs="Arial"/>
        </w:rPr>
        <w:t>n</w:t>
      </w:r>
      <w:r w:rsidRPr="0051689E">
        <w:rPr>
          <w:rFonts w:cs="Arial"/>
        </w:rPr>
        <w:t xml:space="preserve">aloxone </w:t>
      </w:r>
      <w:r w:rsidR="1426F13A" w:rsidRPr="0051689E">
        <w:rPr>
          <w:rFonts w:cs="Arial"/>
        </w:rPr>
        <w:t>by</w:t>
      </w:r>
      <w:r w:rsidR="4FF03200" w:rsidRPr="0051689E">
        <w:rPr>
          <w:rFonts w:cs="Arial"/>
        </w:rPr>
        <w:t xml:space="preserve"> </w:t>
      </w:r>
      <w:r w:rsidR="00FA36B7" w:rsidRPr="0051689E">
        <w:rPr>
          <w:rFonts w:cs="Arial"/>
        </w:rPr>
        <w:t xml:space="preserve">workers </w:t>
      </w:r>
      <w:r w:rsidRPr="0051689E">
        <w:rPr>
          <w:rFonts w:cs="Arial"/>
        </w:rPr>
        <w:t xml:space="preserve">within health </w:t>
      </w:r>
      <w:r w:rsidR="00214486" w:rsidRPr="0051689E">
        <w:rPr>
          <w:rFonts w:cs="Arial"/>
        </w:rPr>
        <w:t xml:space="preserve">and community </w:t>
      </w:r>
      <w:r w:rsidRPr="0051689E">
        <w:rPr>
          <w:rFonts w:cs="Arial"/>
        </w:rPr>
        <w:t xml:space="preserve">services, the Drugs, Poisons and Controlled Substances Act </w:t>
      </w:r>
      <w:r w:rsidRPr="00AE4960">
        <w:rPr>
          <w:rFonts w:cs="Arial"/>
        </w:rPr>
        <w:t>1981 and associated regulations do not prevent</w:t>
      </w:r>
      <w:r w:rsidR="00A5475D" w:rsidRPr="00AE4960">
        <w:rPr>
          <w:rFonts w:cs="Arial"/>
        </w:rPr>
        <w:t xml:space="preserve"> </w:t>
      </w:r>
      <w:r w:rsidRPr="00AE4960">
        <w:rPr>
          <w:rFonts w:cs="Arial"/>
        </w:rPr>
        <w:t xml:space="preserve">or restrict, a non-clinical worker from administering naloxone to a person experiencing an opioid overdose.  </w:t>
      </w:r>
    </w:p>
    <w:p w14:paraId="5C6BD4B4" w14:textId="77777777" w:rsidR="00DA6A33" w:rsidRDefault="00DA6A33" w:rsidP="00003630">
      <w:pPr>
        <w:pStyle w:val="Body"/>
        <w:spacing w:before="180" w:after="180" w:line="240" w:lineRule="auto"/>
        <w:rPr>
          <w:rFonts w:cs="Arial"/>
        </w:rPr>
      </w:pPr>
      <w:r w:rsidRPr="00DA6A33">
        <w:rPr>
          <w:rFonts w:cs="Arial"/>
        </w:rPr>
        <w:t xml:space="preserve">There are no requirements under the Drug, Poisons and Controlled Substances Regulations 2017 for clinical workers, such as registered nurses, registered midwives or registered pharmacists, to receive an administration order from a prescriber before administering a Schedule 3 medicine. </w:t>
      </w:r>
    </w:p>
    <w:p w14:paraId="14229A64" w14:textId="140D470F" w:rsidR="003F3221" w:rsidRPr="003F3221" w:rsidRDefault="003F3221" w:rsidP="00003630">
      <w:pPr>
        <w:pStyle w:val="Body"/>
        <w:spacing w:before="180" w:after="180" w:line="240" w:lineRule="auto"/>
        <w:rPr>
          <w:rFonts w:cs="Arial"/>
        </w:rPr>
      </w:pPr>
      <w:r w:rsidRPr="003F3221">
        <w:rPr>
          <w:rFonts w:cs="Arial"/>
        </w:rPr>
        <w:t>When administering naloxone to treat an opioid overdose, a registered health practitioner is considered to meet the requirements of the Drugs, Poisons and Controlled Substances Regulations 2017. This includes having the person under their care and having taken all reasonable steps to ensure a therapeutic need exists, as demonstrated by the following:</w:t>
      </w:r>
    </w:p>
    <w:p w14:paraId="0E89A5EE" w14:textId="77777777" w:rsidR="003F3221" w:rsidRPr="003F3221" w:rsidRDefault="003F3221" w:rsidP="003F3221">
      <w:pPr>
        <w:pStyle w:val="Body"/>
        <w:numPr>
          <w:ilvl w:val="0"/>
          <w:numId w:val="13"/>
        </w:numPr>
        <w:rPr>
          <w:rFonts w:cs="Arial"/>
        </w:rPr>
      </w:pPr>
      <w:r w:rsidRPr="003F3221">
        <w:rPr>
          <w:rFonts w:cs="Arial"/>
        </w:rPr>
        <w:t>The practitioner is administering the medicine directly to the individual, which places the person under their care at the time of administration; and</w:t>
      </w:r>
    </w:p>
    <w:p w14:paraId="51AF4665" w14:textId="77777777" w:rsidR="003F3221" w:rsidRPr="003F3221" w:rsidRDefault="003F3221" w:rsidP="003F3221">
      <w:pPr>
        <w:pStyle w:val="Body"/>
        <w:numPr>
          <w:ilvl w:val="0"/>
          <w:numId w:val="13"/>
        </w:numPr>
        <w:rPr>
          <w:rFonts w:cs="Arial"/>
        </w:rPr>
      </w:pPr>
      <w:r w:rsidRPr="003F3221">
        <w:rPr>
          <w:rFonts w:cs="Arial"/>
        </w:rPr>
        <w:t>The medicine is being administered for the treatment of opioid overdose, which confirms that the practitioner has taken reasonable steps to establish a therapeutic need</w:t>
      </w:r>
    </w:p>
    <w:p w14:paraId="008130EA" w14:textId="0AE7DC52" w:rsidR="00C95591" w:rsidRPr="0051689E" w:rsidRDefault="517B57DA" w:rsidP="00003630">
      <w:pPr>
        <w:pStyle w:val="Body"/>
        <w:spacing w:before="180" w:after="180" w:line="240" w:lineRule="auto"/>
        <w:rPr>
          <w:rFonts w:cs="Arial"/>
        </w:rPr>
      </w:pPr>
      <w:r w:rsidRPr="00826FDA">
        <w:rPr>
          <w:rFonts w:cs="Arial"/>
          <w:b/>
        </w:rPr>
        <w:t>As such, organisations are encouraged to develop policies in line with the statement above, ensuring that clinical and non-clinical staff in health</w:t>
      </w:r>
      <w:r w:rsidR="00214486" w:rsidRPr="00826FDA">
        <w:rPr>
          <w:rFonts w:cs="Arial"/>
          <w:b/>
        </w:rPr>
        <w:t xml:space="preserve"> and community</w:t>
      </w:r>
      <w:r w:rsidRPr="00826FDA">
        <w:rPr>
          <w:rFonts w:cs="Arial"/>
          <w:b/>
        </w:rPr>
        <w:t xml:space="preserve"> services have access to </w:t>
      </w:r>
      <w:r w:rsidR="00A604B6" w:rsidRPr="00826FDA">
        <w:rPr>
          <w:rFonts w:cs="Arial"/>
          <w:b/>
        </w:rPr>
        <w:t>n</w:t>
      </w:r>
      <w:r w:rsidRPr="00826FDA">
        <w:rPr>
          <w:rFonts w:cs="Arial"/>
          <w:b/>
        </w:rPr>
        <w:t xml:space="preserve">aloxone and are trained appropriately in the identification of opioid overdose and the administration of naloxone in the instance of suspected opioid overdose. </w:t>
      </w:r>
      <w:r w:rsidRPr="0051689E">
        <w:rPr>
          <w:rFonts w:cs="Arial"/>
        </w:rPr>
        <w:t xml:space="preserve"> </w:t>
      </w:r>
    </w:p>
    <w:p w14:paraId="1712D091" w14:textId="097CCBF0" w:rsidR="00C95591" w:rsidRPr="00B20AC9" w:rsidRDefault="000E785D" w:rsidP="001C0791">
      <w:pPr>
        <w:pStyle w:val="Heading2"/>
      </w:pPr>
      <w:r w:rsidRPr="00B20AC9">
        <w:t>Protections for workers</w:t>
      </w:r>
    </w:p>
    <w:p w14:paraId="0628C3DD" w14:textId="77777777" w:rsidR="00C95591" w:rsidRPr="00003630" w:rsidRDefault="42DBB5F9" w:rsidP="00003630">
      <w:pPr>
        <w:pStyle w:val="Body"/>
        <w:spacing w:before="180" w:after="180" w:line="240" w:lineRule="auto"/>
        <w:rPr>
          <w:rFonts w:cs="Arial"/>
        </w:rPr>
      </w:pPr>
      <w:r w:rsidRPr="0051689E">
        <w:rPr>
          <w:rFonts w:cs="Arial"/>
        </w:rPr>
        <w:t xml:space="preserve">Like any other first aid response, it is highly unlikely that someone would sue another person for administering naloxone to reverse opioid overdose. </w:t>
      </w:r>
    </w:p>
    <w:p w14:paraId="64EEB7F8" w14:textId="059A1761" w:rsidR="00C95591" w:rsidRDefault="00C95591" w:rsidP="00003630">
      <w:pPr>
        <w:pStyle w:val="Body"/>
        <w:spacing w:before="180" w:after="180" w:line="240" w:lineRule="auto"/>
        <w:rPr>
          <w:rFonts w:cs="Arial"/>
        </w:rPr>
      </w:pPr>
      <w:r w:rsidRPr="00003630">
        <w:rPr>
          <w:rFonts w:cs="Arial"/>
        </w:rPr>
        <w:t>If a lawsuit did occur, section 31B of the Wrongs Act 1958 (‘the Good Samaritan protection’) would likely provide civil liability protection to the person if they administered the naloxone in good faith and without the expectation of money or financial reward</w:t>
      </w:r>
      <w:r w:rsidR="00502509" w:rsidRPr="00003630">
        <w:rPr>
          <w:rFonts w:cs="Arial"/>
        </w:rPr>
        <w:t>.</w:t>
      </w:r>
    </w:p>
    <w:p w14:paraId="6BC56409" w14:textId="0E9B9593" w:rsidR="001C0791" w:rsidRDefault="001C0791">
      <w:pPr>
        <w:spacing w:after="0" w:line="240" w:lineRule="auto"/>
        <w:rPr>
          <w:rFonts w:eastAsia="Times" w:cs="Arial"/>
        </w:rPr>
      </w:pPr>
      <w:r>
        <w:rPr>
          <w:rFonts w:cs="Arial"/>
        </w:rPr>
        <w:br w:type="page"/>
      </w:r>
    </w:p>
    <w:p w14:paraId="35149842" w14:textId="12FBAAAF" w:rsidR="00C95591" w:rsidRPr="0051689E" w:rsidRDefault="00C95591" w:rsidP="00003630">
      <w:pPr>
        <w:pStyle w:val="Body"/>
        <w:spacing w:before="180" w:after="180" w:line="240" w:lineRule="auto"/>
        <w:rPr>
          <w:rFonts w:cs="Arial"/>
        </w:rPr>
      </w:pPr>
      <w:r w:rsidRPr="00003630">
        <w:rPr>
          <w:rFonts w:cs="Arial"/>
        </w:rPr>
        <w:lastRenderedPageBreak/>
        <w:t xml:space="preserve">If a worker were to administer naloxone to another person whilst at work or on duty, where either their employment duties directly relate to administering naloxone or they would be expected to administer naloxone as part of their role, </w:t>
      </w:r>
      <w:r w:rsidR="00AC52B3">
        <w:rPr>
          <w:rFonts w:cs="Arial"/>
        </w:rPr>
        <w:t xml:space="preserve">they </w:t>
      </w:r>
      <w:r w:rsidR="00B31CF8">
        <w:rPr>
          <w:rFonts w:cs="Arial"/>
        </w:rPr>
        <w:t>have</w:t>
      </w:r>
      <w:r w:rsidRPr="00003630">
        <w:rPr>
          <w:rFonts w:cs="Arial"/>
        </w:rPr>
        <w:t xml:space="preserve"> other protections from civil liability includ</w:t>
      </w:r>
      <w:r w:rsidR="00B31CF8">
        <w:rPr>
          <w:rFonts w:cs="Arial"/>
        </w:rPr>
        <w:t>ing</w:t>
      </w:r>
      <w:r w:rsidRPr="00003630">
        <w:rPr>
          <w:rFonts w:cs="Arial"/>
        </w:rPr>
        <w:t xml:space="preserve"> insurance provided by their employer, indemnity provisions in their workplace agreements</w:t>
      </w:r>
      <w:r w:rsidR="1D51B350" w:rsidRPr="00003630">
        <w:rPr>
          <w:rFonts w:cs="Arial"/>
        </w:rPr>
        <w:t xml:space="preserve"> and </w:t>
      </w:r>
      <w:r w:rsidRPr="00003630">
        <w:rPr>
          <w:rFonts w:cs="Arial"/>
        </w:rPr>
        <w:t>policies and any relevant statutory immunity protections.</w:t>
      </w:r>
    </w:p>
    <w:p w14:paraId="1488C1D3" w14:textId="496DE3CD" w:rsidR="1131F76F" w:rsidRDefault="00C95591" w:rsidP="00003630">
      <w:pPr>
        <w:pStyle w:val="Body"/>
        <w:spacing w:before="180" w:after="180" w:line="240" w:lineRule="auto"/>
        <w:rPr>
          <w:rFonts w:cs="Arial"/>
        </w:rPr>
      </w:pPr>
      <w:r w:rsidRPr="00003630">
        <w:rPr>
          <w:rFonts w:cs="Arial"/>
        </w:rPr>
        <w:t xml:space="preserve">Organisations are responsible for their own indemnity insurance for workers participating in the supply and/or administration of naloxone. </w:t>
      </w:r>
      <w:r w:rsidR="00B657FC" w:rsidRPr="00003630">
        <w:rPr>
          <w:rFonts w:cs="Arial"/>
        </w:rPr>
        <w:t xml:space="preserve">The Victorian Managed Insurance Authority’s (VMIA) </w:t>
      </w:r>
      <w:r w:rsidR="00B657FC" w:rsidRPr="0051689E">
        <w:rPr>
          <w:rFonts w:cs="Arial"/>
        </w:rPr>
        <w:t>Medical Indemnity policies provide indemnity for naloxone administration (intramuscular injection and/or nasal spray) to a patient or person by any person acting on behalf of an organisation insured through VMIA</w:t>
      </w:r>
      <w:r w:rsidR="005D257C" w:rsidRPr="0051689E">
        <w:rPr>
          <w:rFonts w:cs="Arial"/>
        </w:rPr>
        <w:t xml:space="preserve">. </w:t>
      </w:r>
      <w:r w:rsidR="00B657FC" w:rsidRPr="0051689E">
        <w:rPr>
          <w:rFonts w:cs="Arial"/>
        </w:rPr>
        <w:t>This includes clinical workers, non-clinical workers, and volunteers</w:t>
      </w:r>
      <w:r w:rsidR="79C46386" w:rsidRPr="0051689E">
        <w:rPr>
          <w:rFonts w:cs="Arial"/>
        </w:rPr>
        <w:t xml:space="preserve"> </w:t>
      </w:r>
      <w:bookmarkEnd w:id="1"/>
      <w:r w:rsidR="002E3D22" w:rsidRPr="0051689E">
        <w:rPr>
          <w:rFonts w:cs="Arial"/>
        </w:rPr>
        <w:t>(</w:t>
      </w:r>
      <w:hyperlink r:id="rId17" w:history="1">
        <w:r w:rsidR="00F85BF1" w:rsidRPr="00417701">
          <w:rPr>
            <w:rStyle w:val="Hyperlink"/>
            <w:rFonts w:cs="Arial"/>
          </w:rPr>
          <w:t>https://www.vmia.vic.gov.au/clarifying-insurance-cover-when-administering-naloxone-0</w:t>
        </w:r>
      </w:hyperlink>
      <w:r w:rsidR="002E3D22" w:rsidRPr="0051689E">
        <w:rPr>
          <w:rFonts w:cs="Arial"/>
        </w:rPr>
        <w:t>)</w:t>
      </w:r>
      <w:r w:rsidR="00A5475D" w:rsidRPr="0051689E">
        <w:rPr>
          <w:rFonts w:cs="Arial"/>
        </w:rPr>
        <w:t>.</w:t>
      </w:r>
    </w:p>
    <w:p w14:paraId="0CB6D672" w14:textId="5C30937F" w:rsidR="00F85BF1" w:rsidRDefault="00DD0CCD" w:rsidP="00003630">
      <w:pPr>
        <w:pStyle w:val="Body"/>
        <w:spacing w:before="180" w:after="180" w:line="240" w:lineRule="auto"/>
        <w:rPr>
          <w:rFonts w:cs="Arial"/>
        </w:rPr>
      </w:pPr>
      <w:r w:rsidRPr="00DD0CCD">
        <w:rPr>
          <w:rFonts w:cs="Arial"/>
        </w:rPr>
        <w:t xml:space="preserve">Further information can be found at the department’s </w:t>
      </w:r>
      <w:r w:rsidRPr="00774180">
        <w:rPr>
          <w:rFonts w:cs="Arial"/>
        </w:rPr>
        <w:t xml:space="preserve">webpage </w:t>
      </w:r>
      <w:r w:rsidR="00774180" w:rsidRPr="00774180">
        <w:t xml:space="preserve">on the </w:t>
      </w:r>
      <w:hyperlink r:id="rId18" w:history="1">
        <w:r w:rsidR="00774180" w:rsidRPr="001C0791">
          <w:rPr>
            <w:rStyle w:val="Hyperlink"/>
          </w:rPr>
          <w:t>Take-Home Naloxone Program</w:t>
        </w:r>
      </w:hyperlink>
      <w:r w:rsidR="00774180" w:rsidRPr="00774180">
        <w:t>:</w:t>
      </w:r>
      <w:r w:rsidR="00774180" w:rsidRPr="00774180">
        <w:rPr>
          <w:i/>
          <w:iCs/>
        </w:rPr>
        <w:t xml:space="preserve"> </w:t>
      </w:r>
      <w:r w:rsidR="00774180">
        <w:rPr>
          <w:i/>
          <w:iCs/>
        </w:rPr>
        <w:t>(</w:t>
      </w:r>
      <w:r w:rsidR="00774180" w:rsidRPr="001C0791">
        <w:t>https://www.health.vic.gov.au/publications/victorian-take-home-naloxone-program-operating-policy-and-guidelines</w:t>
      </w:r>
      <w:r>
        <w:rPr>
          <w:rFonts w:cs="Arial"/>
        </w:rPr>
        <w:t>)</w:t>
      </w:r>
    </w:p>
    <w:p w14:paraId="25320272" w14:textId="77777777" w:rsidR="001C0791" w:rsidRDefault="001C0791" w:rsidP="00003630">
      <w:pPr>
        <w:pStyle w:val="Body"/>
        <w:spacing w:before="180" w:after="180" w:line="240" w:lineRule="auto"/>
        <w:rPr>
          <w:rFonts w:cs="Arial"/>
        </w:rPr>
      </w:pPr>
    </w:p>
    <w:p w14:paraId="270C52D3" w14:textId="2145E0EF" w:rsidR="001C0791" w:rsidRPr="0055119B" w:rsidRDefault="001C0791" w:rsidP="001C0791">
      <w:pPr>
        <w:pStyle w:val="Accessibilitypara"/>
        <w:pBdr>
          <w:top w:val="single" w:sz="4" w:space="1" w:color="auto"/>
          <w:left w:val="single" w:sz="4" w:space="4" w:color="auto"/>
          <w:bottom w:val="single" w:sz="4" w:space="1" w:color="auto"/>
          <w:right w:val="single" w:sz="4" w:space="4" w:color="auto"/>
        </w:pBdr>
      </w:pPr>
      <w:r w:rsidRPr="0055119B">
        <w:t>To receive this document in another format</w:t>
      </w:r>
      <w:r w:rsidR="004D62DA">
        <w:t xml:space="preserve">, </w:t>
      </w:r>
      <w:hyperlink r:id="rId19" w:history="1">
        <w:r w:rsidR="003D2227" w:rsidRPr="00907B37">
          <w:rPr>
            <w:rStyle w:val="Hyperlink"/>
          </w:rPr>
          <w:t>email the Chief Addiction Medicine Advisor</w:t>
        </w:r>
      </w:hyperlink>
      <w:r w:rsidR="003D2227" w:rsidRPr="003D2227">
        <w:t xml:space="preserve"> </w:t>
      </w:r>
      <w:r w:rsidR="00750329" w:rsidRPr="00750329">
        <w:t>&lt;</w:t>
      </w:r>
      <w:r w:rsidR="00750329" w:rsidRPr="00907B37">
        <w:t>cama@safercare.vic.gov.au</w:t>
      </w:r>
      <w:r w:rsidR="0075470D">
        <w:t>&gt;</w:t>
      </w:r>
      <w:r w:rsidR="00366A5C">
        <w:t>.</w:t>
      </w:r>
      <w:r w:rsidR="00FD3CC5">
        <w:t xml:space="preserve"> </w:t>
      </w:r>
    </w:p>
    <w:p w14:paraId="1ED24185" w14:textId="77777777" w:rsidR="001C0791" w:rsidRPr="0055119B" w:rsidRDefault="001C0791" w:rsidP="001C0791">
      <w:pPr>
        <w:pStyle w:val="Imprint"/>
        <w:pBdr>
          <w:top w:val="single" w:sz="4" w:space="1" w:color="auto"/>
          <w:left w:val="single" w:sz="4" w:space="4" w:color="auto"/>
          <w:bottom w:val="single" w:sz="4" w:space="1" w:color="auto"/>
          <w:right w:val="single" w:sz="4" w:space="4" w:color="auto"/>
        </w:pBdr>
      </w:pPr>
      <w:r w:rsidRPr="0055119B">
        <w:t>Authorised and published by the Victorian Government, 1 Treasury Place, Melbourne.</w:t>
      </w:r>
    </w:p>
    <w:p w14:paraId="03284F21" w14:textId="7AF670A7" w:rsidR="001C0791" w:rsidRDefault="001C0791" w:rsidP="001C0791">
      <w:pPr>
        <w:pStyle w:val="Imprint"/>
        <w:pBdr>
          <w:top w:val="single" w:sz="4" w:space="1" w:color="auto"/>
          <w:left w:val="single" w:sz="4" w:space="4" w:color="auto"/>
          <w:bottom w:val="single" w:sz="4" w:space="1" w:color="auto"/>
          <w:right w:val="single" w:sz="4" w:space="4" w:color="auto"/>
        </w:pBdr>
      </w:pPr>
      <w:r w:rsidRPr="0055119B">
        <w:t xml:space="preserve">© State of Victoria, Australia, </w:t>
      </w:r>
      <w:r w:rsidRPr="001E2A36">
        <w:t>Department of Health</w:t>
      </w:r>
      <w:r>
        <w:t>, August 2025</w:t>
      </w:r>
    </w:p>
    <w:p w14:paraId="01D876F9" w14:textId="74106E5A" w:rsidR="00790BEC" w:rsidRPr="0055119B" w:rsidRDefault="00790BEC" w:rsidP="001C0791">
      <w:pPr>
        <w:pStyle w:val="Imprint"/>
        <w:pBdr>
          <w:top w:val="single" w:sz="4" w:space="1" w:color="auto"/>
          <w:left w:val="single" w:sz="4" w:space="4" w:color="auto"/>
          <w:bottom w:val="single" w:sz="4" w:space="1" w:color="auto"/>
          <w:right w:val="single" w:sz="4" w:space="4" w:color="auto"/>
        </w:pBdr>
      </w:pPr>
      <w:r w:rsidRPr="00790BEC">
        <w:t>ISBN 978-1-76131-848-1</w:t>
      </w:r>
      <w:r w:rsidRPr="00790BEC">
        <w:rPr>
          <w:rFonts w:eastAsia="Times New Roman" w:cs="Arial"/>
          <w:color w:val="000000"/>
          <w:bdr w:val="none" w:sz="0" w:space="0" w:color="auto" w:frame="1"/>
        </w:rPr>
        <w:t xml:space="preserve"> </w:t>
      </w:r>
      <w:r w:rsidRPr="00790BEC">
        <w:t>(online/PDF/Word)</w:t>
      </w:r>
    </w:p>
    <w:p w14:paraId="0A9AC163" w14:textId="1E8564D7" w:rsidR="001C0791" w:rsidRPr="00DC2FA4" w:rsidRDefault="001C0791" w:rsidP="001C0791">
      <w:pPr>
        <w:pStyle w:val="Imprint"/>
        <w:pBdr>
          <w:top w:val="single" w:sz="4" w:space="1" w:color="auto"/>
          <w:left w:val="single" w:sz="4" w:space="4" w:color="auto"/>
          <w:bottom w:val="single" w:sz="4" w:space="1" w:color="auto"/>
          <w:right w:val="single" w:sz="4" w:space="4" w:color="auto"/>
        </w:pBdr>
      </w:pPr>
      <w:r w:rsidRPr="0055119B">
        <w:t xml:space="preserve">Available at </w:t>
      </w:r>
      <w:hyperlink r:id="rId20" w:history="1">
        <w:r w:rsidR="00DC2FA4" w:rsidRPr="00DC2FA4">
          <w:rPr>
            <w:rStyle w:val="Hyperlink"/>
            <w:color w:val="000000" w:themeColor="text1"/>
          </w:rPr>
          <w:t>Victoria's Take-Home Naloxone Program</w:t>
        </w:r>
      </w:hyperlink>
      <w:r w:rsidR="00DC2FA4" w:rsidRPr="00DC2FA4">
        <w:t xml:space="preserve"> </w:t>
      </w:r>
      <w:r w:rsidRPr="00DC2FA4">
        <w:t>&lt;</w:t>
      </w:r>
      <w:r w:rsidR="00C24A47" w:rsidRPr="00C24A47">
        <w:t>https://www.health.vic.gov.au/aod-treatment-services/victorias-take-home-naloxone-program</w:t>
      </w:r>
      <w:r w:rsidRPr="00DC2FA4">
        <w:t>&gt;</w:t>
      </w:r>
    </w:p>
    <w:sectPr w:rsidR="001C0791" w:rsidRPr="00DC2FA4" w:rsidSect="00E62622">
      <w:footerReference w:type="even" r:id="rId21"/>
      <w:footerReference w:type="default" r:id="rId22"/>
      <w:footerReference w:type="firs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B2BD" w14:textId="77777777" w:rsidR="003911B1" w:rsidRDefault="003911B1">
      <w:r>
        <w:separator/>
      </w:r>
    </w:p>
  </w:endnote>
  <w:endnote w:type="continuationSeparator" w:id="0">
    <w:p w14:paraId="67D63560" w14:textId="77777777" w:rsidR="003911B1" w:rsidRDefault="003911B1">
      <w:r>
        <w:continuationSeparator/>
      </w:r>
    </w:p>
  </w:endnote>
  <w:endnote w:type="continuationNotice" w:id="1">
    <w:p w14:paraId="3A33B9E4" w14:textId="77777777" w:rsidR="003911B1" w:rsidRDefault="00391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C68F" w14:textId="433CC4FB" w:rsidR="00FF4DE4" w:rsidRDefault="00BB07BC">
    <w:pPr>
      <w:pStyle w:val="Footer"/>
    </w:pPr>
    <w:r>
      <w:rPr>
        <w:noProof/>
      </w:rPr>
      <mc:AlternateContent>
        <mc:Choice Requires="wps">
          <w:drawing>
            <wp:anchor distT="0" distB="0" distL="0" distR="0" simplePos="0" relativeHeight="251660288" behindDoc="0" locked="0" layoutInCell="1" allowOverlap="1" wp14:anchorId="0D5DB42B" wp14:editId="5CE7D89B">
              <wp:simplePos x="635" y="635"/>
              <wp:positionH relativeFrom="page">
                <wp:align>center</wp:align>
              </wp:positionH>
              <wp:positionV relativeFrom="page">
                <wp:align>bottom</wp:align>
              </wp:positionV>
              <wp:extent cx="656590" cy="369570"/>
              <wp:effectExtent l="0" t="0" r="10160" b="0"/>
              <wp:wrapNone/>
              <wp:docPr id="148379263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0ABB93F" w14:textId="16EE7B75"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DB42B" id="_x0000_t202" coordsize="21600,21600" o:spt="202" path="m,l,21600r21600,l21600,xe">
              <v:stroke joinstyle="miter"/>
              <v:path gradientshapeok="t" o:connecttype="rect"/>
            </v:shapetype>
            <v:shape id="Text Box 2"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40ABB93F" w14:textId="16EE7B75"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9C65" w14:textId="16C8DDED" w:rsidR="00E261B3" w:rsidRPr="00F65AA9" w:rsidRDefault="00BB07BC" w:rsidP="00F84FA0">
    <w:pPr>
      <w:pStyle w:val="Footer"/>
    </w:pPr>
    <w:r>
      <w:rPr>
        <w:noProof/>
        <w:lang w:eastAsia="en-AU"/>
      </w:rPr>
      <mc:AlternateContent>
        <mc:Choice Requires="wps">
          <w:drawing>
            <wp:anchor distT="0" distB="0" distL="0" distR="0" simplePos="0" relativeHeight="251661312" behindDoc="0" locked="0" layoutInCell="1" allowOverlap="1" wp14:anchorId="32F69B66" wp14:editId="41C91664">
              <wp:simplePos x="542925" y="9820275"/>
              <wp:positionH relativeFrom="page">
                <wp:align>center</wp:align>
              </wp:positionH>
              <wp:positionV relativeFrom="page">
                <wp:align>bottom</wp:align>
              </wp:positionV>
              <wp:extent cx="656590" cy="369570"/>
              <wp:effectExtent l="0" t="0" r="10160" b="0"/>
              <wp:wrapNone/>
              <wp:docPr id="446773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9711C26" w14:textId="6351BF0F"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69B66" id="_x0000_t202" coordsize="21600,21600" o:spt="202" path="m,l,21600r21600,l21600,xe">
              <v:stroke joinstyle="miter"/>
              <v:path gradientshapeok="t" o:connecttype="rect"/>
            </v:shapetype>
            <v:shape id="Text Box 3" o:spid="_x0000_s1028"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59711C26" w14:textId="6351BF0F"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07C58B2C" wp14:editId="4078C48B">
          <wp:simplePos x="542260" y="9324753"/>
          <wp:positionH relativeFrom="page">
            <wp:align>left</wp:align>
          </wp:positionH>
          <wp:positionV relativeFrom="page">
            <wp:align>bottom</wp:align>
          </wp:positionV>
          <wp:extent cx="7560000" cy="964800"/>
          <wp:effectExtent l="0" t="0" r="3175" b="6985"/>
          <wp:wrapNone/>
          <wp:docPr id="1172836856" name="Picture 117283685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A84E" w14:textId="52DFCCF7" w:rsidR="00E261B3" w:rsidRDefault="00BB07BC">
    <w:pPr>
      <w:pStyle w:val="Footer"/>
    </w:pPr>
    <w:r>
      <w:rPr>
        <w:noProof/>
      </w:rPr>
      <mc:AlternateContent>
        <mc:Choice Requires="wps">
          <w:drawing>
            <wp:anchor distT="0" distB="0" distL="0" distR="0" simplePos="0" relativeHeight="251659264" behindDoc="0" locked="0" layoutInCell="1" allowOverlap="1" wp14:anchorId="6EC6F6DF" wp14:editId="5D7179B2">
              <wp:simplePos x="635" y="635"/>
              <wp:positionH relativeFrom="page">
                <wp:align>center</wp:align>
              </wp:positionH>
              <wp:positionV relativeFrom="page">
                <wp:align>bottom</wp:align>
              </wp:positionV>
              <wp:extent cx="656590" cy="369570"/>
              <wp:effectExtent l="0" t="0" r="10160" b="0"/>
              <wp:wrapNone/>
              <wp:docPr id="158242609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566698" w14:textId="07AAA3E6"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6F6DF" id="_x0000_t202" coordsize="21600,21600" o:spt="202" path="m,l,21600r21600,l21600,xe">
              <v:stroke joinstyle="miter"/>
              <v:path gradientshapeok="t" o:connecttype="rect"/>
            </v:shapetype>
            <v:shape id="Text Box 1" o:spid="_x0000_s1029"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2566698" w14:textId="07AAA3E6"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4477" w14:textId="47798F3C" w:rsidR="00DF7BA3" w:rsidRDefault="00BB07BC">
    <w:pPr>
      <w:pStyle w:val="Footer"/>
    </w:pPr>
    <w:r>
      <w:rPr>
        <w:noProof/>
      </w:rPr>
      <mc:AlternateContent>
        <mc:Choice Requires="wps">
          <w:drawing>
            <wp:anchor distT="0" distB="0" distL="0" distR="0" simplePos="0" relativeHeight="251663360" behindDoc="0" locked="0" layoutInCell="1" allowOverlap="1" wp14:anchorId="1D78BC41" wp14:editId="66728A5B">
              <wp:simplePos x="635" y="635"/>
              <wp:positionH relativeFrom="page">
                <wp:align>center</wp:align>
              </wp:positionH>
              <wp:positionV relativeFrom="page">
                <wp:align>bottom</wp:align>
              </wp:positionV>
              <wp:extent cx="656590" cy="369570"/>
              <wp:effectExtent l="0" t="0" r="10160" b="0"/>
              <wp:wrapNone/>
              <wp:docPr id="202604959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1392D9" w14:textId="76F561D9"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8BC41"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11392D9" w14:textId="76F561D9"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16B9" w14:textId="588DC926" w:rsidR="00373890" w:rsidRPr="00F65AA9" w:rsidRDefault="00BB07BC" w:rsidP="00F84FA0">
    <w:pPr>
      <w:pStyle w:val="Footer"/>
    </w:pPr>
    <w:r>
      <w:rPr>
        <w:noProof/>
      </w:rPr>
      <mc:AlternateContent>
        <mc:Choice Requires="wps">
          <w:drawing>
            <wp:anchor distT="0" distB="0" distL="0" distR="0" simplePos="0" relativeHeight="251664384" behindDoc="0" locked="0" layoutInCell="1" allowOverlap="1" wp14:anchorId="526A8E52" wp14:editId="3D2470C9">
              <wp:simplePos x="542925" y="9820275"/>
              <wp:positionH relativeFrom="page">
                <wp:align>center</wp:align>
              </wp:positionH>
              <wp:positionV relativeFrom="page">
                <wp:align>bottom</wp:align>
              </wp:positionV>
              <wp:extent cx="656590" cy="369570"/>
              <wp:effectExtent l="0" t="0" r="10160" b="0"/>
              <wp:wrapNone/>
              <wp:docPr id="14467046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DE1CD1" w14:textId="4104408A"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A8E52" id="_x0000_t202" coordsize="21600,21600" o:spt="202" path="m,l,21600r21600,l21600,xe">
              <v:stroke joinstyle="miter"/>
              <v:path gradientshapeok="t" o:connecttype="rect"/>
            </v:shapetype>
            <v:shape id="Text Box 6" o:spid="_x0000_s1031" type="#_x0000_t202" alt="OFFICIAL" style="position:absolute;left:0;text-align:left;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01DE1CD1" w14:textId="4104408A"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7799" w14:textId="1D44F996" w:rsidR="00DF7BA3" w:rsidRDefault="00BB07BC">
    <w:pPr>
      <w:pStyle w:val="Footer"/>
    </w:pPr>
    <w:r>
      <w:rPr>
        <w:noProof/>
      </w:rPr>
      <mc:AlternateContent>
        <mc:Choice Requires="wps">
          <w:drawing>
            <wp:anchor distT="0" distB="0" distL="0" distR="0" simplePos="0" relativeHeight="251662336" behindDoc="0" locked="0" layoutInCell="1" allowOverlap="1" wp14:anchorId="7A27BA0B" wp14:editId="77BBEDEE">
              <wp:simplePos x="635" y="635"/>
              <wp:positionH relativeFrom="page">
                <wp:align>center</wp:align>
              </wp:positionH>
              <wp:positionV relativeFrom="page">
                <wp:align>bottom</wp:align>
              </wp:positionV>
              <wp:extent cx="656590" cy="369570"/>
              <wp:effectExtent l="0" t="0" r="10160" b="0"/>
              <wp:wrapNone/>
              <wp:docPr id="14752571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040012" w14:textId="1A8368A4"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7BA0B" id="_x0000_t202" coordsize="21600,21600" o:spt="202" path="m,l,21600r21600,l21600,xe">
              <v:stroke joinstyle="miter"/>
              <v:path gradientshapeok="t" o:connecttype="rect"/>
            </v:shapetype>
            <v:shape id="Text Box 4" o:spid="_x0000_s1032"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1E040012" w14:textId="1A8368A4" w:rsidR="00BB07BC" w:rsidRPr="00BB07BC" w:rsidRDefault="00BB07BC" w:rsidP="00BB07BC">
                    <w:pPr>
                      <w:spacing w:after="0"/>
                      <w:rPr>
                        <w:rFonts w:ascii="Arial Black" w:eastAsia="Arial Black" w:hAnsi="Arial Black" w:cs="Arial Black"/>
                        <w:noProof/>
                        <w:color w:val="000000"/>
                        <w:sz w:val="20"/>
                      </w:rPr>
                    </w:pPr>
                    <w:r w:rsidRPr="00BB07B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9A5D" w14:textId="77777777" w:rsidR="003911B1" w:rsidRDefault="003911B1" w:rsidP="002862F1">
      <w:pPr>
        <w:spacing w:before="120"/>
      </w:pPr>
      <w:r>
        <w:separator/>
      </w:r>
    </w:p>
  </w:footnote>
  <w:footnote w:type="continuationSeparator" w:id="0">
    <w:p w14:paraId="2E7C554B" w14:textId="77777777" w:rsidR="003911B1" w:rsidRDefault="003911B1">
      <w:r>
        <w:continuationSeparator/>
      </w:r>
    </w:p>
  </w:footnote>
  <w:footnote w:type="continuationNotice" w:id="1">
    <w:p w14:paraId="3AA8C087" w14:textId="77777777" w:rsidR="003911B1" w:rsidRDefault="003911B1">
      <w:pPr>
        <w:spacing w:after="0" w:line="240" w:lineRule="auto"/>
      </w:pPr>
    </w:p>
  </w:footnote>
  <w:footnote w:id="2">
    <w:p w14:paraId="5DE21E91" w14:textId="06A5AFD5" w:rsidR="000B6D1A" w:rsidRDefault="000B6D1A" w:rsidP="000B6D1A">
      <w:pPr>
        <w:pStyle w:val="FootnoteText"/>
      </w:pPr>
      <w:r>
        <w:rPr>
          <w:rStyle w:val="FootnoteReference"/>
        </w:rPr>
        <w:footnoteRef/>
      </w:r>
      <w:r>
        <w:t xml:space="preserve"> </w:t>
      </w:r>
      <w:r w:rsidRPr="00826FDA">
        <w:rPr>
          <w:szCs w:val="18"/>
        </w:rPr>
        <w:t>The Commonwealth Government’s Take Home Naloxone Program website, </w:t>
      </w:r>
      <w:hyperlink r:id="rId1" w:history="1">
        <w:r w:rsidRPr="001C0791">
          <w:rPr>
            <w:rStyle w:val="Hyperlink"/>
            <w:i/>
            <w:iCs/>
            <w:szCs w:val="18"/>
          </w:rPr>
          <w:t>How to administer naloxone</w:t>
        </w:r>
      </w:hyperlink>
      <w:r w:rsidRPr="00826FDA">
        <w:rPr>
          <w:szCs w:val="18"/>
        </w:rPr>
        <w:t>, offers guidance by directing users to the instructions included with each naloxone product</w:t>
      </w:r>
      <w:r w:rsidR="00826FDA" w:rsidRPr="00826FDA">
        <w:rPr>
          <w:szCs w:val="18"/>
        </w:rPr>
        <w:t xml:space="preserve"> (</w:t>
      </w:r>
      <w:r w:rsidR="00826FDA" w:rsidRPr="00826FDA">
        <w:rPr>
          <w:rStyle w:val="Hyperlink"/>
          <w:rFonts w:eastAsia="Times"/>
          <w:szCs w:val="18"/>
        </w:rPr>
        <w:t>https://www.health.gov.au/our-work/take-home-naloxone-program/how-to-administer-naloxone</w:t>
      </w:r>
      <w:r w:rsidR="00826FDA" w:rsidRPr="00826FDA">
        <w:rPr>
          <w:szCs w:val="18"/>
        </w:rPr>
        <w:t>)</w:t>
      </w:r>
      <w:r w:rsidR="00CB7DE6">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F786" w14:textId="3CF0752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B08"/>
    <w:multiLevelType w:val="hybridMultilevel"/>
    <w:tmpl w:val="2CCE1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DF0088E"/>
    <w:multiLevelType w:val="hybridMultilevel"/>
    <w:tmpl w:val="B8D0A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415BF"/>
    <w:multiLevelType w:val="multilevel"/>
    <w:tmpl w:val="F7C2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8C94DB5"/>
    <w:multiLevelType w:val="hybridMultilevel"/>
    <w:tmpl w:val="A3463F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68654CC"/>
    <w:multiLevelType w:val="hybridMultilevel"/>
    <w:tmpl w:val="3E7A3340"/>
    <w:lvl w:ilvl="0" w:tplc="AAE6AD06">
      <w:start w:val="1"/>
      <w:numFmt w:val="bullet"/>
      <w:lvlText w:val=""/>
      <w:lvlJc w:val="left"/>
      <w:pPr>
        <w:ind w:left="720" w:hanging="360"/>
      </w:pPr>
      <w:rPr>
        <w:rFonts w:ascii="Symbol" w:hAnsi="Symbol" w:hint="default"/>
      </w:rPr>
    </w:lvl>
    <w:lvl w:ilvl="1" w:tplc="44641788">
      <w:start w:val="1"/>
      <w:numFmt w:val="bullet"/>
      <w:lvlText w:val="o"/>
      <w:lvlJc w:val="left"/>
      <w:pPr>
        <w:ind w:left="1440" w:hanging="360"/>
      </w:pPr>
      <w:rPr>
        <w:rFonts w:ascii="Courier New" w:hAnsi="Courier New" w:hint="default"/>
      </w:rPr>
    </w:lvl>
    <w:lvl w:ilvl="2" w:tplc="023637F8">
      <w:start w:val="1"/>
      <w:numFmt w:val="bullet"/>
      <w:lvlText w:val=""/>
      <w:lvlJc w:val="left"/>
      <w:pPr>
        <w:ind w:left="2160" w:hanging="360"/>
      </w:pPr>
      <w:rPr>
        <w:rFonts w:ascii="Wingdings" w:hAnsi="Wingdings" w:hint="default"/>
      </w:rPr>
    </w:lvl>
    <w:lvl w:ilvl="3" w:tplc="B38EC80A">
      <w:start w:val="1"/>
      <w:numFmt w:val="bullet"/>
      <w:lvlText w:val=""/>
      <w:lvlJc w:val="left"/>
      <w:pPr>
        <w:ind w:left="2880" w:hanging="360"/>
      </w:pPr>
      <w:rPr>
        <w:rFonts w:ascii="Symbol" w:hAnsi="Symbol" w:hint="default"/>
      </w:rPr>
    </w:lvl>
    <w:lvl w:ilvl="4" w:tplc="E4CADC00">
      <w:start w:val="1"/>
      <w:numFmt w:val="bullet"/>
      <w:lvlText w:val="o"/>
      <w:lvlJc w:val="left"/>
      <w:pPr>
        <w:ind w:left="3600" w:hanging="360"/>
      </w:pPr>
      <w:rPr>
        <w:rFonts w:ascii="Courier New" w:hAnsi="Courier New" w:hint="default"/>
      </w:rPr>
    </w:lvl>
    <w:lvl w:ilvl="5" w:tplc="725487AC">
      <w:start w:val="1"/>
      <w:numFmt w:val="bullet"/>
      <w:lvlText w:val=""/>
      <w:lvlJc w:val="left"/>
      <w:pPr>
        <w:ind w:left="4320" w:hanging="360"/>
      </w:pPr>
      <w:rPr>
        <w:rFonts w:ascii="Wingdings" w:hAnsi="Wingdings" w:hint="default"/>
      </w:rPr>
    </w:lvl>
    <w:lvl w:ilvl="6" w:tplc="57AA79A8">
      <w:start w:val="1"/>
      <w:numFmt w:val="bullet"/>
      <w:lvlText w:val=""/>
      <w:lvlJc w:val="left"/>
      <w:pPr>
        <w:ind w:left="5040" w:hanging="360"/>
      </w:pPr>
      <w:rPr>
        <w:rFonts w:ascii="Symbol" w:hAnsi="Symbol" w:hint="default"/>
      </w:rPr>
    </w:lvl>
    <w:lvl w:ilvl="7" w:tplc="905E0690">
      <w:start w:val="1"/>
      <w:numFmt w:val="bullet"/>
      <w:lvlText w:val="o"/>
      <w:lvlJc w:val="left"/>
      <w:pPr>
        <w:ind w:left="5760" w:hanging="360"/>
      </w:pPr>
      <w:rPr>
        <w:rFonts w:ascii="Courier New" w:hAnsi="Courier New" w:hint="default"/>
      </w:rPr>
    </w:lvl>
    <w:lvl w:ilvl="8" w:tplc="3C141446">
      <w:start w:val="1"/>
      <w:numFmt w:val="bullet"/>
      <w:lvlText w:val=""/>
      <w:lvlJc w:val="left"/>
      <w:pPr>
        <w:ind w:left="6480" w:hanging="360"/>
      </w:pPr>
      <w:rPr>
        <w:rFonts w:ascii="Wingdings" w:hAnsi="Wingdings" w:hint="default"/>
      </w:rPr>
    </w:lvl>
  </w:abstractNum>
  <w:abstractNum w:abstractNumId="12" w15:restartNumberingAfterBreak="0">
    <w:nsid w:val="7C29734B"/>
    <w:multiLevelType w:val="hybridMultilevel"/>
    <w:tmpl w:val="E8D85B50"/>
    <w:lvl w:ilvl="0" w:tplc="920A1F30">
      <w:start w:val="1"/>
      <w:numFmt w:val="bullet"/>
      <w:lvlText w:val=""/>
      <w:lvlJc w:val="left"/>
      <w:pPr>
        <w:ind w:left="720" w:hanging="360"/>
      </w:pPr>
      <w:rPr>
        <w:rFonts w:ascii="Symbol" w:hAnsi="Symbol" w:hint="default"/>
      </w:rPr>
    </w:lvl>
    <w:lvl w:ilvl="1" w:tplc="DB96BFFC">
      <w:start w:val="1"/>
      <w:numFmt w:val="bullet"/>
      <w:lvlText w:val="o"/>
      <w:lvlJc w:val="left"/>
      <w:pPr>
        <w:ind w:left="1440" w:hanging="360"/>
      </w:pPr>
      <w:rPr>
        <w:rFonts w:ascii="Courier New" w:hAnsi="Courier New" w:hint="default"/>
      </w:rPr>
    </w:lvl>
    <w:lvl w:ilvl="2" w:tplc="CA0A7934">
      <w:start w:val="1"/>
      <w:numFmt w:val="bullet"/>
      <w:lvlText w:val=""/>
      <w:lvlJc w:val="left"/>
      <w:pPr>
        <w:ind w:left="2160" w:hanging="360"/>
      </w:pPr>
      <w:rPr>
        <w:rFonts w:ascii="Wingdings" w:hAnsi="Wingdings" w:hint="default"/>
      </w:rPr>
    </w:lvl>
    <w:lvl w:ilvl="3" w:tplc="454CF288">
      <w:start w:val="1"/>
      <w:numFmt w:val="bullet"/>
      <w:lvlText w:val=""/>
      <w:lvlJc w:val="left"/>
      <w:pPr>
        <w:ind w:left="2880" w:hanging="360"/>
      </w:pPr>
      <w:rPr>
        <w:rFonts w:ascii="Symbol" w:hAnsi="Symbol" w:hint="default"/>
      </w:rPr>
    </w:lvl>
    <w:lvl w:ilvl="4" w:tplc="DB2A5518">
      <w:start w:val="1"/>
      <w:numFmt w:val="bullet"/>
      <w:lvlText w:val="o"/>
      <w:lvlJc w:val="left"/>
      <w:pPr>
        <w:ind w:left="3600" w:hanging="360"/>
      </w:pPr>
      <w:rPr>
        <w:rFonts w:ascii="Courier New" w:hAnsi="Courier New" w:hint="default"/>
      </w:rPr>
    </w:lvl>
    <w:lvl w:ilvl="5" w:tplc="FFF4DD18">
      <w:start w:val="1"/>
      <w:numFmt w:val="bullet"/>
      <w:lvlText w:val=""/>
      <w:lvlJc w:val="left"/>
      <w:pPr>
        <w:ind w:left="4320" w:hanging="360"/>
      </w:pPr>
      <w:rPr>
        <w:rFonts w:ascii="Wingdings" w:hAnsi="Wingdings" w:hint="default"/>
      </w:rPr>
    </w:lvl>
    <w:lvl w:ilvl="6" w:tplc="634E14A2">
      <w:start w:val="1"/>
      <w:numFmt w:val="bullet"/>
      <w:lvlText w:val=""/>
      <w:lvlJc w:val="left"/>
      <w:pPr>
        <w:ind w:left="5040" w:hanging="360"/>
      </w:pPr>
      <w:rPr>
        <w:rFonts w:ascii="Symbol" w:hAnsi="Symbol" w:hint="default"/>
      </w:rPr>
    </w:lvl>
    <w:lvl w:ilvl="7" w:tplc="FEAE078C">
      <w:start w:val="1"/>
      <w:numFmt w:val="bullet"/>
      <w:lvlText w:val="o"/>
      <w:lvlJc w:val="left"/>
      <w:pPr>
        <w:ind w:left="5760" w:hanging="360"/>
      </w:pPr>
      <w:rPr>
        <w:rFonts w:ascii="Courier New" w:hAnsi="Courier New" w:hint="default"/>
      </w:rPr>
    </w:lvl>
    <w:lvl w:ilvl="8" w:tplc="0464B326">
      <w:start w:val="1"/>
      <w:numFmt w:val="bullet"/>
      <w:lvlText w:val=""/>
      <w:lvlJc w:val="left"/>
      <w:pPr>
        <w:ind w:left="6480" w:hanging="360"/>
      </w:pPr>
      <w:rPr>
        <w:rFonts w:ascii="Wingdings" w:hAnsi="Wingdings" w:hint="default"/>
      </w:rPr>
    </w:lvl>
  </w:abstractNum>
  <w:num w:numId="1" w16cid:durableId="1502039045">
    <w:abstractNumId w:val="12"/>
  </w:num>
  <w:num w:numId="2" w16cid:durableId="1780836129">
    <w:abstractNumId w:val="5"/>
  </w:num>
  <w:num w:numId="3" w16cid:durableId="2087728863">
    <w:abstractNumId w:val="8"/>
  </w:num>
  <w:num w:numId="4" w16cid:durableId="986545040">
    <w:abstractNumId w:val="4"/>
  </w:num>
  <w:num w:numId="5" w16cid:durableId="1550649899">
    <w:abstractNumId w:val="7"/>
  </w:num>
  <w:num w:numId="6" w16cid:durableId="1797871480">
    <w:abstractNumId w:val="10"/>
  </w:num>
  <w:num w:numId="7" w16cid:durableId="492530979">
    <w:abstractNumId w:val="6"/>
  </w:num>
  <w:num w:numId="8" w16cid:durableId="133908570">
    <w:abstractNumId w:val="1"/>
  </w:num>
  <w:num w:numId="9" w16cid:durableId="1251890108">
    <w:abstractNumId w:val="0"/>
  </w:num>
  <w:num w:numId="10" w16cid:durableId="1751006127">
    <w:abstractNumId w:val="9"/>
  </w:num>
  <w:num w:numId="11" w16cid:durableId="266348970">
    <w:abstractNumId w:val="11"/>
  </w:num>
  <w:num w:numId="12" w16cid:durableId="747456961">
    <w:abstractNumId w:val="2"/>
  </w:num>
  <w:num w:numId="13" w16cid:durableId="110777306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23"/>
    <w:rsid w:val="00000719"/>
    <w:rsid w:val="00000EB2"/>
    <w:rsid w:val="00001C6A"/>
    <w:rsid w:val="000023DE"/>
    <w:rsid w:val="00002C27"/>
    <w:rsid w:val="00003403"/>
    <w:rsid w:val="00003630"/>
    <w:rsid w:val="00005347"/>
    <w:rsid w:val="000072B6"/>
    <w:rsid w:val="0001021B"/>
    <w:rsid w:val="00011D89"/>
    <w:rsid w:val="00013D32"/>
    <w:rsid w:val="000154F7"/>
    <w:rsid w:val="000154FD"/>
    <w:rsid w:val="00015A66"/>
    <w:rsid w:val="00016FBF"/>
    <w:rsid w:val="0002212D"/>
    <w:rsid w:val="00022271"/>
    <w:rsid w:val="000235E8"/>
    <w:rsid w:val="00024D89"/>
    <w:rsid w:val="000250B6"/>
    <w:rsid w:val="00032ED5"/>
    <w:rsid w:val="00033D81"/>
    <w:rsid w:val="00037366"/>
    <w:rsid w:val="0004042F"/>
    <w:rsid w:val="00041BF0"/>
    <w:rsid w:val="00042C8A"/>
    <w:rsid w:val="0004536B"/>
    <w:rsid w:val="0004646A"/>
    <w:rsid w:val="00046B68"/>
    <w:rsid w:val="00046F61"/>
    <w:rsid w:val="000527DD"/>
    <w:rsid w:val="0005334C"/>
    <w:rsid w:val="000548BA"/>
    <w:rsid w:val="00054D9F"/>
    <w:rsid w:val="00056307"/>
    <w:rsid w:val="000578B2"/>
    <w:rsid w:val="00057D31"/>
    <w:rsid w:val="000606EA"/>
    <w:rsid w:val="00060959"/>
    <w:rsid w:val="00060C8F"/>
    <w:rsid w:val="0006298A"/>
    <w:rsid w:val="00062FCE"/>
    <w:rsid w:val="00063388"/>
    <w:rsid w:val="000663CD"/>
    <w:rsid w:val="00067F3F"/>
    <w:rsid w:val="000715CC"/>
    <w:rsid w:val="0007237F"/>
    <w:rsid w:val="000733FE"/>
    <w:rsid w:val="00074219"/>
    <w:rsid w:val="00074ED5"/>
    <w:rsid w:val="000835C6"/>
    <w:rsid w:val="00083994"/>
    <w:rsid w:val="000841FD"/>
    <w:rsid w:val="0008508E"/>
    <w:rsid w:val="000851BD"/>
    <w:rsid w:val="00087951"/>
    <w:rsid w:val="0009113B"/>
    <w:rsid w:val="00093402"/>
    <w:rsid w:val="00094DA3"/>
    <w:rsid w:val="00096CD1"/>
    <w:rsid w:val="000971E0"/>
    <w:rsid w:val="000A012C"/>
    <w:rsid w:val="000A0EB9"/>
    <w:rsid w:val="000A186C"/>
    <w:rsid w:val="000A1EA4"/>
    <w:rsid w:val="000A2476"/>
    <w:rsid w:val="000A641A"/>
    <w:rsid w:val="000A798B"/>
    <w:rsid w:val="000B1ECF"/>
    <w:rsid w:val="000B1F55"/>
    <w:rsid w:val="000B3061"/>
    <w:rsid w:val="000B3EDB"/>
    <w:rsid w:val="000B543D"/>
    <w:rsid w:val="000B55F9"/>
    <w:rsid w:val="000B5BF7"/>
    <w:rsid w:val="000B6078"/>
    <w:rsid w:val="000B6BC8"/>
    <w:rsid w:val="000B6D1A"/>
    <w:rsid w:val="000C0303"/>
    <w:rsid w:val="000C0585"/>
    <w:rsid w:val="000C2BDF"/>
    <w:rsid w:val="000C42EA"/>
    <w:rsid w:val="000C4546"/>
    <w:rsid w:val="000C7D0D"/>
    <w:rsid w:val="000C7FC7"/>
    <w:rsid w:val="000D03E6"/>
    <w:rsid w:val="000D1242"/>
    <w:rsid w:val="000E0970"/>
    <w:rsid w:val="000E1910"/>
    <w:rsid w:val="000E3CC7"/>
    <w:rsid w:val="000E41E4"/>
    <w:rsid w:val="000E6BD4"/>
    <w:rsid w:val="000E6D6D"/>
    <w:rsid w:val="000E785D"/>
    <w:rsid w:val="000F1F1E"/>
    <w:rsid w:val="000F2259"/>
    <w:rsid w:val="000F2DDA"/>
    <w:rsid w:val="000F5213"/>
    <w:rsid w:val="000F7973"/>
    <w:rsid w:val="00101001"/>
    <w:rsid w:val="00103276"/>
    <w:rsid w:val="0010392D"/>
    <w:rsid w:val="00103FFC"/>
    <w:rsid w:val="0010447F"/>
    <w:rsid w:val="00104FE3"/>
    <w:rsid w:val="0010714F"/>
    <w:rsid w:val="0010717E"/>
    <w:rsid w:val="001120C5"/>
    <w:rsid w:val="00112AF0"/>
    <w:rsid w:val="001164AC"/>
    <w:rsid w:val="0011701A"/>
    <w:rsid w:val="00120BBC"/>
    <w:rsid w:val="00120BD3"/>
    <w:rsid w:val="001222C8"/>
    <w:rsid w:val="00122FEA"/>
    <w:rsid w:val="001232BD"/>
    <w:rsid w:val="00124ED5"/>
    <w:rsid w:val="001276FA"/>
    <w:rsid w:val="001408C8"/>
    <w:rsid w:val="00140C07"/>
    <w:rsid w:val="0014255B"/>
    <w:rsid w:val="001447B3"/>
    <w:rsid w:val="00144DCB"/>
    <w:rsid w:val="00144E19"/>
    <w:rsid w:val="001500F7"/>
    <w:rsid w:val="00151A79"/>
    <w:rsid w:val="00152073"/>
    <w:rsid w:val="00153F84"/>
    <w:rsid w:val="00153FDF"/>
    <w:rsid w:val="0015489B"/>
    <w:rsid w:val="00154E2D"/>
    <w:rsid w:val="00155029"/>
    <w:rsid w:val="001558D4"/>
    <w:rsid w:val="00156598"/>
    <w:rsid w:val="001573BD"/>
    <w:rsid w:val="0016000C"/>
    <w:rsid w:val="00161939"/>
    <w:rsid w:val="00161AA0"/>
    <w:rsid w:val="00161D2E"/>
    <w:rsid w:val="00161F3E"/>
    <w:rsid w:val="00162093"/>
    <w:rsid w:val="00162CA9"/>
    <w:rsid w:val="00165459"/>
    <w:rsid w:val="00165A57"/>
    <w:rsid w:val="00165AE9"/>
    <w:rsid w:val="00165F68"/>
    <w:rsid w:val="001712C2"/>
    <w:rsid w:val="00172BAF"/>
    <w:rsid w:val="00172D4B"/>
    <w:rsid w:val="00173229"/>
    <w:rsid w:val="00174529"/>
    <w:rsid w:val="00176D3E"/>
    <w:rsid w:val="001771DD"/>
    <w:rsid w:val="0017782E"/>
    <w:rsid w:val="00177995"/>
    <w:rsid w:val="00177A8C"/>
    <w:rsid w:val="00186A7C"/>
    <w:rsid w:val="00186B33"/>
    <w:rsid w:val="001910B8"/>
    <w:rsid w:val="00192F9D"/>
    <w:rsid w:val="001942A2"/>
    <w:rsid w:val="00196EB8"/>
    <w:rsid w:val="00196EFB"/>
    <w:rsid w:val="001979FF"/>
    <w:rsid w:val="00197B17"/>
    <w:rsid w:val="001A1950"/>
    <w:rsid w:val="001A1C54"/>
    <w:rsid w:val="001A2BA7"/>
    <w:rsid w:val="001A3ACE"/>
    <w:rsid w:val="001A7193"/>
    <w:rsid w:val="001B03A0"/>
    <w:rsid w:val="001B058F"/>
    <w:rsid w:val="001B19A9"/>
    <w:rsid w:val="001B237C"/>
    <w:rsid w:val="001B3350"/>
    <w:rsid w:val="001B4262"/>
    <w:rsid w:val="001B738B"/>
    <w:rsid w:val="001C0791"/>
    <w:rsid w:val="001C09DB"/>
    <w:rsid w:val="001C18D9"/>
    <w:rsid w:val="001C1ACB"/>
    <w:rsid w:val="001C277E"/>
    <w:rsid w:val="001C2A72"/>
    <w:rsid w:val="001C31B7"/>
    <w:rsid w:val="001C50C2"/>
    <w:rsid w:val="001D088E"/>
    <w:rsid w:val="001D0B75"/>
    <w:rsid w:val="001D0BC1"/>
    <w:rsid w:val="001D39A5"/>
    <w:rsid w:val="001D3C09"/>
    <w:rsid w:val="001D44E8"/>
    <w:rsid w:val="001D5D56"/>
    <w:rsid w:val="001D60EC"/>
    <w:rsid w:val="001D6F59"/>
    <w:rsid w:val="001D72F7"/>
    <w:rsid w:val="001E0652"/>
    <w:rsid w:val="001E0C5D"/>
    <w:rsid w:val="001E11E5"/>
    <w:rsid w:val="001E2A36"/>
    <w:rsid w:val="001E2C06"/>
    <w:rsid w:val="001E3861"/>
    <w:rsid w:val="001E44DF"/>
    <w:rsid w:val="001E4658"/>
    <w:rsid w:val="001E4C08"/>
    <w:rsid w:val="001E5058"/>
    <w:rsid w:val="001E68A5"/>
    <w:rsid w:val="001E6BB0"/>
    <w:rsid w:val="001E7282"/>
    <w:rsid w:val="001F31AB"/>
    <w:rsid w:val="001F3826"/>
    <w:rsid w:val="001F4E9B"/>
    <w:rsid w:val="001F6E46"/>
    <w:rsid w:val="001F7186"/>
    <w:rsid w:val="001F7C91"/>
    <w:rsid w:val="00200176"/>
    <w:rsid w:val="00202A3A"/>
    <w:rsid w:val="002033B7"/>
    <w:rsid w:val="00206463"/>
    <w:rsid w:val="00206ECC"/>
    <w:rsid w:val="00206F2F"/>
    <w:rsid w:val="00207EE2"/>
    <w:rsid w:val="00210341"/>
    <w:rsid w:val="0021053D"/>
    <w:rsid w:val="00210A92"/>
    <w:rsid w:val="00211C11"/>
    <w:rsid w:val="002143C6"/>
    <w:rsid w:val="00214486"/>
    <w:rsid w:val="00216C03"/>
    <w:rsid w:val="00220C04"/>
    <w:rsid w:val="0022278D"/>
    <w:rsid w:val="0022701F"/>
    <w:rsid w:val="00227C68"/>
    <w:rsid w:val="0023059C"/>
    <w:rsid w:val="002333F5"/>
    <w:rsid w:val="00233724"/>
    <w:rsid w:val="00235FF8"/>
    <w:rsid w:val="002365B4"/>
    <w:rsid w:val="00236B96"/>
    <w:rsid w:val="002401A8"/>
    <w:rsid w:val="00241010"/>
    <w:rsid w:val="002432E1"/>
    <w:rsid w:val="00246207"/>
    <w:rsid w:val="00246C5E"/>
    <w:rsid w:val="00246D41"/>
    <w:rsid w:val="0025045E"/>
    <w:rsid w:val="00250883"/>
    <w:rsid w:val="00250960"/>
    <w:rsid w:val="00251031"/>
    <w:rsid w:val="00251141"/>
    <w:rsid w:val="00251343"/>
    <w:rsid w:val="0025311C"/>
    <w:rsid w:val="002536A4"/>
    <w:rsid w:val="00254937"/>
    <w:rsid w:val="00254F58"/>
    <w:rsid w:val="002613CF"/>
    <w:rsid w:val="002617D7"/>
    <w:rsid w:val="002620BC"/>
    <w:rsid w:val="00262802"/>
    <w:rsid w:val="00263A90"/>
    <w:rsid w:val="00263C1F"/>
    <w:rsid w:val="0026408B"/>
    <w:rsid w:val="002648B6"/>
    <w:rsid w:val="00267C3E"/>
    <w:rsid w:val="002709BB"/>
    <w:rsid w:val="0027113F"/>
    <w:rsid w:val="00273BAC"/>
    <w:rsid w:val="002763B3"/>
    <w:rsid w:val="002802E3"/>
    <w:rsid w:val="0028213D"/>
    <w:rsid w:val="002831F5"/>
    <w:rsid w:val="00285FF0"/>
    <w:rsid w:val="002862F1"/>
    <w:rsid w:val="00291373"/>
    <w:rsid w:val="002952C4"/>
    <w:rsid w:val="002958AC"/>
    <w:rsid w:val="0029597D"/>
    <w:rsid w:val="00296153"/>
    <w:rsid w:val="002962C3"/>
    <w:rsid w:val="0029752B"/>
    <w:rsid w:val="002A0A9C"/>
    <w:rsid w:val="002A483C"/>
    <w:rsid w:val="002B0C7C"/>
    <w:rsid w:val="002B108A"/>
    <w:rsid w:val="002B1729"/>
    <w:rsid w:val="002B36C7"/>
    <w:rsid w:val="002B4DD4"/>
    <w:rsid w:val="002B4E2E"/>
    <w:rsid w:val="002B5277"/>
    <w:rsid w:val="002B5375"/>
    <w:rsid w:val="002B54F4"/>
    <w:rsid w:val="002B77C1"/>
    <w:rsid w:val="002C0ED7"/>
    <w:rsid w:val="002C2728"/>
    <w:rsid w:val="002C2F37"/>
    <w:rsid w:val="002C75B9"/>
    <w:rsid w:val="002C79F7"/>
    <w:rsid w:val="002D1E0D"/>
    <w:rsid w:val="002D2D07"/>
    <w:rsid w:val="002D3959"/>
    <w:rsid w:val="002D3B03"/>
    <w:rsid w:val="002D3F37"/>
    <w:rsid w:val="002D5006"/>
    <w:rsid w:val="002D6037"/>
    <w:rsid w:val="002E01D0"/>
    <w:rsid w:val="002E161D"/>
    <w:rsid w:val="002E1995"/>
    <w:rsid w:val="002E1BEF"/>
    <w:rsid w:val="002E2480"/>
    <w:rsid w:val="002E3100"/>
    <w:rsid w:val="002E3D22"/>
    <w:rsid w:val="002E6C95"/>
    <w:rsid w:val="002E7B24"/>
    <w:rsid w:val="002E7C36"/>
    <w:rsid w:val="002F0107"/>
    <w:rsid w:val="002F0EF7"/>
    <w:rsid w:val="002F285C"/>
    <w:rsid w:val="002F3D32"/>
    <w:rsid w:val="002F5F31"/>
    <w:rsid w:val="002F5F46"/>
    <w:rsid w:val="00301D6F"/>
    <w:rsid w:val="00302216"/>
    <w:rsid w:val="00302A22"/>
    <w:rsid w:val="00303E53"/>
    <w:rsid w:val="00304A86"/>
    <w:rsid w:val="0030526E"/>
    <w:rsid w:val="00305A07"/>
    <w:rsid w:val="00305CC1"/>
    <w:rsid w:val="00306E5F"/>
    <w:rsid w:val="00307E14"/>
    <w:rsid w:val="00314054"/>
    <w:rsid w:val="00314D07"/>
    <w:rsid w:val="003153BC"/>
    <w:rsid w:val="003153DA"/>
    <w:rsid w:val="00315BD8"/>
    <w:rsid w:val="00316F27"/>
    <w:rsid w:val="0032120D"/>
    <w:rsid w:val="003214F1"/>
    <w:rsid w:val="00322E4B"/>
    <w:rsid w:val="003245A7"/>
    <w:rsid w:val="00325C2B"/>
    <w:rsid w:val="00327870"/>
    <w:rsid w:val="00327E15"/>
    <w:rsid w:val="0033259D"/>
    <w:rsid w:val="003325C5"/>
    <w:rsid w:val="003331F3"/>
    <w:rsid w:val="003333D2"/>
    <w:rsid w:val="00334802"/>
    <w:rsid w:val="003406C6"/>
    <w:rsid w:val="003418CC"/>
    <w:rsid w:val="00343839"/>
    <w:rsid w:val="003459BD"/>
    <w:rsid w:val="00346C7F"/>
    <w:rsid w:val="00350C61"/>
    <w:rsid w:val="00350D38"/>
    <w:rsid w:val="00351B2B"/>
    <w:rsid w:val="00351B36"/>
    <w:rsid w:val="00354B7F"/>
    <w:rsid w:val="0035790D"/>
    <w:rsid w:val="00357B4E"/>
    <w:rsid w:val="00366A5C"/>
    <w:rsid w:val="003716FD"/>
    <w:rsid w:val="0037204B"/>
    <w:rsid w:val="00373890"/>
    <w:rsid w:val="003744CF"/>
    <w:rsid w:val="00374717"/>
    <w:rsid w:val="0037676C"/>
    <w:rsid w:val="00380D37"/>
    <w:rsid w:val="00381043"/>
    <w:rsid w:val="003829E5"/>
    <w:rsid w:val="00386109"/>
    <w:rsid w:val="00386944"/>
    <w:rsid w:val="00387225"/>
    <w:rsid w:val="00390CEA"/>
    <w:rsid w:val="003911B1"/>
    <w:rsid w:val="003956CC"/>
    <w:rsid w:val="00395A17"/>
    <w:rsid w:val="00395C9A"/>
    <w:rsid w:val="003A0853"/>
    <w:rsid w:val="003A28E5"/>
    <w:rsid w:val="003A2C52"/>
    <w:rsid w:val="003A3509"/>
    <w:rsid w:val="003A6B67"/>
    <w:rsid w:val="003B13B6"/>
    <w:rsid w:val="003B15E6"/>
    <w:rsid w:val="003B408A"/>
    <w:rsid w:val="003B46A0"/>
    <w:rsid w:val="003B5733"/>
    <w:rsid w:val="003C0461"/>
    <w:rsid w:val="003C08A2"/>
    <w:rsid w:val="003C2045"/>
    <w:rsid w:val="003C3708"/>
    <w:rsid w:val="003C3DC8"/>
    <w:rsid w:val="003C43A1"/>
    <w:rsid w:val="003C4FC0"/>
    <w:rsid w:val="003C55F4"/>
    <w:rsid w:val="003C5E26"/>
    <w:rsid w:val="003C7897"/>
    <w:rsid w:val="003C7A3F"/>
    <w:rsid w:val="003D2227"/>
    <w:rsid w:val="003D2514"/>
    <w:rsid w:val="003D2766"/>
    <w:rsid w:val="003D2A74"/>
    <w:rsid w:val="003D2D8C"/>
    <w:rsid w:val="003D3E8F"/>
    <w:rsid w:val="003D6475"/>
    <w:rsid w:val="003D6991"/>
    <w:rsid w:val="003E01B6"/>
    <w:rsid w:val="003E375C"/>
    <w:rsid w:val="003E4086"/>
    <w:rsid w:val="003E41A0"/>
    <w:rsid w:val="003E44E4"/>
    <w:rsid w:val="003E4FDE"/>
    <w:rsid w:val="003E639E"/>
    <w:rsid w:val="003E71E5"/>
    <w:rsid w:val="003F0445"/>
    <w:rsid w:val="003F0CF0"/>
    <w:rsid w:val="003F14B1"/>
    <w:rsid w:val="003F19C1"/>
    <w:rsid w:val="003F1F29"/>
    <w:rsid w:val="003F2B20"/>
    <w:rsid w:val="003F3221"/>
    <w:rsid w:val="003F3289"/>
    <w:rsid w:val="003F5CB9"/>
    <w:rsid w:val="003F67ED"/>
    <w:rsid w:val="004013C7"/>
    <w:rsid w:val="00401CD0"/>
    <w:rsid w:val="00401FCF"/>
    <w:rsid w:val="0040248F"/>
    <w:rsid w:val="00403E9C"/>
    <w:rsid w:val="0040459A"/>
    <w:rsid w:val="00406285"/>
    <w:rsid w:val="004112C6"/>
    <w:rsid w:val="004148F9"/>
    <w:rsid w:val="00414D4A"/>
    <w:rsid w:val="004152FD"/>
    <w:rsid w:val="0042084E"/>
    <w:rsid w:val="0042176D"/>
    <w:rsid w:val="00421EEF"/>
    <w:rsid w:val="00424084"/>
    <w:rsid w:val="00424D65"/>
    <w:rsid w:val="00427426"/>
    <w:rsid w:val="00441D30"/>
    <w:rsid w:val="00442C6C"/>
    <w:rsid w:val="00443836"/>
    <w:rsid w:val="00443CBE"/>
    <w:rsid w:val="00443E8A"/>
    <w:rsid w:val="004441BC"/>
    <w:rsid w:val="004443DD"/>
    <w:rsid w:val="004468B4"/>
    <w:rsid w:val="0045230A"/>
    <w:rsid w:val="00452B74"/>
    <w:rsid w:val="00454AD0"/>
    <w:rsid w:val="004551C6"/>
    <w:rsid w:val="00456D7F"/>
    <w:rsid w:val="004572EB"/>
    <w:rsid w:val="00457337"/>
    <w:rsid w:val="00457A07"/>
    <w:rsid w:val="00460976"/>
    <w:rsid w:val="00462A20"/>
    <w:rsid w:val="00462E3D"/>
    <w:rsid w:val="00466E79"/>
    <w:rsid w:val="00467A6F"/>
    <w:rsid w:val="00470D7D"/>
    <w:rsid w:val="0047372D"/>
    <w:rsid w:val="00473BA3"/>
    <w:rsid w:val="004743DD"/>
    <w:rsid w:val="00474CEA"/>
    <w:rsid w:val="00477307"/>
    <w:rsid w:val="00483968"/>
    <w:rsid w:val="00484F86"/>
    <w:rsid w:val="00490746"/>
    <w:rsid w:val="00490852"/>
    <w:rsid w:val="00491C9C"/>
    <w:rsid w:val="00492F30"/>
    <w:rsid w:val="004946F4"/>
    <w:rsid w:val="0049487E"/>
    <w:rsid w:val="004A160D"/>
    <w:rsid w:val="004A3E81"/>
    <w:rsid w:val="004A4195"/>
    <w:rsid w:val="004A5C62"/>
    <w:rsid w:val="004A5CE5"/>
    <w:rsid w:val="004A6665"/>
    <w:rsid w:val="004A707D"/>
    <w:rsid w:val="004B7459"/>
    <w:rsid w:val="004C0066"/>
    <w:rsid w:val="004C29D6"/>
    <w:rsid w:val="004C5541"/>
    <w:rsid w:val="004C58CC"/>
    <w:rsid w:val="004C6EEE"/>
    <w:rsid w:val="004C702B"/>
    <w:rsid w:val="004D0033"/>
    <w:rsid w:val="004D016B"/>
    <w:rsid w:val="004D1B22"/>
    <w:rsid w:val="004D23CC"/>
    <w:rsid w:val="004D3277"/>
    <w:rsid w:val="004D36F2"/>
    <w:rsid w:val="004D59A3"/>
    <w:rsid w:val="004D62DA"/>
    <w:rsid w:val="004E0D08"/>
    <w:rsid w:val="004E1106"/>
    <w:rsid w:val="004E138F"/>
    <w:rsid w:val="004E20C0"/>
    <w:rsid w:val="004E2699"/>
    <w:rsid w:val="004E4649"/>
    <w:rsid w:val="004E47AD"/>
    <w:rsid w:val="004E5C2B"/>
    <w:rsid w:val="004E6192"/>
    <w:rsid w:val="004F00DD"/>
    <w:rsid w:val="004F2133"/>
    <w:rsid w:val="004F2286"/>
    <w:rsid w:val="004F2B2D"/>
    <w:rsid w:val="004F4D39"/>
    <w:rsid w:val="004F5398"/>
    <w:rsid w:val="004F55F1"/>
    <w:rsid w:val="004F6936"/>
    <w:rsid w:val="00502509"/>
    <w:rsid w:val="00503DC6"/>
    <w:rsid w:val="00505927"/>
    <w:rsid w:val="00506F5D"/>
    <w:rsid w:val="00510C37"/>
    <w:rsid w:val="005126D0"/>
    <w:rsid w:val="00514A61"/>
    <w:rsid w:val="0051568D"/>
    <w:rsid w:val="00516360"/>
    <w:rsid w:val="0051689E"/>
    <w:rsid w:val="00520E5D"/>
    <w:rsid w:val="00520F0C"/>
    <w:rsid w:val="00525F2B"/>
    <w:rsid w:val="00526AC7"/>
    <w:rsid w:val="00526C15"/>
    <w:rsid w:val="00527826"/>
    <w:rsid w:val="00532201"/>
    <w:rsid w:val="00532D6C"/>
    <w:rsid w:val="00536395"/>
    <w:rsid w:val="00536499"/>
    <w:rsid w:val="00543903"/>
    <w:rsid w:val="00543F11"/>
    <w:rsid w:val="00546305"/>
    <w:rsid w:val="00546805"/>
    <w:rsid w:val="00547A95"/>
    <w:rsid w:val="0055119B"/>
    <w:rsid w:val="005511BE"/>
    <w:rsid w:val="005548B5"/>
    <w:rsid w:val="00554C28"/>
    <w:rsid w:val="00566044"/>
    <w:rsid w:val="00570E3F"/>
    <w:rsid w:val="00572031"/>
    <w:rsid w:val="00572282"/>
    <w:rsid w:val="00573CE3"/>
    <w:rsid w:val="0057535B"/>
    <w:rsid w:val="00576E84"/>
    <w:rsid w:val="00580394"/>
    <w:rsid w:val="005809CD"/>
    <w:rsid w:val="005810E8"/>
    <w:rsid w:val="005825DA"/>
    <w:rsid w:val="00582B8C"/>
    <w:rsid w:val="0058757E"/>
    <w:rsid w:val="00591453"/>
    <w:rsid w:val="00596A4B"/>
    <w:rsid w:val="00597507"/>
    <w:rsid w:val="005A405D"/>
    <w:rsid w:val="005A479D"/>
    <w:rsid w:val="005A569A"/>
    <w:rsid w:val="005A6EA0"/>
    <w:rsid w:val="005B1C6D"/>
    <w:rsid w:val="005B21B6"/>
    <w:rsid w:val="005B3A08"/>
    <w:rsid w:val="005B4606"/>
    <w:rsid w:val="005B6779"/>
    <w:rsid w:val="005B7A63"/>
    <w:rsid w:val="005C0955"/>
    <w:rsid w:val="005C2F5C"/>
    <w:rsid w:val="005C2F95"/>
    <w:rsid w:val="005C49DA"/>
    <w:rsid w:val="005C50F3"/>
    <w:rsid w:val="005C54B5"/>
    <w:rsid w:val="005C5D80"/>
    <w:rsid w:val="005C5D91"/>
    <w:rsid w:val="005C5E0E"/>
    <w:rsid w:val="005D07B8"/>
    <w:rsid w:val="005D257C"/>
    <w:rsid w:val="005D288B"/>
    <w:rsid w:val="005D362E"/>
    <w:rsid w:val="005D6597"/>
    <w:rsid w:val="005E14E7"/>
    <w:rsid w:val="005E26A3"/>
    <w:rsid w:val="005E2ECB"/>
    <w:rsid w:val="005E36B8"/>
    <w:rsid w:val="005E447E"/>
    <w:rsid w:val="005E4FD1"/>
    <w:rsid w:val="005F0775"/>
    <w:rsid w:val="005F0CF5"/>
    <w:rsid w:val="005F1BEB"/>
    <w:rsid w:val="005F21EB"/>
    <w:rsid w:val="005F2551"/>
    <w:rsid w:val="0060315C"/>
    <w:rsid w:val="00603B56"/>
    <w:rsid w:val="00605908"/>
    <w:rsid w:val="00607641"/>
    <w:rsid w:val="006104CB"/>
    <w:rsid w:val="00610D7C"/>
    <w:rsid w:val="006121A5"/>
    <w:rsid w:val="00613414"/>
    <w:rsid w:val="00615471"/>
    <w:rsid w:val="00620154"/>
    <w:rsid w:val="0062408D"/>
    <w:rsid w:val="006240CC"/>
    <w:rsid w:val="00624940"/>
    <w:rsid w:val="006254F8"/>
    <w:rsid w:val="00627DA7"/>
    <w:rsid w:val="00630C58"/>
    <w:rsid w:val="00630DA4"/>
    <w:rsid w:val="00631812"/>
    <w:rsid w:val="00632597"/>
    <w:rsid w:val="006358B4"/>
    <w:rsid w:val="006419AA"/>
    <w:rsid w:val="00642CBA"/>
    <w:rsid w:val="0064305D"/>
    <w:rsid w:val="006431F7"/>
    <w:rsid w:val="00644B1F"/>
    <w:rsid w:val="00644B7E"/>
    <w:rsid w:val="006454E6"/>
    <w:rsid w:val="00646235"/>
    <w:rsid w:val="00646A68"/>
    <w:rsid w:val="00650111"/>
    <w:rsid w:val="006505BD"/>
    <w:rsid w:val="006508EA"/>
    <w:rsid w:val="0065092E"/>
    <w:rsid w:val="00650DE3"/>
    <w:rsid w:val="006557A7"/>
    <w:rsid w:val="00656290"/>
    <w:rsid w:val="00657289"/>
    <w:rsid w:val="006600D9"/>
    <w:rsid w:val="006608D8"/>
    <w:rsid w:val="00661DE3"/>
    <w:rsid w:val="006621D7"/>
    <w:rsid w:val="0066302A"/>
    <w:rsid w:val="0066475A"/>
    <w:rsid w:val="00667770"/>
    <w:rsid w:val="00670597"/>
    <w:rsid w:val="006706D0"/>
    <w:rsid w:val="0067083E"/>
    <w:rsid w:val="00673A69"/>
    <w:rsid w:val="00673B33"/>
    <w:rsid w:val="0067467F"/>
    <w:rsid w:val="006747A0"/>
    <w:rsid w:val="00674DD8"/>
    <w:rsid w:val="00677574"/>
    <w:rsid w:val="0068454C"/>
    <w:rsid w:val="00690095"/>
    <w:rsid w:val="00691B62"/>
    <w:rsid w:val="006927A7"/>
    <w:rsid w:val="006933B5"/>
    <w:rsid w:val="00693D14"/>
    <w:rsid w:val="00696F27"/>
    <w:rsid w:val="006A18C2"/>
    <w:rsid w:val="006A20CD"/>
    <w:rsid w:val="006A3383"/>
    <w:rsid w:val="006A3BAC"/>
    <w:rsid w:val="006A442B"/>
    <w:rsid w:val="006B077C"/>
    <w:rsid w:val="006B178A"/>
    <w:rsid w:val="006B4535"/>
    <w:rsid w:val="006B4A78"/>
    <w:rsid w:val="006B6803"/>
    <w:rsid w:val="006B6A26"/>
    <w:rsid w:val="006B7C4E"/>
    <w:rsid w:val="006C464F"/>
    <w:rsid w:val="006C6C84"/>
    <w:rsid w:val="006C716A"/>
    <w:rsid w:val="006D0F16"/>
    <w:rsid w:val="006D2A3F"/>
    <w:rsid w:val="006D2FA4"/>
    <w:rsid w:val="006D2FBC"/>
    <w:rsid w:val="006D6085"/>
    <w:rsid w:val="006E0541"/>
    <w:rsid w:val="006E06B7"/>
    <w:rsid w:val="006E138B"/>
    <w:rsid w:val="006E7195"/>
    <w:rsid w:val="006F0330"/>
    <w:rsid w:val="006F0672"/>
    <w:rsid w:val="006F1FDC"/>
    <w:rsid w:val="006F2B66"/>
    <w:rsid w:val="006F6B8C"/>
    <w:rsid w:val="007013EF"/>
    <w:rsid w:val="007055BD"/>
    <w:rsid w:val="00712A83"/>
    <w:rsid w:val="00716020"/>
    <w:rsid w:val="00716335"/>
    <w:rsid w:val="007173CA"/>
    <w:rsid w:val="007216AA"/>
    <w:rsid w:val="00721A29"/>
    <w:rsid w:val="00721AB5"/>
    <w:rsid w:val="00721CFB"/>
    <w:rsid w:val="00721DEF"/>
    <w:rsid w:val="00721FFC"/>
    <w:rsid w:val="0072251A"/>
    <w:rsid w:val="00724A43"/>
    <w:rsid w:val="007273AC"/>
    <w:rsid w:val="00731AD4"/>
    <w:rsid w:val="00731AFF"/>
    <w:rsid w:val="00732242"/>
    <w:rsid w:val="00732EBE"/>
    <w:rsid w:val="00733E0D"/>
    <w:rsid w:val="007346E4"/>
    <w:rsid w:val="00734FCA"/>
    <w:rsid w:val="0073582E"/>
    <w:rsid w:val="00736891"/>
    <w:rsid w:val="00740F22"/>
    <w:rsid w:val="00741CF0"/>
    <w:rsid w:val="00741F1A"/>
    <w:rsid w:val="00743487"/>
    <w:rsid w:val="007447DA"/>
    <w:rsid w:val="007450F8"/>
    <w:rsid w:val="00745A87"/>
    <w:rsid w:val="0074696E"/>
    <w:rsid w:val="00750135"/>
    <w:rsid w:val="00750329"/>
    <w:rsid w:val="00750DC1"/>
    <w:rsid w:val="00750EC2"/>
    <w:rsid w:val="00751D4C"/>
    <w:rsid w:val="00752B28"/>
    <w:rsid w:val="007541A9"/>
    <w:rsid w:val="0075470D"/>
    <w:rsid w:val="00754E36"/>
    <w:rsid w:val="007554E7"/>
    <w:rsid w:val="00761D3B"/>
    <w:rsid w:val="00763139"/>
    <w:rsid w:val="007633B6"/>
    <w:rsid w:val="007636AA"/>
    <w:rsid w:val="00770F37"/>
    <w:rsid w:val="007711A0"/>
    <w:rsid w:val="0077236A"/>
    <w:rsid w:val="00772D5E"/>
    <w:rsid w:val="007737DA"/>
    <w:rsid w:val="00774180"/>
    <w:rsid w:val="0077463E"/>
    <w:rsid w:val="00776928"/>
    <w:rsid w:val="00776E0F"/>
    <w:rsid w:val="007774B1"/>
    <w:rsid w:val="00777BE1"/>
    <w:rsid w:val="00777F5C"/>
    <w:rsid w:val="007833D8"/>
    <w:rsid w:val="00785452"/>
    <w:rsid w:val="00785677"/>
    <w:rsid w:val="00786F16"/>
    <w:rsid w:val="00787672"/>
    <w:rsid w:val="00790BEC"/>
    <w:rsid w:val="00791BD7"/>
    <w:rsid w:val="00792BC7"/>
    <w:rsid w:val="007933F7"/>
    <w:rsid w:val="00796E20"/>
    <w:rsid w:val="00797C32"/>
    <w:rsid w:val="007A11E8"/>
    <w:rsid w:val="007A759B"/>
    <w:rsid w:val="007B0662"/>
    <w:rsid w:val="007B0914"/>
    <w:rsid w:val="007B1374"/>
    <w:rsid w:val="007B1A91"/>
    <w:rsid w:val="007B2E00"/>
    <w:rsid w:val="007B2F44"/>
    <w:rsid w:val="007B32E5"/>
    <w:rsid w:val="007B3DB9"/>
    <w:rsid w:val="007B47B5"/>
    <w:rsid w:val="007B589F"/>
    <w:rsid w:val="007B6186"/>
    <w:rsid w:val="007B73BC"/>
    <w:rsid w:val="007C1838"/>
    <w:rsid w:val="007C20B9"/>
    <w:rsid w:val="007C7301"/>
    <w:rsid w:val="007C7859"/>
    <w:rsid w:val="007C7F28"/>
    <w:rsid w:val="007D0FE6"/>
    <w:rsid w:val="007D1466"/>
    <w:rsid w:val="007D2BDE"/>
    <w:rsid w:val="007D2FB6"/>
    <w:rsid w:val="007D49EB"/>
    <w:rsid w:val="007D4E39"/>
    <w:rsid w:val="007D5E1C"/>
    <w:rsid w:val="007D6515"/>
    <w:rsid w:val="007E00CA"/>
    <w:rsid w:val="007E0DE2"/>
    <w:rsid w:val="007E1227"/>
    <w:rsid w:val="007E2380"/>
    <w:rsid w:val="007E3B98"/>
    <w:rsid w:val="007E417A"/>
    <w:rsid w:val="007E4FE6"/>
    <w:rsid w:val="007E7D5F"/>
    <w:rsid w:val="007F31B6"/>
    <w:rsid w:val="007F4ECB"/>
    <w:rsid w:val="007F546C"/>
    <w:rsid w:val="007F61A5"/>
    <w:rsid w:val="007F625F"/>
    <w:rsid w:val="007F665E"/>
    <w:rsid w:val="00800412"/>
    <w:rsid w:val="0080587B"/>
    <w:rsid w:val="00806468"/>
    <w:rsid w:val="008119CA"/>
    <w:rsid w:val="008130C4"/>
    <w:rsid w:val="008143E1"/>
    <w:rsid w:val="008151EB"/>
    <w:rsid w:val="008155F0"/>
    <w:rsid w:val="00816735"/>
    <w:rsid w:val="00817D5A"/>
    <w:rsid w:val="00820141"/>
    <w:rsid w:val="00820E0C"/>
    <w:rsid w:val="008213F0"/>
    <w:rsid w:val="00823275"/>
    <w:rsid w:val="0082366F"/>
    <w:rsid w:val="00824B90"/>
    <w:rsid w:val="00826FDA"/>
    <w:rsid w:val="00831AC5"/>
    <w:rsid w:val="00832D66"/>
    <w:rsid w:val="008338A2"/>
    <w:rsid w:val="00834A1F"/>
    <w:rsid w:val="00835FAF"/>
    <w:rsid w:val="00840914"/>
    <w:rsid w:val="00841AA9"/>
    <w:rsid w:val="00844978"/>
    <w:rsid w:val="00845F6B"/>
    <w:rsid w:val="008464FA"/>
    <w:rsid w:val="008474FE"/>
    <w:rsid w:val="0085274C"/>
    <w:rsid w:val="00853EE4"/>
    <w:rsid w:val="00855535"/>
    <w:rsid w:val="00855920"/>
    <w:rsid w:val="00857295"/>
    <w:rsid w:val="00857C5A"/>
    <w:rsid w:val="0086255E"/>
    <w:rsid w:val="008633F0"/>
    <w:rsid w:val="00867752"/>
    <w:rsid w:val="00867D9D"/>
    <w:rsid w:val="00871ACD"/>
    <w:rsid w:val="00872E0A"/>
    <w:rsid w:val="00873594"/>
    <w:rsid w:val="00875285"/>
    <w:rsid w:val="00875A61"/>
    <w:rsid w:val="0087676E"/>
    <w:rsid w:val="00881147"/>
    <w:rsid w:val="00881727"/>
    <w:rsid w:val="00884B62"/>
    <w:rsid w:val="00885162"/>
    <w:rsid w:val="0088529C"/>
    <w:rsid w:val="0088684E"/>
    <w:rsid w:val="00887903"/>
    <w:rsid w:val="00890B3F"/>
    <w:rsid w:val="0089270A"/>
    <w:rsid w:val="00892830"/>
    <w:rsid w:val="00893379"/>
    <w:rsid w:val="00893AF6"/>
    <w:rsid w:val="00894BC4"/>
    <w:rsid w:val="00896FA1"/>
    <w:rsid w:val="008971DD"/>
    <w:rsid w:val="00897917"/>
    <w:rsid w:val="008A28A8"/>
    <w:rsid w:val="008A384C"/>
    <w:rsid w:val="008A5B32"/>
    <w:rsid w:val="008B2EE4"/>
    <w:rsid w:val="008B4D3D"/>
    <w:rsid w:val="008B57C7"/>
    <w:rsid w:val="008B757E"/>
    <w:rsid w:val="008C2F92"/>
    <w:rsid w:val="008C3697"/>
    <w:rsid w:val="008C5557"/>
    <w:rsid w:val="008C589D"/>
    <w:rsid w:val="008C6D51"/>
    <w:rsid w:val="008C6F76"/>
    <w:rsid w:val="008D2846"/>
    <w:rsid w:val="008D4236"/>
    <w:rsid w:val="008D462F"/>
    <w:rsid w:val="008D6DCF"/>
    <w:rsid w:val="008E3DE9"/>
    <w:rsid w:val="008E4376"/>
    <w:rsid w:val="008E7A0A"/>
    <w:rsid w:val="008E7B49"/>
    <w:rsid w:val="008F0DA8"/>
    <w:rsid w:val="008F59F6"/>
    <w:rsid w:val="00900719"/>
    <w:rsid w:val="009017AC"/>
    <w:rsid w:val="00902A9A"/>
    <w:rsid w:val="00902CDF"/>
    <w:rsid w:val="009044DD"/>
    <w:rsid w:val="00904A1C"/>
    <w:rsid w:val="00904AB4"/>
    <w:rsid w:val="00905030"/>
    <w:rsid w:val="00906490"/>
    <w:rsid w:val="00906CF7"/>
    <w:rsid w:val="009071D1"/>
    <w:rsid w:val="00907B37"/>
    <w:rsid w:val="009111B2"/>
    <w:rsid w:val="00911614"/>
    <w:rsid w:val="009151F5"/>
    <w:rsid w:val="0091597D"/>
    <w:rsid w:val="009220CA"/>
    <w:rsid w:val="009243BD"/>
    <w:rsid w:val="00924AE1"/>
    <w:rsid w:val="00926156"/>
    <w:rsid w:val="009269B1"/>
    <w:rsid w:val="00926B28"/>
    <w:rsid w:val="0092724D"/>
    <w:rsid w:val="009272B3"/>
    <w:rsid w:val="00927717"/>
    <w:rsid w:val="009315BE"/>
    <w:rsid w:val="00932767"/>
    <w:rsid w:val="0093338F"/>
    <w:rsid w:val="00933755"/>
    <w:rsid w:val="00934512"/>
    <w:rsid w:val="00935D64"/>
    <w:rsid w:val="009364A1"/>
    <w:rsid w:val="00937BD9"/>
    <w:rsid w:val="009400D3"/>
    <w:rsid w:val="0094080C"/>
    <w:rsid w:val="00950E2C"/>
    <w:rsid w:val="0095181A"/>
    <w:rsid w:val="00951D50"/>
    <w:rsid w:val="009525EB"/>
    <w:rsid w:val="0095351D"/>
    <w:rsid w:val="0095470B"/>
    <w:rsid w:val="00954741"/>
    <w:rsid w:val="00954874"/>
    <w:rsid w:val="0095615A"/>
    <w:rsid w:val="009563FF"/>
    <w:rsid w:val="00961400"/>
    <w:rsid w:val="00962002"/>
    <w:rsid w:val="00963646"/>
    <w:rsid w:val="0096632D"/>
    <w:rsid w:val="009718C7"/>
    <w:rsid w:val="00972BFA"/>
    <w:rsid w:val="00974413"/>
    <w:rsid w:val="0097559F"/>
    <w:rsid w:val="00975EA5"/>
    <w:rsid w:val="0097761E"/>
    <w:rsid w:val="00982454"/>
    <w:rsid w:val="00982CF0"/>
    <w:rsid w:val="009853E1"/>
    <w:rsid w:val="00986E6B"/>
    <w:rsid w:val="00990032"/>
    <w:rsid w:val="00990B19"/>
    <w:rsid w:val="0099153B"/>
    <w:rsid w:val="00991769"/>
    <w:rsid w:val="00991FB2"/>
    <w:rsid w:val="0099232C"/>
    <w:rsid w:val="0099294C"/>
    <w:rsid w:val="009937A3"/>
    <w:rsid w:val="00994386"/>
    <w:rsid w:val="00995694"/>
    <w:rsid w:val="009A13D8"/>
    <w:rsid w:val="009A279E"/>
    <w:rsid w:val="009A3015"/>
    <w:rsid w:val="009A3490"/>
    <w:rsid w:val="009A3796"/>
    <w:rsid w:val="009B0A6F"/>
    <w:rsid w:val="009B0A94"/>
    <w:rsid w:val="009B2AE8"/>
    <w:rsid w:val="009B59E9"/>
    <w:rsid w:val="009B60DC"/>
    <w:rsid w:val="009B70AA"/>
    <w:rsid w:val="009C24F6"/>
    <w:rsid w:val="009C3443"/>
    <w:rsid w:val="009C599E"/>
    <w:rsid w:val="009C5E77"/>
    <w:rsid w:val="009C657A"/>
    <w:rsid w:val="009C72E2"/>
    <w:rsid w:val="009C7A7E"/>
    <w:rsid w:val="009C7B8A"/>
    <w:rsid w:val="009D02E8"/>
    <w:rsid w:val="009D0A76"/>
    <w:rsid w:val="009D51D0"/>
    <w:rsid w:val="009D70A4"/>
    <w:rsid w:val="009D7B14"/>
    <w:rsid w:val="009E05EE"/>
    <w:rsid w:val="009E08D1"/>
    <w:rsid w:val="009E1B95"/>
    <w:rsid w:val="009E2D4B"/>
    <w:rsid w:val="009E2DEE"/>
    <w:rsid w:val="009E496F"/>
    <w:rsid w:val="009E4B0D"/>
    <w:rsid w:val="009E5250"/>
    <w:rsid w:val="009E7F92"/>
    <w:rsid w:val="009F02A3"/>
    <w:rsid w:val="009F0CD1"/>
    <w:rsid w:val="009F2F27"/>
    <w:rsid w:val="009F34AA"/>
    <w:rsid w:val="009F6BCB"/>
    <w:rsid w:val="009F7B78"/>
    <w:rsid w:val="009F7C7C"/>
    <w:rsid w:val="00A0057A"/>
    <w:rsid w:val="00A02028"/>
    <w:rsid w:val="00A02FA1"/>
    <w:rsid w:val="00A04CCE"/>
    <w:rsid w:val="00A05D6A"/>
    <w:rsid w:val="00A07421"/>
    <w:rsid w:val="00A0776B"/>
    <w:rsid w:val="00A10FB9"/>
    <w:rsid w:val="00A11421"/>
    <w:rsid w:val="00A1389F"/>
    <w:rsid w:val="00A157B1"/>
    <w:rsid w:val="00A22229"/>
    <w:rsid w:val="00A24442"/>
    <w:rsid w:val="00A2731C"/>
    <w:rsid w:val="00A330BB"/>
    <w:rsid w:val="00A36D9A"/>
    <w:rsid w:val="00A40C3F"/>
    <w:rsid w:val="00A44882"/>
    <w:rsid w:val="00A4496D"/>
    <w:rsid w:val="00A45125"/>
    <w:rsid w:val="00A4741E"/>
    <w:rsid w:val="00A51EE9"/>
    <w:rsid w:val="00A54715"/>
    <w:rsid w:val="00A5475D"/>
    <w:rsid w:val="00A55C06"/>
    <w:rsid w:val="00A57723"/>
    <w:rsid w:val="00A57D57"/>
    <w:rsid w:val="00A604B6"/>
    <w:rsid w:val="00A6061C"/>
    <w:rsid w:val="00A615C3"/>
    <w:rsid w:val="00A62937"/>
    <w:rsid w:val="00A62D44"/>
    <w:rsid w:val="00A67263"/>
    <w:rsid w:val="00A67CFA"/>
    <w:rsid w:val="00A7001A"/>
    <w:rsid w:val="00A7161C"/>
    <w:rsid w:val="00A74D83"/>
    <w:rsid w:val="00A77AA3"/>
    <w:rsid w:val="00A8236D"/>
    <w:rsid w:val="00A854EB"/>
    <w:rsid w:val="00A872E5"/>
    <w:rsid w:val="00A9016F"/>
    <w:rsid w:val="00A91406"/>
    <w:rsid w:val="00A9436F"/>
    <w:rsid w:val="00A95B9A"/>
    <w:rsid w:val="00A9667A"/>
    <w:rsid w:val="00A96E65"/>
    <w:rsid w:val="00A97C72"/>
    <w:rsid w:val="00A97D2C"/>
    <w:rsid w:val="00AA268E"/>
    <w:rsid w:val="00AA310B"/>
    <w:rsid w:val="00AA3628"/>
    <w:rsid w:val="00AA578D"/>
    <w:rsid w:val="00AA63D4"/>
    <w:rsid w:val="00AA7451"/>
    <w:rsid w:val="00AB06E8"/>
    <w:rsid w:val="00AB1CD3"/>
    <w:rsid w:val="00AB352F"/>
    <w:rsid w:val="00AB669D"/>
    <w:rsid w:val="00AB7C4F"/>
    <w:rsid w:val="00AC274B"/>
    <w:rsid w:val="00AC401A"/>
    <w:rsid w:val="00AC4587"/>
    <w:rsid w:val="00AC45BA"/>
    <w:rsid w:val="00AC4764"/>
    <w:rsid w:val="00AC52B3"/>
    <w:rsid w:val="00AC6D36"/>
    <w:rsid w:val="00AC7783"/>
    <w:rsid w:val="00AD0CBA"/>
    <w:rsid w:val="00AD177A"/>
    <w:rsid w:val="00AD2087"/>
    <w:rsid w:val="00AD2212"/>
    <w:rsid w:val="00AD26E2"/>
    <w:rsid w:val="00AD4C10"/>
    <w:rsid w:val="00AD784C"/>
    <w:rsid w:val="00AE126A"/>
    <w:rsid w:val="00AE1413"/>
    <w:rsid w:val="00AE1496"/>
    <w:rsid w:val="00AE1BAE"/>
    <w:rsid w:val="00AE3005"/>
    <w:rsid w:val="00AE3BD5"/>
    <w:rsid w:val="00AE3C9C"/>
    <w:rsid w:val="00AE4960"/>
    <w:rsid w:val="00AE59A0"/>
    <w:rsid w:val="00AE76D4"/>
    <w:rsid w:val="00AF0C57"/>
    <w:rsid w:val="00AF26F3"/>
    <w:rsid w:val="00AF5F04"/>
    <w:rsid w:val="00B00672"/>
    <w:rsid w:val="00B01AC9"/>
    <w:rsid w:val="00B01B4D"/>
    <w:rsid w:val="00B06571"/>
    <w:rsid w:val="00B068BA"/>
    <w:rsid w:val="00B07FF7"/>
    <w:rsid w:val="00B13476"/>
    <w:rsid w:val="00B13851"/>
    <w:rsid w:val="00B13B1C"/>
    <w:rsid w:val="00B14780"/>
    <w:rsid w:val="00B20AC9"/>
    <w:rsid w:val="00B21DB2"/>
    <w:rsid w:val="00B21F90"/>
    <w:rsid w:val="00B22291"/>
    <w:rsid w:val="00B23F9A"/>
    <w:rsid w:val="00B2417B"/>
    <w:rsid w:val="00B24B28"/>
    <w:rsid w:val="00B24E6F"/>
    <w:rsid w:val="00B26CB5"/>
    <w:rsid w:val="00B2752E"/>
    <w:rsid w:val="00B307CC"/>
    <w:rsid w:val="00B31CF8"/>
    <w:rsid w:val="00B3217D"/>
    <w:rsid w:val="00B32474"/>
    <w:rsid w:val="00B326B7"/>
    <w:rsid w:val="00B32A62"/>
    <w:rsid w:val="00B34D38"/>
    <w:rsid w:val="00B3566E"/>
    <w:rsid w:val="00B3588E"/>
    <w:rsid w:val="00B37034"/>
    <w:rsid w:val="00B41F3D"/>
    <w:rsid w:val="00B431E8"/>
    <w:rsid w:val="00B45141"/>
    <w:rsid w:val="00B46DE7"/>
    <w:rsid w:val="00B519CD"/>
    <w:rsid w:val="00B5273A"/>
    <w:rsid w:val="00B531C8"/>
    <w:rsid w:val="00B54539"/>
    <w:rsid w:val="00B57329"/>
    <w:rsid w:val="00B60E61"/>
    <w:rsid w:val="00B62B50"/>
    <w:rsid w:val="00B635B7"/>
    <w:rsid w:val="00B638BB"/>
    <w:rsid w:val="00B63AE8"/>
    <w:rsid w:val="00B657FC"/>
    <w:rsid w:val="00B65950"/>
    <w:rsid w:val="00B669F7"/>
    <w:rsid w:val="00B66D83"/>
    <w:rsid w:val="00B672C0"/>
    <w:rsid w:val="00B676FD"/>
    <w:rsid w:val="00B72617"/>
    <w:rsid w:val="00B736C5"/>
    <w:rsid w:val="00B753E3"/>
    <w:rsid w:val="00B75646"/>
    <w:rsid w:val="00B808A8"/>
    <w:rsid w:val="00B8240C"/>
    <w:rsid w:val="00B824E3"/>
    <w:rsid w:val="00B8498D"/>
    <w:rsid w:val="00B90729"/>
    <w:rsid w:val="00B907DA"/>
    <w:rsid w:val="00B9492B"/>
    <w:rsid w:val="00B94CD5"/>
    <w:rsid w:val="00B950BC"/>
    <w:rsid w:val="00B9714C"/>
    <w:rsid w:val="00BA1C66"/>
    <w:rsid w:val="00BA2620"/>
    <w:rsid w:val="00BA29AD"/>
    <w:rsid w:val="00BA33CF"/>
    <w:rsid w:val="00BA3800"/>
    <w:rsid w:val="00BA3EDD"/>
    <w:rsid w:val="00BA3F8D"/>
    <w:rsid w:val="00BA6435"/>
    <w:rsid w:val="00BA6B1C"/>
    <w:rsid w:val="00BB07BC"/>
    <w:rsid w:val="00BB1CA7"/>
    <w:rsid w:val="00BB2862"/>
    <w:rsid w:val="00BB401B"/>
    <w:rsid w:val="00BB54F5"/>
    <w:rsid w:val="00BB7A10"/>
    <w:rsid w:val="00BC0DD7"/>
    <w:rsid w:val="00BC3E8F"/>
    <w:rsid w:val="00BC60BE"/>
    <w:rsid w:val="00BC712A"/>
    <w:rsid w:val="00BC7468"/>
    <w:rsid w:val="00BC7D4F"/>
    <w:rsid w:val="00BC7ED7"/>
    <w:rsid w:val="00BD2850"/>
    <w:rsid w:val="00BD3C58"/>
    <w:rsid w:val="00BD4178"/>
    <w:rsid w:val="00BE28D2"/>
    <w:rsid w:val="00BE2D20"/>
    <w:rsid w:val="00BE4A64"/>
    <w:rsid w:val="00BE5E43"/>
    <w:rsid w:val="00BF0C65"/>
    <w:rsid w:val="00BF30B2"/>
    <w:rsid w:val="00BF557D"/>
    <w:rsid w:val="00BF5F87"/>
    <w:rsid w:val="00BF7F58"/>
    <w:rsid w:val="00C01381"/>
    <w:rsid w:val="00C01AB1"/>
    <w:rsid w:val="00C026A0"/>
    <w:rsid w:val="00C02A11"/>
    <w:rsid w:val="00C06137"/>
    <w:rsid w:val="00C079B8"/>
    <w:rsid w:val="00C10037"/>
    <w:rsid w:val="00C123EA"/>
    <w:rsid w:val="00C12A49"/>
    <w:rsid w:val="00C13167"/>
    <w:rsid w:val="00C133EE"/>
    <w:rsid w:val="00C149D0"/>
    <w:rsid w:val="00C17A1E"/>
    <w:rsid w:val="00C20D53"/>
    <w:rsid w:val="00C22048"/>
    <w:rsid w:val="00C24A47"/>
    <w:rsid w:val="00C26588"/>
    <w:rsid w:val="00C27DE9"/>
    <w:rsid w:val="00C32989"/>
    <w:rsid w:val="00C33388"/>
    <w:rsid w:val="00C35484"/>
    <w:rsid w:val="00C355FB"/>
    <w:rsid w:val="00C37C73"/>
    <w:rsid w:val="00C37F12"/>
    <w:rsid w:val="00C414CD"/>
    <w:rsid w:val="00C4173A"/>
    <w:rsid w:val="00C437DA"/>
    <w:rsid w:val="00C455DA"/>
    <w:rsid w:val="00C4570F"/>
    <w:rsid w:val="00C46D1C"/>
    <w:rsid w:val="00C50DED"/>
    <w:rsid w:val="00C54A8C"/>
    <w:rsid w:val="00C55507"/>
    <w:rsid w:val="00C56C6A"/>
    <w:rsid w:val="00C57909"/>
    <w:rsid w:val="00C602FF"/>
    <w:rsid w:val="00C6071C"/>
    <w:rsid w:val="00C61174"/>
    <w:rsid w:val="00C6148F"/>
    <w:rsid w:val="00C621B1"/>
    <w:rsid w:val="00C62F7A"/>
    <w:rsid w:val="00C63B9C"/>
    <w:rsid w:val="00C64296"/>
    <w:rsid w:val="00C65E91"/>
    <w:rsid w:val="00C6682F"/>
    <w:rsid w:val="00C67BF4"/>
    <w:rsid w:val="00C7275E"/>
    <w:rsid w:val="00C73C5A"/>
    <w:rsid w:val="00C7490E"/>
    <w:rsid w:val="00C74C5D"/>
    <w:rsid w:val="00C81AC5"/>
    <w:rsid w:val="00C863C4"/>
    <w:rsid w:val="00C8746D"/>
    <w:rsid w:val="00C87ECE"/>
    <w:rsid w:val="00C87FA4"/>
    <w:rsid w:val="00C920EA"/>
    <w:rsid w:val="00C93C3E"/>
    <w:rsid w:val="00C95591"/>
    <w:rsid w:val="00C9617E"/>
    <w:rsid w:val="00C96B2C"/>
    <w:rsid w:val="00C96DC7"/>
    <w:rsid w:val="00CA12E3"/>
    <w:rsid w:val="00CA1476"/>
    <w:rsid w:val="00CA18B9"/>
    <w:rsid w:val="00CA2D9E"/>
    <w:rsid w:val="00CA6611"/>
    <w:rsid w:val="00CA6AE6"/>
    <w:rsid w:val="00CA782F"/>
    <w:rsid w:val="00CA7DA5"/>
    <w:rsid w:val="00CB187B"/>
    <w:rsid w:val="00CB19D5"/>
    <w:rsid w:val="00CB2835"/>
    <w:rsid w:val="00CB3285"/>
    <w:rsid w:val="00CB4175"/>
    <w:rsid w:val="00CB4500"/>
    <w:rsid w:val="00CB7800"/>
    <w:rsid w:val="00CB7DE6"/>
    <w:rsid w:val="00CC0C72"/>
    <w:rsid w:val="00CC0FA6"/>
    <w:rsid w:val="00CC2BFD"/>
    <w:rsid w:val="00CD3476"/>
    <w:rsid w:val="00CD4692"/>
    <w:rsid w:val="00CD64DF"/>
    <w:rsid w:val="00CE225F"/>
    <w:rsid w:val="00CE4C99"/>
    <w:rsid w:val="00CE627C"/>
    <w:rsid w:val="00CE6DF7"/>
    <w:rsid w:val="00CE7018"/>
    <w:rsid w:val="00CF0838"/>
    <w:rsid w:val="00CF2F50"/>
    <w:rsid w:val="00CF5B99"/>
    <w:rsid w:val="00CF6198"/>
    <w:rsid w:val="00D02697"/>
    <w:rsid w:val="00D02919"/>
    <w:rsid w:val="00D04C61"/>
    <w:rsid w:val="00D05B8D"/>
    <w:rsid w:val="00D065A2"/>
    <w:rsid w:val="00D0744B"/>
    <w:rsid w:val="00D079AA"/>
    <w:rsid w:val="00D07F00"/>
    <w:rsid w:val="00D11016"/>
    <w:rsid w:val="00D1130F"/>
    <w:rsid w:val="00D1470F"/>
    <w:rsid w:val="00D16C43"/>
    <w:rsid w:val="00D17B05"/>
    <w:rsid w:val="00D17B72"/>
    <w:rsid w:val="00D2354E"/>
    <w:rsid w:val="00D3185C"/>
    <w:rsid w:val="00D3205F"/>
    <w:rsid w:val="00D32735"/>
    <w:rsid w:val="00D3318E"/>
    <w:rsid w:val="00D33E72"/>
    <w:rsid w:val="00D3552A"/>
    <w:rsid w:val="00D35BD6"/>
    <w:rsid w:val="00D361B5"/>
    <w:rsid w:val="00D372FC"/>
    <w:rsid w:val="00D404D1"/>
    <w:rsid w:val="00D405AC"/>
    <w:rsid w:val="00D411A2"/>
    <w:rsid w:val="00D41325"/>
    <w:rsid w:val="00D41A61"/>
    <w:rsid w:val="00D42F31"/>
    <w:rsid w:val="00D44669"/>
    <w:rsid w:val="00D4606D"/>
    <w:rsid w:val="00D46C92"/>
    <w:rsid w:val="00D50B9C"/>
    <w:rsid w:val="00D52D73"/>
    <w:rsid w:val="00D52E58"/>
    <w:rsid w:val="00D56B20"/>
    <w:rsid w:val="00D578B3"/>
    <w:rsid w:val="00D618F4"/>
    <w:rsid w:val="00D6400B"/>
    <w:rsid w:val="00D64834"/>
    <w:rsid w:val="00D66781"/>
    <w:rsid w:val="00D714CC"/>
    <w:rsid w:val="00D74483"/>
    <w:rsid w:val="00D75EA7"/>
    <w:rsid w:val="00D76716"/>
    <w:rsid w:val="00D76BF7"/>
    <w:rsid w:val="00D8079A"/>
    <w:rsid w:val="00D81983"/>
    <w:rsid w:val="00D81ADF"/>
    <w:rsid w:val="00D81F21"/>
    <w:rsid w:val="00D864F2"/>
    <w:rsid w:val="00D92655"/>
    <w:rsid w:val="00D92F95"/>
    <w:rsid w:val="00D93200"/>
    <w:rsid w:val="00D93A4B"/>
    <w:rsid w:val="00D943F8"/>
    <w:rsid w:val="00D95470"/>
    <w:rsid w:val="00D96B55"/>
    <w:rsid w:val="00D976D7"/>
    <w:rsid w:val="00DA066A"/>
    <w:rsid w:val="00DA17B5"/>
    <w:rsid w:val="00DA1E33"/>
    <w:rsid w:val="00DA2619"/>
    <w:rsid w:val="00DA404A"/>
    <w:rsid w:val="00DA4239"/>
    <w:rsid w:val="00DA5A6E"/>
    <w:rsid w:val="00DA65DE"/>
    <w:rsid w:val="00DA6A33"/>
    <w:rsid w:val="00DB0B61"/>
    <w:rsid w:val="00DB0F8D"/>
    <w:rsid w:val="00DB1474"/>
    <w:rsid w:val="00DB2962"/>
    <w:rsid w:val="00DB52FB"/>
    <w:rsid w:val="00DB7D98"/>
    <w:rsid w:val="00DC013B"/>
    <w:rsid w:val="00DC090B"/>
    <w:rsid w:val="00DC1679"/>
    <w:rsid w:val="00DC219B"/>
    <w:rsid w:val="00DC2CF1"/>
    <w:rsid w:val="00DC2FA4"/>
    <w:rsid w:val="00DC4FCF"/>
    <w:rsid w:val="00DC50E0"/>
    <w:rsid w:val="00DC5CFE"/>
    <w:rsid w:val="00DC6386"/>
    <w:rsid w:val="00DD0CCD"/>
    <w:rsid w:val="00DD1130"/>
    <w:rsid w:val="00DD1815"/>
    <w:rsid w:val="00DD1951"/>
    <w:rsid w:val="00DD1CC3"/>
    <w:rsid w:val="00DD3609"/>
    <w:rsid w:val="00DD487D"/>
    <w:rsid w:val="00DD4E83"/>
    <w:rsid w:val="00DD622B"/>
    <w:rsid w:val="00DD6628"/>
    <w:rsid w:val="00DD6945"/>
    <w:rsid w:val="00DD6C86"/>
    <w:rsid w:val="00DE2D04"/>
    <w:rsid w:val="00DE3250"/>
    <w:rsid w:val="00DE451A"/>
    <w:rsid w:val="00DE6028"/>
    <w:rsid w:val="00DE715E"/>
    <w:rsid w:val="00DE78A3"/>
    <w:rsid w:val="00DF1A71"/>
    <w:rsid w:val="00DF2774"/>
    <w:rsid w:val="00DF50FC"/>
    <w:rsid w:val="00DF68C7"/>
    <w:rsid w:val="00DF731A"/>
    <w:rsid w:val="00DF791C"/>
    <w:rsid w:val="00DF7BA3"/>
    <w:rsid w:val="00E054B8"/>
    <w:rsid w:val="00E06B75"/>
    <w:rsid w:val="00E11332"/>
    <w:rsid w:val="00E11352"/>
    <w:rsid w:val="00E170DC"/>
    <w:rsid w:val="00E17546"/>
    <w:rsid w:val="00E208B0"/>
    <w:rsid w:val="00E210B5"/>
    <w:rsid w:val="00E2369F"/>
    <w:rsid w:val="00E261B3"/>
    <w:rsid w:val="00E26818"/>
    <w:rsid w:val="00E27FFC"/>
    <w:rsid w:val="00E30B15"/>
    <w:rsid w:val="00E33039"/>
    <w:rsid w:val="00E33237"/>
    <w:rsid w:val="00E341C8"/>
    <w:rsid w:val="00E40181"/>
    <w:rsid w:val="00E469C5"/>
    <w:rsid w:val="00E47350"/>
    <w:rsid w:val="00E54950"/>
    <w:rsid w:val="00E56A01"/>
    <w:rsid w:val="00E60F91"/>
    <w:rsid w:val="00E6247D"/>
    <w:rsid w:val="00E62622"/>
    <w:rsid w:val="00E629A1"/>
    <w:rsid w:val="00E6794C"/>
    <w:rsid w:val="00E71591"/>
    <w:rsid w:val="00E71CEB"/>
    <w:rsid w:val="00E73FBE"/>
    <w:rsid w:val="00E7474F"/>
    <w:rsid w:val="00E7495C"/>
    <w:rsid w:val="00E80DE3"/>
    <w:rsid w:val="00E82C55"/>
    <w:rsid w:val="00E8787E"/>
    <w:rsid w:val="00E87965"/>
    <w:rsid w:val="00E92AC3"/>
    <w:rsid w:val="00E92B87"/>
    <w:rsid w:val="00EA1360"/>
    <w:rsid w:val="00EA2604"/>
    <w:rsid w:val="00EA2F6A"/>
    <w:rsid w:val="00EA5A46"/>
    <w:rsid w:val="00EB00E0"/>
    <w:rsid w:val="00EB076C"/>
    <w:rsid w:val="00EB5529"/>
    <w:rsid w:val="00EB69A7"/>
    <w:rsid w:val="00EB6FD1"/>
    <w:rsid w:val="00EC04C3"/>
    <w:rsid w:val="00EC059F"/>
    <w:rsid w:val="00EC1F24"/>
    <w:rsid w:val="00EC22F6"/>
    <w:rsid w:val="00EC3376"/>
    <w:rsid w:val="00EC40D5"/>
    <w:rsid w:val="00EC4D2E"/>
    <w:rsid w:val="00EC5C08"/>
    <w:rsid w:val="00ED103D"/>
    <w:rsid w:val="00ED2763"/>
    <w:rsid w:val="00ED5B9B"/>
    <w:rsid w:val="00ED5C7A"/>
    <w:rsid w:val="00ED6BAD"/>
    <w:rsid w:val="00ED7447"/>
    <w:rsid w:val="00ED7FB1"/>
    <w:rsid w:val="00EE004E"/>
    <w:rsid w:val="00EE00D6"/>
    <w:rsid w:val="00EE11E7"/>
    <w:rsid w:val="00EE1488"/>
    <w:rsid w:val="00EE1607"/>
    <w:rsid w:val="00EE1D49"/>
    <w:rsid w:val="00EE29AD"/>
    <w:rsid w:val="00EE3E24"/>
    <w:rsid w:val="00EE4D5D"/>
    <w:rsid w:val="00EE5131"/>
    <w:rsid w:val="00EE58CC"/>
    <w:rsid w:val="00EE665D"/>
    <w:rsid w:val="00EE6CF5"/>
    <w:rsid w:val="00EF0BA8"/>
    <w:rsid w:val="00EF109B"/>
    <w:rsid w:val="00EF1FF1"/>
    <w:rsid w:val="00EF201C"/>
    <w:rsid w:val="00EF246C"/>
    <w:rsid w:val="00EF2C1B"/>
    <w:rsid w:val="00EF36AF"/>
    <w:rsid w:val="00EF55EA"/>
    <w:rsid w:val="00EF59A3"/>
    <w:rsid w:val="00EF6675"/>
    <w:rsid w:val="00F00F9C"/>
    <w:rsid w:val="00F01E5F"/>
    <w:rsid w:val="00F024F3"/>
    <w:rsid w:val="00F02ABA"/>
    <w:rsid w:val="00F0437A"/>
    <w:rsid w:val="00F101B8"/>
    <w:rsid w:val="00F11037"/>
    <w:rsid w:val="00F16F1B"/>
    <w:rsid w:val="00F1763F"/>
    <w:rsid w:val="00F20042"/>
    <w:rsid w:val="00F21B25"/>
    <w:rsid w:val="00F250A9"/>
    <w:rsid w:val="00F26477"/>
    <w:rsid w:val="00F267AF"/>
    <w:rsid w:val="00F2706F"/>
    <w:rsid w:val="00F30FF4"/>
    <w:rsid w:val="00F31055"/>
    <w:rsid w:val="00F3122E"/>
    <w:rsid w:val="00F32368"/>
    <w:rsid w:val="00F32690"/>
    <w:rsid w:val="00F3318A"/>
    <w:rsid w:val="00F331AD"/>
    <w:rsid w:val="00F35287"/>
    <w:rsid w:val="00F36BB7"/>
    <w:rsid w:val="00F371A8"/>
    <w:rsid w:val="00F40A70"/>
    <w:rsid w:val="00F416BB"/>
    <w:rsid w:val="00F43A37"/>
    <w:rsid w:val="00F451AB"/>
    <w:rsid w:val="00F4641B"/>
    <w:rsid w:val="00F46EB8"/>
    <w:rsid w:val="00F47685"/>
    <w:rsid w:val="00F50CD1"/>
    <w:rsid w:val="00F511CD"/>
    <w:rsid w:val="00F511E4"/>
    <w:rsid w:val="00F52D09"/>
    <w:rsid w:val="00F52E08"/>
    <w:rsid w:val="00F53A66"/>
    <w:rsid w:val="00F53DDD"/>
    <w:rsid w:val="00F5462D"/>
    <w:rsid w:val="00F55B21"/>
    <w:rsid w:val="00F55FC9"/>
    <w:rsid w:val="00F56652"/>
    <w:rsid w:val="00F56EF6"/>
    <w:rsid w:val="00F60082"/>
    <w:rsid w:val="00F61A9F"/>
    <w:rsid w:val="00F61B5F"/>
    <w:rsid w:val="00F64696"/>
    <w:rsid w:val="00F65AA9"/>
    <w:rsid w:val="00F6768F"/>
    <w:rsid w:val="00F712D8"/>
    <w:rsid w:val="00F7286B"/>
    <w:rsid w:val="00F72C2C"/>
    <w:rsid w:val="00F76CAB"/>
    <w:rsid w:val="00F772C6"/>
    <w:rsid w:val="00F815B5"/>
    <w:rsid w:val="00F84FA0"/>
    <w:rsid w:val="00F85111"/>
    <w:rsid w:val="00F85195"/>
    <w:rsid w:val="00F85BF1"/>
    <w:rsid w:val="00F868E3"/>
    <w:rsid w:val="00F92BA5"/>
    <w:rsid w:val="00F92CF9"/>
    <w:rsid w:val="00F938BA"/>
    <w:rsid w:val="00F97919"/>
    <w:rsid w:val="00FA2C46"/>
    <w:rsid w:val="00FA2F42"/>
    <w:rsid w:val="00FA3525"/>
    <w:rsid w:val="00FA36B7"/>
    <w:rsid w:val="00FA411F"/>
    <w:rsid w:val="00FA5A53"/>
    <w:rsid w:val="00FB00E3"/>
    <w:rsid w:val="00FB2551"/>
    <w:rsid w:val="00FB36FB"/>
    <w:rsid w:val="00FB456D"/>
    <w:rsid w:val="00FB4769"/>
    <w:rsid w:val="00FB4CDA"/>
    <w:rsid w:val="00FB6481"/>
    <w:rsid w:val="00FB6D34"/>
    <w:rsid w:val="00FB6D36"/>
    <w:rsid w:val="00FC0965"/>
    <w:rsid w:val="00FC0F81"/>
    <w:rsid w:val="00FC252F"/>
    <w:rsid w:val="00FC3946"/>
    <w:rsid w:val="00FC395C"/>
    <w:rsid w:val="00FC5E8E"/>
    <w:rsid w:val="00FC6EC5"/>
    <w:rsid w:val="00FC7829"/>
    <w:rsid w:val="00FD2955"/>
    <w:rsid w:val="00FD32A7"/>
    <w:rsid w:val="00FD3766"/>
    <w:rsid w:val="00FD3CC5"/>
    <w:rsid w:val="00FD45E3"/>
    <w:rsid w:val="00FD47C4"/>
    <w:rsid w:val="00FD4DA8"/>
    <w:rsid w:val="00FD722A"/>
    <w:rsid w:val="00FD7749"/>
    <w:rsid w:val="00FE2DCF"/>
    <w:rsid w:val="00FE3FA7"/>
    <w:rsid w:val="00FE5D90"/>
    <w:rsid w:val="00FE774B"/>
    <w:rsid w:val="00FE7B9E"/>
    <w:rsid w:val="00FF1209"/>
    <w:rsid w:val="00FF2A4E"/>
    <w:rsid w:val="00FF2FCE"/>
    <w:rsid w:val="00FF366C"/>
    <w:rsid w:val="00FF4DE4"/>
    <w:rsid w:val="00FF4F7D"/>
    <w:rsid w:val="00FF5240"/>
    <w:rsid w:val="00FF54DF"/>
    <w:rsid w:val="00FF62D0"/>
    <w:rsid w:val="00FF6D9D"/>
    <w:rsid w:val="00FF78D7"/>
    <w:rsid w:val="00FF7DD5"/>
    <w:rsid w:val="027DDA92"/>
    <w:rsid w:val="0515FC67"/>
    <w:rsid w:val="057D7485"/>
    <w:rsid w:val="0581A9D9"/>
    <w:rsid w:val="05E540E7"/>
    <w:rsid w:val="05F35E5A"/>
    <w:rsid w:val="0609C4F7"/>
    <w:rsid w:val="063625F3"/>
    <w:rsid w:val="06A2B8D7"/>
    <w:rsid w:val="0736D304"/>
    <w:rsid w:val="0983733B"/>
    <w:rsid w:val="0AA1D9EB"/>
    <w:rsid w:val="0B24B638"/>
    <w:rsid w:val="0B25DC2B"/>
    <w:rsid w:val="0B54003C"/>
    <w:rsid w:val="0BFA3730"/>
    <w:rsid w:val="0D4612F0"/>
    <w:rsid w:val="0E0717C4"/>
    <w:rsid w:val="0E38AEEB"/>
    <w:rsid w:val="0F61F036"/>
    <w:rsid w:val="1028FA6B"/>
    <w:rsid w:val="1080C6F8"/>
    <w:rsid w:val="1131F76F"/>
    <w:rsid w:val="120FDE6D"/>
    <w:rsid w:val="1426F13A"/>
    <w:rsid w:val="15026FFD"/>
    <w:rsid w:val="155B6134"/>
    <w:rsid w:val="15BE93D2"/>
    <w:rsid w:val="15FA69A2"/>
    <w:rsid w:val="1643F4DA"/>
    <w:rsid w:val="169884A2"/>
    <w:rsid w:val="171904D0"/>
    <w:rsid w:val="171C8836"/>
    <w:rsid w:val="180E8309"/>
    <w:rsid w:val="1AD27840"/>
    <w:rsid w:val="1B167F84"/>
    <w:rsid w:val="1B6C129E"/>
    <w:rsid w:val="1B8902EF"/>
    <w:rsid w:val="1C027445"/>
    <w:rsid w:val="1C3D4B33"/>
    <w:rsid w:val="1D51B350"/>
    <w:rsid w:val="1DB3EE4A"/>
    <w:rsid w:val="1E29BE8A"/>
    <w:rsid w:val="1E2A9E38"/>
    <w:rsid w:val="1ECA880A"/>
    <w:rsid w:val="21F306C2"/>
    <w:rsid w:val="240BBA68"/>
    <w:rsid w:val="249F5DB2"/>
    <w:rsid w:val="2559E8F9"/>
    <w:rsid w:val="25D98C85"/>
    <w:rsid w:val="26BDFC28"/>
    <w:rsid w:val="2744979F"/>
    <w:rsid w:val="2961F599"/>
    <w:rsid w:val="298B5C24"/>
    <w:rsid w:val="2A00D080"/>
    <w:rsid w:val="2AE46A4B"/>
    <w:rsid w:val="2B7FDCF4"/>
    <w:rsid w:val="2C0D1C5C"/>
    <w:rsid w:val="2DF2B958"/>
    <w:rsid w:val="3018931A"/>
    <w:rsid w:val="3205CF27"/>
    <w:rsid w:val="3274FA44"/>
    <w:rsid w:val="33469F1B"/>
    <w:rsid w:val="33F10D43"/>
    <w:rsid w:val="3426D313"/>
    <w:rsid w:val="363D09CE"/>
    <w:rsid w:val="3887EB9F"/>
    <w:rsid w:val="3947A341"/>
    <w:rsid w:val="3BCB9EF6"/>
    <w:rsid w:val="3BD30679"/>
    <w:rsid w:val="3BDA6B38"/>
    <w:rsid w:val="3D5DEE13"/>
    <w:rsid w:val="3D8823A3"/>
    <w:rsid w:val="3DC55744"/>
    <w:rsid w:val="3E3B1A80"/>
    <w:rsid w:val="3E457115"/>
    <w:rsid w:val="3E7363D3"/>
    <w:rsid w:val="4068174B"/>
    <w:rsid w:val="40896698"/>
    <w:rsid w:val="40BC8540"/>
    <w:rsid w:val="4151D4AB"/>
    <w:rsid w:val="42B28F39"/>
    <w:rsid w:val="42B46DDC"/>
    <w:rsid w:val="42DBB5F9"/>
    <w:rsid w:val="44C510EB"/>
    <w:rsid w:val="45A99412"/>
    <w:rsid w:val="46506584"/>
    <w:rsid w:val="48039AAC"/>
    <w:rsid w:val="486A909E"/>
    <w:rsid w:val="48C53ACD"/>
    <w:rsid w:val="494645D6"/>
    <w:rsid w:val="4A6FCAD9"/>
    <w:rsid w:val="4B1440C6"/>
    <w:rsid w:val="4B1D4948"/>
    <w:rsid w:val="4E00CA78"/>
    <w:rsid w:val="4ED5C473"/>
    <w:rsid w:val="4F1E78DE"/>
    <w:rsid w:val="4FF03200"/>
    <w:rsid w:val="501B7319"/>
    <w:rsid w:val="507C119C"/>
    <w:rsid w:val="50C869AA"/>
    <w:rsid w:val="50FED7C2"/>
    <w:rsid w:val="517B57DA"/>
    <w:rsid w:val="522FC635"/>
    <w:rsid w:val="526DBD3D"/>
    <w:rsid w:val="533004B5"/>
    <w:rsid w:val="53BC6114"/>
    <w:rsid w:val="5548A38C"/>
    <w:rsid w:val="5680CD2C"/>
    <w:rsid w:val="5774A055"/>
    <w:rsid w:val="57AC2D9C"/>
    <w:rsid w:val="59876E29"/>
    <w:rsid w:val="5A14A1DB"/>
    <w:rsid w:val="5A67150D"/>
    <w:rsid w:val="5ADDAAC2"/>
    <w:rsid w:val="5BD63C94"/>
    <w:rsid w:val="5C367E02"/>
    <w:rsid w:val="5D36D001"/>
    <w:rsid w:val="5D3F8F91"/>
    <w:rsid w:val="5D4C1177"/>
    <w:rsid w:val="5D4E8CD8"/>
    <w:rsid w:val="5DDBE55C"/>
    <w:rsid w:val="5F15F63A"/>
    <w:rsid w:val="608AE6B8"/>
    <w:rsid w:val="60B2616D"/>
    <w:rsid w:val="617D101F"/>
    <w:rsid w:val="6277780F"/>
    <w:rsid w:val="63636965"/>
    <w:rsid w:val="64118746"/>
    <w:rsid w:val="64499DCD"/>
    <w:rsid w:val="647B9F84"/>
    <w:rsid w:val="64DF14DC"/>
    <w:rsid w:val="6551A379"/>
    <w:rsid w:val="670C464C"/>
    <w:rsid w:val="68F37F4C"/>
    <w:rsid w:val="6AE4FABC"/>
    <w:rsid w:val="6BFE8D90"/>
    <w:rsid w:val="6C193BE4"/>
    <w:rsid w:val="6C8DD56F"/>
    <w:rsid w:val="6EC7D12A"/>
    <w:rsid w:val="6FF20B2D"/>
    <w:rsid w:val="70320FD6"/>
    <w:rsid w:val="729D0E41"/>
    <w:rsid w:val="73EA6565"/>
    <w:rsid w:val="744697A1"/>
    <w:rsid w:val="74AD18B0"/>
    <w:rsid w:val="7581F1A5"/>
    <w:rsid w:val="759CED66"/>
    <w:rsid w:val="75EEE5D0"/>
    <w:rsid w:val="76570B72"/>
    <w:rsid w:val="7856632A"/>
    <w:rsid w:val="785CEECE"/>
    <w:rsid w:val="789D5142"/>
    <w:rsid w:val="79C46386"/>
    <w:rsid w:val="79FECABC"/>
    <w:rsid w:val="7A168D77"/>
    <w:rsid w:val="7A2F09EB"/>
    <w:rsid w:val="7A32ED3F"/>
    <w:rsid w:val="7B07F070"/>
    <w:rsid w:val="7B16F023"/>
    <w:rsid w:val="7C3AB643"/>
    <w:rsid w:val="7C8E983C"/>
    <w:rsid w:val="7CA48E2A"/>
    <w:rsid w:val="7D53BAD7"/>
    <w:rsid w:val="7D5DBA16"/>
    <w:rsid w:val="7F97DE06"/>
    <w:rsid w:val="7FA0417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AFD43E"/>
  <w15:docId w15:val="{F4779907-6B31-41E6-A321-FFEDB498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C13167"/>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A604B6"/>
    <w:rPr>
      <w:color w:val="2B579A"/>
      <w:shd w:val="clear" w:color="auto" w:fill="E1DFDD"/>
    </w:rPr>
  </w:style>
  <w:style w:type="character" w:customStyle="1" w:styleId="FooterChar">
    <w:name w:val="Footer Char"/>
    <w:basedOn w:val="DefaultParagraphFont"/>
    <w:link w:val="Footer"/>
    <w:uiPriority w:val="99"/>
    <w:rsid w:val="00165F6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3849">
      <w:bodyDiv w:val="1"/>
      <w:marLeft w:val="0"/>
      <w:marRight w:val="0"/>
      <w:marTop w:val="0"/>
      <w:marBottom w:val="0"/>
      <w:divBdr>
        <w:top w:val="none" w:sz="0" w:space="0" w:color="auto"/>
        <w:left w:val="none" w:sz="0" w:space="0" w:color="auto"/>
        <w:bottom w:val="none" w:sz="0" w:space="0" w:color="auto"/>
        <w:right w:val="none" w:sz="0" w:space="0" w:color="auto"/>
      </w:divBdr>
    </w:div>
    <w:div w:id="8219028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2548364">
      <w:bodyDiv w:val="1"/>
      <w:marLeft w:val="0"/>
      <w:marRight w:val="0"/>
      <w:marTop w:val="0"/>
      <w:marBottom w:val="0"/>
      <w:divBdr>
        <w:top w:val="none" w:sz="0" w:space="0" w:color="auto"/>
        <w:left w:val="none" w:sz="0" w:space="0" w:color="auto"/>
        <w:bottom w:val="none" w:sz="0" w:space="0" w:color="auto"/>
        <w:right w:val="none" w:sz="0" w:space="0" w:color="auto"/>
      </w:divBdr>
    </w:div>
    <w:div w:id="25443694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0691508">
      <w:bodyDiv w:val="1"/>
      <w:marLeft w:val="0"/>
      <w:marRight w:val="0"/>
      <w:marTop w:val="0"/>
      <w:marBottom w:val="0"/>
      <w:divBdr>
        <w:top w:val="none" w:sz="0" w:space="0" w:color="auto"/>
        <w:left w:val="none" w:sz="0" w:space="0" w:color="auto"/>
        <w:bottom w:val="none" w:sz="0" w:space="0" w:color="auto"/>
        <w:right w:val="none" w:sz="0" w:space="0" w:color="auto"/>
      </w:divBdr>
    </w:div>
    <w:div w:id="362487891">
      <w:bodyDiv w:val="1"/>
      <w:marLeft w:val="0"/>
      <w:marRight w:val="0"/>
      <w:marTop w:val="0"/>
      <w:marBottom w:val="0"/>
      <w:divBdr>
        <w:top w:val="none" w:sz="0" w:space="0" w:color="auto"/>
        <w:left w:val="none" w:sz="0" w:space="0" w:color="auto"/>
        <w:bottom w:val="none" w:sz="0" w:space="0" w:color="auto"/>
        <w:right w:val="none" w:sz="0" w:space="0" w:color="auto"/>
      </w:divBdr>
    </w:div>
    <w:div w:id="379744743">
      <w:bodyDiv w:val="1"/>
      <w:marLeft w:val="0"/>
      <w:marRight w:val="0"/>
      <w:marTop w:val="0"/>
      <w:marBottom w:val="0"/>
      <w:divBdr>
        <w:top w:val="none" w:sz="0" w:space="0" w:color="auto"/>
        <w:left w:val="none" w:sz="0" w:space="0" w:color="auto"/>
        <w:bottom w:val="none" w:sz="0" w:space="0" w:color="auto"/>
        <w:right w:val="none" w:sz="0" w:space="0" w:color="auto"/>
      </w:divBdr>
    </w:div>
    <w:div w:id="381097742">
      <w:bodyDiv w:val="1"/>
      <w:marLeft w:val="0"/>
      <w:marRight w:val="0"/>
      <w:marTop w:val="0"/>
      <w:marBottom w:val="0"/>
      <w:divBdr>
        <w:top w:val="none" w:sz="0" w:space="0" w:color="auto"/>
        <w:left w:val="none" w:sz="0" w:space="0" w:color="auto"/>
        <w:bottom w:val="none" w:sz="0" w:space="0" w:color="auto"/>
        <w:right w:val="none" w:sz="0" w:space="0" w:color="auto"/>
      </w:divBdr>
    </w:div>
    <w:div w:id="427892744">
      <w:bodyDiv w:val="1"/>
      <w:marLeft w:val="0"/>
      <w:marRight w:val="0"/>
      <w:marTop w:val="0"/>
      <w:marBottom w:val="0"/>
      <w:divBdr>
        <w:top w:val="none" w:sz="0" w:space="0" w:color="auto"/>
        <w:left w:val="none" w:sz="0" w:space="0" w:color="auto"/>
        <w:bottom w:val="none" w:sz="0" w:space="0" w:color="auto"/>
        <w:right w:val="none" w:sz="0" w:space="0" w:color="auto"/>
      </w:divBdr>
    </w:div>
    <w:div w:id="441724326">
      <w:bodyDiv w:val="1"/>
      <w:marLeft w:val="0"/>
      <w:marRight w:val="0"/>
      <w:marTop w:val="0"/>
      <w:marBottom w:val="0"/>
      <w:divBdr>
        <w:top w:val="none" w:sz="0" w:space="0" w:color="auto"/>
        <w:left w:val="none" w:sz="0" w:space="0" w:color="auto"/>
        <w:bottom w:val="none" w:sz="0" w:space="0" w:color="auto"/>
        <w:right w:val="none" w:sz="0" w:space="0" w:color="auto"/>
      </w:divBdr>
      <w:divsChild>
        <w:div w:id="1352030148">
          <w:marLeft w:val="0"/>
          <w:marRight w:val="0"/>
          <w:marTop w:val="360"/>
          <w:marBottom w:val="360"/>
          <w:divBdr>
            <w:top w:val="none" w:sz="0" w:space="0" w:color="auto"/>
            <w:left w:val="none" w:sz="0" w:space="0" w:color="auto"/>
            <w:bottom w:val="none" w:sz="0" w:space="0" w:color="auto"/>
            <w:right w:val="none" w:sz="0" w:space="0" w:color="auto"/>
          </w:divBdr>
          <w:divsChild>
            <w:div w:id="1697920553">
              <w:marLeft w:val="0"/>
              <w:marRight w:val="0"/>
              <w:marTop w:val="0"/>
              <w:marBottom w:val="0"/>
              <w:divBdr>
                <w:top w:val="none" w:sz="0" w:space="0" w:color="auto"/>
                <w:left w:val="none" w:sz="0" w:space="0" w:color="auto"/>
                <w:bottom w:val="none" w:sz="0" w:space="0" w:color="auto"/>
                <w:right w:val="none" w:sz="0" w:space="0" w:color="auto"/>
              </w:divBdr>
              <w:divsChild>
                <w:div w:id="208345636">
                  <w:marLeft w:val="0"/>
                  <w:marRight w:val="0"/>
                  <w:marTop w:val="0"/>
                  <w:marBottom w:val="0"/>
                  <w:divBdr>
                    <w:top w:val="none" w:sz="0" w:space="0" w:color="auto"/>
                    <w:left w:val="none" w:sz="0" w:space="0" w:color="auto"/>
                    <w:bottom w:val="none" w:sz="0" w:space="0" w:color="auto"/>
                    <w:right w:val="none" w:sz="0" w:space="0" w:color="auto"/>
                  </w:divBdr>
                  <w:divsChild>
                    <w:div w:id="2077389115">
                      <w:marLeft w:val="0"/>
                      <w:marRight w:val="0"/>
                      <w:marTop w:val="0"/>
                      <w:marBottom w:val="0"/>
                      <w:divBdr>
                        <w:top w:val="none" w:sz="0" w:space="0" w:color="auto"/>
                        <w:left w:val="none" w:sz="0" w:space="0" w:color="auto"/>
                        <w:bottom w:val="none" w:sz="0" w:space="0" w:color="auto"/>
                        <w:right w:val="none" w:sz="0" w:space="0" w:color="auto"/>
                      </w:divBdr>
                      <w:divsChild>
                        <w:div w:id="73287188">
                          <w:marLeft w:val="0"/>
                          <w:marRight w:val="0"/>
                          <w:marTop w:val="0"/>
                          <w:marBottom w:val="0"/>
                          <w:divBdr>
                            <w:top w:val="none" w:sz="0" w:space="0" w:color="auto"/>
                            <w:left w:val="none" w:sz="0" w:space="0" w:color="auto"/>
                            <w:bottom w:val="none" w:sz="0" w:space="0" w:color="auto"/>
                            <w:right w:val="none" w:sz="0" w:space="0" w:color="auto"/>
                          </w:divBdr>
                          <w:divsChild>
                            <w:div w:id="10137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205391">
      <w:bodyDiv w:val="1"/>
      <w:marLeft w:val="0"/>
      <w:marRight w:val="0"/>
      <w:marTop w:val="0"/>
      <w:marBottom w:val="0"/>
      <w:divBdr>
        <w:top w:val="none" w:sz="0" w:space="0" w:color="auto"/>
        <w:left w:val="none" w:sz="0" w:space="0" w:color="auto"/>
        <w:bottom w:val="none" w:sz="0" w:space="0" w:color="auto"/>
        <w:right w:val="none" w:sz="0" w:space="0" w:color="auto"/>
      </w:divBdr>
    </w:div>
    <w:div w:id="586617603">
      <w:bodyDiv w:val="1"/>
      <w:marLeft w:val="0"/>
      <w:marRight w:val="0"/>
      <w:marTop w:val="0"/>
      <w:marBottom w:val="0"/>
      <w:divBdr>
        <w:top w:val="none" w:sz="0" w:space="0" w:color="auto"/>
        <w:left w:val="none" w:sz="0" w:space="0" w:color="auto"/>
        <w:bottom w:val="none" w:sz="0" w:space="0" w:color="auto"/>
        <w:right w:val="none" w:sz="0" w:space="0" w:color="auto"/>
      </w:divBdr>
    </w:div>
    <w:div w:id="59690733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475137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499150">
      <w:bodyDiv w:val="1"/>
      <w:marLeft w:val="0"/>
      <w:marRight w:val="0"/>
      <w:marTop w:val="0"/>
      <w:marBottom w:val="0"/>
      <w:divBdr>
        <w:top w:val="none" w:sz="0" w:space="0" w:color="auto"/>
        <w:left w:val="none" w:sz="0" w:space="0" w:color="auto"/>
        <w:bottom w:val="none" w:sz="0" w:space="0" w:color="auto"/>
        <w:right w:val="none" w:sz="0" w:space="0" w:color="auto"/>
      </w:divBdr>
    </w:div>
    <w:div w:id="1327130430">
      <w:bodyDiv w:val="1"/>
      <w:marLeft w:val="0"/>
      <w:marRight w:val="0"/>
      <w:marTop w:val="0"/>
      <w:marBottom w:val="0"/>
      <w:divBdr>
        <w:top w:val="none" w:sz="0" w:space="0" w:color="auto"/>
        <w:left w:val="none" w:sz="0" w:space="0" w:color="auto"/>
        <w:bottom w:val="none" w:sz="0" w:space="0" w:color="auto"/>
        <w:right w:val="none" w:sz="0" w:space="0" w:color="auto"/>
      </w:divBdr>
      <w:divsChild>
        <w:div w:id="875310535">
          <w:marLeft w:val="0"/>
          <w:marRight w:val="0"/>
          <w:marTop w:val="360"/>
          <w:marBottom w:val="360"/>
          <w:divBdr>
            <w:top w:val="none" w:sz="0" w:space="0" w:color="auto"/>
            <w:left w:val="none" w:sz="0" w:space="0" w:color="auto"/>
            <w:bottom w:val="none" w:sz="0" w:space="0" w:color="auto"/>
            <w:right w:val="none" w:sz="0" w:space="0" w:color="auto"/>
          </w:divBdr>
          <w:divsChild>
            <w:div w:id="1016276619">
              <w:marLeft w:val="0"/>
              <w:marRight w:val="0"/>
              <w:marTop w:val="0"/>
              <w:marBottom w:val="0"/>
              <w:divBdr>
                <w:top w:val="none" w:sz="0" w:space="0" w:color="auto"/>
                <w:left w:val="none" w:sz="0" w:space="0" w:color="auto"/>
                <w:bottom w:val="none" w:sz="0" w:space="0" w:color="auto"/>
                <w:right w:val="none" w:sz="0" w:space="0" w:color="auto"/>
              </w:divBdr>
              <w:divsChild>
                <w:div w:id="2115443655">
                  <w:marLeft w:val="0"/>
                  <w:marRight w:val="0"/>
                  <w:marTop w:val="0"/>
                  <w:marBottom w:val="0"/>
                  <w:divBdr>
                    <w:top w:val="none" w:sz="0" w:space="0" w:color="auto"/>
                    <w:left w:val="none" w:sz="0" w:space="0" w:color="auto"/>
                    <w:bottom w:val="none" w:sz="0" w:space="0" w:color="auto"/>
                    <w:right w:val="none" w:sz="0" w:space="0" w:color="auto"/>
                  </w:divBdr>
                  <w:divsChild>
                    <w:div w:id="647436676">
                      <w:marLeft w:val="0"/>
                      <w:marRight w:val="0"/>
                      <w:marTop w:val="0"/>
                      <w:marBottom w:val="0"/>
                      <w:divBdr>
                        <w:top w:val="none" w:sz="0" w:space="0" w:color="auto"/>
                        <w:left w:val="none" w:sz="0" w:space="0" w:color="auto"/>
                        <w:bottom w:val="none" w:sz="0" w:space="0" w:color="auto"/>
                        <w:right w:val="none" w:sz="0" w:space="0" w:color="auto"/>
                      </w:divBdr>
                      <w:divsChild>
                        <w:div w:id="2013877381">
                          <w:marLeft w:val="0"/>
                          <w:marRight w:val="0"/>
                          <w:marTop w:val="0"/>
                          <w:marBottom w:val="0"/>
                          <w:divBdr>
                            <w:top w:val="none" w:sz="0" w:space="0" w:color="auto"/>
                            <w:left w:val="none" w:sz="0" w:space="0" w:color="auto"/>
                            <w:bottom w:val="none" w:sz="0" w:space="0" w:color="auto"/>
                            <w:right w:val="none" w:sz="0" w:space="0" w:color="auto"/>
                          </w:divBdr>
                          <w:divsChild>
                            <w:div w:id="15858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9462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8423921">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5370707">
      <w:bodyDiv w:val="1"/>
      <w:marLeft w:val="0"/>
      <w:marRight w:val="0"/>
      <w:marTop w:val="0"/>
      <w:marBottom w:val="0"/>
      <w:divBdr>
        <w:top w:val="none" w:sz="0" w:space="0" w:color="auto"/>
        <w:left w:val="none" w:sz="0" w:space="0" w:color="auto"/>
        <w:bottom w:val="none" w:sz="0" w:space="0" w:color="auto"/>
        <w:right w:val="none" w:sz="0" w:space="0" w:color="auto"/>
      </w:divBdr>
      <w:divsChild>
        <w:div w:id="1668248458">
          <w:marLeft w:val="0"/>
          <w:marRight w:val="0"/>
          <w:marTop w:val="0"/>
          <w:marBottom w:val="0"/>
          <w:divBdr>
            <w:top w:val="none" w:sz="0" w:space="0" w:color="auto"/>
            <w:left w:val="none" w:sz="0" w:space="0" w:color="auto"/>
            <w:bottom w:val="none" w:sz="0" w:space="0" w:color="auto"/>
            <w:right w:val="none" w:sz="0" w:space="0" w:color="auto"/>
          </w:divBdr>
          <w:divsChild>
            <w:div w:id="20894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6602129">
      <w:bodyDiv w:val="1"/>
      <w:marLeft w:val="0"/>
      <w:marRight w:val="0"/>
      <w:marTop w:val="0"/>
      <w:marBottom w:val="0"/>
      <w:divBdr>
        <w:top w:val="none" w:sz="0" w:space="0" w:color="auto"/>
        <w:left w:val="none" w:sz="0" w:space="0" w:color="auto"/>
        <w:bottom w:val="none" w:sz="0" w:space="0" w:color="auto"/>
        <w:right w:val="none" w:sz="0" w:space="0" w:color="auto"/>
      </w:divBdr>
    </w:div>
    <w:div w:id="1574856560">
      <w:bodyDiv w:val="1"/>
      <w:marLeft w:val="0"/>
      <w:marRight w:val="0"/>
      <w:marTop w:val="0"/>
      <w:marBottom w:val="0"/>
      <w:divBdr>
        <w:top w:val="none" w:sz="0" w:space="0" w:color="auto"/>
        <w:left w:val="none" w:sz="0" w:space="0" w:color="auto"/>
        <w:bottom w:val="none" w:sz="0" w:space="0" w:color="auto"/>
        <w:right w:val="none" w:sz="0" w:space="0" w:color="auto"/>
      </w:divBdr>
      <w:divsChild>
        <w:div w:id="910891093">
          <w:marLeft w:val="0"/>
          <w:marRight w:val="0"/>
          <w:marTop w:val="0"/>
          <w:marBottom w:val="0"/>
          <w:divBdr>
            <w:top w:val="none" w:sz="0" w:space="0" w:color="auto"/>
            <w:left w:val="none" w:sz="0" w:space="0" w:color="auto"/>
            <w:bottom w:val="none" w:sz="0" w:space="0" w:color="auto"/>
            <w:right w:val="none" w:sz="0" w:space="0" w:color="auto"/>
          </w:divBdr>
          <w:divsChild>
            <w:div w:id="1580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38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901015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2119397">
      <w:bodyDiv w:val="1"/>
      <w:marLeft w:val="0"/>
      <w:marRight w:val="0"/>
      <w:marTop w:val="0"/>
      <w:marBottom w:val="0"/>
      <w:divBdr>
        <w:top w:val="none" w:sz="0" w:space="0" w:color="auto"/>
        <w:left w:val="none" w:sz="0" w:space="0" w:color="auto"/>
        <w:bottom w:val="none" w:sz="0" w:space="0" w:color="auto"/>
        <w:right w:val="none" w:sz="0" w:space="0" w:color="auto"/>
      </w:divBdr>
    </w:div>
    <w:div w:id="1783190083">
      <w:bodyDiv w:val="1"/>
      <w:marLeft w:val="0"/>
      <w:marRight w:val="0"/>
      <w:marTop w:val="0"/>
      <w:marBottom w:val="0"/>
      <w:divBdr>
        <w:top w:val="none" w:sz="0" w:space="0" w:color="auto"/>
        <w:left w:val="none" w:sz="0" w:space="0" w:color="auto"/>
        <w:bottom w:val="none" w:sz="0" w:space="0" w:color="auto"/>
        <w:right w:val="none" w:sz="0" w:space="0" w:color="auto"/>
      </w:divBdr>
    </w:div>
    <w:div w:id="1809081462">
      <w:bodyDiv w:val="1"/>
      <w:marLeft w:val="0"/>
      <w:marRight w:val="0"/>
      <w:marTop w:val="0"/>
      <w:marBottom w:val="0"/>
      <w:divBdr>
        <w:top w:val="none" w:sz="0" w:space="0" w:color="auto"/>
        <w:left w:val="none" w:sz="0" w:space="0" w:color="auto"/>
        <w:bottom w:val="none" w:sz="0" w:space="0" w:color="auto"/>
        <w:right w:val="none" w:sz="0" w:space="0" w:color="auto"/>
      </w:divBdr>
    </w:div>
    <w:div w:id="185677026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8415554">
      <w:bodyDiv w:val="1"/>
      <w:marLeft w:val="0"/>
      <w:marRight w:val="0"/>
      <w:marTop w:val="0"/>
      <w:marBottom w:val="0"/>
      <w:divBdr>
        <w:top w:val="none" w:sz="0" w:space="0" w:color="auto"/>
        <w:left w:val="none" w:sz="0" w:space="0" w:color="auto"/>
        <w:bottom w:val="none" w:sz="0" w:space="0" w:color="auto"/>
        <w:right w:val="none" w:sz="0" w:space="0" w:color="auto"/>
      </w:divBdr>
    </w:div>
    <w:div w:id="213644002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news/news/understanding-australias-new-opioid-overdose-rescue-treatment" TargetMode="External"/><Relationship Id="rId18" Type="http://schemas.openxmlformats.org/officeDocument/2006/relationships/hyperlink" Target="https://www.health.vic.gov.au/publications/victorian-take-home-naloxone-program-operating-policy-and-guideline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vmia.vic.gov.au/clarifying-insurance-cover-when-administering-naloxone-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etterhealth.vic.gov.au/health/servicesandsupport/overdose-what-to-do-in-an-emergency" TargetMode="External"/><Relationship Id="rId20" Type="http://schemas.openxmlformats.org/officeDocument/2006/relationships/hyperlink" Target="https://www.health.vic.gov.au/aod-treatment-services/victorias-take-home-naloxone-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etterhealth.vic.gov.au/health/servicesandsupport/overdose-what-to-do-in-an-emergency"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mailto:Chief%20Addiction%20Medicine%20Advisor%20(SAFERCARE)%20%3cCAMA@safercare.vic.gov.au%3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news/news/understanding-australias-new-opioid-overdose-rescue-treatment"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file:///C:\Users\victgcq\Downloads\Copy%20of%20Copy%20of%20complimentary%20(5).ziphttps:\www.health.gov.au\our-work\take-home-naloxone-program\how-to-administer-nalox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Metadata/LabelInfo.xml><?xml version="1.0" encoding="utf-8"?>
<clbl:labelList xmlns:clbl="http://schemas.microsoft.com/office/2020/mipLabelMetadata">
  <clbl:label id="{c0e0601f-0fac-449c-9c88-a104c4eb9f28}" enabled="0" method="" siteId="{c0e0601f-0fac-449c-9c88-a104c4eb9f28}"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Naloxone administration statement – Advice for Health and Community Services</vt:lpstr>
    </vt:vector>
  </TitlesOfParts>
  <Manager/>
  <Company/>
  <LinksUpToDate>false</LinksUpToDate>
  <CharactersWithSpaces>7040</CharactersWithSpaces>
  <SharedDoc>false</SharedDoc>
  <HyperlinkBase/>
  <HLinks>
    <vt:vector size="48" baseType="variant">
      <vt:variant>
        <vt:i4>655445</vt:i4>
      </vt:variant>
      <vt:variant>
        <vt:i4>18</vt:i4>
      </vt:variant>
      <vt:variant>
        <vt:i4>0</vt:i4>
      </vt:variant>
      <vt:variant>
        <vt:i4>5</vt:i4>
      </vt:variant>
      <vt:variant>
        <vt:lpwstr>https://www.health.vic.gov.au/aod-treatment-services/victorias-take-home-naloxone-program</vt:lpwstr>
      </vt:variant>
      <vt:variant>
        <vt:lpwstr/>
      </vt:variant>
      <vt:variant>
        <vt:i4>7929860</vt:i4>
      </vt:variant>
      <vt:variant>
        <vt:i4>15</vt:i4>
      </vt:variant>
      <vt:variant>
        <vt:i4>0</vt:i4>
      </vt:variant>
      <vt:variant>
        <vt:i4>5</vt:i4>
      </vt:variant>
      <vt:variant>
        <vt:lpwstr>mailto:Chief%20Addiction%20Medicine%20Advisor%20(SAFERCARE)%20%3cCAMA@safercare.vic.gov.au%3e</vt:lpwstr>
      </vt:variant>
      <vt:variant>
        <vt:lpwstr/>
      </vt:variant>
      <vt:variant>
        <vt:i4>8126526</vt:i4>
      </vt:variant>
      <vt:variant>
        <vt:i4>12</vt:i4>
      </vt:variant>
      <vt:variant>
        <vt:i4>0</vt:i4>
      </vt:variant>
      <vt:variant>
        <vt:i4>5</vt:i4>
      </vt:variant>
      <vt:variant>
        <vt:lpwstr>https://www.health.vic.gov.au/publications/victorian-take-home-naloxone-program-operating-policy-and-guidelines</vt:lpwstr>
      </vt:variant>
      <vt:variant>
        <vt:lpwstr/>
      </vt:variant>
      <vt:variant>
        <vt:i4>5636101</vt:i4>
      </vt:variant>
      <vt:variant>
        <vt:i4>9</vt:i4>
      </vt:variant>
      <vt:variant>
        <vt:i4>0</vt:i4>
      </vt:variant>
      <vt:variant>
        <vt:i4>5</vt:i4>
      </vt:variant>
      <vt:variant>
        <vt:lpwstr>https://www.vmia.vic.gov.au/clarifying-insurance-cover-when-administering-naloxone-0</vt:lpwstr>
      </vt:variant>
      <vt:variant>
        <vt:lpwstr/>
      </vt:variant>
      <vt:variant>
        <vt:i4>1638413</vt:i4>
      </vt:variant>
      <vt:variant>
        <vt:i4>6</vt:i4>
      </vt:variant>
      <vt:variant>
        <vt:i4>0</vt:i4>
      </vt:variant>
      <vt:variant>
        <vt:i4>5</vt:i4>
      </vt:variant>
      <vt:variant>
        <vt:lpwstr>https://www.betterhealth.vic.gov.au/health/servicesandsupport/overdose-what-to-do-in-an-emergency</vt:lpwstr>
      </vt:variant>
      <vt:variant>
        <vt:lpwstr/>
      </vt:variant>
      <vt:variant>
        <vt:i4>1638413</vt:i4>
      </vt:variant>
      <vt:variant>
        <vt:i4>3</vt:i4>
      </vt:variant>
      <vt:variant>
        <vt:i4>0</vt:i4>
      </vt:variant>
      <vt:variant>
        <vt:i4>5</vt:i4>
      </vt:variant>
      <vt:variant>
        <vt:lpwstr>https://www.betterhealth.vic.gov.au/health/servicesandsupport/overdose-what-to-do-in-an-emergency</vt:lpwstr>
      </vt:variant>
      <vt:variant>
        <vt:lpwstr/>
      </vt:variant>
      <vt:variant>
        <vt:i4>4194326</vt:i4>
      </vt:variant>
      <vt:variant>
        <vt:i4>0</vt:i4>
      </vt:variant>
      <vt:variant>
        <vt:i4>0</vt:i4>
      </vt:variant>
      <vt:variant>
        <vt:i4>5</vt:i4>
      </vt:variant>
      <vt:variant>
        <vt:lpwstr>C:\Users\victgcq\Downloads\Copy of Copy of complimentary (5).ziphttps:\www.health.gov.au\our-work\take-home-naloxone-program\how-to-administer-naloxone</vt:lpwstr>
      </vt:variant>
      <vt:variant>
        <vt:lpwstr/>
      </vt:variant>
      <vt:variant>
        <vt:i4>3539058</vt:i4>
      </vt:variant>
      <vt:variant>
        <vt:i4>0</vt:i4>
      </vt:variant>
      <vt:variant>
        <vt:i4>0</vt:i4>
      </vt:variant>
      <vt:variant>
        <vt:i4>5</vt:i4>
      </vt:variant>
      <vt:variant>
        <vt:lpwstr>https://www.tga.gov.au/news/news/understanding-australias-new-opioid-overdose-rescue-treatment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Naloxone administration statement – Advice for Health and Community Services</dc:title>
  <dc:subject/>
  <dc:creator>Edward Stott (Health)</dc:creator>
  <cp:keywords/>
  <dc:description/>
  <cp:lastModifiedBy>Edward Stott (Health)</cp:lastModifiedBy>
  <cp:revision>2</cp:revision>
  <dcterms:created xsi:type="dcterms:W3CDTF">2025-10-28T03:48:00Z</dcterms:created>
  <dcterms:modified xsi:type="dcterms:W3CDTF">2025-10-28T03:48:00Z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5e51e7f3,5870e0fc,2a9b8e4,57eea338,78c31038,563af628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2025-08-28T23:31:21Z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b597fdcd-71a8-4cde-bd78-2ae11cf0ba3b</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