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6254" w14:textId="77777777" w:rsidR="00056EC4" w:rsidRDefault="00E9042A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6938E825" wp14:editId="472EC1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146665"/>
            <wp:effectExtent l="0" t="0" r="635" b="635"/>
            <wp:wrapNone/>
            <wp:docPr id="3" name="Picture 3" descr="Victoria State Government Department of Heal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ctoria State Government Department of Heal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EA1441" w14:paraId="61E2EE74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1C6821BC" w14:textId="4F2B3CDA" w:rsidR="00EA1441" w:rsidRPr="00431F42" w:rsidRDefault="006E307A" w:rsidP="00EA1441">
            <w:pPr>
              <w:pStyle w:val="Documenttitle"/>
            </w:pPr>
            <w:r>
              <w:t>E</w:t>
            </w:r>
            <w:r w:rsidR="00D377B3">
              <w:t xml:space="preserve">rrata </w:t>
            </w:r>
            <w:r w:rsidR="00D377B3" w:rsidRPr="00D377B3">
              <w:t xml:space="preserve">– </w:t>
            </w:r>
            <w:r w:rsidR="00EA1441">
              <w:t>Victorian Health Services Performance</w:t>
            </w:r>
            <w:r w:rsidR="00EB5A7E">
              <w:t xml:space="preserve"> Monitoring</w:t>
            </w:r>
            <w:r w:rsidR="00EA1441">
              <w:t xml:space="preserve"> Framework 2024–25 Business Rules</w:t>
            </w:r>
          </w:p>
        </w:tc>
      </w:tr>
      <w:tr w:rsidR="00EA1441" w14:paraId="6C95B087" w14:textId="77777777" w:rsidTr="00431F42">
        <w:trPr>
          <w:cantSplit/>
        </w:trPr>
        <w:tc>
          <w:tcPr>
            <w:tcW w:w="0" w:type="auto"/>
          </w:tcPr>
          <w:p w14:paraId="59E2CB14" w14:textId="2F701E05" w:rsidR="00EA1441" w:rsidRPr="00A1389F" w:rsidRDefault="00B54FFF" w:rsidP="00EA1441">
            <w:pPr>
              <w:pStyle w:val="Documentsubtitle"/>
            </w:pPr>
            <w:r w:rsidRPr="00B54FFF">
              <w:t>7</w:t>
            </w:r>
            <w:r w:rsidR="00D377B3">
              <w:t xml:space="preserve"> </w:t>
            </w:r>
            <w:r>
              <w:t xml:space="preserve">January </w:t>
            </w:r>
            <w:r w:rsidR="00D377B3">
              <w:t>202</w:t>
            </w:r>
            <w:r>
              <w:t>6</w:t>
            </w:r>
          </w:p>
        </w:tc>
      </w:tr>
      <w:tr w:rsidR="00430393" w14:paraId="7964C16D" w14:textId="77777777" w:rsidTr="00431F42">
        <w:trPr>
          <w:cantSplit/>
        </w:trPr>
        <w:tc>
          <w:tcPr>
            <w:tcW w:w="0" w:type="auto"/>
          </w:tcPr>
          <w:p w14:paraId="45A22B52" w14:textId="77777777" w:rsidR="00430393" w:rsidRDefault="00EA1441" w:rsidP="00430393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95D6E3B" w14:textId="77777777" w:rsidR="00FE4081" w:rsidRDefault="00FE4081" w:rsidP="00FE4081">
      <w:pPr>
        <w:pStyle w:val="Body"/>
      </w:pPr>
    </w:p>
    <w:p w14:paraId="005A9C30" w14:textId="77777777" w:rsidR="00FE4081" w:rsidRPr="00FE4081" w:rsidRDefault="00FE4081" w:rsidP="00FE4081">
      <w:pPr>
        <w:pStyle w:val="Body"/>
        <w:sectPr w:rsidR="00FE4081" w:rsidRPr="00FE4081" w:rsidSect="002C5B7C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9F2182" w14:paraId="32C4010D" w14:textId="77777777" w:rsidTr="00562507">
        <w:trPr>
          <w:cantSplit/>
          <w:trHeight w:val="7088"/>
        </w:trPr>
        <w:tc>
          <w:tcPr>
            <w:tcW w:w="9288" w:type="dxa"/>
          </w:tcPr>
          <w:p w14:paraId="1654155B" w14:textId="5576FA3A" w:rsidR="009F2182" w:rsidRPr="00BA26F6" w:rsidRDefault="009F2182" w:rsidP="00BA26F6">
            <w:pPr>
              <w:pStyle w:val="Body"/>
              <w:rPr>
                <w:rFonts w:eastAsia="Times New Roman"/>
                <w:color w:val="87189D"/>
                <w:sz w:val="24"/>
                <w:szCs w:val="24"/>
              </w:rPr>
            </w:pPr>
          </w:p>
        </w:tc>
      </w:tr>
      <w:tr w:rsidR="009F2182" w14:paraId="245F6C41" w14:textId="77777777" w:rsidTr="00562507">
        <w:trPr>
          <w:cantSplit/>
          <w:trHeight w:val="5103"/>
        </w:trPr>
        <w:tc>
          <w:tcPr>
            <w:tcW w:w="9288" w:type="dxa"/>
            <w:vAlign w:val="bottom"/>
          </w:tcPr>
          <w:p w14:paraId="24692405" w14:textId="0EB81180" w:rsidR="009F2182" w:rsidRPr="0055119B" w:rsidRDefault="009E7BDE" w:rsidP="009E7BDE">
            <w:pPr>
              <w:pStyle w:val="Accessibilitypara"/>
            </w:pPr>
            <w:r w:rsidRPr="009E7BDE">
              <w:t xml:space="preserve">To receive this document in another format, email </w:t>
            </w:r>
            <w:hyperlink r:id="rId15" w:history="1">
              <w:r w:rsidRPr="009E7BDE">
                <w:rPr>
                  <w:rStyle w:val="Hyperlink"/>
                </w:rPr>
                <w:t>Analytic Insights</w:t>
              </w:r>
            </w:hyperlink>
            <w:r w:rsidRPr="009E7BDE">
              <w:t xml:space="preserve"> </w:t>
            </w:r>
            <w:hyperlink r:id="rId16" w:history="1">
              <w:r w:rsidRPr="009E7BDE">
                <w:rPr>
                  <w:rStyle w:val="Hyperlink"/>
                </w:rPr>
                <w:t>insights@health.vic.gov.au</w:t>
              </w:r>
            </w:hyperlink>
            <w:r>
              <w:t>.</w:t>
            </w:r>
          </w:p>
          <w:p w14:paraId="7097948D" w14:textId="77777777" w:rsidR="009F2182" w:rsidRPr="0055119B" w:rsidRDefault="009F2182" w:rsidP="009F21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22AE308" w14:textId="445E54A3" w:rsidR="009F2182" w:rsidRPr="0055119B" w:rsidRDefault="009F2182" w:rsidP="009F218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D76ECC">
              <w:t>Health</w:t>
            </w:r>
            <w:r w:rsidRPr="0055119B">
              <w:t xml:space="preserve">, </w:t>
            </w:r>
            <w:r w:rsidR="00B54FFF">
              <w:t xml:space="preserve">January </w:t>
            </w:r>
            <w:r w:rsidR="0089574E" w:rsidRPr="0089574E">
              <w:t>202</w:t>
            </w:r>
            <w:r w:rsidR="00B54FFF">
              <w:t>6</w:t>
            </w:r>
            <w:r w:rsidRPr="0055119B">
              <w:t>.</w:t>
            </w:r>
          </w:p>
          <w:p w14:paraId="6F873E6A" w14:textId="5EE45D6D" w:rsidR="00B06B46" w:rsidRPr="00315936" w:rsidRDefault="00B06B46" w:rsidP="00B06B46">
            <w:pPr>
              <w:pStyle w:val="Imprint"/>
              <w:rPr>
                <w:color w:val="004C97"/>
              </w:rPr>
            </w:pPr>
            <w:bookmarkStart w:id="0" w:name="_Hlk62746129"/>
            <w:r>
              <w:t>ISSN 2209-4172</w:t>
            </w:r>
            <w:r w:rsidRPr="1FF5711D">
              <w:rPr>
                <w:color w:val="004C97"/>
              </w:rPr>
              <w:t xml:space="preserve"> </w:t>
            </w:r>
            <w:r>
              <w:t xml:space="preserve">(online/Word) </w:t>
            </w:r>
          </w:p>
          <w:p w14:paraId="1FD36DC7" w14:textId="77777777" w:rsidR="00161AC7" w:rsidRDefault="009F2182" w:rsidP="009F2182">
            <w:pPr>
              <w:pStyle w:val="Imprint"/>
            </w:pPr>
            <w:r w:rsidRPr="0055119B">
              <w:t xml:space="preserve">Available at </w:t>
            </w:r>
            <w:hyperlink r:id="rId17" w:history="1">
              <w:r w:rsidR="009434B6" w:rsidRPr="009434B6">
                <w:rPr>
                  <w:rStyle w:val="Hyperlink"/>
                </w:rPr>
                <w:t>Performance monitoring framework | health.vic.gov.au</w:t>
              </w:r>
            </w:hyperlink>
            <w:r w:rsidR="009434B6">
              <w:t xml:space="preserve"> </w:t>
            </w:r>
          </w:p>
          <w:p w14:paraId="766C5460" w14:textId="0E5AB424" w:rsidR="009F2182" w:rsidRPr="0055119B" w:rsidRDefault="009F2182" w:rsidP="009F2182">
            <w:pPr>
              <w:pStyle w:val="Imprint"/>
            </w:pPr>
            <w:r w:rsidRPr="0055119B">
              <w:t>&lt;</w:t>
            </w:r>
            <w:r w:rsidR="00161AC7" w:rsidRPr="00161AC7">
              <w:rPr>
                <w:color w:val="004C97"/>
              </w:rPr>
              <w:t>https://www.health.vic.gov.au/funding-performance-accountability/performance-monitoring-framework</w:t>
            </w:r>
            <w:r w:rsidRPr="0055119B">
              <w:t>&gt;</w:t>
            </w:r>
          </w:p>
          <w:bookmarkEnd w:id="0"/>
          <w:p w14:paraId="34EDDDB6" w14:textId="637C9B6E" w:rsidR="009F2182" w:rsidRDefault="009F2182" w:rsidP="009F2182">
            <w:pPr>
              <w:pStyle w:val="Body"/>
            </w:pPr>
          </w:p>
        </w:tc>
      </w:tr>
      <w:tr w:rsidR="0008204A" w14:paraId="6120096D" w14:textId="77777777" w:rsidTr="0008204A">
        <w:trPr>
          <w:cantSplit/>
        </w:trPr>
        <w:tc>
          <w:tcPr>
            <w:tcW w:w="9288" w:type="dxa"/>
          </w:tcPr>
          <w:p w14:paraId="7BC8CAFB" w14:textId="77777777" w:rsidR="0008204A" w:rsidRPr="0055119B" w:rsidRDefault="0008204A" w:rsidP="0008204A">
            <w:pPr>
              <w:pStyle w:val="Body"/>
            </w:pPr>
          </w:p>
        </w:tc>
      </w:tr>
    </w:tbl>
    <w:p w14:paraId="25167962" w14:textId="77777777" w:rsidR="0008204A" w:rsidRPr="0008204A" w:rsidRDefault="0008204A" w:rsidP="0008204A">
      <w:pPr>
        <w:pStyle w:val="Body"/>
      </w:pPr>
      <w:r w:rsidRPr="0008204A">
        <w:br w:type="page"/>
      </w:r>
    </w:p>
    <w:p w14:paraId="6A3B75D2" w14:textId="77777777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24691A61" w14:textId="7DE0606D" w:rsidR="00B54FFF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8701513" w:history="1">
        <w:r w:rsidR="00B54FFF" w:rsidRPr="008E5F28">
          <w:rPr>
            <w:rStyle w:val="Hyperlink"/>
          </w:rPr>
          <w:t>Purpose of Errata</w:t>
        </w:r>
        <w:r w:rsidR="00B54FFF">
          <w:rPr>
            <w:webHidden/>
          </w:rPr>
          <w:tab/>
        </w:r>
        <w:r w:rsidR="00B54FFF">
          <w:rPr>
            <w:webHidden/>
          </w:rPr>
          <w:fldChar w:fldCharType="begin"/>
        </w:r>
        <w:r w:rsidR="00B54FFF">
          <w:rPr>
            <w:webHidden/>
          </w:rPr>
          <w:instrText xml:space="preserve"> PAGEREF _Toc218701513 \h </w:instrText>
        </w:r>
        <w:r w:rsidR="00B54FFF">
          <w:rPr>
            <w:webHidden/>
          </w:rPr>
        </w:r>
        <w:r w:rsidR="00B54FFF">
          <w:rPr>
            <w:webHidden/>
          </w:rPr>
          <w:fldChar w:fldCharType="separate"/>
        </w:r>
        <w:r w:rsidR="00B54FFF">
          <w:rPr>
            <w:webHidden/>
          </w:rPr>
          <w:t>4</w:t>
        </w:r>
        <w:r w:rsidR="00B54FFF">
          <w:rPr>
            <w:webHidden/>
          </w:rPr>
          <w:fldChar w:fldCharType="end"/>
        </w:r>
      </w:hyperlink>
    </w:p>
    <w:p w14:paraId="6F25C411" w14:textId="6AA814CA" w:rsidR="00B54FFF" w:rsidRDefault="00B54FF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8701514" w:history="1">
        <w:r w:rsidRPr="008E5F28">
          <w:rPr>
            <w:rStyle w:val="Hyperlink"/>
          </w:rPr>
          <w:t>Corrections to the PMF Business Rules.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_Toc218701514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DFAF4C" w14:textId="21C4AB7E" w:rsidR="00B54FFF" w:rsidRDefault="00B54FF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8701515" w:history="1">
        <w:r w:rsidRPr="008E5F28">
          <w:rPr>
            <w:rStyle w:val="Hyperlink"/>
          </w:rPr>
          <w:t>Additional Notes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_Toc218701515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54B879" w14:textId="72D7D014" w:rsidR="00B54FFF" w:rsidRDefault="00B54FFF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8701516" w:history="1">
        <w:r w:rsidRPr="008E5F28">
          <w:rPr>
            <w:rStyle w:val="Hyperlink"/>
          </w:rPr>
          <w:t>Attachment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_Toc218701516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C0DF98" w14:textId="3335C6D6" w:rsidR="00FB1F6E" w:rsidRDefault="00AD784C" w:rsidP="00D079AA">
      <w:pPr>
        <w:pStyle w:val="Body"/>
      </w:pPr>
      <w:r>
        <w:fldChar w:fldCharType="end"/>
      </w:r>
    </w:p>
    <w:p w14:paraId="064E9D65" w14:textId="77777777" w:rsidR="00FB1F6E" w:rsidRDefault="00FB1F6E">
      <w:pPr>
        <w:spacing w:after="0" w:line="240" w:lineRule="auto"/>
        <w:rPr>
          <w:rFonts w:eastAsia="Times"/>
        </w:rPr>
      </w:pPr>
      <w:r>
        <w:br w:type="page"/>
      </w:r>
    </w:p>
    <w:p w14:paraId="4FA922CD" w14:textId="71464E4F" w:rsidR="00837194" w:rsidRDefault="00837194" w:rsidP="0096530B">
      <w:pPr>
        <w:pStyle w:val="Heading2"/>
      </w:pPr>
      <w:bookmarkStart w:id="1" w:name="_Hlk215492649"/>
      <w:bookmarkStart w:id="2" w:name="_Toc218701513"/>
      <w:r>
        <w:lastRenderedPageBreak/>
        <w:t>Purpose of Errata</w:t>
      </w:r>
      <w:bookmarkEnd w:id="2"/>
    </w:p>
    <w:p w14:paraId="26A8F78E" w14:textId="6920B0D1" w:rsidR="00837194" w:rsidRDefault="00837194" w:rsidP="00837194">
      <w:proofErr w:type="gramStart"/>
      <w:r>
        <w:t>This errata</w:t>
      </w:r>
      <w:proofErr w:type="gramEnd"/>
      <w:r>
        <w:t xml:space="preserve"> addresses minor inaccuracies and clarifications identified post-publication</w:t>
      </w:r>
      <w:r w:rsidR="00186CC6">
        <w:t xml:space="preserve"> </w:t>
      </w:r>
      <w:r w:rsidR="00D41F21">
        <w:t xml:space="preserve">of the </w:t>
      </w:r>
      <w:r w:rsidR="00CF4431">
        <w:t xml:space="preserve">Victorian Health Services </w:t>
      </w:r>
      <w:r w:rsidR="00690160">
        <w:t>P</w:t>
      </w:r>
      <w:r w:rsidR="00E7744C">
        <w:t xml:space="preserve">erformance </w:t>
      </w:r>
      <w:r w:rsidR="00690160">
        <w:t>M</w:t>
      </w:r>
      <w:r w:rsidR="00E7744C">
        <w:t xml:space="preserve">onitoring </w:t>
      </w:r>
      <w:r w:rsidR="00690160">
        <w:t>F</w:t>
      </w:r>
      <w:r w:rsidR="00E7744C">
        <w:t xml:space="preserve">ramework (PMF) </w:t>
      </w:r>
      <w:r w:rsidR="00690160">
        <w:t>Business Rules on 14 January 2025</w:t>
      </w:r>
      <w:r>
        <w:t xml:space="preserve">. These corrections do not alter the intent or application of the </w:t>
      </w:r>
      <w:r w:rsidR="00AA4C44">
        <w:t>PMF</w:t>
      </w:r>
      <w:r>
        <w:t xml:space="preserve"> but aim to improve clarity and consistency</w:t>
      </w:r>
      <w:r w:rsidR="00AA4C44">
        <w:t xml:space="preserve"> between the Statement of Priorities and the PMF</w:t>
      </w:r>
      <w:r>
        <w:t>.</w:t>
      </w:r>
      <w:r w:rsidR="004214CD">
        <w:t xml:space="preserve"> </w:t>
      </w:r>
    </w:p>
    <w:p w14:paraId="54DF825C" w14:textId="01C74695" w:rsidR="004214CD" w:rsidRDefault="004214CD" w:rsidP="00837194"/>
    <w:p w14:paraId="767DE2B1" w14:textId="52AF2E39" w:rsidR="00C61BA5" w:rsidRDefault="00C61BA5" w:rsidP="0096530B">
      <w:pPr>
        <w:pStyle w:val="Heading2"/>
      </w:pPr>
      <w:bookmarkStart w:id="3" w:name="_Toc218701514"/>
      <w:r>
        <w:t>Corrections</w:t>
      </w:r>
      <w:r w:rsidR="20E6FF31">
        <w:t xml:space="preserve"> to the PMF</w:t>
      </w:r>
      <w:r w:rsidR="00F35A5E">
        <w:t xml:space="preserve"> </w:t>
      </w:r>
      <w:r w:rsidR="00707586">
        <w:t>Business Rules</w:t>
      </w:r>
      <w:bookmarkEnd w:id="1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1442"/>
        <w:gridCol w:w="1630"/>
        <w:gridCol w:w="1796"/>
        <w:gridCol w:w="3445"/>
      </w:tblGrid>
      <w:tr w:rsidR="009F2A71" w14:paraId="07E1BDB0" w14:textId="77777777" w:rsidTr="009F2A71">
        <w:tc>
          <w:tcPr>
            <w:tcW w:w="718" w:type="dxa"/>
          </w:tcPr>
          <w:p w14:paraId="6C492842" w14:textId="023BFEEB" w:rsidR="009F2A71" w:rsidRDefault="009F2A71" w:rsidP="009F2A71">
            <w:pPr>
              <w:pStyle w:val="Tablecolhead"/>
            </w:pPr>
            <w:r w:rsidRPr="00454BD5">
              <w:t>Page</w:t>
            </w:r>
            <w:r w:rsidR="00CA726E">
              <w:t>(s)</w:t>
            </w:r>
          </w:p>
        </w:tc>
        <w:tc>
          <w:tcPr>
            <w:tcW w:w="1442" w:type="dxa"/>
          </w:tcPr>
          <w:p w14:paraId="4D9A5AB8" w14:textId="77777777" w:rsidR="009F2A71" w:rsidRDefault="009F2A71" w:rsidP="009F2A71">
            <w:pPr>
              <w:pStyle w:val="Tablecolhead"/>
            </w:pPr>
            <w:r w:rsidRPr="00454BD5">
              <w:t>Section</w:t>
            </w:r>
          </w:p>
        </w:tc>
        <w:tc>
          <w:tcPr>
            <w:tcW w:w="1663" w:type="dxa"/>
          </w:tcPr>
          <w:p w14:paraId="359730AB" w14:textId="77777777" w:rsidR="009F2A71" w:rsidRDefault="009F2A71" w:rsidP="009F2A71">
            <w:pPr>
              <w:pStyle w:val="Tablecolhead"/>
            </w:pPr>
            <w:r w:rsidRPr="00454BD5">
              <w:t>Original Text</w:t>
            </w:r>
          </w:p>
        </w:tc>
        <w:tc>
          <w:tcPr>
            <w:tcW w:w="1842" w:type="dxa"/>
          </w:tcPr>
          <w:p w14:paraId="0432D236" w14:textId="77777777" w:rsidR="009F2A71" w:rsidRDefault="009F2A71" w:rsidP="009F2A71">
            <w:pPr>
              <w:pStyle w:val="Tablecolhead"/>
            </w:pPr>
            <w:r w:rsidRPr="00454BD5">
              <w:t>Corrected Text</w:t>
            </w:r>
          </w:p>
        </w:tc>
        <w:tc>
          <w:tcPr>
            <w:tcW w:w="3623" w:type="dxa"/>
          </w:tcPr>
          <w:p w14:paraId="2CB71D09" w14:textId="77777777" w:rsidR="009F2A71" w:rsidRDefault="009F2A71" w:rsidP="009F2A71">
            <w:pPr>
              <w:pStyle w:val="Tablecolhead"/>
            </w:pPr>
            <w:r w:rsidRPr="00454BD5">
              <w:t>Rationale</w:t>
            </w:r>
          </w:p>
        </w:tc>
      </w:tr>
      <w:tr w:rsidR="009F2A71" w14:paraId="03934A60" w14:textId="77777777" w:rsidTr="009F2A71">
        <w:tc>
          <w:tcPr>
            <w:tcW w:w="718" w:type="dxa"/>
          </w:tcPr>
          <w:p w14:paraId="7A36AD20" w14:textId="1D2672B4" w:rsidR="009F2A71" w:rsidRDefault="005602E3" w:rsidP="009F2A71">
            <w:pPr>
              <w:pStyle w:val="Tabletext"/>
            </w:pPr>
            <w:r>
              <w:t>70</w:t>
            </w:r>
            <w:r w:rsidR="00CA726E">
              <w:t>-71</w:t>
            </w:r>
          </w:p>
        </w:tc>
        <w:tc>
          <w:tcPr>
            <w:tcW w:w="1442" w:type="dxa"/>
          </w:tcPr>
          <w:p w14:paraId="1E9C9A91" w14:textId="77777777" w:rsidR="009F2A71" w:rsidRDefault="009F2A71" w:rsidP="009F2A71">
            <w:pPr>
              <w:pStyle w:val="Tabletext"/>
            </w:pPr>
            <w:r w:rsidRPr="00454BD5">
              <w:t>Effective financial management</w:t>
            </w:r>
          </w:p>
        </w:tc>
        <w:tc>
          <w:tcPr>
            <w:tcW w:w="1663" w:type="dxa"/>
          </w:tcPr>
          <w:p w14:paraId="78E25C8D" w14:textId="77777777" w:rsidR="009F2A71" w:rsidRDefault="009F2A71" w:rsidP="009F2A71">
            <w:pPr>
              <w:pStyle w:val="Tabletext"/>
            </w:pPr>
            <w:r w:rsidRPr="00454BD5">
              <w:t>Refer to attachment 1</w:t>
            </w:r>
          </w:p>
        </w:tc>
        <w:tc>
          <w:tcPr>
            <w:tcW w:w="1842" w:type="dxa"/>
          </w:tcPr>
          <w:p w14:paraId="1F05900D" w14:textId="4F5B4BE7" w:rsidR="009F2A71" w:rsidRDefault="009F2A71" w:rsidP="009F2A71">
            <w:pPr>
              <w:pStyle w:val="Tabletext"/>
            </w:pPr>
            <w:r w:rsidRPr="00454BD5">
              <w:t xml:space="preserve">Refer to </w:t>
            </w:r>
            <w:r>
              <w:t xml:space="preserve">tracked changes in </w:t>
            </w:r>
            <w:r w:rsidRPr="00454BD5">
              <w:t>attachment 1</w:t>
            </w:r>
          </w:p>
        </w:tc>
        <w:tc>
          <w:tcPr>
            <w:tcW w:w="3623" w:type="dxa"/>
          </w:tcPr>
          <w:p w14:paraId="3373FBE5" w14:textId="54BFD860" w:rsidR="009F2A71" w:rsidRDefault="009F2A71" w:rsidP="009F2A71">
            <w:pPr>
              <w:pStyle w:val="Tabletext"/>
            </w:pPr>
            <w:r w:rsidRPr="7CA8DDA4">
              <w:t xml:space="preserve">The </w:t>
            </w:r>
            <w:r w:rsidRPr="7CA8DDA4">
              <w:rPr>
                <w:i/>
              </w:rPr>
              <w:t xml:space="preserve">variance between forecast and actual Net result from transactions (NRFT) for the current financial year ending 30 June </w:t>
            </w:r>
            <w:r w:rsidRPr="7CA8DDA4">
              <w:t>measure was redefined to align with the target descriptor — a 5% movement in forecast revenue and expenditure. This calculation now uses the actual operating revenue and operating expense</w:t>
            </w:r>
            <w:r w:rsidR="0032474F">
              <w:t>,</w:t>
            </w:r>
            <w:r w:rsidRPr="7CA8DDA4">
              <w:t xml:space="preserve"> and the forecast operating revenue and operating expense submitted in June 2025. As a result, this measure is now referred to as </w:t>
            </w:r>
            <w:r w:rsidRPr="7CA8DDA4">
              <w:rPr>
                <w:i/>
              </w:rPr>
              <w:t>Variance between forecast and actual Operating Result (OR) for the current financial year ending 30 June.</w:t>
            </w:r>
          </w:p>
        </w:tc>
      </w:tr>
    </w:tbl>
    <w:p w14:paraId="5D177653" w14:textId="77777777" w:rsidR="00E1244A" w:rsidRDefault="00E1244A" w:rsidP="00EC585C">
      <w:pPr>
        <w:pStyle w:val="Heading1"/>
        <w:spacing w:before="0"/>
      </w:pPr>
    </w:p>
    <w:p w14:paraId="378CEAD7" w14:textId="6E9173E1" w:rsidR="00C61BA5" w:rsidRDefault="00C61BA5" w:rsidP="0096530B">
      <w:pPr>
        <w:pStyle w:val="Heading2"/>
      </w:pPr>
      <w:bookmarkStart w:id="4" w:name="_Hlk215492764"/>
      <w:bookmarkStart w:id="5" w:name="_Toc218701515"/>
      <w:r>
        <w:t>Additional Notes</w:t>
      </w:r>
      <w:bookmarkEnd w:id="5"/>
    </w:p>
    <w:p w14:paraId="3419FDC4" w14:textId="7D7EB885" w:rsidR="00C61BA5" w:rsidRDefault="00C61BA5" w:rsidP="00C61BA5">
      <w:r>
        <w:t xml:space="preserve">These corrections have been reviewed and endorsed by </w:t>
      </w:r>
      <w:r w:rsidR="00CA2DDF">
        <w:t xml:space="preserve">Hospitals Victoria and </w:t>
      </w:r>
      <w:r w:rsidR="00062176">
        <w:t>the Insights unit within the Department of Health</w:t>
      </w:r>
      <w:bookmarkEnd w:id="4"/>
      <w:r>
        <w:t xml:space="preserve">. </w:t>
      </w:r>
    </w:p>
    <w:p w14:paraId="10F8E7A3" w14:textId="77777777" w:rsidR="00454A7D" w:rsidRDefault="00454A7D">
      <w:pPr>
        <w:spacing w:after="0" w:line="240" w:lineRule="auto"/>
        <w:rPr>
          <w:rFonts w:eastAsia="MS Gothic" w:cs="Arial"/>
          <w:bCs/>
          <w:color w:val="53565A"/>
          <w:kern w:val="32"/>
          <w:sz w:val="44"/>
          <w:szCs w:val="44"/>
        </w:rPr>
      </w:pPr>
      <w:r>
        <w:br w:type="page"/>
      </w:r>
    </w:p>
    <w:p w14:paraId="37DB17AE" w14:textId="63746220" w:rsidR="00EE29AD" w:rsidRDefault="008463E8" w:rsidP="0096530B">
      <w:pPr>
        <w:pStyle w:val="Heading2"/>
      </w:pPr>
      <w:bookmarkStart w:id="6" w:name="_Hlk215492777"/>
      <w:bookmarkStart w:id="7" w:name="_Hlk66712316"/>
      <w:bookmarkStart w:id="8" w:name="_Toc218701516"/>
      <w:r>
        <w:lastRenderedPageBreak/>
        <w:t>Attachment</w:t>
      </w:r>
      <w:r w:rsidR="00EE29AD" w:rsidRPr="00A71CE4">
        <w:t xml:space="preserve"> 1</w:t>
      </w:r>
      <w:bookmarkEnd w:id="8"/>
    </w:p>
    <w:p w14:paraId="42DC3667" w14:textId="48525811" w:rsidR="008463E8" w:rsidRPr="00315936" w:rsidRDefault="008463E8" w:rsidP="008463E8">
      <w:pPr>
        <w:pStyle w:val="Heading4"/>
      </w:pPr>
      <w:bookmarkStart w:id="9" w:name="_Toc608118194"/>
      <w:r w:rsidRPr="00315936">
        <w:t xml:space="preserve">Variance between forecast and actual </w:t>
      </w:r>
      <w:r w:rsidRPr="00186CC6">
        <w:rPr>
          <w:strike/>
        </w:rPr>
        <w:t>Net</w:t>
      </w:r>
      <w:r w:rsidRPr="00315936">
        <w:t xml:space="preserve"> </w:t>
      </w:r>
      <w:r w:rsidR="004B590E" w:rsidRPr="00186CC6">
        <w:rPr>
          <w:highlight w:val="yellow"/>
        </w:rPr>
        <w:t>Operating</w:t>
      </w:r>
      <w:r w:rsidR="004B590E">
        <w:t xml:space="preserve"> R</w:t>
      </w:r>
      <w:r w:rsidRPr="00315936">
        <w:t xml:space="preserve">esult </w:t>
      </w:r>
      <w:r w:rsidR="00474E9D" w:rsidRPr="00474E9D">
        <w:rPr>
          <w:highlight w:val="yellow"/>
        </w:rPr>
        <w:t>(OR)</w:t>
      </w:r>
      <w:r w:rsidR="00474E9D">
        <w:t xml:space="preserve"> </w:t>
      </w:r>
      <w:r w:rsidRPr="00186CC6">
        <w:rPr>
          <w:strike/>
        </w:rPr>
        <w:t>from transactions (NRFT)</w:t>
      </w:r>
      <w:r w:rsidRPr="00315936">
        <w:t xml:space="preserve"> for the current financial year ending 30 June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8463E8" w:rsidRPr="00315936" w14:paraId="38537B75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bookmarkEnd w:id="6"/>
          <w:p w14:paraId="151FE1F1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Measure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032B89D6" w14:textId="07E3D9F3" w:rsidR="008463E8" w:rsidRPr="00AC34D9" w:rsidRDefault="008463E8">
            <w:pPr>
              <w:pStyle w:val="Tabletext"/>
              <w:rPr>
                <w:rFonts w:ascii="VIC" w:eastAsia="VIC" w:hAnsi="VIC" w:cs="VIC"/>
                <w:sz w:val="20"/>
              </w:rPr>
            </w:pPr>
            <w:r w:rsidRPr="008742FB">
              <w:t xml:space="preserve">Variance between forecast and actual </w:t>
            </w:r>
            <w:r w:rsidRPr="00186CC6">
              <w:rPr>
                <w:strike/>
              </w:rPr>
              <w:t>Net</w:t>
            </w:r>
            <w:r w:rsidRPr="008742FB">
              <w:t xml:space="preserve"> </w:t>
            </w:r>
            <w:r w:rsidR="00666A22" w:rsidRPr="00186CC6">
              <w:rPr>
                <w:highlight w:val="yellow"/>
              </w:rPr>
              <w:t>Operating</w:t>
            </w:r>
            <w:r w:rsidR="00666A22">
              <w:t xml:space="preserve"> R</w:t>
            </w:r>
            <w:r w:rsidRPr="008742FB">
              <w:t xml:space="preserve">esult </w:t>
            </w:r>
            <w:r w:rsidR="00474E9D" w:rsidRPr="00474E9D">
              <w:rPr>
                <w:highlight w:val="yellow"/>
              </w:rPr>
              <w:t>(OR)</w:t>
            </w:r>
            <w:r w:rsidR="00474E9D">
              <w:t xml:space="preserve"> </w:t>
            </w:r>
            <w:r w:rsidRPr="00186CC6">
              <w:rPr>
                <w:strike/>
              </w:rPr>
              <w:t>from transactions (NRFT)</w:t>
            </w:r>
            <w:r w:rsidRPr="008742FB">
              <w:t xml:space="preserve"> for the current financial year ending 30 June.</w:t>
            </w:r>
          </w:p>
        </w:tc>
      </w:tr>
      <w:tr w:rsidR="008463E8" w:rsidRPr="00315936" w14:paraId="00D2CF08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75B4117E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Description 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18100563" w14:textId="716C4935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>This measure</w:t>
            </w:r>
            <w:r>
              <w:t>s</w:t>
            </w:r>
            <w:r w:rsidRPr="00315936" w:rsidDel="00555D48">
              <w:t xml:space="preserve"> </w:t>
            </w:r>
            <w:r w:rsidRPr="00315936">
              <w:t xml:space="preserve">the accuracy of forecasting the </w:t>
            </w:r>
            <w:r w:rsidRPr="00186CC6">
              <w:rPr>
                <w:strike/>
              </w:rPr>
              <w:t>Net</w:t>
            </w:r>
            <w:r w:rsidRPr="00315936">
              <w:t xml:space="preserve"> </w:t>
            </w:r>
            <w:r w:rsidR="00666A22" w:rsidRPr="00186CC6">
              <w:rPr>
                <w:highlight w:val="yellow"/>
              </w:rPr>
              <w:t>Operating</w:t>
            </w:r>
            <w:r w:rsidR="00666A22">
              <w:t xml:space="preserve"> R</w:t>
            </w:r>
            <w:r w:rsidRPr="00315936">
              <w:t xml:space="preserve">esult </w:t>
            </w:r>
            <w:r w:rsidR="009E3757">
              <w:t>(OR)</w:t>
            </w:r>
            <w:r w:rsidRPr="00186CC6">
              <w:rPr>
                <w:strike/>
              </w:rPr>
              <w:t>from transactions (NRFT)</w:t>
            </w:r>
            <w:r w:rsidRPr="00315936">
              <w:t xml:space="preserve"> for the current financial year ending 30 June.</w:t>
            </w:r>
          </w:p>
          <w:p w14:paraId="39AB6F1F" w14:textId="702FCA7F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>
              <w:t>H</w:t>
            </w:r>
            <w:r w:rsidRPr="00315936">
              <w:t xml:space="preserve">ealth services </w:t>
            </w:r>
            <w:r>
              <w:t>should</w:t>
            </w:r>
            <w:r w:rsidRPr="00315936">
              <w:t xml:space="preserve"> </w:t>
            </w:r>
            <w:r w:rsidRPr="00186CC6">
              <w:rPr>
                <w:strike/>
              </w:rPr>
              <w:t>NRFT</w:t>
            </w:r>
            <w:r w:rsidR="009E3757">
              <w:t xml:space="preserve"> </w:t>
            </w:r>
            <w:r w:rsidR="009E3757" w:rsidRPr="00186CC6">
              <w:rPr>
                <w:highlight w:val="yellow"/>
              </w:rPr>
              <w:t>forecast OR</w:t>
            </w:r>
            <w:r w:rsidRPr="00315936">
              <w:t xml:space="preserve"> with sufficient accuracy to be within five per cent acceptable variance</w:t>
            </w:r>
            <w:r w:rsidR="009E3757">
              <w:t xml:space="preserve"> </w:t>
            </w:r>
            <w:r w:rsidR="009E3757" w:rsidRPr="00186CC6">
              <w:rPr>
                <w:highlight w:val="yellow"/>
              </w:rPr>
              <w:t>of actual OR</w:t>
            </w:r>
            <w:r w:rsidRPr="00315936">
              <w:t>.</w:t>
            </w:r>
          </w:p>
        </w:tc>
      </w:tr>
      <w:tr w:rsidR="008463E8" w:rsidRPr="00315936" w14:paraId="25B33286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325D266C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Calculating performance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432CCB41" w14:textId="77777777" w:rsidR="003B6A8F" w:rsidRDefault="008463E8">
            <w:pPr>
              <w:pStyle w:val="Tabletext"/>
            </w:pPr>
            <w:r w:rsidRPr="00315936">
              <w:t>The result compares the consolidated forecast</w:t>
            </w:r>
            <w:r w:rsidR="00633A34">
              <w:t xml:space="preserve"> </w:t>
            </w:r>
            <w:r w:rsidR="00633A34" w:rsidRPr="00186CC6">
              <w:rPr>
                <w:highlight w:val="yellow"/>
              </w:rPr>
              <w:t>operating revenue a</w:t>
            </w:r>
            <w:r w:rsidR="003D4383" w:rsidRPr="00186CC6">
              <w:rPr>
                <w:highlight w:val="yellow"/>
              </w:rPr>
              <w:t>nd operating expense</w:t>
            </w:r>
            <w:r w:rsidRPr="00315936">
              <w:t xml:space="preserve"> </w:t>
            </w:r>
            <w:r w:rsidRPr="00186CC6">
              <w:rPr>
                <w:strike/>
              </w:rPr>
              <w:t>NRFT</w:t>
            </w:r>
            <w:r>
              <w:t>,</w:t>
            </w:r>
            <w:r w:rsidRPr="00315936">
              <w:t xml:space="preserve"> as reported to the department in early June of the current financial year, in the Health Agencies Reporting Tool (</w:t>
            </w:r>
            <w:proofErr w:type="spellStart"/>
            <w:r w:rsidRPr="00315936">
              <w:t>HeART</w:t>
            </w:r>
            <w:proofErr w:type="spellEnd"/>
            <w:r w:rsidRPr="00315936">
              <w:t xml:space="preserve">) Revised Estimates submission, with the consolidated actual </w:t>
            </w:r>
            <w:r w:rsidR="00D772D7" w:rsidRPr="00186CC6">
              <w:rPr>
                <w:highlight w:val="yellow"/>
              </w:rPr>
              <w:t>OR</w:t>
            </w:r>
            <w:r w:rsidRPr="00186CC6">
              <w:rPr>
                <w:strike/>
              </w:rPr>
              <w:t>NRFT</w:t>
            </w:r>
            <w:r w:rsidRPr="00315936">
              <w:t xml:space="preserve"> reported in the </w:t>
            </w:r>
            <w:r w:rsidRPr="00186CC6">
              <w:rPr>
                <w:strike/>
              </w:rPr>
              <w:t>Comprehensive Operating Statement</w:t>
            </w:r>
            <w:r w:rsidRPr="00315936">
              <w:t xml:space="preserve"> in the</w:t>
            </w:r>
            <w:r w:rsidR="005C138B">
              <w:t xml:space="preserve"> </w:t>
            </w:r>
            <w:r w:rsidR="005C138B" w:rsidRPr="00186CC6">
              <w:rPr>
                <w:highlight w:val="yellow"/>
              </w:rPr>
              <w:t>current financial year</w:t>
            </w:r>
            <w:r w:rsidRPr="00315936">
              <w:t xml:space="preserve"> Audited Financial Statements. </w:t>
            </w:r>
          </w:p>
          <w:p w14:paraId="3A97BFC6" w14:textId="62415B41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>This comparison is expressed as a numerical variance</w:t>
            </w:r>
            <w:r w:rsidR="00BF1985">
              <w:t xml:space="preserve">, </w:t>
            </w:r>
            <w:r w:rsidR="00BF1985" w:rsidRPr="00186CC6">
              <w:rPr>
                <w:highlight w:val="yellow"/>
              </w:rPr>
              <w:t>expressed as a percentage of forecast OR.</w:t>
            </w:r>
          </w:p>
          <w:p w14:paraId="6AA4D94B" w14:textId="28230CD3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 xml:space="preserve">It is expected that the final </w:t>
            </w:r>
            <w:proofErr w:type="spellStart"/>
            <w:r w:rsidRPr="00315936">
              <w:t>HeART</w:t>
            </w:r>
            <w:proofErr w:type="spellEnd"/>
            <w:r w:rsidRPr="00315936">
              <w:t xml:space="preserve"> consolidated trial balance will accurately reflect the</w:t>
            </w:r>
            <w:r w:rsidR="00BF1985">
              <w:t xml:space="preserve"> </w:t>
            </w:r>
            <w:r w:rsidR="00BF1985" w:rsidRPr="00186CC6">
              <w:rPr>
                <w:highlight w:val="yellow"/>
              </w:rPr>
              <w:t>OR</w:t>
            </w:r>
            <w:r w:rsidRPr="00315936">
              <w:t xml:space="preserve"> </w:t>
            </w:r>
            <w:r w:rsidRPr="00186CC6">
              <w:rPr>
                <w:strike/>
              </w:rPr>
              <w:t>NRFT</w:t>
            </w:r>
            <w:r w:rsidRPr="00315936">
              <w:t xml:space="preserve"> as reported in the audited financial statements.</w:t>
            </w:r>
          </w:p>
          <w:p w14:paraId="513109FB" w14:textId="1A1CB1D4" w:rsidR="008463E8" w:rsidRDefault="008463E8">
            <w:pPr>
              <w:pStyle w:val="Tabletext"/>
              <w:rPr>
                <w:rFonts w:eastAsia="VIC"/>
              </w:rPr>
            </w:pPr>
            <w:r w:rsidRPr="00315936">
              <w:t xml:space="preserve">The </w:t>
            </w:r>
            <w:r w:rsidR="00BF1985" w:rsidRPr="00186CC6">
              <w:rPr>
                <w:highlight w:val="yellow"/>
              </w:rPr>
              <w:t>OR</w:t>
            </w:r>
            <w:r w:rsidR="00BF1985">
              <w:t xml:space="preserve"> </w:t>
            </w:r>
            <w:r w:rsidRPr="00186CC6">
              <w:rPr>
                <w:strike/>
              </w:rPr>
              <w:t>NRFT</w:t>
            </w:r>
            <w:r w:rsidRPr="00315936">
              <w:t xml:space="preserve"> is the sum of all </w:t>
            </w:r>
            <w:r w:rsidR="00BF1985" w:rsidRPr="00186CC6">
              <w:rPr>
                <w:highlight w:val="yellow"/>
              </w:rPr>
              <w:t>operating</w:t>
            </w:r>
            <w:r w:rsidR="00BF1985">
              <w:t xml:space="preserve"> </w:t>
            </w:r>
            <w:r w:rsidRPr="00315936">
              <w:t xml:space="preserve">revenue and all </w:t>
            </w:r>
            <w:r w:rsidR="005F3C11" w:rsidRPr="00186CC6">
              <w:rPr>
                <w:highlight w:val="yellow"/>
              </w:rPr>
              <w:t>operating</w:t>
            </w:r>
            <w:r w:rsidR="005F3C11">
              <w:t xml:space="preserve"> </w:t>
            </w:r>
            <w:r w:rsidRPr="00315936">
              <w:t xml:space="preserve">expenses </w:t>
            </w:r>
            <w:r w:rsidRPr="00186CC6">
              <w:rPr>
                <w:strike/>
              </w:rPr>
              <w:t>from transactions</w:t>
            </w:r>
            <w:r w:rsidRPr="00315936">
              <w:t xml:space="preserve"> for all cost centres. </w:t>
            </w:r>
            <w:r w:rsidRPr="00186CC6">
              <w:rPr>
                <w:strike/>
              </w:rPr>
              <w:t>This will exclude Other economic flows included in the net result.</w:t>
            </w:r>
          </w:p>
          <w:p w14:paraId="6158C610" w14:textId="77777777" w:rsidR="008463E8" w:rsidRPr="00AC34D9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rPr>
                <w:lang w:val="en-GB"/>
              </w:rPr>
              <w:t>The calculation will be the variance expressed as a percentage to one decimal place</w:t>
            </w:r>
            <w:r>
              <w:rPr>
                <w:lang w:val="en-GB"/>
              </w:rPr>
              <w:t>.</w:t>
            </w:r>
          </w:p>
        </w:tc>
      </w:tr>
      <w:tr w:rsidR="008463E8" w:rsidRPr="00315936" w14:paraId="595CF50A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66A608EE" w14:textId="77777777" w:rsidR="008463E8" w:rsidRPr="008463E8" w:rsidRDefault="008463E8">
            <w:pPr>
              <w:rPr>
                <w:color w:val="FFFFFF" w:themeColor="background1"/>
              </w:rPr>
            </w:pPr>
            <w:r w:rsidRPr="008463E8">
              <w:rPr>
                <w:color w:val="FFFFFF" w:themeColor="background1"/>
              </w:rPr>
              <w:t>Numerator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0AB192E4" w14:textId="7AB99D72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>
              <w:t>The difference between a</w:t>
            </w:r>
            <w:r w:rsidRPr="00315936">
              <w:t xml:space="preserve">ctual </w:t>
            </w:r>
            <w:r w:rsidR="003B6A8F" w:rsidRPr="008C3AB3">
              <w:rPr>
                <w:highlight w:val="yellow"/>
              </w:rPr>
              <w:t>operating revenue and operating expense</w:t>
            </w:r>
            <w:r w:rsidR="003B6A8F" w:rsidRPr="00315936">
              <w:t xml:space="preserve"> </w:t>
            </w:r>
            <w:r w:rsidRPr="00186CC6">
              <w:rPr>
                <w:strike/>
              </w:rPr>
              <w:t>NRFT</w:t>
            </w:r>
            <w:r w:rsidRPr="00315936">
              <w:t xml:space="preserve"> as reported in the audited financial statements, </w:t>
            </w:r>
            <w:r>
              <w:t>and the</w:t>
            </w:r>
            <w:r w:rsidRPr="00315936">
              <w:t xml:space="preserve"> Forecast </w:t>
            </w:r>
            <w:r w:rsidR="00DC4E77" w:rsidRPr="008C3AB3">
              <w:rPr>
                <w:highlight w:val="yellow"/>
              </w:rPr>
              <w:t>operating revenue and operating expense</w:t>
            </w:r>
            <w:r w:rsidR="00DC4E77" w:rsidRPr="00315936">
              <w:t xml:space="preserve"> </w:t>
            </w:r>
            <w:r w:rsidRPr="00186CC6">
              <w:rPr>
                <w:strike/>
              </w:rPr>
              <w:t>NRFT</w:t>
            </w:r>
            <w:r w:rsidRPr="00315936">
              <w:t xml:space="preserve"> as reported in the Revised Estimates </w:t>
            </w:r>
            <w:proofErr w:type="spellStart"/>
            <w:r w:rsidRPr="00315936">
              <w:t>HeART</w:t>
            </w:r>
            <w:proofErr w:type="spellEnd"/>
            <w:r w:rsidRPr="00315936">
              <w:t xml:space="preserve"> submission to the department by early June</w:t>
            </w:r>
            <w:r w:rsidRPr="00315936" w:rsidDel="00471B46">
              <w:t xml:space="preserve"> </w:t>
            </w:r>
            <w:r w:rsidRPr="00315936">
              <w:t>for the current financial year.</w:t>
            </w:r>
          </w:p>
        </w:tc>
      </w:tr>
      <w:tr w:rsidR="008463E8" w:rsidRPr="00315936" w14:paraId="7B71F797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5E317405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Denominator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2A3CD988" w14:textId="0056C720" w:rsidR="008463E8" w:rsidRPr="00315936" w:rsidRDefault="008463E8">
            <w:pPr>
              <w:pStyle w:val="Tabletext"/>
              <w:rPr>
                <w:lang w:eastAsia="en-AU"/>
              </w:rPr>
            </w:pPr>
            <w:r w:rsidRPr="00A20E46">
              <w:rPr>
                <w:lang w:eastAsia="en-AU"/>
              </w:rPr>
              <w:t xml:space="preserve">Forecast </w:t>
            </w:r>
            <w:r w:rsidR="00011B57" w:rsidRPr="008C3AB3">
              <w:rPr>
                <w:highlight w:val="yellow"/>
              </w:rPr>
              <w:t>operating revenue and operating expense</w:t>
            </w:r>
            <w:r w:rsidR="00011B57" w:rsidRPr="00315936">
              <w:t xml:space="preserve"> </w:t>
            </w:r>
            <w:r w:rsidRPr="00186CC6">
              <w:rPr>
                <w:strike/>
                <w:lang w:eastAsia="en-AU"/>
              </w:rPr>
              <w:t>NRFT</w:t>
            </w:r>
            <w:r w:rsidRPr="00A20E46">
              <w:rPr>
                <w:lang w:eastAsia="en-AU"/>
              </w:rPr>
              <w:t xml:space="preserve"> as reported in the Revised Estimates </w:t>
            </w:r>
            <w:proofErr w:type="spellStart"/>
            <w:r w:rsidRPr="00A20E46">
              <w:rPr>
                <w:lang w:eastAsia="en-AU"/>
              </w:rPr>
              <w:t>HeART</w:t>
            </w:r>
            <w:proofErr w:type="spellEnd"/>
            <w:r w:rsidRPr="00A20E46">
              <w:rPr>
                <w:lang w:eastAsia="en-AU"/>
              </w:rPr>
              <w:t xml:space="preserve"> submission to the department by early June for the current financial year.</w:t>
            </w:r>
          </w:p>
        </w:tc>
      </w:tr>
      <w:tr w:rsidR="008463E8" w:rsidRPr="00315936" w14:paraId="76F591FD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5E345D1B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Statewide target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19E4BB63" w14:textId="6CF4A168" w:rsidR="008463E8" w:rsidRPr="00315936" w:rsidRDefault="003D6A04">
            <w:pPr>
              <w:pStyle w:val="Tabletext"/>
              <w:rPr>
                <w:rFonts w:eastAsia="VIC" w:cs="VIC"/>
                <w:color w:val="000000" w:themeColor="text1"/>
              </w:rPr>
            </w:pPr>
            <w:r w:rsidRPr="00186CC6">
              <w:rPr>
                <w:rFonts w:eastAsia="VIC" w:cs="VIC"/>
                <w:color w:val="000000" w:themeColor="text1"/>
                <w:highlight w:val="yellow"/>
              </w:rPr>
              <w:t>Variance within</w:t>
            </w:r>
            <w:r>
              <w:rPr>
                <w:rFonts w:eastAsia="VIC" w:cs="VIC"/>
                <w:color w:val="000000" w:themeColor="text1"/>
              </w:rPr>
              <w:t xml:space="preserve"> </w:t>
            </w:r>
            <w:r w:rsidR="008463E8" w:rsidRPr="00315936">
              <w:rPr>
                <w:rFonts w:eastAsia="VIC" w:cs="VIC"/>
                <w:color w:val="000000" w:themeColor="text1"/>
              </w:rPr>
              <w:t xml:space="preserve">5 per cent </w:t>
            </w:r>
            <w:r w:rsidR="008463E8" w:rsidRPr="00186CC6">
              <w:rPr>
                <w:rFonts w:eastAsia="VIC" w:cs="VIC"/>
                <w:strike/>
                <w:color w:val="000000" w:themeColor="text1"/>
              </w:rPr>
              <w:t>variance</w:t>
            </w:r>
            <w:r w:rsidR="00345A19">
              <w:rPr>
                <w:rFonts w:eastAsia="VIC" w:cs="VIC"/>
                <w:strike/>
                <w:color w:val="000000" w:themeColor="text1"/>
              </w:rPr>
              <w:t xml:space="preserve"> </w:t>
            </w:r>
            <w:r w:rsidR="00345A19" w:rsidRPr="00186CC6">
              <w:rPr>
                <w:rFonts w:eastAsia="VIC" w:cs="VIC"/>
                <w:color w:val="000000" w:themeColor="text1"/>
                <w:highlight w:val="yellow"/>
              </w:rPr>
              <w:t>of forecast operating revenue and operating expense</w:t>
            </w:r>
          </w:p>
        </w:tc>
      </w:tr>
      <w:tr w:rsidR="008463E8" w:rsidRPr="00315936" w14:paraId="64DD92D2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45EE8C9F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Achieved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6B959763" w14:textId="57402A0E" w:rsidR="008463E8" w:rsidRPr="00315936" w:rsidRDefault="008463E8">
            <w:pPr>
              <w:pStyle w:val="Tabletext"/>
              <w:rPr>
                <w:rFonts w:eastAsia="VIC" w:cs="VIC"/>
                <w:color w:val="000000" w:themeColor="text1"/>
              </w:rPr>
            </w:pPr>
            <w:r w:rsidRPr="00315936">
              <w:t>Variance less than or equal to 5 per cent</w:t>
            </w:r>
            <w:r w:rsidR="00345A19">
              <w:t xml:space="preserve"> </w:t>
            </w:r>
            <w:r w:rsidR="00345A19" w:rsidRPr="008C3AB3">
              <w:rPr>
                <w:rFonts w:eastAsia="VIC" w:cs="VIC"/>
                <w:color w:val="000000" w:themeColor="text1"/>
                <w:highlight w:val="yellow"/>
              </w:rPr>
              <w:t>of forecast operating revenue and operating expense</w:t>
            </w:r>
          </w:p>
        </w:tc>
      </w:tr>
      <w:tr w:rsidR="008463E8" w:rsidRPr="00315936" w14:paraId="302E3B1A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235664D2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Not achieved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4466A0A9" w14:textId="1B78D89E" w:rsidR="008463E8" w:rsidRPr="00315936" w:rsidRDefault="008463E8">
            <w:pPr>
              <w:pStyle w:val="Tabletext"/>
              <w:rPr>
                <w:rFonts w:eastAsia="VIC" w:cs="VIC"/>
                <w:color w:val="000000" w:themeColor="text1"/>
              </w:rPr>
            </w:pPr>
            <w:r w:rsidRPr="00315936">
              <w:t>Variance greater than 5 per cent</w:t>
            </w:r>
            <w:r w:rsidR="00345A19" w:rsidRPr="008C3AB3">
              <w:rPr>
                <w:rFonts w:eastAsia="VIC" w:cs="VIC"/>
                <w:color w:val="000000" w:themeColor="text1"/>
                <w:highlight w:val="yellow"/>
              </w:rPr>
              <w:t xml:space="preserve"> of forecast operating revenue and operating expense</w:t>
            </w:r>
          </w:p>
        </w:tc>
      </w:tr>
      <w:tr w:rsidR="008463E8" w:rsidRPr="00315936" w14:paraId="4DBBCCC7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789E27C3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Improvement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66686371" w14:textId="5D3B2B12" w:rsidR="008463E8" w:rsidRPr="00186CC6" w:rsidRDefault="00054D3E">
            <w:pPr>
              <w:pStyle w:val="Tabletext"/>
              <w:rPr>
                <w:rFonts w:ascii="VIC" w:eastAsia="VIC" w:hAnsi="VIC" w:cs="VIC"/>
                <w:strike/>
                <w:color w:val="000000" w:themeColor="text1"/>
                <w:sz w:val="20"/>
              </w:rPr>
            </w:pPr>
            <w:r w:rsidRPr="00186CC6">
              <w:rPr>
                <w:highlight w:val="yellow"/>
              </w:rPr>
              <w:t>Performance is assessed based on the target only</w:t>
            </w:r>
            <w:r w:rsidRPr="00E72B1F">
              <w:t xml:space="preserve"> </w:t>
            </w:r>
            <w:r w:rsidR="008463E8" w:rsidRPr="00186CC6">
              <w:rPr>
                <w:strike/>
              </w:rPr>
              <w:t>Reduced variance from the previous year</w:t>
            </w:r>
          </w:p>
        </w:tc>
      </w:tr>
      <w:tr w:rsidR="008463E8" w14:paraId="62772013" w14:textId="77777777">
        <w:trPr>
          <w:trHeight w:val="300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</w:tcPr>
          <w:p w14:paraId="38ABC942" w14:textId="77777777" w:rsidR="008463E8" w:rsidRPr="008463E8" w:rsidRDefault="008463E8">
            <w:pPr>
              <w:pStyle w:val="Tablecolhead"/>
              <w:rPr>
                <w:b w:val="0"/>
                <w:color w:val="FFFFFF" w:themeColor="background1"/>
                <w:lang w:eastAsia="en-AU"/>
              </w:rPr>
            </w:pPr>
            <w:r w:rsidRPr="008463E8">
              <w:rPr>
                <w:b w:val="0"/>
                <w:color w:val="FFFFFF" w:themeColor="background1"/>
                <w:lang w:eastAsia="en-AU"/>
              </w:rPr>
              <w:t>Frequency of reporting and data collection</w:t>
            </w:r>
          </w:p>
        </w:tc>
        <w:tc>
          <w:tcPr>
            <w:tcW w:w="7025" w:type="dxa"/>
            <w:tcBorders>
              <w:left w:val="single" w:sz="4" w:space="0" w:color="FFFFFF" w:themeColor="background1"/>
            </w:tcBorders>
          </w:tcPr>
          <w:p w14:paraId="3154B016" w14:textId="488CC925" w:rsidR="008463E8" w:rsidRDefault="008463E8">
            <w:pPr>
              <w:pStyle w:val="Tabletext"/>
            </w:pPr>
            <w:r w:rsidRPr="00315936">
              <w:t xml:space="preserve">Performance is reported </w:t>
            </w:r>
            <w:r w:rsidR="00033DA6" w:rsidRPr="00186CC6">
              <w:rPr>
                <w:highlight w:val="yellow"/>
              </w:rPr>
              <w:t>for Q4 annually in July</w:t>
            </w:r>
            <w:r w:rsidRPr="00315936">
              <w:t>.</w:t>
            </w:r>
          </w:p>
          <w:p w14:paraId="18F3FDEF" w14:textId="77777777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 xml:space="preserve">Data are sourced from </w:t>
            </w:r>
            <w:proofErr w:type="spellStart"/>
            <w:r w:rsidRPr="00315936">
              <w:t>HeART</w:t>
            </w:r>
            <w:proofErr w:type="spellEnd"/>
            <w:r>
              <w:t>.</w:t>
            </w:r>
          </w:p>
          <w:p w14:paraId="6361674E" w14:textId="77777777" w:rsidR="008463E8" w:rsidRPr="00315936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 xml:space="preserve">The Revised Estimates are updated and provided to the Department of Treasury and Finance multiple times each financial year. As year-end approaches, the forecasts should be most accurate when the Revised </w:t>
            </w:r>
            <w:r w:rsidRPr="00315936">
              <w:lastRenderedPageBreak/>
              <w:t>Estimates for the final feed to the Department of Treasury and Finance are provided in early June.</w:t>
            </w:r>
          </w:p>
          <w:p w14:paraId="2AC4FEFE" w14:textId="77777777" w:rsidR="008463E8" w:rsidRPr="001A453F" w:rsidRDefault="008463E8">
            <w:pPr>
              <w:pStyle w:val="Tabletext"/>
              <w:rPr>
                <w:rFonts w:ascii="VIC" w:eastAsia="VIC" w:hAnsi="VIC" w:cs="VIC"/>
                <w:color w:val="000000" w:themeColor="text1"/>
                <w:sz w:val="20"/>
              </w:rPr>
            </w:pPr>
            <w:r w:rsidRPr="00315936">
              <w:t>These estimates assist the Treasurer in determining the State’s final financial result.</w:t>
            </w:r>
          </w:p>
        </w:tc>
      </w:tr>
      <w:bookmarkEnd w:id="7"/>
    </w:tbl>
    <w:p w14:paraId="33D9BAB3" w14:textId="77777777" w:rsidR="008463E8" w:rsidRPr="008463E8" w:rsidRDefault="008463E8" w:rsidP="008463E8">
      <w:pPr>
        <w:pStyle w:val="Body"/>
      </w:pPr>
    </w:p>
    <w:sectPr w:rsidR="008463E8" w:rsidRPr="008463E8" w:rsidSect="00454A7D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ACCE" w14:textId="77777777" w:rsidR="00F50876" w:rsidRDefault="00F50876">
      <w:r>
        <w:separator/>
      </w:r>
    </w:p>
    <w:p w14:paraId="02403A73" w14:textId="77777777" w:rsidR="00F50876" w:rsidRDefault="00F50876"/>
  </w:endnote>
  <w:endnote w:type="continuationSeparator" w:id="0">
    <w:p w14:paraId="5A627B4A" w14:textId="77777777" w:rsidR="00F50876" w:rsidRDefault="00F50876">
      <w:r>
        <w:continuationSeparator/>
      </w:r>
    </w:p>
    <w:p w14:paraId="0F20A1AC" w14:textId="77777777" w:rsidR="00F50876" w:rsidRDefault="00F50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BCA7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8414C7B" wp14:editId="6C1FD1F0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006B5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4C7B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268006B5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C22D" w14:textId="77777777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C5DA6D" wp14:editId="1059535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FFAD05" w14:textId="77777777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5DA6D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CFFAD05" w14:textId="77777777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387E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DDF6FAC" wp14:editId="0FCBFA5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F2118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F6FAC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95F2118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3298" w14:textId="77777777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F50BCAB" wp14:editId="7762C1C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53207A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0BCAB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053207A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D158" w14:textId="77777777" w:rsidR="00431A70" w:rsidRDefault="008977D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2B04749" wp14:editId="5FAB6F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4884611b90139cc3ff5acf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88754" w14:textId="77777777" w:rsidR="008977D1" w:rsidRPr="008977D1" w:rsidRDefault="008977D1" w:rsidP="008977D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977D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04749" id="_x0000_t202" coordsize="21600,21600" o:spt="202" path="m,l,21600r21600,l21600,xe">
              <v:stroke joinstyle="miter"/>
              <v:path gradientshapeok="t" o:connecttype="rect"/>
            </v:shapetype>
            <v:shape id="MSIPCM74884611b90139cc3ff5acf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2588754" w14:textId="77777777" w:rsidR="008977D1" w:rsidRPr="008977D1" w:rsidRDefault="008977D1" w:rsidP="008977D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977D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ED97DCA" wp14:editId="08BB9DA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9EAB7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97DCA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4589EAB7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7CED" w14:textId="77777777" w:rsidR="00F50876" w:rsidRDefault="00F50876" w:rsidP="00207717">
      <w:pPr>
        <w:spacing w:before="120"/>
      </w:pPr>
      <w:r>
        <w:separator/>
      </w:r>
    </w:p>
  </w:footnote>
  <w:footnote w:type="continuationSeparator" w:id="0">
    <w:p w14:paraId="249F8100" w14:textId="77777777" w:rsidR="00F50876" w:rsidRDefault="00F50876">
      <w:r>
        <w:continuationSeparator/>
      </w:r>
    </w:p>
    <w:p w14:paraId="1624B2A5" w14:textId="77777777" w:rsidR="00F50876" w:rsidRDefault="00F50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D1D0" w14:textId="77777777" w:rsidR="00431A70" w:rsidRPr="00454A7D" w:rsidRDefault="00431A70" w:rsidP="0045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2906" w14:textId="6DB9ED75" w:rsidR="00562811" w:rsidRPr="0051568D" w:rsidRDefault="00AE7AEB" w:rsidP="0017674D">
    <w:pPr>
      <w:pStyle w:val="Header"/>
    </w:pPr>
    <w:bookmarkStart w:id="10" w:name="_Hlk215492614"/>
    <w:r>
      <w:t>Errata Victorian Health Services Performance Monitoring Framework 2024–</w:t>
    </w:r>
    <w:r w:rsidR="00C01DE4">
      <w:t xml:space="preserve">25 </w:t>
    </w:r>
    <w:r>
      <w:t>Business rules</w:t>
    </w:r>
    <w:bookmarkEnd w:id="10"/>
    <w:r>
      <w:ptab w:relativeTo="margin" w:alignment="right" w:leader="none"/>
    </w:r>
    <w:r w:rsidR="00562811" w:rsidRPr="00DE6C85">
      <w:rPr>
        <w:b w:val="0"/>
        <w:bCs/>
      </w:rPr>
      <w:fldChar w:fldCharType="begin"/>
    </w:r>
    <w:r w:rsidR="00562811" w:rsidRPr="00DE6C85">
      <w:rPr>
        <w:bCs/>
      </w:rPr>
      <w:instrText xml:space="preserve"> PAGE </w:instrText>
    </w:r>
    <w:r w:rsidR="00562811" w:rsidRPr="00DE6C85">
      <w:rPr>
        <w:b w:val="0"/>
        <w:bCs/>
      </w:rPr>
      <w:fldChar w:fldCharType="separate"/>
    </w:r>
    <w:r w:rsidR="00562811" w:rsidRPr="00DE6C85">
      <w:rPr>
        <w:bCs/>
      </w:rPr>
      <w:t>2</w:t>
    </w:r>
    <w:r w:rsidR="00562811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B8D43DB"/>
    <w:multiLevelType w:val="multilevel"/>
    <w:tmpl w:val="B33A2DBC"/>
    <w:numStyleLink w:val="ZZNumbersdigit"/>
  </w:abstractNum>
  <w:abstractNum w:abstractNumId="14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6259957">
    <w:abstractNumId w:val="10"/>
  </w:num>
  <w:num w:numId="2" w16cid:durableId="123936107">
    <w:abstractNumId w:val="17"/>
  </w:num>
  <w:num w:numId="3" w16cid:durableId="467237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0068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400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5742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3505518">
    <w:abstractNumId w:val="21"/>
  </w:num>
  <w:num w:numId="8" w16cid:durableId="2087535718">
    <w:abstractNumId w:val="16"/>
  </w:num>
  <w:num w:numId="9" w16cid:durableId="294722641">
    <w:abstractNumId w:val="20"/>
  </w:num>
  <w:num w:numId="10" w16cid:durableId="6585815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6108455">
    <w:abstractNumId w:val="22"/>
  </w:num>
  <w:num w:numId="12" w16cid:durableId="1902905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67978">
    <w:abstractNumId w:val="18"/>
  </w:num>
  <w:num w:numId="14" w16cid:durableId="1137953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1793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8258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41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181627">
    <w:abstractNumId w:val="24"/>
  </w:num>
  <w:num w:numId="19" w16cid:durableId="17400122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7400122">
    <w:abstractNumId w:val="14"/>
  </w:num>
  <w:num w:numId="21" w16cid:durableId="313066543">
    <w:abstractNumId w:val="12"/>
  </w:num>
  <w:num w:numId="22" w16cid:durableId="1188526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869951">
    <w:abstractNumId w:val="15"/>
  </w:num>
  <w:num w:numId="24" w16cid:durableId="678460138">
    <w:abstractNumId w:val="25"/>
  </w:num>
  <w:num w:numId="25" w16cid:durableId="778337227">
    <w:abstractNumId w:val="23"/>
  </w:num>
  <w:num w:numId="26" w16cid:durableId="1237394188">
    <w:abstractNumId w:val="19"/>
  </w:num>
  <w:num w:numId="27" w16cid:durableId="89862378">
    <w:abstractNumId w:val="11"/>
  </w:num>
  <w:num w:numId="28" w16cid:durableId="865555382">
    <w:abstractNumId w:val="26"/>
  </w:num>
  <w:num w:numId="29" w16cid:durableId="973605343">
    <w:abstractNumId w:val="9"/>
  </w:num>
  <w:num w:numId="30" w16cid:durableId="436678661">
    <w:abstractNumId w:val="7"/>
  </w:num>
  <w:num w:numId="31" w16cid:durableId="466313000">
    <w:abstractNumId w:val="6"/>
  </w:num>
  <w:num w:numId="32" w16cid:durableId="1451895024">
    <w:abstractNumId w:val="5"/>
  </w:num>
  <w:num w:numId="33" w16cid:durableId="1720982374">
    <w:abstractNumId w:val="4"/>
  </w:num>
  <w:num w:numId="34" w16cid:durableId="1331448967">
    <w:abstractNumId w:val="8"/>
  </w:num>
  <w:num w:numId="35" w16cid:durableId="629165089">
    <w:abstractNumId w:val="3"/>
  </w:num>
  <w:num w:numId="36" w16cid:durableId="696856766">
    <w:abstractNumId w:val="2"/>
  </w:num>
  <w:num w:numId="37" w16cid:durableId="716514378">
    <w:abstractNumId w:val="1"/>
  </w:num>
  <w:num w:numId="38" w16cid:durableId="2041347972">
    <w:abstractNumId w:val="0"/>
  </w:num>
  <w:num w:numId="39" w16cid:durableId="208567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41"/>
    <w:rsid w:val="00000719"/>
    <w:rsid w:val="00002D68"/>
    <w:rsid w:val="00002FD1"/>
    <w:rsid w:val="000033F7"/>
    <w:rsid w:val="00003403"/>
    <w:rsid w:val="00004FBF"/>
    <w:rsid w:val="00005347"/>
    <w:rsid w:val="000072B6"/>
    <w:rsid w:val="0001021B"/>
    <w:rsid w:val="0001093C"/>
    <w:rsid w:val="00011B57"/>
    <w:rsid w:val="00011D89"/>
    <w:rsid w:val="000154FD"/>
    <w:rsid w:val="00022271"/>
    <w:rsid w:val="000235E8"/>
    <w:rsid w:val="00024485"/>
    <w:rsid w:val="00024D89"/>
    <w:rsid w:val="000250B6"/>
    <w:rsid w:val="00026540"/>
    <w:rsid w:val="00030145"/>
    <w:rsid w:val="00030CDD"/>
    <w:rsid w:val="00033D81"/>
    <w:rsid w:val="00033DA6"/>
    <w:rsid w:val="00033DC9"/>
    <w:rsid w:val="00037366"/>
    <w:rsid w:val="00041BF0"/>
    <w:rsid w:val="00042C8A"/>
    <w:rsid w:val="000434E2"/>
    <w:rsid w:val="00044030"/>
    <w:rsid w:val="0004536B"/>
    <w:rsid w:val="00046B68"/>
    <w:rsid w:val="000527DD"/>
    <w:rsid w:val="00054D3E"/>
    <w:rsid w:val="00056880"/>
    <w:rsid w:val="00056EC4"/>
    <w:rsid w:val="000578B2"/>
    <w:rsid w:val="00060959"/>
    <w:rsid w:val="00060C8F"/>
    <w:rsid w:val="00062176"/>
    <w:rsid w:val="0006298A"/>
    <w:rsid w:val="000663CD"/>
    <w:rsid w:val="000733FE"/>
    <w:rsid w:val="00074219"/>
    <w:rsid w:val="00074ED5"/>
    <w:rsid w:val="00076229"/>
    <w:rsid w:val="000767AA"/>
    <w:rsid w:val="0007731A"/>
    <w:rsid w:val="0008178F"/>
    <w:rsid w:val="0008204A"/>
    <w:rsid w:val="00082D82"/>
    <w:rsid w:val="0008508E"/>
    <w:rsid w:val="000851EB"/>
    <w:rsid w:val="00087951"/>
    <w:rsid w:val="00087C9D"/>
    <w:rsid w:val="0009093D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5E1D"/>
    <w:rsid w:val="000B6BC8"/>
    <w:rsid w:val="000C0303"/>
    <w:rsid w:val="000C42EA"/>
    <w:rsid w:val="000C4546"/>
    <w:rsid w:val="000C7577"/>
    <w:rsid w:val="000C7669"/>
    <w:rsid w:val="000D1242"/>
    <w:rsid w:val="000D2ABA"/>
    <w:rsid w:val="000E0970"/>
    <w:rsid w:val="000E3CC7"/>
    <w:rsid w:val="000E6BD4"/>
    <w:rsid w:val="000E6D6D"/>
    <w:rsid w:val="000F0009"/>
    <w:rsid w:val="000F1F1E"/>
    <w:rsid w:val="000F2259"/>
    <w:rsid w:val="000F2DDA"/>
    <w:rsid w:val="000F2EA0"/>
    <w:rsid w:val="000F5213"/>
    <w:rsid w:val="00101001"/>
    <w:rsid w:val="00102BAB"/>
    <w:rsid w:val="00103276"/>
    <w:rsid w:val="0010392D"/>
    <w:rsid w:val="0010447F"/>
    <w:rsid w:val="00104FE3"/>
    <w:rsid w:val="0010714F"/>
    <w:rsid w:val="001079C8"/>
    <w:rsid w:val="001120C5"/>
    <w:rsid w:val="00120BD3"/>
    <w:rsid w:val="00122FEA"/>
    <w:rsid w:val="001232BD"/>
    <w:rsid w:val="001236DC"/>
    <w:rsid w:val="00124ED5"/>
    <w:rsid w:val="001276FA"/>
    <w:rsid w:val="00135832"/>
    <w:rsid w:val="00137950"/>
    <w:rsid w:val="001404C4"/>
    <w:rsid w:val="001447B3"/>
    <w:rsid w:val="00145B74"/>
    <w:rsid w:val="00152073"/>
    <w:rsid w:val="00152329"/>
    <w:rsid w:val="00153E89"/>
    <w:rsid w:val="00156598"/>
    <w:rsid w:val="00161939"/>
    <w:rsid w:val="00161AA0"/>
    <w:rsid w:val="00161AC7"/>
    <w:rsid w:val="00161D2E"/>
    <w:rsid w:val="00161F3E"/>
    <w:rsid w:val="00162093"/>
    <w:rsid w:val="00162CA9"/>
    <w:rsid w:val="00164E8C"/>
    <w:rsid w:val="00165459"/>
    <w:rsid w:val="00165A57"/>
    <w:rsid w:val="001712C2"/>
    <w:rsid w:val="001721E9"/>
    <w:rsid w:val="00172BAF"/>
    <w:rsid w:val="00176197"/>
    <w:rsid w:val="0017674D"/>
    <w:rsid w:val="001771DD"/>
    <w:rsid w:val="00177995"/>
    <w:rsid w:val="00177A8C"/>
    <w:rsid w:val="0018244E"/>
    <w:rsid w:val="00184F85"/>
    <w:rsid w:val="00186B33"/>
    <w:rsid w:val="00186CC6"/>
    <w:rsid w:val="001918C9"/>
    <w:rsid w:val="00192F9D"/>
    <w:rsid w:val="00196EB8"/>
    <w:rsid w:val="00196EFB"/>
    <w:rsid w:val="001979FF"/>
    <w:rsid w:val="00197B17"/>
    <w:rsid w:val="001A1950"/>
    <w:rsid w:val="001A1C54"/>
    <w:rsid w:val="001A3ACE"/>
    <w:rsid w:val="001A5933"/>
    <w:rsid w:val="001A6272"/>
    <w:rsid w:val="001B058F"/>
    <w:rsid w:val="001B3A2D"/>
    <w:rsid w:val="001B6B96"/>
    <w:rsid w:val="001B738B"/>
    <w:rsid w:val="001C09DB"/>
    <w:rsid w:val="001C1057"/>
    <w:rsid w:val="001C277E"/>
    <w:rsid w:val="001C2A72"/>
    <w:rsid w:val="001C31B7"/>
    <w:rsid w:val="001D0B75"/>
    <w:rsid w:val="001D39A5"/>
    <w:rsid w:val="001D3C09"/>
    <w:rsid w:val="001D44E8"/>
    <w:rsid w:val="001D5535"/>
    <w:rsid w:val="001D60EC"/>
    <w:rsid w:val="001D6F59"/>
    <w:rsid w:val="001E44DF"/>
    <w:rsid w:val="001E68A5"/>
    <w:rsid w:val="001E6BB0"/>
    <w:rsid w:val="001E7282"/>
    <w:rsid w:val="001F3826"/>
    <w:rsid w:val="001F6641"/>
    <w:rsid w:val="001F6E46"/>
    <w:rsid w:val="001F7C91"/>
    <w:rsid w:val="002033B7"/>
    <w:rsid w:val="00203439"/>
    <w:rsid w:val="00205354"/>
    <w:rsid w:val="00206463"/>
    <w:rsid w:val="00206F2F"/>
    <w:rsid w:val="00207717"/>
    <w:rsid w:val="0021053D"/>
    <w:rsid w:val="00210A92"/>
    <w:rsid w:val="0021136B"/>
    <w:rsid w:val="00212B95"/>
    <w:rsid w:val="00215CC8"/>
    <w:rsid w:val="00216C03"/>
    <w:rsid w:val="00220054"/>
    <w:rsid w:val="00220A1A"/>
    <w:rsid w:val="00220C04"/>
    <w:rsid w:val="0022278D"/>
    <w:rsid w:val="0022500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520"/>
    <w:rsid w:val="00262802"/>
    <w:rsid w:val="00263A90"/>
    <w:rsid w:val="0026408B"/>
    <w:rsid w:val="00267C3E"/>
    <w:rsid w:val="002709BB"/>
    <w:rsid w:val="0027131C"/>
    <w:rsid w:val="00273BAC"/>
    <w:rsid w:val="002763B3"/>
    <w:rsid w:val="00276623"/>
    <w:rsid w:val="002802E3"/>
    <w:rsid w:val="0028213D"/>
    <w:rsid w:val="002862F1"/>
    <w:rsid w:val="00286D07"/>
    <w:rsid w:val="00291373"/>
    <w:rsid w:val="0029174C"/>
    <w:rsid w:val="0029597D"/>
    <w:rsid w:val="002962C3"/>
    <w:rsid w:val="0029752B"/>
    <w:rsid w:val="002A0678"/>
    <w:rsid w:val="002A0A9C"/>
    <w:rsid w:val="002A1C21"/>
    <w:rsid w:val="002A287B"/>
    <w:rsid w:val="002A483C"/>
    <w:rsid w:val="002B0C7C"/>
    <w:rsid w:val="002B13CD"/>
    <w:rsid w:val="002B1729"/>
    <w:rsid w:val="002B20D7"/>
    <w:rsid w:val="002B36C7"/>
    <w:rsid w:val="002B4DD4"/>
    <w:rsid w:val="002B5116"/>
    <w:rsid w:val="002B5277"/>
    <w:rsid w:val="002B5375"/>
    <w:rsid w:val="002B77C1"/>
    <w:rsid w:val="002C0ED7"/>
    <w:rsid w:val="002C17CE"/>
    <w:rsid w:val="002C2728"/>
    <w:rsid w:val="002C5B7C"/>
    <w:rsid w:val="002D1607"/>
    <w:rsid w:val="002D1E0D"/>
    <w:rsid w:val="002D5006"/>
    <w:rsid w:val="002D7C61"/>
    <w:rsid w:val="002E01D0"/>
    <w:rsid w:val="002E161D"/>
    <w:rsid w:val="002E28A2"/>
    <w:rsid w:val="002E3100"/>
    <w:rsid w:val="002E6C95"/>
    <w:rsid w:val="002E7C36"/>
    <w:rsid w:val="002F07B3"/>
    <w:rsid w:val="002F372A"/>
    <w:rsid w:val="002F3D32"/>
    <w:rsid w:val="002F5F31"/>
    <w:rsid w:val="002F5F46"/>
    <w:rsid w:val="00302216"/>
    <w:rsid w:val="00303004"/>
    <w:rsid w:val="00303E53"/>
    <w:rsid w:val="00305CC1"/>
    <w:rsid w:val="00306E5F"/>
    <w:rsid w:val="00307E14"/>
    <w:rsid w:val="0031021F"/>
    <w:rsid w:val="00313EDD"/>
    <w:rsid w:val="00314054"/>
    <w:rsid w:val="00316F27"/>
    <w:rsid w:val="003214F1"/>
    <w:rsid w:val="00322E4B"/>
    <w:rsid w:val="00323811"/>
    <w:rsid w:val="0032474F"/>
    <w:rsid w:val="00327870"/>
    <w:rsid w:val="0033259D"/>
    <w:rsid w:val="003333D2"/>
    <w:rsid w:val="00334686"/>
    <w:rsid w:val="00337339"/>
    <w:rsid w:val="00340182"/>
    <w:rsid w:val="00340345"/>
    <w:rsid w:val="003406C6"/>
    <w:rsid w:val="003418CC"/>
    <w:rsid w:val="00341CA1"/>
    <w:rsid w:val="003434EE"/>
    <w:rsid w:val="003459BD"/>
    <w:rsid w:val="00345A19"/>
    <w:rsid w:val="00350D38"/>
    <w:rsid w:val="00351B36"/>
    <w:rsid w:val="00352690"/>
    <w:rsid w:val="003540D3"/>
    <w:rsid w:val="00354C2C"/>
    <w:rsid w:val="00357B4E"/>
    <w:rsid w:val="003664BA"/>
    <w:rsid w:val="003671FE"/>
    <w:rsid w:val="003716FD"/>
    <w:rsid w:val="0037204B"/>
    <w:rsid w:val="003744CF"/>
    <w:rsid w:val="00374717"/>
    <w:rsid w:val="0037676C"/>
    <w:rsid w:val="00381043"/>
    <w:rsid w:val="003829E5"/>
    <w:rsid w:val="00386109"/>
    <w:rsid w:val="00386215"/>
    <w:rsid w:val="00386944"/>
    <w:rsid w:val="003953AA"/>
    <w:rsid w:val="0039543D"/>
    <w:rsid w:val="003956CC"/>
    <w:rsid w:val="00395C9A"/>
    <w:rsid w:val="00397F7E"/>
    <w:rsid w:val="003A0853"/>
    <w:rsid w:val="003A1116"/>
    <w:rsid w:val="003A59CA"/>
    <w:rsid w:val="003A6B67"/>
    <w:rsid w:val="003B13B6"/>
    <w:rsid w:val="003B14C3"/>
    <w:rsid w:val="003B15E6"/>
    <w:rsid w:val="003B22EF"/>
    <w:rsid w:val="003B408A"/>
    <w:rsid w:val="003B6A8F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4383"/>
    <w:rsid w:val="003D6475"/>
    <w:rsid w:val="003D6A04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629C"/>
    <w:rsid w:val="004013C7"/>
    <w:rsid w:val="00401FCF"/>
    <w:rsid w:val="0040215C"/>
    <w:rsid w:val="004055DE"/>
    <w:rsid w:val="00406285"/>
    <w:rsid w:val="004115A2"/>
    <w:rsid w:val="004122B8"/>
    <w:rsid w:val="004148F9"/>
    <w:rsid w:val="0042084E"/>
    <w:rsid w:val="004214CD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5DDC"/>
    <w:rsid w:val="004468B4"/>
    <w:rsid w:val="00446D86"/>
    <w:rsid w:val="00450C2C"/>
    <w:rsid w:val="0045230A"/>
    <w:rsid w:val="00454A7D"/>
    <w:rsid w:val="00454AD0"/>
    <w:rsid w:val="00454BD5"/>
    <w:rsid w:val="00456708"/>
    <w:rsid w:val="00457337"/>
    <w:rsid w:val="00457B07"/>
    <w:rsid w:val="00462E3D"/>
    <w:rsid w:val="00466E79"/>
    <w:rsid w:val="00470D7D"/>
    <w:rsid w:val="0047372D"/>
    <w:rsid w:val="00473BA3"/>
    <w:rsid w:val="004743DD"/>
    <w:rsid w:val="00474CEA"/>
    <w:rsid w:val="00474E9D"/>
    <w:rsid w:val="004754A1"/>
    <w:rsid w:val="00480986"/>
    <w:rsid w:val="00483968"/>
    <w:rsid w:val="00483EE7"/>
    <w:rsid w:val="004841BE"/>
    <w:rsid w:val="00484F86"/>
    <w:rsid w:val="00490746"/>
    <w:rsid w:val="00490852"/>
    <w:rsid w:val="00491C9C"/>
    <w:rsid w:val="00492F30"/>
    <w:rsid w:val="004946F4"/>
    <w:rsid w:val="0049487E"/>
    <w:rsid w:val="004A0492"/>
    <w:rsid w:val="004A160D"/>
    <w:rsid w:val="004A3E81"/>
    <w:rsid w:val="004A4195"/>
    <w:rsid w:val="004A5C62"/>
    <w:rsid w:val="004A5CE5"/>
    <w:rsid w:val="004A707D"/>
    <w:rsid w:val="004B0974"/>
    <w:rsid w:val="004B4185"/>
    <w:rsid w:val="004B590E"/>
    <w:rsid w:val="004C5541"/>
    <w:rsid w:val="004C6C96"/>
    <w:rsid w:val="004C6EEE"/>
    <w:rsid w:val="004C700B"/>
    <w:rsid w:val="004C702B"/>
    <w:rsid w:val="004D0033"/>
    <w:rsid w:val="004D016B"/>
    <w:rsid w:val="004D1B22"/>
    <w:rsid w:val="004D218E"/>
    <w:rsid w:val="004D23CC"/>
    <w:rsid w:val="004D36F2"/>
    <w:rsid w:val="004E0782"/>
    <w:rsid w:val="004E1106"/>
    <w:rsid w:val="004E138F"/>
    <w:rsid w:val="004E2B1E"/>
    <w:rsid w:val="004E4649"/>
    <w:rsid w:val="004E48B8"/>
    <w:rsid w:val="004E5C2B"/>
    <w:rsid w:val="004F00DD"/>
    <w:rsid w:val="004F2081"/>
    <w:rsid w:val="004F2133"/>
    <w:rsid w:val="004F448C"/>
    <w:rsid w:val="004F5398"/>
    <w:rsid w:val="004F55F1"/>
    <w:rsid w:val="004F6936"/>
    <w:rsid w:val="004F7F85"/>
    <w:rsid w:val="0050158E"/>
    <w:rsid w:val="005019CE"/>
    <w:rsid w:val="0050225D"/>
    <w:rsid w:val="00503DC6"/>
    <w:rsid w:val="00506F5D"/>
    <w:rsid w:val="005070E4"/>
    <w:rsid w:val="00510C37"/>
    <w:rsid w:val="005126D0"/>
    <w:rsid w:val="00514667"/>
    <w:rsid w:val="0051568D"/>
    <w:rsid w:val="00524FDA"/>
    <w:rsid w:val="0052670D"/>
    <w:rsid w:val="00526AC7"/>
    <w:rsid w:val="00526C15"/>
    <w:rsid w:val="00536499"/>
    <w:rsid w:val="00536551"/>
    <w:rsid w:val="00542A03"/>
    <w:rsid w:val="00543903"/>
    <w:rsid w:val="00543BCC"/>
    <w:rsid w:val="00543F11"/>
    <w:rsid w:val="00544135"/>
    <w:rsid w:val="00545B4C"/>
    <w:rsid w:val="00546305"/>
    <w:rsid w:val="00547A95"/>
    <w:rsid w:val="0055119B"/>
    <w:rsid w:val="005602E3"/>
    <w:rsid w:val="00561202"/>
    <w:rsid w:val="0056248E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685A"/>
    <w:rsid w:val="005A77EE"/>
    <w:rsid w:val="005B1C6D"/>
    <w:rsid w:val="005B20C0"/>
    <w:rsid w:val="005B21B6"/>
    <w:rsid w:val="005B3A08"/>
    <w:rsid w:val="005B7A63"/>
    <w:rsid w:val="005C0955"/>
    <w:rsid w:val="005C138B"/>
    <w:rsid w:val="005C49DA"/>
    <w:rsid w:val="005C50F3"/>
    <w:rsid w:val="005C54B5"/>
    <w:rsid w:val="005C5D80"/>
    <w:rsid w:val="005C5D91"/>
    <w:rsid w:val="005D07B8"/>
    <w:rsid w:val="005D6597"/>
    <w:rsid w:val="005D79DB"/>
    <w:rsid w:val="005E14E7"/>
    <w:rsid w:val="005E26A3"/>
    <w:rsid w:val="005E2ECB"/>
    <w:rsid w:val="005E447E"/>
    <w:rsid w:val="005E459D"/>
    <w:rsid w:val="005E4FD1"/>
    <w:rsid w:val="005F0775"/>
    <w:rsid w:val="005F0CF5"/>
    <w:rsid w:val="005F0EBB"/>
    <w:rsid w:val="005F21EB"/>
    <w:rsid w:val="005F3C11"/>
    <w:rsid w:val="005F424B"/>
    <w:rsid w:val="005F43D3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3A34"/>
    <w:rsid w:val="00634D13"/>
    <w:rsid w:val="006358B4"/>
    <w:rsid w:val="00641724"/>
    <w:rsid w:val="006419AA"/>
    <w:rsid w:val="0064482F"/>
    <w:rsid w:val="00644B1F"/>
    <w:rsid w:val="00644B7E"/>
    <w:rsid w:val="006454E6"/>
    <w:rsid w:val="00646235"/>
    <w:rsid w:val="00646A68"/>
    <w:rsid w:val="006505BD"/>
    <w:rsid w:val="006508EA"/>
    <w:rsid w:val="0065092E"/>
    <w:rsid w:val="006533C5"/>
    <w:rsid w:val="006557A7"/>
    <w:rsid w:val="00656290"/>
    <w:rsid w:val="006601C9"/>
    <w:rsid w:val="006608D8"/>
    <w:rsid w:val="006621D7"/>
    <w:rsid w:val="0066296E"/>
    <w:rsid w:val="0066302A"/>
    <w:rsid w:val="00666A22"/>
    <w:rsid w:val="00667770"/>
    <w:rsid w:val="00670597"/>
    <w:rsid w:val="006706D0"/>
    <w:rsid w:val="00677574"/>
    <w:rsid w:val="006812ED"/>
    <w:rsid w:val="00683878"/>
    <w:rsid w:val="00684380"/>
    <w:rsid w:val="0068454C"/>
    <w:rsid w:val="00690160"/>
    <w:rsid w:val="00691B62"/>
    <w:rsid w:val="006933B5"/>
    <w:rsid w:val="00693D14"/>
    <w:rsid w:val="00694765"/>
    <w:rsid w:val="00696F27"/>
    <w:rsid w:val="006A18C2"/>
    <w:rsid w:val="006A3383"/>
    <w:rsid w:val="006A416C"/>
    <w:rsid w:val="006A45BC"/>
    <w:rsid w:val="006A7681"/>
    <w:rsid w:val="006B077C"/>
    <w:rsid w:val="006B6803"/>
    <w:rsid w:val="006C6934"/>
    <w:rsid w:val="006C69AE"/>
    <w:rsid w:val="006D0F16"/>
    <w:rsid w:val="006D1142"/>
    <w:rsid w:val="006D2A3F"/>
    <w:rsid w:val="006D2FBC"/>
    <w:rsid w:val="006D6E34"/>
    <w:rsid w:val="006E0312"/>
    <w:rsid w:val="006E0DB9"/>
    <w:rsid w:val="006E138B"/>
    <w:rsid w:val="006E1867"/>
    <w:rsid w:val="006E307A"/>
    <w:rsid w:val="006E4C03"/>
    <w:rsid w:val="006E5E76"/>
    <w:rsid w:val="006E605B"/>
    <w:rsid w:val="006F0330"/>
    <w:rsid w:val="006F1FDC"/>
    <w:rsid w:val="006F4D39"/>
    <w:rsid w:val="006F6563"/>
    <w:rsid w:val="006F65B3"/>
    <w:rsid w:val="006F6B8C"/>
    <w:rsid w:val="006F727F"/>
    <w:rsid w:val="007013EF"/>
    <w:rsid w:val="007055BD"/>
    <w:rsid w:val="00707586"/>
    <w:rsid w:val="00712028"/>
    <w:rsid w:val="00713CAE"/>
    <w:rsid w:val="007173CA"/>
    <w:rsid w:val="007216AA"/>
    <w:rsid w:val="00721AB5"/>
    <w:rsid w:val="00721CFB"/>
    <w:rsid w:val="00721DEF"/>
    <w:rsid w:val="00724A43"/>
    <w:rsid w:val="007273AC"/>
    <w:rsid w:val="00731AD4"/>
    <w:rsid w:val="007344BB"/>
    <w:rsid w:val="007346E4"/>
    <w:rsid w:val="00735564"/>
    <w:rsid w:val="00740F22"/>
    <w:rsid w:val="00741CF0"/>
    <w:rsid w:val="00741F1A"/>
    <w:rsid w:val="007447DA"/>
    <w:rsid w:val="007450F8"/>
    <w:rsid w:val="007453DB"/>
    <w:rsid w:val="0074696E"/>
    <w:rsid w:val="00750135"/>
    <w:rsid w:val="00750EC2"/>
    <w:rsid w:val="00752B28"/>
    <w:rsid w:val="007536BC"/>
    <w:rsid w:val="007541A9"/>
    <w:rsid w:val="00754E36"/>
    <w:rsid w:val="007569FD"/>
    <w:rsid w:val="00763139"/>
    <w:rsid w:val="0076333A"/>
    <w:rsid w:val="007679F0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1187"/>
    <w:rsid w:val="00782222"/>
    <w:rsid w:val="007833D8"/>
    <w:rsid w:val="00785677"/>
    <w:rsid w:val="00786F16"/>
    <w:rsid w:val="00791BD7"/>
    <w:rsid w:val="007933F7"/>
    <w:rsid w:val="00795A1B"/>
    <w:rsid w:val="0079618A"/>
    <w:rsid w:val="00796E20"/>
    <w:rsid w:val="00797C32"/>
    <w:rsid w:val="007A0298"/>
    <w:rsid w:val="007A11E8"/>
    <w:rsid w:val="007A2AC2"/>
    <w:rsid w:val="007A5F49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38D"/>
    <w:rsid w:val="007D49EB"/>
    <w:rsid w:val="007D4DA3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7F7BFF"/>
    <w:rsid w:val="00800412"/>
    <w:rsid w:val="008023F5"/>
    <w:rsid w:val="0080587B"/>
    <w:rsid w:val="00806468"/>
    <w:rsid w:val="008119CA"/>
    <w:rsid w:val="008130C4"/>
    <w:rsid w:val="00813523"/>
    <w:rsid w:val="008155F0"/>
    <w:rsid w:val="00816735"/>
    <w:rsid w:val="00820141"/>
    <w:rsid w:val="00820E0C"/>
    <w:rsid w:val="00823275"/>
    <w:rsid w:val="0082366F"/>
    <w:rsid w:val="008330B4"/>
    <w:rsid w:val="008338A2"/>
    <w:rsid w:val="00837194"/>
    <w:rsid w:val="00837DC1"/>
    <w:rsid w:val="0084169E"/>
    <w:rsid w:val="00841AA9"/>
    <w:rsid w:val="008463E8"/>
    <w:rsid w:val="00846853"/>
    <w:rsid w:val="008474FE"/>
    <w:rsid w:val="00853EE4"/>
    <w:rsid w:val="00855535"/>
    <w:rsid w:val="00857C5A"/>
    <w:rsid w:val="008614B6"/>
    <w:rsid w:val="0086255E"/>
    <w:rsid w:val="008633F0"/>
    <w:rsid w:val="008656E5"/>
    <w:rsid w:val="00867D9D"/>
    <w:rsid w:val="00872E0A"/>
    <w:rsid w:val="00873594"/>
    <w:rsid w:val="00873B8C"/>
    <w:rsid w:val="00875285"/>
    <w:rsid w:val="00884B62"/>
    <w:rsid w:val="0088529C"/>
    <w:rsid w:val="00887903"/>
    <w:rsid w:val="0089270A"/>
    <w:rsid w:val="00893AF6"/>
    <w:rsid w:val="0089498C"/>
    <w:rsid w:val="00894BC4"/>
    <w:rsid w:val="0089574E"/>
    <w:rsid w:val="00896890"/>
    <w:rsid w:val="008973ED"/>
    <w:rsid w:val="008975A4"/>
    <w:rsid w:val="008977D1"/>
    <w:rsid w:val="008A28A8"/>
    <w:rsid w:val="008A54AC"/>
    <w:rsid w:val="008A5B32"/>
    <w:rsid w:val="008B0717"/>
    <w:rsid w:val="008B2029"/>
    <w:rsid w:val="008B2EE4"/>
    <w:rsid w:val="008B3821"/>
    <w:rsid w:val="008B4D3D"/>
    <w:rsid w:val="008B57C7"/>
    <w:rsid w:val="008C2F92"/>
    <w:rsid w:val="008C3546"/>
    <w:rsid w:val="008C589D"/>
    <w:rsid w:val="008C5F79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04D"/>
    <w:rsid w:val="00906490"/>
    <w:rsid w:val="009111B2"/>
    <w:rsid w:val="009141D3"/>
    <w:rsid w:val="009151F5"/>
    <w:rsid w:val="00921B93"/>
    <w:rsid w:val="00921EFC"/>
    <w:rsid w:val="00922B2D"/>
    <w:rsid w:val="00922C3A"/>
    <w:rsid w:val="00924AE1"/>
    <w:rsid w:val="009269B1"/>
    <w:rsid w:val="0092724D"/>
    <w:rsid w:val="009272B3"/>
    <w:rsid w:val="009315BE"/>
    <w:rsid w:val="00931A88"/>
    <w:rsid w:val="009326DD"/>
    <w:rsid w:val="0093338F"/>
    <w:rsid w:val="00937BD9"/>
    <w:rsid w:val="00937BF0"/>
    <w:rsid w:val="009434B6"/>
    <w:rsid w:val="00946D53"/>
    <w:rsid w:val="00950E2C"/>
    <w:rsid w:val="00951D50"/>
    <w:rsid w:val="009525EB"/>
    <w:rsid w:val="00952825"/>
    <w:rsid w:val="0095470B"/>
    <w:rsid w:val="00954874"/>
    <w:rsid w:val="0095615A"/>
    <w:rsid w:val="00961400"/>
    <w:rsid w:val="00963646"/>
    <w:rsid w:val="0096530B"/>
    <w:rsid w:val="00965CF4"/>
    <w:rsid w:val="0096632D"/>
    <w:rsid w:val="00967124"/>
    <w:rsid w:val="009702EC"/>
    <w:rsid w:val="0097166C"/>
    <w:rsid w:val="009718C7"/>
    <w:rsid w:val="00972290"/>
    <w:rsid w:val="0097559F"/>
    <w:rsid w:val="00975F12"/>
    <w:rsid w:val="009761EA"/>
    <w:rsid w:val="00976EAD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E4D"/>
    <w:rsid w:val="009922DF"/>
    <w:rsid w:val="0099232C"/>
    <w:rsid w:val="00994386"/>
    <w:rsid w:val="00997DD0"/>
    <w:rsid w:val="009A13D8"/>
    <w:rsid w:val="009A234E"/>
    <w:rsid w:val="009A279E"/>
    <w:rsid w:val="009A3015"/>
    <w:rsid w:val="009A3490"/>
    <w:rsid w:val="009A75AD"/>
    <w:rsid w:val="009B0A6F"/>
    <w:rsid w:val="009B0A94"/>
    <w:rsid w:val="009B0C62"/>
    <w:rsid w:val="009B0DC2"/>
    <w:rsid w:val="009B2AE8"/>
    <w:rsid w:val="009B5622"/>
    <w:rsid w:val="009B59E9"/>
    <w:rsid w:val="009B70AA"/>
    <w:rsid w:val="009C245E"/>
    <w:rsid w:val="009C5DAE"/>
    <w:rsid w:val="009C5E77"/>
    <w:rsid w:val="009C7A7E"/>
    <w:rsid w:val="009C7D5D"/>
    <w:rsid w:val="009D02E8"/>
    <w:rsid w:val="009D35CA"/>
    <w:rsid w:val="009D51D0"/>
    <w:rsid w:val="009D70A4"/>
    <w:rsid w:val="009D7B14"/>
    <w:rsid w:val="009D7DCF"/>
    <w:rsid w:val="009E08D1"/>
    <w:rsid w:val="009E0D96"/>
    <w:rsid w:val="009E1B95"/>
    <w:rsid w:val="009E3757"/>
    <w:rsid w:val="009E496F"/>
    <w:rsid w:val="009E4B0D"/>
    <w:rsid w:val="009E5250"/>
    <w:rsid w:val="009E7A69"/>
    <w:rsid w:val="009E7BDE"/>
    <w:rsid w:val="009E7F92"/>
    <w:rsid w:val="009F02A3"/>
    <w:rsid w:val="009F2182"/>
    <w:rsid w:val="009F2A71"/>
    <w:rsid w:val="009F2F27"/>
    <w:rsid w:val="009F34AA"/>
    <w:rsid w:val="009F3F7B"/>
    <w:rsid w:val="009F4729"/>
    <w:rsid w:val="009F5B14"/>
    <w:rsid w:val="009F6BCB"/>
    <w:rsid w:val="009F6C89"/>
    <w:rsid w:val="009F7B78"/>
    <w:rsid w:val="00A0057A"/>
    <w:rsid w:val="00A02FA1"/>
    <w:rsid w:val="00A04CCE"/>
    <w:rsid w:val="00A07421"/>
    <w:rsid w:val="00A074B3"/>
    <w:rsid w:val="00A0776B"/>
    <w:rsid w:val="00A10FB9"/>
    <w:rsid w:val="00A11421"/>
    <w:rsid w:val="00A1389F"/>
    <w:rsid w:val="00A13B7A"/>
    <w:rsid w:val="00A157B1"/>
    <w:rsid w:val="00A215C3"/>
    <w:rsid w:val="00A22229"/>
    <w:rsid w:val="00A24442"/>
    <w:rsid w:val="00A24ADA"/>
    <w:rsid w:val="00A25B43"/>
    <w:rsid w:val="00A32577"/>
    <w:rsid w:val="00A330BB"/>
    <w:rsid w:val="00A446F5"/>
    <w:rsid w:val="00A44882"/>
    <w:rsid w:val="00A45125"/>
    <w:rsid w:val="00A47815"/>
    <w:rsid w:val="00A54715"/>
    <w:rsid w:val="00A56920"/>
    <w:rsid w:val="00A57677"/>
    <w:rsid w:val="00A6061C"/>
    <w:rsid w:val="00A62D44"/>
    <w:rsid w:val="00A635E1"/>
    <w:rsid w:val="00A67263"/>
    <w:rsid w:val="00A704B9"/>
    <w:rsid w:val="00A7161C"/>
    <w:rsid w:val="00A71CE4"/>
    <w:rsid w:val="00A74ABD"/>
    <w:rsid w:val="00A77AA3"/>
    <w:rsid w:val="00A812E3"/>
    <w:rsid w:val="00A81813"/>
    <w:rsid w:val="00A8236D"/>
    <w:rsid w:val="00A84080"/>
    <w:rsid w:val="00A854EB"/>
    <w:rsid w:val="00A856BD"/>
    <w:rsid w:val="00A872E5"/>
    <w:rsid w:val="00A91406"/>
    <w:rsid w:val="00A942AC"/>
    <w:rsid w:val="00A96E65"/>
    <w:rsid w:val="00A96ECE"/>
    <w:rsid w:val="00A97C72"/>
    <w:rsid w:val="00AA1361"/>
    <w:rsid w:val="00AA310B"/>
    <w:rsid w:val="00AA3344"/>
    <w:rsid w:val="00AA4C44"/>
    <w:rsid w:val="00AA63D4"/>
    <w:rsid w:val="00AB06E8"/>
    <w:rsid w:val="00AB0E00"/>
    <w:rsid w:val="00AB1CD3"/>
    <w:rsid w:val="00AB352F"/>
    <w:rsid w:val="00AC274B"/>
    <w:rsid w:val="00AC4764"/>
    <w:rsid w:val="00AC6D36"/>
    <w:rsid w:val="00AC7DF6"/>
    <w:rsid w:val="00AD0CBA"/>
    <w:rsid w:val="00AD26E2"/>
    <w:rsid w:val="00AD381A"/>
    <w:rsid w:val="00AD62C2"/>
    <w:rsid w:val="00AD6FE7"/>
    <w:rsid w:val="00AD784C"/>
    <w:rsid w:val="00AE126A"/>
    <w:rsid w:val="00AE1BAE"/>
    <w:rsid w:val="00AE3005"/>
    <w:rsid w:val="00AE3BD5"/>
    <w:rsid w:val="00AE59A0"/>
    <w:rsid w:val="00AE7AEB"/>
    <w:rsid w:val="00AF0C57"/>
    <w:rsid w:val="00AF26F3"/>
    <w:rsid w:val="00AF53E8"/>
    <w:rsid w:val="00AF5840"/>
    <w:rsid w:val="00AF5F04"/>
    <w:rsid w:val="00AF73FD"/>
    <w:rsid w:val="00B00672"/>
    <w:rsid w:val="00B01B4D"/>
    <w:rsid w:val="00B04489"/>
    <w:rsid w:val="00B04DE7"/>
    <w:rsid w:val="00B06571"/>
    <w:rsid w:val="00B068BA"/>
    <w:rsid w:val="00B06B46"/>
    <w:rsid w:val="00B07217"/>
    <w:rsid w:val="00B07CD9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F14"/>
    <w:rsid w:val="00B3588E"/>
    <w:rsid w:val="00B4198F"/>
    <w:rsid w:val="00B41F3D"/>
    <w:rsid w:val="00B42C5A"/>
    <w:rsid w:val="00B431E8"/>
    <w:rsid w:val="00B4424B"/>
    <w:rsid w:val="00B45141"/>
    <w:rsid w:val="00B5029B"/>
    <w:rsid w:val="00B50CFA"/>
    <w:rsid w:val="00B519CD"/>
    <w:rsid w:val="00B5273A"/>
    <w:rsid w:val="00B54D64"/>
    <w:rsid w:val="00B54FFF"/>
    <w:rsid w:val="00B56351"/>
    <w:rsid w:val="00B57329"/>
    <w:rsid w:val="00B60E61"/>
    <w:rsid w:val="00B619A9"/>
    <w:rsid w:val="00B62B50"/>
    <w:rsid w:val="00B635B7"/>
    <w:rsid w:val="00B63AE8"/>
    <w:rsid w:val="00B64A6F"/>
    <w:rsid w:val="00B65950"/>
    <w:rsid w:val="00B66D83"/>
    <w:rsid w:val="00B672C0"/>
    <w:rsid w:val="00B676FD"/>
    <w:rsid w:val="00B678B6"/>
    <w:rsid w:val="00B74390"/>
    <w:rsid w:val="00B75646"/>
    <w:rsid w:val="00B7629E"/>
    <w:rsid w:val="00B818E8"/>
    <w:rsid w:val="00B847C0"/>
    <w:rsid w:val="00B8648C"/>
    <w:rsid w:val="00B90729"/>
    <w:rsid w:val="00B907DA"/>
    <w:rsid w:val="00B90B09"/>
    <w:rsid w:val="00B91D58"/>
    <w:rsid w:val="00B929B8"/>
    <w:rsid w:val="00B94C5E"/>
    <w:rsid w:val="00B950BC"/>
    <w:rsid w:val="00B9714C"/>
    <w:rsid w:val="00BA18D9"/>
    <w:rsid w:val="00BA26F6"/>
    <w:rsid w:val="00BA29AD"/>
    <w:rsid w:val="00BA33CF"/>
    <w:rsid w:val="00BA3F8D"/>
    <w:rsid w:val="00BB4713"/>
    <w:rsid w:val="00BB6C1D"/>
    <w:rsid w:val="00BB74AC"/>
    <w:rsid w:val="00BB7A10"/>
    <w:rsid w:val="00BC60BE"/>
    <w:rsid w:val="00BC7468"/>
    <w:rsid w:val="00BC7D4F"/>
    <w:rsid w:val="00BC7ED7"/>
    <w:rsid w:val="00BD2850"/>
    <w:rsid w:val="00BD42D3"/>
    <w:rsid w:val="00BD46CF"/>
    <w:rsid w:val="00BD6B9D"/>
    <w:rsid w:val="00BD70AC"/>
    <w:rsid w:val="00BE28D2"/>
    <w:rsid w:val="00BE4A64"/>
    <w:rsid w:val="00BE5E43"/>
    <w:rsid w:val="00BF1329"/>
    <w:rsid w:val="00BF1985"/>
    <w:rsid w:val="00BF557D"/>
    <w:rsid w:val="00BF658D"/>
    <w:rsid w:val="00BF7F58"/>
    <w:rsid w:val="00C01381"/>
    <w:rsid w:val="00C01AB1"/>
    <w:rsid w:val="00C01DE4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48AC"/>
    <w:rsid w:val="00C35484"/>
    <w:rsid w:val="00C37214"/>
    <w:rsid w:val="00C4173A"/>
    <w:rsid w:val="00C42589"/>
    <w:rsid w:val="00C426DB"/>
    <w:rsid w:val="00C443A1"/>
    <w:rsid w:val="00C444CB"/>
    <w:rsid w:val="00C50DED"/>
    <w:rsid w:val="00C5178E"/>
    <w:rsid w:val="00C52217"/>
    <w:rsid w:val="00C55A66"/>
    <w:rsid w:val="00C577E8"/>
    <w:rsid w:val="00C602FF"/>
    <w:rsid w:val="00C60411"/>
    <w:rsid w:val="00C61174"/>
    <w:rsid w:val="00C6148F"/>
    <w:rsid w:val="00C61BA5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20EA"/>
    <w:rsid w:val="00C93C3E"/>
    <w:rsid w:val="00CA1194"/>
    <w:rsid w:val="00CA12E3"/>
    <w:rsid w:val="00CA1476"/>
    <w:rsid w:val="00CA2DDF"/>
    <w:rsid w:val="00CA6611"/>
    <w:rsid w:val="00CA6AE6"/>
    <w:rsid w:val="00CA726E"/>
    <w:rsid w:val="00CA782F"/>
    <w:rsid w:val="00CB187B"/>
    <w:rsid w:val="00CB25C8"/>
    <w:rsid w:val="00CB2835"/>
    <w:rsid w:val="00CB3285"/>
    <w:rsid w:val="00CB4500"/>
    <w:rsid w:val="00CB5538"/>
    <w:rsid w:val="00CB7638"/>
    <w:rsid w:val="00CC0C72"/>
    <w:rsid w:val="00CC2BFD"/>
    <w:rsid w:val="00CC3BB0"/>
    <w:rsid w:val="00CC6F40"/>
    <w:rsid w:val="00CD0CF1"/>
    <w:rsid w:val="00CD3476"/>
    <w:rsid w:val="00CD64DF"/>
    <w:rsid w:val="00CD7792"/>
    <w:rsid w:val="00CE0273"/>
    <w:rsid w:val="00CE225F"/>
    <w:rsid w:val="00CE5A7A"/>
    <w:rsid w:val="00CE63C4"/>
    <w:rsid w:val="00CF2F50"/>
    <w:rsid w:val="00CF4431"/>
    <w:rsid w:val="00CF6198"/>
    <w:rsid w:val="00D02919"/>
    <w:rsid w:val="00D03172"/>
    <w:rsid w:val="00D039FE"/>
    <w:rsid w:val="00D04C61"/>
    <w:rsid w:val="00D05B8D"/>
    <w:rsid w:val="00D05B9B"/>
    <w:rsid w:val="00D065A2"/>
    <w:rsid w:val="00D073FA"/>
    <w:rsid w:val="00D079AA"/>
    <w:rsid w:val="00D07F00"/>
    <w:rsid w:val="00D1130F"/>
    <w:rsid w:val="00D12FA8"/>
    <w:rsid w:val="00D15F12"/>
    <w:rsid w:val="00D17224"/>
    <w:rsid w:val="00D17827"/>
    <w:rsid w:val="00D17B72"/>
    <w:rsid w:val="00D20AA1"/>
    <w:rsid w:val="00D256FC"/>
    <w:rsid w:val="00D3185C"/>
    <w:rsid w:val="00D31952"/>
    <w:rsid w:val="00D3205F"/>
    <w:rsid w:val="00D3318E"/>
    <w:rsid w:val="00D33E72"/>
    <w:rsid w:val="00D35BD6"/>
    <w:rsid w:val="00D361B5"/>
    <w:rsid w:val="00D375A6"/>
    <w:rsid w:val="00D37614"/>
    <w:rsid w:val="00D377B3"/>
    <w:rsid w:val="00D411A2"/>
    <w:rsid w:val="00D41F21"/>
    <w:rsid w:val="00D4606D"/>
    <w:rsid w:val="00D50B9C"/>
    <w:rsid w:val="00D513AF"/>
    <w:rsid w:val="00D51D97"/>
    <w:rsid w:val="00D52D73"/>
    <w:rsid w:val="00D52E58"/>
    <w:rsid w:val="00D56B20"/>
    <w:rsid w:val="00D578B3"/>
    <w:rsid w:val="00D6120D"/>
    <w:rsid w:val="00D618F4"/>
    <w:rsid w:val="00D630B5"/>
    <w:rsid w:val="00D63636"/>
    <w:rsid w:val="00D714CC"/>
    <w:rsid w:val="00D75EA7"/>
    <w:rsid w:val="00D76A33"/>
    <w:rsid w:val="00D76ECC"/>
    <w:rsid w:val="00D7726C"/>
    <w:rsid w:val="00D772D7"/>
    <w:rsid w:val="00D81ADF"/>
    <w:rsid w:val="00D81F21"/>
    <w:rsid w:val="00D864F2"/>
    <w:rsid w:val="00D8720B"/>
    <w:rsid w:val="00D9115D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1F3A"/>
    <w:rsid w:val="00DB2962"/>
    <w:rsid w:val="00DB52FB"/>
    <w:rsid w:val="00DB7105"/>
    <w:rsid w:val="00DC013B"/>
    <w:rsid w:val="00DC090B"/>
    <w:rsid w:val="00DC1679"/>
    <w:rsid w:val="00DC1932"/>
    <w:rsid w:val="00DC219B"/>
    <w:rsid w:val="00DC2CF1"/>
    <w:rsid w:val="00DC2DC7"/>
    <w:rsid w:val="00DC2EA0"/>
    <w:rsid w:val="00DC3A7C"/>
    <w:rsid w:val="00DC4E77"/>
    <w:rsid w:val="00DC4FCF"/>
    <w:rsid w:val="00DC50E0"/>
    <w:rsid w:val="00DC6386"/>
    <w:rsid w:val="00DD1130"/>
    <w:rsid w:val="00DD1687"/>
    <w:rsid w:val="00DD1951"/>
    <w:rsid w:val="00DD487D"/>
    <w:rsid w:val="00DD4E83"/>
    <w:rsid w:val="00DD6628"/>
    <w:rsid w:val="00DD6945"/>
    <w:rsid w:val="00DE01BC"/>
    <w:rsid w:val="00DE01E2"/>
    <w:rsid w:val="00DE2D04"/>
    <w:rsid w:val="00DE3250"/>
    <w:rsid w:val="00DE4BA2"/>
    <w:rsid w:val="00DE6028"/>
    <w:rsid w:val="00DE6C85"/>
    <w:rsid w:val="00DE78A3"/>
    <w:rsid w:val="00DF0A6E"/>
    <w:rsid w:val="00DF1A71"/>
    <w:rsid w:val="00DF3C24"/>
    <w:rsid w:val="00DF50FC"/>
    <w:rsid w:val="00DF571B"/>
    <w:rsid w:val="00DF68C7"/>
    <w:rsid w:val="00DF731A"/>
    <w:rsid w:val="00E06B75"/>
    <w:rsid w:val="00E11332"/>
    <w:rsid w:val="00E11352"/>
    <w:rsid w:val="00E1244A"/>
    <w:rsid w:val="00E170DC"/>
    <w:rsid w:val="00E170E6"/>
    <w:rsid w:val="00E17546"/>
    <w:rsid w:val="00E20A4E"/>
    <w:rsid w:val="00E210B5"/>
    <w:rsid w:val="00E229E9"/>
    <w:rsid w:val="00E23CB3"/>
    <w:rsid w:val="00E261B3"/>
    <w:rsid w:val="00E26818"/>
    <w:rsid w:val="00E27FFC"/>
    <w:rsid w:val="00E30B15"/>
    <w:rsid w:val="00E32A0A"/>
    <w:rsid w:val="00E33237"/>
    <w:rsid w:val="00E35EA0"/>
    <w:rsid w:val="00E40181"/>
    <w:rsid w:val="00E52379"/>
    <w:rsid w:val="00E54950"/>
    <w:rsid w:val="00E55FB3"/>
    <w:rsid w:val="00E560D3"/>
    <w:rsid w:val="00E56A01"/>
    <w:rsid w:val="00E60158"/>
    <w:rsid w:val="00E62295"/>
    <w:rsid w:val="00E629A1"/>
    <w:rsid w:val="00E659F2"/>
    <w:rsid w:val="00E6794C"/>
    <w:rsid w:val="00E71591"/>
    <w:rsid w:val="00E71CEB"/>
    <w:rsid w:val="00E72B1F"/>
    <w:rsid w:val="00E74695"/>
    <w:rsid w:val="00E7474F"/>
    <w:rsid w:val="00E75D7D"/>
    <w:rsid w:val="00E7744C"/>
    <w:rsid w:val="00E80DE3"/>
    <w:rsid w:val="00E82C55"/>
    <w:rsid w:val="00E84932"/>
    <w:rsid w:val="00E8787E"/>
    <w:rsid w:val="00E9042A"/>
    <w:rsid w:val="00E92AC3"/>
    <w:rsid w:val="00E93B5A"/>
    <w:rsid w:val="00E93E0D"/>
    <w:rsid w:val="00E977BB"/>
    <w:rsid w:val="00EA1441"/>
    <w:rsid w:val="00EA2F6A"/>
    <w:rsid w:val="00EB00E0"/>
    <w:rsid w:val="00EB05D5"/>
    <w:rsid w:val="00EB2F99"/>
    <w:rsid w:val="00EB4BC7"/>
    <w:rsid w:val="00EB56B9"/>
    <w:rsid w:val="00EB5A7E"/>
    <w:rsid w:val="00EC059F"/>
    <w:rsid w:val="00EC1F24"/>
    <w:rsid w:val="00EC2123"/>
    <w:rsid w:val="00EC22F6"/>
    <w:rsid w:val="00EC2341"/>
    <w:rsid w:val="00EC3DB9"/>
    <w:rsid w:val="00EC585C"/>
    <w:rsid w:val="00EC6F32"/>
    <w:rsid w:val="00ED4EE9"/>
    <w:rsid w:val="00ED5B9B"/>
    <w:rsid w:val="00ED699D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E5DCE"/>
    <w:rsid w:val="00EF109B"/>
    <w:rsid w:val="00EF1410"/>
    <w:rsid w:val="00EF201C"/>
    <w:rsid w:val="00EF2C72"/>
    <w:rsid w:val="00EF31CF"/>
    <w:rsid w:val="00EF36AF"/>
    <w:rsid w:val="00EF59A3"/>
    <w:rsid w:val="00EF6675"/>
    <w:rsid w:val="00F0063D"/>
    <w:rsid w:val="00F00C3C"/>
    <w:rsid w:val="00F00F9C"/>
    <w:rsid w:val="00F01E5F"/>
    <w:rsid w:val="00F024F3"/>
    <w:rsid w:val="00F02ABA"/>
    <w:rsid w:val="00F0437A"/>
    <w:rsid w:val="00F101B8"/>
    <w:rsid w:val="00F11037"/>
    <w:rsid w:val="00F13498"/>
    <w:rsid w:val="00F16F1B"/>
    <w:rsid w:val="00F250A9"/>
    <w:rsid w:val="00F267AF"/>
    <w:rsid w:val="00F30793"/>
    <w:rsid w:val="00F30FF4"/>
    <w:rsid w:val="00F3122E"/>
    <w:rsid w:val="00F32368"/>
    <w:rsid w:val="00F32823"/>
    <w:rsid w:val="00F32B8A"/>
    <w:rsid w:val="00F331AD"/>
    <w:rsid w:val="00F33FD3"/>
    <w:rsid w:val="00F34F3B"/>
    <w:rsid w:val="00F35287"/>
    <w:rsid w:val="00F35A5E"/>
    <w:rsid w:val="00F409AB"/>
    <w:rsid w:val="00F40A70"/>
    <w:rsid w:val="00F40EC6"/>
    <w:rsid w:val="00F43A37"/>
    <w:rsid w:val="00F4508B"/>
    <w:rsid w:val="00F4641B"/>
    <w:rsid w:val="00F46EB8"/>
    <w:rsid w:val="00F5015C"/>
    <w:rsid w:val="00F50876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032A"/>
    <w:rsid w:val="00F6073A"/>
    <w:rsid w:val="00F61A9F"/>
    <w:rsid w:val="00F61B5F"/>
    <w:rsid w:val="00F63A21"/>
    <w:rsid w:val="00F64696"/>
    <w:rsid w:val="00F65AA9"/>
    <w:rsid w:val="00F6768F"/>
    <w:rsid w:val="00F72C2C"/>
    <w:rsid w:val="00F741F2"/>
    <w:rsid w:val="00F7622C"/>
    <w:rsid w:val="00F76CAB"/>
    <w:rsid w:val="00F772C6"/>
    <w:rsid w:val="00F815B5"/>
    <w:rsid w:val="00F82ECC"/>
    <w:rsid w:val="00F85195"/>
    <w:rsid w:val="00F868E3"/>
    <w:rsid w:val="00F9157C"/>
    <w:rsid w:val="00F938BA"/>
    <w:rsid w:val="00F97919"/>
    <w:rsid w:val="00FA2C46"/>
    <w:rsid w:val="00FA3525"/>
    <w:rsid w:val="00FA5A53"/>
    <w:rsid w:val="00FB1AD1"/>
    <w:rsid w:val="00FB1F6E"/>
    <w:rsid w:val="00FB4769"/>
    <w:rsid w:val="00FB4CDA"/>
    <w:rsid w:val="00FB6481"/>
    <w:rsid w:val="00FB6D36"/>
    <w:rsid w:val="00FC0965"/>
    <w:rsid w:val="00FC0F81"/>
    <w:rsid w:val="00FC252F"/>
    <w:rsid w:val="00FC395C"/>
    <w:rsid w:val="00FC54C4"/>
    <w:rsid w:val="00FC5E8E"/>
    <w:rsid w:val="00FD3766"/>
    <w:rsid w:val="00FD3D05"/>
    <w:rsid w:val="00FD47C4"/>
    <w:rsid w:val="00FE0935"/>
    <w:rsid w:val="00FE09F0"/>
    <w:rsid w:val="00FE2DCF"/>
    <w:rsid w:val="00FE3FA7"/>
    <w:rsid w:val="00FE4081"/>
    <w:rsid w:val="00FF2A4E"/>
    <w:rsid w:val="00FF2FCE"/>
    <w:rsid w:val="00FF4F7D"/>
    <w:rsid w:val="00FF674B"/>
    <w:rsid w:val="00FF6D9D"/>
    <w:rsid w:val="00FF7620"/>
    <w:rsid w:val="00FF7DD5"/>
    <w:rsid w:val="027CE7E0"/>
    <w:rsid w:val="111B71B2"/>
    <w:rsid w:val="20E6FF31"/>
    <w:rsid w:val="3F906633"/>
    <w:rsid w:val="56E8D7A0"/>
    <w:rsid w:val="66F64636"/>
    <w:rsid w:val="7CA8D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F50EB"/>
  <w15:docId w15:val="{FCDC2369-F2EC-4C58-8778-96274B0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C3BB0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C3BB0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3BB0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C6041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BD6B9D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AE7AEB"/>
    <w:rPr>
      <w:rFonts w:ascii="Arial" w:hAnsi="Arial" w:cs="Arial"/>
      <w:b/>
      <w:color w:val="53565A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0F00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funding-performance-accountability/performance-monitoring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ights@health.vic.gov.a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insights@health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93CC960831D43BCE240AB9FD170A2" ma:contentTypeVersion="23" ma:contentTypeDescription="Create a new document." ma:contentTypeScope="" ma:versionID="9352733d771a04478aa7edeb371c6de9">
  <xsd:schema xmlns:xsd="http://www.w3.org/2001/XMLSchema" xmlns:xs="http://www.w3.org/2001/XMLSchema" xmlns:p="http://schemas.microsoft.com/office/2006/metadata/properties" xmlns:ns2="f6005034-34e4-44ed-9116-8e8166eeccdd" xmlns:ns3="fa2310a6-bbba-42df-97d4-fdd9085cfb05" xmlns:ns4="5ce0f2b5-5be5-4508-bce9-d7011ece0659" targetNamespace="http://schemas.microsoft.com/office/2006/metadata/properties" ma:root="true" ma:fieldsID="698b752d2fdfea2f7c5d8e6fdccb57ef" ns2:_="" ns3:_="" ns4:_="">
    <xsd:import namespace="f6005034-34e4-44ed-9116-8e8166eeccdd"/>
    <xsd:import namespace="fa2310a6-bbba-42df-97d4-fdd9085cfb0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riority" minOccurs="0"/>
                <xsd:element ref="ns2:Reviewed_x003f_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hared" minOccurs="0"/>
                <xsd:element ref="ns2:Info" minOccurs="0"/>
                <xsd:element ref="ns2: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5034-34e4-44ed-9116-8e8166ee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ority" ma:index="22" nillable="true" ma:displayName="Review Priority" ma:format="Dropdown" ma:internalName="Priority">
      <xsd:simpleType>
        <xsd:restriction base="dms:Choice">
          <xsd:enumeration value="1. High"/>
          <xsd:enumeration value="2. Medium"/>
          <xsd:enumeration value="3. Low"/>
          <xsd:enumeration value="n/a"/>
        </xsd:restriction>
      </xsd:simpleType>
    </xsd:element>
    <xsd:element name="Reviewed_x003f_" ma:index="23" nillable="true" ma:displayName="Reviewed?" ma:format="Dropdown" ma:internalName="Reviewed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" ma:index="28" nillable="true" ma:displayName="Shared" ma:format="Dropdown" ma:list="UserInfo" ma:SharePointGroup="0" ma:internalName="Shar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" ma:index="29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versionnumber" ma:index="30" nillable="true" ma:displayName="version number" ma:default="1" ma:description="User-controlled version number" ma:format="Dropdown" ma:internalName="version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310a6-bbba-42df-97d4-fdd9085c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65a574-0bf3-4ffd-b32e-f7b3777ba1c6}" ma:internalName="TaxCatchAll" ma:showField="CatchAllData" ma:web="fa2310a6-bbba-42df-97d4-fdd9085c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05034-34e4-44ed-9116-8e8166eeccdd">
      <Terms xmlns="http://schemas.microsoft.com/office/infopath/2007/PartnerControls"/>
    </lcf76f155ced4ddcb4097134ff3c332f>
    <Shared xmlns="f6005034-34e4-44ed-9116-8e8166eeccdd">
      <UserInfo>
        <DisplayName/>
        <AccountId xsi:nil="true"/>
        <AccountType/>
      </UserInfo>
    </Shared>
    <Priority xmlns="f6005034-34e4-44ed-9116-8e8166eeccdd" xsi:nil="true"/>
    <Reviewed_x003f_ xmlns="f6005034-34e4-44ed-9116-8e8166eeccdd" xsi:nil="true"/>
    <TaxCatchAll xmlns="5ce0f2b5-5be5-4508-bce9-d7011ece0659" xsi:nil="true"/>
    <versionnumber xmlns="f6005034-34e4-44ed-9116-8e8166eeccdd">1</versionnumber>
    <Info xmlns="f6005034-34e4-44ed-9116-8e8166eecc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4F45-18FF-40A4-A079-94FF19D4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05034-34e4-44ed-9116-8e8166eeccdd"/>
    <ds:schemaRef ds:uri="fa2310a6-bbba-42df-97d4-fdd9085cfb0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6005034-34e4-44ed-9116-8e8166eeccd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7320</TotalTime>
  <Pages>6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report</vt:lpstr>
    </vt:vector>
  </TitlesOfParts>
  <Manager/>
  <Company>Victoria State Government, Department of Health</Company>
  <LinksUpToDate>false</LinksUpToDate>
  <CharactersWithSpaces>5444</CharactersWithSpaces>
  <SharedDoc>false</SharedDoc>
  <HyperlinkBase/>
  <HLinks>
    <vt:vector size="48" baseType="variant"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_Toc214384644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_Toc214384643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_Toc214384642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_Toc214384641</vt:lpwstr>
      </vt:variant>
      <vt:variant>
        <vt:i4>4325391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https://www.health.vic.gov.au/funding-performance-accountability/performance-monitoring-framework</vt:lpwstr>
      </vt:variant>
      <vt:variant>
        <vt:lpwstr/>
      </vt:variant>
      <vt:variant>
        <vt:i4>3080195</vt:i4>
      </vt:variant>
      <vt:variant>
        <vt:i4>6</vt:i4>
      </vt:variant>
      <vt:variant>
        <vt:i4>0</vt:i4>
      </vt:variant>
      <vt:variant>
        <vt:i4>5</vt:i4>
      </vt:variant>
      <vt:variant>
        <vt:lpwstr>mailto:insights@health.vic.gov.au</vt:lpwstr>
      </vt:variant>
      <vt:variant>
        <vt:lpwstr/>
      </vt:variant>
      <vt:variant>
        <vt:i4>3080195</vt:i4>
      </vt:variant>
      <vt:variant>
        <vt:i4>3</vt:i4>
      </vt:variant>
      <vt:variant>
        <vt:i4>0</vt:i4>
      </vt:variant>
      <vt:variant>
        <vt:i4>5</vt:i4>
      </vt:variant>
      <vt:variant>
        <vt:lpwstr>mailto:insights@health.vic.gov.au</vt:lpwstr>
      </vt:variant>
      <vt:variant>
        <vt:lpwstr/>
      </vt:variant>
      <vt:variant>
        <vt:i4>2621522</vt:i4>
      </vt:variant>
      <vt:variant>
        <vt:i4>0</vt:i4>
      </vt:variant>
      <vt:variant>
        <vt:i4>0</vt:i4>
      </vt:variant>
      <vt:variant>
        <vt:i4>5</vt:i4>
      </vt:variant>
      <vt:variant>
        <vt:lpwstr>mailto:niamh.corkery@health.vic.gov.au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blue report</dc:title>
  <dc:subject/>
  <dc:creator>Celeste De Saram (Health)</dc:creator>
  <cp:keywords/>
  <dc:description/>
  <cp:lastModifiedBy>Celeste De Saram (Health)</cp:lastModifiedBy>
  <cp:revision>199</cp:revision>
  <cp:lastPrinted>2021-01-30T00:27:00Z</cp:lastPrinted>
  <dcterms:created xsi:type="dcterms:W3CDTF">2025-10-23T23:28:00Z</dcterms:created>
  <dcterms:modified xsi:type="dcterms:W3CDTF">2026-01-07T07:14:00Z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0x01010075D93CC960831D43BCE240AB9FD170A2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2021-03-15T05:04:10Z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