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DB22" w14:textId="77777777" w:rsidR="00056EC4" w:rsidRDefault="00E9042A" w:rsidP="00056EC4">
      <w:pPr>
        <w:pStyle w:val="Body"/>
      </w:pPr>
      <w:r>
        <w:rPr>
          <w:noProof/>
        </w:rPr>
        <w:drawing>
          <wp:anchor distT="0" distB="0" distL="114300" distR="114300" simplePos="0" relativeHeight="251658240" behindDoc="1" locked="1" layoutInCell="1" allowOverlap="0" wp14:anchorId="6A5E2051" wp14:editId="380AA8CE">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4851A922" w14:textId="77777777" w:rsidTr="00431F42">
        <w:trPr>
          <w:cantSplit/>
        </w:trPr>
        <w:tc>
          <w:tcPr>
            <w:tcW w:w="0" w:type="auto"/>
            <w:tcMar>
              <w:top w:w="0" w:type="dxa"/>
              <w:left w:w="0" w:type="dxa"/>
              <w:right w:w="0" w:type="dxa"/>
            </w:tcMar>
          </w:tcPr>
          <w:p w14:paraId="0BE76D1D" w14:textId="31AC918A" w:rsidR="00AD784C" w:rsidRPr="00431F42" w:rsidRDefault="0094461A" w:rsidP="00CC3BB0">
            <w:pPr>
              <w:pStyle w:val="Documenttitle"/>
            </w:pPr>
            <w:bookmarkStart w:id="0" w:name="_Hlk216430424"/>
            <w:r>
              <w:t xml:space="preserve">Consultation </w:t>
            </w:r>
            <w:r w:rsidR="00D001DB">
              <w:t>Brief</w:t>
            </w:r>
          </w:p>
        </w:tc>
      </w:tr>
      <w:tr w:rsidR="00AD784C" w14:paraId="42201337" w14:textId="77777777" w:rsidTr="00431F42">
        <w:trPr>
          <w:cantSplit/>
        </w:trPr>
        <w:tc>
          <w:tcPr>
            <w:tcW w:w="0" w:type="auto"/>
          </w:tcPr>
          <w:p w14:paraId="641CE37C" w14:textId="3A6D40AE" w:rsidR="002D2AF7" w:rsidRPr="002D2AF7" w:rsidRDefault="002D2AF7" w:rsidP="002D2AF7">
            <w:pPr>
              <w:pStyle w:val="Documentsubtitle"/>
              <w:rPr>
                <w:b/>
              </w:rPr>
            </w:pPr>
            <w:bookmarkStart w:id="1" w:name="_Hlk136602400"/>
            <w:bookmarkStart w:id="2" w:name="tpActTitle"/>
            <w:r w:rsidRPr="002D2AF7">
              <w:rPr>
                <w:b/>
              </w:rPr>
              <w:t>Drugs, Poisons and Controlled Substances Amendment (Medication Administration in Aged Care) Regulations</w:t>
            </w:r>
            <w:r w:rsidR="00176BA4">
              <w:rPr>
                <w:b/>
              </w:rPr>
              <w:t xml:space="preserve"> </w:t>
            </w:r>
            <w:r w:rsidRPr="002D2AF7">
              <w:rPr>
                <w:b/>
              </w:rPr>
              <w:t>202</w:t>
            </w:r>
            <w:bookmarkEnd w:id="1"/>
            <w:r w:rsidRPr="002D2AF7">
              <w:rPr>
                <w:b/>
              </w:rPr>
              <w:t>6</w:t>
            </w:r>
          </w:p>
          <w:bookmarkEnd w:id="2"/>
          <w:p w14:paraId="7FD24EA5" w14:textId="05493257" w:rsidR="00386109" w:rsidRPr="00A1389F" w:rsidRDefault="00386109" w:rsidP="009315BE">
            <w:pPr>
              <w:pStyle w:val="Documentsubtitle"/>
            </w:pPr>
          </w:p>
        </w:tc>
      </w:tr>
      <w:tr w:rsidR="00430393" w14:paraId="5ACE8071" w14:textId="77777777" w:rsidTr="00431F42">
        <w:trPr>
          <w:cantSplit/>
        </w:trPr>
        <w:tc>
          <w:tcPr>
            <w:tcW w:w="0" w:type="auto"/>
          </w:tcPr>
          <w:p w14:paraId="638E07CF" w14:textId="77777777" w:rsidR="00430393" w:rsidRDefault="0094461A" w:rsidP="00430393">
            <w:pPr>
              <w:pStyle w:val="Bannermarking"/>
            </w:pPr>
            <w:fldSimple w:instr=" FILLIN  &quot;Type the protective marking&quot; \d OFFICIAL \o  \* MERGEFORMAT ">
              <w:r>
                <w:t>OFFICIAL</w:t>
              </w:r>
            </w:fldSimple>
          </w:p>
        </w:tc>
      </w:tr>
      <w:bookmarkEnd w:id="0"/>
    </w:tbl>
    <w:p w14:paraId="3F224CA3" w14:textId="77777777" w:rsidR="00FE4081" w:rsidRDefault="00FE4081" w:rsidP="00FE4081">
      <w:pPr>
        <w:pStyle w:val="Body"/>
      </w:pPr>
    </w:p>
    <w:p w14:paraId="21E2DE09"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583DDB5" w14:textId="6C1404EB" w:rsidR="000D2ABA" w:rsidRDefault="000D2ABA" w:rsidP="00431F42">
      <w:pPr>
        <w:pStyle w:val="Body"/>
      </w:pPr>
    </w:p>
    <w:p w14:paraId="6EDD3BC6"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22816A1" w14:textId="77777777" w:rsidTr="00562507">
        <w:trPr>
          <w:cantSplit/>
          <w:trHeight w:val="7088"/>
        </w:trPr>
        <w:tc>
          <w:tcPr>
            <w:tcW w:w="9288" w:type="dxa"/>
          </w:tcPr>
          <w:p w14:paraId="3848F692" w14:textId="3A5FB280" w:rsidR="009F2182" w:rsidRPr="00BA26F6" w:rsidRDefault="009F2182" w:rsidP="00BA26F6">
            <w:pPr>
              <w:pStyle w:val="Body"/>
              <w:rPr>
                <w:rFonts w:eastAsia="Times New Roman"/>
                <w:color w:val="87189D"/>
                <w:sz w:val="24"/>
                <w:szCs w:val="24"/>
              </w:rPr>
            </w:pPr>
          </w:p>
        </w:tc>
      </w:tr>
      <w:tr w:rsidR="009F2182" w14:paraId="0A211C5B" w14:textId="77777777" w:rsidTr="00562507">
        <w:trPr>
          <w:cantSplit/>
          <w:trHeight w:val="5103"/>
        </w:trPr>
        <w:tc>
          <w:tcPr>
            <w:tcW w:w="9288" w:type="dxa"/>
            <w:vAlign w:val="bottom"/>
          </w:tcPr>
          <w:p w14:paraId="36F9054A" w14:textId="2D90171B" w:rsidR="009F2182" w:rsidRPr="0055119B" w:rsidRDefault="009F2182" w:rsidP="009F2182">
            <w:pPr>
              <w:pStyle w:val="Accessibilitypara"/>
            </w:pPr>
            <w:r w:rsidRPr="0055119B">
              <w:t xml:space="preserve">To receive this </w:t>
            </w:r>
            <w:r w:rsidRPr="00D77CF8">
              <w:t xml:space="preserve">document in another format, phone </w:t>
            </w:r>
            <w:r w:rsidR="00D77CF8" w:rsidRPr="00D77CF8">
              <w:t>1300 650 172</w:t>
            </w:r>
            <w:r w:rsidRPr="00D77CF8">
              <w:t xml:space="preserve">, using </w:t>
            </w:r>
            <w:r w:rsidRPr="0055119B">
              <w:t xml:space="preserve">the National Relay Service 13 36 77 if required, or email </w:t>
            </w:r>
            <w:hyperlink r:id="rId15" w:history="1">
              <w:r w:rsidR="00466B0A">
                <w:rPr>
                  <w:rStyle w:val="Hyperlink"/>
                </w:rPr>
                <w:t>Vic_AgedCare@health.vic.gov.au</w:t>
              </w:r>
            </w:hyperlink>
            <w:r w:rsidR="00466B0A">
              <w:t xml:space="preserve"> </w:t>
            </w:r>
            <w:r w:rsidRPr="0055119B">
              <w:t>&lt;</w:t>
            </w:r>
            <w:r w:rsidR="00466B0A">
              <w:t>Vic_AgedCare@health.vic.gov.au</w:t>
            </w:r>
            <w:r w:rsidRPr="0055119B">
              <w:t>&gt;.</w:t>
            </w:r>
          </w:p>
          <w:p w14:paraId="0A4CC9D1" w14:textId="77777777" w:rsidR="009F2182" w:rsidRPr="00D77CF8" w:rsidRDefault="009F2182" w:rsidP="009F2182">
            <w:pPr>
              <w:pStyle w:val="Imprint"/>
              <w:rPr>
                <w:color w:val="auto"/>
              </w:rPr>
            </w:pPr>
            <w:r w:rsidRPr="0055119B">
              <w:t xml:space="preserve">Authorised and </w:t>
            </w:r>
            <w:r w:rsidRPr="00D77CF8">
              <w:rPr>
                <w:color w:val="auto"/>
              </w:rPr>
              <w:t>published by the Victorian Government, 1 Treasury Place, Melbourne.</w:t>
            </w:r>
          </w:p>
          <w:p w14:paraId="3EE719E9" w14:textId="43A1F613" w:rsidR="009F2182" w:rsidRPr="00D77CF8" w:rsidRDefault="009F2182" w:rsidP="009F2182">
            <w:pPr>
              <w:pStyle w:val="Imprint"/>
              <w:rPr>
                <w:color w:val="auto"/>
              </w:rPr>
            </w:pPr>
            <w:r w:rsidRPr="00D77CF8">
              <w:rPr>
                <w:color w:val="auto"/>
              </w:rPr>
              <w:t xml:space="preserve">© State of Victoria, Australia, Department of </w:t>
            </w:r>
            <w:r w:rsidR="00D76ECC" w:rsidRPr="00D77CF8">
              <w:rPr>
                <w:color w:val="auto"/>
              </w:rPr>
              <w:t>Health</w:t>
            </w:r>
            <w:r w:rsidRPr="00D77CF8">
              <w:rPr>
                <w:color w:val="auto"/>
              </w:rPr>
              <w:t xml:space="preserve">, </w:t>
            </w:r>
            <w:r w:rsidR="00AB38BD" w:rsidRPr="00D77CF8">
              <w:rPr>
                <w:color w:val="auto"/>
              </w:rPr>
              <w:t>February 2026</w:t>
            </w:r>
            <w:r w:rsidRPr="00D77CF8">
              <w:rPr>
                <w:color w:val="auto"/>
              </w:rPr>
              <w:t>.</w:t>
            </w:r>
          </w:p>
          <w:p w14:paraId="3CB2621D" w14:textId="77777777" w:rsidR="009F2182" w:rsidRPr="00466B0A" w:rsidRDefault="009F2182" w:rsidP="009F2182">
            <w:pPr>
              <w:pStyle w:val="Imprint"/>
              <w:rPr>
                <w:color w:val="auto"/>
              </w:rPr>
            </w:pPr>
            <w:bookmarkStart w:id="3" w:name="_Hlk62746129"/>
            <w:r w:rsidRPr="00466B0A">
              <w:rPr>
                <w:color w:val="auto"/>
              </w:rPr>
              <w:t>In this document, ‘Aboriginal’ refers to both Aboriginal and Torres Strait Islander people. ‘Indigenous’ or ‘Koori/Koorie’ is retained when part of the title of a report, program or quotation.</w:t>
            </w:r>
          </w:p>
          <w:p w14:paraId="226AC196" w14:textId="3E7D77FD" w:rsidR="009F2182" w:rsidRPr="00C25E4C" w:rsidRDefault="009F2182" w:rsidP="009F2182">
            <w:pPr>
              <w:pStyle w:val="Imprint"/>
              <w:rPr>
                <w:color w:val="auto"/>
              </w:rPr>
            </w:pPr>
            <w:r w:rsidRPr="00C25E4C">
              <w:rPr>
                <w:color w:val="auto"/>
              </w:rPr>
              <w:t xml:space="preserve">ISSN </w:t>
            </w:r>
            <w:r w:rsidR="00C25E4C" w:rsidRPr="00C25E4C">
              <w:rPr>
                <w:color w:val="auto"/>
              </w:rPr>
              <w:t>978-1-76131-962-4</w:t>
            </w:r>
          </w:p>
          <w:p w14:paraId="7491632B" w14:textId="26983096" w:rsidR="009F2182" w:rsidRPr="00784151" w:rsidRDefault="009F2182" w:rsidP="009F2182">
            <w:pPr>
              <w:pStyle w:val="Imprint"/>
              <w:rPr>
                <w:color w:val="auto"/>
              </w:rPr>
            </w:pPr>
            <w:r w:rsidRPr="00784151">
              <w:rPr>
                <w:color w:val="auto"/>
              </w:rPr>
              <w:t xml:space="preserve">Available at </w:t>
            </w:r>
            <w:r w:rsidR="00784151" w:rsidRPr="00784151">
              <w:rPr>
                <w:color w:val="auto"/>
              </w:rPr>
              <w:t xml:space="preserve">the department’s </w:t>
            </w:r>
            <w:hyperlink r:id="rId16" w:history="1">
              <w:r w:rsidR="00784151" w:rsidRPr="00784151">
                <w:rPr>
                  <w:rStyle w:val="Hyperlink"/>
                </w:rPr>
                <w:t>webpage on medication management in residential aged care</w:t>
              </w:r>
            </w:hyperlink>
            <w:r w:rsidRPr="00784151">
              <w:rPr>
                <w:color w:val="auto"/>
              </w:rPr>
              <w:t xml:space="preserve"> &lt;</w:t>
            </w:r>
            <w:r w:rsidR="00784151" w:rsidRPr="00784151">
              <w:rPr>
                <w:color w:val="auto"/>
              </w:rPr>
              <w:t>https://www.health.vic.gov.au/drugs-and-poisons/medication-administration-in-residential-aged-care</w:t>
            </w:r>
            <w:r w:rsidRPr="00784151">
              <w:rPr>
                <w:color w:val="auto"/>
              </w:rPr>
              <w:t>&gt;</w:t>
            </w:r>
          </w:p>
          <w:bookmarkEnd w:id="3"/>
          <w:p w14:paraId="089653FF" w14:textId="50A630C2" w:rsidR="009F2182" w:rsidRDefault="009F2182" w:rsidP="009F2182">
            <w:pPr>
              <w:pStyle w:val="Body"/>
            </w:pPr>
          </w:p>
        </w:tc>
      </w:tr>
      <w:tr w:rsidR="0008204A" w14:paraId="2652713F" w14:textId="77777777" w:rsidTr="0008204A">
        <w:trPr>
          <w:cantSplit/>
        </w:trPr>
        <w:tc>
          <w:tcPr>
            <w:tcW w:w="9288" w:type="dxa"/>
          </w:tcPr>
          <w:p w14:paraId="334983CF" w14:textId="77777777" w:rsidR="0008204A" w:rsidRPr="0055119B" w:rsidRDefault="0008204A" w:rsidP="0008204A">
            <w:pPr>
              <w:pStyle w:val="Body"/>
            </w:pPr>
          </w:p>
        </w:tc>
      </w:tr>
    </w:tbl>
    <w:p w14:paraId="43CF3795" w14:textId="77777777" w:rsidR="0008204A" w:rsidRPr="0008204A" w:rsidRDefault="0008204A" w:rsidP="0008204A">
      <w:pPr>
        <w:pStyle w:val="Body"/>
      </w:pPr>
      <w:r w:rsidRPr="0008204A">
        <w:br w:type="page"/>
      </w:r>
    </w:p>
    <w:p w14:paraId="7F9423B8" w14:textId="77777777" w:rsidR="00AD784C" w:rsidRPr="00B57329" w:rsidRDefault="00AD784C" w:rsidP="002365B4">
      <w:pPr>
        <w:pStyle w:val="TOCheadingreport"/>
      </w:pPr>
      <w:r w:rsidRPr="00B57329">
        <w:lastRenderedPageBreak/>
        <w:t>Contents</w:t>
      </w:r>
    </w:p>
    <w:p w14:paraId="255CD2CB" w14:textId="528C7A4F" w:rsidR="007F0C02"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2845822" w:history="1">
        <w:r w:rsidR="007F0C02" w:rsidRPr="00280886">
          <w:rPr>
            <w:rStyle w:val="Hyperlink"/>
          </w:rPr>
          <w:t>Purpose</w:t>
        </w:r>
        <w:r w:rsidR="007F0C02">
          <w:rPr>
            <w:webHidden/>
          </w:rPr>
          <w:tab/>
        </w:r>
        <w:r w:rsidR="007F0C02">
          <w:rPr>
            <w:webHidden/>
          </w:rPr>
          <w:fldChar w:fldCharType="begin"/>
        </w:r>
        <w:r w:rsidR="007F0C02">
          <w:rPr>
            <w:webHidden/>
          </w:rPr>
          <w:instrText xml:space="preserve"> PAGEREF _Toc222845822 \h </w:instrText>
        </w:r>
        <w:r w:rsidR="007F0C02">
          <w:rPr>
            <w:webHidden/>
          </w:rPr>
        </w:r>
        <w:r w:rsidR="007F0C02">
          <w:rPr>
            <w:webHidden/>
          </w:rPr>
          <w:fldChar w:fldCharType="separate"/>
        </w:r>
        <w:r w:rsidR="00574496">
          <w:rPr>
            <w:webHidden/>
          </w:rPr>
          <w:t>4</w:t>
        </w:r>
        <w:r w:rsidR="007F0C02">
          <w:rPr>
            <w:webHidden/>
          </w:rPr>
          <w:fldChar w:fldCharType="end"/>
        </w:r>
      </w:hyperlink>
    </w:p>
    <w:p w14:paraId="750F6E2A" w14:textId="1F4CFC14" w:rsidR="007F0C02" w:rsidRDefault="007F0C02">
      <w:pPr>
        <w:pStyle w:val="TOC1"/>
        <w:rPr>
          <w:rFonts w:asciiTheme="minorHAnsi" w:eastAsiaTheme="minorEastAsia" w:hAnsiTheme="minorHAnsi" w:cstheme="minorBidi"/>
          <w:b w:val="0"/>
          <w:kern w:val="2"/>
          <w:sz w:val="24"/>
          <w:szCs w:val="24"/>
          <w:lang w:eastAsia="en-AU"/>
          <w14:ligatures w14:val="standardContextual"/>
        </w:rPr>
      </w:pPr>
      <w:hyperlink w:anchor="_Toc222845823" w:history="1">
        <w:r w:rsidRPr="00280886">
          <w:rPr>
            <w:rStyle w:val="Hyperlink"/>
          </w:rPr>
          <w:t>Background</w:t>
        </w:r>
        <w:r>
          <w:rPr>
            <w:webHidden/>
          </w:rPr>
          <w:tab/>
        </w:r>
        <w:r>
          <w:rPr>
            <w:webHidden/>
          </w:rPr>
          <w:fldChar w:fldCharType="begin"/>
        </w:r>
        <w:r>
          <w:rPr>
            <w:webHidden/>
          </w:rPr>
          <w:instrText xml:space="preserve"> PAGEREF _Toc222845823 \h </w:instrText>
        </w:r>
        <w:r>
          <w:rPr>
            <w:webHidden/>
          </w:rPr>
        </w:r>
        <w:r>
          <w:rPr>
            <w:webHidden/>
          </w:rPr>
          <w:fldChar w:fldCharType="separate"/>
        </w:r>
        <w:r w:rsidR="00574496">
          <w:rPr>
            <w:webHidden/>
          </w:rPr>
          <w:t>4</w:t>
        </w:r>
        <w:r>
          <w:rPr>
            <w:webHidden/>
          </w:rPr>
          <w:fldChar w:fldCharType="end"/>
        </w:r>
      </w:hyperlink>
    </w:p>
    <w:p w14:paraId="6C0238D7" w14:textId="35CBE266" w:rsidR="007F0C02" w:rsidRDefault="007F0C02">
      <w:pPr>
        <w:pStyle w:val="TOC1"/>
        <w:rPr>
          <w:rFonts w:asciiTheme="minorHAnsi" w:eastAsiaTheme="minorEastAsia" w:hAnsiTheme="minorHAnsi" w:cstheme="minorBidi"/>
          <w:b w:val="0"/>
          <w:kern w:val="2"/>
          <w:sz w:val="24"/>
          <w:szCs w:val="24"/>
          <w:lang w:eastAsia="en-AU"/>
          <w14:ligatures w14:val="standardContextual"/>
        </w:rPr>
      </w:pPr>
      <w:hyperlink w:anchor="_Toc222845824" w:history="1">
        <w:r w:rsidRPr="00280886">
          <w:rPr>
            <w:rStyle w:val="Hyperlink"/>
          </w:rPr>
          <w:t>Regulations</w:t>
        </w:r>
        <w:r>
          <w:rPr>
            <w:webHidden/>
          </w:rPr>
          <w:tab/>
        </w:r>
        <w:r>
          <w:rPr>
            <w:webHidden/>
          </w:rPr>
          <w:fldChar w:fldCharType="begin"/>
        </w:r>
        <w:r>
          <w:rPr>
            <w:webHidden/>
          </w:rPr>
          <w:instrText xml:space="preserve"> PAGEREF _Toc222845824 \h </w:instrText>
        </w:r>
        <w:r>
          <w:rPr>
            <w:webHidden/>
          </w:rPr>
        </w:r>
        <w:r>
          <w:rPr>
            <w:webHidden/>
          </w:rPr>
          <w:fldChar w:fldCharType="separate"/>
        </w:r>
        <w:r w:rsidR="00574496">
          <w:rPr>
            <w:webHidden/>
          </w:rPr>
          <w:t>5</w:t>
        </w:r>
        <w:r>
          <w:rPr>
            <w:webHidden/>
          </w:rPr>
          <w:fldChar w:fldCharType="end"/>
        </w:r>
      </w:hyperlink>
    </w:p>
    <w:p w14:paraId="2C4B8C6A" w14:textId="7FB00DE6" w:rsidR="007F0C02" w:rsidRDefault="007F0C02">
      <w:pPr>
        <w:pStyle w:val="TOC1"/>
        <w:rPr>
          <w:rFonts w:asciiTheme="minorHAnsi" w:eastAsiaTheme="minorEastAsia" w:hAnsiTheme="minorHAnsi" w:cstheme="minorBidi"/>
          <w:b w:val="0"/>
          <w:kern w:val="2"/>
          <w:sz w:val="24"/>
          <w:szCs w:val="24"/>
          <w:lang w:eastAsia="en-AU"/>
          <w14:ligatures w14:val="standardContextual"/>
        </w:rPr>
      </w:pPr>
      <w:hyperlink w:anchor="_Toc222845825" w:history="1">
        <w:r w:rsidRPr="00280886">
          <w:rPr>
            <w:rStyle w:val="Hyperlink"/>
          </w:rPr>
          <w:t>Guidance document</w:t>
        </w:r>
        <w:r>
          <w:rPr>
            <w:webHidden/>
          </w:rPr>
          <w:tab/>
        </w:r>
        <w:r>
          <w:rPr>
            <w:webHidden/>
          </w:rPr>
          <w:fldChar w:fldCharType="begin"/>
        </w:r>
        <w:r>
          <w:rPr>
            <w:webHidden/>
          </w:rPr>
          <w:instrText xml:space="preserve"> PAGEREF _Toc222845825 \h </w:instrText>
        </w:r>
        <w:r>
          <w:rPr>
            <w:webHidden/>
          </w:rPr>
        </w:r>
        <w:r>
          <w:rPr>
            <w:webHidden/>
          </w:rPr>
          <w:fldChar w:fldCharType="separate"/>
        </w:r>
        <w:r w:rsidR="00574496">
          <w:rPr>
            <w:webHidden/>
          </w:rPr>
          <w:t>5</w:t>
        </w:r>
        <w:r>
          <w:rPr>
            <w:webHidden/>
          </w:rPr>
          <w:fldChar w:fldCharType="end"/>
        </w:r>
      </w:hyperlink>
    </w:p>
    <w:p w14:paraId="69567F2B" w14:textId="7392237B" w:rsidR="007F0C02" w:rsidRDefault="007F0C02">
      <w:pPr>
        <w:pStyle w:val="TOC1"/>
        <w:rPr>
          <w:rFonts w:asciiTheme="minorHAnsi" w:eastAsiaTheme="minorEastAsia" w:hAnsiTheme="minorHAnsi" w:cstheme="minorBidi"/>
          <w:b w:val="0"/>
          <w:kern w:val="2"/>
          <w:sz w:val="24"/>
          <w:szCs w:val="24"/>
          <w:lang w:eastAsia="en-AU"/>
          <w14:ligatures w14:val="standardContextual"/>
        </w:rPr>
      </w:pPr>
      <w:hyperlink w:anchor="_Toc222845826" w:history="1">
        <w:r w:rsidRPr="00280886">
          <w:rPr>
            <w:rStyle w:val="Hyperlink"/>
          </w:rPr>
          <w:t>Invitation for Submissions</w:t>
        </w:r>
        <w:r>
          <w:rPr>
            <w:webHidden/>
          </w:rPr>
          <w:tab/>
        </w:r>
        <w:r>
          <w:rPr>
            <w:webHidden/>
          </w:rPr>
          <w:fldChar w:fldCharType="begin"/>
        </w:r>
        <w:r>
          <w:rPr>
            <w:webHidden/>
          </w:rPr>
          <w:instrText xml:space="preserve"> PAGEREF _Toc222845826 \h </w:instrText>
        </w:r>
        <w:r>
          <w:rPr>
            <w:webHidden/>
          </w:rPr>
        </w:r>
        <w:r>
          <w:rPr>
            <w:webHidden/>
          </w:rPr>
          <w:fldChar w:fldCharType="separate"/>
        </w:r>
        <w:r w:rsidR="00574496">
          <w:rPr>
            <w:webHidden/>
          </w:rPr>
          <w:t>6</w:t>
        </w:r>
        <w:r>
          <w:rPr>
            <w:webHidden/>
          </w:rPr>
          <w:fldChar w:fldCharType="end"/>
        </w:r>
      </w:hyperlink>
    </w:p>
    <w:p w14:paraId="36598B75" w14:textId="5D9F315A" w:rsidR="007F0C02" w:rsidRDefault="007F0C02">
      <w:pPr>
        <w:pStyle w:val="TOC2"/>
        <w:rPr>
          <w:rFonts w:asciiTheme="minorHAnsi" w:eastAsiaTheme="minorEastAsia" w:hAnsiTheme="minorHAnsi" w:cstheme="minorBidi"/>
          <w:kern w:val="2"/>
          <w:sz w:val="24"/>
          <w:szCs w:val="24"/>
          <w:lang w:eastAsia="en-AU"/>
          <w14:ligatures w14:val="standardContextual"/>
        </w:rPr>
      </w:pPr>
      <w:hyperlink w:anchor="_Toc222845827" w:history="1">
        <w:r w:rsidRPr="00280886">
          <w:rPr>
            <w:rStyle w:val="Hyperlink"/>
          </w:rPr>
          <w:t>Consultation questions</w:t>
        </w:r>
        <w:r>
          <w:rPr>
            <w:webHidden/>
          </w:rPr>
          <w:tab/>
        </w:r>
        <w:r>
          <w:rPr>
            <w:webHidden/>
          </w:rPr>
          <w:fldChar w:fldCharType="begin"/>
        </w:r>
        <w:r>
          <w:rPr>
            <w:webHidden/>
          </w:rPr>
          <w:instrText xml:space="preserve"> PAGEREF _Toc222845827 \h </w:instrText>
        </w:r>
        <w:r>
          <w:rPr>
            <w:webHidden/>
          </w:rPr>
        </w:r>
        <w:r>
          <w:rPr>
            <w:webHidden/>
          </w:rPr>
          <w:fldChar w:fldCharType="separate"/>
        </w:r>
        <w:r w:rsidR="00574496">
          <w:rPr>
            <w:webHidden/>
          </w:rPr>
          <w:t>6</w:t>
        </w:r>
        <w:r>
          <w:rPr>
            <w:webHidden/>
          </w:rPr>
          <w:fldChar w:fldCharType="end"/>
        </w:r>
      </w:hyperlink>
    </w:p>
    <w:p w14:paraId="2447E47E" w14:textId="775B9103" w:rsidR="007F0C02" w:rsidRDefault="007F0C02">
      <w:pPr>
        <w:pStyle w:val="TOC2"/>
        <w:rPr>
          <w:rFonts w:asciiTheme="minorHAnsi" w:eastAsiaTheme="minorEastAsia" w:hAnsiTheme="minorHAnsi" w:cstheme="minorBidi"/>
          <w:kern w:val="2"/>
          <w:sz w:val="24"/>
          <w:szCs w:val="24"/>
          <w:lang w:eastAsia="en-AU"/>
          <w14:ligatures w14:val="standardContextual"/>
        </w:rPr>
      </w:pPr>
      <w:hyperlink w:anchor="_Toc222845828" w:history="1">
        <w:r w:rsidRPr="00280886">
          <w:rPr>
            <w:rStyle w:val="Hyperlink"/>
          </w:rPr>
          <w:t>How your feedback will be used</w:t>
        </w:r>
        <w:r>
          <w:rPr>
            <w:webHidden/>
          </w:rPr>
          <w:tab/>
        </w:r>
        <w:r>
          <w:rPr>
            <w:webHidden/>
          </w:rPr>
          <w:fldChar w:fldCharType="begin"/>
        </w:r>
        <w:r>
          <w:rPr>
            <w:webHidden/>
          </w:rPr>
          <w:instrText xml:space="preserve"> PAGEREF _Toc222845828 \h </w:instrText>
        </w:r>
        <w:r>
          <w:rPr>
            <w:webHidden/>
          </w:rPr>
        </w:r>
        <w:r>
          <w:rPr>
            <w:webHidden/>
          </w:rPr>
          <w:fldChar w:fldCharType="separate"/>
        </w:r>
        <w:r w:rsidR="00574496">
          <w:rPr>
            <w:webHidden/>
          </w:rPr>
          <w:t>6</w:t>
        </w:r>
        <w:r>
          <w:rPr>
            <w:webHidden/>
          </w:rPr>
          <w:fldChar w:fldCharType="end"/>
        </w:r>
      </w:hyperlink>
    </w:p>
    <w:p w14:paraId="75157935" w14:textId="6D55168C" w:rsidR="007F0C02" w:rsidRDefault="007F0C02">
      <w:pPr>
        <w:pStyle w:val="TOC1"/>
        <w:rPr>
          <w:rFonts w:asciiTheme="minorHAnsi" w:eastAsiaTheme="minorEastAsia" w:hAnsiTheme="minorHAnsi" w:cstheme="minorBidi"/>
          <w:b w:val="0"/>
          <w:kern w:val="2"/>
          <w:sz w:val="24"/>
          <w:szCs w:val="24"/>
          <w:lang w:eastAsia="en-AU"/>
          <w14:ligatures w14:val="standardContextual"/>
        </w:rPr>
      </w:pPr>
      <w:hyperlink w:anchor="_Toc222845829" w:history="1">
        <w:r w:rsidRPr="00280886">
          <w:rPr>
            <w:rStyle w:val="Hyperlink"/>
          </w:rPr>
          <w:t>Next Steps</w:t>
        </w:r>
        <w:r>
          <w:rPr>
            <w:webHidden/>
          </w:rPr>
          <w:tab/>
        </w:r>
        <w:r>
          <w:rPr>
            <w:webHidden/>
          </w:rPr>
          <w:fldChar w:fldCharType="begin"/>
        </w:r>
        <w:r>
          <w:rPr>
            <w:webHidden/>
          </w:rPr>
          <w:instrText xml:space="preserve"> PAGEREF _Toc222845829 \h </w:instrText>
        </w:r>
        <w:r>
          <w:rPr>
            <w:webHidden/>
          </w:rPr>
        </w:r>
        <w:r>
          <w:rPr>
            <w:webHidden/>
          </w:rPr>
          <w:fldChar w:fldCharType="separate"/>
        </w:r>
        <w:r w:rsidR="00574496">
          <w:rPr>
            <w:webHidden/>
          </w:rPr>
          <w:t>7</w:t>
        </w:r>
        <w:r>
          <w:rPr>
            <w:webHidden/>
          </w:rPr>
          <w:fldChar w:fldCharType="end"/>
        </w:r>
      </w:hyperlink>
    </w:p>
    <w:p w14:paraId="470C4DEE" w14:textId="53D7D260" w:rsidR="00FB1F6E" w:rsidRDefault="00AD784C" w:rsidP="00333261">
      <w:pPr>
        <w:pStyle w:val="TOC1"/>
      </w:pPr>
      <w:r>
        <w:fldChar w:fldCharType="end"/>
      </w:r>
    </w:p>
    <w:p w14:paraId="3E16805F" w14:textId="77777777" w:rsidR="00FB1F6E" w:rsidRDefault="00FB1F6E">
      <w:pPr>
        <w:spacing w:after="0" w:line="240" w:lineRule="auto"/>
        <w:rPr>
          <w:rFonts w:eastAsia="Times"/>
        </w:rPr>
      </w:pPr>
      <w:r>
        <w:br w:type="page"/>
      </w:r>
    </w:p>
    <w:p w14:paraId="56B8BCD9" w14:textId="4D927D7F" w:rsidR="00EE29AD" w:rsidRPr="00A71CE4" w:rsidRDefault="0094461A" w:rsidP="00562811">
      <w:pPr>
        <w:pStyle w:val="Heading1"/>
        <w:spacing w:before="0"/>
      </w:pPr>
      <w:bookmarkStart w:id="4" w:name="_Toc222845822"/>
      <w:bookmarkStart w:id="5" w:name="_Hlk66712316"/>
      <w:r>
        <w:lastRenderedPageBreak/>
        <w:t>Purpose</w:t>
      </w:r>
      <w:bookmarkEnd w:id="4"/>
    </w:p>
    <w:p w14:paraId="6576874D" w14:textId="1F8B0C69" w:rsidR="001642C8" w:rsidRDefault="0094461A" w:rsidP="00454A7D">
      <w:pPr>
        <w:pStyle w:val="Introtext"/>
      </w:pPr>
      <w:r>
        <w:t xml:space="preserve">The Victorian Government is </w:t>
      </w:r>
      <w:r w:rsidR="00C476D9">
        <w:t xml:space="preserve">consulting on proposed amendments to the </w:t>
      </w:r>
      <w:r w:rsidR="001642C8">
        <w:t>Drugs, Poisons and Controlled Substances Regulations 2017</w:t>
      </w:r>
      <w:r w:rsidR="004F11B0">
        <w:t>. The amendments</w:t>
      </w:r>
      <w:r w:rsidR="001642C8">
        <w:t xml:space="preserve"> </w:t>
      </w:r>
      <w:r w:rsidR="004F11B0">
        <w:t xml:space="preserve">are </w:t>
      </w:r>
      <w:r w:rsidR="001642C8">
        <w:t>part of reforms to medication administration in Victorian residential aged care.</w:t>
      </w:r>
    </w:p>
    <w:p w14:paraId="403F1A43" w14:textId="76B32F40" w:rsidR="004E4990" w:rsidRDefault="000969DE" w:rsidP="00454A7D">
      <w:pPr>
        <w:pStyle w:val="Body"/>
      </w:pPr>
      <w:r>
        <w:t xml:space="preserve">The </w:t>
      </w:r>
      <w:r w:rsidR="003A5734">
        <w:t xml:space="preserve">Government has </w:t>
      </w:r>
      <w:r w:rsidR="007D5E94">
        <w:t>released a</w:t>
      </w:r>
      <w:r w:rsidR="00170138">
        <w:t xml:space="preserve"> draft of </w:t>
      </w:r>
      <w:r w:rsidR="00333A58">
        <w:t xml:space="preserve">the </w:t>
      </w:r>
      <w:r w:rsidR="008E087C" w:rsidRPr="008E087C">
        <w:t>Drugs, Poisons and Controlled Substances Amendment (Medication Administration in Aged Care) Regulations 2026</w:t>
      </w:r>
      <w:r w:rsidR="008E087C">
        <w:t>. Victorian residential aged care provider</w:t>
      </w:r>
      <w:r w:rsidR="001642C8">
        <w:t>s, direct care workers</w:t>
      </w:r>
      <w:r w:rsidR="003A0734">
        <w:t xml:space="preserve">, </w:t>
      </w:r>
      <w:r w:rsidR="001642C8">
        <w:t>industry peak bodies</w:t>
      </w:r>
      <w:r w:rsidR="006C4016">
        <w:t>,</w:t>
      </w:r>
      <w:r w:rsidR="001642C8">
        <w:t xml:space="preserve"> </w:t>
      </w:r>
      <w:r w:rsidR="003A0734">
        <w:t xml:space="preserve">and those interested are encouraged </w:t>
      </w:r>
      <w:r w:rsidR="00666B3E">
        <w:t xml:space="preserve">to review the proposed Regulations and share </w:t>
      </w:r>
      <w:r w:rsidR="00A779FD">
        <w:t xml:space="preserve">their </w:t>
      </w:r>
      <w:r w:rsidR="00666B3E">
        <w:t>feedback</w:t>
      </w:r>
      <w:r w:rsidR="004E4990">
        <w:t>.</w:t>
      </w:r>
    </w:p>
    <w:p w14:paraId="2E111FA0" w14:textId="5EFAAD00" w:rsidR="00454A7D" w:rsidRPr="002365B4" w:rsidRDefault="001642C8" w:rsidP="00454A7D">
      <w:pPr>
        <w:pStyle w:val="Body"/>
      </w:pPr>
      <w:r>
        <w:t>This paper provide</w:t>
      </w:r>
      <w:r w:rsidR="00B650CE">
        <w:t>s</w:t>
      </w:r>
      <w:r>
        <w:t xml:space="preserve"> background of the reform, </w:t>
      </w:r>
      <w:r w:rsidR="00183559">
        <w:t xml:space="preserve">explains </w:t>
      </w:r>
      <w:r>
        <w:t xml:space="preserve">the </w:t>
      </w:r>
      <w:r w:rsidR="007B6E8F">
        <w:t xml:space="preserve">draft </w:t>
      </w:r>
      <w:r>
        <w:t>Regulations</w:t>
      </w:r>
      <w:r w:rsidR="00F800A6">
        <w:t>,</w:t>
      </w:r>
      <w:r>
        <w:t xml:space="preserve"> and</w:t>
      </w:r>
      <w:r w:rsidR="00D52BDD">
        <w:t xml:space="preserve"> provides</w:t>
      </w:r>
      <w:r>
        <w:t xml:space="preserve"> questions to </w:t>
      </w:r>
      <w:r w:rsidR="00183559">
        <w:t>consider when</w:t>
      </w:r>
      <w:r>
        <w:t xml:space="preserve"> making a submission.</w:t>
      </w:r>
    </w:p>
    <w:p w14:paraId="14A403BF" w14:textId="77777777" w:rsidR="0055074A" w:rsidRPr="00B57329" w:rsidRDefault="0055074A" w:rsidP="0055074A">
      <w:pPr>
        <w:pStyle w:val="Heading1"/>
      </w:pPr>
      <w:bookmarkStart w:id="6" w:name="_Toc222845823"/>
      <w:bookmarkStart w:id="7" w:name="_Hlk63948051"/>
      <w:r>
        <w:t>Background</w:t>
      </w:r>
      <w:bookmarkEnd w:id="6"/>
    </w:p>
    <w:bookmarkEnd w:id="7"/>
    <w:p w14:paraId="73307D7E" w14:textId="1241C40E" w:rsidR="0055074A" w:rsidRDefault="0055074A" w:rsidP="0055074A">
      <w:pPr>
        <w:pStyle w:val="Body"/>
      </w:pPr>
      <w:r w:rsidRPr="004B4412">
        <w:t xml:space="preserve">On 9 September 2025 the Victorian Parliament passed the </w:t>
      </w:r>
      <w:hyperlink r:id="rId17" w:history="1">
        <w:r w:rsidRPr="00023A4D">
          <w:rPr>
            <w:rStyle w:val="Hyperlink"/>
            <w:i/>
            <w:iCs/>
          </w:rPr>
          <w:t>Drugs, Poisons and Controlled Substances Amendment (Medication Administration in Residential Aged Care) Act 2025</w:t>
        </w:r>
        <w:r w:rsidRPr="00023A4D">
          <w:rPr>
            <w:rStyle w:val="Hyperlink"/>
          </w:rPr>
          <w:t xml:space="preserve"> (the Act)</w:t>
        </w:r>
      </w:hyperlink>
      <w:r w:rsidR="00671928">
        <w:t xml:space="preserve"> &lt;</w:t>
      </w:r>
      <w:r w:rsidR="00671928" w:rsidRPr="00671928">
        <w:t>https://www.legislation.vic.gov.au/bills/drugs-poisons-and-controlled-substances-amendment-medication-administration-residential-aged-care</w:t>
      </w:r>
      <w:r w:rsidR="00671928">
        <w:t>&gt;</w:t>
      </w:r>
      <w:r w:rsidRPr="004B4412">
        <w:t>. The Act places a new requirement on registered aged care providers in Victoria</w:t>
      </w:r>
      <w:r>
        <w:t>.</w:t>
      </w:r>
    </w:p>
    <w:p w14:paraId="3E5A7C24" w14:textId="77777777" w:rsidR="00225B17" w:rsidRDefault="0055074A" w:rsidP="0055074A">
      <w:pPr>
        <w:pStyle w:val="Body"/>
      </w:pPr>
      <w:r>
        <w:t xml:space="preserve">Under this requirement, </w:t>
      </w:r>
      <w:r w:rsidRPr="004B4412">
        <w:t xml:space="preserve">only nurses (and other registered health practitioners) </w:t>
      </w:r>
      <w:r>
        <w:t xml:space="preserve">can </w:t>
      </w:r>
      <w:r w:rsidRPr="004B4412">
        <w:t>administer</w:t>
      </w:r>
      <w:r>
        <w:t xml:space="preserve"> certain medications to residents. These </w:t>
      </w:r>
      <w:r w:rsidR="00671928">
        <w:t xml:space="preserve">medications are </w:t>
      </w:r>
      <w:r>
        <w:t xml:space="preserve">prescribed and dispensed </w:t>
      </w:r>
      <w:r w:rsidRPr="004B4412">
        <w:t>Drugs of Dependence and Schedules 4, 8 and 9 medications.</w:t>
      </w:r>
      <w:r w:rsidR="00225B17">
        <w:t xml:space="preserve"> </w:t>
      </w:r>
      <w:r w:rsidRPr="004B4412">
        <w:t xml:space="preserve">The requirement will commence on 1 July 2026. </w:t>
      </w:r>
    </w:p>
    <w:p w14:paraId="2DF333C0" w14:textId="5D130959" w:rsidR="0055074A" w:rsidRDefault="0055074A" w:rsidP="0055074A">
      <w:pPr>
        <w:pStyle w:val="Body"/>
      </w:pPr>
      <w:r w:rsidRPr="004B4412">
        <w:t>The change aims to reduce the risk of medicine-related problems in residential aged care.</w:t>
      </w:r>
    </w:p>
    <w:p w14:paraId="66150A0A" w14:textId="77777777" w:rsidR="0055074A" w:rsidRDefault="0055074A" w:rsidP="0055074A">
      <w:pPr>
        <w:pStyle w:val="Body"/>
      </w:pPr>
      <w:r>
        <w:t>The requirement will only apply when a resident is on the premises of the residential aged care home. It will also only apply to residents who do not administer their own medication.</w:t>
      </w:r>
    </w:p>
    <w:p w14:paraId="502F11CD" w14:textId="77777777" w:rsidR="0055074A" w:rsidRDefault="0055074A" w:rsidP="0055074A">
      <w:pPr>
        <w:pStyle w:val="Body"/>
      </w:pPr>
      <w:r>
        <w:t xml:space="preserve">The new requirement </w:t>
      </w:r>
      <w:r w:rsidRPr="006F5905">
        <w:rPr>
          <w:b/>
          <w:bCs/>
        </w:rPr>
        <w:t>will not</w:t>
      </w:r>
      <w:r>
        <w:t>:</w:t>
      </w:r>
    </w:p>
    <w:p w14:paraId="38CABC17" w14:textId="7585C680" w:rsidR="0055074A" w:rsidRDefault="0055074A" w:rsidP="0055074A">
      <w:pPr>
        <w:pStyle w:val="Body"/>
        <w:numPr>
          <w:ilvl w:val="0"/>
          <w:numId w:val="12"/>
        </w:numPr>
      </w:pPr>
      <w:r>
        <w:t>Prescribe models of care or how Commonwealth Government mandated direct care minutes are to used; how homes implement the reform is a decision for providers</w:t>
      </w:r>
    </w:p>
    <w:p w14:paraId="549E974B" w14:textId="77777777" w:rsidR="0055074A" w:rsidRDefault="0055074A" w:rsidP="0055074A">
      <w:pPr>
        <w:pStyle w:val="Body"/>
        <w:numPr>
          <w:ilvl w:val="0"/>
          <w:numId w:val="12"/>
        </w:numPr>
      </w:pPr>
      <w:r>
        <w:t xml:space="preserve">Change registered health practitioners’ existing authorisation under the </w:t>
      </w:r>
      <w:r w:rsidRPr="004B4412">
        <w:rPr>
          <w:i/>
          <w:iCs/>
        </w:rPr>
        <w:t>Drugs, Poisons and Controlled Substances Act 1981</w:t>
      </w:r>
      <w:r>
        <w:t xml:space="preserve"> </w:t>
      </w:r>
      <w:r w:rsidRPr="004B4412">
        <w:t>(DPCSA),</w:t>
      </w:r>
      <w:r>
        <w:t xml:space="preserve"> or the Drugs, Poisons and Controlled Substances Regulations 2017, to administer medication within their scope of practice (for example general practitioners, dentists, pharmacists, and paramedic practitioners)</w:t>
      </w:r>
    </w:p>
    <w:p w14:paraId="631F0963" w14:textId="77777777" w:rsidR="0055074A" w:rsidRDefault="0055074A" w:rsidP="0055074A">
      <w:pPr>
        <w:pStyle w:val="Body"/>
        <w:numPr>
          <w:ilvl w:val="0"/>
          <w:numId w:val="12"/>
        </w:numPr>
      </w:pPr>
      <w:r>
        <w:t>Apply to unscheduled and Schedule 2 and 3 medications</w:t>
      </w:r>
    </w:p>
    <w:p w14:paraId="38B7FF72" w14:textId="2AB44D21" w:rsidR="0055074A" w:rsidRDefault="0055074A" w:rsidP="0055074A">
      <w:pPr>
        <w:pStyle w:val="Body"/>
        <w:numPr>
          <w:ilvl w:val="0"/>
          <w:numId w:val="12"/>
        </w:numPr>
      </w:pPr>
      <w:r>
        <w:t>Change requirements of the voluntary assisted dying legislation</w:t>
      </w:r>
    </w:p>
    <w:p w14:paraId="05CF8226" w14:textId="77777777" w:rsidR="0055074A" w:rsidRDefault="0055074A" w:rsidP="0055074A">
      <w:pPr>
        <w:pStyle w:val="Body"/>
        <w:numPr>
          <w:ilvl w:val="0"/>
          <w:numId w:val="12"/>
        </w:numPr>
      </w:pPr>
      <w:r>
        <w:t>Impact existing authorisation for Aboriginal and/or Torres Strait Islander Health Practitioners to administer Schedule 4 and 8 medications.</w:t>
      </w:r>
    </w:p>
    <w:p w14:paraId="7F27C676" w14:textId="77777777" w:rsidR="00913F2B" w:rsidRDefault="00913F2B">
      <w:pPr>
        <w:spacing w:after="0" w:line="240" w:lineRule="auto"/>
      </w:pPr>
      <w:r>
        <w:br w:type="page"/>
      </w:r>
    </w:p>
    <w:p w14:paraId="49B5025B" w14:textId="20F5576D" w:rsidR="0055074A" w:rsidRDefault="0055074A" w:rsidP="0055074A">
      <w:r>
        <w:lastRenderedPageBreak/>
        <w:t>A registered provider does not contravene the new requirement if:</w:t>
      </w:r>
    </w:p>
    <w:p w14:paraId="64E283CA" w14:textId="251F3750" w:rsidR="0055074A" w:rsidRDefault="0055074A" w:rsidP="0055074A">
      <w:pPr>
        <w:pStyle w:val="Body"/>
        <w:numPr>
          <w:ilvl w:val="0"/>
          <w:numId w:val="18"/>
        </w:numPr>
      </w:pPr>
      <w:r>
        <w:t>They have a reasonable excuse</w:t>
      </w:r>
      <w:r w:rsidR="00913F2B">
        <w:rPr>
          <w:rStyle w:val="FootnoteReference"/>
        </w:rPr>
        <w:footnoteReference w:id="1"/>
      </w:r>
      <w:r>
        <w:t>; or</w:t>
      </w:r>
    </w:p>
    <w:p w14:paraId="60E6CB80" w14:textId="286286F5" w:rsidR="0055074A" w:rsidRDefault="0055074A" w:rsidP="0055074A">
      <w:pPr>
        <w:pStyle w:val="Body"/>
        <w:numPr>
          <w:ilvl w:val="0"/>
          <w:numId w:val="18"/>
        </w:numPr>
      </w:pPr>
      <w:r>
        <w:t>The person for whom the drug or poison has been supplied</w:t>
      </w:r>
      <w:r w:rsidR="0009594A">
        <w:t xml:space="preserve"> </w:t>
      </w:r>
      <w:r>
        <w:t xml:space="preserve">self-administers the drug or poison; or </w:t>
      </w:r>
    </w:p>
    <w:p w14:paraId="1E6D8031" w14:textId="2C453B11" w:rsidR="0055074A" w:rsidRDefault="0055074A" w:rsidP="0055074A">
      <w:pPr>
        <w:pStyle w:val="Body"/>
        <w:numPr>
          <w:ilvl w:val="0"/>
          <w:numId w:val="18"/>
        </w:numPr>
      </w:pPr>
      <w:r>
        <w:t>A person other than a registered or enrolled nurse or registered health practitioner administers the drug or poison in prescribed circumstances.</w:t>
      </w:r>
    </w:p>
    <w:p w14:paraId="493CC63E" w14:textId="1F79CB00" w:rsidR="0055074A" w:rsidRDefault="0055074A" w:rsidP="0055074A">
      <w:r>
        <w:t xml:space="preserve">The Regulations will </w:t>
      </w:r>
      <w:r w:rsidRPr="000C5DF4">
        <w:rPr>
          <w:b/>
          <w:bCs/>
        </w:rPr>
        <w:t>prescribe circumstances</w:t>
      </w:r>
      <w:r>
        <w:t xml:space="preserve"> which </w:t>
      </w:r>
      <w:r w:rsidRPr="00957091">
        <w:rPr>
          <w:i/>
          <w:iCs/>
        </w:rPr>
        <w:t>a person other than a nurse or registered health practitioner</w:t>
      </w:r>
      <w:r>
        <w:t xml:space="preserve"> can administer medication. These may be referred to as exemptions – circumstances where the provider does not need to comply with the requirement.</w:t>
      </w:r>
    </w:p>
    <w:p w14:paraId="3B8E0926" w14:textId="1E6EF2C4" w:rsidR="0055074A" w:rsidRDefault="0055074A" w:rsidP="0055074A">
      <w:r>
        <w:t xml:space="preserve">To support the sector </w:t>
      </w:r>
      <w:r w:rsidR="00957091">
        <w:t xml:space="preserve">to </w:t>
      </w:r>
      <w:r>
        <w:t>prepare for the reform, the Victorian Government has committed to a 90-day grace-period. No monitoring or enforcement will be pursued until 29 September 2026.</w:t>
      </w:r>
    </w:p>
    <w:p w14:paraId="0675B2AF" w14:textId="77777777" w:rsidR="007B6E8F" w:rsidRDefault="007B6E8F" w:rsidP="007B6E8F">
      <w:pPr>
        <w:pStyle w:val="Heading1"/>
      </w:pPr>
      <w:bookmarkStart w:id="8" w:name="_Toc222845824"/>
      <w:r>
        <w:t>Regulations</w:t>
      </w:r>
      <w:bookmarkEnd w:id="8"/>
    </w:p>
    <w:p w14:paraId="6A985EB1" w14:textId="130DB907" w:rsidR="00696339" w:rsidRDefault="00696339" w:rsidP="00696339">
      <w:pPr>
        <w:shd w:val="clear" w:color="auto" w:fill="DBE5F1" w:themeFill="accent1" w:themeFillTint="33"/>
      </w:pPr>
      <w:r>
        <w:t xml:space="preserve">An exposure draft of the </w:t>
      </w:r>
      <w:r w:rsidR="008413C8" w:rsidRPr="008413C8">
        <w:t>Drugs, Poisons and Controlled Substances Amendment (Medication Administration in Aged Care) Regulations 2026</w:t>
      </w:r>
      <w:r>
        <w:t xml:space="preserve"> has been prepared for consultation</w:t>
      </w:r>
      <w:r w:rsidR="001D150F">
        <w:t xml:space="preserve"> and is available on </w:t>
      </w:r>
      <w:hyperlink r:id="rId18" w:anchor="consultation-on-the-exposure-draft-of-the-regulations" w:history="1">
        <w:r w:rsidR="001D150F" w:rsidRPr="001D150F">
          <w:rPr>
            <w:rStyle w:val="Hyperlink"/>
          </w:rPr>
          <w:t>the department’s website</w:t>
        </w:r>
      </w:hyperlink>
      <w:r w:rsidR="0050220D">
        <w:t xml:space="preserve"> &lt;</w:t>
      </w:r>
      <w:r w:rsidR="0050220D" w:rsidRPr="0050220D">
        <w:t>https://www.health.vic.gov.au/drugs-and-poisons/medication-administration-in-residential-aged-care#consultation-on-the-exposure-draft-of-the-regulations</w:t>
      </w:r>
      <w:r w:rsidR="0050220D">
        <w:t>&gt;</w:t>
      </w:r>
    </w:p>
    <w:p w14:paraId="2CFF2D97" w14:textId="51F46BA8" w:rsidR="00023A4D" w:rsidRDefault="001A4780" w:rsidP="001A4780">
      <w:r>
        <w:t xml:space="preserve">The Regulations </w:t>
      </w:r>
      <w:r w:rsidR="0037154C">
        <w:t>outline circumstances</w:t>
      </w:r>
      <w:r w:rsidR="00656BD3">
        <w:t xml:space="preserve"> where</w:t>
      </w:r>
      <w:r w:rsidR="00FB4DA9">
        <w:t xml:space="preserve"> </w:t>
      </w:r>
      <w:r w:rsidR="004609CB">
        <w:t xml:space="preserve">the requirement does not apply. </w:t>
      </w:r>
    </w:p>
    <w:p w14:paraId="54D196C1" w14:textId="47C9D25E" w:rsidR="00500B38" w:rsidRPr="00500B38" w:rsidRDefault="00500B38" w:rsidP="00500B38">
      <w:r w:rsidRPr="00500B38">
        <w:t xml:space="preserve">These situations relate to </w:t>
      </w:r>
      <w:r w:rsidRPr="0055074A">
        <w:t>un</w:t>
      </w:r>
      <w:r w:rsidR="006F1BFE">
        <w:t xml:space="preserve">foreseen </w:t>
      </w:r>
      <w:r w:rsidRPr="0055074A">
        <w:t>events</w:t>
      </w:r>
      <w:r w:rsidRPr="00500B38">
        <w:t xml:space="preserve"> that affect nursing availability. </w:t>
      </w:r>
      <w:r w:rsidR="005B6FD2">
        <w:t>Illustrative e</w:t>
      </w:r>
      <w:r w:rsidRPr="00500B38">
        <w:t>xamples include:</w:t>
      </w:r>
    </w:p>
    <w:p w14:paraId="07914036" w14:textId="3FE015A1" w:rsidR="00500B38" w:rsidRPr="00500B38" w:rsidRDefault="005B6FD2" w:rsidP="002E6893">
      <w:pPr>
        <w:numPr>
          <w:ilvl w:val="0"/>
          <w:numId w:val="15"/>
        </w:numPr>
      </w:pPr>
      <w:r>
        <w:t>A</w:t>
      </w:r>
      <w:r w:rsidR="00500B38" w:rsidRPr="00500B38">
        <w:t xml:space="preserve"> serious emergency involving a resident</w:t>
      </w:r>
    </w:p>
    <w:p w14:paraId="6A58FFC7" w14:textId="362136AC" w:rsidR="00500B38" w:rsidRPr="00500B38" w:rsidRDefault="005B6FD2" w:rsidP="002E6893">
      <w:pPr>
        <w:numPr>
          <w:ilvl w:val="0"/>
          <w:numId w:val="15"/>
        </w:numPr>
      </w:pPr>
      <w:r>
        <w:t xml:space="preserve">Unexpected </w:t>
      </w:r>
      <w:r w:rsidR="00500B38" w:rsidRPr="00500B38">
        <w:t xml:space="preserve">staff shortages </w:t>
      </w:r>
    </w:p>
    <w:p w14:paraId="73595CEA" w14:textId="28B38407" w:rsidR="00500B38" w:rsidRPr="00500B38" w:rsidRDefault="005B6FD2" w:rsidP="002E6893">
      <w:pPr>
        <w:numPr>
          <w:ilvl w:val="0"/>
          <w:numId w:val="15"/>
        </w:numPr>
      </w:pPr>
      <w:r>
        <w:t>O</w:t>
      </w:r>
      <w:r w:rsidR="00500B38" w:rsidRPr="00500B38">
        <w:t>ther un</w:t>
      </w:r>
      <w:r w:rsidR="006F1BFE">
        <w:t>foreseen</w:t>
      </w:r>
      <w:r w:rsidR="00500B38" w:rsidRPr="00500B38">
        <w:t xml:space="preserve"> issues that prevent a nurse from giving medication on time</w:t>
      </w:r>
      <w:r w:rsidR="006F1BFE">
        <w:t>.</w:t>
      </w:r>
    </w:p>
    <w:p w14:paraId="464E853A" w14:textId="6834F972" w:rsidR="00500B38" w:rsidRDefault="00500B38" w:rsidP="00500B38">
      <w:r w:rsidRPr="00500B38">
        <w:t xml:space="preserve">In these cases, an exemption can apply if </w:t>
      </w:r>
      <w:r w:rsidRPr="0055074A">
        <w:t xml:space="preserve">waiting for a nurse </w:t>
      </w:r>
      <w:r w:rsidR="005B6FD2">
        <w:t xml:space="preserve">(or registered health practitioner) </w:t>
      </w:r>
      <w:r w:rsidRPr="0055074A">
        <w:t>would put a resident at risk</w:t>
      </w:r>
      <w:r w:rsidRPr="00500B38">
        <w:t>.</w:t>
      </w:r>
    </w:p>
    <w:p w14:paraId="461A6B26" w14:textId="3D5A6A04" w:rsidR="00747B48" w:rsidRPr="00500B38" w:rsidRDefault="00747B48" w:rsidP="00500B38">
      <w:r>
        <w:t>The proposed exemptions are intended to be limited and used only in unforeseen, time-bound situations where a resident may be at risk if medication is delayed. They are not intended to replace workforce planning or create a routine alternative to nurse-led medication administration.</w:t>
      </w:r>
    </w:p>
    <w:p w14:paraId="02C1B94F" w14:textId="1B9BB246" w:rsidR="00537B48" w:rsidRDefault="00537B48" w:rsidP="00537B48">
      <w:pPr>
        <w:pStyle w:val="Heading1"/>
      </w:pPr>
      <w:bookmarkStart w:id="9" w:name="_Toc222845825"/>
      <w:r>
        <w:t>Guidance document</w:t>
      </w:r>
      <w:bookmarkEnd w:id="9"/>
    </w:p>
    <w:p w14:paraId="48FC42BD" w14:textId="3155C6F9" w:rsidR="00537B48" w:rsidRDefault="00537B48" w:rsidP="00537B48">
      <w:pPr>
        <w:shd w:val="clear" w:color="auto" w:fill="DBE5F1" w:themeFill="accent1" w:themeFillTint="33"/>
      </w:pPr>
      <w:r>
        <w:t xml:space="preserve">To complement the Regulations, a </w:t>
      </w:r>
      <w:r w:rsidR="00DE69B3">
        <w:t xml:space="preserve">draft </w:t>
      </w:r>
      <w:r>
        <w:t>guidance document has been prepared for consultation</w:t>
      </w:r>
      <w:r w:rsidR="001D150F">
        <w:t xml:space="preserve"> and is available </w:t>
      </w:r>
      <w:hyperlink r:id="rId19" w:anchor="consultation-on-the-exposure-draft-of-the-regulations" w:history="1">
        <w:r w:rsidR="001D150F" w:rsidRPr="001D150F">
          <w:rPr>
            <w:rStyle w:val="Hyperlink"/>
          </w:rPr>
          <w:t>on the department’s website</w:t>
        </w:r>
      </w:hyperlink>
      <w:r w:rsidR="0050220D">
        <w:t xml:space="preserve"> &lt;</w:t>
      </w:r>
      <w:r w:rsidR="0050220D" w:rsidRPr="0050220D">
        <w:t>https://www.health.vic.gov.au/drugs-and-poisons/medication-administration-in-residential-aged-care#consultation-on-the-exposure-draft-of-the-regulations</w:t>
      </w:r>
      <w:r w:rsidR="0050220D">
        <w:t>&gt;.</w:t>
      </w:r>
    </w:p>
    <w:p w14:paraId="1FBD5EA8" w14:textId="6D1C8651" w:rsidR="00537B48" w:rsidRDefault="001A4780" w:rsidP="007B6E8F">
      <w:r>
        <w:lastRenderedPageBreak/>
        <w:t>The guidance document is no</w:t>
      </w:r>
      <w:r w:rsidR="00696339">
        <w:t xml:space="preserve">t </w:t>
      </w:r>
      <w:r>
        <w:t>legally binding</w:t>
      </w:r>
      <w:r w:rsidR="00D309FA">
        <w:t>.</w:t>
      </w:r>
      <w:r>
        <w:t xml:space="preserve"> </w:t>
      </w:r>
      <w:r w:rsidR="00D309FA">
        <w:t>It</w:t>
      </w:r>
      <w:r w:rsidR="00537B48">
        <w:t xml:space="preserve"> </w:t>
      </w:r>
      <w:r w:rsidR="00DC78EB">
        <w:t xml:space="preserve">intends </w:t>
      </w:r>
      <w:r w:rsidR="00537B48">
        <w:t>to support the interpretation of the Regulations. It explains what un</w:t>
      </w:r>
      <w:r w:rsidR="00DE69B3">
        <w:t xml:space="preserve">foreseen </w:t>
      </w:r>
      <w:r w:rsidR="00644107">
        <w:t xml:space="preserve">events </w:t>
      </w:r>
      <w:r w:rsidR="00537B48">
        <w:t>could include and how to manage them when they occur.</w:t>
      </w:r>
    </w:p>
    <w:p w14:paraId="2D5A80D3" w14:textId="53B97CD8" w:rsidR="006C6FA8" w:rsidRDefault="00023A4D" w:rsidP="00537B48">
      <w:pPr>
        <w:pStyle w:val="Heading1"/>
      </w:pPr>
      <w:bookmarkStart w:id="10" w:name="_Toc222845826"/>
      <w:r>
        <w:t>Invitation for Submissions</w:t>
      </w:r>
      <w:bookmarkEnd w:id="10"/>
    </w:p>
    <w:p w14:paraId="2620B7E2" w14:textId="3AFF5D70" w:rsidR="00023A4D" w:rsidRDefault="00023A4D" w:rsidP="00CB7F8F">
      <w:pPr>
        <w:pStyle w:val="Body"/>
      </w:pPr>
      <w:r>
        <w:t xml:space="preserve">The </w:t>
      </w:r>
      <w:r w:rsidR="1AF28F19">
        <w:t>D</w:t>
      </w:r>
      <w:r>
        <w:t xml:space="preserve">epartment </w:t>
      </w:r>
      <w:r w:rsidR="00F84B7A">
        <w:t xml:space="preserve">of Health </w:t>
      </w:r>
      <w:r>
        <w:t xml:space="preserve">invites feedback </w:t>
      </w:r>
      <w:r w:rsidR="009067A6">
        <w:t>on</w:t>
      </w:r>
      <w:r>
        <w:t xml:space="preserve"> the exposure draft of the Regulations and the Guidance document. </w:t>
      </w:r>
    </w:p>
    <w:p w14:paraId="2BD3687C" w14:textId="7AABEBF1" w:rsidR="00023A4D" w:rsidRDefault="00632978" w:rsidP="004B4412">
      <w:pPr>
        <w:pStyle w:val="Body"/>
      </w:pPr>
      <w:r>
        <w:t xml:space="preserve">Submissions with feedback can be </w:t>
      </w:r>
      <w:r w:rsidR="00127D5F">
        <w:t>sent</w:t>
      </w:r>
      <w:r>
        <w:t xml:space="preserve"> to </w:t>
      </w:r>
      <w:hyperlink r:id="rId20" w:history="1">
        <w:r w:rsidRPr="003B23D3">
          <w:rPr>
            <w:rStyle w:val="Hyperlink"/>
          </w:rPr>
          <w:t>Vic_AgedCare@health.vic.gov.au</w:t>
        </w:r>
      </w:hyperlink>
      <w:r>
        <w:t>.</w:t>
      </w:r>
    </w:p>
    <w:p w14:paraId="089F07F0" w14:textId="15096B49" w:rsidR="00632978" w:rsidRDefault="00632978" w:rsidP="004B4412">
      <w:pPr>
        <w:pStyle w:val="Body"/>
      </w:pPr>
      <w:r>
        <w:t>Submissions can also be made</w:t>
      </w:r>
      <w:r w:rsidR="00672381">
        <w:t>, including anonymously,</w:t>
      </w:r>
      <w:r>
        <w:t xml:space="preserve"> </w:t>
      </w:r>
      <w:hyperlink r:id="rId21" w:history="1">
        <w:r w:rsidRPr="00672381">
          <w:rPr>
            <w:rStyle w:val="Hyperlink"/>
          </w:rPr>
          <w:t>via a survey</w:t>
        </w:r>
      </w:hyperlink>
      <w:r w:rsidR="0050220D">
        <w:t xml:space="preserve"> &lt;</w:t>
      </w:r>
      <w:r w:rsidR="0050220D" w:rsidRPr="0050220D">
        <w:t>https://forms.office.com/r/M5qiZJ9y94</w:t>
      </w:r>
      <w:r w:rsidR="0050220D">
        <w:t>&gt;</w:t>
      </w:r>
    </w:p>
    <w:p w14:paraId="1B840C8B" w14:textId="0A8274A5" w:rsidR="001578D0" w:rsidRDefault="001578D0" w:rsidP="004B4412">
      <w:pPr>
        <w:pStyle w:val="Body"/>
      </w:pPr>
      <w:r>
        <w:t xml:space="preserve">The </w:t>
      </w:r>
      <w:r w:rsidR="00F84B7A">
        <w:t>d</w:t>
      </w:r>
      <w:r>
        <w:t xml:space="preserve">epartment </w:t>
      </w:r>
      <w:r w:rsidR="1F2B94DE">
        <w:t xml:space="preserve">can </w:t>
      </w:r>
      <w:r w:rsidR="00443ED3">
        <w:t xml:space="preserve">meet with interested stakeholders. This can be arranged by emailing the Older People and Aged Care Policy team via </w:t>
      </w:r>
      <w:r w:rsidR="09A52188">
        <w:t xml:space="preserve">email </w:t>
      </w:r>
      <w:hyperlink r:id="rId22">
        <w:r w:rsidR="09A52188" w:rsidRPr="57106A65">
          <w:rPr>
            <w:rStyle w:val="Hyperlink"/>
          </w:rPr>
          <w:t>Vic_AgedCare@health.vic.gov.au</w:t>
        </w:r>
      </w:hyperlink>
    </w:p>
    <w:p w14:paraId="6EE04DF0" w14:textId="76E9FB18" w:rsidR="00632978" w:rsidRPr="00632978" w:rsidRDefault="00632978" w:rsidP="004B4412">
      <w:pPr>
        <w:pStyle w:val="Body"/>
        <w:rPr>
          <w:b/>
          <w:bCs/>
        </w:rPr>
      </w:pPr>
      <w:r>
        <w:rPr>
          <w:b/>
          <w:bCs/>
        </w:rPr>
        <w:t xml:space="preserve">Consultation will be open from </w:t>
      </w:r>
      <w:r w:rsidR="00050F50">
        <w:rPr>
          <w:b/>
          <w:bCs/>
        </w:rPr>
        <w:t>23 February 2026</w:t>
      </w:r>
      <w:r>
        <w:rPr>
          <w:b/>
          <w:bCs/>
        </w:rPr>
        <w:t xml:space="preserve"> to </w:t>
      </w:r>
      <w:r w:rsidR="008919EE">
        <w:rPr>
          <w:b/>
          <w:bCs/>
        </w:rPr>
        <w:t>7 April 2026</w:t>
      </w:r>
      <w:r>
        <w:rPr>
          <w:b/>
          <w:bCs/>
        </w:rPr>
        <w:t>.</w:t>
      </w:r>
    </w:p>
    <w:p w14:paraId="3EC6C6FC" w14:textId="06669E1B" w:rsidR="00B87875" w:rsidRDefault="00B87875" w:rsidP="00632978">
      <w:pPr>
        <w:pStyle w:val="Heading2"/>
      </w:pPr>
      <w:bookmarkStart w:id="11" w:name="_Toc222845827"/>
      <w:r>
        <w:t>Consultation questions</w:t>
      </w:r>
      <w:bookmarkEnd w:id="11"/>
    </w:p>
    <w:p w14:paraId="52F5D6D4" w14:textId="77777777" w:rsidR="00AD03D4" w:rsidRPr="00AD03D4" w:rsidRDefault="00AD03D4" w:rsidP="00AD03D4">
      <w:pPr>
        <w:pStyle w:val="Body"/>
      </w:pPr>
      <w:r w:rsidRPr="00AD03D4">
        <w:t>You do not need to answer these questions specifically, but they are intended to guide your submission.</w:t>
      </w:r>
    </w:p>
    <w:p w14:paraId="6F5B28CE" w14:textId="78A77DAD" w:rsidR="00BC4B32" w:rsidRPr="00BC4B32" w:rsidRDefault="00BC4B32" w:rsidP="002E6893">
      <w:pPr>
        <w:pStyle w:val="Body"/>
        <w:numPr>
          <w:ilvl w:val="0"/>
          <w:numId w:val="14"/>
        </w:numPr>
      </w:pPr>
      <w:r w:rsidRPr="00BC4B32">
        <w:t>The policy intention of the Regulations is to account for unforeseen events where a nurse is not available</w:t>
      </w:r>
      <w:r w:rsidR="009C1C33">
        <w:t>,</w:t>
      </w:r>
      <w:r w:rsidRPr="00BC4B32">
        <w:t xml:space="preserve"> and a resident cannot wait for their medication. </w:t>
      </w:r>
      <w:r w:rsidR="00B82DF4">
        <w:rPr>
          <w:b/>
          <w:bCs/>
        </w:rPr>
        <w:t xml:space="preserve">To what extend to do you agree that the </w:t>
      </w:r>
      <w:r w:rsidR="00B8399E">
        <w:rPr>
          <w:b/>
          <w:bCs/>
        </w:rPr>
        <w:t>Regulations</w:t>
      </w:r>
      <w:r w:rsidR="00B82DF4">
        <w:rPr>
          <w:b/>
          <w:bCs/>
        </w:rPr>
        <w:t xml:space="preserve"> reflect the policy intention</w:t>
      </w:r>
      <w:r>
        <w:rPr>
          <w:b/>
          <w:bCs/>
        </w:rPr>
        <w:t xml:space="preserve">? </w:t>
      </w:r>
    </w:p>
    <w:p w14:paraId="22BF2F92" w14:textId="63A94223" w:rsidR="00B82DF4" w:rsidRPr="00BC4B32" w:rsidRDefault="00B82DF4" w:rsidP="00BC4B32">
      <w:pPr>
        <w:pStyle w:val="Body"/>
        <w:ind w:left="720"/>
        <w:rPr>
          <w:i/>
          <w:iCs/>
        </w:rPr>
      </w:pPr>
      <w:r w:rsidRPr="00BC4B32">
        <w:rPr>
          <w:i/>
          <w:iCs/>
        </w:rPr>
        <w:t xml:space="preserve">[1. Strongly disagree, 2. </w:t>
      </w:r>
      <w:r w:rsidR="00B8399E" w:rsidRPr="00BC4B32">
        <w:rPr>
          <w:i/>
          <w:iCs/>
        </w:rPr>
        <w:t>Disagree</w:t>
      </w:r>
      <w:r w:rsidRPr="00BC4B32">
        <w:rPr>
          <w:i/>
          <w:iCs/>
        </w:rPr>
        <w:t xml:space="preserve">, 3. </w:t>
      </w:r>
      <w:r w:rsidR="00B8399E" w:rsidRPr="00BC4B32">
        <w:rPr>
          <w:i/>
          <w:iCs/>
        </w:rPr>
        <w:t>Neither</w:t>
      </w:r>
      <w:r w:rsidRPr="00BC4B32">
        <w:rPr>
          <w:i/>
          <w:iCs/>
        </w:rPr>
        <w:t xml:space="preserve"> agree or disagree, 4. Agree, 5. Strongly Agree]</w:t>
      </w:r>
    </w:p>
    <w:p w14:paraId="6495F6C7" w14:textId="21C17D4B" w:rsidR="00E95255" w:rsidRDefault="00B82DF4" w:rsidP="00E95255">
      <w:pPr>
        <w:pStyle w:val="Body"/>
        <w:ind w:left="720"/>
        <w:rPr>
          <w:b/>
          <w:bCs/>
        </w:rPr>
      </w:pPr>
      <w:r w:rsidRPr="00B8399E">
        <w:rPr>
          <w:b/>
          <w:bCs/>
        </w:rPr>
        <w:t>Any additional comments</w:t>
      </w:r>
      <w:r w:rsidR="00B8399E" w:rsidRPr="00B8399E">
        <w:rPr>
          <w:b/>
          <w:bCs/>
        </w:rPr>
        <w:t>?</w:t>
      </w:r>
    </w:p>
    <w:p w14:paraId="3C60EF7A" w14:textId="3A8AF571" w:rsidR="002D3EC7" w:rsidRPr="002D3EC7" w:rsidRDefault="004C67EA" w:rsidP="002E6893">
      <w:pPr>
        <w:pStyle w:val="Body"/>
        <w:numPr>
          <w:ilvl w:val="0"/>
          <w:numId w:val="14"/>
        </w:numPr>
        <w:rPr>
          <w:b/>
          <w:bCs/>
        </w:rPr>
      </w:pPr>
      <w:r>
        <w:rPr>
          <w:b/>
          <w:bCs/>
        </w:rPr>
        <w:t xml:space="preserve">Is it clear when </w:t>
      </w:r>
      <w:r w:rsidR="00F1661E">
        <w:rPr>
          <w:b/>
          <w:bCs/>
        </w:rPr>
        <w:t>a</w:t>
      </w:r>
      <w:r w:rsidR="000E62A7">
        <w:rPr>
          <w:b/>
          <w:bCs/>
        </w:rPr>
        <w:t>n exemption applies?</w:t>
      </w:r>
      <w:r w:rsidR="00F1661E">
        <w:rPr>
          <w:b/>
          <w:bCs/>
        </w:rPr>
        <w:t xml:space="preserve"> </w:t>
      </w:r>
    </w:p>
    <w:p w14:paraId="186B4DEE" w14:textId="3A4CFA42" w:rsidR="00747B48" w:rsidRPr="00747B48" w:rsidRDefault="21618717" w:rsidP="00747B48">
      <w:pPr>
        <w:pStyle w:val="Body"/>
        <w:ind w:left="720"/>
      </w:pPr>
      <w:r w:rsidRPr="00747B48">
        <w:t>If not</w:t>
      </w:r>
      <w:r w:rsidR="000E62A7">
        <w:t>, what could be improved?</w:t>
      </w:r>
    </w:p>
    <w:p w14:paraId="7397AA2D" w14:textId="36298EEB" w:rsidR="00747B48" w:rsidRDefault="00885E92" w:rsidP="00747B48">
      <w:pPr>
        <w:pStyle w:val="Body"/>
        <w:numPr>
          <w:ilvl w:val="0"/>
          <w:numId w:val="14"/>
        </w:numPr>
        <w:rPr>
          <w:b/>
          <w:bCs/>
        </w:rPr>
      </w:pPr>
      <w:r w:rsidRPr="00885E92">
        <w:rPr>
          <w:b/>
          <w:bCs/>
        </w:rPr>
        <w:t xml:space="preserve">The draft Regulations details prescribed circumstances where exemptions apply. Are there other operational scenarios, that cannot be reasonably planned for, where you feel an exemption should apply? </w:t>
      </w:r>
    </w:p>
    <w:p w14:paraId="5B424894" w14:textId="71529563" w:rsidR="00747B48" w:rsidRPr="00747B48" w:rsidRDefault="00885E92" w:rsidP="00747B48">
      <w:pPr>
        <w:pStyle w:val="Body"/>
        <w:ind w:left="720"/>
        <w:rPr>
          <w:b/>
          <w:bCs/>
        </w:rPr>
      </w:pPr>
      <w:r w:rsidRPr="00885E92">
        <w:t>Why can</w:t>
      </w:r>
      <w:r w:rsidR="00966555">
        <w:t>’t</w:t>
      </w:r>
      <w:r w:rsidRPr="00885E92">
        <w:t xml:space="preserve"> these scenarios be reasonably planned for?</w:t>
      </w:r>
    </w:p>
    <w:p w14:paraId="7ED91F81" w14:textId="6BB4100F" w:rsidR="00632978" w:rsidRDefault="00632978" w:rsidP="00632978">
      <w:pPr>
        <w:pStyle w:val="Heading2"/>
      </w:pPr>
      <w:bookmarkStart w:id="12" w:name="_Toc222845828"/>
      <w:r>
        <w:t xml:space="preserve">How your feedback will be </w:t>
      </w:r>
      <w:r w:rsidR="00956515">
        <w:t>used</w:t>
      </w:r>
      <w:bookmarkEnd w:id="12"/>
    </w:p>
    <w:p w14:paraId="4AC56C7F" w14:textId="4780A7D5" w:rsidR="002A2A09" w:rsidRDefault="00956515" w:rsidP="004B4412">
      <w:pPr>
        <w:pStyle w:val="Body"/>
        <w:rPr>
          <w:bCs/>
        </w:rPr>
      </w:pPr>
      <w:r>
        <w:rPr>
          <w:bCs/>
        </w:rPr>
        <w:t xml:space="preserve">Feedback will inform refinement of the Regulations prior </w:t>
      </w:r>
      <w:r w:rsidR="3221D1BD">
        <w:t xml:space="preserve">to </w:t>
      </w:r>
      <w:r>
        <w:rPr>
          <w:bCs/>
        </w:rPr>
        <w:t xml:space="preserve">finalisation. </w:t>
      </w:r>
    </w:p>
    <w:p w14:paraId="775CAB17" w14:textId="1992BAE8" w:rsidR="00681324" w:rsidRDefault="00681324" w:rsidP="004B4412">
      <w:pPr>
        <w:pStyle w:val="Body"/>
        <w:rPr>
          <w:bCs/>
        </w:rPr>
      </w:pPr>
      <w:r w:rsidRPr="00681324">
        <w:rPr>
          <w:bCs/>
        </w:rPr>
        <w:t xml:space="preserve">The </w:t>
      </w:r>
      <w:r>
        <w:rPr>
          <w:bCs/>
        </w:rPr>
        <w:t>d</w:t>
      </w:r>
      <w:r w:rsidRPr="00681324">
        <w:rPr>
          <w:bCs/>
        </w:rPr>
        <w:t xml:space="preserve">epartment will collect, handle and store information you provide in accordance with the </w:t>
      </w:r>
      <w:r w:rsidRPr="00681324">
        <w:rPr>
          <w:bCs/>
          <w:i/>
          <w:iCs/>
        </w:rPr>
        <w:t>Privacy and Data Protection Act 2014</w:t>
      </w:r>
      <w:r w:rsidRPr="00681324">
        <w:rPr>
          <w:bCs/>
        </w:rPr>
        <w:t xml:space="preserve"> (Vic), </w:t>
      </w:r>
      <w:r w:rsidRPr="00681324">
        <w:rPr>
          <w:bCs/>
          <w:i/>
          <w:iCs/>
        </w:rPr>
        <w:t>Public Records Act 1973</w:t>
      </w:r>
      <w:r w:rsidRPr="00681324">
        <w:rPr>
          <w:bCs/>
        </w:rPr>
        <w:t xml:space="preserve"> (Vic), </w:t>
      </w:r>
      <w:r w:rsidRPr="00681324">
        <w:rPr>
          <w:bCs/>
          <w:i/>
          <w:iCs/>
        </w:rPr>
        <w:t>Health Records Act 2001</w:t>
      </w:r>
      <w:r w:rsidRPr="00681324">
        <w:rPr>
          <w:bCs/>
        </w:rPr>
        <w:t xml:space="preserve"> (Vic), </w:t>
      </w:r>
      <w:r w:rsidRPr="00681324">
        <w:rPr>
          <w:bCs/>
          <w:i/>
          <w:iCs/>
        </w:rPr>
        <w:t>Health Services Act 1988</w:t>
      </w:r>
      <w:r w:rsidRPr="00681324">
        <w:rPr>
          <w:bCs/>
        </w:rPr>
        <w:t xml:space="preserve"> (Vic) and the </w:t>
      </w:r>
      <w:r w:rsidRPr="00681324">
        <w:rPr>
          <w:bCs/>
          <w:i/>
          <w:iCs/>
        </w:rPr>
        <w:t>Privacy Act 1988</w:t>
      </w:r>
      <w:r w:rsidRPr="00681324">
        <w:rPr>
          <w:bCs/>
        </w:rPr>
        <w:t xml:space="preserve"> (Vic). </w:t>
      </w:r>
    </w:p>
    <w:p w14:paraId="413A79CD" w14:textId="6BD17D16" w:rsidR="00956515" w:rsidRDefault="00DD7C5F" w:rsidP="004B4412">
      <w:pPr>
        <w:pStyle w:val="Body"/>
        <w:rPr>
          <w:bCs/>
        </w:rPr>
      </w:pPr>
      <w:r>
        <w:rPr>
          <w:bCs/>
        </w:rPr>
        <w:t xml:space="preserve">Please do not include </w:t>
      </w:r>
      <w:r w:rsidR="007E2869">
        <w:rPr>
          <w:bCs/>
        </w:rPr>
        <w:t xml:space="preserve">identifying health or </w:t>
      </w:r>
      <w:r w:rsidR="00C17E2C">
        <w:rPr>
          <w:bCs/>
        </w:rPr>
        <w:t xml:space="preserve">medical </w:t>
      </w:r>
      <w:r>
        <w:rPr>
          <w:bCs/>
        </w:rPr>
        <w:t xml:space="preserve">information about you or third </w:t>
      </w:r>
      <w:r w:rsidR="007E2869">
        <w:rPr>
          <w:bCs/>
        </w:rPr>
        <w:t>parties</w:t>
      </w:r>
      <w:r w:rsidR="00597C70">
        <w:rPr>
          <w:bCs/>
        </w:rPr>
        <w:t xml:space="preserve"> in your submission. For example, please do not include names </w:t>
      </w:r>
      <w:r w:rsidR="0087341D">
        <w:rPr>
          <w:bCs/>
        </w:rPr>
        <w:t xml:space="preserve">or health information </w:t>
      </w:r>
      <w:r w:rsidR="00597C70">
        <w:rPr>
          <w:bCs/>
        </w:rPr>
        <w:t>of other staff</w:t>
      </w:r>
      <w:r w:rsidR="00C17E2C">
        <w:rPr>
          <w:bCs/>
        </w:rPr>
        <w:t>, residents or their family and friends.</w:t>
      </w:r>
      <w:r w:rsidR="00956515">
        <w:rPr>
          <w:bCs/>
        </w:rPr>
        <w:t xml:space="preserve"> </w:t>
      </w:r>
    </w:p>
    <w:p w14:paraId="0F5E7FE4" w14:textId="274DDFF0" w:rsidR="00963779" w:rsidRDefault="00012634" w:rsidP="00012634">
      <w:pPr>
        <w:pStyle w:val="Heading1"/>
      </w:pPr>
      <w:bookmarkStart w:id="13" w:name="_Toc222845829"/>
      <w:r>
        <w:lastRenderedPageBreak/>
        <w:t>Next Steps</w:t>
      </w:r>
      <w:bookmarkEnd w:id="13"/>
    </w:p>
    <w:p w14:paraId="3E3F899F" w14:textId="46640135" w:rsidR="00D159C4" w:rsidRDefault="004656C0" w:rsidP="004B4412">
      <w:pPr>
        <w:pStyle w:val="Body"/>
        <w:rPr>
          <w:bCs/>
        </w:rPr>
      </w:pPr>
      <w:r>
        <w:rPr>
          <w:bCs/>
        </w:rPr>
        <w:t xml:space="preserve">Following consultation, the </w:t>
      </w:r>
      <w:r w:rsidR="00F84B7A">
        <w:t>d</w:t>
      </w:r>
      <w:r>
        <w:rPr>
          <w:bCs/>
        </w:rPr>
        <w:t xml:space="preserve">epartment will continue to refine the draft </w:t>
      </w:r>
      <w:r w:rsidR="009473A9">
        <w:rPr>
          <w:bCs/>
        </w:rPr>
        <w:t>Regulations</w:t>
      </w:r>
      <w:r>
        <w:rPr>
          <w:bCs/>
        </w:rPr>
        <w:t xml:space="preserve"> before finalising through the regulatory processes.</w:t>
      </w:r>
    </w:p>
    <w:p w14:paraId="25859999" w14:textId="74269617" w:rsidR="009473A9" w:rsidRDefault="004656C0" w:rsidP="004B4412">
      <w:pPr>
        <w:pStyle w:val="Body"/>
        <w:rPr>
          <w:bCs/>
        </w:rPr>
      </w:pPr>
      <w:r>
        <w:rPr>
          <w:bCs/>
        </w:rPr>
        <w:t>The Regulations will be shared with the sector</w:t>
      </w:r>
      <w:r w:rsidR="009473A9">
        <w:rPr>
          <w:bCs/>
        </w:rPr>
        <w:t xml:space="preserve"> prior to the reforms commencing</w:t>
      </w:r>
      <w:r w:rsidR="00EC3494">
        <w:rPr>
          <w:bCs/>
        </w:rPr>
        <w:t xml:space="preserve"> on 1 July 2026</w:t>
      </w:r>
      <w:r w:rsidR="009473A9">
        <w:rPr>
          <w:bCs/>
        </w:rPr>
        <w:t>.</w:t>
      </w:r>
    </w:p>
    <w:p w14:paraId="3BC2AADF" w14:textId="5674C8AD" w:rsidR="009473A9" w:rsidRDefault="00CE6A7E" w:rsidP="004B4412">
      <w:pPr>
        <w:pStyle w:val="Body"/>
        <w:rPr>
          <w:bCs/>
        </w:rPr>
      </w:pPr>
      <w:r>
        <w:rPr>
          <w:bCs/>
        </w:rPr>
        <w:t xml:space="preserve">For more information about the reforms to medication administration in residential aged care, visit the </w:t>
      </w:r>
      <w:hyperlink r:id="rId23" w:history="1">
        <w:r w:rsidRPr="00333261">
          <w:rPr>
            <w:rStyle w:val="Hyperlink"/>
            <w:bCs/>
          </w:rPr>
          <w:t>department’s website</w:t>
        </w:r>
      </w:hyperlink>
      <w:r>
        <w:rPr>
          <w:bCs/>
        </w:rPr>
        <w:t xml:space="preserve"> </w:t>
      </w:r>
      <w:r w:rsidR="00333261">
        <w:t>&lt;</w:t>
      </w:r>
      <w:r w:rsidR="00333261" w:rsidRPr="00333261">
        <w:t>http://www.health.vic.gov.au/drugs-and-poisons/medication-administration-in-residential-aged-care</w:t>
      </w:r>
      <w:r w:rsidR="009E37F4">
        <w:t>&gt;</w:t>
      </w:r>
      <w:r w:rsidR="0020797F">
        <w:rPr>
          <w:bCs/>
        </w:rPr>
        <w:t>.</w:t>
      </w:r>
      <w:bookmarkEnd w:id="5"/>
    </w:p>
    <w:sectPr w:rsidR="009473A9" w:rsidSect="00454A7D">
      <w:headerReference w:type="even" r:id="rId24"/>
      <w:headerReference w:type="default" r:id="rId25"/>
      <w:footerReference w:type="even" r:id="rId26"/>
      <w:footerReference w:type="default" r:id="rId27"/>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AF14" w14:textId="77777777" w:rsidR="00757CC0" w:rsidRDefault="00757CC0">
      <w:r>
        <w:separator/>
      </w:r>
    </w:p>
    <w:p w14:paraId="1AED831C" w14:textId="77777777" w:rsidR="00757CC0" w:rsidRDefault="00757CC0"/>
  </w:endnote>
  <w:endnote w:type="continuationSeparator" w:id="0">
    <w:p w14:paraId="30A45982" w14:textId="77777777" w:rsidR="00757CC0" w:rsidRDefault="00757CC0">
      <w:r>
        <w:continuationSeparator/>
      </w:r>
    </w:p>
    <w:p w14:paraId="2C0A9E61" w14:textId="77777777" w:rsidR="00757CC0" w:rsidRDefault="00757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1B17"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29422C4B" wp14:editId="6AA9F2F0">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CA4EC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422C4B"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0CA4EC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4432"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14D9DC26" wp14:editId="04DF540F">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661F3C"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D9DC26"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8661F3C"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70C3"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06A8640C" wp14:editId="0512D45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42C08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A8640C"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242C08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A0C7"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E69A982" wp14:editId="7698C32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0449E"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69A982"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0C0449E"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4C9A" w14:textId="294B6A4C" w:rsidR="00431A70" w:rsidRDefault="00EB4BC7">
    <w:pPr>
      <w:pStyle w:val="Footer"/>
    </w:pPr>
    <w:r>
      <w:rPr>
        <w:noProof/>
        <w:lang w:eastAsia="en-AU"/>
      </w:rPr>
      <mc:AlternateContent>
        <mc:Choice Requires="wps">
          <w:drawing>
            <wp:anchor distT="0" distB="0" distL="114300" distR="114300" simplePos="0" relativeHeight="251658243" behindDoc="0" locked="0" layoutInCell="0" allowOverlap="1" wp14:anchorId="2F9DEE57" wp14:editId="5CD23F1D">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E4B1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9DEE57" id="_x0000_t202" coordsize="21600,21600" o:spt="202" path="m,l,21600r21600,l21600,xe">
              <v:stroke joinstyle="miter"/>
              <v:path gradientshapeok="t" o:connecttype="rect"/>
            </v:shapetype>
            <v:shape id="MSIPCM82764d688816a9dc96a1b608" o:spid="_x0000_s1030"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7F0E4B1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CFDF" w14:textId="77777777" w:rsidR="00757CC0" w:rsidRDefault="00757CC0" w:rsidP="00207717">
      <w:pPr>
        <w:spacing w:before="120"/>
      </w:pPr>
      <w:r>
        <w:separator/>
      </w:r>
    </w:p>
  </w:footnote>
  <w:footnote w:type="continuationSeparator" w:id="0">
    <w:p w14:paraId="648C7675" w14:textId="77777777" w:rsidR="00757CC0" w:rsidRDefault="00757CC0">
      <w:r>
        <w:continuationSeparator/>
      </w:r>
    </w:p>
    <w:p w14:paraId="7BA965F4" w14:textId="77777777" w:rsidR="00757CC0" w:rsidRDefault="00757CC0"/>
  </w:footnote>
  <w:footnote w:id="1">
    <w:p w14:paraId="3999B235" w14:textId="57AEFF25" w:rsidR="00913F2B" w:rsidRPr="00913F2B" w:rsidRDefault="00913F2B">
      <w:pPr>
        <w:pStyle w:val="FootnoteText"/>
        <w:rPr>
          <w:lang w:val="en-US"/>
        </w:rPr>
      </w:pPr>
      <w:r>
        <w:rPr>
          <w:rStyle w:val="FootnoteReference"/>
        </w:rPr>
        <w:footnoteRef/>
      </w:r>
      <w:r>
        <w:t xml:space="preserve"> </w:t>
      </w:r>
      <w:r w:rsidRPr="00913F2B">
        <w:t>‘Reasonable excuse’ is a common defence featured in legislation which allows the accused to provide evidence of the reasonableness of their actions in the circumstances, to an objective standard. The prosecution must then prove to a criminal standard that their excuse is not reasonable.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9D13"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5BD6" w14:textId="50E1CE97" w:rsidR="00562811" w:rsidRPr="0020797F" w:rsidRDefault="0020797F" w:rsidP="0017674D">
    <w:pPr>
      <w:pStyle w:val="Header"/>
    </w:pPr>
    <w:r w:rsidRPr="0020797F">
      <w:t xml:space="preserve">Consultation </w:t>
    </w:r>
    <w:r w:rsidR="00D001DB">
      <w:t>Brief:</w:t>
    </w:r>
    <w:r w:rsidRPr="0020797F">
      <w:t xml:space="preserve"> </w:t>
    </w:r>
    <w:r w:rsidR="00D001DB" w:rsidRPr="00D001DB">
      <w:t>Drugs, Poisons and Controlled Substances Amendment (Medication Administration in Aged Care) Regulations 2026</w:t>
    </w:r>
    <w:r w:rsidR="00562811" w:rsidRPr="0020797F">
      <w:ptab w:relativeTo="margin" w:alignment="right" w:leader="none"/>
    </w:r>
    <w:r w:rsidR="00562811" w:rsidRPr="0020797F">
      <w:fldChar w:fldCharType="begin"/>
    </w:r>
    <w:r w:rsidR="00562811" w:rsidRPr="0020797F">
      <w:instrText xml:space="preserve"> PAGE </w:instrText>
    </w:r>
    <w:r w:rsidR="00562811" w:rsidRPr="0020797F">
      <w:fldChar w:fldCharType="separate"/>
    </w:r>
    <w:r w:rsidR="00562811" w:rsidRPr="0020797F">
      <w:t>2</w:t>
    </w:r>
    <w:r w:rsidR="00562811" w:rsidRPr="0020797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8D43DB"/>
    <w:multiLevelType w:val="multilevel"/>
    <w:tmpl w:val="B33A2DBC"/>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DC248E1"/>
    <w:multiLevelType w:val="hybridMultilevel"/>
    <w:tmpl w:val="64187F86"/>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08229E"/>
    <w:multiLevelType w:val="hybridMultilevel"/>
    <w:tmpl w:val="85047D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6C68D4"/>
    <w:multiLevelType w:val="multilevel"/>
    <w:tmpl w:val="B33A2DBC"/>
    <w:styleLink w:val="ZZNumbersloweralpha"/>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02A5C6A"/>
    <w:multiLevelType w:val="hybridMultilevel"/>
    <w:tmpl w:val="730897E6"/>
    <w:lvl w:ilvl="0" w:tplc="52225F4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6407A9"/>
    <w:multiLevelType w:val="multilevel"/>
    <w:tmpl w:val="3AF6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5945611"/>
    <w:multiLevelType w:val="hybridMultilevel"/>
    <w:tmpl w:val="41608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844B3A"/>
    <w:multiLevelType w:val="hybridMultilevel"/>
    <w:tmpl w:val="6E30A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8A3739F"/>
    <w:multiLevelType w:val="hybridMultilevel"/>
    <w:tmpl w:val="B0F667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80803555">
    <w:abstractNumId w:val="0"/>
  </w:num>
  <w:num w:numId="2" w16cid:durableId="151604062">
    <w:abstractNumId w:val="5"/>
  </w:num>
  <w:num w:numId="3" w16cid:durableId="1904370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867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2419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4554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8012232">
    <w:abstractNumId w:val="10"/>
  </w:num>
  <w:num w:numId="8" w16cid:durableId="268854081">
    <w:abstractNumId w:val="9"/>
  </w:num>
  <w:num w:numId="9" w16cid:durableId="1503622646">
    <w:abstractNumId w:val="13"/>
  </w:num>
  <w:num w:numId="10" w16cid:durableId="137654110">
    <w:abstractNumId w:val="6"/>
  </w:num>
  <w:num w:numId="11" w16cid:durableId="675309639">
    <w:abstractNumId w:val="2"/>
  </w:num>
  <w:num w:numId="12" w16cid:durableId="352920646">
    <w:abstractNumId w:val="11"/>
  </w:num>
  <w:num w:numId="13" w16cid:durableId="1246496865">
    <w:abstractNumId w:val="4"/>
  </w:num>
  <w:num w:numId="14" w16cid:durableId="151338917">
    <w:abstractNumId w:val="14"/>
  </w:num>
  <w:num w:numId="15" w16cid:durableId="1299452034">
    <w:abstractNumId w:val="8"/>
  </w:num>
  <w:num w:numId="16" w16cid:durableId="1254629489">
    <w:abstractNumId w:val="12"/>
  </w:num>
  <w:num w:numId="17" w16cid:durableId="1595018818">
    <w:abstractNumId w:val="7"/>
  </w:num>
  <w:num w:numId="18" w16cid:durableId="499007770">
    <w:abstractNumId w:val="3"/>
  </w:num>
  <w:num w:numId="19" w16cid:durableId="20282173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1A"/>
    <w:rsid w:val="00000719"/>
    <w:rsid w:val="00002D68"/>
    <w:rsid w:val="000033F7"/>
    <w:rsid w:val="00003403"/>
    <w:rsid w:val="00005347"/>
    <w:rsid w:val="000072B6"/>
    <w:rsid w:val="0001021B"/>
    <w:rsid w:val="00011B8C"/>
    <w:rsid w:val="00011D89"/>
    <w:rsid w:val="00011FB4"/>
    <w:rsid w:val="00012634"/>
    <w:rsid w:val="000154FD"/>
    <w:rsid w:val="00017459"/>
    <w:rsid w:val="00022271"/>
    <w:rsid w:val="000235E8"/>
    <w:rsid w:val="00023A4D"/>
    <w:rsid w:val="00024485"/>
    <w:rsid w:val="00024D89"/>
    <w:rsid w:val="000250B6"/>
    <w:rsid w:val="00026540"/>
    <w:rsid w:val="00030CDD"/>
    <w:rsid w:val="00033D81"/>
    <w:rsid w:val="00033DC9"/>
    <w:rsid w:val="00037366"/>
    <w:rsid w:val="00041BF0"/>
    <w:rsid w:val="00042C8A"/>
    <w:rsid w:val="0004536B"/>
    <w:rsid w:val="00046B68"/>
    <w:rsid w:val="00050F50"/>
    <w:rsid w:val="000527DD"/>
    <w:rsid w:val="00056EC4"/>
    <w:rsid w:val="000578B2"/>
    <w:rsid w:val="00060959"/>
    <w:rsid w:val="00060C8F"/>
    <w:rsid w:val="0006298A"/>
    <w:rsid w:val="00065C13"/>
    <w:rsid w:val="000663CD"/>
    <w:rsid w:val="000733FE"/>
    <w:rsid w:val="00074219"/>
    <w:rsid w:val="00074ED5"/>
    <w:rsid w:val="0008204A"/>
    <w:rsid w:val="000829BE"/>
    <w:rsid w:val="0008508E"/>
    <w:rsid w:val="00085CC1"/>
    <w:rsid w:val="000871D3"/>
    <w:rsid w:val="00087951"/>
    <w:rsid w:val="0009113B"/>
    <w:rsid w:val="00093402"/>
    <w:rsid w:val="00094DA3"/>
    <w:rsid w:val="0009594A"/>
    <w:rsid w:val="000969DE"/>
    <w:rsid w:val="00096CD1"/>
    <w:rsid w:val="000A012C"/>
    <w:rsid w:val="000A088E"/>
    <w:rsid w:val="000A0EB9"/>
    <w:rsid w:val="000A1378"/>
    <w:rsid w:val="000A186C"/>
    <w:rsid w:val="000A1EA4"/>
    <w:rsid w:val="000A2476"/>
    <w:rsid w:val="000A641A"/>
    <w:rsid w:val="000B06B5"/>
    <w:rsid w:val="000B3EDB"/>
    <w:rsid w:val="000B543D"/>
    <w:rsid w:val="000B55F9"/>
    <w:rsid w:val="000B5BF7"/>
    <w:rsid w:val="000B6BC8"/>
    <w:rsid w:val="000B6E4E"/>
    <w:rsid w:val="000C0303"/>
    <w:rsid w:val="000C42EA"/>
    <w:rsid w:val="000C4546"/>
    <w:rsid w:val="000C4F70"/>
    <w:rsid w:val="000C5DF4"/>
    <w:rsid w:val="000C6B61"/>
    <w:rsid w:val="000D1242"/>
    <w:rsid w:val="000D2ABA"/>
    <w:rsid w:val="000E0970"/>
    <w:rsid w:val="000E3CC7"/>
    <w:rsid w:val="000E62A7"/>
    <w:rsid w:val="000E6BD4"/>
    <w:rsid w:val="000E6D6D"/>
    <w:rsid w:val="000F0FC3"/>
    <w:rsid w:val="000F1F1E"/>
    <w:rsid w:val="000F2259"/>
    <w:rsid w:val="000F2DDA"/>
    <w:rsid w:val="000F2EA0"/>
    <w:rsid w:val="000F505D"/>
    <w:rsid w:val="000F5213"/>
    <w:rsid w:val="00101001"/>
    <w:rsid w:val="00102BAB"/>
    <w:rsid w:val="00103276"/>
    <w:rsid w:val="0010392D"/>
    <w:rsid w:val="0010447F"/>
    <w:rsid w:val="00104FE3"/>
    <w:rsid w:val="0010714F"/>
    <w:rsid w:val="00110421"/>
    <w:rsid w:val="001120C5"/>
    <w:rsid w:val="00116804"/>
    <w:rsid w:val="00120BD3"/>
    <w:rsid w:val="00122FEA"/>
    <w:rsid w:val="001232BD"/>
    <w:rsid w:val="001236DC"/>
    <w:rsid w:val="00124953"/>
    <w:rsid w:val="00124ED5"/>
    <w:rsid w:val="001276FA"/>
    <w:rsid w:val="00127D5F"/>
    <w:rsid w:val="00133044"/>
    <w:rsid w:val="00135526"/>
    <w:rsid w:val="00137044"/>
    <w:rsid w:val="001447B3"/>
    <w:rsid w:val="001460F7"/>
    <w:rsid w:val="00152073"/>
    <w:rsid w:val="00152329"/>
    <w:rsid w:val="00156598"/>
    <w:rsid w:val="001578D0"/>
    <w:rsid w:val="00157C8E"/>
    <w:rsid w:val="00161939"/>
    <w:rsid w:val="00161AA0"/>
    <w:rsid w:val="00161D2E"/>
    <w:rsid w:val="00161F3E"/>
    <w:rsid w:val="00162093"/>
    <w:rsid w:val="00162CA9"/>
    <w:rsid w:val="001642C8"/>
    <w:rsid w:val="00164DEB"/>
    <w:rsid w:val="00165459"/>
    <w:rsid w:val="00165A57"/>
    <w:rsid w:val="00170138"/>
    <w:rsid w:val="001712C2"/>
    <w:rsid w:val="00172BAF"/>
    <w:rsid w:val="0017674D"/>
    <w:rsid w:val="00176BA4"/>
    <w:rsid w:val="001771DD"/>
    <w:rsid w:val="0017774A"/>
    <w:rsid w:val="00177995"/>
    <w:rsid w:val="00177A8C"/>
    <w:rsid w:val="00177B80"/>
    <w:rsid w:val="00177EE2"/>
    <w:rsid w:val="0018244E"/>
    <w:rsid w:val="00183559"/>
    <w:rsid w:val="00186B33"/>
    <w:rsid w:val="00192F9D"/>
    <w:rsid w:val="00196EB8"/>
    <w:rsid w:val="00196EFB"/>
    <w:rsid w:val="001979FF"/>
    <w:rsid w:val="00197B17"/>
    <w:rsid w:val="001A1950"/>
    <w:rsid w:val="001A1C54"/>
    <w:rsid w:val="001A3ACE"/>
    <w:rsid w:val="001A4780"/>
    <w:rsid w:val="001A6272"/>
    <w:rsid w:val="001B058F"/>
    <w:rsid w:val="001B079C"/>
    <w:rsid w:val="001B6A13"/>
    <w:rsid w:val="001B6B96"/>
    <w:rsid w:val="001B738B"/>
    <w:rsid w:val="001C09DB"/>
    <w:rsid w:val="001C277E"/>
    <w:rsid w:val="001C2A72"/>
    <w:rsid w:val="001C31B7"/>
    <w:rsid w:val="001C5D42"/>
    <w:rsid w:val="001C683C"/>
    <w:rsid w:val="001D0B75"/>
    <w:rsid w:val="001D150F"/>
    <w:rsid w:val="001D39A5"/>
    <w:rsid w:val="001D3C09"/>
    <w:rsid w:val="001D44E8"/>
    <w:rsid w:val="001D60EC"/>
    <w:rsid w:val="001D6F59"/>
    <w:rsid w:val="001E44DF"/>
    <w:rsid w:val="001E68A5"/>
    <w:rsid w:val="001E6BB0"/>
    <w:rsid w:val="001E7282"/>
    <w:rsid w:val="001F3826"/>
    <w:rsid w:val="001F6E46"/>
    <w:rsid w:val="001F7C91"/>
    <w:rsid w:val="002033B7"/>
    <w:rsid w:val="0020466E"/>
    <w:rsid w:val="0020509C"/>
    <w:rsid w:val="00206463"/>
    <w:rsid w:val="00206F2F"/>
    <w:rsid w:val="00207717"/>
    <w:rsid w:val="0020797F"/>
    <w:rsid w:val="0021053D"/>
    <w:rsid w:val="00210A92"/>
    <w:rsid w:val="00212B95"/>
    <w:rsid w:val="00215CC8"/>
    <w:rsid w:val="00216C03"/>
    <w:rsid w:val="00220A1A"/>
    <w:rsid w:val="00220C04"/>
    <w:rsid w:val="0022278D"/>
    <w:rsid w:val="00225B17"/>
    <w:rsid w:val="00226B24"/>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5C09"/>
    <w:rsid w:val="00267C3E"/>
    <w:rsid w:val="002709BB"/>
    <w:rsid w:val="0027131C"/>
    <w:rsid w:val="00273081"/>
    <w:rsid w:val="00273BAC"/>
    <w:rsid w:val="002763B3"/>
    <w:rsid w:val="002802E3"/>
    <w:rsid w:val="00280652"/>
    <w:rsid w:val="0028213D"/>
    <w:rsid w:val="00283D3A"/>
    <w:rsid w:val="002862F1"/>
    <w:rsid w:val="00291373"/>
    <w:rsid w:val="0029597D"/>
    <w:rsid w:val="002962C3"/>
    <w:rsid w:val="0029752B"/>
    <w:rsid w:val="002A0A9C"/>
    <w:rsid w:val="002A2A09"/>
    <w:rsid w:val="002A483C"/>
    <w:rsid w:val="002B0C7C"/>
    <w:rsid w:val="002B1729"/>
    <w:rsid w:val="002B36C7"/>
    <w:rsid w:val="002B4DD4"/>
    <w:rsid w:val="002B5277"/>
    <w:rsid w:val="002B5375"/>
    <w:rsid w:val="002B7549"/>
    <w:rsid w:val="002B77C1"/>
    <w:rsid w:val="002C0ED7"/>
    <w:rsid w:val="002C2728"/>
    <w:rsid w:val="002C5B7C"/>
    <w:rsid w:val="002D1E0D"/>
    <w:rsid w:val="002D2AF7"/>
    <w:rsid w:val="002D3EC7"/>
    <w:rsid w:val="002D5006"/>
    <w:rsid w:val="002D7C61"/>
    <w:rsid w:val="002E01D0"/>
    <w:rsid w:val="002E161D"/>
    <w:rsid w:val="002E28A2"/>
    <w:rsid w:val="002E3100"/>
    <w:rsid w:val="002E6893"/>
    <w:rsid w:val="002E6C95"/>
    <w:rsid w:val="002E7C36"/>
    <w:rsid w:val="002F2482"/>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261"/>
    <w:rsid w:val="003333D2"/>
    <w:rsid w:val="00333A58"/>
    <w:rsid w:val="003345C7"/>
    <w:rsid w:val="00334686"/>
    <w:rsid w:val="00334D83"/>
    <w:rsid w:val="00337339"/>
    <w:rsid w:val="00340345"/>
    <w:rsid w:val="003406C6"/>
    <w:rsid w:val="003418CC"/>
    <w:rsid w:val="003434EE"/>
    <w:rsid w:val="00345252"/>
    <w:rsid w:val="003459BD"/>
    <w:rsid w:val="003462E9"/>
    <w:rsid w:val="00350D38"/>
    <w:rsid w:val="003514F4"/>
    <w:rsid w:val="00351B36"/>
    <w:rsid w:val="00351E1C"/>
    <w:rsid w:val="00357B4E"/>
    <w:rsid w:val="003636BD"/>
    <w:rsid w:val="00363B42"/>
    <w:rsid w:val="003642B9"/>
    <w:rsid w:val="0037154C"/>
    <w:rsid w:val="003716FD"/>
    <w:rsid w:val="0037204B"/>
    <w:rsid w:val="00373153"/>
    <w:rsid w:val="003744CF"/>
    <w:rsid w:val="00374717"/>
    <w:rsid w:val="0037676C"/>
    <w:rsid w:val="00380543"/>
    <w:rsid w:val="00381043"/>
    <w:rsid w:val="003829E5"/>
    <w:rsid w:val="00386109"/>
    <w:rsid w:val="00386944"/>
    <w:rsid w:val="003956CC"/>
    <w:rsid w:val="00395C9A"/>
    <w:rsid w:val="00397D13"/>
    <w:rsid w:val="003A0734"/>
    <w:rsid w:val="003A0853"/>
    <w:rsid w:val="003A5734"/>
    <w:rsid w:val="003A6B67"/>
    <w:rsid w:val="003B1073"/>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6DD"/>
    <w:rsid w:val="003D6475"/>
    <w:rsid w:val="003D6EE6"/>
    <w:rsid w:val="003E09BF"/>
    <w:rsid w:val="003E1F9B"/>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72DE"/>
    <w:rsid w:val="004115A2"/>
    <w:rsid w:val="004148F9"/>
    <w:rsid w:val="0042084E"/>
    <w:rsid w:val="00421EEF"/>
    <w:rsid w:val="00424D65"/>
    <w:rsid w:val="00430393"/>
    <w:rsid w:val="00431806"/>
    <w:rsid w:val="00431A70"/>
    <w:rsid w:val="00431F42"/>
    <w:rsid w:val="00441424"/>
    <w:rsid w:val="00441BD8"/>
    <w:rsid w:val="00442C6C"/>
    <w:rsid w:val="00443CBE"/>
    <w:rsid w:val="00443E8A"/>
    <w:rsid w:val="00443ED3"/>
    <w:rsid w:val="004441BC"/>
    <w:rsid w:val="004468B4"/>
    <w:rsid w:val="00446D86"/>
    <w:rsid w:val="0045230A"/>
    <w:rsid w:val="004536E2"/>
    <w:rsid w:val="00454A7D"/>
    <w:rsid w:val="00454AD0"/>
    <w:rsid w:val="00457337"/>
    <w:rsid w:val="004609CB"/>
    <w:rsid w:val="00462E3D"/>
    <w:rsid w:val="004656C0"/>
    <w:rsid w:val="00466B0A"/>
    <w:rsid w:val="00466E79"/>
    <w:rsid w:val="004670BC"/>
    <w:rsid w:val="00470D7D"/>
    <w:rsid w:val="0047372D"/>
    <w:rsid w:val="00473BA3"/>
    <w:rsid w:val="004743DD"/>
    <w:rsid w:val="004745D5"/>
    <w:rsid w:val="00474CEA"/>
    <w:rsid w:val="00476676"/>
    <w:rsid w:val="004805F7"/>
    <w:rsid w:val="00483968"/>
    <w:rsid w:val="0048404D"/>
    <w:rsid w:val="004841BE"/>
    <w:rsid w:val="00484F86"/>
    <w:rsid w:val="00490746"/>
    <w:rsid w:val="00490852"/>
    <w:rsid w:val="00491C9C"/>
    <w:rsid w:val="00492E3D"/>
    <w:rsid w:val="00492F30"/>
    <w:rsid w:val="004946F4"/>
    <w:rsid w:val="0049487E"/>
    <w:rsid w:val="004976D6"/>
    <w:rsid w:val="004A160D"/>
    <w:rsid w:val="004A3E81"/>
    <w:rsid w:val="004A4195"/>
    <w:rsid w:val="004A5C62"/>
    <w:rsid w:val="004A5CE5"/>
    <w:rsid w:val="004A707D"/>
    <w:rsid w:val="004B0974"/>
    <w:rsid w:val="004B12A0"/>
    <w:rsid w:val="004B293F"/>
    <w:rsid w:val="004B4185"/>
    <w:rsid w:val="004B4412"/>
    <w:rsid w:val="004C5366"/>
    <w:rsid w:val="004C5541"/>
    <w:rsid w:val="004C67EA"/>
    <w:rsid w:val="004C6EEE"/>
    <w:rsid w:val="004C702B"/>
    <w:rsid w:val="004D0033"/>
    <w:rsid w:val="004D016B"/>
    <w:rsid w:val="004D1B22"/>
    <w:rsid w:val="004D23CC"/>
    <w:rsid w:val="004D36F2"/>
    <w:rsid w:val="004E1106"/>
    <w:rsid w:val="004E138F"/>
    <w:rsid w:val="004E2F77"/>
    <w:rsid w:val="004E4649"/>
    <w:rsid w:val="004E48B8"/>
    <w:rsid w:val="004E4990"/>
    <w:rsid w:val="004E5C2B"/>
    <w:rsid w:val="004F00DD"/>
    <w:rsid w:val="004F11B0"/>
    <w:rsid w:val="004F2133"/>
    <w:rsid w:val="004F45E2"/>
    <w:rsid w:val="004F5398"/>
    <w:rsid w:val="004F55F1"/>
    <w:rsid w:val="004F6936"/>
    <w:rsid w:val="00500B38"/>
    <w:rsid w:val="0050220D"/>
    <w:rsid w:val="00503DC6"/>
    <w:rsid w:val="00504585"/>
    <w:rsid w:val="005055CA"/>
    <w:rsid w:val="00506F5D"/>
    <w:rsid w:val="00510C37"/>
    <w:rsid w:val="005126D0"/>
    <w:rsid w:val="00512789"/>
    <w:rsid w:val="00514667"/>
    <w:rsid w:val="0051568D"/>
    <w:rsid w:val="00526AC7"/>
    <w:rsid w:val="00526C15"/>
    <w:rsid w:val="00536499"/>
    <w:rsid w:val="00537B48"/>
    <w:rsid w:val="00542A03"/>
    <w:rsid w:val="00542A6B"/>
    <w:rsid w:val="00543903"/>
    <w:rsid w:val="00543BCC"/>
    <w:rsid w:val="00543F11"/>
    <w:rsid w:val="00544135"/>
    <w:rsid w:val="00546305"/>
    <w:rsid w:val="00547A95"/>
    <w:rsid w:val="0055074A"/>
    <w:rsid w:val="0055119B"/>
    <w:rsid w:val="00552E79"/>
    <w:rsid w:val="00561202"/>
    <w:rsid w:val="00562507"/>
    <w:rsid w:val="00562811"/>
    <w:rsid w:val="00567618"/>
    <w:rsid w:val="00572031"/>
    <w:rsid w:val="00572282"/>
    <w:rsid w:val="00573CE3"/>
    <w:rsid w:val="00574496"/>
    <w:rsid w:val="00576E84"/>
    <w:rsid w:val="00577BFC"/>
    <w:rsid w:val="00580394"/>
    <w:rsid w:val="005809CD"/>
    <w:rsid w:val="00582B8C"/>
    <w:rsid w:val="0058757E"/>
    <w:rsid w:val="00590619"/>
    <w:rsid w:val="00596A4B"/>
    <w:rsid w:val="00597507"/>
    <w:rsid w:val="00597C70"/>
    <w:rsid w:val="005A479D"/>
    <w:rsid w:val="005B1C6D"/>
    <w:rsid w:val="005B21B6"/>
    <w:rsid w:val="005B3A08"/>
    <w:rsid w:val="005B6FD2"/>
    <w:rsid w:val="005B7A63"/>
    <w:rsid w:val="005C00FB"/>
    <w:rsid w:val="005C0955"/>
    <w:rsid w:val="005C49DA"/>
    <w:rsid w:val="005C50F3"/>
    <w:rsid w:val="005C54B5"/>
    <w:rsid w:val="005C5D80"/>
    <w:rsid w:val="005C5D91"/>
    <w:rsid w:val="005D07B8"/>
    <w:rsid w:val="005D6597"/>
    <w:rsid w:val="005D6EDC"/>
    <w:rsid w:val="005E14E7"/>
    <w:rsid w:val="005E26A3"/>
    <w:rsid w:val="005E2B8E"/>
    <w:rsid w:val="005E2ECB"/>
    <w:rsid w:val="005E447E"/>
    <w:rsid w:val="005E4FD1"/>
    <w:rsid w:val="005E5409"/>
    <w:rsid w:val="005F0775"/>
    <w:rsid w:val="005F0CF5"/>
    <w:rsid w:val="005F21EB"/>
    <w:rsid w:val="005F22E0"/>
    <w:rsid w:val="005F2688"/>
    <w:rsid w:val="005F424B"/>
    <w:rsid w:val="005F64CF"/>
    <w:rsid w:val="00602178"/>
    <w:rsid w:val="006041AD"/>
    <w:rsid w:val="0060501D"/>
    <w:rsid w:val="00605908"/>
    <w:rsid w:val="00605F71"/>
    <w:rsid w:val="00607850"/>
    <w:rsid w:val="00607EF7"/>
    <w:rsid w:val="0061034B"/>
    <w:rsid w:val="00610D7C"/>
    <w:rsid w:val="00613414"/>
    <w:rsid w:val="00620154"/>
    <w:rsid w:val="0062408D"/>
    <w:rsid w:val="006240CC"/>
    <w:rsid w:val="00624940"/>
    <w:rsid w:val="006254F8"/>
    <w:rsid w:val="00626555"/>
    <w:rsid w:val="00627DA7"/>
    <w:rsid w:val="00630DA4"/>
    <w:rsid w:val="00631CD4"/>
    <w:rsid w:val="00632597"/>
    <w:rsid w:val="00632978"/>
    <w:rsid w:val="00632E5E"/>
    <w:rsid w:val="00634D13"/>
    <w:rsid w:val="006358B4"/>
    <w:rsid w:val="00641724"/>
    <w:rsid w:val="006419AA"/>
    <w:rsid w:val="00642113"/>
    <w:rsid w:val="006425F7"/>
    <w:rsid w:val="00642E49"/>
    <w:rsid w:val="00643418"/>
    <w:rsid w:val="00644107"/>
    <w:rsid w:val="00644B1F"/>
    <w:rsid w:val="00644B7E"/>
    <w:rsid w:val="006454E6"/>
    <w:rsid w:val="00646235"/>
    <w:rsid w:val="00646A68"/>
    <w:rsid w:val="00647A32"/>
    <w:rsid w:val="006505BD"/>
    <w:rsid w:val="006508EA"/>
    <w:rsid w:val="0065092E"/>
    <w:rsid w:val="006510CE"/>
    <w:rsid w:val="006557A7"/>
    <w:rsid w:val="00656290"/>
    <w:rsid w:val="00656BD3"/>
    <w:rsid w:val="00657A5C"/>
    <w:rsid w:val="006601C9"/>
    <w:rsid w:val="006608D8"/>
    <w:rsid w:val="006621D7"/>
    <w:rsid w:val="0066302A"/>
    <w:rsid w:val="00666B3E"/>
    <w:rsid w:val="00667770"/>
    <w:rsid w:val="00670597"/>
    <w:rsid w:val="006706D0"/>
    <w:rsid w:val="00671539"/>
    <w:rsid w:val="00671928"/>
    <w:rsid w:val="006720CC"/>
    <w:rsid w:val="00672381"/>
    <w:rsid w:val="006742CB"/>
    <w:rsid w:val="00677574"/>
    <w:rsid w:val="006812ED"/>
    <w:rsid w:val="00681324"/>
    <w:rsid w:val="00683878"/>
    <w:rsid w:val="00684380"/>
    <w:rsid w:val="0068454C"/>
    <w:rsid w:val="00685187"/>
    <w:rsid w:val="00686F3A"/>
    <w:rsid w:val="00691B62"/>
    <w:rsid w:val="00692A75"/>
    <w:rsid w:val="006933B5"/>
    <w:rsid w:val="00693D14"/>
    <w:rsid w:val="00696339"/>
    <w:rsid w:val="00696F27"/>
    <w:rsid w:val="006A18C2"/>
    <w:rsid w:val="006A31D4"/>
    <w:rsid w:val="006A3383"/>
    <w:rsid w:val="006A3B94"/>
    <w:rsid w:val="006A4CF8"/>
    <w:rsid w:val="006A6ECA"/>
    <w:rsid w:val="006B077C"/>
    <w:rsid w:val="006B379A"/>
    <w:rsid w:val="006B6803"/>
    <w:rsid w:val="006C4016"/>
    <w:rsid w:val="006C6FA8"/>
    <w:rsid w:val="006D049D"/>
    <w:rsid w:val="006D0F16"/>
    <w:rsid w:val="006D2A3F"/>
    <w:rsid w:val="006D2FBC"/>
    <w:rsid w:val="006D3A82"/>
    <w:rsid w:val="006D6612"/>
    <w:rsid w:val="006D6E34"/>
    <w:rsid w:val="006E138B"/>
    <w:rsid w:val="006E1867"/>
    <w:rsid w:val="006F0330"/>
    <w:rsid w:val="006F160F"/>
    <w:rsid w:val="006F1BFE"/>
    <w:rsid w:val="006F1FDC"/>
    <w:rsid w:val="006F49D7"/>
    <w:rsid w:val="006F5905"/>
    <w:rsid w:val="006F6B8C"/>
    <w:rsid w:val="007013EF"/>
    <w:rsid w:val="007055BD"/>
    <w:rsid w:val="00712774"/>
    <w:rsid w:val="007169FF"/>
    <w:rsid w:val="007173CA"/>
    <w:rsid w:val="007216AA"/>
    <w:rsid w:val="00721AB5"/>
    <w:rsid w:val="00721CFB"/>
    <w:rsid w:val="00721DEF"/>
    <w:rsid w:val="00724A43"/>
    <w:rsid w:val="0072565B"/>
    <w:rsid w:val="007273AC"/>
    <w:rsid w:val="00731AD4"/>
    <w:rsid w:val="00733D78"/>
    <w:rsid w:val="007346E4"/>
    <w:rsid w:val="00735564"/>
    <w:rsid w:val="00740F22"/>
    <w:rsid w:val="00741CF0"/>
    <w:rsid w:val="00741F1A"/>
    <w:rsid w:val="007447DA"/>
    <w:rsid w:val="007450F8"/>
    <w:rsid w:val="0074696E"/>
    <w:rsid w:val="00747B48"/>
    <w:rsid w:val="00750135"/>
    <w:rsid w:val="00750EC2"/>
    <w:rsid w:val="00752B28"/>
    <w:rsid w:val="007536BC"/>
    <w:rsid w:val="007541A9"/>
    <w:rsid w:val="00754E36"/>
    <w:rsid w:val="0075514D"/>
    <w:rsid w:val="00757CC0"/>
    <w:rsid w:val="00763139"/>
    <w:rsid w:val="00770F37"/>
    <w:rsid w:val="007711A0"/>
    <w:rsid w:val="00772BAC"/>
    <w:rsid w:val="00772D5E"/>
    <w:rsid w:val="0077463E"/>
    <w:rsid w:val="00774DF2"/>
    <w:rsid w:val="00776928"/>
    <w:rsid w:val="00776D56"/>
    <w:rsid w:val="00776E0F"/>
    <w:rsid w:val="007774B1"/>
    <w:rsid w:val="00777BE1"/>
    <w:rsid w:val="007815E6"/>
    <w:rsid w:val="00782222"/>
    <w:rsid w:val="007833D8"/>
    <w:rsid w:val="00784151"/>
    <w:rsid w:val="00785677"/>
    <w:rsid w:val="00786F16"/>
    <w:rsid w:val="007872C2"/>
    <w:rsid w:val="00791BD7"/>
    <w:rsid w:val="007933F7"/>
    <w:rsid w:val="00793CF8"/>
    <w:rsid w:val="00796E20"/>
    <w:rsid w:val="00797C32"/>
    <w:rsid w:val="007A079F"/>
    <w:rsid w:val="007A11E8"/>
    <w:rsid w:val="007B0914"/>
    <w:rsid w:val="007B1374"/>
    <w:rsid w:val="007B32E5"/>
    <w:rsid w:val="007B3DB9"/>
    <w:rsid w:val="007B589F"/>
    <w:rsid w:val="007B6186"/>
    <w:rsid w:val="007B6A6A"/>
    <w:rsid w:val="007B6E8F"/>
    <w:rsid w:val="007B73BC"/>
    <w:rsid w:val="007C1838"/>
    <w:rsid w:val="007C20B9"/>
    <w:rsid w:val="007C7301"/>
    <w:rsid w:val="007C7859"/>
    <w:rsid w:val="007C7F28"/>
    <w:rsid w:val="007D1466"/>
    <w:rsid w:val="007D1F5E"/>
    <w:rsid w:val="007D2BDE"/>
    <w:rsid w:val="007D2FB6"/>
    <w:rsid w:val="007D49EB"/>
    <w:rsid w:val="007D5E1C"/>
    <w:rsid w:val="007D5E94"/>
    <w:rsid w:val="007E0DE2"/>
    <w:rsid w:val="007E2869"/>
    <w:rsid w:val="007E2F74"/>
    <w:rsid w:val="007E3667"/>
    <w:rsid w:val="007E3B98"/>
    <w:rsid w:val="007E417A"/>
    <w:rsid w:val="007E548D"/>
    <w:rsid w:val="007F07CF"/>
    <w:rsid w:val="007F0C02"/>
    <w:rsid w:val="007F31B6"/>
    <w:rsid w:val="007F546C"/>
    <w:rsid w:val="007F625F"/>
    <w:rsid w:val="007F665E"/>
    <w:rsid w:val="007F695F"/>
    <w:rsid w:val="00800412"/>
    <w:rsid w:val="00801F3A"/>
    <w:rsid w:val="00803701"/>
    <w:rsid w:val="00804328"/>
    <w:rsid w:val="0080587B"/>
    <w:rsid w:val="00806468"/>
    <w:rsid w:val="008119CA"/>
    <w:rsid w:val="00812EFB"/>
    <w:rsid w:val="008130C4"/>
    <w:rsid w:val="008155F0"/>
    <w:rsid w:val="00816735"/>
    <w:rsid w:val="00820141"/>
    <w:rsid w:val="00820E0C"/>
    <w:rsid w:val="00823275"/>
    <w:rsid w:val="0082366F"/>
    <w:rsid w:val="008338A2"/>
    <w:rsid w:val="008350E6"/>
    <w:rsid w:val="008413C8"/>
    <w:rsid w:val="00841900"/>
    <w:rsid w:val="00841AA9"/>
    <w:rsid w:val="008474FE"/>
    <w:rsid w:val="00853EE4"/>
    <w:rsid w:val="00855535"/>
    <w:rsid w:val="00857C5A"/>
    <w:rsid w:val="0086255E"/>
    <w:rsid w:val="008633F0"/>
    <w:rsid w:val="00864F37"/>
    <w:rsid w:val="00866507"/>
    <w:rsid w:val="00867D9D"/>
    <w:rsid w:val="00872E0A"/>
    <w:rsid w:val="0087341D"/>
    <w:rsid w:val="00873594"/>
    <w:rsid w:val="00875285"/>
    <w:rsid w:val="00883B8E"/>
    <w:rsid w:val="008847BB"/>
    <w:rsid w:val="00884B62"/>
    <w:rsid w:val="0088529C"/>
    <w:rsid w:val="00885E92"/>
    <w:rsid w:val="00887903"/>
    <w:rsid w:val="00887B96"/>
    <w:rsid w:val="008919EE"/>
    <w:rsid w:val="0089270A"/>
    <w:rsid w:val="00893AF6"/>
    <w:rsid w:val="00894BC4"/>
    <w:rsid w:val="00896890"/>
    <w:rsid w:val="008977D1"/>
    <w:rsid w:val="008A28A8"/>
    <w:rsid w:val="008A54AC"/>
    <w:rsid w:val="008A5B32"/>
    <w:rsid w:val="008A64AB"/>
    <w:rsid w:val="008B2029"/>
    <w:rsid w:val="008B2EE4"/>
    <w:rsid w:val="008B3821"/>
    <w:rsid w:val="008B4D3D"/>
    <w:rsid w:val="008B57C7"/>
    <w:rsid w:val="008C2F92"/>
    <w:rsid w:val="008C3546"/>
    <w:rsid w:val="008C589D"/>
    <w:rsid w:val="008C6494"/>
    <w:rsid w:val="008C6D51"/>
    <w:rsid w:val="008C7425"/>
    <w:rsid w:val="008D2846"/>
    <w:rsid w:val="008D4236"/>
    <w:rsid w:val="008D462F"/>
    <w:rsid w:val="008D6DCF"/>
    <w:rsid w:val="008E087C"/>
    <w:rsid w:val="008E4376"/>
    <w:rsid w:val="008E7A0A"/>
    <w:rsid w:val="008E7B49"/>
    <w:rsid w:val="008F59F6"/>
    <w:rsid w:val="00900719"/>
    <w:rsid w:val="009017AC"/>
    <w:rsid w:val="00902A9A"/>
    <w:rsid w:val="00904A1C"/>
    <w:rsid w:val="00905030"/>
    <w:rsid w:val="0090506E"/>
    <w:rsid w:val="00906490"/>
    <w:rsid w:val="009067A6"/>
    <w:rsid w:val="009068D5"/>
    <w:rsid w:val="009111B2"/>
    <w:rsid w:val="00913F2B"/>
    <w:rsid w:val="009151F5"/>
    <w:rsid w:val="0091637E"/>
    <w:rsid w:val="00921ADA"/>
    <w:rsid w:val="00923450"/>
    <w:rsid w:val="00924557"/>
    <w:rsid w:val="00924AE1"/>
    <w:rsid w:val="00925A01"/>
    <w:rsid w:val="00926769"/>
    <w:rsid w:val="009269B1"/>
    <w:rsid w:val="0092724D"/>
    <w:rsid w:val="009272B3"/>
    <w:rsid w:val="009315BE"/>
    <w:rsid w:val="009326DD"/>
    <w:rsid w:val="0093338F"/>
    <w:rsid w:val="009365E8"/>
    <w:rsid w:val="009377C4"/>
    <w:rsid w:val="00937BD9"/>
    <w:rsid w:val="00940C3B"/>
    <w:rsid w:val="0094330F"/>
    <w:rsid w:val="0094461A"/>
    <w:rsid w:val="009473A9"/>
    <w:rsid w:val="00950E2C"/>
    <w:rsid w:val="00951D50"/>
    <w:rsid w:val="009525EB"/>
    <w:rsid w:val="0095470B"/>
    <w:rsid w:val="00954874"/>
    <w:rsid w:val="0095615A"/>
    <w:rsid w:val="00956515"/>
    <w:rsid w:val="00957091"/>
    <w:rsid w:val="00961400"/>
    <w:rsid w:val="00963646"/>
    <w:rsid w:val="00963779"/>
    <w:rsid w:val="00964DB3"/>
    <w:rsid w:val="0096632D"/>
    <w:rsid w:val="00966555"/>
    <w:rsid w:val="00966654"/>
    <w:rsid w:val="00967124"/>
    <w:rsid w:val="0097166C"/>
    <w:rsid w:val="009718C7"/>
    <w:rsid w:val="0097559F"/>
    <w:rsid w:val="009761EA"/>
    <w:rsid w:val="0097761E"/>
    <w:rsid w:val="00977884"/>
    <w:rsid w:val="00977DAF"/>
    <w:rsid w:val="00982454"/>
    <w:rsid w:val="00982CF0"/>
    <w:rsid w:val="009853E1"/>
    <w:rsid w:val="00986E6B"/>
    <w:rsid w:val="00990032"/>
    <w:rsid w:val="00990B19"/>
    <w:rsid w:val="0099153B"/>
    <w:rsid w:val="00991769"/>
    <w:rsid w:val="009918AA"/>
    <w:rsid w:val="0099232C"/>
    <w:rsid w:val="00994386"/>
    <w:rsid w:val="009A13D8"/>
    <w:rsid w:val="009A279E"/>
    <w:rsid w:val="009A3015"/>
    <w:rsid w:val="009A3490"/>
    <w:rsid w:val="009A68FB"/>
    <w:rsid w:val="009B0A6F"/>
    <w:rsid w:val="009B0A94"/>
    <w:rsid w:val="009B0C62"/>
    <w:rsid w:val="009B2AE8"/>
    <w:rsid w:val="009B4D59"/>
    <w:rsid w:val="009B5622"/>
    <w:rsid w:val="009B59E9"/>
    <w:rsid w:val="009B70AA"/>
    <w:rsid w:val="009C1C33"/>
    <w:rsid w:val="009C245E"/>
    <w:rsid w:val="009C3852"/>
    <w:rsid w:val="009C476B"/>
    <w:rsid w:val="009C5E77"/>
    <w:rsid w:val="009C7A7E"/>
    <w:rsid w:val="009D02E8"/>
    <w:rsid w:val="009D4F66"/>
    <w:rsid w:val="009D51D0"/>
    <w:rsid w:val="009D70A4"/>
    <w:rsid w:val="009D7B14"/>
    <w:rsid w:val="009E08D1"/>
    <w:rsid w:val="009E0D96"/>
    <w:rsid w:val="009E1B95"/>
    <w:rsid w:val="009E37F4"/>
    <w:rsid w:val="009E496F"/>
    <w:rsid w:val="009E4B0D"/>
    <w:rsid w:val="009E5250"/>
    <w:rsid w:val="009E7A69"/>
    <w:rsid w:val="009E7F92"/>
    <w:rsid w:val="009F02A3"/>
    <w:rsid w:val="009F2182"/>
    <w:rsid w:val="009F2F27"/>
    <w:rsid w:val="009F34AA"/>
    <w:rsid w:val="009F5DEF"/>
    <w:rsid w:val="009F6BCB"/>
    <w:rsid w:val="009F7B78"/>
    <w:rsid w:val="00A0057A"/>
    <w:rsid w:val="00A02FA1"/>
    <w:rsid w:val="00A03B9D"/>
    <w:rsid w:val="00A04CCE"/>
    <w:rsid w:val="00A07421"/>
    <w:rsid w:val="00A0776B"/>
    <w:rsid w:val="00A10FB9"/>
    <w:rsid w:val="00A11421"/>
    <w:rsid w:val="00A1389F"/>
    <w:rsid w:val="00A13B7A"/>
    <w:rsid w:val="00A157B1"/>
    <w:rsid w:val="00A22229"/>
    <w:rsid w:val="00A24442"/>
    <w:rsid w:val="00A24ADA"/>
    <w:rsid w:val="00A301CB"/>
    <w:rsid w:val="00A32577"/>
    <w:rsid w:val="00A330BB"/>
    <w:rsid w:val="00A33F26"/>
    <w:rsid w:val="00A3703D"/>
    <w:rsid w:val="00A413A1"/>
    <w:rsid w:val="00A432E4"/>
    <w:rsid w:val="00A446F5"/>
    <w:rsid w:val="00A44882"/>
    <w:rsid w:val="00A45125"/>
    <w:rsid w:val="00A45C9A"/>
    <w:rsid w:val="00A46183"/>
    <w:rsid w:val="00A54715"/>
    <w:rsid w:val="00A6061C"/>
    <w:rsid w:val="00A62D44"/>
    <w:rsid w:val="00A635AC"/>
    <w:rsid w:val="00A67263"/>
    <w:rsid w:val="00A7161C"/>
    <w:rsid w:val="00A71CE4"/>
    <w:rsid w:val="00A72575"/>
    <w:rsid w:val="00A769F2"/>
    <w:rsid w:val="00A779FD"/>
    <w:rsid w:val="00A77AA3"/>
    <w:rsid w:val="00A8236D"/>
    <w:rsid w:val="00A854EB"/>
    <w:rsid w:val="00A872E5"/>
    <w:rsid w:val="00A91406"/>
    <w:rsid w:val="00A968B8"/>
    <w:rsid w:val="00A96E65"/>
    <w:rsid w:val="00A96ECE"/>
    <w:rsid w:val="00A97C72"/>
    <w:rsid w:val="00AA2560"/>
    <w:rsid w:val="00AA2F4A"/>
    <w:rsid w:val="00AA310B"/>
    <w:rsid w:val="00AA4D96"/>
    <w:rsid w:val="00AA5BD6"/>
    <w:rsid w:val="00AA63D4"/>
    <w:rsid w:val="00AB06E8"/>
    <w:rsid w:val="00AB16A3"/>
    <w:rsid w:val="00AB1CD3"/>
    <w:rsid w:val="00AB352F"/>
    <w:rsid w:val="00AB38BD"/>
    <w:rsid w:val="00AC274B"/>
    <w:rsid w:val="00AC4764"/>
    <w:rsid w:val="00AC6D36"/>
    <w:rsid w:val="00AD03D4"/>
    <w:rsid w:val="00AD0CBA"/>
    <w:rsid w:val="00AD207B"/>
    <w:rsid w:val="00AD26E2"/>
    <w:rsid w:val="00AD784C"/>
    <w:rsid w:val="00AE126A"/>
    <w:rsid w:val="00AE1BAE"/>
    <w:rsid w:val="00AE2032"/>
    <w:rsid w:val="00AE3005"/>
    <w:rsid w:val="00AE3BD5"/>
    <w:rsid w:val="00AE59A0"/>
    <w:rsid w:val="00AE74C8"/>
    <w:rsid w:val="00AF0C57"/>
    <w:rsid w:val="00AF26F3"/>
    <w:rsid w:val="00AF5F04"/>
    <w:rsid w:val="00AF73FF"/>
    <w:rsid w:val="00B00672"/>
    <w:rsid w:val="00B01B4D"/>
    <w:rsid w:val="00B04489"/>
    <w:rsid w:val="00B05B62"/>
    <w:rsid w:val="00B06571"/>
    <w:rsid w:val="00B068BA"/>
    <w:rsid w:val="00B07217"/>
    <w:rsid w:val="00B135EF"/>
    <w:rsid w:val="00B1376F"/>
    <w:rsid w:val="00B13851"/>
    <w:rsid w:val="00B13B1C"/>
    <w:rsid w:val="00B1478B"/>
    <w:rsid w:val="00B14B5F"/>
    <w:rsid w:val="00B21F90"/>
    <w:rsid w:val="00B22291"/>
    <w:rsid w:val="00B23F9A"/>
    <w:rsid w:val="00B2417B"/>
    <w:rsid w:val="00B24E6F"/>
    <w:rsid w:val="00B26CB5"/>
    <w:rsid w:val="00B2752E"/>
    <w:rsid w:val="00B27CF0"/>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0CE"/>
    <w:rsid w:val="00B65950"/>
    <w:rsid w:val="00B65B26"/>
    <w:rsid w:val="00B66D83"/>
    <w:rsid w:val="00B672C0"/>
    <w:rsid w:val="00B676FD"/>
    <w:rsid w:val="00B678B6"/>
    <w:rsid w:val="00B75646"/>
    <w:rsid w:val="00B7629E"/>
    <w:rsid w:val="00B825C5"/>
    <w:rsid w:val="00B82DF4"/>
    <w:rsid w:val="00B8399E"/>
    <w:rsid w:val="00B87875"/>
    <w:rsid w:val="00B90729"/>
    <w:rsid w:val="00B907DA"/>
    <w:rsid w:val="00B90B09"/>
    <w:rsid w:val="00B94C5E"/>
    <w:rsid w:val="00B950BC"/>
    <w:rsid w:val="00B9714C"/>
    <w:rsid w:val="00B9799C"/>
    <w:rsid w:val="00BA26F6"/>
    <w:rsid w:val="00BA29AD"/>
    <w:rsid w:val="00BA33CF"/>
    <w:rsid w:val="00BA3F8D"/>
    <w:rsid w:val="00BA5113"/>
    <w:rsid w:val="00BB74AC"/>
    <w:rsid w:val="00BB7A10"/>
    <w:rsid w:val="00BC18BA"/>
    <w:rsid w:val="00BC4B32"/>
    <w:rsid w:val="00BC60BE"/>
    <w:rsid w:val="00BC7468"/>
    <w:rsid w:val="00BC7D4F"/>
    <w:rsid w:val="00BC7ED7"/>
    <w:rsid w:val="00BD22E4"/>
    <w:rsid w:val="00BD2850"/>
    <w:rsid w:val="00BD6B9D"/>
    <w:rsid w:val="00BE17C3"/>
    <w:rsid w:val="00BE28D2"/>
    <w:rsid w:val="00BE4A64"/>
    <w:rsid w:val="00BE5E43"/>
    <w:rsid w:val="00BF2FEB"/>
    <w:rsid w:val="00BF557D"/>
    <w:rsid w:val="00BF658D"/>
    <w:rsid w:val="00BF7F58"/>
    <w:rsid w:val="00C01381"/>
    <w:rsid w:val="00C01AB1"/>
    <w:rsid w:val="00C026A0"/>
    <w:rsid w:val="00C06137"/>
    <w:rsid w:val="00C06929"/>
    <w:rsid w:val="00C0774D"/>
    <w:rsid w:val="00C079B8"/>
    <w:rsid w:val="00C10037"/>
    <w:rsid w:val="00C115E1"/>
    <w:rsid w:val="00C123EA"/>
    <w:rsid w:val="00C12A49"/>
    <w:rsid w:val="00C133EE"/>
    <w:rsid w:val="00C13F57"/>
    <w:rsid w:val="00C149D0"/>
    <w:rsid w:val="00C17E2C"/>
    <w:rsid w:val="00C25E4C"/>
    <w:rsid w:val="00C26588"/>
    <w:rsid w:val="00C27DE9"/>
    <w:rsid w:val="00C32989"/>
    <w:rsid w:val="00C33388"/>
    <w:rsid w:val="00C35484"/>
    <w:rsid w:val="00C4173A"/>
    <w:rsid w:val="00C476D9"/>
    <w:rsid w:val="00C50DED"/>
    <w:rsid w:val="00C515ED"/>
    <w:rsid w:val="00C52217"/>
    <w:rsid w:val="00C602FF"/>
    <w:rsid w:val="00C60411"/>
    <w:rsid w:val="00C61174"/>
    <w:rsid w:val="00C6148F"/>
    <w:rsid w:val="00C621B1"/>
    <w:rsid w:val="00C62F7A"/>
    <w:rsid w:val="00C63B9C"/>
    <w:rsid w:val="00C6682F"/>
    <w:rsid w:val="00C67BF4"/>
    <w:rsid w:val="00C7275E"/>
    <w:rsid w:val="00C731AF"/>
    <w:rsid w:val="00C74C5D"/>
    <w:rsid w:val="00C772B1"/>
    <w:rsid w:val="00C85ED3"/>
    <w:rsid w:val="00C863C4"/>
    <w:rsid w:val="00C90DAB"/>
    <w:rsid w:val="00C920EA"/>
    <w:rsid w:val="00C92163"/>
    <w:rsid w:val="00C93C3E"/>
    <w:rsid w:val="00CA12E3"/>
    <w:rsid w:val="00CA1476"/>
    <w:rsid w:val="00CA392C"/>
    <w:rsid w:val="00CA62B0"/>
    <w:rsid w:val="00CA6611"/>
    <w:rsid w:val="00CA6AE6"/>
    <w:rsid w:val="00CA782F"/>
    <w:rsid w:val="00CB187B"/>
    <w:rsid w:val="00CB2835"/>
    <w:rsid w:val="00CB3285"/>
    <w:rsid w:val="00CB4500"/>
    <w:rsid w:val="00CB7F8F"/>
    <w:rsid w:val="00CC0C72"/>
    <w:rsid w:val="00CC1682"/>
    <w:rsid w:val="00CC2BFD"/>
    <w:rsid w:val="00CC3BB0"/>
    <w:rsid w:val="00CC6F40"/>
    <w:rsid w:val="00CD3476"/>
    <w:rsid w:val="00CD64DF"/>
    <w:rsid w:val="00CE225F"/>
    <w:rsid w:val="00CE5A7A"/>
    <w:rsid w:val="00CE5AFF"/>
    <w:rsid w:val="00CE6A7E"/>
    <w:rsid w:val="00CF2F50"/>
    <w:rsid w:val="00CF6198"/>
    <w:rsid w:val="00D001DB"/>
    <w:rsid w:val="00D02919"/>
    <w:rsid w:val="00D04C61"/>
    <w:rsid w:val="00D059A9"/>
    <w:rsid w:val="00D05B8D"/>
    <w:rsid w:val="00D05B9B"/>
    <w:rsid w:val="00D065A2"/>
    <w:rsid w:val="00D079AA"/>
    <w:rsid w:val="00D07F00"/>
    <w:rsid w:val="00D1130F"/>
    <w:rsid w:val="00D159C4"/>
    <w:rsid w:val="00D17B72"/>
    <w:rsid w:val="00D305E9"/>
    <w:rsid w:val="00D309FA"/>
    <w:rsid w:val="00D3185C"/>
    <w:rsid w:val="00D3205F"/>
    <w:rsid w:val="00D3318E"/>
    <w:rsid w:val="00D33E72"/>
    <w:rsid w:val="00D346F9"/>
    <w:rsid w:val="00D35BD6"/>
    <w:rsid w:val="00D361B5"/>
    <w:rsid w:val="00D411A2"/>
    <w:rsid w:val="00D4606D"/>
    <w:rsid w:val="00D46317"/>
    <w:rsid w:val="00D47E03"/>
    <w:rsid w:val="00D50B9C"/>
    <w:rsid w:val="00D513AF"/>
    <w:rsid w:val="00D52BDD"/>
    <w:rsid w:val="00D52D73"/>
    <w:rsid w:val="00D52E58"/>
    <w:rsid w:val="00D56B20"/>
    <w:rsid w:val="00D578B3"/>
    <w:rsid w:val="00D616A4"/>
    <w:rsid w:val="00D618F4"/>
    <w:rsid w:val="00D63636"/>
    <w:rsid w:val="00D64114"/>
    <w:rsid w:val="00D714CC"/>
    <w:rsid w:val="00D72C67"/>
    <w:rsid w:val="00D74B1C"/>
    <w:rsid w:val="00D75EA7"/>
    <w:rsid w:val="00D76ECC"/>
    <w:rsid w:val="00D7744E"/>
    <w:rsid w:val="00D77CF8"/>
    <w:rsid w:val="00D807E2"/>
    <w:rsid w:val="00D81ADF"/>
    <w:rsid w:val="00D81F21"/>
    <w:rsid w:val="00D827A9"/>
    <w:rsid w:val="00D864F2"/>
    <w:rsid w:val="00D90500"/>
    <w:rsid w:val="00D943F8"/>
    <w:rsid w:val="00D95470"/>
    <w:rsid w:val="00D96B55"/>
    <w:rsid w:val="00DA2619"/>
    <w:rsid w:val="00DA4239"/>
    <w:rsid w:val="00DA588C"/>
    <w:rsid w:val="00DA65DE"/>
    <w:rsid w:val="00DB0B61"/>
    <w:rsid w:val="00DB1474"/>
    <w:rsid w:val="00DB2962"/>
    <w:rsid w:val="00DB52FB"/>
    <w:rsid w:val="00DB7628"/>
    <w:rsid w:val="00DC013B"/>
    <w:rsid w:val="00DC090B"/>
    <w:rsid w:val="00DC152C"/>
    <w:rsid w:val="00DC1679"/>
    <w:rsid w:val="00DC219B"/>
    <w:rsid w:val="00DC2CF1"/>
    <w:rsid w:val="00DC2DC7"/>
    <w:rsid w:val="00DC2EA0"/>
    <w:rsid w:val="00DC39DC"/>
    <w:rsid w:val="00DC3A7C"/>
    <w:rsid w:val="00DC4FCF"/>
    <w:rsid w:val="00DC50E0"/>
    <w:rsid w:val="00DC6386"/>
    <w:rsid w:val="00DC78EB"/>
    <w:rsid w:val="00DD1130"/>
    <w:rsid w:val="00DD1951"/>
    <w:rsid w:val="00DD487D"/>
    <w:rsid w:val="00DD4E83"/>
    <w:rsid w:val="00DD6628"/>
    <w:rsid w:val="00DD6945"/>
    <w:rsid w:val="00DD7C5F"/>
    <w:rsid w:val="00DE00A2"/>
    <w:rsid w:val="00DE2D04"/>
    <w:rsid w:val="00DE3250"/>
    <w:rsid w:val="00DE4AB3"/>
    <w:rsid w:val="00DE5778"/>
    <w:rsid w:val="00DE6028"/>
    <w:rsid w:val="00DE69B3"/>
    <w:rsid w:val="00DE6C85"/>
    <w:rsid w:val="00DE78A3"/>
    <w:rsid w:val="00DF0A6E"/>
    <w:rsid w:val="00DF1A71"/>
    <w:rsid w:val="00DF2957"/>
    <w:rsid w:val="00DF33A4"/>
    <w:rsid w:val="00DF50FC"/>
    <w:rsid w:val="00DF68C7"/>
    <w:rsid w:val="00DF731A"/>
    <w:rsid w:val="00DF7C2E"/>
    <w:rsid w:val="00E020AC"/>
    <w:rsid w:val="00E06B75"/>
    <w:rsid w:val="00E11332"/>
    <w:rsid w:val="00E11352"/>
    <w:rsid w:val="00E170DC"/>
    <w:rsid w:val="00E17546"/>
    <w:rsid w:val="00E210B5"/>
    <w:rsid w:val="00E216FD"/>
    <w:rsid w:val="00E261B3"/>
    <w:rsid w:val="00E26818"/>
    <w:rsid w:val="00E26C00"/>
    <w:rsid w:val="00E27FFC"/>
    <w:rsid w:val="00E30B15"/>
    <w:rsid w:val="00E31F75"/>
    <w:rsid w:val="00E33237"/>
    <w:rsid w:val="00E34869"/>
    <w:rsid w:val="00E40181"/>
    <w:rsid w:val="00E50DD9"/>
    <w:rsid w:val="00E54950"/>
    <w:rsid w:val="00E558BF"/>
    <w:rsid w:val="00E55FB3"/>
    <w:rsid w:val="00E56A01"/>
    <w:rsid w:val="00E629A1"/>
    <w:rsid w:val="00E659F2"/>
    <w:rsid w:val="00E67277"/>
    <w:rsid w:val="00E6794C"/>
    <w:rsid w:val="00E714DD"/>
    <w:rsid w:val="00E71591"/>
    <w:rsid w:val="00E71CEB"/>
    <w:rsid w:val="00E737BB"/>
    <w:rsid w:val="00E73B6A"/>
    <w:rsid w:val="00E7474F"/>
    <w:rsid w:val="00E80DE3"/>
    <w:rsid w:val="00E816C6"/>
    <w:rsid w:val="00E81878"/>
    <w:rsid w:val="00E819BA"/>
    <w:rsid w:val="00E82C55"/>
    <w:rsid w:val="00E84B5E"/>
    <w:rsid w:val="00E870D3"/>
    <w:rsid w:val="00E8787E"/>
    <w:rsid w:val="00E9042A"/>
    <w:rsid w:val="00E92AC3"/>
    <w:rsid w:val="00E95255"/>
    <w:rsid w:val="00EA2F6A"/>
    <w:rsid w:val="00EA4355"/>
    <w:rsid w:val="00EB00E0"/>
    <w:rsid w:val="00EB05D5"/>
    <w:rsid w:val="00EB1290"/>
    <w:rsid w:val="00EB4BC7"/>
    <w:rsid w:val="00EB56B9"/>
    <w:rsid w:val="00EB644C"/>
    <w:rsid w:val="00EC059F"/>
    <w:rsid w:val="00EC127C"/>
    <w:rsid w:val="00EC1F24"/>
    <w:rsid w:val="00EC22F6"/>
    <w:rsid w:val="00EC3494"/>
    <w:rsid w:val="00EC3DB9"/>
    <w:rsid w:val="00ED2A40"/>
    <w:rsid w:val="00ED3E38"/>
    <w:rsid w:val="00ED5B9B"/>
    <w:rsid w:val="00ED68E2"/>
    <w:rsid w:val="00ED6BAD"/>
    <w:rsid w:val="00ED7447"/>
    <w:rsid w:val="00ED7762"/>
    <w:rsid w:val="00EE00D6"/>
    <w:rsid w:val="00EE11E7"/>
    <w:rsid w:val="00EE1488"/>
    <w:rsid w:val="00EE29AD"/>
    <w:rsid w:val="00EE3E24"/>
    <w:rsid w:val="00EE4D5D"/>
    <w:rsid w:val="00EE5131"/>
    <w:rsid w:val="00EE70C4"/>
    <w:rsid w:val="00EF109B"/>
    <w:rsid w:val="00EF201C"/>
    <w:rsid w:val="00EF2C72"/>
    <w:rsid w:val="00EF36AF"/>
    <w:rsid w:val="00EF59A3"/>
    <w:rsid w:val="00EF6675"/>
    <w:rsid w:val="00F0063D"/>
    <w:rsid w:val="00F00E85"/>
    <w:rsid w:val="00F00F9C"/>
    <w:rsid w:val="00F01E5F"/>
    <w:rsid w:val="00F024F3"/>
    <w:rsid w:val="00F02ABA"/>
    <w:rsid w:val="00F0437A"/>
    <w:rsid w:val="00F05134"/>
    <w:rsid w:val="00F101B8"/>
    <w:rsid w:val="00F11037"/>
    <w:rsid w:val="00F16285"/>
    <w:rsid w:val="00F1661E"/>
    <w:rsid w:val="00F16F1B"/>
    <w:rsid w:val="00F172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00A6"/>
    <w:rsid w:val="00F815B5"/>
    <w:rsid w:val="00F84B0E"/>
    <w:rsid w:val="00F84B7A"/>
    <w:rsid w:val="00F85195"/>
    <w:rsid w:val="00F868E3"/>
    <w:rsid w:val="00F938BA"/>
    <w:rsid w:val="00F95DD5"/>
    <w:rsid w:val="00F9771B"/>
    <w:rsid w:val="00F978B5"/>
    <w:rsid w:val="00F97919"/>
    <w:rsid w:val="00FA2C46"/>
    <w:rsid w:val="00FA3525"/>
    <w:rsid w:val="00FA4D42"/>
    <w:rsid w:val="00FA5A53"/>
    <w:rsid w:val="00FB1F6E"/>
    <w:rsid w:val="00FB4769"/>
    <w:rsid w:val="00FB4CDA"/>
    <w:rsid w:val="00FB4DA9"/>
    <w:rsid w:val="00FB6481"/>
    <w:rsid w:val="00FB6D36"/>
    <w:rsid w:val="00FC0539"/>
    <w:rsid w:val="00FC0965"/>
    <w:rsid w:val="00FC0F81"/>
    <w:rsid w:val="00FC252F"/>
    <w:rsid w:val="00FC395C"/>
    <w:rsid w:val="00FC5E8E"/>
    <w:rsid w:val="00FD3766"/>
    <w:rsid w:val="00FD3D05"/>
    <w:rsid w:val="00FD47C4"/>
    <w:rsid w:val="00FE2DCF"/>
    <w:rsid w:val="00FE3FA7"/>
    <w:rsid w:val="00FE4081"/>
    <w:rsid w:val="00FE46A0"/>
    <w:rsid w:val="00FF1DD9"/>
    <w:rsid w:val="00FF2A4E"/>
    <w:rsid w:val="00FF2FCE"/>
    <w:rsid w:val="00FF4F7D"/>
    <w:rsid w:val="00FF6D9D"/>
    <w:rsid w:val="00FF7620"/>
    <w:rsid w:val="00FF7DD5"/>
    <w:rsid w:val="09A52188"/>
    <w:rsid w:val="0C143EEB"/>
    <w:rsid w:val="126B64EB"/>
    <w:rsid w:val="19FCD008"/>
    <w:rsid w:val="1AF28F19"/>
    <w:rsid w:val="1B039A92"/>
    <w:rsid w:val="1EAE51E5"/>
    <w:rsid w:val="1F2B94DE"/>
    <w:rsid w:val="1F7B880F"/>
    <w:rsid w:val="21618717"/>
    <w:rsid w:val="265224CA"/>
    <w:rsid w:val="28AA81C9"/>
    <w:rsid w:val="2AC7CEE9"/>
    <w:rsid w:val="321854CE"/>
    <w:rsid w:val="3221D1BD"/>
    <w:rsid w:val="3559300A"/>
    <w:rsid w:val="36D07FFB"/>
    <w:rsid w:val="3A43CF54"/>
    <w:rsid w:val="4E8FE1F6"/>
    <w:rsid w:val="56DF61C8"/>
    <w:rsid w:val="57106A65"/>
    <w:rsid w:val="5A2781BB"/>
    <w:rsid w:val="5AF05555"/>
    <w:rsid w:val="5AFEB80C"/>
    <w:rsid w:val="673A18D7"/>
    <w:rsid w:val="746416E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96E992"/>
  <w15:docId w15:val="{93FA309D-3015-4172-9137-4564A437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8"/>
      </w:numPr>
    </w:pPr>
  </w:style>
  <w:style w:type="numbering" w:customStyle="1" w:styleId="ZZTablebullets">
    <w:name w:val="ZZ Table bullets"/>
    <w:basedOn w:val="NoList"/>
    <w:rsid w:val="00C60411"/>
    <w:pPr>
      <w:numPr>
        <w:numId w:val="8"/>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9"/>
      </w:numPr>
    </w:pPr>
  </w:style>
  <w:style w:type="paragraph" w:customStyle="1" w:styleId="Numberdigit">
    <w:name w:val="Number digit"/>
    <w:basedOn w:val="Body"/>
    <w:uiPriority w:val="2"/>
    <w:rsid w:val="00C60411"/>
    <w:pPr>
      <w:numPr>
        <w:numId w:val="2"/>
      </w:numPr>
      <w:tabs>
        <w:tab w:val="clear" w:pos="397"/>
      </w:tabs>
      <w:ind w:left="284" w:hanging="284"/>
    </w:pPr>
  </w:style>
  <w:style w:type="paragraph" w:customStyle="1" w:styleId="Numberloweralphaindent">
    <w:name w:val="Number lower alpha indent"/>
    <w:basedOn w:val="Body"/>
    <w:uiPriority w:val="3"/>
    <w:rsid w:val="00C60411"/>
    <w:pPr>
      <w:numPr>
        <w:ilvl w:val="1"/>
        <w:numId w:val="11"/>
      </w:numPr>
    </w:pPr>
  </w:style>
  <w:style w:type="paragraph" w:customStyle="1" w:styleId="Numberdigitindent">
    <w:name w:val="Number digit indent"/>
    <w:basedOn w:val="Numberloweralphaindent"/>
    <w:uiPriority w:val="3"/>
    <w:rsid w:val="00C60411"/>
    <w:pPr>
      <w:numPr>
        <w:numId w:val="2"/>
      </w:numPr>
      <w:tabs>
        <w:tab w:val="clear" w:pos="794"/>
      </w:tabs>
      <w:ind w:left="284" w:hanging="284"/>
    </w:pPr>
  </w:style>
  <w:style w:type="paragraph" w:customStyle="1" w:styleId="Numberloweralpha">
    <w:name w:val="Number lower alpha"/>
    <w:basedOn w:val="Body"/>
    <w:uiPriority w:val="3"/>
    <w:rsid w:val="00C60411"/>
    <w:pPr>
      <w:numPr>
        <w:numId w:val="11"/>
      </w:numPr>
    </w:pPr>
  </w:style>
  <w:style w:type="paragraph" w:customStyle="1" w:styleId="Numberlowerroman">
    <w:name w:val="Number lower roman"/>
    <w:basedOn w:val="Body"/>
    <w:uiPriority w:val="3"/>
    <w:rsid w:val="00C60411"/>
    <w:pPr>
      <w:numPr>
        <w:numId w:val="10"/>
      </w:numPr>
    </w:pPr>
  </w:style>
  <w:style w:type="paragraph" w:customStyle="1" w:styleId="Numberlowerromanindent">
    <w:name w:val="Number lower roman indent"/>
    <w:basedOn w:val="Body"/>
    <w:uiPriority w:val="3"/>
    <w:rsid w:val="00C60411"/>
    <w:pPr>
      <w:numPr>
        <w:ilvl w:val="1"/>
        <w:numId w:val="10"/>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ind w:left="567" w:hanging="283"/>
    </w:pPr>
  </w:style>
  <w:style w:type="numbering" w:customStyle="1" w:styleId="ZZNumberslowerroman">
    <w:name w:val="ZZ Numbers lower roman"/>
    <w:basedOn w:val="ZZQuotebullets"/>
    <w:rsid w:val="00C60411"/>
    <w:pPr>
      <w:numPr>
        <w:numId w:val="10"/>
      </w:numPr>
    </w:pPr>
  </w:style>
  <w:style w:type="numbering" w:customStyle="1" w:styleId="ZZNumbersloweralpha">
    <w:name w:val="ZZ Numbers lower alpha"/>
    <w:basedOn w:val="NoList"/>
    <w:rsid w:val="00C60411"/>
    <w:pPr>
      <w:numPr>
        <w:numId w:val="2"/>
      </w:numPr>
    </w:pPr>
  </w:style>
  <w:style w:type="paragraph" w:customStyle="1" w:styleId="Quotebullet1">
    <w:name w:val="Quote bullet 1"/>
    <w:basedOn w:val="Quotetext"/>
    <w:rsid w:val="00C60411"/>
    <w:pPr>
      <w:numPr>
        <w:numId w:val="9"/>
      </w:numPr>
    </w:pPr>
  </w:style>
  <w:style w:type="paragraph" w:customStyle="1" w:styleId="Quotebullet2">
    <w:name w:val="Quote bullet 2"/>
    <w:basedOn w:val="Quotetext"/>
    <w:rsid w:val="00C60411"/>
    <w:pPr>
      <w:numPr>
        <w:ilvl w:val="1"/>
        <w:numId w:val="9"/>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34525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Mention">
    <w:name w:val="Mention"/>
    <w:basedOn w:val="DefaultParagraphFont"/>
    <w:uiPriority w:val="99"/>
    <w:unhideWhenUsed/>
    <w:rsid w:val="00D46317"/>
    <w:rPr>
      <w:color w:val="2B579A"/>
      <w:shd w:val="clear" w:color="auto" w:fill="E1DFDD"/>
    </w:rPr>
  </w:style>
  <w:style w:type="paragraph" w:styleId="NormalWeb">
    <w:name w:val="Normal (Web)"/>
    <w:basedOn w:val="Normal"/>
    <w:uiPriority w:val="99"/>
    <w:semiHidden/>
    <w:unhideWhenUsed/>
    <w:rsid w:val="002E689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drugs-and-poisons/medication-administration-in-residential-aged-car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forms.office.com/r/M5qiZJ9y9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vic.gov.au/bills/drugs-poisons-and-controlled-substances-amendment-medication-administration-residential-aged-car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vic.gov.au/drugs-and-poisons/medication-administration-in-residential-aged-care" TargetMode="External"/><Relationship Id="rId20" Type="http://schemas.openxmlformats.org/officeDocument/2006/relationships/hyperlink" Target="mailto:Vic_AgedCare@health.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ic_AgedCare@health.vic.gov.au?subject=Medication%20administration%20regulations%20-%20consultation%20brief" TargetMode="External"/><Relationship Id="rId23" Type="http://schemas.openxmlformats.org/officeDocument/2006/relationships/hyperlink" Target="http://www.health.vic.gov.au/drugs-and-poisons/medication-administration-in-residential-aged-car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rugs-and-poisons/medication-administration-in-residential-aged-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Vic_AgedCare@health.vic.gov.au"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793FC6B8C89845AC6FB06CE79FA6EA" ma:contentTypeVersion="6" ma:contentTypeDescription="Create a new document." ma:contentTypeScope="" ma:versionID="73a10b7991d9cfe953fe1fa8e7b4a49c">
  <xsd:schema xmlns:xsd="http://www.w3.org/2001/XMLSchema" xmlns:xs="http://www.w3.org/2001/XMLSchema" xmlns:p="http://schemas.microsoft.com/office/2006/metadata/properties" xmlns:ns2="01e69c13-f614-40f1-b9da-e2c82be4f90f" xmlns:ns3="d6efdf75-1342-4c3c-8a1d-578b583cc77d" targetNamespace="http://schemas.microsoft.com/office/2006/metadata/properties" ma:root="true" ma:fieldsID="3134be882625924417f97bcea78f63f3" ns2:_="" ns3:_="">
    <xsd:import namespace="01e69c13-f614-40f1-b9da-e2c82be4f90f"/>
    <xsd:import namespace="d6efdf75-1342-4c3c-8a1d-578b583cc7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69c13-f614-40f1-b9da-e2c82be4f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df75-1342-4c3c-8a1d-578b583cc7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F4AEFD-FA83-46D7-B6F8-7A64BF344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69c13-f614-40f1-b9da-e2c82be4f90f"/>
    <ds:schemaRef ds:uri="d6efdf75-1342-4c3c-8a1d-578b583cc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Consultation Brief - Medication Administration in Aged Care</vt:lpstr>
    </vt:vector>
  </TitlesOfParts>
  <Manager/>
  <Company>Victoria State Government, Department of Health</Company>
  <LinksUpToDate>false</LinksUpToDate>
  <CharactersWithSpaces>10005</CharactersWithSpaces>
  <SharedDoc>false</SharedDoc>
  <HyperlinkBase/>
  <HLinks>
    <vt:vector size="84" baseType="variant">
      <vt:variant>
        <vt:i4>4456522</vt:i4>
      </vt:variant>
      <vt:variant>
        <vt:i4>69</vt:i4>
      </vt:variant>
      <vt:variant>
        <vt:i4>0</vt:i4>
      </vt:variant>
      <vt:variant>
        <vt:i4>5</vt:i4>
      </vt:variant>
      <vt:variant>
        <vt:lpwstr>http://www.health.vic.gov.au/drugs-and-poisons/medication-administration-in-residential-aged-care</vt:lpwstr>
      </vt:variant>
      <vt:variant>
        <vt:lpwstr/>
      </vt:variant>
      <vt:variant>
        <vt:i4>2490414</vt:i4>
      </vt:variant>
      <vt:variant>
        <vt:i4>66</vt:i4>
      </vt:variant>
      <vt:variant>
        <vt:i4>0</vt:i4>
      </vt:variant>
      <vt:variant>
        <vt:i4>5</vt:i4>
      </vt:variant>
      <vt:variant>
        <vt:lpwstr>mailto:Vic_AgedCare@health.vic.gov.au</vt:lpwstr>
      </vt:variant>
      <vt:variant>
        <vt:lpwstr/>
      </vt:variant>
      <vt:variant>
        <vt:i4>2490414</vt:i4>
      </vt:variant>
      <vt:variant>
        <vt:i4>63</vt:i4>
      </vt:variant>
      <vt:variant>
        <vt:i4>0</vt:i4>
      </vt:variant>
      <vt:variant>
        <vt:i4>5</vt:i4>
      </vt:variant>
      <vt:variant>
        <vt:lpwstr>mailto:Vic_AgedCare@health.vic.gov.au</vt:lpwstr>
      </vt:variant>
      <vt:variant>
        <vt:lpwstr/>
      </vt:variant>
      <vt:variant>
        <vt:i4>2424948</vt:i4>
      </vt:variant>
      <vt:variant>
        <vt:i4>60</vt:i4>
      </vt:variant>
      <vt:variant>
        <vt:i4>0</vt:i4>
      </vt:variant>
      <vt:variant>
        <vt:i4>5</vt:i4>
      </vt:variant>
      <vt:variant>
        <vt:lpwstr>https://www.legislation.vic.gov.au/bills/drugs-poisons-and-controlled-substances-amendment-medication-administration-residential-aged-care</vt:lpwstr>
      </vt:variant>
      <vt:variant>
        <vt:lpwstr/>
      </vt:variant>
      <vt:variant>
        <vt:i4>1376305</vt:i4>
      </vt:variant>
      <vt:variant>
        <vt:i4>53</vt:i4>
      </vt:variant>
      <vt:variant>
        <vt:i4>0</vt:i4>
      </vt:variant>
      <vt:variant>
        <vt:i4>5</vt:i4>
      </vt:variant>
      <vt:variant>
        <vt:lpwstr/>
      </vt:variant>
      <vt:variant>
        <vt:lpwstr>_Toc221109280</vt:lpwstr>
      </vt:variant>
      <vt:variant>
        <vt:i4>1703985</vt:i4>
      </vt:variant>
      <vt:variant>
        <vt:i4>47</vt:i4>
      </vt:variant>
      <vt:variant>
        <vt:i4>0</vt:i4>
      </vt:variant>
      <vt:variant>
        <vt:i4>5</vt:i4>
      </vt:variant>
      <vt:variant>
        <vt:lpwstr/>
      </vt:variant>
      <vt:variant>
        <vt:lpwstr>_Toc221109279</vt:lpwstr>
      </vt:variant>
      <vt:variant>
        <vt:i4>1703985</vt:i4>
      </vt:variant>
      <vt:variant>
        <vt:i4>41</vt:i4>
      </vt:variant>
      <vt:variant>
        <vt:i4>0</vt:i4>
      </vt:variant>
      <vt:variant>
        <vt:i4>5</vt:i4>
      </vt:variant>
      <vt:variant>
        <vt:lpwstr/>
      </vt:variant>
      <vt:variant>
        <vt:lpwstr>_Toc221109278</vt:lpwstr>
      </vt:variant>
      <vt:variant>
        <vt:i4>1703985</vt:i4>
      </vt:variant>
      <vt:variant>
        <vt:i4>35</vt:i4>
      </vt:variant>
      <vt:variant>
        <vt:i4>0</vt:i4>
      </vt:variant>
      <vt:variant>
        <vt:i4>5</vt:i4>
      </vt:variant>
      <vt:variant>
        <vt:lpwstr/>
      </vt:variant>
      <vt:variant>
        <vt:lpwstr>_Toc221109277</vt:lpwstr>
      </vt:variant>
      <vt:variant>
        <vt:i4>1703985</vt:i4>
      </vt:variant>
      <vt:variant>
        <vt:i4>29</vt:i4>
      </vt:variant>
      <vt:variant>
        <vt:i4>0</vt:i4>
      </vt:variant>
      <vt:variant>
        <vt:i4>5</vt:i4>
      </vt:variant>
      <vt:variant>
        <vt:lpwstr/>
      </vt:variant>
      <vt:variant>
        <vt:lpwstr>_Toc221109276</vt:lpwstr>
      </vt:variant>
      <vt:variant>
        <vt:i4>1703985</vt:i4>
      </vt:variant>
      <vt:variant>
        <vt:i4>23</vt:i4>
      </vt:variant>
      <vt:variant>
        <vt:i4>0</vt:i4>
      </vt:variant>
      <vt:variant>
        <vt:i4>5</vt:i4>
      </vt:variant>
      <vt:variant>
        <vt:lpwstr/>
      </vt:variant>
      <vt:variant>
        <vt:lpwstr>_Toc221109275</vt:lpwstr>
      </vt:variant>
      <vt:variant>
        <vt:i4>1703985</vt:i4>
      </vt:variant>
      <vt:variant>
        <vt:i4>17</vt:i4>
      </vt:variant>
      <vt:variant>
        <vt:i4>0</vt:i4>
      </vt:variant>
      <vt:variant>
        <vt:i4>5</vt:i4>
      </vt:variant>
      <vt:variant>
        <vt:lpwstr/>
      </vt:variant>
      <vt:variant>
        <vt:lpwstr>_Toc221109274</vt:lpwstr>
      </vt:variant>
      <vt:variant>
        <vt:i4>1703985</vt:i4>
      </vt:variant>
      <vt:variant>
        <vt:i4>11</vt:i4>
      </vt:variant>
      <vt:variant>
        <vt:i4>0</vt:i4>
      </vt:variant>
      <vt:variant>
        <vt:i4>5</vt:i4>
      </vt:variant>
      <vt:variant>
        <vt:lpwstr/>
      </vt:variant>
      <vt:variant>
        <vt:lpwstr>_Toc221109273</vt:lpwstr>
      </vt:variant>
      <vt:variant>
        <vt:i4>3604527</vt:i4>
      </vt:variant>
      <vt:variant>
        <vt:i4>6</vt:i4>
      </vt:variant>
      <vt:variant>
        <vt:i4>0</vt:i4>
      </vt:variant>
      <vt:variant>
        <vt:i4>5</vt:i4>
      </vt:variant>
      <vt:variant>
        <vt:lpwstr>https://www.health.vic.gov.au/drugs-and-poisons/medication-administration-in-residential-aged-care</vt:lpwstr>
      </vt:variant>
      <vt:variant>
        <vt:lpwstr/>
      </vt:variant>
      <vt:variant>
        <vt:i4>5374034</vt:i4>
      </vt:variant>
      <vt:variant>
        <vt:i4>3</vt:i4>
      </vt:variant>
      <vt:variant>
        <vt:i4>0</vt:i4>
      </vt:variant>
      <vt:variant>
        <vt:i4>5</vt:i4>
      </vt:variant>
      <vt:variant>
        <vt:lpwstr>mailto:Vic_AgedCare@health.vic.gov.au?subject=Medication%20administration%20regulations%20-%20consultation%20brief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Brief - Medication Administration in Aged Care</dc:title>
  <dc:subject>Drugs, Poisons and Controlled Substances Amendment (Medication Administration in Aged Care) Regulations 2026</dc:subject>
  <dc:creator>Hospital and Health Services - Aged Care, Cancer and Specialist Programs</dc:creator>
  <cp:keywords>aged care, medication administration, nursing, controlled substances</cp:keywords>
  <dc:description/>
  <cp:lastModifiedBy>Ashlee Biggs (Health)</cp:lastModifiedBy>
  <cp:revision>18</cp:revision>
  <cp:lastPrinted>2026-02-24T06:35:00Z</cp:lastPrinted>
  <dcterms:created xsi:type="dcterms:W3CDTF">2026-02-18T05:16:00Z</dcterms:created>
  <dcterms:modified xsi:type="dcterms:W3CDTF">2026-02-24T06:35:00Z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0x0101007C793FC6B8C89845AC6FB06CE79FA6EA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docLang">
    <vt:lpwstr>en</vt:lpwstr>
  </property>
</Properties>
</file>