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B049" w14:textId="77777777" w:rsidR="00056EC4" w:rsidRDefault="00E9042A" w:rsidP="00056EC4">
      <w:pPr>
        <w:pStyle w:val="Body"/>
      </w:pPr>
      <w:r>
        <w:rPr>
          <w:noProof/>
        </w:rPr>
        <w:drawing>
          <wp:anchor distT="0" distB="0" distL="114300" distR="114300" simplePos="0" relativeHeight="251658240" behindDoc="1" locked="1" layoutInCell="1" allowOverlap="0" wp14:anchorId="4D13D828" wp14:editId="0D584EF3">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AD784C" w14:paraId="5CF0C77A" w14:textId="77777777" w:rsidTr="00CB71D2">
        <w:trPr>
          <w:cantSplit/>
        </w:trPr>
        <w:tc>
          <w:tcPr>
            <w:tcW w:w="0" w:type="auto"/>
            <w:tcMar>
              <w:top w:w="0" w:type="dxa"/>
              <w:left w:w="0" w:type="dxa"/>
              <w:right w:w="0" w:type="dxa"/>
            </w:tcMar>
          </w:tcPr>
          <w:p w14:paraId="2335AB13" w14:textId="09FD9B7F" w:rsidR="00AD784C" w:rsidRPr="00431F42" w:rsidRDefault="00A42487" w:rsidP="00CC3BB0">
            <w:pPr>
              <w:pStyle w:val="Documenttitle"/>
            </w:pPr>
            <w:r w:rsidRPr="5FFA299D">
              <w:rPr>
                <w:color w:val="1F497D" w:themeColor="text2"/>
              </w:rPr>
              <w:t>Guideline for the Mental Health and Alcohol and Other Drugs Emergency Department Hubs</w:t>
            </w:r>
          </w:p>
        </w:tc>
      </w:tr>
      <w:tr w:rsidR="00AD784C" w14:paraId="48D5D608" w14:textId="77777777" w:rsidTr="00CB71D2">
        <w:trPr>
          <w:cantSplit/>
        </w:trPr>
        <w:tc>
          <w:tcPr>
            <w:tcW w:w="0" w:type="auto"/>
          </w:tcPr>
          <w:p w14:paraId="399E1D39" w14:textId="77777777" w:rsidR="00386109" w:rsidRDefault="00A42487" w:rsidP="009315BE">
            <w:pPr>
              <w:pStyle w:val="Documentsubtitle"/>
            </w:pPr>
            <w:r>
              <w:t>Victorian Department of Health</w:t>
            </w:r>
          </w:p>
          <w:p w14:paraId="1C21696A" w14:textId="653069B0" w:rsidR="00A42487" w:rsidRPr="00A1389F" w:rsidRDefault="00A42487" w:rsidP="009315BE">
            <w:pPr>
              <w:pStyle w:val="Documentsubtitle"/>
            </w:pPr>
            <w:r>
              <w:t>December 2025</w:t>
            </w:r>
          </w:p>
        </w:tc>
      </w:tr>
      <w:tr w:rsidR="00430393" w14:paraId="3FFFBB43" w14:textId="77777777" w:rsidTr="00CB71D2">
        <w:trPr>
          <w:cantSplit/>
        </w:trPr>
        <w:tc>
          <w:tcPr>
            <w:tcW w:w="0" w:type="auto"/>
          </w:tcPr>
          <w:p w14:paraId="4E80D888" w14:textId="77777777" w:rsidR="00430393" w:rsidRDefault="00A42487" w:rsidP="00430393">
            <w:pPr>
              <w:pStyle w:val="Bannermarking"/>
            </w:pPr>
            <w:fldSimple w:instr="FILLIN  &quot;Type the protective marking&quot; \d OFFICIAL \o  \* MERGEFORMAT">
              <w:r>
                <w:t>OFFICIAL</w:t>
              </w:r>
            </w:fldSimple>
          </w:p>
        </w:tc>
      </w:tr>
    </w:tbl>
    <w:p w14:paraId="50BFDBB8" w14:textId="77777777" w:rsidR="00FE4081" w:rsidRDefault="00FE4081" w:rsidP="00FE4081">
      <w:pPr>
        <w:pStyle w:val="Body"/>
      </w:pPr>
    </w:p>
    <w:p w14:paraId="6B5D0EA3"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25EADD83" w14:textId="77777777" w:rsidR="00A42487" w:rsidRDefault="00A42487" w:rsidP="00A42487">
      <w:pPr>
        <w:rPr>
          <w:bCs/>
        </w:rPr>
      </w:pPr>
    </w:p>
    <w:p w14:paraId="3E40B1FF" w14:textId="77777777" w:rsidR="00A42487" w:rsidRDefault="00A42487" w:rsidP="00A42487">
      <w:pPr>
        <w:rPr>
          <w:bCs/>
        </w:rPr>
      </w:pPr>
    </w:p>
    <w:p w14:paraId="52F96172" w14:textId="77777777" w:rsidR="00A42487" w:rsidRDefault="00A42487" w:rsidP="00A42487">
      <w:pPr>
        <w:rPr>
          <w:bCs/>
        </w:rPr>
      </w:pPr>
    </w:p>
    <w:p w14:paraId="441C3C23" w14:textId="77777777" w:rsidR="00A42487" w:rsidRDefault="00A42487" w:rsidP="00A42487">
      <w:pPr>
        <w:rPr>
          <w:bCs/>
        </w:rPr>
      </w:pPr>
    </w:p>
    <w:p w14:paraId="0A3BEFDF" w14:textId="77777777" w:rsidR="00A42487" w:rsidRDefault="00A42487" w:rsidP="00A42487">
      <w:pPr>
        <w:rPr>
          <w:bCs/>
        </w:rPr>
      </w:pPr>
    </w:p>
    <w:p w14:paraId="386DF9BB" w14:textId="77777777" w:rsidR="00A42487" w:rsidRDefault="00A42487" w:rsidP="00A42487">
      <w:pPr>
        <w:rPr>
          <w:bCs/>
        </w:rPr>
      </w:pPr>
    </w:p>
    <w:p w14:paraId="6E124BDB" w14:textId="77777777" w:rsidR="00A42487" w:rsidRDefault="00A42487" w:rsidP="00A42487">
      <w:pPr>
        <w:rPr>
          <w:bCs/>
        </w:rPr>
      </w:pPr>
    </w:p>
    <w:p w14:paraId="4EF4F0FE" w14:textId="77777777" w:rsidR="00A42487" w:rsidRDefault="00A42487" w:rsidP="00A42487">
      <w:pPr>
        <w:rPr>
          <w:bCs/>
        </w:rPr>
      </w:pPr>
    </w:p>
    <w:p w14:paraId="25CE116C" w14:textId="77777777" w:rsidR="00A42487" w:rsidRDefault="00A42487" w:rsidP="00A42487">
      <w:pPr>
        <w:rPr>
          <w:bCs/>
        </w:rPr>
      </w:pPr>
    </w:p>
    <w:p w14:paraId="6D7F2B35" w14:textId="77777777" w:rsidR="00A42487" w:rsidRDefault="00A42487" w:rsidP="00A42487">
      <w:pPr>
        <w:rPr>
          <w:bCs/>
        </w:rPr>
      </w:pPr>
    </w:p>
    <w:p w14:paraId="42A97B54" w14:textId="77777777" w:rsidR="00A42487" w:rsidRDefault="00A42487" w:rsidP="00A42487">
      <w:pPr>
        <w:rPr>
          <w:bCs/>
        </w:rPr>
      </w:pPr>
    </w:p>
    <w:p w14:paraId="7AED0EB8" w14:textId="77777777" w:rsidR="00A42487" w:rsidRDefault="00A42487" w:rsidP="00A42487">
      <w:pPr>
        <w:rPr>
          <w:bCs/>
        </w:rPr>
      </w:pPr>
    </w:p>
    <w:p w14:paraId="735A9470" w14:textId="77777777" w:rsidR="00A42487" w:rsidRDefault="00A42487" w:rsidP="00A42487">
      <w:pPr>
        <w:rPr>
          <w:bCs/>
        </w:rPr>
      </w:pPr>
    </w:p>
    <w:p w14:paraId="696D17B9" w14:textId="77777777" w:rsidR="00A42487" w:rsidRDefault="00A42487" w:rsidP="00A42487">
      <w:pPr>
        <w:rPr>
          <w:bCs/>
        </w:rPr>
      </w:pPr>
    </w:p>
    <w:p w14:paraId="7B005458" w14:textId="77777777" w:rsidR="00A42487" w:rsidRDefault="00A42487" w:rsidP="00A42487">
      <w:pPr>
        <w:rPr>
          <w:bCs/>
        </w:rPr>
      </w:pPr>
    </w:p>
    <w:p w14:paraId="521703A9" w14:textId="77777777" w:rsidR="00A42487" w:rsidRDefault="00A42487" w:rsidP="00A42487">
      <w:pPr>
        <w:rPr>
          <w:bCs/>
        </w:rPr>
      </w:pPr>
    </w:p>
    <w:p w14:paraId="53D301F9" w14:textId="77777777" w:rsidR="00A42487" w:rsidRDefault="00A42487" w:rsidP="00A42487">
      <w:pPr>
        <w:rPr>
          <w:bCs/>
        </w:rPr>
      </w:pPr>
    </w:p>
    <w:p w14:paraId="46EA954A" w14:textId="77777777" w:rsidR="00A42487" w:rsidRDefault="00A42487" w:rsidP="00A42487">
      <w:pPr>
        <w:rPr>
          <w:bCs/>
        </w:rPr>
      </w:pPr>
    </w:p>
    <w:p w14:paraId="08D8E153" w14:textId="77777777" w:rsidR="00A42487" w:rsidRDefault="00A42487" w:rsidP="00A42487">
      <w:pPr>
        <w:rPr>
          <w:bCs/>
        </w:rPr>
      </w:pPr>
    </w:p>
    <w:p w14:paraId="1CE43D6A" w14:textId="77777777" w:rsidR="00A42487" w:rsidRDefault="00A42487" w:rsidP="00A42487">
      <w:pPr>
        <w:rPr>
          <w:bCs/>
        </w:rPr>
      </w:pPr>
    </w:p>
    <w:p w14:paraId="67DB3C1B" w14:textId="77777777" w:rsidR="00A42487" w:rsidRDefault="00A42487" w:rsidP="00A42487">
      <w:pPr>
        <w:rPr>
          <w:bCs/>
        </w:rPr>
      </w:pPr>
    </w:p>
    <w:p w14:paraId="1EE865A2" w14:textId="77777777" w:rsidR="00A42487" w:rsidRDefault="00A42487" w:rsidP="00A42487">
      <w:pPr>
        <w:rPr>
          <w:bCs/>
        </w:rPr>
      </w:pPr>
    </w:p>
    <w:p w14:paraId="33C999CD" w14:textId="77777777" w:rsidR="00A42487" w:rsidRDefault="00A42487" w:rsidP="00A42487">
      <w:pPr>
        <w:rPr>
          <w:bCs/>
        </w:rPr>
      </w:pPr>
    </w:p>
    <w:p w14:paraId="74FD8698" w14:textId="77777777" w:rsidR="00A42487" w:rsidRDefault="00A42487" w:rsidP="00A42487">
      <w:pPr>
        <w:rPr>
          <w:bCs/>
        </w:rPr>
      </w:pPr>
    </w:p>
    <w:p w14:paraId="3D216370" w14:textId="77777777" w:rsidR="00A42487" w:rsidRPr="00930634" w:rsidRDefault="00A42487" w:rsidP="00A42487">
      <w:pPr>
        <w:rPr>
          <w:sz w:val="28"/>
          <w:szCs w:val="28"/>
        </w:rPr>
      </w:pPr>
      <w:r w:rsidRPr="00930634">
        <w:rPr>
          <w:sz w:val="28"/>
          <w:szCs w:val="28"/>
        </w:rPr>
        <w:t>To receive this document in another format, email Service System Design, Mental Health and Wellbeing Division, Department of Health &lt;mhwsystemdesign@health.vic.gov.au&gt;.</w:t>
      </w:r>
    </w:p>
    <w:p w14:paraId="44F0A105" w14:textId="77777777" w:rsidR="00A42487" w:rsidRPr="00B412A0" w:rsidRDefault="00A42487" w:rsidP="00A42487">
      <w:pPr>
        <w:rPr>
          <w:bCs/>
        </w:rPr>
      </w:pPr>
      <w:r w:rsidRPr="00B412A0">
        <w:rPr>
          <w:bCs/>
        </w:rPr>
        <w:t>Authorised and published by the Victorian Government, 1 Treasury Place, Melbourne.</w:t>
      </w:r>
    </w:p>
    <w:p w14:paraId="5E5E14C8" w14:textId="51409987" w:rsidR="00A42487" w:rsidRPr="00B412A0" w:rsidRDefault="00A42487" w:rsidP="00A42487">
      <w:pPr>
        <w:rPr>
          <w:bCs/>
        </w:rPr>
      </w:pPr>
      <w:r w:rsidRPr="00B412A0">
        <w:rPr>
          <w:bCs/>
        </w:rPr>
        <w:t>© State of Victoria, Australia, Department of Health,</w:t>
      </w:r>
      <w:r>
        <w:rPr>
          <w:bCs/>
        </w:rPr>
        <w:t xml:space="preserve"> </w:t>
      </w:r>
      <w:r w:rsidR="0058422F">
        <w:rPr>
          <w:bCs/>
        </w:rPr>
        <w:t>December 2025.</w:t>
      </w:r>
    </w:p>
    <w:p w14:paraId="5A501FEF" w14:textId="0D96AF5A" w:rsidR="00A42487" w:rsidRPr="00B412A0" w:rsidRDefault="00A42487" w:rsidP="00A42487">
      <w:pPr>
        <w:rPr>
          <w:bCs/>
        </w:rPr>
      </w:pPr>
      <w:r w:rsidRPr="00B412A0">
        <w:rPr>
          <w:bCs/>
        </w:rPr>
        <w:t>Except where otherwise indicated, the images in this document show models and</w:t>
      </w:r>
      <w:r>
        <w:rPr>
          <w:bCs/>
        </w:rPr>
        <w:t xml:space="preserve"> </w:t>
      </w:r>
      <w:r w:rsidRPr="00B412A0">
        <w:rPr>
          <w:bCs/>
        </w:rPr>
        <w:t xml:space="preserve">illustrative settings only, and do not necessarily depict actual services, </w:t>
      </w:r>
      <w:r w:rsidR="00873118" w:rsidRPr="00B412A0">
        <w:rPr>
          <w:bCs/>
        </w:rPr>
        <w:t>facilities,</w:t>
      </w:r>
      <w:r>
        <w:rPr>
          <w:bCs/>
        </w:rPr>
        <w:t xml:space="preserve"> </w:t>
      </w:r>
      <w:r w:rsidRPr="00B412A0">
        <w:rPr>
          <w:bCs/>
        </w:rPr>
        <w:t>or recipients of services.</w:t>
      </w:r>
    </w:p>
    <w:p w14:paraId="4EE60783" w14:textId="7555E885" w:rsidR="00A42487" w:rsidRPr="00B412A0" w:rsidRDefault="457166F2" w:rsidP="395FB55F">
      <w:pPr>
        <w:rPr>
          <w:b/>
          <w:bCs/>
          <w:highlight w:val="yellow"/>
        </w:rPr>
      </w:pPr>
      <w:r w:rsidRPr="395FB55F">
        <w:rPr>
          <w:rFonts w:eastAsia="Arial" w:cs="Arial"/>
          <w:color w:val="000000" w:themeColor="text1"/>
          <w:sz w:val="22"/>
          <w:szCs w:val="22"/>
        </w:rPr>
        <w:t>978-1-76131-947-1</w:t>
      </w:r>
      <w:r w:rsidR="00A42487">
        <w:t xml:space="preserve"> </w:t>
      </w:r>
      <w:r w:rsidR="20092516" w:rsidRPr="395FB55F">
        <w:rPr>
          <w:b/>
          <w:bCs/>
        </w:rPr>
        <w:t>(pdf/online/MS word)</w:t>
      </w:r>
    </w:p>
    <w:p w14:paraId="69BB17CF" w14:textId="77777777" w:rsidR="00A42487" w:rsidRDefault="00A42487" w:rsidP="00A42487">
      <w:r w:rsidRPr="00B412A0">
        <w:rPr>
          <w:bCs/>
        </w:rPr>
        <w:t>Available at the Department of Health website &lt;</w:t>
      </w:r>
      <w:r w:rsidRPr="00EF264C">
        <w:rPr>
          <w:bCs/>
        </w:rPr>
        <w:t>https://www.health.vic.gov.au/publications/policies-and-guidelines</w:t>
      </w:r>
      <w:r w:rsidRPr="00B412A0">
        <w:rPr>
          <w:bCs/>
        </w:rPr>
        <w:t>&gt;.</w:t>
      </w:r>
      <w:r>
        <w:rPr>
          <w:bCs/>
        </w:rPr>
        <w:br w:type="page"/>
      </w:r>
    </w:p>
    <w:tbl>
      <w:tblPr>
        <w:tblW w:w="10348" w:type="dxa"/>
        <w:tblLook w:val="04A0" w:firstRow="1" w:lastRow="0" w:firstColumn="1" w:lastColumn="0" w:noHBand="0" w:noVBand="1"/>
      </w:tblPr>
      <w:tblGrid>
        <w:gridCol w:w="10348"/>
      </w:tblGrid>
      <w:tr w:rsidR="00A42487" w14:paraId="07608CB4" w14:textId="77777777" w:rsidTr="00CB71D2">
        <w:tc>
          <w:tcPr>
            <w:tcW w:w="10348" w:type="dxa"/>
          </w:tcPr>
          <w:p w14:paraId="498D5DA1" w14:textId="77777777" w:rsidR="00A42487" w:rsidRPr="003566FD" w:rsidRDefault="00A42487" w:rsidP="008F776E">
            <w:pPr>
              <w:pStyle w:val="Heading1"/>
            </w:pPr>
            <w:bookmarkStart w:id="0" w:name="_Toc215655948"/>
            <w:r>
              <w:lastRenderedPageBreak/>
              <w:t>Contents</w:t>
            </w:r>
            <w:bookmarkEnd w:id="0"/>
          </w:p>
          <w:p w14:paraId="43333A6D" w14:textId="70C55BFB" w:rsidR="004F0DEF" w:rsidRDefault="00A42487">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215655948" w:history="1">
              <w:r w:rsidR="004F0DEF" w:rsidRPr="00A0768D">
                <w:rPr>
                  <w:rStyle w:val="Hyperlink"/>
                </w:rPr>
                <w:t>Contents</w:t>
              </w:r>
              <w:r w:rsidR="004F0DEF">
                <w:rPr>
                  <w:webHidden/>
                </w:rPr>
                <w:tab/>
              </w:r>
              <w:r w:rsidR="004F0DEF">
                <w:rPr>
                  <w:webHidden/>
                </w:rPr>
                <w:fldChar w:fldCharType="begin"/>
              </w:r>
              <w:r w:rsidR="004F0DEF">
                <w:rPr>
                  <w:webHidden/>
                </w:rPr>
                <w:instrText xml:space="preserve"> PAGEREF _Toc215655948 \h </w:instrText>
              </w:r>
              <w:r w:rsidR="004F0DEF">
                <w:rPr>
                  <w:webHidden/>
                </w:rPr>
              </w:r>
              <w:r w:rsidR="004F0DEF">
                <w:rPr>
                  <w:webHidden/>
                </w:rPr>
                <w:fldChar w:fldCharType="separate"/>
              </w:r>
              <w:r w:rsidR="004F0DEF">
                <w:rPr>
                  <w:webHidden/>
                </w:rPr>
                <w:t>3</w:t>
              </w:r>
              <w:r w:rsidR="004F0DEF">
                <w:rPr>
                  <w:webHidden/>
                </w:rPr>
                <w:fldChar w:fldCharType="end"/>
              </w:r>
            </w:hyperlink>
          </w:p>
          <w:p w14:paraId="1F5532C1" w14:textId="2496DC36" w:rsidR="004F0DEF" w:rsidRDefault="004F0DEF">
            <w:pPr>
              <w:pStyle w:val="TOC1"/>
              <w:rPr>
                <w:rFonts w:asciiTheme="minorHAnsi" w:eastAsiaTheme="minorEastAsia" w:hAnsiTheme="minorHAnsi" w:cstheme="minorBidi"/>
                <w:b w:val="0"/>
                <w:kern w:val="2"/>
                <w:sz w:val="24"/>
                <w:szCs w:val="24"/>
                <w:lang w:eastAsia="en-AU"/>
                <w14:ligatures w14:val="standardContextual"/>
              </w:rPr>
            </w:pPr>
            <w:hyperlink w:anchor="_Toc215655949" w:history="1">
              <w:r w:rsidRPr="00A0768D">
                <w:rPr>
                  <w:rStyle w:val="Hyperlink"/>
                </w:rPr>
                <w:t>Glossary of terms</w:t>
              </w:r>
              <w:r>
                <w:rPr>
                  <w:webHidden/>
                </w:rPr>
                <w:tab/>
              </w:r>
              <w:r>
                <w:rPr>
                  <w:webHidden/>
                </w:rPr>
                <w:fldChar w:fldCharType="begin"/>
              </w:r>
              <w:r>
                <w:rPr>
                  <w:webHidden/>
                </w:rPr>
                <w:instrText xml:space="preserve"> PAGEREF _Toc215655949 \h </w:instrText>
              </w:r>
              <w:r>
                <w:rPr>
                  <w:webHidden/>
                </w:rPr>
              </w:r>
              <w:r>
                <w:rPr>
                  <w:webHidden/>
                </w:rPr>
                <w:fldChar w:fldCharType="separate"/>
              </w:r>
              <w:r>
                <w:rPr>
                  <w:webHidden/>
                </w:rPr>
                <w:t>5</w:t>
              </w:r>
              <w:r>
                <w:rPr>
                  <w:webHidden/>
                </w:rPr>
                <w:fldChar w:fldCharType="end"/>
              </w:r>
            </w:hyperlink>
          </w:p>
          <w:p w14:paraId="2288D0B6" w14:textId="4C05872F" w:rsidR="004F0DEF" w:rsidRDefault="004F0DEF">
            <w:pPr>
              <w:pStyle w:val="TOC1"/>
              <w:rPr>
                <w:rFonts w:asciiTheme="minorHAnsi" w:eastAsiaTheme="minorEastAsia" w:hAnsiTheme="minorHAnsi" w:cstheme="minorBidi"/>
                <w:b w:val="0"/>
                <w:kern w:val="2"/>
                <w:sz w:val="24"/>
                <w:szCs w:val="24"/>
                <w:lang w:eastAsia="en-AU"/>
                <w14:ligatures w14:val="standardContextual"/>
              </w:rPr>
            </w:pPr>
            <w:hyperlink w:anchor="_Toc215655950" w:history="1">
              <w:r w:rsidRPr="00A0768D">
                <w:rPr>
                  <w:rStyle w:val="Hyperlink"/>
                </w:rPr>
                <w:t>1. Purpose of this document</w:t>
              </w:r>
              <w:r>
                <w:rPr>
                  <w:webHidden/>
                </w:rPr>
                <w:tab/>
              </w:r>
              <w:r>
                <w:rPr>
                  <w:webHidden/>
                </w:rPr>
                <w:fldChar w:fldCharType="begin"/>
              </w:r>
              <w:r>
                <w:rPr>
                  <w:webHidden/>
                </w:rPr>
                <w:instrText xml:space="preserve"> PAGEREF _Toc215655950 \h </w:instrText>
              </w:r>
              <w:r>
                <w:rPr>
                  <w:webHidden/>
                </w:rPr>
              </w:r>
              <w:r>
                <w:rPr>
                  <w:webHidden/>
                </w:rPr>
                <w:fldChar w:fldCharType="separate"/>
              </w:r>
              <w:r>
                <w:rPr>
                  <w:webHidden/>
                </w:rPr>
                <w:t>7</w:t>
              </w:r>
              <w:r>
                <w:rPr>
                  <w:webHidden/>
                </w:rPr>
                <w:fldChar w:fldCharType="end"/>
              </w:r>
            </w:hyperlink>
          </w:p>
          <w:p w14:paraId="75BB8B3D" w14:textId="65184099" w:rsidR="004F0DEF" w:rsidRDefault="004F0DEF">
            <w:pPr>
              <w:pStyle w:val="TOC1"/>
              <w:rPr>
                <w:rFonts w:asciiTheme="minorHAnsi" w:eastAsiaTheme="minorEastAsia" w:hAnsiTheme="minorHAnsi" w:cstheme="minorBidi"/>
                <w:b w:val="0"/>
                <w:kern w:val="2"/>
                <w:sz w:val="24"/>
                <w:szCs w:val="24"/>
                <w:lang w:eastAsia="en-AU"/>
                <w14:ligatures w14:val="standardContextual"/>
              </w:rPr>
            </w:pPr>
            <w:hyperlink w:anchor="_Toc215655951" w:history="1">
              <w:r w:rsidRPr="00A0768D">
                <w:rPr>
                  <w:rStyle w:val="Hyperlink"/>
                </w:rPr>
                <w:t>2. Background</w:t>
              </w:r>
              <w:r>
                <w:rPr>
                  <w:webHidden/>
                </w:rPr>
                <w:tab/>
              </w:r>
              <w:r>
                <w:rPr>
                  <w:webHidden/>
                </w:rPr>
                <w:fldChar w:fldCharType="begin"/>
              </w:r>
              <w:r>
                <w:rPr>
                  <w:webHidden/>
                </w:rPr>
                <w:instrText xml:space="preserve"> PAGEREF _Toc215655951 \h </w:instrText>
              </w:r>
              <w:r>
                <w:rPr>
                  <w:webHidden/>
                </w:rPr>
              </w:r>
              <w:r>
                <w:rPr>
                  <w:webHidden/>
                </w:rPr>
                <w:fldChar w:fldCharType="separate"/>
              </w:r>
              <w:r>
                <w:rPr>
                  <w:webHidden/>
                </w:rPr>
                <w:t>7</w:t>
              </w:r>
              <w:r>
                <w:rPr>
                  <w:webHidden/>
                </w:rPr>
                <w:fldChar w:fldCharType="end"/>
              </w:r>
            </w:hyperlink>
          </w:p>
          <w:p w14:paraId="36D99B0C" w14:textId="50B0CC38"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52" w:history="1">
              <w:r w:rsidRPr="00A0768D">
                <w:rPr>
                  <w:rStyle w:val="Hyperlink"/>
                </w:rPr>
                <w:t>2.1 Local approach</w:t>
              </w:r>
              <w:r>
                <w:rPr>
                  <w:webHidden/>
                </w:rPr>
                <w:tab/>
              </w:r>
              <w:r>
                <w:rPr>
                  <w:webHidden/>
                </w:rPr>
                <w:fldChar w:fldCharType="begin"/>
              </w:r>
              <w:r>
                <w:rPr>
                  <w:webHidden/>
                </w:rPr>
                <w:instrText xml:space="preserve"> PAGEREF _Toc215655952 \h </w:instrText>
              </w:r>
              <w:r>
                <w:rPr>
                  <w:webHidden/>
                </w:rPr>
              </w:r>
              <w:r>
                <w:rPr>
                  <w:webHidden/>
                </w:rPr>
                <w:fldChar w:fldCharType="separate"/>
              </w:r>
              <w:r>
                <w:rPr>
                  <w:webHidden/>
                </w:rPr>
                <w:t>8</w:t>
              </w:r>
              <w:r>
                <w:rPr>
                  <w:webHidden/>
                </w:rPr>
                <w:fldChar w:fldCharType="end"/>
              </w:r>
            </w:hyperlink>
          </w:p>
          <w:p w14:paraId="551DE6D0" w14:textId="32486242"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53" w:history="1">
              <w:r w:rsidRPr="00A0768D">
                <w:rPr>
                  <w:rStyle w:val="Hyperlink"/>
                </w:rPr>
                <w:t>2.2 Co-design</w:t>
              </w:r>
              <w:r>
                <w:rPr>
                  <w:webHidden/>
                </w:rPr>
                <w:tab/>
              </w:r>
              <w:r>
                <w:rPr>
                  <w:webHidden/>
                </w:rPr>
                <w:fldChar w:fldCharType="begin"/>
              </w:r>
              <w:r>
                <w:rPr>
                  <w:webHidden/>
                </w:rPr>
                <w:instrText xml:space="preserve"> PAGEREF _Toc215655953 \h </w:instrText>
              </w:r>
              <w:r>
                <w:rPr>
                  <w:webHidden/>
                </w:rPr>
              </w:r>
              <w:r>
                <w:rPr>
                  <w:webHidden/>
                </w:rPr>
                <w:fldChar w:fldCharType="separate"/>
              </w:r>
              <w:r>
                <w:rPr>
                  <w:webHidden/>
                </w:rPr>
                <w:t>8</w:t>
              </w:r>
              <w:r>
                <w:rPr>
                  <w:webHidden/>
                </w:rPr>
                <w:fldChar w:fldCharType="end"/>
              </w:r>
            </w:hyperlink>
          </w:p>
          <w:p w14:paraId="772C9007" w14:textId="5BDF7C45"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54" w:history="1">
              <w:r w:rsidRPr="00A0768D">
                <w:rPr>
                  <w:rStyle w:val="Hyperlink"/>
                </w:rPr>
                <w:t>2.3 The guideline review period</w:t>
              </w:r>
              <w:r>
                <w:rPr>
                  <w:webHidden/>
                </w:rPr>
                <w:tab/>
              </w:r>
              <w:r>
                <w:rPr>
                  <w:webHidden/>
                </w:rPr>
                <w:fldChar w:fldCharType="begin"/>
              </w:r>
              <w:r>
                <w:rPr>
                  <w:webHidden/>
                </w:rPr>
                <w:instrText xml:space="preserve"> PAGEREF _Toc215655954 \h </w:instrText>
              </w:r>
              <w:r>
                <w:rPr>
                  <w:webHidden/>
                </w:rPr>
              </w:r>
              <w:r>
                <w:rPr>
                  <w:webHidden/>
                </w:rPr>
                <w:fldChar w:fldCharType="separate"/>
              </w:r>
              <w:r>
                <w:rPr>
                  <w:webHidden/>
                </w:rPr>
                <w:t>8</w:t>
              </w:r>
              <w:r>
                <w:rPr>
                  <w:webHidden/>
                </w:rPr>
                <w:fldChar w:fldCharType="end"/>
              </w:r>
            </w:hyperlink>
          </w:p>
          <w:p w14:paraId="039E4DEA" w14:textId="0910DE56" w:rsidR="004F0DEF" w:rsidRDefault="004F0DEF">
            <w:pPr>
              <w:pStyle w:val="TOC1"/>
              <w:rPr>
                <w:rFonts w:asciiTheme="minorHAnsi" w:eastAsiaTheme="minorEastAsia" w:hAnsiTheme="minorHAnsi" w:cstheme="minorBidi"/>
                <w:b w:val="0"/>
                <w:kern w:val="2"/>
                <w:sz w:val="24"/>
                <w:szCs w:val="24"/>
                <w:lang w:eastAsia="en-AU"/>
                <w14:ligatures w14:val="standardContextual"/>
              </w:rPr>
            </w:pPr>
            <w:hyperlink w:anchor="_Toc215655955" w:history="1">
              <w:r w:rsidRPr="00A0768D">
                <w:rPr>
                  <w:rStyle w:val="Hyperlink"/>
                </w:rPr>
                <w:t>3. Service elements</w:t>
              </w:r>
              <w:r>
                <w:rPr>
                  <w:webHidden/>
                </w:rPr>
                <w:tab/>
              </w:r>
              <w:r>
                <w:rPr>
                  <w:webHidden/>
                </w:rPr>
                <w:fldChar w:fldCharType="begin"/>
              </w:r>
              <w:r>
                <w:rPr>
                  <w:webHidden/>
                </w:rPr>
                <w:instrText xml:space="preserve"> PAGEREF _Toc215655955 \h </w:instrText>
              </w:r>
              <w:r>
                <w:rPr>
                  <w:webHidden/>
                </w:rPr>
              </w:r>
              <w:r>
                <w:rPr>
                  <w:webHidden/>
                </w:rPr>
                <w:fldChar w:fldCharType="separate"/>
              </w:r>
              <w:r>
                <w:rPr>
                  <w:webHidden/>
                </w:rPr>
                <w:t>9</w:t>
              </w:r>
              <w:r>
                <w:rPr>
                  <w:webHidden/>
                </w:rPr>
                <w:fldChar w:fldCharType="end"/>
              </w:r>
            </w:hyperlink>
          </w:p>
          <w:p w14:paraId="6B1FB6BD" w14:textId="73BF71CE"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56" w:history="1">
              <w:r w:rsidRPr="00A0768D">
                <w:rPr>
                  <w:rStyle w:val="Hyperlink"/>
                </w:rPr>
                <w:t>3.1 Service objectives</w:t>
              </w:r>
              <w:r>
                <w:rPr>
                  <w:webHidden/>
                </w:rPr>
                <w:tab/>
              </w:r>
              <w:r>
                <w:rPr>
                  <w:webHidden/>
                </w:rPr>
                <w:fldChar w:fldCharType="begin"/>
              </w:r>
              <w:r>
                <w:rPr>
                  <w:webHidden/>
                </w:rPr>
                <w:instrText xml:space="preserve"> PAGEREF _Toc215655956 \h </w:instrText>
              </w:r>
              <w:r>
                <w:rPr>
                  <w:webHidden/>
                </w:rPr>
              </w:r>
              <w:r>
                <w:rPr>
                  <w:webHidden/>
                </w:rPr>
                <w:fldChar w:fldCharType="separate"/>
              </w:r>
              <w:r>
                <w:rPr>
                  <w:webHidden/>
                </w:rPr>
                <w:t>9</w:t>
              </w:r>
              <w:r>
                <w:rPr>
                  <w:webHidden/>
                </w:rPr>
                <w:fldChar w:fldCharType="end"/>
              </w:r>
            </w:hyperlink>
          </w:p>
          <w:p w14:paraId="3AB25B5C" w14:textId="0431093F"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57" w:history="1">
              <w:r w:rsidRPr="00A0768D">
                <w:rPr>
                  <w:rStyle w:val="Hyperlink"/>
                </w:rPr>
                <w:t>3.2 Service principles and requirements</w:t>
              </w:r>
              <w:r>
                <w:rPr>
                  <w:webHidden/>
                </w:rPr>
                <w:tab/>
              </w:r>
              <w:r>
                <w:rPr>
                  <w:webHidden/>
                </w:rPr>
                <w:fldChar w:fldCharType="begin"/>
              </w:r>
              <w:r>
                <w:rPr>
                  <w:webHidden/>
                </w:rPr>
                <w:instrText xml:space="preserve"> PAGEREF _Toc215655957 \h </w:instrText>
              </w:r>
              <w:r>
                <w:rPr>
                  <w:webHidden/>
                </w:rPr>
              </w:r>
              <w:r>
                <w:rPr>
                  <w:webHidden/>
                </w:rPr>
                <w:fldChar w:fldCharType="separate"/>
              </w:r>
              <w:r>
                <w:rPr>
                  <w:webHidden/>
                </w:rPr>
                <w:t>10</w:t>
              </w:r>
              <w:r>
                <w:rPr>
                  <w:webHidden/>
                </w:rPr>
                <w:fldChar w:fldCharType="end"/>
              </w:r>
            </w:hyperlink>
          </w:p>
          <w:p w14:paraId="6767A512" w14:textId="6F19182C" w:rsidR="004F0DEF" w:rsidRDefault="004F0DEF">
            <w:pPr>
              <w:pStyle w:val="TOC3"/>
              <w:rPr>
                <w:rFonts w:asciiTheme="minorHAnsi" w:eastAsiaTheme="minorEastAsia" w:hAnsiTheme="minorHAnsi" w:cstheme="minorBidi"/>
                <w:noProof/>
                <w:kern w:val="2"/>
                <w:sz w:val="24"/>
                <w:szCs w:val="24"/>
                <w:lang w:eastAsia="en-AU"/>
                <w14:ligatures w14:val="standardContextual"/>
              </w:rPr>
            </w:pPr>
            <w:hyperlink w:anchor="_Toc215655958" w:history="1">
              <w:r w:rsidRPr="00A0768D">
                <w:rPr>
                  <w:rStyle w:val="Hyperlink"/>
                  <w:noProof/>
                </w:rPr>
                <w:t>Service principles</w:t>
              </w:r>
              <w:r>
                <w:rPr>
                  <w:noProof/>
                  <w:webHidden/>
                </w:rPr>
                <w:tab/>
              </w:r>
              <w:r>
                <w:rPr>
                  <w:noProof/>
                  <w:webHidden/>
                </w:rPr>
                <w:fldChar w:fldCharType="begin"/>
              </w:r>
              <w:r>
                <w:rPr>
                  <w:noProof/>
                  <w:webHidden/>
                </w:rPr>
                <w:instrText xml:space="preserve"> PAGEREF _Toc215655958 \h </w:instrText>
              </w:r>
              <w:r>
                <w:rPr>
                  <w:noProof/>
                  <w:webHidden/>
                </w:rPr>
              </w:r>
              <w:r>
                <w:rPr>
                  <w:noProof/>
                  <w:webHidden/>
                </w:rPr>
                <w:fldChar w:fldCharType="separate"/>
              </w:r>
              <w:r>
                <w:rPr>
                  <w:noProof/>
                  <w:webHidden/>
                </w:rPr>
                <w:t>10</w:t>
              </w:r>
              <w:r>
                <w:rPr>
                  <w:noProof/>
                  <w:webHidden/>
                </w:rPr>
                <w:fldChar w:fldCharType="end"/>
              </w:r>
            </w:hyperlink>
          </w:p>
          <w:p w14:paraId="0E349CC7" w14:textId="017C06A4" w:rsidR="004F0DEF" w:rsidRDefault="004F0DEF">
            <w:pPr>
              <w:pStyle w:val="TOC3"/>
              <w:rPr>
                <w:rFonts w:asciiTheme="minorHAnsi" w:eastAsiaTheme="minorEastAsia" w:hAnsiTheme="minorHAnsi" w:cstheme="minorBidi"/>
                <w:noProof/>
                <w:kern w:val="2"/>
                <w:sz w:val="24"/>
                <w:szCs w:val="24"/>
                <w:lang w:eastAsia="en-AU"/>
                <w14:ligatures w14:val="standardContextual"/>
              </w:rPr>
            </w:pPr>
            <w:hyperlink w:anchor="_Toc215655959" w:history="1">
              <w:r w:rsidRPr="00A0768D">
                <w:rPr>
                  <w:rStyle w:val="Hyperlink"/>
                  <w:noProof/>
                </w:rPr>
                <w:t>Service requirements</w:t>
              </w:r>
              <w:r>
                <w:rPr>
                  <w:noProof/>
                  <w:webHidden/>
                </w:rPr>
                <w:tab/>
              </w:r>
              <w:r>
                <w:rPr>
                  <w:noProof/>
                  <w:webHidden/>
                </w:rPr>
                <w:fldChar w:fldCharType="begin"/>
              </w:r>
              <w:r>
                <w:rPr>
                  <w:noProof/>
                  <w:webHidden/>
                </w:rPr>
                <w:instrText xml:space="preserve"> PAGEREF _Toc215655959 \h </w:instrText>
              </w:r>
              <w:r>
                <w:rPr>
                  <w:noProof/>
                  <w:webHidden/>
                </w:rPr>
              </w:r>
              <w:r>
                <w:rPr>
                  <w:noProof/>
                  <w:webHidden/>
                </w:rPr>
                <w:fldChar w:fldCharType="separate"/>
              </w:r>
              <w:r>
                <w:rPr>
                  <w:noProof/>
                  <w:webHidden/>
                </w:rPr>
                <w:t>10</w:t>
              </w:r>
              <w:r>
                <w:rPr>
                  <w:noProof/>
                  <w:webHidden/>
                </w:rPr>
                <w:fldChar w:fldCharType="end"/>
              </w:r>
            </w:hyperlink>
          </w:p>
          <w:p w14:paraId="136F2DBA" w14:textId="3625FDEC"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60" w:history="1">
              <w:r w:rsidRPr="00A0768D">
                <w:rPr>
                  <w:rStyle w:val="Hyperlink"/>
                </w:rPr>
                <w:t>3.3 Target group</w:t>
              </w:r>
              <w:r>
                <w:rPr>
                  <w:webHidden/>
                </w:rPr>
                <w:tab/>
              </w:r>
              <w:r>
                <w:rPr>
                  <w:webHidden/>
                </w:rPr>
                <w:fldChar w:fldCharType="begin"/>
              </w:r>
              <w:r>
                <w:rPr>
                  <w:webHidden/>
                </w:rPr>
                <w:instrText xml:space="preserve"> PAGEREF _Toc215655960 \h </w:instrText>
              </w:r>
              <w:r>
                <w:rPr>
                  <w:webHidden/>
                </w:rPr>
              </w:r>
              <w:r>
                <w:rPr>
                  <w:webHidden/>
                </w:rPr>
                <w:fldChar w:fldCharType="separate"/>
              </w:r>
              <w:r>
                <w:rPr>
                  <w:webHidden/>
                </w:rPr>
                <w:t>11</w:t>
              </w:r>
              <w:r>
                <w:rPr>
                  <w:webHidden/>
                </w:rPr>
                <w:fldChar w:fldCharType="end"/>
              </w:r>
            </w:hyperlink>
          </w:p>
          <w:p w14:paraId="2B39EB39" w14:textId="753E36AD"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61" w:history="1">
              <w:r w:rsidRPr="00A0768D">
                <w:rPr>
                  <w:rStyle w:val="Hyperlink"/>
                </w:rPr>
                <w:t>3.4 Guideline components</w:t>
              </w:r>
              <w:r>
                <w:rPr>
                  <w:webHidden/>
                </w:rPr>
                <w:tab/>
              </w:r>
              <w:r>
                <w:rPr>
                  <w:webHidden/>
                </w:rPr>
                <w:fldChar w:fldCharType="begin"/>
              </w:r>
              <w:r>
                <w:rPr>
                  <w:webHidden/>
                </w:rPr>
                <w:instrText xml:space="preserve"> PAGEREF _Toc215655961 \h </w:instrText>
              </w:r>
              <w:r>
                <w:rPr>
                  <w:webHidden/>
                </w:rPr>
              </w:r>
              <w:r>
                <w:rPr>
                  <w:webHidden/>
                </w:rPr>
                <w:fldChar w:fldCharType="separate"/>
              </w:r>
              <w:r>
                <w:rPr>
                  <w:webHidden/>
                </w:rPr>
                <w:t>12</w:t>
              </w:r>
              <w:r>
                <w:rPr>
                  <w:webHidden/>
                </w:rPr>
                <w:fldChar w:fldCharType="end"/>
              </w:r>
            </w:hyperlink>
          </w:p>
          <w:p w14:paraId="6801BB74" w14:textId="066A7436" w:rsidR="004F0DEF" w:rsidRDefault="004F0DEF">
            <w:pPr>
              <w:pStyle w:val="TOC1"/>
              <w:rPr>
                <w:rFonts w:asciiTheme="minorHAnsi" w:eastAsiaTheme="minorEastAsia" w:hAnsiTheme="minorHAnsi" w:cstheme="minorBidi"/>
                <w:b w:val="0"/>
                <w:kern w:val="2"/>
                <w:sz w:val="24"/>
                <w:szCs w:val="24"/>
                <w:lang w:eastAsia="en-AU"/>
                <w14:ligatures w14:val="standardContextual"/>
              </w:rPr>
            </w:pPr>
            <w:hyperlink w:anchor="_Toc215655962" w:history="1">
              <w:r w:rsidRPr="00A0768D">
                <w:rPr>
                  <w:rStyle w:val="Hyperlink"/>
                </w:rPr>
                <w:t>4. Governance</w:t>
              </w:r>
              <w:r>
                <w:rPr>
                  <w:webHidden/>
                </w:rPr>
                <w:tab/>
              </w:r>
              <w:r>
                <w:rPr>
                  <w:webHidden/>
                </w:rPr>
                <w:fldChar w:fldCharType="begin"/>
              </w:r>
              <w:r>
                <w:rPr>
                  <w:webHidden/>
                </w:rPr>
                <w:instrText xml:space="preserve"> PAGEREF _Toc215655962 \h </w:instrText>
              </w:r>
              <w:r>
                <w:rPr>
                  <w:webHidden/>
                </w:rPr>
              </w:r>
              <w:r>
                <w:rPr>
                  <w:webHidden/>
                </w:rPr>
                <w:fldChar w:fldCharType="separate"/>
              </w:r>
              <w:r>
                <w:rPr>
                  <w:webHidden/>
                </w:rPr>
                <w:t>12</w:t>
              </w:r>
              <w:r>
                <w:rPr>
                  <w:webHidden/>
                </w:rPr>
                <w:fldChar w:fldCharType="end"/>
              </w:r>
            </w:hyperlink>
          </w:p>
          <w:p w14:paraId="25813180" w14:textId="37D35C8B"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63" w:history="1">
              <w:r w:rsidRPr="00A0768D">
                <w:rPr>
                  <w:rStyle w:val="Hyperlink"/>
                </w:rPr>
                <w:t>4.1 Governance committee</w:t>
              </w:r>
              <w:r>
                <w:rPr>
                  <w:webHidden/>
                </w:rPr>
                <w:tab/>
              </w:r>
              <w:r>
                <w:rPr>
                  <w:webHidden/>
                </w:rPr>
                <w:fldChar w:fldCharType="begin"/>
              </w:r>
              <w:r>
                <w:rPr>
                  <w:webHidden/>
                </w:rPr>
                <w:instrText xml:space="preserve"> PAGEREF _Toc215655963 \h </w:instrText>
              </w:r>
              <w:r>
                <w:rPr>
                  <w:webHidden/>
                </w:rPr>
              </w:r>
              <w:r>
                <w:rPr>
                  <w:webHidden/>
                </w:rPr>
                <w:fldChar w:fldCharType="separate"/>
              </w:r>
              <w:r>
                <w:rPr>
                  <w:webHidden/>
                </w:rPr>
                <w:t>13</w:t>
              </w:r>
              <w:r>
                <w:rPr>
                  <w:webHidden/>
                </w:rPr>
                <w:fldChar w:fldCharType="end"/>
              </w:r>
            </w:hyperlink>
          </w:p>
          <w:p w14:paraId="6854C59A" w14:textId="78543A92"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64" w:history="1">
              <w:r w:rsidRPr="00A0768D">
                <w:rPr>
                  <w:rStyle w:val="Hyperlink"/>
                </w:rPr>
                <w:t>4.2 Roles and responsibilities</w:t>
              </w:r>
              <w:r>
                <w:rPr>
                  <w:webHidden/>
                </w:rPr>
                <w:tab/>
              </w:r>
              <w:r>
                <w:rPr>
                  <w:webHidden/>
                </w:rPr>
                <w:fldChar w:fldCharType="begin"/>
              </w:r>
              <w:r>
                <w:rPr>
                  <w:webHidden/>
                </w:rPr>
                <w:instrText xml:space="preserve"> PAGEREF _Toc215655964 \h </w:instrText>
              </w:r>
              <w:r>
                <w:rPr>
                  <w:webHidden/>
                </w:rPr>
              </w:r>
              <w:r>
                <w:rPr>
                  <w:webHidden/>
                </w:rPr>
                <w:fldChar w:fldCharType="separate"/>
              </w:r>
              <w:r>
                <w:rPr>
                  <w:webHidden/>
                </w:rPr>
                <w:t>13</w:t>
              </w:r>
              <w:r>
                <w:rPr>
                  <w:webHidden/>
                </w:rPr>
                <w:fldChar w:fldCharType="end"/>
              </w:r>
            </w:hyperlink>
          </w:p>
          <w:p w14:paraId="172D9770" w14:textId="0F2D508A" w:rsidR="004F0DEF" w:rsidRDefault="004F0DEF">
            <w:pPr>
              <w:pStyle w:val="TOC1"/>
              <w:rPr>
                <w:rFonts w:asciiTheme="minorHAnsi" w:eastAsiaTheme="minorEastAsia" w:hAnsiTheme="minorHAnsi" w:cstheme="minorBidi"/>
                <w:b w:val="0"/>
                <w:kern w:val="2"/>
                <w:sz w:val="24"/>
                <w:szCs w:val="24"/>
                <w:lang w:eastAsia="en-AU"/>
                <w14:ligatures w14:val="standardContextual"/>
              </w:rPr>
            </w:pPr>
            <w:hyperlink w:anchor="_Toc215655965" w:history="1">
              <w:r w:rsidRPr="00A0768D">
                <w:rPr>
                  <w:rStyle w:val="Hyperlink"/>
                </w:rPr>
                <w:t>5. Consumer journey</w:t>
              </w:r>
              <w:r>
                <w:rPr>
                  <w:webHidden/>
                </w:rPr>
                <w:tab/>
              </w:r>
              <w:r>
                <w:rPr>
                  <w:webHidden/>
                </w:rPr>
                <w:fldChar w:fldCharType="begin"/>
              </w:r>
              <w:r>
                <w:rPr>
                  <w:webHidden/>
                </w:rPr>
                <w:instrText xml:space="preserve"> PAGEREF _Toc215655965 \h </w:instrText>
              </w:r>
              <w:r>
                <w:rPr>
                  <w:webHidden/>
                </w:rPr>
              </w:r>
              <w:r>
                <w:rPr>
                  <w:webHidden/>
                </w:rPr>
                <w:fldChar w:fldCharType="separate"/>
              </w:r>
              <w:r>
                <w:rPr>
                  <w:webHidden/>
                </w:rPr>
                <w:t>14</w:t>
              </w:r>
              <w:r>
                <w:rPr>
                  <w:webHidden/>
                </w:rPr>
                <w:fldChar w:fldCharType="end"/>
              </w:r>
            </w:hyperlink>
          </w:p>
          <w:p w14:paraId="4B176C25" w14:textId="77F82EBB"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66" w:history="1">
              <w:r w:rsidRPr="00A0768D">
                <w:rPr>
                  <w:rStyle w:val="Hyperlink"/>
                </w:rPr>
                <w:t>5.1 Initial presentation and triage</w:t>
              </w:r>
              <w:r>
                <w:rPr>
                  <w:webHidden/>
                </w:rPr>
                <w:tab/>
              </w:r>
              <w:r>
                <w:rPr>
                  <w:webHidden/>
                </w:rPr>
                <w:fldChar w:fldCharType="begin"/>
              </w:r>
              <w:r>
                <w:rPr>
                  <w:webHidden/>
                </w:rPr>
                <w:instrText xml:space="preserve"> PAGEREF _Toc215655966 \h </w:instrText>
              </w:r>
              <w:r>
                <w:rPr>
                  <w:webHidden/>
                </w:rPr>
              </w:r>
              <w:r>
                <w:rPr>
                  <w:webHidden/>
                </w:rPr>
                <w:fldChar w:fldCharType="separate"/>
              </w:r>
              <w:r>
                <w:rPr>
                  <w:webHidden/>
                </w:rPr>
                <w:t>15</w:t>
              </w:r>
              <w:r>
                <w:rPr>
                  <w:webHidden/>
                </w:rPr>
                <w:fldChar w:fldCharType="end"/>
              </w:r>
            </w:hyperlink>
          </w:p>
          <w:p w14:paraId="5C9C93B8" w14:textId="4C5F0BAB"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67" w:history="1">
              <w:r w:rsidRPr="00A0768D">
                <w:rPr>
                  <w:rStyle w:val="Hyperlink"/>
                  <w:rFonts w:eastAsiaTheme="minorHAnsi"/>
                </w:rPr>
                <w:t>5.2 Entry to a Hub</w:t>
              </w:r>
              <w:r>
                <w:rPr>
                  <w:webHidden/>
                </w:rPr>
                <w:tab/>
              </w:r>
              <w:r>
                <w:rPr>
                  <w:webHidden/>
                </w:rPr>
                <w:fldChar w:fldCharType="begin"/>
              </w:r>
              <w:r>
                <w:rPr>
                  <w:webHidden/>
                </w:rPr>
                <w:instrText xml:space="preserve"> PAGEREF _Toc215655967 \h </w:instrText>
              </w:r>
              <w:r>
                <w:rPr>
                  <w:webHidden/>
                </w:rPr>
              </w:r>
              <w:r>
                <w:rPr>
                  <w:webHidden/>
                </w:rPr>
                <w:fldChar w:fldCharType="separate"/>
              </w:r>
              <w:r>
                <w:rPr>
                  <w:webHidden/>
                </w:rPr>
                <w:t>15</w:t>
              </w:r>
              <w:r>
                <w:rPr>
                  <w:webHidden/>
                </w:rPr>
                <w:fldChar w:fldCharType="end"/>
              </w:r>
            </w:hyperlink>
          </w:p>
          <w:p w14:paraId="7DDBD03C" w14:textId="046A6C58"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68" w:history="1">
              <w:r w:rsidRPr="00A0768D">
                <w:rPr>
                  <w:rStyle w:val="Hyperlink"/>
                </w:rPr>
                <w:t>5.3 Multidisciplinary integrated treatment, care and support</w:t>
              </w:r>
              <w:r>
                <w:rPr>
                  <w:webHidden/>
                </w:rPr>
                <w:tab/>
              </w:r>
              <w:r>
                <w:rPr>
                  <w:webHidden/>
                </w:rPr>
                <w:fldChar w:fldCharType="begin"/>
              </w:r>
              <w:r>
                <w:rPr>
                  <w:webHidden/>
                </w:rPr>
                <w:instrText xml:space="preserve"> PAGEREF _Toc215655968 \h </w:instrText>
              </w:r>
              <w:r>
                <w:rPr>
                  <w:webHidden/>
                </w:rPr>
              </w:r>
              <w:r>
                <w:rPr>
                  <w:webHidden/>
                </w:rPr>
                <w:fldChar w:fldCharType="separate"/>
              </w:r>
              <w:r>
                <w:rPr>
                  <w:webHidden/>
                </w:rPr>
                <w:t>15</w:t>
              </w:r>
              <w:r>
                <w:rPr>
                  <w:webHidden/>
                </w:rPr>
                <w:fldChar w:fldCharType="end"/>
              </w:r>
            </w:hyperlink>
          </w:p>
          <w:p w14:paraId="74D07831" w14:textId="6AC6CFF6" w:rsidR="004F0DEF" w:rsidRDefault="004F0DEF">
            <w:pPr>
              <w:pStyle w:val="TOC3"/>
              <w:rPr>
                <w:rFonts w:asciiTheme="minorHAnsi" w:eastAsiaTheme="minorEastAsia" w:hAnsiTheme="minorHAnsi" w:cstheme="minorBidi"/>
                <w:noProof/>
                <w:kern w:val="2"/>
                <w:sz w:val="24"/>
                <w:szCs w:val="24"/>
                <w:lang w:eastAsia="en-AU"/>
                <w14:ligatures w14:val="standardContextual"/>
              </w:rPr>
            </w:pPr>
            <w:hyperlink w:anchor="_Toc215655969" w:history="1">
              <w:r w:rsidRPr="00A0768D">
                <w:rPr>
                  <w:rStyle w:val="Hyperlink"/>
                  <w:noProof/>
                </w:rPr>
                <w:t>Non-admitted care</w:t>
              </w:r>
              <w:r>
                <w:rPr>
                  <w:noProof/>
                  <w:webHidden/>
                </w:rPr>
                <w:tab/>
              </w:r>
              <w:r>
                <w:rPr>
                  <w:noProof/>
                  <w:webHidden/>
                </w:rPr>
                <w:fldChar w:fldCharType="begin"/>
              </w:r>
              <w:r>
                <w:rPr>
                  <w:noProof/>
                  <w:webHidden/>
                </w:rPr>
                <w:instrText xml:space="preserve"> PAGEREF _Toc215655969 \h </w:instrText>
              </w:r>
              <w:r>
                <w:rPr>
                  <w:noProof/>
                  <w:webHidden/>
                </w:rPr>
              </w:r>
              <w:r>
                <w:rPr>
                  <w:noProof/>
                  <w:webHidden/>
                </w:rPr>
                <w:fldChar w:fldCharType="separate"/>
              </w:r>
              <w:r>
                <w:rPr>
                  <w:noProof/>
                  <w:webHidden/>
                </w:rPr>
                <w:t>16</w:t>
              </w:r>
              <w:r>
                <w:rPr>
                  <w:noProof/>
                  <w:webHidden/>
                </w:rPr>
                <w:fldChar w:fldCharType="end"/>
              </w:r>
            </w:hyperlink>
          </w:p>
          <w:p w14:paraId="7C9FED4D" w14:textId="6CE348C9" w:rsidR="004F0DEF" w:rsidRDefault="004F0DEF">
            <w:pPr>
              <w:pStyle w:val="TOC3"/>
              <w:rPr>
                <w:rFonts w:asciiTheme="minorHAnsi" w:eastAsiaTheme="minorEastAsia" w:hAnsiTheme="minorHAnsi" w:cstheme="minorBidi"/>
                <w:noProof/>
                <w:kern w:val="2"/>
                <w:sz w:val="24"/>
                <w:szCs w:val="24"/>
                <w:lang w:eastAsia="en-AU"/>
                <w14:ligatures w14:val="standardContextual"/>
              </w:rPr>
            </w:pPr>
            <w:hyperlink w:anchor="_Toc215655970" w:history="1">
              <w:r w:rsidRPr="00A0768D">
                <w:rPr>
                  <w:rStyle w:val="Hyperlink"/>
                  <w:noProof/>
                </w:rPr>
                <w:t>Short stay, bed-based care</w:t>
              </w:r>
              <w:r>
                <w:rPr>
                  <w:noProof/>
                  <w:webHidden/>
                </w:rPr>
                <w:tab/>
              </w:r>
              <w:r>
                <w:rPr>
                  <w:noProof/>
                  <w:webHidden/>
                </w:rPr>
                <w:fldChar w:fldCharType="begin"/>
              </w:r>
              <w:r>
                <w:rPr>
                  <w:noProof/>
                  <w:webHidden/>
                </w:rPr>
                <w:instrText xml:space="preserve"> PAGEREF _Toc215655970 \h </w:instrText>
              </w:r>
              <w:r>
                <w:rPr>
                  <w:noProof/>
                  <w:webHidden/>
                </w:rPr>
              </w:r>
              <w:r>
                <w:rPr>
                  <w:noProof/>
                  <w:webHidden/>
                </w:rPr>
                <w:fldChar w:fldCharType="separate"/>
              </w:r>
              <w:r>
                <w:rPr>
                  <w:noProof/>
                  <w:webHidden/>
                </w:rPr>
                <w:t>17</w:t>
              </w:r>
              <w:r>
                <w:rPr>
                  <w:noProof/>
                  <w:webHidden/>
                </w:rPr>
                <w:fldChar w:fldCharType="end"/>
              </w:r>
            </w:hyperlink>
          </w:p>
          <w:p w14:paraId="1E5FACC5" w14:textId="621D9114" w:rsidR="004F0DEF" w:rsidRDefault="004F0DEF">
            <w:pPr>
              <w:pStyle w:val="TOC3"/>
              <w:rPr>
                <w:rFonts w:asciiTheme="minorHAnsi" w:eastAsiaTheme="minorEastAsia" w:hAnsiTheme="minorHAnsi" w:cstheme="minorBidi"/>
                <w:noProof/>
                <w:kern w:val="2"/>
                <w:sz w:val="24"/>
                <w:szCs w:val="24"/>
                <w:lang w:eastAsia="en-AU"/>
                <w14:ligatures w14:val="standardContextual"/>
              </w:rPr>
            </w:pPr>
            <w:hyperlink w:anchor="_Toc215655971" w:history="1">
              <w:r w:rsidRPr="00A0768D">
                <w:rPr>
                  <w:rStyle w:val="Hyperlink"/>
                  <w:noProof/>
                </w:rPr>
                <w:t>Post-discharge support</w:t>
              </w:r>
              <w:r>
                <w:rPr>
                  <w:noProof/>
                  <w:webHidden/>
                </w:rPr>
                <w:tab/>
              </w:r>
              <w:r>
                <w:rPr>
                  <w:noProof/>
                  <w:webHidden/>
                </w:rPr>
                <w:fldChar w:fldCharType="begin"/>
              </w:r>
              <w:r>
                <w:rPr>
                  <w:noProof/>
                  <w:webHidden/>
                </w:rPr>
                <w:instrText xml:space="preserve"> PAGEREF _Toc215655971 \h </w:instrText>
              </w:r>
              <w:r>
                <w:rPr>
                  <w:noProof/>
                  <w:webHidden/>
                </w:rPr>
              </w:r>
              <w:r>
                <w:rPr>
                  <w:noProof/>
                  <w:webHidden/>
                </w:rPr>
                <w:fldChar w:fldCharType="separate"/>
              </w:r>
              <w:r>
                <w:rPr>
                  <w:noProof/>
                  <w:webHidden/>
                </w:rPr>
                <w:t>17</w:t>
              </w:r>
              <w:r>
                <w:rPr>
                  <w:noProof/>
                  <w:webHidden/>
                </w:rPr>
                <w:fldChar w:fldCharType="end"/>
              </w:r>
            </w:hyperlink>
          </w:p>
          <w:p w14:paraId="5773B68A" w14:textId="568EA881" w:rsidR="004F0DEF" w:rsidRDefault="004F0DEF">
            <w:pPr>
              <w:pStyle w:val="TOC3"/>
              <w:rPr>
                <w:rFonts w:asciiTheme="minorHAnsi" w:eastAsiaTheme="minorEastAsia" w:hAnsiTheme="minorHAnsi" w:cstheme="minorBidi"/>
                <w:noProof/>
                <w:kern w:val="2"/>
                <w:sz w:val="24"/>
                <w:szCs w:val="24"/>
                <w:lang w:eastAsia="en-AU"/>
                <w14:ligatures w14:val="standardContextual"/>
              </w:rPr>
            </w:pPr>
            <w:hyperlink w:anchor="_Toc215655972" w:history="1">
              <w:r w:rsidRPr="00A0768D">
                <w:rPr>
                  <w:rStyle w:val="Hyperlink"/>
                  <w:noProof/>
                </w:rPr>
                <w:t>Family members and carers</w:t>
              </w:r>
              <w:r>
                <w:rPr>
                  <w:noProof/>
                  <w:webHidden/>
                </w:rPr>
                <w:tab/>
              </w:r>
              <w:r>
                <w:rPr>
                  <w:noProof/>
                  <w:webHidden/>
                </w:rPr>
                <w:fldChar w:fldCharType="begin"/>
              </w:r>
              <w:r>
                <w:rPr>
                  <w:noProof/>
                  <w:webHidden/>
                </w:rPr>
                <w:instrText xml:space="preserve"> PAGEREF _Toc215655972 \h </w:instrText>
              </w:r>
              <w:r>
                <w:rPr>
                  <w:noProof/>
                  <w:webHidden/>
                </w:rPr>
              </w:r>
              <w:r>
                <w:rPr>
                  <w:noProof/>
                  <w:webHidden/>
                </w:rPr>
                <w:fldChar w:fldCharType="separate"/>
              </w:r>
              <w:r>
                <w:rPr>
                  <w:noProof/>
                  <w:webHidden/>
                </w:rPr>
                <w:t>18</w:t>
              </w:r>
              <w:r>
                <w:rPr>
                  <w:noProof/>
                  <w:webHidden/>
                </w:rPr>
                <w:fldChar w:fldCharType="end"/>
              </w:r>
            </w:hyperlink>
          </w:p>
          <w:p w14:paraId="0D2EB616" w14:textId="5FB026CA"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73" w:history="1">
              <w:r w:rsidRPr="00A0768D">
                <w:rPr>
                  <w:rStyle w:val="Hyperlink"/>
                </w:rPr>
                <w:t>5.4 Transition of care</w:t>
              </w:r>
              <w:r>
                <w:rPr>
                  <w:webHidden/>
                </w:rPr>
                <w:tab/>
              </w:r>
              <w:r>
                <w:rPr>
                  <w:webHidden/>
                </w:rPr>
                <w:fldChar w:fldCharType="begin"/>
              </w:r>
              <w:r>
                <w:rPr>
                  <w:webHidden/>
                </w:rPr>
                <w:instrText xml:space="preserve"> PAGEREF _Toc215655973 \h </w:instrText>
              </w:r>
              <w:r>
                <w:rPr>
                  <w:webHidden/>
                </w:rPr>
              </w:r>
              <w:r>
                <w:rPr>
                  <w:webHidden/>
                </w:rPr>
                <w:fldChar w:fldCharType="separate"/>
              </w:r>
              <w:r>
                <w:rPr>
                  <w:webHidden/>
                </w:rPr>
                <w:t>18</w:t>
              </w:r>
              <w:r>
                <w:rPr>
                  <w:webHidden/>
                </w:rPr>
                <w:fldChar w:fldCharType="end"/>
              </w:r>
            </w:hyperlink>
          </w:p>
          <w:p w14:paraId="540C1753" w14:textId="6AB4F2D9" w:rsidR="004F0DEF" w:rsidRDefault="004F0DEF">
            <w:pPr>
              <w:pStyle w:val="TOC3"/>
              <w:rPr>
                <w:rFonts w:asciiTheme="minorHAnsi" w:eastAsiaTheme="minorEastAsia" w:hAnsiTheme="minorHAnsi" w:cstheme="minorBidi"/>
                <w:noProof/>
                <w:kern w:val="2"/>
                <w:sz w:val="24"/>
                <w:szCs w:val="24"/>
                <w:lang w:eastAsia="en-AU"/>
                <w14:ligatures w14:val="standardContextual"/>
              </w:rPr>
            </w:pPr>
            <w:hyperlink w:anchor="_Toc215655974" w:history="1">
              <w:r w:rsidRPr="00A0768D">
                <w:rPr>
                  <w:rStyle w:val="Hyperlink"/>
                  <w:noProof/>
                </w:rPr>
                <w:t>Post treatment planning</w:t>
              </w:r>
              <w:r>
                <w:rPr>
                  <w:noProof/>
                  <w:webHidden/>
                </w:rPr>
                <w:tab/>
              </w:r>
              <w:r>
                <w:rPr>
                  <w:noProof/>
                  <w:webHidden/>
                </w:rPr>
                <w:fldChar w:fldCharType="begin"/>
              </w:r>
              <w:r>
                <w:rPr>
                  <w:noProof/>
                  <w:webHidden/>
                </w:rPr>
                <w:instrText xml:space="preserve"> PAGEREF _Toc215655974 \h </w:instrText>
              </w:r>
              <w:r>
                <w:rPr>
                  <w:noProof/>
                  <w:webHidden/>
                </w:rPr>
              </w:r>
              <w:r>
                <w:rPr>
                  <w:noProof/>
                  <w:webHidden/>
                </w:rPr>
                <w:fldChar w:fldCharType="separate"/>
              </w:r>
              <w:r>
                <w:rPr>
                  <w:noProof/>
                  <w:webHidden/>
                </w:rPr>
                <w:t>18</w:t>
              </w:r>
              <w:r>
                <w:rPr>
                  <w:noProof/>
                  <w:webHidden/>
                </w:rPr>
                <w:fldChar w:fldCharType="end"/>
              </w:r>
            </w:hyperlink>
          </w:p>
          <w:p w14:paraId="6EE7A0DE" w14:textId="25150BDB" w:rsidR="004F0DEF" w:rsidRDefault="004F0DEF">
            <w:pPr>
              <w:pStyle w:val="TOC1"/>
              <w:rPr>
                <w:rFonts w:asciiTheme="minorHAnsi" w:eastAsiaTheme="minorEastAsia" w:hAnsiTheme="minorHAnsi" w:cstheme="minorBidi"/>
                <w:b w:val="0"/>
                <w:kern w:val="2"/>
                <w:sz w:val="24"/>
                <w:szCs w:val="24"/>
                <w:lang w:eastAsia="en-AU"/>
                <w14:ligatures w14:val="standardContextual"/>
              </w:rPr>
            </w:pPr>
            <w:hyperlink w:anchor="_Toc215655975" w:history="1">
              <w:r w:rsidRPr="00A0768D">
                <w:rPr>
                  <w:rStyle w:val="Hyperlink"/>
                </w:rPr>
                <w:t>6. Workforce</w:t>
              </w:r>
              <w:r>
                <w:rPr>
                  <w:webHidden/>
                </w:rPr>
                <w:tab/>
              </w:r>
              <w:r>
                <w:rPr>
                  <w:webHidden/>
                </w:rPr>
                <w:fldChar w:fldCharType="begin"/>
              </w:r>
              <w:r>
                <w:rPr>
                  <w:webHidden/>
                </w:rPr>
                <w:instrText xml:space="preserve"> PAGEREF _Toc215655975 \h </w:instrText>
              </w:r>
              <w:r>
                <w:rPr>
                  <w:webHidden/>
                </w:rPr>
              </w:r>
              <w:r>
                <w:rPr>
                  <w:webHidden/>
                </w:rPr>
                <w:fldChar w:fldCharType="separate"/>
              </w:r>
              <w:r>
                <w:rPr>
                  <w:webHidden/>
                </w:rPr>
                <w:t>19</w:t>
              </w:r>
              <w:r>
                <w:rPr>
                  <w:webHidden/>
                </w:rPr>
                <w:fldChar w:fldCharType="end"/>
              </w:r>
            </w:hyperlink>
          </w:p>
          <w:p w14:paraId="47135D0F" w14:textId="18AF36CC"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76" w:history="1">
              <w:r w:rsidRPr="00A0768D">
                <w:rPr>
                  <w:rStyle w:val="Hyperlink"/>
                </w:rPr>
                <w:t>6.1 Staffing profile</w:t>
              </w:r>
              <w:r>
                <w:rPr>
                  <w:webHidden/>
                </w:rPr>
                <w:tab/>
              </w:r>
              <w:r>
                <w:rPr>
                  <w:webHidden/>
                </w:rPr>
                <w:fldChar w:fldCharType="begin"/>
              </w:r>
              <w:r>
                <w:rPr>
                  <w:webHidden/>
                </w:rPr>
                <w:instrText xml:space="preserve"> PAGEREF _Toc215655976 \h </w:instrText>
              </w:r>
              <w:r>
                <w:rPr>
                  <w:webHidden/>
                </w:rPr>
              </w:r>
              <w:r>
                <w:rPr>
                  <w:webHidden/>
                </w:rPr>
                <w:fldChar w:fldCharType="separate"/>
              </w:r>
              <w:r>
                <w:rPr>
                  <w:webHidden/>
                </w:rPr>
                <w:t>19</w:t>
              </w:r>
              <w:r>
                <w:rPr>
                  <w:webHidden/>
                </w:rPr>
                <w:fldChar w:fldCharType="end"/>
              </w:r>
            </w:hyperlink>
          </w:p>
          <w:p w14:paraId="4CE5DE64" w14:textId="6DCD948C" w:rsidR="004F0DEF" w:rsidRDefault="004F0DEF">
            <w:pPr>
              <w:pStyle w:val="TOC3"/>
              <w:rPr>
                <w:rFonts w:asciiTheme="minorHAnsi" w:eastAsiaTheme="minorEastAsia" w:hAnsiTheme="minorHAnsi" w:cstheme="minorBidi"/>
                <w:noProof/>
                <w:kern w:val="2"/>
                <w:sz w:val="24"/>
                <w:szCs w:val="24"/>
                <w:lang w:eastAsia="en-AU"/>
                <w14:ligatures w14:val="standardContextual"/>
              </w:rPr>
            </w:pPr>
            <w:hyperlink w:anchor="_Toc215655977" w:history="1">
              <w:r w:rsidRPr="00A0768D">
                <w:rPr>
                  <w:rStyle w:val="Hyperlink"/>
                  <w:noProof/>
                </w:rPr>
                <w:t>6.1.2 Peer workers</w:t>
              </w:r>
              <w:r>
                <w:rPr>
                  <w:noProof/>
                  <w:webHidden/>
                </w:rPr>
                <w:tab/>
              </w:r>
              <w:r>
                <w:rPr>
                  <w:noProof/>
                  <w:webHidden/>
                </w:rPr>
                <w:fldChar w:fldCharType="begin"/>
              </w:r>
              <w:r>
                <w:rPr>
                  <w:noProof/>
                  <w:webHidden/>
                </w:rPr>
                <w:instrText xml:space="preserve"> PAGEREF _Toc215655977 \h </w:instrText>
              </w:r>
              <w:r>
                <w:rPr>
                  <w:noProof/>
                  <w:webHidden/>
                </w:rPr>
              </w:r>
              <w:r>
                <w:rPr>
                  <w:noProof/>
                  <w:webHidden/>
                </w:rPr>
                <w:fldChar w:fldCharType="separate"/>
              </w:r>
              <w:r>
                <w:rPr>
                  <w:noProof/>
                  <w:webHidden/>
                </w:rPr>
                <w:t>20</w:t>
              </w:r>
              <w:r>
                <w:rPr>
                  <w:noProof/>
                  <w:webHidden/>
                </w:rPr>
                <w:fldChar w:fldCharType="end"/>
              </w:r>
            </w:hyperlink>
          </w:p>
          <w:p w14:paraId="29918948" w14:textId="69794497"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78" w:history="1">
              <w:r w:rsidRPr="00A0768D">
                <w:rPr>
                  <w:rStyle w:val="Hyperlink"/>
                </w:rPr>
                <w:t>6.2 Workforce development and training</w:t>
              </w:r>
              <w:r>
                <w:rPr>
                  <w:webHidden/>
                </w:rPr>
                <w:tab/>
              </w:r>
              <w:r>
                <w:rPr>
                  <w:webHidden/>
                </w:rPr>
                <w:fldChar w:fldCharType="begin"/>
              </w:r>
              <w:r>
                <w:rPr>
                  <w:webHidden/>
                </w:rPr>
                <w:instrText xml:space="preserve"> PAGEREF _Toc215655978 \h </w:instrText>
              </w:r>
              <w:r>
                <w:rPr>
                  <w:webHidden/>
                </w:rPr>
              </w:r>
              <w:r>
                <w:rPr>
                  <w:webHidden/>
                </w:rPr>
                <w:fldChar w:fldCharType="separate"/>
              </w:r>
              <w:r>
                <w:rPr>
                  <w:webHidden/>
                </w:rPr>
                <w:t>20</w:t>
              </w:r>
              <w:r>
                <w:rPr>
                  <w:webHidden/>
                </w:rPr>
                <w:fldChar w:fldCharType="end"/>
              </w:r>
            </w:hyperlink>
          </w:p>
          <w:p w14:paraId="4F4C58A9" w14:textId="52264215"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79" w:history="1">
              <w:r w:rsidRPr="00A0768D">
                <w:rPr>
                  <w:rStyle w:val="Hyperlink"/>
                </w:rPr>
                <w:t>6.3 Workforce professional reporting and supervision</w:t>
              </w:r>
              <w:r>
                <w:rPr>
                  <w:webHidden/>
                </w:rPr>
                <w:tab/>
              </w:r>
              <w:r>
                <w:rPr>
                  <w:webHidden/>
                </w:rPr>
                <w:fldChar w:fldCharType="begin"/>
              </w:r>
              <w:r>
                <w:rPr>
                  <w:webHidden/>
                </w:rPr>
                <w:instrText xml:space="preserve"> PAGEREF _Toc215655979 \h </w:instrText>
              </w:r>
              <w:r>
                <w:rPr>
                  <w:webHidden/>
                </w:rPr>
              </w:r>
              <w:r>
                <w:rPr>
                  <w:webHidden/>
                </w:rPr>
                <w:fldChar w:fldCharType="separate"/>
              </w:r>
              <w:r>
                <w:rPr>
                  <w:webHidden/>
                </w:rPr>
                <w:t>21</w:t>
              </w:r>
              <w:r>
                <w:rPr>
                  <w:webHidden/>
                </w:rPr>
                <w:fldChar w:fldCharType="end"/>
              </w:r>
            </w:hyperlink>
          </w:p>
          <w:p w14:paraId="3EF22C81" w14:textId="4F552231" w:rsidR="004F0DEF" w:rsidRDefault="004F0DEF">
            <w:pPr>
              <w:pStyle w:val="TOC1"/>
              <w:rPr>
                <w:rFonts w:asciiTheme="minorHAnsi" w:eastAsiaTheme="minorEastAsia" w:hAnsiTheme="minorHAnsi" w:cstheme="minorBidi"/>
                <w:b w:val="0"/>
                <w:kern w:val="2"/>
                <w:sz w:val="24"/>
                <w:szCs w:val="24"/>
                <w:lang w:eastAsia="en-AU"/>
                <w14:ligatures w14:val="standardContextual"/>
              </w:rPr>
            </w:pPr>
            <w:hyperlink w:anchor="_Toc215655980" w:history="1">
              <w:r w:rsidRPr="00A0768D">
                <w:rPr>
                  <w:rStyle w:val="Hyperlink"/>
                </w:rPr>
                <w:t>7. Quality and safety</w:t>
              </w:r>
              <w:r>
                <w:rPr>
                  <w:webHidden/>
                </w:rPr>
                <w:tab/>
              </w:r>
              <w:r>
                <w:rPr>
                  <w:webHidden/>
                </w:rPr>
                <w:fldChar w:fldCharType="begin"/>
              </w:r>
              <w:r>
                <w:rPr>
                  <w:webHidden/>
                </w:rPr>
                <w:instrText xml:space="preserve"> PAGEREF _Toc215655980 \h </w:instrText>
              </w:r>
              <w:r>
                <w:rPr>
                  <w:webHidden/>
                </w:rPr>
              </w:r>
              <w:r>
                <w:rPr>
                  <w:webHidden/>
                </w:rPr>
                <w:fldChar w:fldCharType="separate"/>
              </w:r>
              <w:r>
                <w:rPr>
                  <w:webHidden/>
                </w:rPr>
                <w:t>21</w:t>
              </w:r>
              <w:r>
                <w:rPr>
                  <w:webHidden/>
                </w:rPr>
                <w:fldChar w:fldCharType="end"/>
              </w:r>
            </w:hyperlink>
          </w:p>
          <w:p w14:paraId="6BA213EC" w14:textId="74B28D3A" w:rsidR="004F0DEF" w:rsidRDefault="004F0DEF">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5655981" w:history="1">
              <w:r w:rsidRPr="00A0768D">
                <w:rPr>
                  <w:rStyle w:val="Hyperlink"/>
                </w:rPr>
                <w:t>7.1</w:t>
              </w:r>
              <w:r>
                <w:rPr>
                  <w:rFonts w:asciiTheme="minorHAnsi" w:eastAsiaTheme="minorEastAsia" w:hAnsiTheme="minorHAnsi" w:cstheme="minorBidi"/>
                  <w:kern w:val="2"/>
                  <w:sz w:val="24"/>
                  <w:szCs w:val="24"/>
                  <w:lang w:eastAsia="en-AU"/>
                  <w14:ligatures w14:val="standardContextual"/>
                </w:rPr>
                <w:tab/>
              </w:r>
              <w:r w:rsidRPr="00A0768D">
                <w:rPr>
                  <w:rStyle w:val="Hyperlink"/>
                </w:rPr>
                <w:t>Legislation and policies</w:t>
              </w:r>
              <w:r>
                <w:rPr>
                  <w:webHidden/>
                </w:rPr>
                <w:tab/>
              </w:r>
              <w:r>
                <w:rPr>
                  <w:webHidden/>
                </w:rPr>
                <w:fldChar w:fldCharType="begin"/>
              </w:r>
              <w:r>
                <w:rPr>
                  <w:webHidden/>
                </w:rPr>
                <w:instrText xml:space="preserve"> PAGEREF _Toc215655981 \h </w:instrText>
              </w:r>
              <w:r>
                <w:rPr>
                  <w:webHidden/>
                </w:rPr>
              </w:r>
              <w:r>
                <w:rPr>
                  <w:webHidden/>
                </w:rPr>
                <w:fldChar w:fldCharType="separate"/>
              </w:r>
              <w:r>
                <w:rPr>
                  <w:webHidden/>
                </w:rPr>
                <w:t>21</w:t>
              </w:r>
              <w:r>
                <w:rPr>
                  <w:webHidden/>
                </w:rPr>
                <w:fldChar w:fldCharType="end"/>
              </w:r>
            </w:hyperlink>
          </w:p>
          <w:p w14:paraId="43E33461" w14:textId="4EC4D9F8"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82" w:history="1">
              <w:r w:rsidRPr="00A0768D">
                <w:rPr>
                  <w:rStyle w:val="Hyperlink"/>
                </w:rPr>
                <w:t>7.2 Restrictive interventions</w:t>
              </w:r>
              <w:r>
                <w:rPr>
                  <w:webHidden/>
                </w:rPr>
                <w:tab/>
              </w:r>
              <w:r>
                <w:rPr>
                  <w:webHidden/>
                </w:rPr>
                <w:fldChar w:fldCharType="begin"/>
              </w:r>
              <w:r>
                <w:rPr>
                  <w:webHidden/>
                </w:rPr>
                <w:instrText xml:space="preserve"> PAGEREF _Toc215655982 \h </w:instrText>
              </w:r>
              <w:r>
                <w:rPr>
                  <w:webHidden/>
                </w:rPr>
              </w:r>
              <w:r>
                <w:rPr>
                  <w:webHidden/>
                </w:rPr>
                <w:fldChar w:fldCharType="separate"/>
              </w:r>
              <w:r>
                <w:rPr>
                  <w:webHidden/>
                </w:rPr>
                <w:t>21</w:t>
              </w:r>
              <w:r>
                <w:rPr>
                  <w:webHidden/>
                </w:rPr>
                <w:fldChar w:fldCharType="end"/>
              </w:r>
            </w:hyperlink>
          </w:p>
          <w:p w14:paraId="7E5D3996" w14:textId="7F4BA688"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83" w:history="1">
              <w:r w:rsidRPr="00A0768D">
                <w:rPr>
                  <w:rStyle w:val="Hyperlink"/>
                </w:rPr>
                <w:t>7.3 Using clinical governance to maximise quality and safety</w:t>
              </w:r>
              <w:r>
                <w:rPr>
                  <w:webHidden/>
                </w:rPr>
                <w:tab/>
              </w:r>
              <w:r>
                <w:rPr>
                  <w:webHidden/>
                </w:rPr>
                <w:fldChar w:fldCharType="begin"/>
              </w:r>
              <w:r>
                <w:rPr>
                  <w:webHidden/>
                </w:rPr>
                <w:instrText xml:space="preserve"> PAGEREF _Toc215655983 \h </w:instrText>
              </w:r>
              <w:r>
                <w:rPr>
                  <w:webHidden/>
                </w:rPr>
              </w:r>
              <w:r>
                <w:rPr>
                  <w:webHidden/>
                </w:rPr>
                <w:fldChar w:fldCharType="separate"/>
              </w:r>
              <w:r>
                <w:rPr>
                  <w:webHidden/>
                </w:rPr>
                <w:t>22</w:t>
              </w:r>
              <w:r>
                <w:rPr>
                  <w:webHidden/>
                </w:rPr>
                <w:fldChar w:fldCharType="end"/>
              </w:r>
            </w:hyperlink>
          </w:p>
          <w:p w14:paraId="59773337" w14:textId="0EC65AA2" w:rsidR="004F0DEF" w:rsidRDefault="004F0DEF">
            <w:pPr>
              <w:pStyle w:val="TOC1"/>
              <w:rPr>
                <w:rFonts w:asciiTheme="minorHAnsi" w:eastAsiaTheme="minorEastAsia" w:hAnsiTheme="minorHAnsi" w:cstheme="minorBidi"/>
                <w:b w:val="0"/>
                <w:kern w:val="2"/>
                <w:sz w:val="24"/>
                <w:szCs w:val="24"/>
                <w:lang w:eastAsia="en-AU"/>
                <w14:ligatures w14:val="standardContextual"/>
              </w:rPr>
            </w:pPr>
            <w:hyperlink w:anchor="_Toc215655984" w:history="1">
              <w:r w:rsidRPr="00A0768D">
                <w:rPr>
                  <w:rStyle w:val="Hyperlink"/>
                </w:rPr>
                <w:t>8. Capital build requirements</w:t>
              </w:r>
              <w:r>
                <w:rPr>
                  <w:webHidden/>
                </w:rPr>
                <w:tab/>
              </w:r>
              <w:r>
                <w:rPr>
                  <w:webHidden/>
                </w:rPr>
                <w:fldChar w:fldCharType="begin"/>
              </w:r>
              <w:r>
                <w:rPr>
                  <w:webHidden/>
                </w:rPr>
                <w:instrText xml:space="preserve"> PAGEREF _Toc215655984 \h </w:instrText>
              </w:r>
              <w:r>
                <w:rPr>
                  <w:webHidden/>
                </w:rPr>
              </w:r>
              <w:r>
                <w:rPr>
                  <w:webHidden/>
                </w:rPr>
                <w:fldChar w:fldCharType="separate"/>
              </w:r>
              <w:r>
                <w:rPr>
                  <w:webHidden/>
                </w:rPr>
                <w:t>22</w:t>
              </w:r>
              <w:r>
                <w:rPr>
                  <w:webHidden/>
                </w:rPr>
                <w:fldChar w:fldCharType="end"/>
              </w:r>
            </w:hyperlink>
          </w:p>
          <w:p w14:paraId="4CF4AB68" w14:textId="23999249" w:rsidR="004F0DEF" w:rsidRDefault="004F0DEF">
            <w:pPr>
              <w:pStyle w:val="TOC1"/>
              <w:rPr>
                <w:rFonts w:asciiTheme="minorHAnsi" w:eastAsiaTheme="minorEastAsia" w:hAnsiTheme="minorHAnsi" w:cstheme="minorBidi"/>
                <w:b w:val="0"/>
                <w:kern w:val="2"/>
                <w:sz w:val="24"/>
                <w:szCs w:val="24"/>
                <w:lang w:eastAsia="en-AU"/>
                <w14:ligatures w14:val="standardContextual"/>
              </w:rPr>
            </w:pPr>
            <w:hyperlink w:anchor="_Toc215655985" w:history="1">
              <w:r w:rsidRPr="00A0768D">
                <w:rPr>
                  <w:rStyle w:val="Hyperlink"/>
                </w:rPr>
                <w:t>9. Funding and performance management</w:t>
              </w:r>
              <w:r>
                <w:rPr>
                  <w:webHidden/>
                </w:rPr>
                <w:tab/>
              </w:r>
              <w:r>
                <w:rPr>
                  <w:webHidden/>
                </w:rPr>
                <w:fldChar w:fldCharType="begin"/>
              </w:r>
              <w:r>
                <w:rPr>
                  <w:webHidden/>
                </w:rPr>
                <w:instrText xml:space="preserve"> PAGEREF _Toc215655985 \h </w:instrText>
              </w:r>
              <w:r>
                <w:rPr>
                  <w:webHidden/>
                </w:rPr>
              </w:r>
              <w:r>
                <w:rPr>
                  <w:webHidden/>
                </w:rPr>
                <w:fldChar w:fldCharType="separate"/>
              </w:r>
              <w:r>
                <w:rPr>
                  <w:webHidden/>
                </w:rPr>
                <w:t>24</w:t>
              </w:r>
              <w:r>
                <w:rPr>
                  <w:webHidden/>
                </w:rPr>
                <w:fldChar w:fldCharType="end"/>
              </w:r>
            </w:hyperlink>
          </w:p>
          <w:p w14:paraId="61609A3C" w14:textId="3B5B1324"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86" w:history="1">
              <w:r w:rsidRPr="00A0768D">
                <w:rPr>
                  <w:rStyle w:val="Hyperlink"/>
                </w:rPr>
                <w:t>9.1 Funding model</w:t>
              </w:r>
              <w:r>
                <w:rPr>
                  <w:webHidden/>
                </w:rPr>
                <w:tab/>
              </w:r>
              <w:r>
                <w:rPr>
                  <w:webHidden/>
                </w:rPr>
                <w:fldChar w:fldCharType="begin"/>
              </w:r>
              <w:r>
                <w:rPr>
                  <w:webHidden/>
                </w:rPr>
                <w:instrText xml:space="preserve"> PAGEREF _Toc215655986 \h </w:instrText>
              </w:r>
              <w:r>
                <w:rPr>
                  <w:webHidden/>
                </w:rPr>
              </w:r>
              <w:r>
                <w:rPr>
                  <w:webHidden/>
                </w:rPr>
                <w:fldChar w:fldCharType="separate"/>
              </w:r>
              <w:r>
                <w:rPr>
                  <w:webHidden/>
                </w:rPr>
                <w:t>24</w:t>
              </w:r>
              <w:r>
                <w:rPr>
                  <w:webHidden/>
                </w:rPr>
                <w:fldChar w:fldCharType="end"/>
              </w:r>
            </w:hyperlink>
          </w:p>
          <w:p w14:paraId="5209C763" w14:textId="2879B1F8"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87" w:history="1">
              <w:r w:rsidRPr="00A0768D">
                <w:rPr>
                  <w:rStyle w:val="Hyperlink"/>
                </w:rPr>
                <w:t>9.2 Performance monitoring and reporting</w:t>
              </w:r>
              <w:r>
                <w:rPr>
                  <w:webHidden/>
                </w:rPr>
                <w:tab/>
              </w:r>
              <w:r>
                <w:rPr>
                  <w:webHidden/>
                </w:rPr>
                <w:fldChar w:fldCharType="begin"/>
              </w:r>
              <w:r>
                <w:rPr>
                  <w:webHidden/>
                </w:rPr>
                <w:instrText xml:space="preserve"> PAGEREF _Toc215655987 \h </w:instrText>
              </w:r>
              <w:r>
                <w:rPr>
                  <w:webHidden/>
                </w:rPr>
              </w:r>
              <w:r>
                <w:rPr>
                  <w:webHidden/>
                </w:rPr>
                <w:fldChar w:fldCharType="separate"/>
              </w:r>
              <w:r>
                <w:rPr>
                  <w:webHidden/>
                </w:rPr>
                <w:t>24</w:t>
              </w:r>
              <w:r>
                <w:rPr>
                  <w:webHidden/>
                </w:rPr>
                <w:fldChar w:fldCharType="end"/>
              </w:r>
            </w:hyperlink>
          </w:p>
          <w:p w14:paraId="5C3307C4" w14:textId="163A9BAE" w:rsidR="004F0DEF" w:rsidRDefault="004F0DEF">
            <w:pPr>
              <w:pStyle w:val="TOC3"/>
              <w:rPr>
                <w:rFonts w:asciiTheme="minorHAnsi" w:eastAsiaTheme="minorEastAsia" w:hAnsiTheme="minorHAnsi" w:cstheme="minorBidi"/>
                <w:noProof/>
                <w:kern w:val="2"/>
                <w:sz w:val="24"/>
                <w:szCs w:val="24"/>
                <w:lang w:eastAsia="en-AU"/>
                <w14:ligatures w14:val="standardContextual"/>
              </w:rPr>
            </w:pPr>
            <w:hyperlink w:anchor="_Toc215655988" w:history="1">
              <w:r w:rsidRPr="00A0768D">
                <w:rPr>
                  <w:rStyle w:val="Hyperlink"/>
                  <w:noProof/>
                </w:rPr>
                <w:t>9.2.1 Routine monitoring</w:t>
              </w:r>
              <w:r>
                <w:rPr>
                  <w:noProof/>
                  <w:webHidden/>
                </w:rPr>
                <w:tab/>
              </w:r>
              <w:r>
                <w:rPr>
                  <w:noProof/>
                  <w:webHidden/>
                </w:rPr>
                <w:fldChar w:fldCharType="begin"/>
              </w:r>
              <w:r>
                <w:rPr>
                  <w:noProof/>
                  <w:webHidden/>
                </w:rPr>
                <w:instrText xml:space="preserve"> PAGEREF _Toc215655988 \h </w:instrText>
              </w:r>
              <w:r>
                <w:rPr>
                  <w:noProof/>
                  <w:webHidden/>
                </w:rPr>
              </w:r>
              <w:r>
                <w:rPr>
                  <w:noProof/>
                  <w:webHidden/>
                </w:rPr>
                <w:fldChar w:fldCharType="separate"/>
              </w:r>
              <w:r>
                <w:rPr>
                  <w:noProof/>
                  <w:webHidden/>
                </w:rPr>
                <w:t>24</w:t>
              </w:r>
              <w:r>
                <w:rPr>
                  <w:noProof/>
                  <w:webHidden/>
                </w:rPr>
                <w:fldChar w:fldCharType="end"/>
              </w:r>
            </w:hyperlink>
          </w:p>
          <w:p w14:paraId="2CBDCC23" w14:textId="1A9D49E0" w:rsidR="004F0DEF" w:rsidRDefault="004F0DEF">
            <w:pPr>
              <w:pStyle w:val="TOC3"/>
              <w:rPr>
                <w:rFonts w:asciiTheme="minorHAnsi" w:eastAsiaTheme="minorEastAsia" w:hAnsiTheme="minorHAnsi" w:cstheme="minorBidi"/>
                <w:noProof/>
                <w:kern w:val="2"/>
                <w:sz w:val="24"/>
                <w:szCs w:val="24"/>
                <w:lang w:eastAsia="en-AU"/>
                <w14:ligatures w14:val="standardContextual"/>
              </w:rPr>
            </w:pPr>
            <w:hyperlink w:anchor="_Toc215655989" w:history="1">
              <w:r w:rsidRPr="00A0768D">
                <w:rPr>
                  <w:rStyle w:val="Hyperlink"/>
                  <w:noProof/>
                </w:rPr>
                <w:t>9.2.2 Reporting requirements</w:t>
              </w:r>
              <w:r>
                <w:rPr>
                  <w:noProof/>
                  <w:webHidden/>
                </w:rPr>
                <w:tab/>
              </w:r>
              <w:r>
                <w:rPr>
                  <w:noProof/>
                  <w:webHidden/>
                </w:rPr>
                <w:fldChar w:fldCharType="begin"/>
              </w:r>
              <w:r>
                <w:rPr>
                  <w:noProof/>
                  <w:webHidden/>
                </w:rPr>
                <w:instrText xml:space="preserve"> PAGEREF _Toc215655989 \h </w:instrText>
              </w:r>
              <w:r>
                <w:rPr>
                  <w:noProof/>
                  <w:webHidden/>
                </w:rPr>
              </w:r>
              <w:r>
                <w:rPr>
                  <w:noProof/>
                  <w:webHidden/>
                </w:rPr>
                <w:fldChar w:fldCharType="separate"/>
              </w:r>
              <w:r>
                <w:rPr>
                  <w:noProof/>
                  <w:webHidden/>
                </w:rPr>
                <w:t>25</w:t>
              </w:r>
              <w:r>
                <w:rPr>
                  <w:noProof/>
                  <w:webHidden/>
                </w:rPr>
                <w:fldChar w:fldCharType="end"/>
              </w:r>
            </w:hyperlink>
          </w:p>
          <w:p w14:paraId="084D1DB4" w14:textId="5554D7E8" w:rsidR="004F0DEF" w:rsidRDefault="004F0DEF">
            <w:pPr>
              <w:pStyle w:val="TOC1"/>
              <w:rPr>
                <w:rFonts w:asciiTheme="minorHAnsi" w:eastAsiaTheme="minorEastAsia" w:hAnsiTheme="minorHAnsi" w:cstheme="minorBidi"/>
                <w:b w:val="0"/>
                <w:kern w:val="2"/>
                <w:sz w:val="24"/>
                <w:szCs w:val="24"/>
                <w:lang w:eastAsia="en-AU"/>
                <w14:ligatures w14:val="standardContextual"/>
              </w:rPr>
            </w:pPr>
            <w:hyperlink w:anchor="_Toc215655990" w:history="1">
              <w:r w:rsidRPr="00A0768D">
                <w:rPr>
                  <w:rStyle w:val="Hyperlink"/>
                </w:rPr>
                <w:t>10. Evaluation</w:t>
              </w:r>
              <w:r>
                <w:rPr>
                  <w:webHidden/>
                </w:rPr>
                <w:tab/>
              </w:r>
              <w:r>
                <w:rPr>
                  <w:webHidden/>
                </w:rPr>
                <w:fldChar w:fldCharType="begin"/>
              </w:r>
              <w:r>
                <w:rPr>
                  <w:webHidden/>
                </w:rPr>
                <w:instrText xml:space="preserve"> PAGEREF _Toc215655990 \h </w:instrText>
              </w:r>
              <w:r>
                <w:rPr>
                  <w:webHidden/>
                </w:rPr>
              </w:r>
              <w:r>
                <w:rPr>
                  <w:webHidden/>
                </w:rPr>
                <w:fldChar w:fldCharType="separate"/>
              </w:r>
              <w:r>
                <w:rPr>
                  <w:webHidden/>
                </w:rPr>
                <w:t>25</w:t>
              </w:r>
              <w:r>
                <w:rPr>
                  <w:webHidden/>
                </w:rPr>
                <w:fldChar w:fldCharType="end"/>
              </w:r>
            </w:hyperlink>
          </w:p>
          <w:p w14:paraId="117944B5" w14:textId="1C489C79" w:rsidR="004F0DEF" w:rsidRDefault="004F0DEF">
            <w:pPr>
              <w:pStyle w:val="TOC1"/>
              <w:rPr>
                <w:rFonts w:asciiTheme="minorHAnsi" w:eastAsiaTheme="minorEastAsia" w:hAnsiTheme="minorHAnsi" w:cstheme="minorBidi"/>
                <w:b w:val="0"/>
                <w:kern w:val="2"/>
                <w:sz w:val="24"/>
                <w:szCs w:val="24"/>
                <w:lang w:eastAsia="en-AU"/>
                <w14:ligatures w14:val="standardContextual"/>
              </w:rPr>
            </w:pPr>
            <w:hyperlink w:anchor="_Toc215655991" w:history="1">
              <w:r w:rsidRPr="00A0768D">
                <w:rPr>
                  <w:rStyle w:val="Hyperlink"/>
                </w:rPr>
                <w:t>Addendum</w:t>
              </w:r>
              <w:r>
                <w:rPr>
                  <w:webHidden/>
                </w:rPr>
                <w:tab/>
              </w:r>
              <w:r>
                <w:rPr>
                  <w:webHidden/>
                </w:rPr>
                <w:fldChar w:fldCharType="begin"/>
              </w:r>
              <w:r>
                <w:rPr>
                  <w:webHidden/>
                </w:rPr>
                <w:instrText xml:space="preserve"> PAGEREF _Toc215655991 \h </w:instrText>
              </w:r>
              <w:r>
                <w:rPr>
                  <w:webHidden/>
                </w:rPr>
              </w:r>
              <w:r>
                <w:rPr>
                  <w:webHidden/>
                </w:rPr>
                <w:fldChar w:fldCharType="separate"/>
              </w:r>
              <w:r>
                <w:rPr>
                  <w:webHidden/>
                </w:rPr>
                <w:t>26</w:t>
              </w:r>
              <w:r>
                <w:rPr>
                  <w:webHidden/>
                </w:rPr>
                <w:fldChar w:fldCharType="end"/>
              </w:r>
            </w:hyperlink>
          </w:p>
          <w:p w14:paraId="744D7DB6" w14:textId="405C0B9F" w:rsidR="004F0DEF" w:rsidRDefault="004F0DEF">
            <w:pPr>
              <w:pStyle w:val="TOC2"/>
              <w:rPr>
                <w:rFonts w:asciiTheme="minorHAnsi" w:eastAsiaTheme="minorEastAsia" w:hAnsiTheme="minorHAnsi" w:cstheme="minorBidi"/>
                <w:kern w:val="2"/>
                <w:sz w:val="24"/>
                <w:szCs w:val="24"/>
                <w:lang w:eastAsia="en-AU"/>
                <w14:ligatures w14:val="standardContextual"/>
              </w:rPr>
            </w:pPr>
            <w:hyperlink w:anchor="_Toc215655992" w:history="1">
              <w:r w:rsidRPr="00A0768D">
                <w:rPr>
                  <w:rStyle w:val="Hyperlink"/>
                </w:rPr>
                <w:t>Application of ED employed staff industrial awards and agreements</w:t>
              </w:r>
              <w:r>
                <w:rPr>
                  <w:webHidden/>
                </w:rPr>
                <w:tab/>
              </w:r>
              <w:r>
                <w:rPr>
                  <w:webHidden/>
                </w:rPr>
                <w:fldChar w:fldCharType="begin"/>
              </w:r>
              <w:r>
                <w:rPr>
                  <w:webHidden/>
                </w:rPr>
                <w:instrText xml:space="preserve"> PAGEREF _Toc215655992 \h </w:instrText>
              </w:r>
              <w:r>
                <w:rPr>
                  <w:webHidden/>
                </w:rPr>
              </w:r>
              <w:r>
                <w:rPr>
                  <w:webHidden/>
                </w:rPr>
                <w:fldChar w:fldCharType="separate"/>
              </w:r>
              <w:r>
                <w:rPr>
                  <w:webHidden/>
                </w:rPr>
                <w:t>26</w:t>
              </w:r>
              <w:r>
                <w:rPr>
                  <w:webHidden/>
                </w:rPr>
                <w:fldChar w:fldCharType="end"/>
              </w:r>
            </w:hyperlink>
          </w:p>
          <w:p w14:paraId="5BDCA487" w14:textId="1A35055F" w:rsidR="004F0DEF" w:rsidRDefault="004F0DEF">
            <w:pPr>
              <w:pStyle w:val="TOC1"/>
              <w:rPr>
                <w:rFonts w:asciiTheme="minorHAnsi" w:eastAsiaTheme="minorEastAsia" w:hAnsiTheme="minorHAnsi" w:cstheme="minorBidi"/>
                <w:b w:val="0"/>
                <w:kern w:val="2"/>
                <w:sz w:val="24"/>
                <w:szCs w:val="24"/>
                <w:lang w:eastAsia="en-AU"/>
                <w14:ligatures w14:val="standardContextual"/>
              </w:rPr>
            </w:pPr>
            <w:hyperlink w:anchor="_Toc215655993" w:history="1">
              <w:r w:rsidRPr="00A0768D">
                <w:rPr>
                  <w:rStyle w:val="Hyperlink"/>
                </w:rPr>
                <w:t>Appendix – Consumer pathway</w:t>
              </w:r>
              <w:r>
                <w:rPr>
                  <w:webHidden/>
                </w:rPr>
                <w:tab/>
              </w:r>
              <w:r>
                <w:rPr>
                  <w:webHidden/>
                </w:rPr>
                <w:fldChar w:fldCharType="begin"/>
              </w:r>
              <w:r>
                <w:rPr>
                  <w:webHidden/>
                </w:rPr>
                <w:instrText xml:space="preserve"> PAGEREF _Toc215655993 \h </w:instrText>
              </w:r>
              <w:r>
                <w:rPr>
                  <w:webHidden/>
                </w:rPr>
              </w:r>
              <w:r>
                <w:rPr>
                  <w:webHidden/>
                </w:rPr>
                <w:fldChar w:fldCharType="separate"/>
              </w:r>
              <w:r>
                <w:rPr>
                  <w:webHidden/>
                </w:rPr>
                <w:t>27</w:t>
              </w:r>
              <w:r>
                <w:rPr>
                  <w:webHidden/>
                </w:rPr>
                <w:fldChar w:fldCharType="end"/>
              </w:r>
            </w:hyperlink>
          </w:p>
          <w:p w14:paraId="14FE3717" w14:textId="3AA0C129" w:rsidR="00A42487" w:rsidRDefault="00A42487" w:rsidP="008F776E">
            <w:pPr>
              <w:pStyle w:val="Bannermarking"/>
            </w:pPr>
            <w:r>
              <w:fldChar w:fldCharType="end"/>
            </w:r>
          </w:p>
          <w:p w14:paraId="779417C3" w14:textId="77777777" w:rsidR="00A42487" w:rsidRPr="001E5058" w:rsidRDefault="00A42487" w:rsidP="008F776E">
            <w:pPr>
              <w:pStyle w:val="Bannermarking"/>
            </w:pPr>
          </w:p>
        </w:tc>
      </w:tr>
    </w:tbl>
    <w:p w14:paraId="1E02886B" w14:textId="77777777" w:rsidR="00A42487" w:rsidRDefault="00A42487" w:rsidP="00A42487">
      <w:pPr>
        <w:pStyle w:val="Heading1"/>
      </w:pPr>
    </w:p>
    <w:p w14:paraId="62383F18" w14:textId="77777777" w:rsidR="00A42487" w:rsidRDefault="00A42487" w:rsidP="00A42487">
      <w:pPr>
        <w:spacing w:after="0" w:line="240" w:lineRule="auto"/>
        <w:rPr>
          <w:rFonts w:eastAsia="MS Gothic" w:cs="Arial"/>
          <w:bCs/>
          <w:color w:val="201547"/>
          <w:kern w:val="32"/>
          <w:sz w:val="40"/>
          <w:szCs w:val="40"/>
        </w:rPr>
      </w:pPr>
      <w:r>
        <w:br w:type="page"/>
      </w:r>
    </w:p>
    <w:p w14:paraId="22D96DD6" w14:textId="77777777" w:rsidR="00A42487" w:rsidRDefault="00A42487" w:rsidP="00A42487">
      <w:pPr>
        <w:pStyle w:val="Heading1"/>
      </w:pPr>
      <w:bookmarkStart w:id="1" w:name="_Toc215655949"/>
      <w:r>
        <w:lastRenderedPageBreak/>
        <w:t>Glossary of terms</w:t>
      </w:r>
      <w:bookmarkEnd w:id="1"/>
    </w:p>
    <w:p w14:paraId="0A5776B9" w14:textId="40DCC65F" w:rsidR="00A42487" w:rsidRPr="00CB191C" w:rsidRDefault="00A42487" w:rsidP="00A42487">
      <w:pPr>
        <w:pStyle w:val="Body"/>
      </w:pPr>
      <w:r>
        <w:rPr>
          <w:b/>
          <w:bCs/>
        </w:rPr>
        <w:t xml:space="preserve">Assertive outreach </w:t>
      </w:r>
      <w:r>
        <w:t xml:space="preserve">refers to persistent and purposeful contact with people after hospital discharge via methods tailored to their needs, </w:t>
      </w:r>
      <w:r w:rsidR="00873118">
        <w:t>preferences,</w:t>
      </w:r>
      <w:r>
        <w:t xml:space="preserve"> and willingness to engage in follow-up care, </w:t>
      </w:r>
      <w:r w:rsidR="00873118">
        <w:t>treatment,</w:t>
      </w:r>
      <w:r>
        <w:t xml:space="preserve"> and support.</w:t>
      </w:r>
    </w:p>
    <w:p w14:paraId="587251BA" w14:textId="77777777" w:rsidR="00A42487" w:rsidRDefault="00A42487" w:rsidP="00A42487">
      <w:pPr>
        <w:pStyle w:val="Body"/>
        <w:rPr>
          <w:rFonts w:cs="Arial"/>
          <w:szCs w:val="21"/>
          <w:lang w:eastAsia="en-AU"/>
        </w:rPr>
      </w:pPr>
      <w:r w:rsidRPr="0042720A">
        <w:rPr>
          <w:b/>
          <w:bCs/>
        </w:rPr>
        <w:t>Carer</w:t>
      </w:r>
      <w:r>
        <w:t xml:space="preserve"> refers to a person, including a person under the age of 18 years, who provides care to another person with whom they are in a relationship of care. </w:t>
      </w:r>
      <w:r>
        <w:rPr>
          <w:rFonts w:cs="Arial"/>
          <w:szCs w:val="21"/>
          <w:lang w:eastAsia="en-AU"/>
        </w:rPr>
        <w:t>A ‘carer’ does not include a parent if the person to whom care is provided is under the age of 16 years.</w:t>
      </w:r>
    </w:p>
    <w:p w14:paraId="34B62117" w14:textId="77777777" w:rsidR="00A42487" w:rsidRDefault="00A42487" w:rsidP="00A42487">
      <w:pPr>
        <w:pStyle w:val="Body"/>
      </w:pPr>
      <w:r w:rsidRPr="21566BE5">
        <w:rPr>
          <w:b/>
          <w:bCs/>
        </w:rPr>
        <w:t>Consumer</w:t>
      </w:r>
      <w:r>
        <w:t xml:space="preserve"> refers to people who identify as having a living or lived experience of mental health challenges, psychological distress, and/or challenges due to alcohol or other drug (AOD) use or dependence, irrespective of whether they have a formal diagnosis, who have used mental health and wellbeing or addiction services and/or received treatment.</w:t>
      </w:r>
    </w:p>
    <w:p w14:paraId="4A204500" w14:textId="77777777" w:rsidR="00A42487" w:rsidRDefault="00A42487" w:rsidP="00A42487">
      <w:pPr>
        <w:pStyle w:val="Body"/>
      </w:pPr>
      <w:r>
        <w:rPr>
          <w:b/>
          <w:bCs/>
        </w:rPr>
        <w:t>Emergency Mental Health (EMH) team</w:t>
      </w:r>
      <w:r>
        <w:t xml:space="preserve"> (also referred to in some services as an Emergency Psychiatry Service or Emergency Crisis Assessment and Treatment team) refers to a team of senior mental health staff governed by the health service’s mental health program to provide expert assessment, consultation and interventions for people in the emergency department presenting with acute mental health issues.</w:t>
      </w:r>
    </w:p>
    <w:p w14:paraId="5303DC14" w14:textId="77777777" w:rsidR="00A42487" w:rsidRDefault="00A42487" w:rsidP="00A42487">
      <w:pPr>
        <w:pStyle w:val="Body"/>
      </w:pPr>
      <w:r w:rsidRPr="004E6825">
        <w:rPr>
          <w:b/>
          <w:bCs/>
        </w:rPr>
        <w:t>Family</w:t>
      </w:r>
      <w:r>
        <w:t xml:space="preserve"> refers to family of origin and/or family of choice.</w:t>
      </w:r>
    </w:p>
    <w:p w14:paraId="561EC541" w14:textId="19D53FDE" w:rsidR="00A42487" w:rsidRDefault="00A42487" w:rsidP="00A42487">
      <w:pPr>
        <w:pStyle w:val="Body"/>
      </w:pPr>
      <w:r>
        <w:rPr>
          <w:rFonts w:cs="Arial"/>
          <w:b/>
          <w:bCs/>
          <w:szCs w:val="21"/>
          <w:lang w:eastAsia="en-AU"/>
        </w:rPr>
        <w:t xml:space="preserve">Families, </w:t>
      </w:r>
      <w:r w:rsidR="00873118">
        <w:rPr>
          <w:rFonts w:cs="Arial"/>
          <w:b/>
          <w:bCs/>
          <w:szCs w:val="21"/>
          <w:lang w:eastAsia="en-AU"/>
        </w:rPr>
        <w:t>carers,</w:t>
      </w:r>
      <w:r>
        <w:rPr>
          <w:rFonts w:cs="Arial"/>
          <w:b/>
          <w:bCs/>
          <w:szCs w:val="21"/>
          <w:lang w:eastAsia="en-AU"/>
        </w:rPr>
        <w:t xml:space="preserve"> and supporters </w:t>
      </w:r>
      <w:r w:rsidR="001D186D">
        <w:rPr>
          <w:rFonts w:cs="Arial"/>
          <w:szCs w:val="21"/>
          <w:lang w:eastAsia="en-AU"/>
        </w:rPr>
        <w:t>refer</w:t>
      </w:r>
      <w:r>
        <w:rPr>
          <w:rFonts w:cs="Arial"/>
          <w:szCs w:val="21"/>
          <w:lang w:eastAsia="en-AU"/>
        </w:rPr>
        <w:t xml:space="preserve"> to the network of people that support consumers with their mental health and wellbeing. Throughout this document, practice that is family/carer/supporter inclusive is promoted. This inclusion must always be with the consent of the consumer or aligned to the information sharing principles of the </w:t>
      </w:r>
      <w:r w:rsidRPr="003654EC">
        <w:rPr>
          <w:rFonts w:cs="Arial"/>
          <w:i/>
          <w:iCs/>
          <w:szCs w:val="21"/>
          <w:lang w:eastAsia="en-AU"/>
        </w:rPr>
        <w:t>Mental Health and Wellbeing Act</w:t>
      </w:r>
      <w:r>
        <w:rPr>
          <w:rFonts w:cs="Arial"/>
          <w:i/>
          <w:iCs/>
          <w:szCs w:val="21"/>
          <w:lang w:eastAsia="en-AU"/>
        </w:rPr>
        <w:t xml:space="preserve"> 2022</w:t>
      </w:r>
      <w:r>
        <w:rPr>
          <w:rFonts w:cs="Arial"/>
          <w:szCs w:val="21"/>
          <w:lang w:eastAsia="en-AU"/>
        </w:rPr>
        <w:t>.</w:t>
      </w:r>
    </w:p>
    <w:p w14:paraId="75822E38" w14:textId="6F114D39" w:rsidR="00A42487" w:rsidRDefault="00A42487" w:rsidP="00A42487">
      <w:pPr>
        <w:pStyle w:val="Body"/>
      </w:pPr>
      <w:r w:rsidRPr="21566BE5">
        <w:rPr>
          <w:b/>
          <w:bCs/>
        </w:rPr>
        <w:t>Lived and living experience</w:t>
      </w:r>
      <w:r>
        <w:t xml:space="preserve"> refers to people identifying either as someone who is living with (or has lived with) mental health challenges, psychological distress and/or challenges due to AOD use or dependence, or someone who is caring for or otherwise supporting (or has cared for or otherwise supported) a person who is living with (or has lived with) mental health challenges, psychological distress and/or challenges due to AOD use or dependence. People with lived experience are sometimes referred to as ‘consumers’ or ‘carers</w:t>
      </w:r>
      <w:r w:rsidR="00E04783">
        <w:t>,’</w:t>
      </w:r>
      <w:r>
        <w:t xml:space="preserve"> acknowledging that the experiences of consumers and carers are different.</w:t>
      </w:r>
    </w:p>
    <w:p w14:paraId="1E3411DB" w14:textId="5B62D3A0" w:rsidR="00A42487" w:rsidRDefault="00A42487" w:rsidP="00A42487">
      <w:pPr>
        <w:pStyle w:val="Body"/>
        <w:rPr>
          <w:rFonts w:cs="Arial"/>
          <w:lang w:eastAsia="en-AU"/>
        </w:rPr>
      </w:pPr>
      <w:r w:rsidRPr="21566BE5">
        <w:rPr>
          <w:rFonts w:cs="Arial"/>
          <w:b/>
          <w:bCs/>
          <w:lang w:eastAsia="en-AU"/>
        </w:rPr>
        <w:t xml:space="preserve">Lived and living experience workforce </w:t>
      </w:r>
      <w:r w:rsidRPr="21566BE5">
        <w:rPr>
          <w:rFonts w:cs="Arial"/>
          <w:lang w:eastAsia="en-AU"/>
        </w:rPr>
        <w:t>refers to staff who are employed based on their lived or living experience, and which is an essential criterion of their job. They are employed across a range of mental health</w:t>
      </w:r>
      <w:r>
        <w:rPr>
          <w:rFonts w:cs="Arial"/>
          <w:lang w:eastAsia="en-AU"/>
        </w:rPr>
        <w:t xml:space="preserve"> and wellbeing</w:t>
      </w:r>
      <w:r w:rsidRPr="21566BE5">
        <w:rPr>
          <w:rFonts w:cs="Arial"/>
          <w:lang w:eastAsia="en-AU"/>
        </w:rPr>
        <w:t xml:space="preserve"> and AOD services in direct practice and support and through operational management, leadership, consultation, education, training, research, </w:t>
      </w:r>
      <w:r w:rsidR="00E04783" w:rsidRPr="21566BE5">
        <w:rPr>
          <w:rFonts w:cs="Arial"/>
          <w:lang w:eastAsia="en-AU"/>
        </w:rPr>
        <w:t>advocacy,</w:t>
      </w:r>
      <w:r w:rsidRPr="21566BE5">
        <w:rPr>
          <w:rFonts w:cs="Arial"/>
          <w:lang w:eastAsia="en-AU"/>
        </w:rPr>
        <w:t xml:space="preserve"> and representation.</w:t>
      </w:r>
    </w:p>
    <w:p w14:paraId="4E9DCD9B" w14:textId="77777777" w:rsidR="00A42487" w:rsidRDefault="00A42487" w:rsidP="00A42487">
      <w:pPr>
        <w:pStyle w:val="Body"/>
        <w:rPr>
          <w:rFonts w:cs="Arial"/>
          <w:lang w:eastAsia="en-AU"/>
        </w:rPr>
      </w:pPr>
      <w:r w:rsidRPr="21566BE5">
        <w:rPr>
          <w:rFonts w:cs="Arial"/>
          <w:b/>
          <w:bCs/>
          <w:lang w:eastAsia="en-AU"/>
        </w:rPr>
        <w:t xml:space="preserve">Mental health and wellbeing service </w:t>
      </w:r>
      <w:r w:rsidRPr="21566BE5">
        <w:rPr>
          <w:rFonts w:cs="Arial"/>
          <w:lang w:eastAsia="en-AU"/>
        </w:rPr>
        <w:t xml:space="preserve">refers to a service performed for the primary purpose of improving or supporting a person’s mental health and </w:t>
      </w:r>
      <w:proofErr w:type="gramStart"/>
      <w:r w:rsidRPr="21566BE5">
        <w:rPr>
          <w:rFonts w:cs="Arial"/>
          <w:lang w:eastAsia="en-AU"/>
        </w:rPr>
        <w:t>wellbeing;</w:t>
      </w:r>
      <w:proofErr w:type="gramEnd"/>
      <w:r w:rsidRPr="21566BE5">
        <w:rPr>
          <w:rFonts w:cs="Arial"/>
          <w:lang w:eastAsia="en-AU"/>
        </w:rPr>
        <w:t xml:space="preserve"> assessing or providing treatment, care or support to a person for mental illness or psychological distress or providing care or support to a family member, carer or supporter of a person experiencing mental health challenges or psychological distress. All mental health and wellbeing services are expected to integrate appropriate responses to substance use or addiction as required for </w:t>
      </w:r>
      <w:proofErr w:type="gramStart"/>
      <w:r w:rsidRPr="21566BE5">
        <w:rPr>
          <w:rFonts w:cs="Arial"/>
          <w:lang w:eastAsia="en-AU"/>
        </w:rPr>
        <w:t>each individual</w:t>
      </w:r>
      <w:proofErr w:type="gramEnd"/>
      <w:r w:rsidRPr="21566BE5">
        <w:rPr>
          <w:rFonts w:cs="Arial"/>
          <w:lang w:eastAsia="en-AU"/>
        </w:rPr>
        <w:t>.</w:t>
      </w:r>
    </w:p>
    <w:p w14:paraId="16E5A55A" w14:textId="77777777" w:rsidR="00A42487" w:rsidRDefault="00A42487" w:rsidP="00A42487">
      <w:pPr>
        <w:pStyle w:val="Body"/>
        <w:rPr>
          <w:rFonts w:cs="Arial"/>
          <w:lang w:eastAsia="en-AU"/>
        </w:rPr>
      </w:pPr>
      <w:r w:rsidRPr="21566BE5">
        <w:rPr>
          <w:rFonts w:cs="Arial"/>
          <w:b/>
          <w:bCs/>
          <w:lang w:eastAsia="en-AU"/>
        </w:rPr>
        <w:t xml:space="preserve">Parent </w:t>
      </w:r>
      <w:r w:rsidRPr="21566BE5">
        <w:rPr>
          <w:rFonts w:cs="Arial"/>
          <w:lang w:eastAsia="en-AU"/>
        </w:rPr>
        <w:t>in relation to a person under the age of 18 years, includes a person who has custody or daily care and guardianship of the person; a person who has all the duties, powers, responsibilities and authority (whether conferred by a court or otherwise) which by law parents have in relation to their children; or any other person who has the legal right to make decisions about medical treatment of the person.</w:t>
      </w:r>
    </w:p>
    <w:p w14:paraId="030532B5" w14:textId="3E8FADEA" w:rsidR="00A42487" w:rsidRDefault="00A42487" w:rsidP="00A42487">
      <w:pPr>
        <w:pStyle w:val="Body"/>
        <w:rPr>
          <w:rFonts w:cs="Arial"/>
          <w:szCs w:val="21"/>
          <w:lang w:eastAsia="en-AU"/>
        </w:rPr>
      </w:pPr>
      <w:r w:rsidRPr="007E219A">
        <w:rPr>
          <w:rFonts w:cs="Arial"/>
          <w:b/>
          <w:bCs/>
          <w:szCs w:val="21"/>
          <w:lang w:eastAsia="en-AU"/>
        </w:rPr>
        <w:t>Patient</w:t>
      </w:r>
      <w:r>
        <w:rPr>
          <w:rFonts w:cs="Arial"/>
          <w:szCs w:val="21"/>
          <w:lang w:eastAsia="en-AU"/>
        </w:rPr>
        <w:t xml:space="preserve"> means </w:t>
      </w:r>
      <w:r w:rsidRPr="008A1758">
        <w:rPr>
          <w:rFonts w:cs="Arial"/>
          <w:szCs w:val="21"/>
          <w:lang w:eastAsia="en-AU"/>
        </w:rPr>
        <w:t xml:space="preserve">an assessment patient, a court assessment patient, a temporary treatment patient, a treatment patient, a security </w:t>
      </w:r>
      <w:r w:rsidR="00E04783" w:rsidRPr="008A1758">
        <w:rPr>
          <w:rFonts w:cs="Arial"/>
          <w:szCs w:val="21"/>
          <w:lang w:eastAsia="en-AU"/>
        </w:rPr>
        <w:t>patient,</w:t>
      </w:r>
      <w:r w:rsidRPr="008A1758">
        <w:rPr>
          <w:rFonts w:cs="Arial"/>
          <w:szCs w:val="21"/>
          <w:lang w:eastAsia="en-AU"/>
        </w:rPr>
        <w:t xml:space="preserve"> or a forensic patient</w:t>
      </w:r>
      <w:r>
        <w:rPr>
          <w:rFonts w:cs="Arial"/>
          <w:szCs w:val="21"/>
          <w:lang w:eastAsia="en-AU"/>
        </w:rPr>
        <w:t xml:space="preserve">, as specified in the </w:t>
      </w:r>
      <w:r w:rsidRPr="007E219A">
        <w:rPr>
          <w:rFonts w:cs="Arial"/>
          <w:i/>
          <w:iCs/>
          <w:szCs w:val="21"/>
          <w:lang w:eastAsia="en-AU"/>
        </w:rPr>
        <w:t>Mental Health and Wellbeing Act 2022</w:t>
      </w:r>
      <w:r>
        <w:rPr>
          <w:rFonts w:cs="Arial"/>
          <w:szCs w:val="21"/>
          <w:lang w:eastAsia="en-AU"/>
        </w:rPr>
        <w:t xml:space="preserve"> </w:t>
      </w:r>
      <w:r w:rsidRPr="008A1758">
        <w:rPr>
          <w:rFonts w:cs="Arial"/>
          <w:szCs w:val="21"/>
          <w:lang w:eastAsia="en-AU"/>
        </w:rPr>
        <w:t>(s 3(1)).</w:t>
      </w:r>
    </w:p>
    <w:p w14:paraId="79770864" w14:textId="1B4B0966" w:rsidR="00A42487" w:rsidRDefault="00A42487" w:rsidP="00A42487">
      <w:pPr>
        <w:pStyle w:val="Body"/>
      </w:pPr>
      <w:r w:rsidRPr="21566BE5">
        <w:rPr>
          <w:b/>
          <w:bCs/>
        </w:rPr>
        <w:lastRenderedPageBreak/>
        <w:t>Multidisciplinary teams</w:t>
      </w:r>
      <w:r>
        <w:t xml:space="preserve"> are teams that bring together the expertise and skills of different workforces, </w:t>
      </w:r>
      <w:r w:rsidR="00E04783">
        <w:t>roles,</w:t>
      </w:r>
      <w:r>
        <w:t xml:space="preserve"> and professionals (including lived and living experience workforce). For the purposes of this document, a multidisciplinary team is one that involves diverse expertise, and in which all expertise is valued, to collaboratively and compassionately provide treatment, </w:t>
      </w:r>
      <w:r w:rsidR="00E04783">
        <w:t>care</w:t>
      </w:r>
      <w:r w:rsidR="00BD0162">
        <w:t xml:space="preserve"> </w:t>
      </w:r>
      <w:r>
        <w:t>and support.</w:t>
      </w:r>
    </w:p>
    <w:p w14:paraId="6689DED6" w14:textId="77777777" w:rsidR="00A42487" w:rsidRDefault="00A42487" w:rsidP="00A42487">
      <w:pPr>
        <w:pStyle w:val="Body"/>
        <w:rPr>
          <w:rFonts w:eastAsia="MS Gothic" w:cs="Arial"/>
          <w:color w:val="201547"/>
          <w:kern w:val="32"/>
          <w:sz w:val="40"/>
          <w:szCs w:val="40"/>
        </w:rPr>
      </w:pPr>
      <w:r w:rsidRPr="21566BE5">
        <w:rPr>
          <w:b/>
          <w:bCs/>
        </w:rPr>
        <w:t xml:space="preserve">Substance use </w:t>
      </w:r>
      <w:r>
        <w:t>means the use of alcohol or other drugs (including extra-medical use of prescription drugs and the use of illegal substances, and/or nicotine). Substance use may be occasional or frequent, can involve desirable effects and risks, and may be considered as a substance use disorder if there is uncontrolled use of a substance despite harmful consequences.</w:t>
      </w:r>
      <w:r>
        <w:br w:type="page"/>
      </w:r>
    </w:p>
    <w:p w14:paraId="5236A7E9" w14:textId="77777777" w:rsidR="00A42487" w:rsidRPr="000018D9" w:rsidRDefault="00A42487" w:rsidP="00A42487">
      <w:pPr>
        <w:pStyle w:val="Heading1"/>
      </w:pPr>
      <w:bookmarkStart w:id="2" w:name="_Toc215655950"/>
      <w:r>
        <w:lastRenderedPageBreak/>
        <w:t>1. Purpose of this document</w:t>
      </w:r>
      <w:bookmarkEnd w:id="2"/>
      <w:r>
        <w:t xml:space="preserve"> </w:t>
      </w:r>
    </w:p>
    <w:p w14:paraId="15D46C44" w14:textId="77777777" w:rsidR="00A42487" w:rsidRPr="00FB555F" w:rsidRDefault="00A42487" w:rsidP="00A42487">
      <w:pPr>
        <w:pStyle w:val="Body"/>
      </w:pPr>
      <w:r>
        <w:t>The Department of Health (the department) has developed this revised guideline for the Mental Health and Alcohol and Other Drugs Emergency Department Hubs (the Hubs) to reflect guidance set out by the Royal Commission into Victoria’s Mental Health System (Royal Commission) and learnings from existing Hubs already in operation. The guideline is intended to support a consistent approach and level of care, across Hubs, and support delivery of high-quality care.</w:t>
      </w:r>
      <w:r>
        <w:rPr>
          <w:rStyle w:val="FootnoteReference"/>
        </w:rPr>
        <w:footnoteReference w:id="1"/>
      </w:r>
      <w:r>
        <w:t xml:space="preserve"> </w:t>
      </w:r>
    </w:p>
    <w:p w14:paraId="114A1F48" w14:textId="007A7668" w:rsidR="00A42487" w:rsidRPr="00FB555F" w:rsidRDefault="00A42487" w:rsidP="00A42487">
      <w:pPr>
        <w:pStyle w:val="Body"/>
      </w:pPr>
      <w:r>
        <w:t>The guideline sets out the overarching policy context and intended service delivery model for the Hubs. It will support h</w:t>
      </w:r>
      <w:r w:rsidRPr="00FB555F">
        <w:t xml:space="preserve">ealth </w:t>
      </w:r>
      <w:r>
        <w:t>s</w:t>
      </w:r>
      <w:r w:rsidRPr="00FB555F">
        <w:t xml:space="preserve">ervices </w:t>
      </w:r>
      <w:r>
        <w:t xml:space="preserve">to develop a local model of care, setting out how they will operationalise and deliver the service in their local environment. Health services </w:t>
      </w:r>
      <w:r w:rsidRPr="00FB555F">
        <w:t xml:space="preserve">should refer to this </w:t>
      </w:r>
      <w:r>
        <w:t>g</w:t>
      </w:r>
      <w:r w:rsidRPr="005B731F">
        <w:t>uideline</w:t>
      </w:r>
      <w:r w:rsidRPr="00FB555F">
        <w:t xml:space="preserve"> to inform the development </w:t>
      </w:r>
      <w:r>
        <w:t xml:space="preserve">and alignment </w:t>
      </w:r>
      <w:r w:rsidRPr="00FB555F">
        <w:t>of their model of care.</w:t>
      </w:r>
      <w:r>
        <w:t xml:space="preserve"> The model of care </w:t>
      </w:r>
      <w:r w:rsidRPr="00FB555F">
        <w:t xml:space="preserve">may be informed by place-based context, priorities that are specific to the local community, </w:t>
      </w:r>
      <w:r w:rsidR="00E04783" w:rsidRPr="00FB555F">
        <w:t>infrastructure,</w:t>
      </w:r>
      <w:r w:rsidRPr="00FB555F">
        <w:t xml:space="preserve"> and workforce.</w:t>
      </w:r>
    </w:p>
    <w:p w14:paraId="639ED7EF" w14:textId="0952FE3F" w:rsidR="00A42487" w:rsidRDefault="00A42487" w:rsidP="00A42487">
      <w:pPr>
        <w:pStyle w:val="Body"/>
      </w:pPr>
      <w:r w:rsidRPr="7C33AA8B">
        <w:t xml:space="preserve">Health services are required to include in their model of care features that respond to local needs and are underpinned by human rights principles, providing responsive and </w:t>
      </w:r>
      <w:r>
        <w:t>high-</w:t>
      </w:r>
      <w:r w:rsidRPr="7C33AA8B">
        <w:t xml:space="preserve">quality </w:t>
      </w:r>
      <w:r>
        <w:t>Emergency Department (</w:t>
      </w:r>
      <w:r w:rsidRPr="7C33AA8B">
        <w:t>ED</w:t>
      </w:r>
      <w:r>
        <w:t>)</w:t>
      </w:r>
      <w:r w:rsidRPr="7C33AA8B">
        <w:t xml:space="preserve"> assessment, treatment, </w:t>
      </w:r>
      <w:r w:rsidR="00E04783" w:rsidRPr="7C33AA8B">
        <w:t>care</w:t>
      </w:r>
      <w:r w:rsidRPr="7C33AA8B">
        <w:t xml:space="preserve"> and support. </w:t>
      </w:r>
      <w:r>
        <w:t xml:space="preserve">The service must operate within the requirements of the </w:t>
      </w:r>
      <w:hyperlink r:id="rId15">
        <w:r w:rsidRPr="23B477F9">
          <w:rPr>
            <w:rStyle w:val="Hyperlink"/>
            <w:i/>
            <w:iCs/>
          </w:rPr>
          <w:t>Mental Health and Wellbeing Act 2022</w:t>
        </w:r>
      </w:hyperlink>
      <w:r w:rsidR="00B072AC">
        <w:t xml:space="preserve"> &lt;</w:t>
      </w:r>
      <w:r w:rsidR="00B072AC" w:rsidRPr="00B072AC">
        <w:t>https://www.health.vic.gov.au/mental-health-and-wellbeing-act</w:t>
      </w:r>
      <w:r w:rsidR="00B072AC">
        <w:t>&gt;</w:t>
      </w:r>
      <w:r>
        <w:t xml:space="preserve"> and be informed by the </w:t>
      </w:r>
      <w:hyperlink r:id="rId16">
        <w:r w:rsidRPr="23B477F9">
          <w:rPr>
            <w:rStyle w:val="Hyperlink"/>
            <w:i/>
            <w:iCs/>
          </w:rPr>
          <w:t>Integrated treatment, care and support for people with co-occurring mental illness and substance use or addiction</w:t>
        </w:r>
        <w:r w:rsidRPr="23B477F9">
          <w:rPr>
            <w:rStyle w:val="Hyperlink"/>
          </w:rPr>
          <w:t xml:space="preserve"> (2022)</w:t>
        </w:r>
      </w:hyperlink>
      <w:r>
        <w:t xml:space="preserve"> </w:t>
      </w:r>
      <w:r w:rsidR="00B072AC" w:rsidRPr="00B072AC">
        <w:t xml:space="preserve"> </w:t>
      </w:r>
      <w:r w:rsidR="00B072AC">
        <w:t>&lt;</w:t>
      </w:r>
      <w:r w:rsidR="00B072AC" w:rsidRPr="00B540C3">
        <w:rPr>
          <w:rFonts w:eastAsia="Times New Roman"/>
        </w:rPr>
        <w:t>https://www.health.vic.gov.au/mental-health-reform/recommendation-35</w:t>
      </w:r>
      <w:r w:rsidR="00B072AC">
        <w:t xml:space="preserve">&gt; </w:t>
      </w:r>
      <w:r>
        <w:t xml:space="preserve">guidance document.  </w:t>
      </w:r>
    </w:p>
    <w:p w14:paraId="5FCED04D" w14:textId="77777777" w:rsidR="00A42487" w:rsidRPr="00501FBA" w:rsidRDefault="00A42487" w:rsidP="00A42487">
      <w:pPr>
        <w:pStyle w:val="Body"/>
      </w:pPr>
      <w:r>
        <w:t>An additional purpose of this guideline is to communicate the department’s expectation that people with lived and living experience of mental health challenges, psychological distress, and/or challenges due to AOD use or dependence</w:t>
      </w:r>
      <w:r w:rsidDel="004C44B0">
        <w:t xml:space="preserve"> </w:t>
      </w:r>
      <w:r>
        <w:t>are closely involved in the establishment and ongoing operations of the Hubs. This includes the design of the facility and model of care and involvement of peer support professionals in the workforce.</w:t>
      </w:r>
    </w:p>
    <w:p w14:paraId="1C1A0A11" w14:textId="77777777" w:rsidR="00A42487" w:rsidRDefault="00A42487" w:rsidP="00A42487">
      <w:pPr>
        <w:pStyle w:val="Heading1"/>
      </w:pPr>
      <w:bookmarkStart w:id="3" w:name="_Toc215655951"/>
      <w:r>
        <w:t>2. Background</w:t>
      </w:r>
      <w:bookmarkEnd w:id="3"/>
      <w:r>
        <w:t xml:space="preserve"> </w:t>
      </w:r>
    </w:p>
    <w:p w14:paraId="2E00FDD3" w14:textId="77777777" w:rsidR="00A42487" w:rsidRDefault="00A42487" w:rsidP="00A42487">
      <w:pPr>
        <w:pStyle w:val="Body"/>
      </w:pPr>
      <w:r w:rsidRPr="00556023">
        <w:t xml:space="preserve">As part of the 2018-19 Victorian Budget, the Victorian Government announced funding for six </w:t>
      </w:r>
      <w:r>
        <w:t>Hub</w:t>
      </w:r>
      <w:r w:rsidRPr="00556023">
        <w:t>s in the following public hospital emergency departments (ED</w:t>
      </w:r>
      <w:r>
        <w:t>s</w:t>
      </w:r>
      <w:r w:rsidRPr="00556023">
        <w:t xml:space="preserve">): </w:t>
      </w:r>
    </w:p>
    <w:p w14:paraId="771664B6" w14:textId="77777777" w:rsidR="00A42487" w:rsidRDefault="00A42487" w:rsidP="00A42487">
      <w:pPr>
        <w:pStyle w:val="Bullet1"/>
      </w:pPr>
      <w:r w:rsidRPr="00556023">
        <w:t>Monash Health (Monash Medical Centre Clayton)</w:t>
      </w:r>
    </w:p>
    <w:p w14:paraId="31228AE3" w14:textId="77777777" w:rsidR="00A42487" w:rsidRDefault="00A42487" w:rsidP="00A42487">
      <w:pPr>
        <w:pStyle w:val="Bullet1"/>
      </w:pPr>
      <w:r w:rsidRPr="00556023">
        <w:t>Peninsula Health (Frankston)</w:t>
      </w:r>
    </w:p>
    <w:p w14:paraId="1536E82E" w14:textId="77777777" w:rsidR="00A42487" w:rsidRDefault="00A42487" w:rsidP="00A42487">
      <w:pPr>
        <w:pStyle w:val="Bullet1"/>
      </w:pPr>
      <w:r w:rsidRPr="00556023">
        <w:t>Western Health (Sunshine)</w:t>
      </w:r>
    </w:p>
    <w:p w14:paraId="7675EBA6" w14:textId="77777777" w:rsidR="00A42487" w:rsidRDefault="00A42487" w:rsidP="00A42487">
      <w:pPr>
        <w:pStyle w:val="Bullet1"/>
      </w:pPr>
      <w:r w:rsidRPr="00556023">
        <w:t>Barwon Health (University Hospital Geelong)</w:t>
      </w:r>
    </w:p>
    <w:p w14:paraId="24DE2F53" w14:textId="77777777" w:rsidR="00A42487" w:rsidRDefault="00A42487" w:rsidP="00A42487">
      <w:pPr>
        <w:pStyle w:val="Bullet1"/>
      </w:pPr>
      <w:r w:rsidRPr="00556023">
        <w:t>St Vincent’s Hospital</w:t>
      </w:r>
      <w:r>
        <w:t xml:space="preserve"> Melbourne (Fitzroy)</w:t>
      </w:r>
    </w:p>
    <w:p w14:paraId="7ACA4BE8" w14:textId="77777777" w:rsidR="00A42487" w:rsidRDefault="00A42487" w:rsidP="00A42487">
      <w:pPr>
        <w:pStyle w:val="Bullet1"/>
      </w:pPr>
      <w:r w:rsidRPr="00556023">
        <w:t xml:space="preserve">Melbourne Health (Royal Melbourne Hospital). </w:t>
      </w:r>
    </w:p>
    <w:p w14:paraId="3DCEEB6F" w14:textId="77777777" w:rsidR="00A42487" w:rsidRPr="00556023" w:rsidRDefault="00A42487" w:rsidP="00A42487">
      <w:pPr>
        <w:pStyle w:val="Body"/>
        <w:spacing w:before="120"/>
      </w:pPr>
      <w:r w:rsidRPr="00556023">
        <w:t>An interim set of service guidelines were first implemented in October 201</w:t>
      </w:r>
      <w:r>
        <w:t>9</w:t>
      </w:r>
      <w:r w:rsidRPr="00556023">
        <w:t xml:space="preserve"> to support </w:t>
      </w:r>
      <w:r>
        <w:t>Hub</w:t>
      </w:r>
      <w:r w:rsidRPr="00556023">
        <w:t xml:space="preserve"> establishment.</w:t>
      </w:r>
    </w:p>
    <w:p w14:paraId="462AC762" w14:textId="77777777" w:rsidR="00A42487" w:rsidRPr="00556023" w:rsidRDefault="00A42487" w:rsidP="00A42487">
      <w:pPr>
        <w:pStyle w:val="Body"/>
      </w:pPr>
      <w:r>
        <w:t>The</w:t>
      </w:r>
      <w:r w:rsidRPr="00556023">
        <w:t xml:space="preserve"> role of Hubs </w:t>
      </w:r>
      <w:r>
        <w:t>is</w:t>
      </w:r>
      <w:r w:rsidRPr="00556023">
        <w:t xml:space="preserve"> reflected in the recommendations of the final report of the Royal Commission into Victoria’s Mental Health System</w:t>
      </w:r>
      <w:r>
        <w:t>.</w:t>
      </w:r>
      <w:r w:rsidRPr="002507F7">
        <w:rPr>
          <w:rStyle w:val="FootnoteReference"/>
        </w:rPr>
        <w:footnoteReference w:id="2"/>
      </w:r>
      <w:r w:rsidRPr="00556023">
        <w:t xml:space="preserve"> Recommendation 8(3)</w:t>
      </w:r>
      <w:r>
        <w:t>,</w:t>
      </w:r>
      <w:r w:rsidRPr="002507F7">
        <w:rPr>
          <w:rStyle w:val="FootnoteReference"/>
        </w:rPr>
        <w:footnoteReference w:id="3"/>
      </w:r>
      <w:r>
        <w:t xml:space="preserve"> r</w:t>
      </w:r>
      <w:r w:rsidRPr="00556023">
        <w:t>esponding to mental health crises</w:t>
      </w:r>
      <w:r>
        <w:t>,</w:t>
      </w:r>
      <w:r w:rsidRPr="00556023">
        <w:t xml:space="preserve"> </w:t>
      </w:r>
      <w:r>
        <w:t>states</w:t>
      </w:r>
      <w:r w:rsidRPr="00556023">
        <w:t xml:space="preserve"> that the </w:t>
      </w:r>
      <w:r w:rsidRPr="00556023">
        <w:lastRenderedPageBreak/>
        <w:t xml:space="preserve">capability of emergency departments to respond to mental health crisis </w:t>
      </w:r>
      <w:r>
        <w:t xml:space="preserve">is to </w:t>
      </w:r>
      <w:r w:rsidRPr="00556023">
        <w:t xml:space="preserve">be improved by </w:t>
      </w:r>
      <w:r>
        <w:t>‘</w:t>
      </w:r>
      <w:r w:rsidRPr="001A68F3">
        <w:rPr>
          <w:i/>
          <w:iCs/>
        </w:rPr>
        <w:t>ensuring there is at least one highest-level emergency department suitable for mental health and alcohol and other drug treatment in each region’</w:t>
      </w:r>
      <w:r w:rsidRPr="00556023">
        <w:t>.</w:t>
      </w:r>
    </w:p>
    <w:p w14:paraId="722FCE12" w14:textId="77777777" w:rsidR="00A42487" w:rsidRDefault="00A42487" w:rsidP="00A42487">
      <w:pPr>
        <w:pStyle w:val="Heading2"/>
      </w:pPr>
      <w:bookmarkStart w:id="4" w:name="_Toc215655952"/>
      <w:r>
        <w:t>2.1 Local approach</w:t>
      </w:r>
      <w:bookmarkEnd w:id="4"/>
    </w:p>
    <w:p w14:paraId="2F016FB7" w14:textId="77777777" w:rsidR="00A42487" w:rsidRDefault="00A42487" w:rsidP="00A42487">
      <w:pPr>
        <w:pStyle w:val="Body"/>
      </w:pPr>
      <w:r>
        <w:t xml:space="preserve">There may be differing operating contexts in metropolitan, rural and regional areas that may require changes or adaptations of local models to operate within relevant components of the Hubs guideline. Factors that may impact the operating model include: </w:t>
      </w:r>
    </w:p>
    <w:p w14:paraId="65279DF7" w14:textId="77777777" w:rsidR="00A42487" w:rsidRDefault="00A42487" w:rsidP="00A42487">
      <w:pPr>
        <w:pStyle w:val="Bullet1"/>
      </w:pPr>
      <w:r>
        <w:t>If the service includes space to deliver the Hub assessment space and short stay beds</w:t>
      </w:r>
    </w:p>
    <w:p w14:paraId="3BE3E871" w14:textId="77777777" w:rsidR="00A42487" w:rsidRDefault="00A42487" w:rsidP="00A42487">
      <w:pPr>
        <w:pStyle w:val="Bullet1"/>
      </w:pPr>
      <w:r>
        <w:t xml:space="preserve">If infrastructure works for the introduction of the Hub are staged (e.g. assessment spaces are available prior to short stay beds) </w:t>
      </w:r>
    </w:p>
    <w:p w14:paraId="31591D7B" w14:textId="77777777" w:rsidR="00A42487" w:rsidRDefault="00A42487" w:rsidP="00A42487">
      <w:pPr>
        <w:pStyle w:val="Bullet1"/>
      </w:pPr>
      <w:r>
        <w:t>Where it is located within the ED</w:t>
      </w:r>
    </w:p>
    <w:p w14:paraId="42CCB6C6" w14:textId="77777777" w:rsidR="00A42487" w:rsidRDefault="00A42487" w:rsidP="00A42487">
      <w:pPr>
        <w:pStyle w:val="Bullet1"/>
      </w:pPr>
      <w:r>
        <w:t xml:space="preserve">If other dedicated spaces are available such as Behaviour Assessment Rooms </w:t>
      </w:r>
    </w:p>
    <w:p w14:paraId="428CA185" w14:textId="77777777" w:rsidR="00A42487" w:rsidRDefault="00A42487" w:rsidP="00A42487">
      <w:pPr>
        <w:pStyle w:val="Bullet1"/>
      </w:pPr>
      <w:proofErr w:type="gramStart"/>
      <w:r>
        <w:t>How</w:t>
      </w:r>
      <w:proofErr w:type="gramEnd"/>
      <w:r>
        <w:t xml:space="preserve"> mental health and AOD staff are co-located with ED staff in the Hub. </w:t>
      </w:r>
    </w:p>
    <w:p w14:paraId="281D521F" w14:textId="77777777" w:rsidR="00A42487" w:rsidRDefault="00A42487" w:rsidP="00A42487">
      <w:pPr>
        <w:pStyle w:val="Body"/>
        <w:spacing w:before="120"/>
      </w:pPr>
      <w:r>
        <w:t xml:space="preserve">This includes the nature and extent of existing mental health and AOD services that in-reach to the ED and general medical wards of the hospital. It also includes the service partnerships that exist or can be established to meet the mental health, AOD and broader social and other wellbeing needs of consumers after a hospital stay. </w:t>
      </w:r>
    </w:p>
    <w:p w14:paraId="07E42AD5" w14:textId="77777777" w:rsidR="00A42487" w:rsidRPr="00FB555F" w:rsidRDefault="00A42487" w:rsidP="00A42487">
      <w:pPr>
        <w:pStyle w:val="Body"/>
      </w:pPr>
      <w:r>
        <w:t xml:space="preserve">EDs with a limited core workforce profile (including those with limited security and greater reliance on on-call medical cover) may raise thresholds for entry to the Hub or escalate earlier for specialist mental health, AOD or security input to avoid managing major risks (e.g. suicidality or aggression) without adequate support. In Victorian rural and regional communities, there may be fewer community providers of mental health, AOD and wellbeing services impacting choice and the availability of services offered to consumers after a hospital stay. </w:t>
      </w:r>
    </w:p>
    <w:p w14:paraId="574BF05D" w14:textId="77777777" w:rsidR="00A42487" w:rsidRDefault="00A42487" w:rsidP="00A42487">
      <w:pPr>
        <w:pStyle w:val="Heading2"/>
      </w:pPr>
      <w:bookmarkStart w:id="5" w:name="_Toc215655953"/>
      <w:r>
        <w:t>2.2 Co-design</w:t>
      </w:r>
      <w:bookmarkEnd w:id="5"/>
    </w:p>
    <w:p w14:paraId="17510876" w14:textId="77777777" w:rsidR="00A42487" w:rsidDel="00557F01" w:rsidRDefault="00A42487" w:rsidP="00A42487">
      <w:pPr>
        <w:pStyle w:val="Body"/>
      </w:pPr>
      <w:r w:rsidDel="00557F01">
        <w:t>The department expects people with lived and living experience of mental health and/or AOD issues to be central in the establishment of future Hubs and local models of care. This includes the co-design of service models, frameworks and enabling infrastructure to ensure it reflects contemporary thinking and evidence around therapeutic mental health care and therapeutic environments.</w:t>
      </w:r>
    </w:p>
    <w:p w14:paraId="1ABE6731" w14:textId="28061BC7" w:rsidR="00A42487" w:rsidRDefault="00A42487" w:rsidP="00A42487">
      <w:pPr>
        <w:pStyle w:val="Body"/>
      </w:pPr>
      <w:r>
        <w:t xml:space="preserve">One of the guiding principles of the Royal Commission is to ensure people with lived and living experience as well as local communities are central to the planning and delivery of mental health and wellbeing treatment, </w:t>
      </w:r>
      <w:r w:rsidR="00E04783">
        <w:t>care</w:t>
      </w:r>
      <w:r>
        <w:t xml:space="preserve"> and support services. This could include the use of co-design as a method to embed people with lived and living experience in the design and decision-making processes for Hub models of care and facilities.</w:t>
      </w:r>
    </w:p>
    <w:p w14:paraId="158991DA" w14:textId="77777777" w:rsidR="00A42487" w:rsidRDefault="00A42487" w:rsidP="00A42487">
      <w:pPr>
        <w:pStyle w:val="Heading2"/>
      </w:pPr>
      <w:bookmarkStart w:id="6" w:name="_Toc215655954"/>
      <w:r>
        <w:t>2.3 The guideline review period</w:t>
      </w:r>
      <w:bookmarkEnd w:id="6"/>
      <w:r>
        <w:t xml:space="preserve"> </w:t>
      </w:r>
    </w:p>
    <w:p w14:paraId="59AD23DF" w14:textId="77777777" w:rsidR="00A42487" w:rsidRPr="00E301B7" w:rsidRDefault="00A42487" w:rsidP="00A42487">
      <w:pPr>
        <w:pStyle w:val="Body"/>
      </w:pPr>
      <w:r w:rsidRPr="48F0DD3E">
        <w:rPr>
          <w:rFonts w:cs="Arial"/>
        </w:rPr>
        <w:t xml:space="preserve">The guideline for the Hubs </w:t>
      </w:r>
      <w:r>
        <w:t xml:space="preserve">will be reviewed and updated by the department as evaluation and outcome evidence is available. Any updates to the guideline will be communicated in a timely manner so that corresponding changes to local models of care can be planned and implemented whilst ensuring continuation of service delivery across all </w:t>
      </w:r>
      <w:r w:rsidRPr="48F0DD3E">
        <w:rPr>
          <w:rFonts w:cs="Arial"/>
        </w:rPr>
        <w:t>the Hubs</w:t>
      </w:r>
      <w:r>
        <w:t xml:space="preserve">. </w:t>
      </w:r>
    </w:p>
    <w:p w14:paraId="62460D62" w14:textId="77777777" w:rsidR="00A42487" w:rsidRDefault="00A42487" w:rsidP="00A42487">
      <w:pPr>
        <w:pStyle w:val="Heading1"/>
      </w:pPr>
      <w:bookmarkStart w:id="7" w:name="_Toc215655955"/>
      <w:r>
        <w:lastRenderedPageBreak/>
        <w:t>3. Service elements</w:t>
      </w:r>
      <w:bookmarkEnd w:id="7"/>
    </w:p>
    <w:p w14:paraId="347C4D9B" w14:textId="77777777" w:rsidR="00A42487" w:rsidRPr="00EA641E" w:rsidRDefault="00A42487" w:rsidP="00A42487">
      <w:pPr>
        <w:pStyle w:val="Heading2"/>
      </w:pPr>
      <w:bookmarkStart w:id="8" w:name="_Toc215655956"/>
      <w:r>
        <w:t>3.1 Service o</w:t>
      </w:r>
      <w:r w:rsidRPr="00EA641E">
        <w:t>bjectives</w:t>
      </w:r>
      <w:bookmarkEnd w:id="8"/>
      <w:r w:rsidRPr="00EA641E">
        <w:t xml:space="preserve"> </w:t>
      </w:r>
    </w:p>
    <w:p w14:paraId="1FBA0775" w14:textId="77777777" w:rsidR="00A42487" w:rsidRDefault="00A42487" w:rsidP="00A42487">
      <w:pPr>
        <w:pStyle w:val="Body"/>
      </w:pPr>
      <w:r>
        <w:t>The Hubs are a specialised stream of ED care for people aged 16 years or older presenting with acute mental health and AOD needs who are assessed as being behaviourally and medically appropriate to be managed in the Hub space and expected to benefit from an enhanced mental health and AOD assessment and brief intervention or short stay response. The Hubs provide access to a multidisciplinary team, including clinical and lived and living experience workers with physical health, mental health and AOD expertise, and dedicated purpose-designed physical space that is low stimulus and more conducive to therapeutic interventions.</w:t>
      </w:r>
    </w:p>
    <w:p w14:paraId="3EBCC64E" w14:textId="0D64597E" w:rsidR="00A42487" w:rsidRDefault="00A42487" w:rsidP="00A42487">
      <w:pPr>
        <w:pStyle w:val="Body"/>
      </w:pPr>
      <w:r>
        <w:t xml:space="preserve">The aim of the Hubs is to provide timely and effective assessment, treatment, </w:t>
      </w:r>
      <w:r w:rsidR="00E04783">
        <w:t>care</w:t>
      </w:r>
      <w:r>
        <w:t xml:space="preserve"> and support to people with acute mental health and AOD needs. If assessed as being needed and not already available, post-discharge assertive support could also be offered to people admitted to a Hub. </w:t>
      </w:r>
      <w:bookmarkStart w:id="9" w:name="_Hlk22722934"/>
      <w:r>
        <w:t>Admission to the Hubs will form part of the usual ED triage and streaming processes.</w:t>
      </w:r>
      <w:bookmarkEnd w:id="9"/>
    </w:p>
    <w:p w14:paraId="6B107E04" w14:textId="6BCB709C" w:rsidR="00A42487" w:rsidRDefault="00A42487" w:rsidP="00A42487">
      <w:pPr>
        <w:pStyle w:val="Body"/>
      </w:pPr>
      <w:r>
        <w:t xml:space="preserve">As an integrated component of the ED, the Hubs complement other ED services. This could include stabilisation of problem behaviour in a behaviour assessment room (where present) prior to admission to a Hub. Hub staff may also request input from broader ED staff if needed (including security, Aboriginal clinical or liaison roles or nursing and allied health). Hub staff will also work collaboratively with staff from the service’s Emergency Mental Health (EMH) team or ED AOD teams if operating at the service, to ensure that every consumer admitted to a Hub receives assessment and input into clinical care and planning for disposition following Hub stay provided by a mental health or AOD clinician. </w:t>
      </w:r>
    </w:p>
    <w:p w14:paraId="72BF5DEE" w14:textId="77777777" w:rsidR="00A42487" w:rsidRPr="00EA641E" w:rsidRDefault="00A42487" w:rsidP="00A42487">
      <w:pPr>
        <w:pStyle w:val="Body"/>
      </w:pPr>
      <w:r>
        <w:t>If post-hospital assertive outreach is needed and a consumer is not already in an episode of care with a service providing this, Hub staff should make a referral to enable the consumer to access this (e.g. Crisis Assessment and Treatment, Hospital Outreach Post Suicidal Engagement (HOPE) program or another team of a community mental health or AOD service).</w:t>
      </w:r>
    </w:p>
    <w:p w14:paraId="328364AE" w14:textId="77777777" w:rsidR="00A42487" w:rsidRPr="00EA641E" w:rsidRDefault="00A42487" w:rsidP="00A42487">
      <w:pPr>
        <w:pStyle w:val="Body"/>
      </w:pPr>
      <w:r w:rsidRPr="00EA641E">
        <w:t>The objectives are to:</w:t>
      </w:r>
    </w:p>
    <w:p w14:paraId="75BA2C5E" w14:textId="77777777" w:rsidR="00A42487" w:rsidRPr="00EA641E" w:rsidRDefault="00A42487" w:rsidP="00A42487">
      <w:pPr>
        <w:pStyle w:val="Bullet1"/>
      </w:pPr>
      <w:r>
        <w:t>ensure timely access to emergency treatment, care and support for people presenting with acute mental health and/or AOD needs</w:t>
      </w:r>
    </w:p>
    <w:p w14:paraId="02450518" w14:textId="77777777" w:rsidR="00A42487" w:rsidRPr="00EA641E" w:rsidRDefault="00A42487" w:rsidP="00A42487">
      <w:pPr>
        <w:pStyle w:val="Bullet1"/>
      </w:pPr>
      <w:r w:rsidRPr="00E910D8">
        <w:t xml:space="preserve">improve the experience, health and wellbeing outcomes for </w:t>
      </w:r>
      <w:r>
        <w:t xml:space="preserve">people accessing service from a multidisciplinary team including a lived and living experience staff </w:t>
      </w:r>
    </w:p>
    <w:p w14:paraId="2CE10F69" w14:textId="77777777" w:rsidR="00A42487" w:rsidRPr="00EA641E" w:rsidRDefault="00A42487" w:rsidP="00A42487">
      <w:pPr>
        <w:pStyle w:val="Bullet1"/>
      </w:pPr>
      <w:r w:rsidRPr="7E8E6178">
        <w:t xml:space="preserve">improve referral and treatment pathways to hospital and community services </w:t>
      </w:r>
      <w:r>
        <w:t xml:space="preserve">and </w:t>
      </w:r>
      <w:r w:rsidRPr="00EA641E">
        <w:t xml:space="preserve">reduce </w:t>
      </w:r>
      <w:r>
        <w:t>the need for inpatient episodes of care</w:t>
      </w:r>
    </w:p>
    <w:p w14:paraId="5118F0A2" w14:textId="77777777" w:rsidR="00A42487" w:rsidRDefault="00A42487" w:rsidP="00A42487">
      <w:pPr>
        <w:pStyle w:val="Bullet1"/>
      </w:pPr>
      <w:r w:rsidRPr="003B09D5">
        <w:t>provide therapeutic environments to reduce the trauma and distress experienced by consumers, families, carers and supporters, and staff</w:t>
      </w:r>
      <w:r>
        <w:t>,</w:t>
      </w:r>
      <w:r w:rsidRPr="003B09D5">
        <w:t xml:space="preserve"> </w:t>
      </w:r>
      <w:r w:rsidRPr="4B7B87B8">
        <w:t xml:space="preserve">increasing protection and positive experiences for all </w:t>
      </w:r>
    </w:p>
    <w:p w14:paraId="44D45E41" w14:textId="77777777" w:rsidR="00A42487" w:rsidRPr="003B09D5" w:rsidRDefault="00A42487" w:rsidP="00A42487">
      <w:pPr>
        <w:pStyle w:val="Bullet1"/>
      </w:pPr>
      <w:r>
        <w:t>support the person to address the causes of their presenting issues and avoid repeated</w:t>
      </w:r>
      <w:r w:rsidRPr="003B09D5">
        <w:t xml:space="preserve"> ED</w:t>
      </w:r>
      <w:r>
        <w:t xml:space="preserve"> presentation</w:t>
      </w:r>
      <w:r w:rsidRPr="003B09D5">
        <w:t xml:space="preserve"> through enhanced treatment</w:t>
      </w:r>
      <w:r>
        <w:t>, care and support,</w:t>
      </w:r>
      <w:r w:rsidRPr="003B09D5">
        <w:t xml:space="preserve"> optimal referrals, and follow-up</w:t>
      </w:r>
    </w:p>
    <w:p w14:paraId="2230B091" w14:textId="77777777" w:rsidR="00A42487" w:rsidRPr="00EA641E" w:rsidRDefault="00A42487" w:rsidP="00A42487">
      <w:pPr>
        <w:pStyle w:val="Bullet1"/>
      </w:pPr>
      <w:r>
        <w:t>improve understanding and capability for ED staff when working with people presenting with primary and coexisting mental health or AOD issues</w:t>
      </w:r>
    </w:p>
    <w:p w14:paraId="40F2730F" w14:textId="77777777" w:rsidR="00A42487" w:rsidRPr="003E5410" w:rsidRDefault="00A42487" w:rsidP="00A42487">
      <w:pPr>
        <w:pStyle w:val="Bullet1"/>
      </w:pPr>
      <w:r>
        <w:t>improve collaboration across the medical, mental health, AOD and lived and living experience workforces.</w:t>
      </w:r>
    </w:p>
    <w:p w14:paraId="3034CBC2" w14:textId="77777777" w:rsidR="00A42487" w:rsidRPr="00EA641E" w:rsidRDefault="00A42487" w:rsidP="00A42487">
      <w:pPr>
        <w:pStyle w:val="Heading2"/>
      </w:pPr>
      <w:bookmarkStart w:id="10" w:name="_Toc215655957"/>
      <w:r>
        <w:lastRenderedPageBreak/>
        <w:t xml:space="preserve">3.2 Service </w:t>
      </w:r>
      <w:r w:rsidRPr="00EA641E">
        <w:t xml:space="preserve">principles </w:t>
      </w:r>
      <w:r>
        <w:t>and requirements</w:t>
      </w:r>
      <w:bookmarkEnd w:id="10"/>
    </w:p>
    <w:p w14:paraId="7479ABFD" w14:textId="77777777" w:rsidR="00A42487" w:rsidRDefault="00A42487" w:rsidP="00A42487">
      <w:pPr>
        <w:pStyle w:val="Heading3"/>
      </w:pPr>
      <w:bookmarkStart w:id="11" w:name="_Toc215655958"/>
      <w:r>
        <w:t>Service principles</w:t>
      </w:r>
      <w:bookmarkEnd w:id="11"/>
    </w:p>
    <w:p w14:paraId="7AC7F2EE" w14:textId="464913BF" w:rsidR="00A42487" w:rsidRPr="00EA641E" w:rsidRDefault="00A42487" w:rsidP="00A42487">
      <w:pPr>
        <w:pStyle w:val="Body"/>
      </w:pPr>
      <w:r>
        <w:t xml:space="preserve">Practice for staff working with people admitted to the Hub and offering post-discharge support must follow the </w:t>
      </w:r>
      <w:hyperlink r:id="rId17">
        <w:r w:rsidRPr="001A57ED">
          <w:rPr>
            <w:rStyle w:val="Hyperlink"/>
            <w:rFonts w:cs="Arial"/>
          </w:rPr>
          <w:t>mental health and wellbeing principles</w:t>
        </w:r>
      </w:hyperlink>
      <w:r w:rsidR="00C5205E">
        <w:t xml:space="preserve"> &lt;</w:t>
      </w:r>
      <w:r w:rsidR="00C5205E" w:rsidRPr="00C5205E">
        <w:t>https://www.health.vic.gov.au/mental-health-and-wellbeing-act-handbook/context-of-the-act/mental-health-and-wellbeing-principles</w:t>
      </w:r>
      <w:r w:rsidR="00C5205E">
        <w:t>&gt;</w:t>
      </w:r>
      <w:r>
        <w:t xml:space="preserve"> set out in the </w:t>
      </w:r>
      <w:r w:rsidRPr="001A57ED">
        <w:rPr>
          <w:i/>
          <w:iCs/>
        </w:rPr>
        <w:t>Mental Health and Wellbeing Act (MHWA) 2022</w:t>
      </w:r>
      <w:r>
        <w:t>. This includes care that promotes:</w:t>
      </w:r>
    </w:p>
    <w:p w14:paraId="63BF958F" w14:textId="77777777" w:rsidR="00A42487" w:rsidRDefault="00A42487" w:rsidP="00A42487">
      <w:pPr>
        <w:pStyle w:val="Bullet1"/>
      </w:pPr>
      <w:r>
        <w:t>Dignity and autonomy,</w:t>
      </w:r>
    </w:p>
    <w:p w14:paraId="47D98DF4" w14:textId="77777777" w:rsidR="00A42487" w:rsidRDefault="00A42487" w:rsidP="00A42487">
      <w:pPr>
        <w:pStyle w:val="Bullet1"/>
      </w:pPr>
      <w:r>
        <w:t>Diversity of care,</w:t>
      </w:r>
    </w:p>
    <w:p w14:paraId="00279EEA" w14:textId="77777777" w:rsidR="00A42487" w:rsidRDefault="00A42487" w:rsidP="00A42487">
      <w:pPr>
        <w:pStyle w:val="Bullet1"/>
      </w:pPr>
      <w:r>
        <w:t>Least restrictive,</w:t>
      </w:r>
    </w:p>
    <w:p w14:paraId="0B081F3F" w14:textId="77777777" w:rsidR="00A42487" w:rsidRDefault="00A42487" w:rsidP="00A42487">
      <w:pPr>
        <w:pStyle w:val="Bullet1"/>
      </w:pPr>
      <w:r>
        <w:t>Support decision making,</w:t>
      </w:r>
    </w:p>
    <w:p w14:paraId="51A37C1E" w14:textId="77777777" w:rsidR="00A42487" w:rsidRDefault="00A42487" w:rsidP="00A42487">
      <w:pPr>
        <w:pStyle w:val="Bullet1"/>
      </w:pPr>
      <w:r>
        <w:t>Family and carers,</w:t>
      </w:r>
    </w:p>
    <w:p w14:paraId="07DD7704" w14:textId="77777777" w:rsidR="00A42487" w:rsidRDefault="00A42487" w:rsidP="00A42487">
      <w:pPr>
        <w:pStyle w:val="Bullet1"/>
      </w:pPr>
      <w:r>
        <w:t>Lived experience,</w:t>
      </w:r>
    </w:p>
    <w:p w14:paraId="562B7CC3" w14:textId="77777777" w:rsidR="00A42487" w:rsidRDefault="00A42487" w:rsidP="00A42487">
      <w:pPr>
        <w:pStyle w:val="Bullet1"/>
      </w:pPr>
      <w:r>
        <w:t>Health needs,</w:t>
      </w:r>
    </w:p>
    <w:p w14:paraId="5D5E3A67" w14:textId="77777777" w:rsidR="00A42487" w:rsidRDefault="00A42487" w:rsidP="00A42487">
      <w:pPr>
        <w:pStyle w:val="Bullet1"/>
      </w:pPr>
      <w:r>
        <w:t>Dignity of risk,</w:t>
      </w:r>
    </w:p>
    <w:p w14:paraId="02F35B09" w14:textId="77777777" w:rsidR="00A42487" w:rsidRDefault="00A42487" w:rsidP="00A42487">
      <w:pPr>
        <w:pStyle w:val="Bullet1"/>
      </w:pPr>
      <w:r>
        <w:t>Wellbeing of young people</w:t>
      </w:r>
    </w:p>
    <w:p w14:paraId="4CF82509" w14:textId="77777777" w:rsidR="00A42487" w:rsidRDefault="00A42487" w:rsidP="00A42487">
      <w:pPr>
        <w:pStyle w:val="Bullet1"/>
      </w:pPr>
      <w:r>
        <w:t>Diversity,</w:t>
      </w:r>
    </w:p>
    <w:p w14:paraId="66B1B006" w14:textId="77777777" w:rsidR="00A42487" w:rsidRDefault="00A42487" w:rsidP="00A42487">
      <w:pPr>
        <w:pStyle w:val="Bullet1"/>
      </w:pPr>
      <w:r>
        <w:t xml:space="preserve">Gender safety, </w:t>
      </w:r>
    </w:p>
    <w:p w14:paraId="49BABA49" w14:textId="77777777" w:rsidR="00A42487" w:rsidRDefault="00A42487" w:rsidP="00A42487">
      <w:pPr>
        <w:pStyle w:val="Bullet1"/>
      </w:pPr>
      <w:r>
        <w:t xml:space="preserve">Cultural safety, </w:t>
      </w:r>
    </w:p>
    <w:p w14:paraId="1B894FC6" w14:textId="77777777" w:rsidR="00A42487" w:rsidRDefault="00A42487" w:rsidP="00A42487">
      <w:pPr>
        <w:pStyle w:val="Bullet1"/>
      </w:pPr>
      <w:r>
        <w:t>Wellbeing of dependents,</w:t>
      </w:r>
    </w:p>
    <w:p w14:paraId="7DC61CD1" w14:textId="77777777" w:rsidR="00A42487" w:rsidRDefault="00A42487" w:rsidP="00A42487">
      <w:pPr>
        <w:pStyle w:val="Bullet1"/>
        <w:numPr>
          <w:ilvl w:val="0"/>
          <w:numId w:val="0"/>
        </w:numPr>
        <w:ind w:left="284" w:hanging="284"/>
      </w:pPr>
    </w:p>
    <w:p w14:paraId="344C7F7A" w14:textId="77777777" w:rsidR="00A42487" w:rsidRDefault="00A42487" w:rsidP="00A42487">
      <w:pPr>
        <w:pStyle w:val="Body"/>
        <w:spacing w:before="120"/>
      </w:pPr>
      <w:r>
        <w:t>When treatment and care is offered to Aboriginal and Torres Strait Islander peoples, where practicable and appropriate, this should be decided and given having regard to the views of Elders, traditional healers and Aboriginal and Torres Strait Islander mental health workers.</w:t>
      </w:r>
    </w:p>
    <w:p w14:paraId="75C34767" w14:textId="77777777" w:rsidR="00A42487" w:rsidRDefault="00A42487" w:rsidP="00A42487">
      <w:pPr>
        <w:pStyle w:val="Heading3"/>
      </w:pPr>
      <w:bookmarkStart w:id="12" w:name="_Toc215655959"/>
      <w:r>
        <w:t>Service requirements</w:t>
      </w:r>
      <w:bookmarkEnd w:id="12"/>
    </w:p>
    <w:p w14:paraId="5F9743AF" w14:textId="77777777" w:rsidR="00A42487" w:rsidRPr="00EA641E" w:rsidRDefault="00A42487" w:rsidP="00A42487">
      <w:pPr>
        <w:pStyle w:val="Body"/>
      </w:pPr>
      <w:r w:rsidRPr="00EA641E">
        <w:t xml:space="preserve">The </w:t>
      </w:r>
      <w:r w:rsidRPr="006C79B1">
        <w:t xml:space="preserve">delivery and organisation of a </w:t>
      </w:r>
      <w:r>
        <w:t>H</w:t>
      </w:r>
      <w:r w:rsidRPr="006C79B1">
        <w:t>ub</w:t>
      </w:r>
      <w:r w:rsidRPr="00EA641E">
        <w:rPr>
          <w:b/>
        </w:rPr>
        <w:t xml:space="preserve"> </w:t>
      </w:r>
      <w:r w:rsidRPr="00EA641E">
        <w:t>within the ED will:</w:t>
      </w:r>
    </w:p>
    <w:p w14:paraId="490C87C9" w14:textId="77777777" w:rsidR="00A42487" w:rsidRPr="00EA641E" w:rsidRDefault="00A42487" w:rsidP="00A42487">
      <w:pPr>
        <w:pStyle w:val="Bullet1"/>
      </w:pPr>
      <w:r>
        <w:t>facilitate continuity of care and a streamlined approach from rapid upfront assessments conducted by ED clinicians through to assessment and treatment in the Hub</w:t>
      </w:r>
    </w:p>
    <w:p w14:paraId="00C2037D" w14:textId="77777777" w:rsidR="00A42487" w:rsidRDefault="00A42487" w:rsidP="00A42487">
      <w:pPr>
        <w:pStyle w:val="Bullet1"/>
      </w:pPr>
      <w:r w:rsidRPr="00EA641E">
        <w:t>be an integrated service led by the ED, delivered by</w:t>
      </w:r>
      <w:r w:rsidRPr="5AFA1813">
        <w:t xml:space="preserve"> a multidisciplinary </w:t>
      </w:r>
      <w:r>
        <w:t>team</w:t>
      </w:r>
      <w:r w:rsidRPr="00EA641E">
        <w:t xml:space="preserve"> with ED, mental health and AOD expertise</w:t>
      </w:r>
      <w:r>
        <w:t xml:space="preserve"> including lived experience peer workers</w:t>
      </w:r>
    </w:p>
    <w:p w14:paraId="2E0C813E" w14:textId="77777777" w:rsidR="00A42487" w:rsidRDefault="00A42487" w:rsidP="00A42487">
      <w:pPr>
        <w:pStyle w:val="Bullet1"/>
      </w:pPr>
      <w:r>
        <w:t>provide a dedicated physical space within the ED that is therapeutic, low-stimulus and provides a warm environment, including soft furnishings and sensory modalities</w:t>
      </w:r>
    </w:p>
    <w:p w14:paraId="30C6EF28" w14:textId="77777777" w:rsidR="00A42487" w:rsidRDefault="00A42487" w:rsidP="00A42487">
      <w:pPr>
        <w:pStyle w:val="Bullet1"/>
      </w:pPr>
      <w:r>
        <w:t>promote person-centred care that considers the “whole person” and is provided in the least restrictive and most respectful way possible</w:t>
      </w:r>
    </w:p>
    <w:p w14:paraId="5AD1A962" w14:textId="77777777" w:rsidR="00A42487" w:rsidRPr="00EA641E" w:rsidRDefault="00A42487" w:rsidP="00A42487">
      <w:pPr>
        <w:pStyle w:val="Bullet1"/>
      </w:pPr>
      <w:r>
        <w:t>use evidence-based approaches to enhance motivation for change and reduce harm from behaviours associated with mental health challenges and substance use</w:t>
      </w:r>
    </w:p>
    <w:p w14:paraId="385C009D" w14:textId="183D9DA1" w:rsidR="00A42487" w:rsidRDefault="00A42487" w:rsidP="00A42487">
      <w:pPr>
        <w:pStyle w:val="Bullet1"/>
      </w:pPr>
      <w:r>
        <w:t xml:space="preserve">include formalised links as appropriate with other health service departments, Victoria Police, Ambulance Victoria, non-emergency patient transport services, and external health, </w:t>
      </w:r>
      <w:r w:rsidR="00E04783">
        <w:t>community,</w:t>
      </w:r>
      <w:r>
        <w:t xml:space="preserve"> and social services, AOD treatment and harm reduction services</w:t>
      </w:r>
    </w:p>
    <w:p w14:paraId="3C904753" w14:textId="77777777" w:rsidR="00A42487" w:rsidRPr="00EA641E" w:rsidRDefault="00A42487" w:rsidP="00A42487">
      <w:pPr>
        <w:pStyle w:val="Bullet1"/>
      </w:pPr>
      <w:r>
        <w:t>develop responsive handover protocols to minimise the time that police and registered paramedics and/or community first responders need to spend with mental health and AOD consumers they have transferred to an ED</w:t>
      </w:r>
    </w:p>
    <w:p w14:paraId="060D0F27" w14:textId="77777777" w:rsidR="00A42487" w:rsidRPr="00EA641E" w:rsidRDefault="00A42487" w:rsidP="00A42487">
      <w:pPr>
        <w:pStyle w:val="Bullet1"/>
      </w:pPr>
      <w:r w:rsidRPr="00EA641E">
        <w:lastRenderedPageBreak/>
        <w:t>identify and respond to service gaps and not duplicate existing activity</w:t>
      </w:r>
      <w:r>
        <w:t>, and</w:t>
      </w:r>
    </w:p>
    <w:p w14:paraId="3E0AF008" w14:textId="77777777" w:rsidR="00A42487" w:rsidRDefault="00A42487" w:rsidP="00A42487">
      <w:pPr>
        <w:pStyle w:val="Bullet1"/>
        <w:spacing w:after="120"/>
      </w:pPr>
      <w:r w:rsidRPr="00EA641E">
        <w:t>offer the best care within available resources.</w:t>
      </w:r>
    </w:p>
    <w:p w14:paraId="44A74AD5" w14:textId="6EC28E83" w:rsidR="00A42487" w:rsidRDefault="00A42487" w:rsidP="00A42487">
      <w:pPr>
        <w:pStyle w:val="Bullet1"/>
        <w:numPr>
          <w:ilvl w:val="0"/>
          <w:numId w:val="0"/>
        </w:numPr>
      </w:pPr>
      <w:r>
        <w:t xml:space="preserve">Government policy, </w:t>
      </w:r>
      <w:r w:rsidR="00E04783">
        <w:t>legislation,</w:t>
      </w:r>
      <w:r>
        <w:t xml:space="preserve"> and the National Standards for Mental Health Services require Area Mental Health and Wellbeing Services to ensure that people who speak </w:t>
      </w:r>
      <w:proofErr w:type="gramStart"/>
      <w:r>
        <w:t>limited</w:t>
      </w:r>
      <w:proofErr w:type="gramEnd"/>
      <w:r>
        <w:t xml:space="preserve"> or no English can access professional interpreting and translating services where significant decisions are concerned or when essential information is communicated. Additionally, Section 7 of the MHWA (2022), outlines the communication requirements of an entity that is required as part of provision of care under the MHWA (2022).</w:t>
      </w:r>
    </w:p>
    <w:p w14:paraId="60EEA4BE" w14:textId="4FF06737" w:rsidR="00A42487" w:rsidRPr="00EA641E" w:rsidRDefault="00A42487" w:rsidP="00A42487">
      <w:pPr>
        <w:pStyle w:val="Bullet1"/>
        <w:numPr>
          <w:ilvl w:val="0"/>
          <w:numId w:val="0"/>
        </w:numPr>
      </w:pPr>
      <w:r w:rsidRPr="00F23545">
        <w:t xml:space="preserve">Further guidance on the equitable access of translating and interpreting services can be found in </w:t>
      </w:r>
      <w:hyperlink r:id="rId18" w:history="1">
        <w:r w:rsidRPr="00DD6B1E">
          <w:rPr>
            <w:rStyle w:val="Hyperlink"/>
          </w:rPr>
          <w:t>Using Interpreting Services – Victorian Government Guidelines</w:t>
        </w:r>
      </w:hyperlink>
      <w:r w:rsidR="00C5205E">
        <w:t xml:space="preserve"> &lt;</w:t>
      </w:r>
      <w:r w:rsidR="00C5205E" w:rsidRPr="00C5205E">
        <w:t>https://www.vic.gov.au/guidelines-using-interpreting-services</w:t>
      </w:r>
      <w:r w:rsidR="00C5205E">
        <w:t>&gt;</w:t>
      </w:r>
      <w:r w:rsidRPr="00F23545">
        <w:t>.</w:t>
      </w:r>
    </w:p>
    <w:p w14:paraId="3E330549" w14:textId="77777777" w:rsidR="00A42487" w:rsidRPr="00EA641E" w:rsidRDefault="00A42487" w:rsidP="00A42487">
      <w:pPr>
        <w:pStyle w:val="Heading2"/>
      </w:pPr>
      <w:bookmarkStart w:id="13" w:name="_Toc215655960"/>
      <w:r>
        <w:t>3.3 Target group</w:t>
      </w:r>
      <w:bookmarkEnd w:id="13"/>
    </w:p>
    <w:p w14:paraId="465E8973" w14:textId="77777777" w:rsidR="00A42487" w:rsidRPr="00EA641E" w:rsidRDefault="00A42487" w:rsidP="00A42487">
      <w:pPr>
        <w:pStyle w:val="Body"/>
      </w:pPr>
      <w:r w:rsidRPr="00EA641E">
        <w:t xml:space="preserve">The </w:t>
      </w:r>
      <w:r>
        <w:t>H</w:t>
      </w:r>
      <w:r w:rsidRPr="00EA641E">
        <w:t>ub</w:t>
      </w:r>
      <w:r>
        <w:t>s are</w:t>
      </w:r>
      <w:r w:rsidRPr="00EA641E">
        <w:t xml:space="preserve"> for </w:t>
      </w:r>
      <w:r>
        <w:t>people</w:t>
      </w:r>
      <w:r w:rsidRPr="00EA641E">
        <w:t xml:space="preserve"> who</w:t>
      </w:r>
      <w:r>
        <w:t xml:space="preserve"> are aged 16 years and above</w:t>
      </w:r>
      <w:r w:rsidRPr="3CF06E93">
        <w:t xml:space="preserve"> (including 65+)</w:t>
      </w:r>
      <w:r>
        <w:t xml:space="preserve"> and:</w:t>
      </w:r>
    </w:p>
    <w:p w14:paraId="33CBE901" w14:textId="77777777" w:rsidR="00A42487" w:rsidRDefault="00A42487" w:rsidP="00A42487">
      <w:pPr>
        <w:pStyle w:val="Bullet1"/>
      </w:pPr>
      <w:r>
        <w:t>are experiencing acute psychological distress or mental health or AOD issues, regardless of whether they are currently registered in the mental health and wellbeing system, and could benefit from emergency assessment, treatment, care and support</w:t>
      </w:r>
    </w:p>
    <w:p w14:paraId="30B6983E" w14:textId="77777777" w:rsidR="00A42487" w:rsidRPr="00EA641E" w:rsidRDefault="00A42487" w:rsidP="00A42487">
      <w:pPr>
        <w:pStyle w:val="Bullet1"/>
      </w:pPr>
      <w:r w:rsidRPr="3CF06E93">
        <w:t>present with suicidal ideation or following self-harm</w:t>
      </w:r>
    </w:p>
    <w:p w14:paraId="67FB43EF" w14:textId="77777777" w:rsidR="00A42487" w:rsidRPr="00EA641E" w:rsidRDefault="00A42487" w:rsidP="00A42487">
      <w:pPr>
        <w:pStyle w:val="Bullet1"/>
      </w:pPr>
      <w:r w:rsidRPr="3CF06E93">
        <w:t>present with the symptoms of acute substance intoxication</w:t>
      </w:r>
      <w:r>
        <w:t>,</w:t>
      </w:r>
      <w:r w:rsidRPr="3CF06E93">
        <w:t xml:space="preserve"> withdrawal</w:t>
      </w:r>
      <w:r>
        <w:t xml:space="preserve"> or dependence</w:t>
      </w:r>
    </w:p>
    <w:p w14:paraId="2D6A179E" w14:textId="77777777" w:rsidR="00A42487" w:rsidRDefault="00A42487" w:rsidP="00A42487">
      <w:pPr>
        <w:pStyle w:val="Bullet1"/>
        <w:spacing w:after="120"/>
      </w:pPr>
      <w:r>
        <w:t>present to ED triage as directed by the Area Mental Health and Wellbeing Service, or a GP or community mental health professional, or following transportation under the Mental Health and Wellbeing Act 2022 for assessment or care.</w:t>
      </w:r>
    </w:p>
    <w:p w14:paraId="5A18E289" w14:textId="77777777" w:rsidR="00A42487" w:rsidRPr="00EA641E" w:rsidRDefault="00A42487" w:rsidP="00A42487">
      <w:pPr>
        <w:pStyle w:val="Body"/>
      </w:pPr>
      <w:r w:rsidRPr="00EA641E">
        <w:t xml:space="preserve">The </w:t>
      </w:r>
      <w:r>
        <w:t>H</w:t>
      </w:r>
      <w:r w:rsidRPr="00EA641E">
        <w:t>ub</w:t>
      </w:r>
      <w:r>
        <w:t>s are</w:t>
      </w:r>
      <w:r w:rsidRPr="00EA641E">
        <w:t xml:space="preserve"> </w:t>
      </w:r>
      <w:r w:rsidRPr="00EA641E">
        <w:rPr>
          <w:b/>
        </w:rPr>
        <w:t>not</w:t>
      </w:r>
      <w:r w:rsidRPr="00EA641E">
        <w:t xml:space="preserve"> for </w:t>
      </w:r>
      <w:r>
        <w:t xml:space="preserve">people </w:t>
      </w:r>
      <w:r w:rsidRPr="00EA641E">
        <w:t>who:</w:t>
      </w:r>
    </w:p>
    <w:p w14:paraId="07B78F52" w14:textId="77777777" w:rsidR="00A42487" w:rsidRDefault="00A42487" w:rsidP="00A42487">
      <w:pPr>
        <w:pStyle w:val="Bullet1"/>
      </w:pPr>
      <w:r>
        <w:t>are awaiting admission to an acute mental health inpatient bed</w:t>
      </w:r>
    </w:p>
    <w:p w14:paraId="2801DF55" w14:textId="77777777" w:rsidR="00A42487" w:rsidRPr="00EA641E" w:rsidRDefault="00A42487" w:rsidP="00A42487">
      <w:pPr>
        <w:pStyle w:val="Bullet1"/>
      </w:pPr>
      <w:r w:rsidRPr="3CF06E93">
        <w:t>have a high-risk medical instability or require acute or complex medical intervention and care beyond the service provision available within the Hub</w:t>
      </w:r>
    </w:p>
    <w:p w14:paraId="6AE18F9A" w14:textId="77777777" w:rsidR="00A42487" w:rsidRPr="00EA641E" w:rsidRDefault="00A42487" w:rsidP="00A42487">
      <w:pPr>
        <w:pStyle w:val="Bullet1"/>
      </w:pPr>
      <w:r>
        <w:t>have an organic disease or brain injury (unless there is an acute coexisting mental health or AOD issue)</w:t>
      </w:r>
    </w:p>
    <w:p w14:paraId="6A4EEAF9" w14:textId="34358AC5" w:rsidR="00A42487" w:rsidRPr="00EA641E" w:rsidRDefault="00A42487" w:rsidP="00A42487">
      <w:pPr>
        <w:pStyle w:val="Bullet1"/>
      </w:pPr>
      <w:r>
        <w:t>are exhibiting aggression and violence or self-harm behaviour that cannot be de-escalated or safely managed within a Hub, at the discretion of the health service, and where a behaviour assessment room may be more appropriate if available for further assessment and stabilisation before further consideration of Hub admission (see the department’s</w:t>
      </w:r>
      <w:r w:rsidR="00A908A4">
        <w:t xml:space="preserve"> </w:t>
      </w:r>
      <w:hyperlink r:id="rId19" w:history="1">
        <w:r w:rsidR="00A908A4" w:rsidRPr="00C5205E">
          <w:rPr>
            <w:rStyle w:val="Hyperlink"/>
          </w:rPr>
          <w:t>Guidelines for behavioural assessment rooms in emergency departments</w:t>
        </w:r>
      </w:hyperlink>
      <w:r w:rsidR="00A908A4">
        <w:t xml:space="preserve"> &lt;</w:t>
      </w:r>
      <w:r w:rsidR="00A908A4" w:rsidRPr="00C5205E">
        <w:t>https://www.vhba.vic.gov.au/resources/design-guidelines</w:t>
      </w:r>
      <w:r w:rsidR="00A908A4">
        <w:t>&gt;</w:t>
      </w:r>
      <w:r>
        <w:t>, or</w:t>
      </w:r>
    </w:p>
    <w:p w14:paraId="70993F2D" w14:textId="77777777" w:rsidR="00A42487" w:rsidRDefault="00A42487" w:rsidP="00A42487">
      <w:pPr>
        <w:pStyle w:val="Bullet1"/>
      </w:pPr>
      <w:r w:rsidRPr="3CF06E93">
        <w:t>are under 16 years of age</w:t>
      </w:r>
      <w:r>
        <w:rPr>
          <w:rStyle w:val="FootnoteReference"/>
        </w:rPr>
        <w:footnoteReference w:id="4"/>
      </w:r>
      <w:r w:rsidRPr="3CF06E93">
        <w:t>.</w:t>
      </w:r>
    </w:p>
    <w:p w14:paraId="421990B1" w14:textId="77777777" w:rsidR="00A42487" w:rsidRDefault="00A42487" w:rsidP="00A42487">
      <w:pPr>
        <w:pStyle w:val="Bullet1"/>
        <w:numPr>
          <w:ilvl w:val="0"/>
          <w:numId w:val="0"/>
        </w:numPr>
      </w:pPr>
      <w:r>
        <w:t>ED triage in discussion with the Hub Nurse in charge, ED Nurse in charge and an EMH team clinician can make the decision to admit someone to a Hub presenting with the above exclusion criteria with consideration given to a consumer’s presenting needs and others already in the Hub.</w:t>
      </w:r>
    </w:p>
    <w:p w14:paraId="69D0AD24" w14:textId="77777777" w:rsidR="00A42487" w:rsidRPr="00EA641E" w:rsidRDefault="00A42487" w:rsidP="00A42487">
      <w:pPr>
        <w:pStyle w:val="Heading2"/>
      </w:pPr>
      <w:bookmarkStart w:id="14" w:name="_Toc215655961"/>
      <w:r>
        <w:lastRenderedPageBreak/>
        <w:t>3.4 Guideline components</w:t>
      </w:r>
      <w:bookmarkEnd w:id="14"/>
      <w:r>
        <w:t xml:space="preserve"> </w:t>
      </w:r>
    </w:p>
    <w:p w14:paraId="058F2BED" w14:textId="77777777" w:rsidR="00A42487" w:rsidRDefault="00A42487" w:rsidP="00A42487">
      <w:pPr>
        <w:pStyle w:val="Body"/>
      </w:pPr>
      <w:r w:rsidRPr="7C33AA8B">
        <w:t xml:space="preserve">The Hubs operate 24-hours a day, seven-days a week to provide an integrated care pathway to respond to people presenting to the ED with </w:t>
      </w:r>
      <w:r>
        <w:t>acute</w:t>
      </w:r>
      <w:r w:rsidRPr="7C33AA8B">
        <w:t xml:space="preserve"> mental health </w:t>
      </w:r>
      <w:r>
        <w:t>and/</w:t>
      </w:r>
      <w:r w:rsidRPr="7C33AA8B">
        <w:t xml:space="preserve">or AOD needs. </w:t>
      </w:r>
    </w:p>
    <w:p w14:paraId="6094E183" w14:textId="77777777" w:rsidR="00A42487" w:rsidRDefault="00A42487" w:rsidP="00A42487">
      <w:pPr>
        <w:pStyle w:val="Body"/>
      </w:pPr>
      <w:r>
        <w:t>The</w:t>
      </w:r>
      <w:r w:rsidRPr="7C33AA8B">
        <w:t xml:space="preserve"> Hubs should be staffed by a multidisciplinary workforce including consumer and carer peer workers, nursing, mental health and AOD clinicians,</w:t>
      </w:r>
      <w:r>
        <w:t xml:space="preserve"> and</w:t>
      </w:r>
      <w:r w:rsidRPr="7C33AA8B">
        <w:t xml:space="preserve"> medical staff.</w:t>
      </w:r>
    </w:p>
    <w:p w14:paraId="4A9C4431" w14:textId="77777777" w:rsidR="00A42487" w:rsidRPr="000C3C68" w:rsidRDefault="00A42487" w:rsidP="00A42487">
      <w:pPr>
        <w:pStyle w:val="Body"/>
      </w:pPr>
      <w:r w:rsidRPr="7C33AA8B">
        <w:t xml:space="preserve">The Hubs </w:t>
      </w:r>
      <w:r>
        <w:t>deliver</w:t>
      </w:r>
      <w:r w:rsidRPr="7C33AA8B">
        <w:t xml:space="preserve"> three components: </w:t>
      </w:r>
    </w:p>
    <w:p w14:paraId="67F0F154" w14:textId="77777777" w:rsidR="00A42487" w:rsidRDefault="00A42487" w:rsidP="00A42487">
      <w:pPr>
        <w:pStyle w:val="Bullet1"/>
      </w:pPr>
      <w:r>
        <w:rPr>
          <w:b/>
          <w:bCs/>
        </w:rPr>
        <w:t>N</w:t>
      </w:r>
      <w:r w:rsidRPr="7C33AA8B">
        <w:rPr>
          <w:b/>
          <w:bCs/>
        </w:rPr>
        <w:t>on-admitted care</w:t>
      </w:r>
    </w:p>
    <w:p w14:paraId="21670214" w14:textId="77777777" w:rsidR="00A42487" w:rsidRPr="00FE7320" w:rsidRDefault="00A42487" w:rsidP="00A42487">
      <w:pPr>
        <w:pStyle w:val="Bullet1"/>
        <w:numPr>
          <w:ilvl w:val="0"/>
          <w:numId w:val="0"/>
        </w:numPr>
        <w:ind w:left="284"/>
      </w:pPr>
      <w:r>
        <w:t xml:space="preserve">The length of stay is ideally 4 hours (up to 24 hours, where required). Consumers will receive multidisciplinary assessment (physical, mental health and AOD), followed by appropriate treatment, care and support and warm referrals when appropriate. This is to be delivered in dedicated, purpose-designed private interview spaces for people who do not undergo a formal admission process and do not occupy a hospital bed. </w:t>
      </w:r>
    </w:p>
    <w:p w14:paraId="07C77596" w14:textId="77777777" w:rsidR="00A42487" w:rsidRDefault="00A42487" w:rsidP="00A42487">
      <w:pPr>
        <w:pStyle w:val="Bullet1"/>
        <w:rPr>
          <w:b/>
        </w:rPr>
      </w:pPr>
      <w:r>
        <w:rPr>
          <w:b/>
          <w:bCs/>
        </w:rPr>
        <w:t>S</w:t>
      </w:r>
      <w:r w:rsidRPr="3CF06E93">
        <w:rPr>
          <w:b/>
          <w:bCs/>
        </w:rPr>
        <w:t>hort stay unit</w:t>
      </w:r>
    </w:p>
    <w:p w14:paraId="09F6B770" w14:textId="5B8B0097" w:rsidR="00A42487" w:rsidRPr="00C36172" w:rsidRDefault="00A42487" w:rsidP="00A42487">
      <w:pPr>
        <w:pStyle w:val="Bullet1"/>
        <w:numPr>
          <w:ilvl w:val="0"/>
          <w:numId w:val="0"/>
        </w:numPr>
        <w:ind w:left="284"/>
      </w:pPr>
      <w:r>
        <w:t>The Hub space is a standalone space within the ED and includes cubicles or bedrooms that can be used to offer a short stay admission in line with the Hub eligibility criteria. C</w:t>
      </w:r>
      <w:r w:rsidRPr="3CF06E93">
        <w:t>omprehensive</w:t>
      </w:r>
      <w:r>
        <w:t>,</w:t>
      </w:r>
      <w:r w:rsidRPr="3CF06E93">
        <w:t xml:space="preserve"> consumer-centred care</w:t>
      </w:r>
      <w:r>
        <w:t xml:space="preserve"> is provided,</w:t>
      </w:r>
      <w:r w:rsidRPr="3CF06E93">
        <w:t xml:space="preserve"> including </w:t>
      </w:r>
      <w:r>
        <w:t xml:space="preserve">therapeutic engagement and brief psychological interventions, </w:t>
      </w:r>
      <w:r w:rsidRPr="3CF06E93">
        <w:t xml:space="preserve">observation, treatment, and stabilisation for ideally 24 hours or less (up to 72 hours, where clinically required). The short stay unit is a purpose-designed, therapeutic inpatient environment that </w:t>
      </w:r>
      <w:r>
        <w:t>aligns</w:t>
      </w:r>
      <w:r w:rsidRPr="3CF06E93">
        <w:t xml:space="preserve"> with all regulations, </w:t>
      </w:r>
      <w:r w:rsidR="00E04783" w:rsidRPr="3CF06E93">
        <w:t>standards,</w:t>
      </w:r>
      <w:r w:rsidRPr="3CF06E93">
        <w:t xml:space="preserve"> and policies for acute mental health services. The Hub</w:t>
      </w:r>
      <w:r>
        <w:t>’s</w:t>
      </w:r>
      <w:r w:rsidRPr="3CF06E93">
        <w:t xml:space="preserve"> staff will work across both the non-admitted and short stay service components. </w:t>
      </w:r>
    </w:p>
    <w:p w14:paraId="58E80327" w14:textId="77777777" w:rsidR="00A42487" w:rsidRPr="00F823E1" w:rsidRDefault="00A42487" w:rsidP="00A42487">
      <w:pPr>
        <w:pStyle w:val="Bullet1"/>
        <w:rPr>
          <w:sz w:val="22"/>
          <w:szCs w:val="22"/>
        </w:rPr>
      </w:pPr>
      <w:r>
        <w:rPr>
          <w:b/>
          <w:bCs/>
        </w:rPr>
        <w:t>Post-discharge support</w:t>
      </w:r>
    </w:p>
    <w:p w14:paraId="57CDC33D" w14:textId="77777777" w:rsidR="00A42487" w:rsidRPr="00A73235" w:rsidRDefault="00A42487" w:rsidP="00A42487">
      <w:pPr>
        <w:pStyle w:val="Bullet1"/>
        <w:numPr>
          <w:ilvl w:val="0"/>
          <w:numId w:val="0"/>
        </w:numPr>
        <w:ind w:left="284"/>
        <w:rPr>
          <w:sz w:val="22"/>
          <w:szCs w:val="22"/>
        </w:rPr>
      </w:pPr>
      <w:r>
        <w:t>Hub consumers discharged to the community may need post-discharge follow-up. If already in an episode of care with a community mental health or AOD team, Hub staff with consent should communicate with treating clinicians to ensure capacity to offer required follow-up. If a new episode of post-discharge assertive outreach is needed, Hub staff should make a referral to an ED post-discharge follow-up team if available and lower acuity, or refer the consumer to a community mental health or AOD assertive outreach team to facilitate comprehensive assessment for consumers, provide appropriate interventions and referrals in response to presenting needs and provide follow-up engagement.</w:t>
      </w:r>
    </w:p>
    <w:p w14:paraId="0BC7CD5C" w14:textId="77777777" w:rsidR="00A42487" w:rsidRPr="00EA641E" w:rsidRDefault="00A42487" w:rsidP="00A42487">
      <w:pPr>
        <w:pStyle w:val="Heading1"/>
      </w:pPr>
      <w:bookmarkStart w:id="15" w:name="_Toc215655962"/>
      <w:r>
        <w:t>4. Governance</w:t>
      </w:r>
      <w:bookmarkEnd w:id="15"/>
      <w:r>
        <w:t xml:space="preserve"> </w:t>
      </w:r>
    </w:p>
    <w:p w14:paraId="437AAF4A" w14:textId="56A19734" w:rsidR="7627319D" w:rsidRDefault="00A42487" w:rsidP="368DB8EA">
      <w:pPr>
        <w:pStyle w:val="Body"/>
        <w:rPr>
          <w:rFonts w:eastAsia="Arial" w:cs="Arial"/>
          <w:color w:val="000000" w:themeColor="text1"/>
        </w:rPr>
      </w:pPr>
      <w:r>
        <w:t>The Hubs are under the clinical governance of the ED through existing health service structures and functions. The ED will ultimately be responsible for the clinical and operational management of the non-admitted care and short stay unit components of the Hubs. As such, clinicians working within the Hubs will be employed under the same industrial agreement/s as other ED clinicians within that service.</w:t>
      </w:r>
      <w:r w:rsidR="400F080E">
        <w:t xml:space="preserve"> </w:t>
      </w:r>
      <w:r w:rsidR="400F080E" w:rsidRPr="368DB8EA">
        <w:rPr>
          <w:rFonts w:eastAsia="Arial" w:cs="Arial"/>
          <w:color w:val="000000" w:themeColor="text1"/>
        </w:rPr>
        <w:t>Hub staff will also have appropriate access to discipline-specific supervision and professional development and to help resolve scope of practice concerns if they arise.</w:t>
      </w:r>
    </w:p>
    <w:p w14:paraId="18ED9907" w14:textId="77777777" w:rsidR="00A42487" w:rsidRPr="00F17A2E" w:rsidRDefault="00A42487" w:rsidP="00A42487">
      <w:pPr>
        <w:pStyle w:val="Body"/>
      </w:pPr>
      <w:r w:rsidRPr="00F17A2E">
        <w:t>The provision of physical health, mental health and AOD expertise is critical to the operation and fidelity of this service. The provision of integrated multidisciplinary Hub care, including triage, assessment, treatment, short stay and discharge planning, will occur under the clinical oversight of ED clinical leads. Staff offering mental health and AOD clinical or peer expertise may be employed as a part of the ED Hub team or be</w:t>
      </w:r>
      <w:r w:rsidRPr="00F17A2E" w:rsidDel="00221D3A">
        <w:t xml:space="preserve"> </w:t>
      </w:r>
      <w:r w:rsidRPr="00F17A2E">
        <w:t xml:space="preserve">employed by the health service’s mental health and/or AOD program to offer consultation liaison or in-reach input into Hub operation. </w:t>
      </w:r>
    </w:p>
    <w:p w14:paraId="6E146FEA" w14:textId="77777777" w:rsidR="00A42487" w:rsidRDefault="00A42487" w:rsidP="00A42487">
      <w:pPr>
        <w:pStyle w:val="Body"/>
      </w:pPr>
      <w:r w:rsidRPr="00F17A2E">
        <w:lastRenderedPageBreak/>
        <w:t>Hub staff will not hold clinical governance for post-discharge care. For Hub consumers who will be discharged to the community with a level of clinical</w:t>
      </w:r>
      <w:r>
        <w:t xml:space="preserve"> acuity and/or risk that needs community follow-up from a mental health (e.g. via the Emergency Mental Health, crisis assessment and treatment or HOPE team) or AOD (e.g. via an alcohol or other drug outreach worker) team, early referral should occur. If acceptance is confirmed, transfer of governance will occur when the person is discharged. Early collaborative planning with consumers and engaged family, carers and supporters for care needs following engagement with the Hub and associated outreach should occur to ensure readiness for transition.</w:t>
      </w:r>
    </w:p>
    <w:p w14:paraId="21166410" w14:textId="77777777" w:rsidR="00A42487" w:rsidRPr="00FB555F" w:rsidRDefault="00A42487" w:rsidP="00A42487">
      <w:pPr>
        <w:pStyle w:val="Body"/>
      </w:pPr>
      <w:r>
        <w:t>Clinical and operational issues experienced with transfer of care to community mental health or AOD teams operated by the health service should be communicated with ED leadership and raised, if appropriate for discussion at the Governance Committee providing oversight for Hub operation.</w:t>
      </w:r>
    </w:p>
    <w:p w14:paraId="73097D9F" w14:textId="34B24819" w:rsidR="00A42487" w:rsidRDefault="00A42487" w:rsidP="00A42487">
      <w:pPr>
        <w:pStyle w:val="Body"/>
      </w:pPr>
      <w:r>
        <w:t xml:space="preserve">Formal partnerships and ways of collaborative working are to be documented in agreed models of care and operational guides </w:t>
      </w:r>
      <w:r w:rsidR="006C0DB5">
        <w:t>involving the</w:t>
      </w:r>
      <w:r>
        <w:t xml:space="preserve"> ED, mental </w:t>
      </w:r>
      <w:r w:rsidR="00E04783">
        <w:t>health,</w:t>
      </w:r>
      <w:r>
        <w:t xml:space="preserve"> and AOD departments to support treatment, care and support pathways, roles, and responsibilities and an escalation pathway for potential concerns.</w:t>
      </w:r>
    </w:p>
    <w:p w14:paraId="4E25255C" w14:textId="77777777" w:rsidR="00A42487" w:rsidRPr="00FB555F" w:rsidRDefault="00A42487" w:rsidP="00A42487">
      <w:pPr>
        <w:pStyle w:val="Body"/>
      </w:pPr>
      <w:r>
        <w:t xml:space="preserve">Professional governance should also be described for staff working in the Hubs to ensure they are appropriately qualified, working within agreed scopes of practice and offered appropriate discipline specific development opportunities. How this can be provided is further described in section </w:t>
      </w:r>
      <w:r w:rsidRPr="00312A4B">
        <w:rPr>
          <w:b/>
          <w:bCs/>
        </w:rPr>
        <w:t>6. Workforce</w:t>
      </w:r>
      <w:r>
        <w:t>.</w:t>
      </w:r>
    </w:p>
    <w:p w14:paraId="02172A25" w14:textId="77777777" w:rsidR="00A42487" w:rsidRPr="00EA641E" w:rsidRDefault="00A42487" w:rsidP="00A42487">
      <w:pPr>
        <w:pStyle w:val="Heading2"/>
        <w:rPr>
          <w:b w:val="0"/>
        </w:rPr>
      </w:pPr>
      <w:bookmarkStart w:id="16" w:name="_Toc215655963"/>
      <w:r>
        <w:t>4.1 Governance committee</w:t>
      </w:r>
      <w:bookmarkEnd w:id="16"/>
    </w:p>
    <w:p w14:paraId="4DB87A3F" w14:textId="57CD3558" w:rsidR="00A42487" w:rsidRPr="006B5F5F" w:rsidRDefault="00A42487" w:rsidP="00A42487">
      <w:pPr>
        <w:pStyle w:val="Body"/>
      </w:pPr>
      <w:r>
        <w:t xml:space="preserve">Each health service must ensure that Hub clinical and operational matters are included for regular discussion at existing meetings involving ED, mental </w:t>
      </w:r>
      <w:r w:rsidR="00E04783">
        <w:t>health,</w:t>
      </w:r>
      <w:r>
        <w:t xml:space="preserve"> and AOD program leaders. Items for discussion could include:</w:t>
      </w:r>
    </w:p>
    <w:p w14:paraId="3936B48E" w14:textId="77777777" w:rsidR="00A42487" w:rsidRPr="00EA641E" w:rsidRDefault="00A42487" w:rsidP="00A42487">
      <w:pPr>
        <w:pStyle w:val="Bullet1"/>
      </w:pPr>
      <w:r w:rsidRPr="00EA641E">
        <w:t>variances to the model of care</w:t>
      </w:r>
    </w:p>
    <w:p w14:paraId="02B98B20" w14:textId="77777777" w:rsidR="00A42487" w:rsidRPr="00EA641E" w:rsidRDefault="00A42487" w:rsidP="00A42487">
      <w:pPr>
        <w:pStyle w:val="Bullet1"/>
      </w:pPr>
      <w:r w:rsidRPr="00EA641E">
        <w:t>ongoing workforce development needs</w:t>
      </w:r>
    </w:p>
    <w:p w14:paraId="231AEE71" w14:textId="77777777" w:rsidR="00A42487" w:rsidRPr="00EA641E" w:rsidRDefault="00A42487" w:rsidP="00A42487">
      <w:pPr>
        <w:pStyle w:val="Bullet1"/>
      </w:pPr>
      <w:r w:rsidRPr="00EA641E">
        <w:t>ED and mental health and AOD</w:t>
      </w:r>
      <w:r>
        <w:t xml:space="preserve"> ED</w:t>
      </w:r>
      <w:r w:rsidRPr="00EA641E">
        <w:t xml:space="preserve"> </w:t>
      </w:r>
      <w:r>
        <w:t>H</w:t>
      </w:r>
      <w:r w:rsidRPr="00EA641E">
        <w:t>ub performance data</w:t>
      </w:r>
      <w:r>
        <w:t xml:space="preserve"> and consumer and carer feedback</w:t>
      </w:r>
    </w:p>
    <w:p w14:paraId="5B3A3826" w14:textId="77777777" w:rsidR="00A42487" w:rsidRPr="00EA641E" w:rsidRDefault="00A42487" w:rsidP="00A42487">
      <w:pPr>
        <w:pStyle w:val="Bullet1"/>
      </w:pPr>
      <w:r w:rsidRPr="00EA641E">
        <w:t>critical incidents</w:t>
      </w:r>
    </w:p>
    <w:p w14:paraId="6388E524" w14:textId="77777777" w:rsidR="00A42487" w:rsidRPr="00EA641E" w:rsidRDefault="00A42487" w:rsidP="00A42487">
      <w:pPr>
        <w:pStyle w:val="Bullet1"/>
      </w:pPr>
      <w:r w:rsidRPr="00EA641E">
        <w:t xml:space="preserve">safety </w:t>
      </w:r>
      <w:r>
        <w:t>(including ligature and anchor point audit and action</w:t>
      </w:r>
      <w:r w:rsidRPr="00BF1F80">
        <w:t xml:space="preserve"> </w:t>
      </w:r>
      <w:r>
        <w:t>plans in accordance with published Safer Care Victoria guidance</w:t>
      </w:r>
      <w:r>
        <w:rPr>
          <w:rStyle w:val="FootnoteReference"/>
        </w:rPr>
        <w:footnoteReference w:id="5"/>
      </w:r>
      <w:r>
        <w:t xml:space="preserve"> and restrictive intervention use) </w:t>
      </w:r>
      <w:r w:rsidRPr="00EA641E">
        <w:t>and security issues</w:t>
      </w:r>
    </w:p>
    <w:p w14:paraId="15CB8008" w14:textId="77777777" w:rsidR="00A42487" w:rsidRPr="00EA641E" w:rsidRDefault="00A42487" w:rsidP="00A42487">
      <w:pPr>
        <w:pStyle w:val="Bullet1"/>
      </w:pPr>
      <w:r w:rsidRPr="00EA641E">
        <w:t>case reviews</w:t>
      </w:r>
    </w:p>
    <w:p w14:paraId="3AFB603D" w14:textId="77777777" w:rsidR="00A42487" w:rsidRPr="00EA641E" w:rsidRDefault="00A42487" w:rsidP="00A42487">
      <w:pPr>
        <w:pStyle w:val="Bullet1"/>
      </w:pPr>
      <w:r w:rsidRPr="00EA641E">
        <w:t>joint quality and performance monitoring, and improvement initiatives</w:t>
      </w:r>
    </w:p>
    <w:p w14:paraId="58A7D9E0" w14:textId="77777777" w:rsidR="00A42487" w:rsidRDefault="00A42487" w:rsidP="00A42487">
      <w:pPr>
        <w:pStyle w:val="Bullet1"/>
        <w:spacing w:after="120"/>
      </w:pPr>
      <w:r>
        <w:t>joint policy and procedure development and reporting.</w:t>
      </w:r>
    </w:p>
    <w:p w14:paraId="3A5E5EC9" w14:textId="77777777" w:rsidR="00A42487" w:rsidRPr="006B5F5F" w:rsidRDefault="00A42487" w:rsidP="00A42487">
      <w:pPr>
        <w:pStyle w:val="Body"/>
      </w:pPr>
      <w:r>
        <w:t>.</w:t>
      </w:r>
    </w:p>
    <w:p w14:paraId="51671AE3" w14:textId="77777777" w:rsidR="00A42487" w:rsidRPr="00EA641E" w:rsidRDefault="00A42487" w:rsidP="00A42487">
      <w:pPr>
        <w:pStyle w:val="Heading2"/>
        <w:rPr>
          <w:b w:val="0"/>
        </w:rPr>
      </w:pPr>
      <w:bookmarkStart w:id="17" w:name="_Toc215655964"/>
      <w:r>
        <w:t>4.2 Roles and responsibilities</w:t>
      </w:r>
      <w:bookmarkEnd w:id="17"/>
    </w:p>
    <w:p w14:paraId="7B7F5672" w14:textId="77777777" w:rsidR="00A42487" w:rsidRPr="003B4DB6" w:rsidRDefault="00A42487" w:rsidP="00A42487">
      <w:pPr>
        <w:pStyle w:val="Body"/>
      </w:pPr>
      <w:r>
        <w:t>Role clarity for clinicians, peer workers and administrative staff is critical to the successful operation of the Hubs. This should include clearly describing how staff from existing mental health and AOD teams that operate in the ED collaborate with Hub staff and contribute as required to Hub operation and flow decision-making. The following features are important for an optimal approach to care.</w:t>
      </w:r>
    </w:p>
    <w:p w14:paraId="5F244767" w14:textId="77777777" w:rsidR="00A42487" w:rsidRDefault="00A42487" w:rsidP="00A42487">
      <w:pPr>
        <w:pStyle w:val="Bullet1"/>
      </w:pPr>
      <w:r>
        <w:t xml:space="preserve">Clearly defined roles, responsibilities, reporting and supervision arrangements for all staff. </w:t>
      </w:r>
    </w:p>
    <w:p w14:paraId="0DD41B27" w14:textId="77777777" w:rsidR="00A42487" w:rsidRDefault="00A42487" w:rsidP="00A42487">
      <w:pPr>
        <w:pStyle w:val="Bullet1"/>
      </w:pPr>
      <w:r>
        <w:t>Ways of working that includes a vision and processes for communication, share</w:t>
      </w:r>
      <w:r w:rsidRPr="00770280">
        <w:t>d</w:t>
      </w:r>
      <w:r w:rsidRPr="00CB191C">
        <w:t xml:space="preserve"> and supported </w:t>
      </w:r>
      <w:r>
        <w:t>decision-making, and managing conflict across the multidisciplinary team.</w:t>
      </w:r>
    </w:p>
    <w:p w14:paraId="1D226DC1" w14:textId="5FE3BF60" w:rsidR="00A42487" w:rsidRDefault="00A42487" w:rsidP="00A42487">
      <w:pPr>
        <w:pStyle w:val="Bullet1"/>
      </w:pPr>
      <w:r>
        <w:lastRenderedPageBreak/>
        <w:t xml:space="preserve">Clinical review and handover that enables collaborative care plans and potential risks to be documented, </w:t>
      </w:r>
      <w:r w:rsidR="00E04783">
        <w:t>shared,</w:t>
      </w:r>
      <w:r>
        <w:t xml:space="preserve"> and monitored including the frequency of observation and actions needed to ensure safety.</w:t>
      </w:r>
    </w:p>
    <w:p w14:paraId="4CD93CA2" w14:textId="77777777" w:rsidR="00A42487" w:rsidRDefault="00A42487" w:rsidP="00A42487">
      <w:pPr>
        <w:pStyle w:val="Bullet1"/>
      </w:pPr>
      <w:r>
        <w:t>Ensuring that language, cultural and other preferences for engagement can be supported wherever possible.</w:t>
      </w:r>
    </w:p>
    <w:p w14:paraId="44F8038B" w14:textId="52E0B73C" w:rsidR="00A42487" w:rsidRDefault="00A42487" w:rsidP="00A42487">
      <w:pPr>
        <w:pStyle w:val="Bullet1"/>
      </w:pPr>
      <w:r>
        <w:t xml:space="preserve">A multidisciplinary Hub team including medical, nursing, allied health, peer </w:t>
      </w:r>
      <w:r w:rsidR="00E04783">
        <w:t>support,</w:t>
      </w:r>
      <w:r>
        <w:t xml:space="preserve"> and administrative staff needed to deliver all discipline specific Hub functions.</w:t>
      </w:r>
    </w:p>
    <w:p w14:paraId="79ACCC86" w14:textId="77777777" w:rsidR="00A42487" w:rsidRDefault="00A42487" w:rsidP="00A42487">
      <w:pPr>
        <w:pStyle w:val="Bullet1"/>
      </w:pPr>
      <w:r>
        <w:t>A mental health or AOD clinician either employed in the Hub team or in-reaching from the EMH team or ED AOD team assesses and provides input into the clinical care and disposition for all Hub consumers.</w:t>
      </w:r>
    </w:p>
    <w:p w14:paraId="752F397F" w14:textId="7ADE2C2D" w:rsidR="00A42487" w:rsidRDefault="00A42487" w:rsidP="00A42487">
      <w:pPr>
        <w:pStyle w:val="Bullet1"/>
      </w:pPr>
      <w:r>
        <w:t xml:space="preserve">Capacity to access nurse practitioner, psychiatry registrar, consultant </w:t>
      </w:r>
      <w:r w:rsidR="00E04783">
        <w:t>psychiatrist,</w:t>
      </w:r>
      <w:r>
        <w:t xml:space="preserve"> and/or addiction physician input via attendance at daily Hub team ward rounds, review of Hub consumers if needed, and provision of on-call consultations if needed after hours.</w:t>
      </w:r>
    </w:p>
    <w:p w14:paraId="2FBDB10D" w14:textId="77777777" w:rsidR="00A42487" w:rsidRDefault="00A42487" w:rsidP="00A42487">
      <w:pPr>
        <w:pStyle w:val="Bullet1"/>
      </w:pPr>
      <w:r>
        <w:t xml:space="preserve">Documented response and escalation paths including for physical deterioration, self-harm and aggression if occurring as well as AOD use within the Hub space. </w:t>
      </w:r>
    </w:p>
    <w:p w14:paraId="1B3E1990" w14:textId="77777777" w:rsidR="00A42487" w:rsidRPr="005D4219" w:rsidRDefault="00A42487" w:rsidP="00A42487">
      <w:pPr>
        <w:pStyle w:val="Bullet1"/>
      </w:pPr>
      <w:r>
        <w:t>T</w:t>
      </w:r>
      <w:r w:rsidRPr="3CF06E93">
        <w:t>reatment pathways and procedures to transfer consumers between ED triage, the behaviour assessment room, the Hub, including through the dedicated physical space, and the broader ED treatment spaces, noting that the Hub</w:t>
      </w:r>
      <w:r>
        <w:t>’s</w:t>
      </w:r>
      <w:r w:rsidRPr="3CF06E93">
        <w:t xml:space="preserve"> clinical leaders will be involved with clinical and operational decision-making with the ultimate decision-making and responsibility sitting with the senior ED clinical lead / director.</w:t>
      </w:r>
    </w:p>
    <w:p w14:paraId="38677AFC" w14:textId="77777777" w:rsidR="00A42487" w:rsidRPr="00EA641E" w:rsidRDefault="00A42487" w:rsidP="00A42487">
      <w:pPr>
        <w:pStyle w:val="Heading1"/>
      </w:pPr>
      <w:bookmarkStart w:id="18" w:name="_Toc215655965"/>
      <w:r>
        <w:t xml:space="preserve">5. </w:t>
      </w:r>
      <w:r w:rsidRPr="00EA641E">
        <w:t>Consumer journey</w:t>
      </w:r>
      <w:bookmarkEnd w:id="18"/>
    </w:p>
    <w:p w14:paraId="74E5EEEF" w14:textId="77777777" w:rsidR="00A42487" w:rsidRDefault="00A42487" w:rsidP="00A42487">
      <w:pPr>
        <w:pStyle w:val="Body"/>
      </w:pPr>
      <w:r>
        <w:t>A</w:t>
      </w:r>
      <w:r w:rsidRPr="3CF06E93">
        <w:t xml:space="preserve"> diagram of a consumer’s anticipated journey through</w:t>
      </w:r>
      <w:r>
        <w:t xml:space="preserve"> the</w:t>
      </w:r>
      <w:r w:rsidRPr="3CF06E93">
        <w:t xml:space="preserve"> Hub</w:t>
      </w:r>
      <w:r>
        <w:t xml:space="preserve"> is provided in the Appendix of this guideline</w:t>
      </w:r>
      <w:r w:rsidRPr="3CF06E93">
        <w:t xml:space="preserve">. </w:t>
      </w:r>
    </w:p>
    <w:p w14:paraId="340C3B6A" w14:textId="77777777" w:rsidR="00A42487" w:rsidRDefault="00A42487" w:rsidP="00A42487">
      <w:pPr>
        <w:pStyle w:val="Body"/>
      </w:pPr>
      <w:r>
        <w:t>The treatment and care delivered in Hubs will be consistent with existing protocols EDs have in place, such as protocols for police and ambulance services transferring consumers to an ED.</w:t>
      </w:r>
    </w:p>
    <w:p w14:paraId="54501D42" w14:textId="77777777" w:rsidR="00A42487" w:rsidRPr="00E66EF4" w:rsidRDefault="00A42487" w:rsidP="00A42487">
      <w:pPr>
        <w:pStyle w:val="Body"/>
      </w:pPr>
      <w:r>
        <w:t>The Hub should offer a safe environment that is comfortable and private to wait for and engage in assessment and brief intervention. Regular environmental safety audits should occur to ensure removal of ligature points and access to means of suicide. Services should also document processes for ensuring that items that could cause harm are not brought into the Hubs.</w:t>
      </w:r>
      <w:r>
        <w:rPr>
          <w:rStyle w:val="FootnoteReference"/>
        </w:rPr>
        <w:footnoteReference w:id="6"/>
      </w:r>
      <w:r w:rsidRPr="00CB191C">
        <w:rPr>
          <w:vertAlign w:val="superscript"/>
        </w:rPr>
        <w:t>,</w:t>
      </w:r>
      <w:r>
        <w:rPr>
          <w:rStyle w:val="FootnoteReference"/>
        </w:rPr>
        <w:footnoteReference w:id="7"/>
      </w:r>
      <w:r>
        <w:rPr>
          <w:vertAlign w:val="superscript"/>
        </w:rPr>
        <w:t xml:space="preserve"> </w:t>
      </w:r>
      <w:r>
        <w:t xml:space="preserve">In addition to clinical documentation which will occur in the medical record as per local protocols, registration of consumers and recording of contacts in the statewide mental health Client Management Interface-Operational Data Store (CMI/ODS) will be done in accordance with the </w:t>
      </w:r>
      <w:r w:rsidRPr="172C6441">
        <w:rPr>
          <w:i/>
          <w:iCs/>
        </w:rPr>
        <w:t>Mental Health Bulletin 64: Emergency Department Mental Health and Alcohol and Other Drug (ED MH AOD)</w:t>
      </w:r>
      <w:r>
        <w:t xml:space="preserve"> and Health Data Standards and Systems Communication Bulletin Issue 258: 1 June 2022 (p. 5 Mental Health and AOD HUB reporting)</w:t>
      </w:r>
      <w:r w:rsidRPr="172C6441">
        <w:rPr>
          <w:i/>
          <w:iCs/>
        </w:rPr>
        <w:t>.</w:t>
      </w:r>
      <w:r>
        <w:t xml:space="preserve"> Consumers who receive a </w:t>
      </w:r>
      <w:proofErr w:type="gramStart"/>
      <w:r>
        <w:t>face to face</w:t>
      </w:r>
      <w:proofErr w:type="gramEnd"/>
      <w:r>
        <w:t xml:space="preserve"> mental health assessment are registered in CMI. Admitted activity should be reported through VAED and mental health non-admitted activity should be reported in CMI/ODS under the “Mental Health AOD hub” location. Hub administration staff should have access to and be familiar with entering data and reports into all relevant databases.</w:t>
      </w:r>
    </w:p>
    <w:p w14:paraId="207F5F52" w14:textId="77777777" w:rsidR="00A42487" w:rsidRDefault="00A42487" w:rsidP="00A42487">
      <w:pPr>
        <w:pStyle w:val="Heading2"/>
      </w:pPr>
      <w:bookmarkStart w:id="19" w:name="_Toc215655966"/>
      <w:r>
        <w:lastRenderedPageBreak/>
        <w:t>5.1 Initial presentation and triage</w:t>
      </w:r>
      <w:bookmarkEnd w:id="19"/>
    </w:p>
    <w:p w14:paraId="5178874F" w14:textId="7557844C" w:rsidR="00A42487" w:rsidRDefault="00A42487" w:rsidP="00A42487">
      <w:pPr>
        <w:pStyle w:val="Body"/>
      </w:pPr>
      <w:r>
        <w:t xml:space="preserve">People may present to EDs and receive mental health and wellbeing and AOD treatment, </w:t>
      </w:r>
      <w:r w:rsidR="00E04783">
        <w:t>care</w:t>
      </w:r>
      <w:r>
        <w:t xml:space="preserve"> and support under various circumstances. These include:</w:t>
      </w:r>
    </w:p>
    <w:p w14:paraId="17EBB639" w14:textId="77777777" w:rsidR="00A42487" w:rsidRDefault="00A42487" w:rsidP="00A42487">
      <w:pPr>
        <w:pStyle w:val="Bullet1"/>
      </w:pPr>
      <w:r>
        <w:t>voluntarily seeking mental health or AOD support (with or without referral or recommendation from a community mental health or AOD professional or service)</w:t>
      </w:r>
    </w:p>
    <w:p w14:paraId="48BA57FD" w14:textId="77777777" w:rsidR="00A42487" w:rsidRDefault="00A42487" w:rsidP="00A42487">
      <w:pPr>
        <w:pStyle w:val="Bullet1"/>
      </w:pPr>
      <w:r>
        <w:t>arriving with a family member or friend for a mental health assessment and/or support (for example, parents bringing in a child 16 years or older)</w:t>
      </w:r>
    </w:p>
    <w:p w14:paraId="2FCE4FFD" w14:textId="77777777" w:rsidR="00A42487" w:rsidRDefault="00A42487" w:rsidP="00A42487">
      <w:pPr>
        <w:pStyle w:val="Bullet1"/>
      </w:pPr>
      <w:r>
        <w:t xml:space="preserve">presenting initially with a non-mental health condition but subsequently being assessed as requiring mental health and wellbeing or AOD support </w:t>
      </w:r>
    </w:p>
    <w:p w14:paraId="18DF76E7" w14:textId="77777777" w:rsidR="00A42487" w:rsidRDefault="00A42487" w:rsidP="00A42487">
      <w:pPr>
        <w:pStyle w:val="Bullet1"/>
      </w:pPr>
      <w:r>
        <w:t xml:space="preserve">being brought under the care and control of police with or without ambulance services for a mental health examination under s 232 or s 241 of the </w:t>
      </w:r>
      <w:r w:rsidRPr="00540D9F">
        <w:rPr>
          <w:i/>
          <w:iCs/>
        </w:rPr>
        <w:t>Mental Health and Wellbeing Act 2022</w:t>
      </w:r>
    </w:p>
    <w:p w14:paraId="4FE1352A" w14:textId="77777777" w:rsidR="00A42487" w:rsidRDefault="00A42487" w:rsidP="00A42487">
      <w:pPr>
        <w:pStyle w:val="Bullet1"/>
        <w:spacing w:after="120"/>
      </w:pPr>
      <w:r>
        <w:t>a compulsory patient awaiting a bed in an inpatient mental health unit (for example, a patient is placed on an assessment order in the community or someone on a Community Treatment Order is varied to an Inpatient Treatment Order).</w:t>
      </w:r>
    </w:p>
    <w:p w14:paraId="0DC15D69" w14:textId="77777777" w:rsidR="00A42487" w:rsidRDefault="00A42487" w:rsidP="00A42487">
      <w:pPr>
        <w:pStyle w:val="Body"/>
      </w:pPr>
      <w:r>
        <w:t xml:space="preserve">Upon arrival at the ED, a triage clinician determines the nature and urgency of response, informed by the </w:t>
      </w:r>
      <w:r w:rsidRPr="00CB191C">
        <w:rPr>
          <w:i/>
          <w:iCs/>
        </w:rPr>
        <w:t>Australasian Triage Sca</w:t>
      </w:r>
      <w:r>
        <w:rPr>
          <w:i/>
          <w:iCs/>
        </w:rPr>
        <w:t>l</w:t>
      </w:r>
      <w:r w:rsidRPr="00CB191C">
        <w:rPr>
          <w:i/>
          <w:iCs/>
        </w:rPr>
        <w:t>e</w:t>
      </w:r>
      <w:r>
        <w:t>. If likely to be eligible for the Hub, an initial assessment should be undertaken, ideally in coordination with an EMH team or Hub clinician to confirm suitability.</w:t>
      </w:r>
    </w:p>
    <w:p w14:paraId="4E292DC1" w14:textId="77777777" w:rsidR="00A42487" w:rsidRDefault="00A42487" w:rsidP="00A42487">
      <w:pPr>
        <w:pStyle w:val="Body"/>
      </w:pPr>
      <w:r>
        <w:t xml:space="preserve">Once it has been determined the person is eligible for treatment within the Hub, they will be taken there for further assessment with observation and responding informed by the </w:t>
      </w:r>
      <w:r>
        <w:rPr>
          <w:i/>
          <w:iCs/>
        </w:rPr>
        <w:t xml:space="preserve">Australasian Triage Scale </w:t>
      </w:r>
      <w:r>
        <w:t xml:space="preserve">rating. </w:t>
      </w:r>
    </w:p>
    <w:p w14:paraId="1CCD3030" w14:textId="77777777" w:rsidR="00A42487" w:rsidRDefault="00A42487" w:rsidP="00A42487">
      <w:pPr>
        <w:pStyle w:val="Body"/>
      </w:pPr>
      <w:r>
        <w:t xml:space="preserve">In cases where people require medical treatment for their physical health or intervention to stabilise acute behavioural disturbance prior to receiving mental health or AOD care, the decision regarding the best location for the provision of treatment (either the mainstream ED or the Hub) rests with a senior ED clinician (doctor or nurse practitioner). </w:t>
      </w:r>
    </w:p>
    <w:p w14:paraId="06BE6A92" w14:textId="6A89BEAA" w:rsidR="00A42487" w:rsidRDefault="00A42487" w:rsidP="00A42487">
      <w:pPr>
        <w:pStyle w:val="Body"/>
      </w:pPr>
      <w:r>
        <w:t xml:space="preserve">When medical treatment is required within the mainstream ED, clinicians, and peer workers from the Hub can provide input across the ED more broadly as they are not confined to the physical space of the Hub. This will enable Hubs staff to work more broadly across the ED if capacity and help in building capability in other ED staff. Other ED, medical </w:t>
      </w:r>
      <w:r w:rsidR="00E04783">
        <w:t>service,</w:t>
      </w:r>
      <w:r>
        <w:t xml:space="preserve"> and security staff may also offer consultation and other support to people while admitted to a Hub.</w:t>
      </w:r>
    </w:p>
    <w:p w14:paraId="520B214E" w14:textId="77777777" w:rsidR="00A42487" w:rsidRPr="00EA641E" w:rsidRDefault="00A42487" w:rsidP="00A42487">
      <w:pPr>
        <w:pStyle w:val="Body"/>
      </w:pPr>
      <w:r>
        <w:t>Where it is determined that a persons’ needs are best met by the mainstream ED, referral to the Hub should be considered as soon as clinically appropriate, within safety and quality parameters. Health services will have clear processes and procedures to support this referral process.</w:t>
      </w:r>
    </w:p>
    <w:p w14:paraId="10098501" w14:textId="77777777" w:rsidR="00A42487" w:rsidRDefault="00A42487" w:rsidP="00A42487">
      <w:pPr>
        <w:pStyle w:val="Heading2"/>
        <w:rPr>
          <w:rFonts w:eastAsiaTheme="minorHAnsi"/>
        </w:rPr>
      </w:pPr>
      <w:bookmarkStart w:id="20" w:name="_Toc215655967"/>
      <w:r>
        <w:rPr>
          <w:rFonts w:eastAsiaTheme="minorHAnsi"/>
        </w:rPr>
        <w:t>5.2 Entry to a Hub</w:t>
      </w:r>
      <w:bookmarkEnd w:id="20"/>
    </w:p>
    <w:p w14:paraId="58403EC5" w14:textId="397B42D5" w:rsidR="00A42487" w:rsidRPr="00540D9F" w:rsidRDefault="00A42487" w:rsidP="00A42487">
      <w:pPr>
        <w:pStyle w:val="Body"/>
      </w:pPr>
      <w:r>
        <w:t xml:space="preserve">After acceptance for Hub admission, the person will be transferred into the Hub space and oriented to the space and available services. Families, carers, and other support people should be identified and engaged as soon as possible in assessment, treatment, </w:t>
      </w:r>
      <w:r w:rsidR="00E04783">
        <w:t>care</w:t>
      </w:r>
      <w:r>
        <w:t xml:space="preserve"> and support of the person, with the consent of the consumer. This could include a Nominated Support Person appointed under the Mental Health and Wellbeing Act to express the person’s views and preferences if they become unwell and receive compulsory assessment or treatment. Engaged family, carers, supporters may also be seen by a carer peer worker if available to offer support while the consumer is in the Hub.</w:t>
      </w:r>
    </w:p>
    <w:p w14:paraId="33B4E961" w14:textId="48BFBC85" w:rsidR="00A42487" w:rsidRPr="00EA641E" w:rsidRDefault="00A42487" w:rsidP="00A42487">
      <w:pPr>
        <w:pStyle w:val="Heading2"/>
      </w:pPr>
      <w:bookmarkStart w:id="21" w:name="_Toc215655968"/>
      <w:r>
        <w:t xml:space="preserve">5.3 Multidisciplinary integrated treatment, </w:t>
      </w:r>
      <w:r w:rsidR="00E04783">
        <w:t>care</w:t>
      </w:r>
      <w:r>
        <w:t xml:space="preserve"> and support</w:t>
      </w:r>
      <w:bookmarkEnd w:id="21"/>
    </w:p>
    <w:p w14:paraId="3E69F199" w14:textId="02DF0C98" w:rsidR="00A42487" w:rsidRDefault="00A42487" w:rsidP="00A42487">
      <w:pPr>
        <w:pStyle w:val="Body"/>
      </w:pPr>
      <w:r w:rsidRPr="3CF06E93">
        <w:t>Emergency medicine and nursing, mental health, AOD and lived experience expertise should be integrated in the Hub</w:t>
      </w:r>
      <w:r>
        <w:t>s</w:t>
      </w:r>
      <w:r w:rsidRPr="3CF06E93">
        <w:t xml:space="preserve"> under the governance of the </w:t>
      </w:r>
      <w:r w:rsidR="00B638BE" w:rsidRPr="3CF06E93">
        <w:t>E.</w:t>
      </w:r>
      <w:r w:rsidR="00B638BE">
        <w:t>D</w:t>
      </w:r>
      <w:r w:rsidR="00B638BE" w:rsidRPr="3CF06E93">
        <w:t>s.</w:t>
      </w:r>
      <w:r w:rsidRPr="3CF06E93">
        <w:t xml:space="preserve"> This will ensure that consumers receive appropriate care in ED</w:t>
      </w:r>
      <w:r>
        <w:t>s,</w:t>
      </w:r>
      <w:r w:rsidRPr="3CF06E93">
        <w:t xml:space="preserve"> </w:t>
      </w:r>
      <w:r w:rsidRPr="3CF06E93">
        <w:lastRenderedPageBreak/>
        <w:t xml:space="preserve">including holistic physical health and mental health and AOD </w:t>
      </w:r>
      <w:r>
        <w:t xml:space="preserve">emergency </w:t>
      </w:r>
      <w:r w:rsidRPr="3CF06E93">
        <w:t xml:space="preserve">assessment, treatment, care and </w:t>
      </w:r>
      <w:r>
        <w:t xml:space="preserve">discipline specific </w:t>
      </w:r>
      <w:r w:rsidRPr="3CF06E93">
        <w:t xml:space="preserve">supports based on their needs and preferences. </w:t>
      </w:r>
    </w:p>
    <w:p w14:paraId="01665FBD" w14:textId="77777777" w:rsidR="00A42487" w:rsidRPr="00DE5C48" w:rsidRDefault="00A42487" w:rsidP="00A42487">
      <w:pPr>
        <w:pStyle w:val="Body"/>
      </w:pPr>
      <w:r w:rsidRPr="3CF06E93">
        <w:t xml:space="preserve">Following care in </w:t>
      </w:r>
      <w:r>
        <w:t>a</w:t>
      </w:r>
      <w:r w:rsidRPr="3CF06E93">
        <w:t xml:space="preserve"> Hub, </w:t>
      </w:r>
      <w:r>
        <w:t>if not already receiving required community mental health or AOD care, consumers</w:t>
      </w:r>
      <w:r w:rsidRPr="3CF06E93">
        <w:t xml:space="preserve"> will </w:t>
      </w:r>
      <w:proofErr w:type="gramStart"/>
      <w:r w:rsidRPr="3CF06E93">
        <w:t>be connected with</w:t>
      </w:r>
      <w:proofErr w:type="gramEnd"/>
      <w:r w:rsidRPr="3CF06E93">
        <w:t xml:space="preserve"> community-based services and/or transitioned home with</w:t>
      </w:r>
      <w:r>
        <w:t xml:space="preserve"> post-discharge</w:t>
      </w:r>
      <w:r w:rsidRPr="3CF06E93">
        <w:t xml:space="preserve"> </w:t>
      </w:r>
      <w:r w:rsidRPr="3CF06E93" w:rsidDel="00AE1CDB">
        <w:t>follow</w:t>
      </w:r>
      <w:r>
        <w:t>-up from</w:t>
      </w:r>
      <w:r w:rsidDel="00AE1CDB">
        <w:t xml:space="preserve"> </w:t>
      </w:r>
      <w:r>
        <w:t>another health service team</w:t>
      </w:r>
      <w:r w:rsidRPr="3CF06E93">
        <w:t xml:space="preserve"> as determined by the consumer’s care plan</w:t>
      </w:r>
      <w:r>
        <w:t xml:space="preserve"> and clinical acuity and risk. If requiring hospital admission this will be supported</w:t>
      </w:r>
      <w:r w:rsidRPr="3CF06E93">
        <w:t xml:space="preserve">. </w:t>
      </w:r>
    </w:p>
    <w:p w14:paraId="4F739161" w14:textId="77777777" w:rsidR="00A42487" w:rsidRDefault="00A42487" w:rsidP="00A42487">
      <w:pPr>
        <w:pStyle w:val="Heading3"/>
      </w:pPr>
      <w:bookmarkStart w:id="22" w:name="_Toc215655969"/>
      <w:r>
        <w:t>Non-admitted care</w:t>
      </w:r>
      <w:bookmarkEnd w:id="22"/>
    </w:p>
    <w:p w14:paraId="1F9D072A" w14:textId="756DCE7F" w:rsidR="00A42487" w:rsidRPr="00D07ADD" w:rsidRDefault="00A42487" w:rsidP="00A42487">
      <w:pPr>
        <w:pStyle w:val="Body"/>
      </w:pPr>
      <w:r>
        <w:t xml:space="preserve">The length of stay is ideally 4 hours (up to 24 hours, where required). </w:t>
      </w:r>
      <w:r w:rsidRPr="00D247A9">
        <w:t xml:space="preserve">Forms of </w:t>
      </w:r>
      <w:r>
        <w:t xml:space="preserve">assessment, </w:t>
      </w:r>
      <w:r w:rsidRPr="00D247A9">
        <w:t>treatment</w:t>
      </w:r>
      <w:r>
        <w:t xml:space="preserve">, </w:t>
      </w:r>
      <w:r w:rsidR="00E04783">
        <w:t>care</w:t>
      </w:r>
      <w:r w:rsidRPr="00D247A9">
        <w:t xml:space="preserve"> and support provided by multidisciplinary teams in the</w:t>
      </w:r>
      <w:r>
        <w:t xml:space="preserve"> Hub</w:t>
      </w:r>
      <w:r w:rsidRPr="00D247A9">
        <w:t xml:space="preserve"> </w:t>
      </w:r>
      <w:r>
        <w:t>should be informed by existing guidelines.</w:t>
      </w:r>
      <w:r>
        <w:rPr>
          <w:rStyle w:val="FootnoteReference"/>
        </w:rPr>
        <w:footnoteReference w:id="8"/>
      </w:r>
      <w:r w:rsidRPr="00BB415D">
        <w:rPr>
          <w:vertAlign w:val="superscript"/>
        </w:rPr>
        <w:t>,</w:t>
      </w:r>
      <w:r w:rsidRPr="7A982BE5">
        <w:rPr>
          <w:rStyle w:val="FootnoteReference"/>
        </w:rPr>
        <w:footnoteReference w:id="9"/>
      </w:r>
      <w:r w:rsidRPr="00BB415D">
        <w:rPr>
          <w:vertAlign w:val="superscript"/>
        </w:rPr>
        <w:t>,</w:t>
      </w:r>
      <w:r w:rsidRPr="7A982BE5">
        <w:rPr>
          <w:rStyle w:val="FootnoteReference"/>
        </w:rPr>
        <w:footnoteReference w:id="10"/>
      </w:r>
      <w:r w:rsidRPr="00BB415D">
        <w:rPr>
          <w:vertAlign w:val="superscript"/>
        </w:rPr>
        <w:t>,</w:t>
      </w:r>
      <w:r>
        <w:rPr>
          <w:rStyle w:val="FootnoteReference"/>
        </w:rPr>
        <w:footnoteReference w:id="11"/>
      </w:r>
      <w:r w:rsidRPr="00D07ADD">
        <w:t>.</w:t>
      </w:r>
    </w:p>
    <w:p w14:paraId="66289BCA" w14:textId="77777777" w:rsidR="00A42487" w:rsidRPr="00D247A9" w:rsidRDefault="00A42487" w:rsidP="00A42487">
      <w:pPr>
        <w:pStyle w:val="Body"/>
      </w:pPr>
      <w:r>
        <w:t>Service provision appropriate for each consumer may include the following.</w:t>
      </w:r>
    </w:p>
    <w:p w14:paraId="3EED83CD" w14:textId="77777777" w:rsidR="00A42487" w:rsidRDefault="00A42487" w:rsidP="00A42487">
      <w:pPr>
        <w:pStyle w:val="Bullet1"/>
      </w:pPr>
      <w:r>
        <w:t>Review of Advance Statement of Preferences and Nominated Support Person forms under the Mental Health and Wellbeing Act if documented.</w:t>
      </w:r>
    </w:p>
    <w:p w14:paraId="38E62D22" w14:textId="77777777" w:rsidR="00A42487" w:rsidRDefault="00A42487" w:rsidP="00A42487">
      <w:pPr>
        <w:pStyle w:val="Bullet1"/>
      </w:pPr>
      <w:r>
        <w:t>Physical, mental health and AOD assessment which could include assessment of:</w:t>
      </w:r>
    </w:p>
    <w:p w14:paraId="715E4D23" w14:textId="77777777" w:rsidR="00A42487" w:rsidRDefault="00A42487" w:rsidP="00A42487">
      <w:pPr>
        <w:pStyle w:val="Bullet2"/>
      </w:pPr>
      <w:r>
        <w:t>mental state including mental health symptoms and the nature and persistence of suicidal ideation and preparatory behaviours and plans if present</w:t>
      </w:r>
    </w:p>
    <w:p w14:paraId="49C2251C" w14:textId="35FF671D" w:rsidR="00A42487" w:rsidRDefault="00A42487" w:rsidP="00A42487">
      <w:pPr>
        <w:pStyle w:val="Bullet2"/>
      </w:pPr>
      <w:r>
        <w:t xml:space="preserve">substance use, </w:t>
      </w:r>
      <w:r w:rsidR="00E04783">
        <w:t>intoxication,</w:t>
      </w:r>
      <w:r>
        <w:t xml:space="preserve"> and withdrawal as well as motivation to change AOD use if relevant</w:t>
      </w:r>
    </w:p>
    <w:p w14:paraId="38168481" w14:textId="77777777" w:rsidR="00A42487" w:rsidRDefault="00A42487" w:rsidP="00A42487">
      <w:pPr>
        <w:pStyle w:val="Bullet2"/>
      </w:pPr>
      <w:r>
        <w:t>physical health risks and conditions</w:t>
      </w:r>
    </w:p>
    <w:p w14:paraId="52E620D4" w14:textId="77777777" w:rsidR="00A42487" w:rsidRDefault="00A42487" w:rsidP="00A42487">
      <w:pPr>
        <w:pStyle w:val="Bullet2"/>
      </w:pPr>
      <w:r>
        <w:t>the presence of risk and protective factors which influence the likelihood of safety concerns (e.g. self-harm) occurring. Guidance on the conduct of risk formulation and mitigation includes assessing for predisposing (e.g. past self-harm or trauma), changeable (e.g. relationship and social circumstances and mood and mental health), future (e.g. stressful events) and strength and protective (e.g. social and family support, problem-solving skills, hope and service engagement) factors.</w:t>
      </w:r>
      <w:r>
        <w:rPr>
          <w:rStyle w:val="FootnoteReference"/>
        </w:rPr>
        <w:footnoteReference w:id="12"/>
      </w:r>
    </w:p>
    <w:p w14:paraId="6186484B" w14:textId="77777777" w:rsidR="00A42487" w:rsidRPr="00EA641E" w:rsidRDefault="00A42487" w:rsidP="00A42487">
      <w:pPr>
        <w:pStyle w:val="Bullet1"/>
      </w:pPr>
      <w:r>
        <w:t>B</w:t>
      </w:r>
      <w:r w:rsidRPr="3CF06E93">
        <w:t>rief interventions (where clinically indicated), that are evidence-based and trauma-informed</w:t>
      </w:r>
      <w:r>
        <w:t xml:space="preserve"> and could include motivational interviewing and harm reduction for AOD, solution focused therapy, safety planning for people reporting suicidality and their family, carers and supporters, and psychoeducation for consumers and their support network.</w:t>
      </w:r>
    </w:p>
    <w:p w14:paraId="779058EF" w14:textId="77777777" w:rsidR="00A42487" w:rsidRDefault="00A42487" w:rsidP="00A42487">
      <w:pPr>
        <w:pStyle w:val="Bullet1"/>
      </w:pPr>
      <w:r>
        <w:t>C</w:t>
      </w:r>
      <w:r w:rsidRPr="3CF06E93">
        <w:t>omprehensive consumer-centred nursing care</w:t>
      </w:r>
      <w:r>
        <w:t xml:space="preserve"> which could include:</w:t>
      </w:r>
    </w:p>
    <w:p w14:paraId="77B0B40B" w14:textId="0EAB5DE3" w:rsidR="00A42487" w:rsidRDefault="00A42487" w:rsidP="00A42487">
      <w:pPr>
        <w:pStyle w:val="Bullet2"/>
      </w:pPr>
      <w:r>
        <w:t xml:space="preserve">therapeutic engagement, active </w:t>
      </w:r>
      <w:r w:rsidR="00E04783">
        <w:t>listening,</w:t>
      </w:r>
      <w:r>
        <w:t xml:space="preserve"> and assessment as well as visual observations according to need</w:t>
      </w:r>
    </w:p>
    <w:p w14:paraId="50F80780" w14:textId="77777777" w:rsidR="00A42487" w:rsidRDefault="00A42487" w:rsidP="00A42487">
      <w:pPr>
        <w:pStyle w:val="Bullet2"/>
      </w:pPr>
      <w:r>
        <w:t>engaging with family, carers, supporters and other health and social professionals as appropriate to inform care planning and delivery and discharge planning</w:t>
      </w:r>
    </w:p>
    <w:p w14:paraId="56449CEE" w14:textId="77777777" w:rsidR="00A42487" w:rsidRDefault="00A42487" w:rsidP="00A42487">
      <w:pPr>
        <w:pStyle w:val="Bullet2"/>
      </w:pPr>
      <w:r>
        <w:t>advocating for appropriate care and support both while in the Hub and in preparing for discharge</w:t>
      </w:r>
    </w:p>
    <w:p w14:paraId="214531BA" w14:textId="77777777" w:rsidR="00A42487" w:rsidRDefault="00A42487" w:rsidP="00A42487">
      <w:pPr>
        <w:pStyle w:val="Bullet2"/>
      </w:pPr>
      <w:r>
        <w:lastRenderedPageBreak/>
        <w:t>monitoring of vital signs which could include cardiac monitoring for consumers post-overdose and escalation if physical deterioration occurs</w:t>
      </w:r>
    </w:p>
    <w:p w14:paraId="7691692F" w14:textId="77777777" w:rsidR="00A42487" w:rsidRDefault="00A42487" w:rsidP="00A42487">
      <w:pPr>
        <w:pStyle w:val="Bullet2"/>
      </w:pPr>
      <w:r>
        <w:t>risk formulation and early identification of psychological distress or behaviours of concern that could raise safety concerns for the consumer or others.</w:t>
      </w:r>
    </w:p>
    <w:p w14:paraId="437D2E41" w14:textId="77777777" w:rsidR="00A42487" w:rsidRPr="007B586B" w:rsidRDefault="00A42487" w:rsidP="00A42487">
      <w:pPr>
        <w:pStyle w:val="Bullet1"/>
      </w:pPr>
      <w:r>
        <w:t>V</w:t>
      </w:r>
      <w:r w:rsidRPr="007B586B">
        <w:t>erbal</w:t>
      </w:r>
      <w:r>
        <w:t xml:space="preserve"> de-escalation (ask about and address causes of frustration) and</w:t>
      </w:r>
      <w:r w:rsidRPr="007B586B">
        <w:t xml:space="preserve"> non-verbal</w:t>
      </w:r>
      <w:r>
        <w:t xml:space="preserve"> de-escalation </w:t>
      </w:r>
      <w:r w:rsidRPr="007B586B">
        <w:t>(e.g.</w:t>
      </w:r>
      <w:r w:rsidRPr="008525FB">
        <w:t xml:space="preserve"> distraction wit</w:t>
      </w:r>
      <w:r>
        <w:t>h activity or food, reduce light or noise) if increasing distress or aggression.</w:t>
      </w:r>
    </w:p>
    <w:p w14:paraId="346448F5" w14:textId="77777777" w:rsidR="00A42487" w:rsidRDefault="00A42487" w:rsidP="00A42487">
      <w:pPr>
        <w:pStyle w:val="Bullet1"/>
      </w:pPr>
      <w:r>
        <w:t>P</w:t>
      </w:r>
      <w:r w:rsidRPr="3CF06E93">
        <w:t>eer support</w:t>
      </w:r>
      <w:r>
        <w:t xml:space="preserve"> (consumer and/or carer peer support) which could include:</w:t>
      </w:r>
    </w:p>
    <w:p w14:paraId="064FB493" w14:textId="77777777" w:rsidR="00A42487" w:rsidRDefault="00A42487" w:rsidP="00A42487">
      <w:pPr>
        <w:pStyle w:val="Bullet2"/>
      </w:pPr>
      <w:r>
        <w:t>helping to orient to the Hub and explain about what to expect</w:t>
      </w:r>
    </w:p>
    <w:p w14:paraId="3ACF2F83" w14:textId="77777777" w:rsidR="00A42487" w:rsidRDefault="00A42487" w:rsidP="00A42487">
      <w:pPr>
        <w:pStyle w:val="Bullet2"/>
      </w:pPr>
      <w:r>
        <w:t xml:space="preserve">purposefully sharing lived experience to offer hope and show how recovery can be achieved </w:t>
      </w:r>
    </w:p>
    <w:p w14:paraId="395E92B3" w14:textId="77777777" w:rsidR="00A42487" w:rsidRDefault="00A42487" w:rsidP="00A42487">
      <w:pPr>
        <w:pStyle w:val="Bullet2"/>
      </w:pPr>
      <w:r>
        <w:t>sitting with people if in distress and supporting the development and practice of skills for coping</w:t>
      </w:r>
    </w:p>
    <w:p w14:paraId="7C2EBC42" w14:textId="77777777" w:rsidR="00A42487" w:rsidRPr="00EA641E" w:rsidRDefault="00A42487" w:rsidP="00A42487">
      <w:pPr>
        <w:pStyle w:val="Bullet2"/>
      </w:pPr>
      <w:r>
        <w:t>providing advice on how to navigate the mental health and AOD systems.</w:t>
      </w:r>
    </w:p>
    <w:p w14:paraId="27F92B03" w14:textId="77777777" w:rsidR="00A42487" w:rsidRDefault="00A42487" w:rsidP="00A42487">
      <w:pPr>
        <w:pStyle w:val="Bullet1"/>
      </w:pPr>
      <w:r>
        <w:t>R</w:t>
      </w:r>
      <w:r w:rsidRPr="3CF06E93">
        <w:t>eview and/or commencement of medications</w:t>
      </w:r>
      <w:r>
        <w:t xml:space="preserve">. </w:t>
      </w:r>
    </w:p>
    <w:p w14:paraId="1CF3CF75" w14:textId="77777777" w:rsidR="00A42487" w:rsidRPr="00EA641E" w:rsidRDefault="00A42487" w:rsidP="00A42487">
      <w:pPr>
        <w:pStyle w:val="Bullet1"/>
      </w:pPr>
      <w:r>
        <w:t>P</w:t>
      </w:r>
      <w:r w:rsidRPr="3CF06E93">
        <w:t xml:space="preserve">sychosocial support </w:t>
      </w:r>
      <w:r>
        <w:t>that could include mobilising social supports to provide care post-discharge or exploring housing stability and assisting in finding emergency style accommodation.</w:t>
      </w:r>
    </w:p>
    <w:p w14:paraId="506A8C47" w14:textId="77777777" w:rsidR="00A42487" w:rsidRPr="00711A63" w:rsidRDefault="00A42487" w:rsidP="00A42487">
      <w:pPr>
        <w:pStyle w:val="Heading3"/>
      </w:pPr>
      <w:bookmarkStart w:id="23" w:name="_Toc215655970"/>
      <w:r w:rsidRPr="00711A63">
        <w:t>Short</w:t>
      </w:r>
      <w:r>
        <w:t xml:space="preserve"> </w:t>
      </w:r>
      <w:r w:rsidRPr="00711A63">
        <w:t>stay, bed-based care</w:t>
      </w:r>
      <w:bookmarkEnd w:id="23"/>
    </w:p>
    <w:p w14:paraId="2294524B" w14:textId="77777777" w:rsidR="00A42487" w:rsidRDefault="00A42487" w:rsidP="00A42487">
      <w:pPr>
        <w:pStyle w:val="Body"/>
      </w:pPr>
      <w:r w:rsidRPr="000E60D1">
        <w:t xml:space="preserve">Consumers admitted to </w:t>
      </w:r>
      <w:r>
        <w:t xml:space="preserve">the Hub </w:t>
      </w:r>
      <w:r w:rsidRPr="000E60D1">
        <w:t>short stay beds will be provided with mental health, AOD</w:t>
      </w:r>
      <w:r>
        <w:t xml:space="preserve"> and</w:t>
      </w:r>
      <w:r w:rsidRPr="000E60D1">
        <w:t xml:space="preserve"> physical health </w:t>
      </w:r>
      <w:r>
        <w:t>assessment, treatment, brief intervention and supported referral to community services as needed, receiving the same services as described for non-admitted care</w:t>
      </w:r>
      <w:r w:rsidRPr="000E60D1">
        <w:t>. Stays are ideally 24 hours</w:t>
      </w:r>
      <w:r>
        <w:t xml:space="preserve">. They may be </w:t>
      </w:r>
      <w:r w:rsidRPr="000E60D1">
        <w:t>longer where clinically appropriate</w:t>
      </w:r>
      <w:r>
        <w:t xml:space="preserve"> but are</w:t>
      </w:r>
      <w:r w:rsidRPr="000E60D1">
        <w:t xml:space="preserve"> expected to be no longer than 72 hours.</w:t>
      </w:r>
    </w:p>
    <w:p w14:paraId="2F25BA33" w14:textId="77777777" w:rsidR="00A42487" w:rsidRPr="000E60D1" w:rsidRDefault="00A42487" w:rsidP="00A42487">
      <w:pPr>
        <w:pStyle w:val="Bullet1"/>
        <w:numPr>
          <w:ilvl w:val="0"/>
          <w:numId w:val="0"/>
        </w:numPr>
      </w:pPr>
      <w:r w:rsidRPr="000E60D1">
        <w:t>The Hub</w:t>
      </w:r>
      <w:r>
        <w:t>’</w:t>
      </w:r>
      <w:r w:rsidRPr="000E60D1">
        <w:t>s short stay beds are not for awaiting admission to an acute mental health inpatient bed</w:t>
      </w:r>
      <w:r>
        <w:t xml:space="preserve"> unless ED triage in discussion with the Hub nurse in charge and an EMH clinician determine this is the most appropriate space for a consumer with consideration given to a consumer’s presenting needs and others already in the Hub</w:t>
      </w:r>
      <w:r w:rsidRPr="000E60D1">
        <w:t>.</w:t>
      </w:r>
    </w:p>
    <w:p w14:paraId="5564FDC8" w14:textId="77777777" w:rsidR="00A42487" w:rsidRPr="000E60D1" w:rsidRDefault="00A42487" w:rsidP="00A42487">
      <w:pPr>
        <w:pStyle w:val="Body"/>
      </w:pPr>
      <w:r w:rsidRPr="000E60D1">
        <w:t>People in the Hub short</w:t>
      </w:r>
      <w:r>
        <w:t xml:space="preserve"> </w:t>
      </w:r>
      <w:r w:rsidRPr="000E60D1">
        <w:t>stay beds will continue to have access to other services within the hospital</w:t>
      </w:r>
      <w:r>
        <w:t>,</w:t>
      </w:r>
      <w:r w:rsidRPr="000E60D1">
        <w:t xml:space="preserve"> such as consumer and family peer workers (where staff are not available within the Hub), </w:t>
      </w:r>
      <w:r>
        <w:t xml:space="preserve">the </w:t>
      </w:r>
      <w:r w:rsidRPr="000E60D1">
        <w:t xml:space="preserve">NDIS lead within that Area Mental Health </w:t>
      </w:r>
      <w:r>
        <w:t xml:space="preserve">and Wellbeing </w:t>
      </w:r>
      <w:r w:rsidRPr="000E60D1">
        <w:t>Service (for those who have are receiving NDIS support), Aboriginal Hospital Liaison Officer</w:t>
      </w:r>
      <w:r>
        <w:t>s (AHLOs)</w:t>
      </w:r>
      <w:r w:rsidRPr="000E60D1">
        <w:t>, allied health services, pastoral care, radiology and pathology services.</w:t>
      </w:r>
    </w:p>
    <w:p w14:paraId="1E68D7E5" w14:textId="77777777" w:rsidR="00A42487" w:rsidRPr="00711A63" w:rsidRDefault="00A42487" w:rsidP="00A42487">
      <w:pPr>
        <w:pStyle w:val="Heading3"/>
      </w:pPr>
      <w:bookmarkStart w:id="24" w:name="_Toc215655971"/>
      <w:r>
        <w:t>Post-discharge support</w:t>
      </w:r>
      <w:bookmarkEnd w:id="24"/>
    </w:p>
    <w:p w14:paraId="372F37CB" w14:textId="77777777" w:rsidR="00A42487" w:rsidRDefault="00A42487" w:rsidP="00A42487">
      <w:pPr>
        <w:pStyle w:val="Body"/>
      </w:pPr>
      <w:r w:rsidRPr="008947F5">
        <w:t>For Hub consumers discharged to the community</w:t>
      </w:r>
      <w:r>
        <w:t>, Hub staff with input as appropriate from in-reaching EMH team and AOD ED clinicians should determine need for post-discharge support.</w:t>
      </w:r>
      <w:r w:rsidRPr="008947F5">
        <w:t xml:space="preserve"> </w:t>
      </w:r>
      <w:r>
        <w:t xml:space="preserve">If already in an episode of community mental health or AOD care, consideration should be given as to if this is sufficient given presenting clinical acuity and risk and, with consent, communicate with the existing provider to ensure continuity of care. If a new episode of post-discharge support or assertive outreach is needed, Hub staff could facilitate this through referral to an ED post-discharge support team if available and lower acuity, or if specialist mental health or AOD post-discharge support is needed, make a referral to an assertive outreach team operated by the service’s mental health or AOD program. If able to refer so the receiving team can meet to commence assessment and engagement while the consumer is still in the Hub, this could help with continuity post-discharge. Examples of available services are included in </w:t>
      </w:r>
      <w:r>
        <w:rPr>
          <w:b/>
          <w:bCs/>
        </w:rPr>
        <w:t>5.4 Transition of care</w:t>
      </w:r>
      <w:r>
        <w:t xml:space="preserve">. If clinically indicated, Hub staff, including peer support staff may communicate with consumers following discharge to monitor if referral connection occurred, but will not hold clinical governance for post-discharge care. </w:t>
      </w:r>
    </w:p>
    <w:p w14:paraId="297C4B27" w14:textId="77777777" w:rsidR="00A42487" w:rsidRPr="002B4D1F" w:rsidRDefault="00A42487" w:rsidP="00A42487">
      <w:pPr>
        <w:pStyle w:val="Heading3"/>
      </w:pPr>
      <w:bookmarkStart w:id="25" w:name="_Toc215655972"/>
      <w:r w:rsidRPr="002B4D1F">
        <w:lastRenderedPageBreak/>
        <w:t>Family members and carers</w:t>
      </w:r>
      <w:bookmarkEnd w:id="25"/>
    </w:p>
    <w:p w14:paraId="205BD9EE" w14:textId="77777777" w:rsidR="00A42487" w:rsidRPr="000E60D1" w:rsidRDefault="00A42487" w:rsidP="00A42487">
      <w:pPr>
        <w:pStyle w:val="Body"/>
      </w:pPr>
      <w:r w:rsidRPr="000E60D1">
        <w:t xml:space="preserve">Family members and carers play a significant role in the life of a person </w:t>
      </w:r>
      <w:r>
        <w:t>experiencing acute mental health and/or AOD problems</w:t>
      </w:r>
      <w:r w:rsidRPr="000E60D1">
        <w:t xml:space="preserve">. As such, responding to </w:t>
      </w:r>
      <w:r>
        <w:t xml:space="preserve">and collaborating with </w:t>
      </w:r>
      <w:r w:rsidRPr="000E60D1">
        <w:t>families</w:t>
      </w:r>
      <w:r>
        <w:t xml:space="preserve">, </w:t>
      </w:r>
      <w:r w:rsidRPr="000E60D1">
        <w:t>carers</w:t>
      </w:r>
      <w:r>
        <w:t xml:space="preserve"> and nominated support persons when appointed,</w:t>
      </w:r>
      <w:r w:rsidRPr="000E60D1">
        <w:t xml:space="preserve"> as partners in treatment, care and planning is crucial for the recovery of the consumer. Furthermore, support for family members and carers during this time may be necessary for maintaining their wellbeing. </w:t>
      </w:r>
    </w:p>
    <w:p w14:paraId="7EC4533A" w14:textId="6C770D3E" w:rsidR="00A42487" w:rsidRPr="000E60D1" w:rsidRDefault="00A42487" w:rsidP="00A42487">
      <w:pPr>
        <w:pStyle w:val="Body"/>
      </w:pPr>
      <w:r w:rsidRPr="000E60D1">
        <w:t xml:space="preserve">While families and carers have diverse and changing needs, they benefit from identification, acknowledgement, the sharing of information about the consumer’s illness, emotional </w:t>
      </w:r>
      <w:r w:rsidR="00E04783" w:rsidRPr="000E60D1">
        <w:t>support,</w:t>
      </w:r>
      <w:r w:rsidRPr="000E60D1">
        <w:t xml:space="preserve"> and practical advice in relation to supporting people living with mental illness and psychological distress.</w:t>
      </w:r>
    </w:p>
    <w:p w14:paraId="4CB9DB1F" w14:textId="0782A67E" w:rsidR="00A42487" w:rsidRPr="000E60D1" w:rsidRDefault="00A42487" w:rsidP="00A42487">
      <w:pPr>
        <w:pStyle w:val="Body"/>
      </w:pPr>
      <w:r w:rsidRPr="000E60D1">
        <w:t xml:space="preserve">Further information about how services can support families and carers and work with them to optimise care is available in the Chief Psychiatrist guideline, </w:t>
      </w:r>
      <w:hyperlink r:id="rId20" w:history="1">
        <w:r w:rsidRPr="00F11187">
          <w:rPr>
            <w:rStyle w:val="Hyperlink"/>
          </w:rPr>
          <w:t>Working together with families and carers</w:t>
        </w:r>
      </w:hyperlink>
      <w:r w:rsidR="00C5205E">
        <w:t xml:space="preserve"> &lt;</w:t>
      </w:r>
      <w:r w:rsidR="00C5205E" w:rsidRPr="00C5205E">
        <w:t>https://www.health.vic.gov.au/chief-psychiatrist/working-together-with-families-and-carers</w:t>
      </w:r>
      <w:r w:rsidR="00C5205E">
        <w:t>&gt;</w:t>
      </w:r>
    </w:p>
    <w:p w14:paraId="11180244" w14:textId="77777777" w:rsidR="00A42487" w:rsidRDefault="00A42487" w:rsidP="00A42487">
      <w:pPr>
        <w:pStyle w:val="Heading2"/>
      </w:pPr>
      <w:bookmarkStart w:id="26" w:name="_Toc215655973"/>
      <w:r>
        <w:t>5.4 Transition of care</w:t>
      </w:r>
      <w:bookmarkEnd w:id="26"/>
      <w:r w:rsidRPr="00EA641E">
        <w:t xml:space="preserve"> </w:t>
      </w:r>
    </w:p>
    <w:p w14:paraId="611BA18D" w14:textId="77777777" w:rsidR="00A42487" w:rsidRPr="00EA641E" w:rsidRDefault="00A42487" w:rsidP="00A42487">
      <w:pPr>
        <w:pStyle w:val="Heading3"/>
      </w:pPr>
      <w:bookmarkStart w:id="27" w:name="_Toc215655974"/>
      <w:r w:rsidRPr="00EA641E">
        <w:t>Post treatment planning</w:t>
      </w:r>
      <w:bookmarkEnd w:id="27"/>
    </w:p>
    <w:p w14:paraId="7C11768F" w14:textId="1681AD65" w:rsidR="00A42487" w:rsidRDefault="00A42487" w:rsidP="00A42487">
      <w:pPr>
        <w:pStyle w:val="Body"/>
      </w:pPr>
      <w:r>
        <w:t xml:space="preserve">Engagement with consumers and their families, carers and supporters will begin at the earliest opportunity to commence post treatment planning. Following assessment and treatment, a person may be admitted to inpatient services (general medical, </w:t>
      </w:r>
      <w:r w:rsidR="00E04783">
        <w:t>surgical,</w:t>
      </w:r>
      <w:r>
        <w:t xml:space="preserve"> or mental health), transferred to specialist AOD services, transitioned home or into other appropriate accommodation, or be provided with follow-up appointments with local health and/or social support services. If clinical acuity and risk </w:t>
      </w:r>
      <w:r w:rsidR="006C0DB5">
        <w:t>indicate</w:t>
      </w:r>
      <w:r>
        <w:t xml:space="preserve"> the need for post-discharge assertive outreach, referral should be made to relevant teams delivered by the health service’s mental health or AOD programs.</w:t>
      </w:r>
    </w:p>
    <w:p w14:paraId="44FE5212" w14:textId="7FC45895" w:rsidR="00A42487" w:rsidRDefault="00A42487" w:rsidP="00A42487">
      <w:pPr>
        <w:pStyle w:val="Body"/>
      </w:pPr>
      <w:r w:rsidRPr="00EA641E">
        <w:t>To facilitate post</w:t>
      </w:r>
      <w:r>
        <w:t>-discharge continuity of care</w:t>
      </w:r>
      <w:r w:rsidRPr="00EA641E">
        <w:t xml:space="preserve">, </w:t>
      </w:r>
      <w:r>
        <w:t>the Hubs</w:t>
      </w:r>
      <w:r w:rsidRPr="00EA641E">
        <w:t xml:space="preserve"> will have strong linkages with local</w:t>
      </w:r>
      <w:r>
        <w:t xml:space="preserve"> </w:t>
      </w:r>
      <w:r w:rsidRPr="00EA641E">
        <w:t>and/or social support services</w:t>
      </w:r>
      <w:r>
        <w:t xml:space="preserve">. Staff will need to ensure continuity of care by providing consumers and </w:t>
      </w:r>
      <w:r w:rsidRPr="4B7B87B8">
        <w:t xml:space="preserve">families, carers and supporters </w:t>
      </w:r>
      <w:r>
        <w:t xml:space="preserve">with supported referrals including sharing of information collected during their stay in the Hub, to follow-up services, in line with consent and information sharing requirements. The decision of the next steps of support will be dependent on the person’s preferences and the clinical picture, risk </w:t>
      </w:r>
      <w:r w:rsidR="00E04783">
        <w:t>formulation,</w:t>
      </w:r>
      <w:r>
        <w:t xml:space="preserve"> and safety plan to determine the right time to engage in follow-up support.</w:t>
      </w:r>
    </w:p>
    <w:p w14:paraId="6B9F5BC5" w14:textId="77777777" w:rsidR="00A42487" w:rsidRPr="00EA641E" w:rsidRDefault="00A42487" w:rsidP="00A42487">
      <w:pPr>
        <w:pStyle w:val="Body"/>
      </w:pPr>
      <w:r w:rsidRPr="000C1A70">
        <w:t xml:space="preserve">Services may include, but </w:t>
      </w:r>
      <w:r>
        <w:t xml:space="preserve">are </w:t>
      </w:r>
      <w:r w:rsidRPr="000C1A70">
        <w:t>not</w:t>
      </w:r>
      <w:r>
        <w:t xml:space="preserve"> limited to</w:t>
      </w:r>
      <w:r w:rsidRPr="00EA641E">
        <w:t>:</w:t>
      </w:r>
    </w:p>
    <w:p w14:paraId="5B908F99" w14:textId="77777777" w:rsidR="00A42487" w:rsidRDefault="00A42487" w:rsidP="00A42487">
      <w:pPr>
        <w:pStyle w:val="Bullet1"/>
      </w:pPr>
      <w:r w:rsidRPr="3CF06E93">
        <w:t>primary care and community health (such as General Practitioners)</w:t>
      </w:r>
    </w:p>
    <w:p w14:paraId="53E1C450" w14:textId="77777777" w:rsidR="00A42487" w:rsidRPr="0042720A" w:rsidRDefault="00A42487" w:rsidP="00A42487">
      <w:pPr>
        <w:pStyle w:val="Bullet1"/>
      </w:pPr>
      <w:r w:rsidRPr="3CF06E93">
        <w:t>Hospital Outreach Post Suicidal Engagement (HOPE) or Distress Brief Intervention Service for those who presented with suicidality</w:t>
      </w:r>
    </w:p>
    <w:p w14:paraId="173501D7" w14:textId="77777777" w:rsidR="00A42487" w:rsidRDefault="00A42487" w:rsidP="00A42487">
      <w:pPr>
        <w:pStyle w:val="Bullet1"/>
      </w:pPr>
      <w:r w:rsidRPr="3CF06E93">
        <w:t>home support services including Hospital Admission Risk Program (HARP)</w:t>
      </w:r>
    </w:p>
    <w:p w14:paraId="6794413C" w14:textId="77777777" w:rsidR="00A42487" w:rsidRDefault="00A42487" w:rsidP="00A42487">
      <w:pPr>
        <w:pStyle w:val="Bullet1"/>
      </w:pPr>
      <w:r w:rsidRPr="3CF06E93">
        <w:t>Health Independence Program</w:t>
      </w:r>
    </w:p>
    <w:p w14:paraId="3D979A7A" w14:textId="2637B6F6" w:rsidR="00A42487" w:rsidRDefault="00A42487" w:rsidP="00A42487">
      <w:pPr>
        <w:pStyle w:val="Bullet1"/>
      </w:pPr>
      <w:r w:rsidRPr="3CF06E93">
        <w:t xml:space="preserve">community mental health services including Hospital </w:t>
      </w:r>
      <w:proofErr w:type="gramStart"/>
      <w:r w:rsidRPr="3CF06E93">
        <w:t>In</w:t>
      </w:r>
      <w:proofErr w:type="gramEnd"/>
      <w:r w:rsidRPr="3CF06E93">
        <w:t xml:space="preserve"> </w:t>
      </w:r>
      <w:proofErr w:type="gramStart"/>
      <w:r w:rsidRPr="3CF06E93">
        <w:t>The</w:t>
      </w:r>
      <w:proofErr w:type="gramEnd"/>
      <w:r w:rsidRPr="3CF06E93">
        <w:t xml:space="preserve"> Home (HITH)</w:t>
      </w:r>
      <w:r>
        <w:t xml:space="preserve">, assertive community outreach and continuing care teams of Area Mental Health and Wellbeing Services, Mental </w:t>
      </w:r>
      <w:r w:rsidR="006A5948">
        <w:t>Health,</w:t>
      </w:r>
      <w:r>
        <w:t xml:space="preserve"> and Wellbeing Locals (for people 26 years and older) and headspace (for people aged 12-25 years)</w:t>
      </w:r>
    </w:p>
    <w:p w14:paraId="7C0E0193" w14:textId="77777777" w:rsidR="00A42487" w:rsidRPr="00EA641E" w:rsidRDefault="00A42487" w:rsidP="00A42487">
      <w:pPr>
        <w:pStyle w:val="Bullet1"/>
      </w:pPr>
      <w:r w:rsidRPr="3CF06E93">
        <w:t>Prevention and Recovery Care (PARC) and Youth Prevention and Recovery Care services (YPARC)</w:t>
      </w:r>
    </w:p>
    <w:p w14:paraId="405F5AA4" w14:textId="77777777" w:rsidR="00A42487" w:rsidRDefault="00A42487" w:rsidP="00A42487">
      <w:pPr>
        <w:pStyle w:val="Bullet1"/>
      </w:pPr>
      <w:r w:rsidRPr="3CF06E93">
        <w:t>community peer support programs</w:t>
      </w:r>
      <w:r w:rsidRPr="00D55FBB">
        <w:t xml:space="preserve"> </w:t>
      </w:r>
      <w:r>
        <w:t xml:space="preserve">(e.g. Smart Recovery groups) and </w:t>
      </w:r>
      <w:r w:rsidRPr="3CF06E93">
        <w:t xml:space="preserve">peer-led </w:t>
      </w:r>
      <w:r>
        <w:t>bed-based</w:t>
      </w:r>
      <w:r w:rsidRPr="3CF06E93">
        <w:t xml:space="preserve"> options such as the Healing Place</w:t>
      </w:r>
    </w:p>
    <w:p w14:paraId="25251155" w14:textId="77777777" w:rsidR="00A42487" w:rsidRPr="0042720A" w:rsidRDefault="00A42487" w:rsidP="00A42487">
      <w:pPr>
        <w:pStyle w:val="Bullet1"/>
      </w:pPr>
      <w:r>
        <w:t>safe spaces such as a Safe Haven Café</w:t>
      </w:r>
    </w:p>
    <w:p w14:paraId="1A16B5DC" w14:textId="77777777" w:rsidR="00A42487" w:rsidRPr="00D72A95" w:rsidRDefault="00A42487" w:rsidP="00A42487">
      <w:pPr>
        <w:pStyle w:val="Bullet1"/>
      </w:pPr>
      <w:r w:rsidRPr="3CF06E93">
        <w:t xml:space="preserve">AOD intake, assessment and outreach services including 24/7 state-wide support service </w:t>
      </w:r>
      <w:proofErr w:type="spellStart"/>
      <w:r w:rsidRPr="3CF06E93">
        <w:t>DirectLine</w:t>
      </w:r>
      <w:proofErr w:type="spellEnd"/>
      <w:r w:rsidRPr="3CF06E93">
        <w:t xml:space="preserve"> </w:t>
      </w:r>
    </w:p>
    <w:p w14:paraId="744B7370" w14:textId="6E66E506" w:rsidR="00A42487" w:rsidRDefault="00A42487" w:rsidP="00A42487">
      <w:pPr>
        <w:pStyle w:val="Bullet1"/>
      </w:pPr>
      <w:r w:rsidRPr="3CF06E93">
        <w:lastRenderedPageBreak/>
        <w:t xml:space="preserve">AOD harm reduction services such as mobile drug safety workers, mobile overdose response workers, primary </w:t>
      </w:r>
      <w:r w:rsidR="006A5948" w:rsidRPr="3CF06E93">
        <w:t>needle,</w:t>
      </w:r>
      <w:r w:rsidRPr="3CF06E93">
        <w:t xml:space="preserve"> and syringe programs</w:t>
      </w:r>
    </w:p>
    <w:p w14:paraId="0D988A93" w14:textId="77777777" w:rsidR="00A42487" w:rsidRPr="00EA641E" w:rsidRDefault="00A42487" w:rsidP="00A42487">
      <w:pPr>
        <w:pStyle w:val="Bullet1"/>
      </w:pPr>
      <w:r w:rsidRPr="3CF06E93">
        <w:t xml:space="preserve">social support services </w:t>
      </w:r>
    </w:p>
    <w:p w14:paraId="3008D8AF" w14:textId="77777777" w:rsidR="00A42487" w:rsidRPr="00EA641E" w:rsidRDefault="00A42487" w:rsidP="00A42487">
      <w:pPr>
        <w:pStyle w:val="Bullet1"/>
      </w:pPr>
      <w:r w:rsidRPr="3CF06E93">
        <w:t>private service providers</w:t>
      </w:r>
    </w:p>
    <w:p w14:paraId="5E6D7CA7" w14:textId="5C67A6BD" w:rsidR="00A42487" w:rsidRDefault="00A42487" w:rsidP="00A42487">
      <w:pPr>
        <w:pStyle w:val="Bullet1"/>
      </w:pPr>
      <w:r w:rsidRPr="3CF06E93">
        <w:t xml:space="preserve">culturally responsive and respectful social support services to those </w:t>
      </w:r>
      <w:r>
        <w:t>who are</w:t>
      </w:r>
      <w:r w:rsidRPr="3CF06E93">
        <w:t xml:space="preserve"> Aboriginal</w:t>
      </w:r>
      <w:r>
        <w:t xml:space="preserve"> and/or Torres Strait Islander people</w:t>
      </w:r>
      <w:r w:rsidRPr="3CF06E93">
        <w:t xml:space="preserve">, culturally and linguistically diverse (including long-term and recently arrived migrants, asylum </w:t>
      </w:r>
      <w:r w:rsidR="006A5948" w:rsidRPr="3CF06E93">
        <w:t>seekers,</w:t>
      </w:r>
      <w:r w:rsidRPr="3CF06E93">
        <w:t xml:space="preserve"> and refugees), </w:t>
      </w:r>
      <w:r>
        <w:t xml:space="preserve">people with a </w:t>
      </w:r>
      <w:r w:rsidRPr="3CF06E93">
        <w:t xml:space="preserve">disability, and LGBTIQA+ </w:t>
      </w:r>
      <w:r>
        <w:t>individuals</w:t>
      </w:r>
      <w:r w:rsidRPr="3CF06E93">
        <w:t>.</w:t>
      </w:r>
    </w:p>
    <w:p w14:paraId="2953ECA9" w14:textId="77777777" w:rsidR="00A42487" w:rsidRDefault="00A42487" w:rsidP="00A42487">
      <w:pPr>
        <w:pStyle w:val="Heading1"/>
      </w:pPr>
      <w:bookmarkStart w:id="28" w:name="_Toc215655975"/>
      <w:r>
        <w:t>6. Workforce</w:t>
      </w:r>
      <w:bookmarkEnd w:id="28"/>
    </w:p>
    <w:p w14:paraId="13AAC8A5" w14:textId="77777777" w:rsidR="00A42487" w:rsidRPr="000E60D1" w:rsidRDefault="00A42487" w:rsidP="00A42487">
      <w:pPr>
        <w:pStyle w:val="Body"/>
      </w:pPr>
      <w:bookmarkStart w:id="29" w:name="_Hlk105765560"/>
      <w:r>
        <w:t xml:space="preserve">Clinical staff allocated to work within the Hub will be employed by the health service as ED clinicians and will be employed under the same industrial agreement/s as other clinicians employed by, and within the ED, as specialist staff within that service. Peer support staff and staff employed by the health service’s mental health or AOD program and offering consultation liaison or in-reach support to people admitted to the Hub will be employed under the Victorian Public Mental Health Services Enterprise Agreement 2020 – 2024 or its successor. (see the addendum on p. 25). This may be supported by arrangements for clinical supervision and clinical education aligned to the appropriate specialist area. This will depend on the circumstances and should be determined at each service. </w:t>
      </w:r>
    </w:p>
    <w:p w14:paraId="19E00CBA" w14:textId="756F44A1" w:rsidR="00A42487" w:rsidRPr="000E60D1" w:rsidRDefault="00A42487" w:rsidP="00A42487">
      <w:pPr>
        <w:pStyle w:val="Body"/>
      </w:pPr>
      <w:r>
        <w:t xml:space="preserve">Health services could supplement department-allocated Hub service funding to add to existing nursing, mental health, AOD, lived experience and medical expertise in the ED. This could include employing more mental health trained nurses, AOD nurses, psychiatric consultants and registrars, social workers, peer workers, clinical pharmacists, ED </w:t>
      </w:r>
      <w:r w:rsidR="006A5948">
        <w:t>physicians,</w:t>
      </w:r>
      <w:r>
        <w:t xml:space="preserve"> and ED nurses. </w:t>
      </w:r>
    </w:p>
    <w:p w14:paraId="43550A8B" w14:textId="77777777" w:rsidR="00A42487" w:rsidRDefault="00A42487" w:rsidP="00A42487">
      <w:pPr>
        <w:pStyle w:val="Heading2"/>
      </w:pPr>
      <w:bookmarkStart w:id="30" w:name="_Toc215655976"/>
      <w:r>
        <w:t>6.1 Staffing profile</w:t>
      </w:r>
      <w:bookmarkEnd w:id="30"/>
    </w:p>
    <w:p w14:paraId="30826192" w14:textId="77777777" w:rsidR="00A42487" w:rsidRPr="0025038D" w:rsidRDefault="00A42487" w:rsidP="00A42487">
      <w:pPr>
        <w:pStyle w:val="Body"/>
      </w:pPr>
      <w:r>
        <w:t>Health Services must staff the Hub to operate 24 hours a day, seven days a week, with an expectation of operating a multidisciplinary team providing discipline specific treatment, care and support within business hours and extending where possible to the weekend. This can include ED nurses, mental health nurses, AOD nurses, psychiatric consultants and registrars, social workers, ED physicians, psychologists, occupational therapists, and consumer and carer peer workers. As the specialist AOD clinical workforce develops further, AOD nurse practitioners and addiction medicine registrars and consultants will be integrated into the model.</w:t>
      </w:r>
    </w:p>
    <w:p w14:paraId="14E5E72C" w14:textId="3B0500EB" w:rsidR="00A42487" w:rsidRPr="00800BF0" w:rsidRDefault="7F8AE6EC" w:rsidP="368DB8EA">
      <w:pPr>
        <w:pStyle w:val="Body"/>
        <w:rPr>
          <w:rFonts w:eastAsiaTheme="minorEastAsia"/>
        </w:rPr>
      </w:pPr>
      <w:r w:rsidRPr="368DB8EA">
        <w:rPr>
          <w:rFonts w:eastAsia="Arial" w:cs="Arial"/>
          <w:color w:val="000000" w:themeColor="text1"/>
          <w:szCs w:val="21"/>
        </w:rPr>
        <w:t xml:space="preserve">ED physicians and nurses are expected to service the Hubs to ensure Hubs’ consumers receive integrated care within the ED environment. Hubs staffing models must be consistent with </w:t>
      </w:r>
      <w:proofErr w:type="gramStart"/>
      <w:r w:rsidRPr="368DB8EA">
        <w:rPr>
          <w:rFonts w:eastAsia="Arial" w:cs="Arial"/>
          <w:color w:val="000000" w:themeColor="text1"/>
          <w:szCs w:val="21"/>
        </w:rPr>
        <w:t>nurse to patient</w:t>
      </w:r>
      <w:proofErr w:type="gramEnd"/>
      <w:r w:rsidRPr="368DB8EA">
        <w:rPr>
          <w:rFonts w:eastAsia="Arial" w:cs="Arial"/>
          <w:color w:val="000000" w:themeColor="text1"/>
          <w:szCs w:val="21"/>
        </w:rPr>
        <w:t xml:space="preserve"> ratios described in the </w:t>
      </w:r>
      <w:r w:rsidRPr="368DB8EA">
        <w:rPr>
          <w:rFonts w:eastAsia="Arial" w:cs="Arial"/>
          <w:i/>
          <w:iCs/>
          <w:color w:val="000000" w:themeColor="text1"/>
          <w:szCs w:val="21"/>
        </w:rPr>
        <w:t xml:space="preserve">Safe Patient Care (Nurse to Patient and Midwife to Patient Ratios) Act 2015. </w:t>
      </w:r>
      <w:r w:rsidRPr="368DB8EA">
        <w:rPr>
          <w:rFonts w:eastAsia="Arial" w:cs="Arial"/>
          <w:color w:val="000000" w:themeColor="text1"/>
          <w:szCs w:val="21"/>
        </w:rPr>
        <w:t>For example, for the provision of non-admitted Hub care, there must be one nurse for every 3 beds, although processes to request additional resources should also be documented locally if higher acuity requires more resourcing. There should also be capacity for weekend recall for psychiatrists/consultants (may include addiction medicine or other specialist) and psychiatry registrars.</w:t>
      </w:r>
      <w:r w:rsidR="00A42487" w:rsidRPr="368DB8EA">
        <w:rPr>
          <w:rFonts w:eastAsiaTheme="minorEastAsia"/>
        </w:rPr>
        <w:t xml:space="preserve"> </w:t>
      </w:r>
    </w:p>
    <w:p w14:paraId="52E24140" w14:textId="0E64CDF4" w:rsidR="00A42487" w:rsidRDefault="00A42487" w:rsidP="00A42487">
      <w:pPr>
        <w:pStyle w:val="Body"/>
      </w:pPr>
      <w:r w:rsidRPr="006375DC">
        <w:t>Health services are encouraged to employ nurse practitioners in the assessment area of the</w:t>
      </w:r>
      <w:r w:rsidRPr="004B46B3">
        <w:t xml:space="preserve"> </w:t>
      </w:r>
      <w:r w:rsidRPr="009C0264">
        <w:t>H</w:t>
      </w:r>
      <w:r w:rsidRPr="006375DC">
        <w:t>ub</w:t>
      </w:r>
      <w:r>
        <w:t>s</w:t>
      </w:r>
      <w:r w:rsidRPr="006375DC">
        <w:t xml:space="preserve">. </w:t>
      </w:r>
      <w:r>
        <w:t>Health services</w:t>
      </w:r>
      <w:r w:rsidRPr="009C0264">
        <w:t xml:space="preserve"> </w:t>
      </w:r>
      <w:r>
        <w:t>may also want to consider the role of a coordinator for the Hubs to assist with the coordination and collaboration of decision-making, treatment, and service navigation across the service delivery areas</w:t>
      </w:r>
      <w:r w:rsidR="006A5948">
        <w:t xml:space="preserve">. </w:t>
      </w:r>
    </w:p>
    <w:p w14:paraId="4CEE0BEA" w14:textId="77777777" w:rsidR="00A42487" w:rsidRPr="00602EF0" w:rsidRDefault="00A42487" w:rsidP="00A42487">
      <w:pPr>
        <w:pStyle w:val="Body"/>
      </w:pPr>
      <w:r w:rsidRPr="3CF06E93">
        <w:t xml:space="preserve">To maximise the safety of all consumers, families, carers and supporters and staff, the Hubs will be supported by </w:t>
      </w:r>
      <w:r>
        <w:t xml:space="preserve">the </w:t>
      </w:r>
      <w:r w:rsidRPr="3CF06E93">
        <w:t>security staff</w:t>
      </w:r>
      <w:r>
        <w:t xml:space="preserve"> model operating with the overall ED.</w:t>
      </w:r>
    </w:p>
    <w:p w14:paraId="634BFDC7" w14:textId="77777777" w:rsidR="00A42487" w:rsidRDefault="00A42487" w:rsidP="00A42487">
      <w:pPr>
        <w:pStyle w:val="Heading3"/>
      </w:pPr>
      <w:bookmarkStart w:id="31" w:name="_Toc215655977"/>
      <w:r>
        <w:lastRenderedPageBreak/>
        <w:t>6.1.2 Peer workers</w:t>
      </w:r>
      <w:bookmarkEnd w:id="31"/>
      <w:r>
        <w:t xml:space="preserve"> </w:t>
      </w:r>
    </w:p>
    <w:p w14:paraId="7553991A" w14:textId="18BA4E29" w:rsidR="00A42487" w:rsidRPr="0024542B" w:rsidRDefault="00A42487" w:rsidP="00A42487">
      <w:pPr>
        <w:pStyle w:val="Body"/>
      </w:pPr>
      <w:r>
        <w:t xml:space="preserve">Consumer and carer </w:t>
      </w:r>
      <w:r w:rsidRPr="0024542B">
        <w:t xml:space="preserve">peer workers will form an important component of service delivery </w:t>
      </w:r>
      <w:r>
        <w:t xml:space="preserve">in </w:t>
      </w:r>
      <w:r w:rsidRPr="0024542B">
        <w:t xml:space="preserve">the Hubs. Peer workers have unique knowledge, abilities, and attributes. They draw on their own experience, service use and their journey of recovery and healing, to support others and foster hope and optimism. Health services should endeavour to have both </w:t>
      </w:r>
      <w:r>
        <w:t>mental health</w:t>
      </w:r>
      <w:r w:rsidRPr="0024542B">
        <w:t xml:space="preserve"> and AOD peer workers for seven-day coverage with consideration of rostering workers outside business hours to follow up with consumers.</w:t>
      </w:r>
      <w:r>
        <w:t xml:space="preserve"> Health Services must ensure alignment to the </w:t>
      </w:r>
      <w:hyperlink r:id="rId21">
        <w:r w:rsidRPr="59C43302">
          <w:rPr>
            <w:rStyle w:val="Hyperlink"/>
          </w:rPr>
          <w:t>National Lived Experience Workforce Development Guidelines</w:t>
        </w:r>
      </w:hyperlink>
      <w:r w:rsidR="00C5205E">
        <w:t xml:space="preserve"> &lt;</w:t>
      </w:r>
      <w:r w:rsidR="00C5205E" w:rsidRPr="00C5205E">
        <w:t>https://www.mentalhealthcommission.gov.au/lived-experience/lived-experience-workforces/peer-experience-workforce-guidelines</w:t>
      </w:r>
      <w:r w:rsidR="00C5205E">
        <w:t>&gt;</w:t>
      </w:r>
      <w:r>
        <w:t xml:space="preserve">, including role descriptions, reporting structure, supervision and professional development, and the Victorian mental health and AOD </w:t>
      </w:r>
      <w:hyperlink r:id="rId22" w:history="1">
        <w:r w:rsidRPr="004C4876">
          <w:rPr>
            <w:rStyle w:val="Hyperlink"/>
          </w:rPr>
          <w:t>Lived and Living Experience workforce discipline frameworks</w:t>
        </w:r>
      </w:hyperlink>
      <w:r w:rsidR="00C5205E">
        <w:t xml:space="preserve"> &lt;</w:t>
      </w:r>
      <w:r w:rsidR="00C5205E" w:rsidRPr="00C5205E">
        <w:t>https://www.health.vic.gov.au/workforce-and-training/lived-experience-workforce-initiatives</w:t>
      </w:r>
      <w:r w:rsidR="00C5205E">
        <w:t>&gt;</w:t>
      </w:r>
      <w:r w:rsidR="00C5205E" w:rsidRPr="00C5205E">
        <w:rPr>
          <w:rStyle w:val="FootnoteReference"/>
          <w:vertAlign w:val="baseline"/>
        </w:rPr>
        <w:t xml:space="preserve"> </w:t>
      </w:r>
      <w:r>
        <w:rPr>
          <w:rStyle w:val="FootnoteReference"/>
        </w:rPr>
        <w:footnoteReference w:id="13"/>
      </w:r>
      <w:r>
        <w:t xml:space="preserve"> To ensure they are effectively embedded into Hub team operation, they should be active participants in Hub team huddles and clinical reviews, have clear roles aligned with their scopes of practice, and contribute to disposition planning and continuity of care, for example handing over to peer workers in community mental health or AOD services if already in or referred for an episode of care with a community mental health or AOD service.</w:t>
      </w:r>
    </w:p>
    <w:p w14:paraId="2325642C" w14:textId="77777777" w:rsidR="00A42487" w:rsidRDefault="00A42487" w:rsidP="00A42487">
      <w:pPr>
        <w:pStyle w:val="Heading2"/>
      </w:pPr>
      <w:bookmarkStart w:id="32" w:name="_Toc215655978"/>
      <w:bookmarkEnd w:id="29"/>
      <w:r>
        <w:t>6.2 Workforce development and training</w:t>
      </w:r>
      <w:bookmarkEnd w:id="32"/>
      <w:r>
        <w:t xml:space="preserve"> </w:t>
      </w:r>
    </w:p>
    <w:p w14:paraId="6C80AAD9" w14:textId="77777777" w:rsidR="00A42487" w:rsidRPr="001C1AB0" w:rsidRDefault="00A42487" w:rsidP="00A42487">
      <w:pPr>
        <w:pStyle w:val="Body"/>
      </w:pPr>
      <w:r w:rsidRPr="00EA641E">
        <w:t xml:space="preserve">All clinicians will be culturally responsive and respectful to diverse communities and promote a workplace culture that is free from stigma and discrimination. Where required, existing professional development opportunities in cultural responsiveness, respect and MHAOD anti-stigma programs should be provided to staff. </w:t>
      </w:r>
      <w:r>
        <w:t xml:space="preserve">Aboriginal mental health clinicians and liaison officers </w:t>
      </w:r>
      <w:r w:rsidRPr="00EA641E">
        <w:t xml:space="preserve">should be integrated into the </w:t>
      </w:r>
      <w:r>
        <w:t>H</w:t>
      </w:r>
      <w:r w:rsidRPr="00EA641E">
        <w:t xml:space="preserve">ub service </w:t>
      </w:r>
      <w:r>
        <w:t>offering</w:t>
      </w:r>
      <w:r w:rsidRPr="00EA641E">
        <w:t xml:space="preserve"> through their role </w:t>
      </w:r>
      <w:r>
        <w:t xml:space="preserve">in Area Mental Health and Wellbeing Services. </w:t>
      </w:r>
    </w:p>
    <w:p w14:paraId="1F272FE2" w14:textId="77777777" w:rsidR="00A42487" w:rsidRDefault="00A42487" w:rsidP="00A42487">
      <w:pPr>
        <w:pStyle w:val="Body"/>
      </w:pPr>
      <w:r>
        <w:t>All Emergency clinicians practicing within the Hubs should endeavour to undertake training and upskilling in the following domains, potentially supported by training and reflective practice sessions offered by mental health educators employed as a part of the Hub workforce or ED or mental health education teams, to ensure appropriate provision of care within the Hubs:</w:t>
      </w:r>
    </w:p>
    <w:p w14:paraId="3D64BE0E" w14:textId="77777777" w:rsidR="00A42487" w:rsidRDefault="00A42487" w:rsidP="00A42487">
      <w:pPr>
        <w:pStyle w:val="Bullet1"/>
        <w:spacing w:after="120"/>
        <w:contextualSpacing/>
      </w:pPr>
      <w:r>
        <w:t>Recovery-orientated care</w:t>
      </w:r>
    </w:p>
    <w:p w14:paraId="5CDBE777" w14:textId="77777777" w:rsidR="00A42487" w:rsidRDefault="00A42487" w:rsidP="00A42487">
      <w:pPr>
        <w:pStyle w:val="Bullet1"/>
        <w:spacing w:after="120"/>
        <w:contextualSpacing/>
      </w:pPr>
      <w:r>
        <w:t>Trauma informed care</w:t>
      </w:r>
    </w:p>
    <w:p w14:paraId="7B4BABE6" w14:textId="77777777" w:rsidR="00A42487" w:rsidRDefault="00A42487" w:rsidP="00A42487">
      <w:pPr>
        <w:pStyle w:val="Bullet1"/>
        <w:spacing w:after="120"/>
        <w:contextualSpacing/>
      </w:pPr>
      <w:r>
        <w:t>Assessment of mental status (Mental status assessment)</w:t>
      </w:r>
    </w:p>
    <w:p w14:paraId="210E976F" w14:textId="77777777" w:rsidR="00A42487" w:rsidRDefault="00A42487" w:rsidP="00A42487">
      <w:pPr>
        <w:pStyle w:val="Bullet1"/>
        <w:spacing w:after="120"/>
        <w:contextualSpacing/>
      </w:pPr>
      <w:r>
        <w:t>Effective listening and therapeutic engagement skills</w:t>
      </w:r>
    </w:p>
    <w:p w14:paraId="47D440FC" w14:textId="265F907F" w:rsidR="00A42487" w:rsidRDefault="00A42487" w:rsidP="00A42487">
      <w:pPr>
        <w:pStyle w:val="Bullet1"/>
        <w:spacing w:after="120"/>
        <w:contextualSpacing/>
      </w:pPr>
      <w:r>
        <w:t xml:space="preserve">Risk assessment, </w:t>
      </w:r>
      <w:r w:rsidR="00873118">
        <w:t>formulation,</w:t>
      </w:r>
      <w:r>
        <w:t xml:space="preserve"> and mitigation (which includes prevention, de-escalation and post-incident responding)</w:t>
      </w:r>
    </w:p>
    <w:p w14:paraId="34CDDE36" w14:textId="6753C4EF" w:rsidR="00A42487" w:rsidRDefault="00A42487" w:rsidP="00A42487">
      <w:pPr>
        <w:pStyle w:val="Bullet1"/>
        <w:spacing w:after="120"/>
        <w:contextualSpacing/>
      </w:pPr>
      <w:r>
        <w:t xml:space="preserve">Building a therapeutic, </w:t>
      </w:r>
      <w:r w:rsidR="00873118">
        <w:t>welcoming,</w:t>
      </w:r>
      <w:r>
        <w:t xml:space="preserve"> and culturally safe environment.</w:t>
      </w:r>
    </w:p>
    <w:p w14:paraId="58D28F37" w14:textId="6E5FD9B0" w:rsidR="00A42487" w:rsidRPr="00E5451E" w:rsidRDefault="00A42487" w:rsidP="00A42487">
      <w:pPr>
        <w:pStyle w:val="Body"/>
      </w:pPr>
      <w:r w:rsidRPr="00E5451E">
        <w:t xml:space="preserve">Services and/or managers should undertake organisational readiness for working with and supporting a lived experienced workforce. All </w:t>
      </w:r>
      <w:proofErr w:type="spellStart"/>
      <w:r w:rsidRPr="00E5451E">
        <w:t>peer</w:t>
      </w:r>
      <w:proofErr w:type="spellEnd"/>
      <w:r w:rsidRPr="00E5451E">
        <w:t xml:space="preserve"> worker staff should complete peer worker training such as Intentional Peer Support (IPS)</w:t>
      </w:r>
      <w:r w:rsidRPr="00643A65">
        <w:t xml:space="preserve"> </w:t>
      </w:r>
      <w:r>
        <w:t>and hold or be working towards a certificate IV in mental health peer work</w:t>
      </w:r>
      <w:r w:rsidR="00873118" w:rsidRPr="00E5451E">
        <w:t xml:space="preserve">. </w:t>
      </w:r>
    </w:p>
    <w:p w14:paraId="20CD0367" w14:textId="77777777" w:rsidR="00A42487" w:rsidRPr="001C1AB0" w:rsidRDefault="00A42487" w:rsidP="00A42487">
      <w:pPr>
        <w:pStyle w:val="Body"/>
        <w:rPr>
          <w:rFonts w:eastAsiaTheme="minorHAnsi"/>
          <w:szCs w:val="21"/>
        </w:rPr>
      </w:pPr>
      <w:r w:rsidRPr="001C1AB0">
        <w:rPr>
          <w:rFonts w:eastAsiaTheme="minorHAnsi"/>
          <w:szCs w:val="21"/>
        </w:rPr>
        <w:t>Additional information for development and training purposes that is relevant for a Hub</w:t>
      </w:r>
      <w:r>
        <w:rPr>
          <w:rFonts w:eastAsiaTheme="minorHAnsi"/>
          <w:szCs w:val="21"/>
        </w:rPr>
        <w:t>’</w:t>
      </w:r>
      <w:r w:rsidRPr="001C1AB0">
        <w:rPr>
          <w:rFonts w:eastAsiaTheme="minorHAnsi"/>
          <w:szCs w:val="21"/>
        </w:rPr>
        <w:t>s workforce includes:</w:t>
      </w:r>
    </w:p>
    <w:p w14:paraId="740858C3" w14:textId="656BEFF1" w:rsidR="00A42487" w:rsidRPr="001C1AB0" w:rsidRDefault="00A42487" w:rsidP="00A42487">
      <w:pPr>
        <w:pStyle w:val="Bullet1"/>
        <w:rPr>
          <w:rFonts w:eastAsiaTheme="minorHAnsi" w:cs="Arial"/>
          <w:szCs w:val="21"/>
        </w:rPr>
      </w:pPr>
      <w:r w:rsidRPr="00B021F2">
        <w:rPr>
          <w:i/>
          <w:iCs/>
          <w:szCs w:val="21"/>
        </w:rPr>
        <w:t>Mental Health and Wellbeing Act 2022</w:t>
      </w:r>
      <w:r>
        <w:rPr>
          <w:szCs w:val="21"/>
        </w:rPr>
        <w:t xml:space="preserve"> i</w:t>
      </w:r>
      <w:r w:rsidRPr="001C1AB0">
        <w:rPr>
          <w:szCs w:val="21"/>
        </w:rPr>
        <w:t xml:space="preserve">mplementation </w:t>
      </w:r>
      <w:hyperlink r:id="rId23" w:anchor="msdynttrid=JvdMq7_jr0NC3wpsLc6HekcJ3L7-B9O2eGUaHD5qZ1E" w:history="1">
        <w:r w:rsidRPr="001C1AB0">
          <w:rPr>
            <w:rStyle w:val="Hyperlink"/>
            <w:rFonts w:eastAsiaTheme="minorHAnsi" w:cs="Arial"/>
            <w:szCs w:val="21"/>
          </w:rPr>
          <w:t>eLearning modules</w:t>
        </w:r>
      </w:hyperlink>
      <w:r w:rsidR="00C5205E">
        <w:t xml:space="preserve"> &lt;</w:t>
      </w:r>
      <w:r w:rsidR="00C5205E" w:rsidRPr="00C5205E">
        <w:t>https://www.mhpod.gov.au/#msdynttrid=JvdMq7_jr0NC3wpsLc6HekcJ3L7-B9O2eGUaHD5qZ1E</w:t>
      </w:r>
      <w:r w:rsidR="00C5205E">
        <w:t>&gt;</w:t>
      </w:r>
      <w:r w:rsidRPr="001C1AB0">
        <w:rPr>
          <w:szCs w:val="21"/>
        </w:rPr>
        <w:t>, especially the module on restrictive interventions in emergency departments and urgent care centres</w:t>
      </w:r>
    </w:p>
    <w:p w14:paraId="7F422294" w14:textId="4C164D59" w:rsidR="00A42487" w:rsidRPr="007A0D15" w:rsidRDefault="00A42487" w:rsidP="00A42487">
      <w:pPr>
        <w:pStyle w:val="Bullet1"/>
        <w:rPr>
          <w:rFonts w:eastAsiaTheme="minorHAnsi" w:cs="Arial"/>
          <w:szCs w:val="21"/>
        </w:rPr>
      </w:pPr>
      <w:r w:rsidRPr="001C1AB0">
        <w:rPr>
          <w:rFonts w:eastAsiaTheme="minorHAnsi" w:cs="Arial"/>
          <w:szCs w:val="21"/>
        </w:rPr>
        <w:lastRenderedPageBreak/>
        <w:t xml:space="preserve">Safer Care Victoria </w:t>
      </w:r>
      <w:hyperlink r:id="rId24" w:history="1">
        <w:r w:rsidRPr="001C1AB0">
          <w:rPr>
            <w:rStyle w:val="Hyperlink"/>
            <w:rFonts w:eastAsiaTheme="minorHAnsi" w:cs="Arial"/>
            <w:szCs w:val="21"/>
          </w:rPr>
          <w:t>emergency care clinical guidance</w:t>
        </w:r>
      </w:hyperlink>
      <w:r w:rsidR="00C5205E">
        <w:t xml:space="preserve"> &lt;</w:t>
      </w:r>
      <w:r w:rsidR="00C5205E" w:rsidRPr="00C5205E">
        <w:t>https://www.safercare.vic.gov.au/best-practice-improvement/clinical-guidance/venous-thromboembolism/victorian-guideline</w:t>
      </w:r>
      <w:r w:rsidR="00C5205E">
        <w:t>&gt;</w:t>
      </w:r>
      <w:r w:rsidRPr="001C1AB0">
        <w:rPr>
          <w:rFonts w:eastAsiaTheme="minorHAnsi" w:cs="Arial"/>
          <w:szCs w:val="21"/>
        </w:rPr>
        <w:t>, especially the</w:t>
      </w:r>
      <w:r w:rsidRPr="001C1AB0">
        <w:rPr>
          <w:rFonts w:eastAsiaTheme="minorHAnsi" w:cs="Arial"/>
          <w:color w:val="C0504D" w:themeColor="accent2"/>
          <w:szCs w:val="21"/>
        </w:rPr>
        <w:t xml:space="preserve"> </w:t>
      </w:r>
      <w:hyperlink r:id="rId25" w:history="1">
        <w:r w:rsidRPr="001C1AB0">
          <w:rPr>
            <w:rStyle w:val="Hyperlink"/>
            <w:rFonts w:eastAsiaTheme="minorHAnsi" w:cs="Arial"/>
            <w:szCs w:val="21"/>
          </w:rPr>
          <w:t>guidance on acute behavioural disturbance</w:t>
        </w:r>
      </w:hyperlink>
      <w:r w:rsidR="00C5205E">
        <w:t xml:space="preserve"> &lt;</w:t>
      </w:r>
      <w:r w:rsidR="00C5205E" w:rsidRPr="00C5205E">
        <w:t>https://www.safercare.vic.gov.au/best-practice-improvement/clinical-guidance/emergency/acute-behavioural-disturbance</w:t>
      </w:r>
      <w:r w:rsidR="00C5205E">
        <w:t>&gt;</w:t>
      </w:r>
      <w:r>
        <w:rPr>
          <w:rStyle w:val="Hyperlink"/>
          <w:rFonts w:eastAsiaTheme="minorHAnsi" w:cs="Arial"/>
          <w:szCs w:val="21"/>
        </w:rPr>
        <w:t xml:space="preserve"> and the </w:t>
      </w:r>
      <w:hyperlink r:id="rId26" w:history="1">
        <w:r w:rsidRPr="00825C7D">
          <w:rPr>
            <w:rStyle w:val="Hyperlink"/>
            <w:rFonts w:eastAsiaTheme="minorHAnsi" w:cs="Arial"/>
            <w:szCs w:val="21"/>
          </w:rPr>
          <w:t>Mental Health Intensive Care Framework</w:t>
        </w:r>
      </w:hyperlink>
      <w:r>
        <w:rPr>
          <w:rStyle w:val="Hyperlink"/>
          <w:rFonts w:eastAsiaTheme="minorHAnsi" w:cs="Arial"/>
          <w:szCs w:val="21"/>
        </w:rPr>
        <w:t xml:space="preserve"> </w:t>
      </w:r>
      <w:r w:rsidR="00C5205E" w:rsidRPr="00C5205E">
        <w:rPr>
          <w:rStyle w:val="Hyperlink"/>
          <w:rFonts w:eastAsiaTheme="minorHAnsi" w:cs="Arial"/>
          <w:color w:val="auto"/>
          <w:szCs w:val="21"/>
        </w:rPr>
        <w:t>&lt;</w:t>
      </w:r>
      <w:hyperlink r:id="rId27" w:history="1">
        <w:r w:rsidR="00C5205E" w:rsidRPr="00C5205E">
          <w:rPr>
            <w:rStyle w:val="Hyperlink"/>
            <w:rFonts w:eastAsiaTheme="minorHAnsi" w:cs="Arial"/>
            <w:color w:val="auto"/>
            <w:szCs w:val="21"/>
          </w:rPr>
          <w:t>https://www.safercare.vic.gov.au/publications/mental-health-intensive-care-framework</w:t>
        </w:r>
      </w:hyperlink>
      <w:r w:rsidR="00C5205E" w:rsidRPr="00C5205E">
        <w:rPr>
          <w:rStyle w:val="Hyperlink"/>
          <w:rFonts w:eastAsiaTheme="minorHAnsi" w:cs="Arial"/>
          <w:color w:val="auto"/>
          <w:szCs w:val="21"/>
        </w:rPr>
        <w:t xml:space="preserve">&gt; </w:t>
      </w:r>
      <w:r>
        <w:rPr>
          <w:rStyle w:val="Hyperlink"/>
          <w:rFonts w:eastAsiaTheme="minorHAnsi" w:cs="Arial"/>
          <w:szCs w:val="21"/>
        </w:rPr>
        <w:t xml:space="preserve">and eLearning module available at: </w:t>
      </w:r>
      <w:r w:rsidR="00B540C3">
        <w:t>&lt;h</w:t>
      </w:r>
      <w:r w:rsidR="00C5205E" w:rsidRPr="00C5205E">
        <w:t>ttps://cmhl.org.au/training/introduction-mental-health-intensive-care-framework</w:t>
      </w:r>
      <w:r w:rsidR="00C5205E">
        <w:t>&gt;</w:t>
      </w:r>
    </w:p>
    <w:p w14:paraId="27357DC8" w14:textId="77777777" w:rsidR="00A42487" w:rsidRPr="001C1AB0" w:rsidRDefault="00A42487" w:rsidP="00A42487">
      <w:pPr>
        <w:pStyle w:val="Bullet1"/>
        <w:rPr>
          <w:rFonts w:eastAsiaTheme="minorHAnsi" w:cs="Arial"/>
          <w:szCs w:val="21"/>
        </w:rPr>
      </w:pPr>
      <w:hyperlink r:id="rId28" w:history="1">
        <w:r w:rsidRPr="001C1AB0">
          <w:rPr>
            <w:rStyle w:val="Hyperlink"/>
            <w:rFonts w:eastAsiaTheme="minorHAnsi" w:cs="Arial"/>
            <w:szCs w:val="21"/>
          </w:rPr>
          <w:t>Chief Psychiatrist guidelines</w:t>
        </w:r>
      </w:hyperlink>
      <w:r w:rsidRPr="001C1AB0">
        <w:rPr>
          <w:rFonts w:eastAsiaTheme="minorHAnsi" w:cs="Arial"/>
          <w:szCs w:val="21"/>
        </w:rPr>
        <w:t xml:space="preserve"> on clinical practice in mental health and wellbeing services</w:t>
      </w:r>
    </w:p>
    <w:p w14:paraId="4A27186E" w14:textId="06FCA8A7" w:rsidR="00A42487" w:rsidRPr="001C1AB0" w:rsidRDefault="00A42487" w:rsidP="00A42487">
      <w:pPr>
        <w:pStyle w:val="Bullet1"/>
        <w:rPr>
          <w:rFonts w:eastAsiaTheme="minorHAnsi" w:cs="Arial"/>
          <w:szCs w:val="21"/>
        </w:rPr>
      </w:pPr>
      <w:hyperlink r:id="rId29" w:history="1">
        <w:r w:rsidRPr="001C1AB0">
          <w:rPr>
            <w:rStyle w:val="Hyperlink"/>
            <w:i/>
            <w:szCs w:val="21"/>
          </w:rPr>
          <w:t>Safewards</w:t>
        </w:r>
      </w:hyperlink>
      <w:r w:rsidR="00C5205E">
        <w:t xml:space="preserve"> &lt;</w:t>
      </w:r>
      <w:r w:rsidR="00C5205E" w:rsidRPr="00C5205E">
        <w:t>https://www.safercare.vic.gov.au/best-practice-improvement/safewards/resources</w:t>
      </w:r>
      <w:r w:rsidR="00C5205E">
        <w:t>&gt;</w:t>
      </w:r>
      <w:r w:rsidRPr="001C1AB0">
        <w:rPr>
          <w:rFonts w:eastAsiaTheme="minorHAnsi" w:cs="Arial"/>
          <w:szCs w:val="21"/>
        </w:rPr>
        <w:t xml:space="preserve"> training resources</w:t>
      </w:r>
      <w:r>
        <w:rPr>
          <w:rFonts w:eastAsiaTheme="minorHAnsi" w:cs="Arial"/>
          <w:szCs w:val="21"/>
        </w:rPr>
        <w:t xml:space="preserve"> which includes </w:t>
      </w:r>
      <w:proofErr w:type="spellStart"/>
      <w:r>
        <w:rPr>
          <w:rFonts w:eastAsiaTheme="minorHAnsi" w:cs="Arial"/>
          <w:szCs w:val="21"/>
        </w:rPr>
        <w:t>Safewards</w:t>
      </w:r>
      <w:proofErr w:type="spellEnd"/>
      <w:r>
        <w:rPr>
          <w:rFonts w:eastAsiaTheme="minorHAnsi" w:cs="Arial"/>
          <w:szCs w:val="21"/>
        </w:rPr>
        <w:t xml:space="preserve"> interventions for emergency departments</w:t>
      </w:r>
      <w:r w:rsidRPr="001C1AB0">
        <w:rPr>
          <w:rFonts w:eastAsiaTheme="minorHAnsi" w:cs="Arial"/>
          <w:szCs w:val="21"/>
        </w:rPr>
        <w:t>.</w:t>
      </w:r>
      <w:r>
        <w:rPr>
          <w:rStyle w:val="FootnoteReference"/>
          <w:rFonts w:eastAsiaTheme="minorHAnsi" w:cs="Arial"/>
          <w:szCs w:val="21"/>
        </w:rPr>
        <w:footnoteReference w:id="14"/>
      </w:r>
    </w:p>
    <w:p w14:paraId="58E10555" w14:textId="77777777" w:rsidR="00A42487" w:rsidRDefault="00A42487" w:rsidP="00A42487">
      <w:pPr>
        <w:pStyle w:val="Heading2"/>
      </w:pPr>
      <w:bookmarkStart w:id="33" w:name="_Toc215655979"/>
      <w:r>
        <w:t>6.3 Workforce professional reporting and supervision</w:t>
      </w:r>
      <w:bookmarkEnd w:id="33"/>
    </w:p>
    <w:p w14:paraId="373B68CD" w14:textId="248B80CE" w:rsidR="3F7E2FAE" w:rsidRDefault="3F7E2FAE" w:rsidP="368DB8EA">
      <w:pPr>
        <w:pStyle w:val="Body"/>
      </w:pPr>
      <w:r w:rsidRPr="368DB8EA">
        <w:rPr>
          <w:rFonts w:eastAsia="Arial" w:cs="Arial"/>
          <w:color w:val="000000" w:themeColor="text1"/>
          <w:szCs w:val="21"/>
        </w:rPr>
        <w:t>To ensure appropriate practice within defined discipline scopes of practice, staff working within Hubs will have appropriate access to discipline-specific supervision and professional development and to help resolve scope of practice concerns if they arise. For example, mental health nurses working within the Hub model will have appropriate access to the Director of Mental Health Nursing or equivalent.</w:t>
      </w:r>
    </w:p>
    <w:p w14:paraId="6596FE2F" w14:textId="77777777" w:rsidR="00A42487" w:rsidRPr="00853FA0" w:rsidRDefault="00A42487" w:rsidP="00A42487">
      <w:pPr>
        <w:pStyle w:val="Body"/>
      </w:pPr>
      <w:r w:rsidRPr="00853FA0">
        <w:t xml:space="preserve">Supervision arrangements for all healthcare providers (including mental health and AOD specific workers) and peer workers must be provided and clearly documented in the model of care. </w:t>
      </w:r>
      <w:r>
        <w:t>This should be offered through structures in place for their discipline and within the requirements of the enterprise agreements they are employed under.</w:t>
      </w:r>
    </w:p>
    <w:p w14:paraId="6CA241B0" w14:textId="77777777" w:rsidR="00A42487" w:rsidRPr="00EA641E" w:rsidRDefault="00A42487" w:rsidP="00A42487">
      <w:pPr>
        <w:pStyle w:val="Heading1"/>
      </w:pPr>
      <w:bookmarkStart w:id="34" w:name="_Toc215655980"/>
      <w:r>
        <w:t>7. Quality and s</w:t>
      </w:r>
      <w:r w:rsidRPr="00EA641E">
        <w:t>afety</w:t>
      </w:r>
      <w:bookmarkEnd w:id="34"/>
      <w:r w:rsidRPr="00EA641E">
        <w:t xml:space="preserve"> </w:t>
      </w:r>
    </w:p>
    <w:p w14:paraId="27BEFD5E" w14:textId="77777777" w:rsidR="00A42487" w:rsidRDefault="00A42487" w:rsidP="007B06DA">
      <w:pPr>
        <w:pStyle w:val="Heading2"/>
        <w:numPr>
          <w:ilvl w:val="1"/>
          <w:numId w:val="8"/>
        </w:numPr>
        <w:ind w:left="1440" w:hanging="360"/>
      </w:pPr>
      <w:r>
        <w:t xml:space="preserve"> </w:t>
      </w:r>
      <w:bookmarkStart w:id="35" w:name="_Toc215655981"/>
      <w:r w:rsidRPr="00CB3FF9">
        <w:t>Legislation</w:t>
      </w:r>
      <w:r>
        <w:t xml:space="preserve"> </w:t>
      </w:r>
      <w:r w:rsidRPr="00BD74E2">
        <w:t>and</w:t>
      </w:r>
      <w:r>
        <w:t xml:space="preserve"> p</w:t>
      </w:r>
      <w:r w:rsidRPr="00BD74E2">
        <w:t>olicies</w:t>
      </w:r>
      <w:bookmarkEnd w:id="35"/>
      <w:r w:rsidRPr="5CAB293C">
        <w:t xml:space="preserve"> </w:t>
      </w:r>
    </w:p>
    <w:p w14:paraId="650ABF83" w14:textId="243737AF" w:rsidR="00A42487" w:rsidRPr="00B021F2" w:rsidRDefault="00A42487" w:rsidP="00A42487">
      <w:pPr>
        <w:pStyle w:val="Bullet1"/>
        <w:numPr>
          <w:ilvl w:val="0"/>
          <w:numId w:val="0"/>
        </w:numPr>
        <w:spacing w:after="120"/>
        <w:rPr>
          <w:szCs w:val="21"/>
        </w:rPr>
      </w:pPr>
      <w:r w:rsidRPr="00B021F2">
        <w:rPr>
          <w:szCs w:val="21"/>
        </w:rPr>
        <w:t xml:space="preserve">The </w:t>
      </w:r>
      <w:hyperlink r:id="rId30" w:history="1">
        <w:r w:rsidRPr="00B021F2">
          <w:rPr>
            <w:rStyle w:val="Hyperlink"/>
            <w:i/>
            <w:iCs/>
            <w:szCs w:val="21"/>
          </w:rPr>
          <w:t>Victorian Clinical Governance Framework</w:t>
        </w:r>
      </w:hyperlink>
      <w:r w:rsidR="00C70C04">
        <w:t xml:space="preserve"> &lt;</w:t>
      </w:r>
      <w:r w:rsidR="00C70C04" w:rsidRPr="00C70C04">
        <w:t>https://www.safercare.vic.gov.au/best-practice-improvement/clinical-governance/framework</w:t>
      </w:r>
      <w:r w:rsidR="00C70C04">
        <w:t>&gt;</w:t>
      </w:r>
      <w:r w:rsidRPr="00B021F2">
        <w:rPr>
          <w:szCs w:val="21"/>
        </w:rPr>
        <w:t xml:space="preserve"> published in 2024 provides guidance for how services can adhere to local and national legislative and regulatory requirements including accreditation against National Safety and Quality Health Service (NSQHS) Standards. This includes service provision within the Hub. </w:t>
      </w:r>
    </w:p>
    <w:p w14:paraId="6861DF8D" w14:textId="1097D354" w:rsidR="00A42487" w:rsidRPr="00B021F2" w:rsidRDefault="00A42487" w:rsidP="00A42487">
      <w:pPr>
        <w:pStyle w:val="Bullet1"/>
        <w:numPr>
          <w:ilvl w:val="0"/>
          <w:numId w:val="0"/>
        </w:numPr>
      </w:pPr>
      <w:r>
        <w:t xml:space="preserve">It is important that services recognise the human rights of people with a mental illness in accordance with the </w:t>
      </w:r>
      <w:r w:rsidRPr="001A57ED">
        <w:rPr>
          <w:i/>
          <w:iCs/>
        </w:rPr>
        <w:t xml:space="preserve">Victorian Charter of Human Rights and Responsibilities Act 2006 </w:t>
      </w:r>
      <w:r>
        <w:t xml:space="preserve">and offer treatment, </w:t>
      </w:r>
      <w:r w:rsidR="00873118">
        <w:t>care</w:t>
      </w:r>
      <w:r>
        <w:t xml:space="preserve"> and support in accordance with the </w:t>
      </w:r>
      <w:r w:rsidRPr="001A57ED">
        <w:rPr>
          <w:i/>
          <w:iCs/>
        </w:rPr>
        <w:t>Mental Health and Wellbeing Act 2022.</w:t>
      </w:r>
      <w:r>
        <w:t xml:space="preserve"> The </w:t>
      </w:r>
      <w:r w:rsidRPr="001A57ED">
        <w:rPr>
          <w:i/>
          <w:iCs/>
        </w:rPr>
        <w:t xml:space="preserve">Safe Patient Care (Nurse to Patient and Midwife to Patient Ratios) Act 2015 </w:t>
      </w:r>
      <w:r>
        <w:t xml:space="preserve">dictates the number of nursing staff needed for the emergency department and short stay beds. The </w:t>
      </w:r>
      <w:r w:rsidRPr="001A57ED">
        <w:rPr>
          <w:i/>
          <w:iCs/>
        </w:rPr>
        <w:t xml:space="preserve">Medical Treatment Planning and Decisions Act 2016 </w:t>
      </w:r>
      <w:r>
        <w:t>governs recognition of advance care directives and alternative decision makers if a person is deemed to not have capacity.</w:t>
      </w:r>
    </w:p>
    <w:p w14:paraId="0DCA11B2" w14:textId="77777777" w:rsidR="00A42487" w:rsidRPr="00B021F2" w:rsidRDefault="00A42487" w:rsidP="00A42487">
      <w:pPr>
        <w:pStyle w:val="body0"/>
        <w:jc w:val="left"/>
        <w:rPr>
          <w:rFonts w:ascii="Arial" w:hAnsi="Arial" w:cs="Arial"/>
          <w:sz w:val="21"/>
          <w:szCs w:val="21"/>
        </w:rPr>
      </w:pPr>
      <w:r w:rsidRPr="00B021F2">
        <w:rPr>
          <w:rFonts w:ascii="Arial" w:hAnsi="Arial" w:cs="Arial"/>
          <w:sz w:val="21"/>
          <w:szCs w:val="21"/>
        </w:rPr>
        <w:t xml:space="preserve">When considering installation and operation of CCTV, health services are required to comply with all relevant Victorian legislation including the </w:t>
      </w:r>
      <w:r w:rsidRPr="00B021F2">
        <w:rPr>
          <w:rFonts w:ascii="Arial" w:hAnsi="Arial" w:cs="Arial"/>
          <w:i/>
          <w:iCs/>
          <w:sz w:val="21"/>
          <w:szCs w:val="21"/>
        </w:rPr>
        <w:t>Mental Health and Wellbeing Act 2022, Health Records Act 2001</w:t>
      </w:r>
      <w:r w:rsidRPr="00B021F2">
        <w:rPr>
          <w:rFonts w:ascii="Arial" w:hAnsi="Arial" w:cs="Arial"/>
          <w:sz w:val="21"/>
          <w:szCs w:val="21"/>
        </w:rPr>
        <w:t xml:space="preserve">, </w:t>
      </w:r>
      <w:r w:rsidRPr="00B021F2">
        <w:rPr>
          <w:rFonts w:ascii="Arial" w:hAnsi="Arial" w:cs="Arial"/>
          <w:i/>
          <w:iCs/>
          <w:sz w:val="21"/>
          <w:szCs w:val="21"/>
        </w:rPr>
        <w:t>Surveillance Devices Act 1999 and Charter of Human Rights and Responsibilities Act 2006</w:t>
      </w:r>
      <w:r w:rsidRPr="00B021F2">
        <w:rPr>
          <w:rFonts w:ascii="Arial" w:hAnsi="Arial" w:cs="Arial"/>
          <w:sz w:val="21"/>
          <w:szCs w:val="21"/>
        </w:rPr>
        <w:t>.</w:t>
      </w:r>
    </w:p>
    <w:p w14:paraId="1C159B9A" w14:textId="77777777" w:rsidR="00A42487" w:rsidRDefault="00A42487" w:rsidP="00A42487">
      <w:pPr>
        <w:pStyle w:val="Heading2"/>
      </w:pPr>
      <w:bookmarkStart w:id="36" w:name="_Toc215655982"/>
      <w:r>
        <w:lastRenderedPageBreak/>
        <w:t>7.2 Restrictive interventions</w:t>
      </w:r>
      <w:bookmarkEnd w:id="36"/>
    </w:p>
    <w:p w14:paraId="03FF36CB" w14:textId="77777777" w:rsidR="00A42487" w:rsidRDefault="00A42487" w:rsidP="00A42487">
      <w:pPr>
        <w:pStyle w:val="Body"/>
      </w:pPr>
      <w:r>
        <w:t xml:space="preserve">Staff working in the Hubs which are designated mental health services must comply with requirements set out in the </w:t>
      </w:r>
      <w:r w:rsidRPr="001A57ED">
        <w:rPr>
          <w:i/>
          <w:iCs/>
        </w:rPr>
        <w:t>Mental Health and Wellbeing Act 2022</w:t>
      </w:r>
      <w:r>
        <w:t xml:space="preserve"> when using a restrictive intervention on people receiving a mental health and wellbeing service </w:t>
      </w:r>
    </w:p>
    <w:p w14:paraId="70E5C709" w14:textId="77777777" w:rsidR="00A42487" w:rsidRDefault="00A42487" w:rsidP="00A42487">
      <w:pPr>
        <w:pStyle w:val="Body"/>
      </w:pPr>
      <w:r>
        <w:t>This includes:</w:t>
      </w:r>
    </w:p>
    <w:p w14:paraId="3A119470" w14:textId="77777777" w:rsidR="00A42487" w:rsidRDefault="00A42487" w:rsidP="00A42487">
      <w:pPr>
        <w:pStyle w:val="Bullet1"/>
      </w:pPr>
      <w:r>
        <w:t>using restrictive interventions only as a last resort, after all reasonable and less restrictive options have been tried or considered and have been found to be unsuitable</w:t>
      </w:r>
    </w:p>
    <w:p w14:paraId="4F786361" w14:textId="77777777" w:rsidR="00A42487" w:rsidRDefault="00A42487" w:rsidP="00A42487">
      <w:pPr>
        <w:pStyle w:val="Bullet1"/>
      </w:pPr>
      <w:proofErr w:type="gramStart"/>
      <w:r>
        <w:t>giving proper consideration to</w:t>
      </w:r>
      <w:proofErr w:type="gramEnd"/>
      <w:r>
        <w:t xml:space="preserve"> </w:t>
      </w:r>
      <w:r w:rsidRPr="00600A57">
        <w:t>mental health and wellbeing principles</w:t>
      </w:r>
      <w:r>
        <w:t xml:space="preserve"> in the Act </w:t>
      </w:r>
      <w:r w:rsidRPr="006E731C">
        <w:t>before and during a restrictive intervention</w:t>
      </w:r>
    </w:p>
    <w:p w14:paraId="58896025" w14:textId="77777777" w:rsidR="00A42487" w:rsidRDefault="00A42487" w:rsidP="00A42487">
      <w:pPr>
        <w:pStyle w:val="Bullet1"/>
      </w:pPr>
      <w:r>
        <w:t>adhering to requirements set out in the Act for authorising, monitoring and clinically documenting restrictive interventions and notifying relevant persons if its use.</w:t>
      </w:r>
    </w:p>
    <w:p w14:paraId="293A5877" w14:textId="77777777" w:rsidR="00A42487" w:rsidRDefault="00A42487" w:rsidP="00A42487">
      <w:pPr>
        <w:pStyle w:val="Bullet1"/>
      </w:pPr>
      <w:r>
        <w:t>review the use of restrictive interventions and provide written reports to the Chief Psychiatrist following the use of restrictive interventions</w:t>
      </w:r>
    </w:p>
    <w:p w14:paraId="3E608BB9" w14:textId="48EAE5CB" w:rsidR="00A42487" w:rsidRDefault="00A42487" w:rsidP="00A42487">
      <w:pPr>
        <w:pStyle w:val="Bullet1"/>
      </w:pPr>
      <w:r>
        <w:t xml:space="preserve">submitting to the Chief Psychiatrist restrictive interventions data as specified in the </w:t>
      </w:r>
      <w:hyperlink r:id="rId31">
        <w:r w:rsidRPr="001A57ED">
          <w:rPr>
            <w:rStyle w:val="Hyperlink"/>
          </w:rPr>
          <w:t>Chief Psychiatrist’s reporting directive for restrictive interventions</w:t>
        </w:r>
      </w:hyperlink>
      <w:r w:rsidR="00C70C04">
        <w:t xml:space="preserve"> &lt;</w:t>
      </w:r>
      <w:r w:rsidR="00C70C04" w:rsidRPr="00C70C04">
        <w:t>https://www.health.vic.gov.au/chief-psychiatrist/chief-psychiatrists-restrictive-interventions</w:t>
      </w:r>
      <w:r w:rsidR="00C70C04">
        <w:t>&gt;</w:t>
      </w:r>
      <w:r>
        <w:t xml:space="preserve"> which includes reporting breaches of the Act relating to restrictive interventions.</w:t>
      </w:r>
    </w:p>
    <w:p w14:paraId="18DCFE6B" w14:textId="77777777" w:rsidR="00A42487" w:rsidRDefault="00A42487" w:rsidP="00A42487">
      <w:pPr>
        <w:pStyle w:val="Body"/>
        <w:spacing w:before="120"/>
      </w:pPr>
      <w:r>
        <w:t xml:space="preserve">Staff should be supported to learn about and comply with these legal requirements and foster a positive safety culture inclusive of reporting, including through education and training programs and the promotion of a positive reporting culture. Services should document how reporting to the Office of the Chief Psychiatrist will occur for restrictive interventions used in a Hub if it </w:t>
      </w:r>
      <w:proofErr w:type="gramStart"/>
      <w:r>
        <w:t>is located in</w:t>
      </w:r>
      <w:proofErr w:type="gramEnd"/>
      <w:r>
        <w:t xml:space="preserve"> a designated mental health service.</w:t>
      </w:r>
    </w:p>
    <w:p w14:paraId="711909E9" w14:textId="77777777" w:rsidR="00A42487" w:rsidRDefault="00A42487" w:rsidP="00A42487">
      <w:pPr>
        <w:pStyle w:val="Bullet1"/>
        <w:numPr>
          <w:ilvl w:val="0"/>
          <w:numId w:val="0"/>
        </w:numPr>
      </w:pPr>
      <w:r>
        <w:t>The Chief Psychiatrist has published resources to assist ED staff understand their obligations when using restrictive interventions. These include:</w:t>
      </w:r>
    </w:p>
    <w:p w14:paraId="689E34F1" w14:textId="47147F2A" w:rsidR="00A42487" w:rsidRPr="00A213CB" w:rsidRDefault="00A42487" w:rsidP="00A42487">
      <w:pPr>
        <w:pStyle w:val="Bullet1"/>
      </w:pPr>
      <w:hyperlink r:id="rId32">
        <w:r w:rsidRPr="001A57ED">
          <w:rPr>
            <w:rStyle w:val="Hyperlink"/>
          </w:rPr>
          <w:t>Fact sheet – Restrictive interventions in emergency departments and urgent care centres</w:t>
        </w:r>
      </w:hyperlink>
      <w:r w:rsidR="00C70C04">
        <w:t xml:space="preserve"> &lt;</w:t>
      </w:r>
      <w:r w:rsidR="00C70C04" w:rsidRPr="00C70C04">
        <w:t>https://www.health.vic.gov.au/chief-psychiatrist/reform-activities-and-news-involving-the-office-of-the-chief-psychiatrist</w:t>
      </w:r>
      <w:r w:rsidR="00C70C04">
        <w:t>&gt;</w:t>
      </w:r>
    </w:p>
    <w:p w14:paraId="1861E0CA" w14:textId="79D43075" w:rsidR="00A42487" w:rsidRDefault="00A42487" w:rsidP="00A42487">
      <w:pPr>
        <w:pStyle w:val="Bullet1"/>
      </w:pPr>
      <w:hyperlink r:id="rId33">
        <w:r w:rsidRPr="001A57ED">
          <w:rPr>
            <w:rStyle w:val="Hyperlink"/>
          </w:rPr>
          <w:t>eLearning module – Restrictive interventions in emergency departments and urgent care centres</w:t>
        </w:r>
      </w:hyperlink>
      <w:r>
        <w:t xml:space="preserve"> </w:t>
      </w:r>
      <w:r w:rsidR="00C70C04">
        <w:t>&lt;</w:t>
      </w:r>
      <w:r w:rsidR="00C70C04" w:rsidRPr="00C70C04">
        <w:t>https://www.mhpod.gov.au/</w:t>
      </w:r>
      <w:r w:rsidR="00C70C04">
        <w:t>&gt;</w:t>
      </w:r>
    </w:p>
    <w:p w14:paraId="2AD93C38" w14:textId="5AC1C87A" w:rsidR="00C70C04" w:rsidRPr="00C70C04" w:rsidRDefault="00C70C04" w:rsidP="00C70C04">
      <w:pPr>
        <w:pStyle w:val="Bullet1"/>
      </w:pPr>
      <w:r w:rsidRPr="00C70C04">
        <w:t>Practice guidance and reporting flowchart – Restrictive interventions in emergency departments and urgent care centres &lt;</w:t>
      </w:r>
      <w:hyperlink r:id="rId34" w:history="1">
        <w:r w:rsidRPr="00C70C04">
          <w:rPr>
            <w:rStyle w:val="Hyperlink"/>
          </w:rPr>
          <w:t>https://www.health.vic.gov.au/chief-psychiatrist/reporting-restrictive-interventions-in-emergency-departments-and-urgent-care-centres</w:t>
        </w:r>
      </w:hyperlink>
      <w:r w:rsidRPr="00C70C04">
        <w:t>&gt;</w:t>
      </w:r>
    </w:p>
    <w:p w14:paraId="610C6A84" w14:textId="371C3A13" w:rsidR="00A42487" w:rsidRDefault="00A42487" w:rsidP="00A42487">
      <w:pPr>
        <w:pStyle w:val="Bullet1"/>
      </w:pPr>
      <w:hyperlink r:id="rId35">
        <w:r w:rsidRPr="001A57ED">
          <w:rPr>
            <w:rStyle w:val="Hyperlink"/>
          </w:rPr>
          <w:t>Chief Psychiatrist’s guideline for restrictive interventions</w:t>
        </w:r>
      </w:hyperlink>
      <w:r w:rsidR="00C70C04">
        <w:t xml:space="preserve"> &lt;</w:t>
      </w:r>
      <w:r w:rsidR="00C70C04" w:rsidRPr="00C70C04">
        <w:t>https://www.health.vic.gov.au/chief-psychiatrist/chief-psychiatrists-restrictive-interventions</w:t>
      </w:r>
      <w:r w:rsidR="00C70C04">
        <w:t>&gt;</w:t>
      </w:r>
    </w:p>
    <w:p w14:paraId="345F333A" w14:textId="77777777" w:rsidR="00A42487" w:rsidRDefault="00A42487" w:rsidP="00A42487">
      <w:pPr>
        <w:pStyle w:val="Heading2"/>
      </w:pPr>
      <w:bookmarkStart w:id="37" w:name="_Toc215655983"/>
      <w:r>
        <w:t>7.3 Using clinical governance to maximise quality and safety</w:t>
      </w:r>
      <w:bookmarkEnd w:id="37"/>
    </w:p>
    <w:p w14:paraId="433D19C7" w14:textId="77777777" w:rsidR="00A42487" w:rsidRPr="00853FA0" w:rsidRDefault="00A42487" w:rsidP="00A42487">
      <w:pPr>
        <w:pStyle w:val="Body"/>
      </w:pPr>
      <w:r w:rsidRPr="00853FA0">
        <w:t>The Hub</w:t>
      </w:r>
      <w:r>
        <w:t>s</w:t>
      </w:r>
      <w:r w:rsidRPr="00853FA0">
        <w:t xml:space="preserve"> must have a documented robust clinical governance structure</w:t>
      </w:r>
      <w:r>
        <w:t xml:space="preserve"> and operate in accordance with the Victorian Clinical Governance Framework</w:t>
      </w:r>
      <w:r>
        <w:rPr>
          <w:rStyle w:val="FootnoteReference"/>
        </w:rPr>
        <w:footnoteReference w:id="15"/>
      </w:r>
      <w:r>
        <w:t>, which includes describing how clinical governance will be ensured for the non-admitted and short stay components of the Hub model. This should</w:t>
      </w:r>
      <w:r w:rsidRPr="00853FA0" w:rsidDel="00CA7C91">
        <w:t xml:space="preserve"> </w:t>
      </w:r>
      <w:r w:rsidRPr="00853FA0">
        <w:t>includ</w:t>
      </w:r>
      <w:r>
        <w:t>e</w:t>
      </w:r>
      <w:r w:rsidRPr="00853FA0">
        <w:t xml:space="preserve"> discipline specific clinical and lived experience supervision</w:t>
      </w:r>
      <w:r>
        <w:t xml:space="preserve"> and the capabilities and training and development processes for staff working in the Hub</w:t>
      </w:r>
      <w:r w:rsidRPr="00853FA0">
        <w:t xml:space="preserve">, systems and processes to be accountable for, and assure the provision of evidence-based treatment, care and support that is effective and safe, and delivers high-quality care to all </w:t>
      </w:r>
      <w:r w:rsidRPr="00853FA0">
        <w:lastRenderedPageBreak/>
        <w:t xml:space="preserve">consumers and their families, carers and supporters. Clinical governance should include the processes and structures to undertake continuous improvement of service delivery as well as the process for feedback and complaints. </w:t>
      </w:r>
    </w:p>
    <w:p w14:paraId="1A12BBBD" w14:textId="77777777" w:rsidR="00A42487" w:rsidRPr="00EA641E" w:rsidRDefault="00A42487" w:rsidP="00A42487">
      <w:pPr>
        <w:pStyle w:val="Heading1"/>
      </w:pPr>
      <w:bookmarkStart w:id="38" w:name="_Toc215655984"/>
      <w:r>
        <w:t>8. Capital b</w:t>
      </w:r>
      <w:r w:rsidRPr="00EA641E">
        <w:t>uil</w:t>
      </w:r>
      <w:r>
        <w:t>d</w:t>
      </w:r>
      <w:r w:rsidRPr="00EA641E">
        <w:t xml:space="preserve"> </w:t>
      </w:r>
      <w:r>
        <w:t>requirements</w:t>
      </w:r>
      <w:bookmarkEnd w:id="38"/>
    </w:p>
    <w:p w14:paraId="5BB91055" w14:textId="77777777" w:rsidR="00A42487" w:rsidRDefault="00A42487" w:rsidP="00A42487">
      <w:pPr>
        <w:pStyle w:val="Body"/>
      </w:pPr>
      <w:r w:rsidRPr="5CAB293C">
        <w:t xml:space="preserve">Functional specifications for purpose-built </w:t>
      </w:r>
      <w:r>
        <w:t>H</w:t>
      </w:r>
      <w:r w:rsidRPr="5CAB293C" w:rsidDel="009865A1">
        <w:t>ubs</w:t>
      </w:r>
      <w:r w:rsidRPr="5CAB293C">
        <w:t xml:space="preserve"> can be requested from the Victorian Health Building Authority</w:t>
      </w:r>
      <w:r>
        <w:t xml:space="preserve"> which is expecting to publish Design Guidelines for Hubs in early 2025</w:t>
      </w:r>
      <w:r w:rsidRPr="5CAB293C">
        <w:t>.</w:t>
      </w:r>
      <w:r>
        <w:t xml:space="preserve"> The Design Guidelines will apply to department-funded Hub developments.</w:t>
      </w:r>
    </w:p>
    <w:p w14:paraId="65B48270" w14:textId="46486CDF" w:rsidR="00A42487" w:rsidRDefault="00A42487" w:rsidP="00A42487">
      <w:pPr>
        <w:pStyle w:val="Body"/>
      </w:pPr>
      <w:r>
        <w:t xml:space="preserve">Information can also be found in the resources of </w:t>
      </w:r>
      <w:proofErr w:type="spellStart"/>
      <w:r>
        <w:t>AusHFG</w:t>
      </w:r>
      <w:proofErr w:type="spellEnd"/>
      <w:r>
        <w:t xml:space="preserve">, which has issued a </w:t>
      </w:r>
      <w:hyperlink r:id="rId36" w:history="1">
        <w:r w:rsidRPr="00A908A4">
          <w:rPr>
            <w:rStyle w:val="Hyperlink"/>
            <w:rFonts w:cs="Arial"/>
          </w:rPr>
          <w:t>guideline for mental health emergency short stay units</w:t>
        </w:r>
      </w:hyperlink>
      <w:r w:rsidR="00A908A4">
        <w:t xml:space="preserve"> &lt;</w:t>
      </w:r>
      <w:r w:rsidR="00A908A4" w:rsidRPr="00C70C04">
        <w:t>https://healthfacilityguidelines.com.au/news/content-update-hpu-133-mental-health-emergency-short-stay-unit</w:t>
      </w:r>
      <w:r w:rsidR="00A908A4">
        <w:t>&gt;</w:t>
      </w:r>
      <w:r>
        <w:rPr>
          <w:rStyle w:val="Hyperlink"/>
          <w:rFonts w:cs="Arial"/>
        </w:rPr>
        <w:t xml:space="preserve"> </w:t>
      </w:r>
      <w:r w:rsidRPr="00A908A4">
        <w:rPr>
          <w:rStyle w:val="Hyperlink"/>
          <w:rFonts w:cs="Arial"/>
          <w:color w:val="auto"/>
        </w:rPr>
        <w:t>although this is not specific to the Hub model</w:t>
      </w:r>
      <w:r w:rsidRPr="00A908A4">
        <w:t xml:space="preserve">.  </w:t>
      </w:r>
    </w:p>
    <w:p w14:paraId="58FD02AA" w14:textId="77777777" w:rsidR="00A42487" w:rsidRPr="00EA641E" w:rsidRDefault="00A42487" w:rsidP="00A42487">
      <w:pPr>
        <w:pStyle w:val="Body"/>
      </w:pPr>
      <w:r w:rsidRPr="5CAB293C">
        <w:t>The specifications highlight building design features and facilities that support the</w:t>
      </w:r>
      <w:r>
        <w:t xml:space="preserve"> privacy, protection and</w:t>
      </w:r>
      <w:r w:rsidRPr="5CAB293C">
        <w:t xml:space="preserve"> safety of consumers, visitors and staff and minimise </w:t>
      </w:r>
      <w:r>
        <w:t>distress</w:t>
      </w:r>
      <w:r w:rsidRPr="5CAB293C">
        <w:t xml:space="preserve">. </w:t>
      </w:r>
      <w:r>
        <w:t>Hubs</w:t>
      </w:r>
      <w:r w:rsidRPr="5CAB293C">
        <w:t xml:space="preserve"> are to provide, where feasible:</w:t>
      </w:r>
    </w:p>
    <w:p w14:paraId="7D5C16E2" w14:textId="58575969" w:rsidR="00A42487" w:rsidRDefault="00A42487" w:rsidP="00A42487">
      <w:pPr>
        <w:pStyle w:val="Bullet1"/>
        <w:rPr>
          <w:rFonts w:ascii="Aptos" w:eastAsia="Times New Roman" w:hAnsi="Aptos"/>
        </w:rPr>
      </w:pPr>
      <w:r>
        <w:t>A</w:t>
      </w:r>
      <w:r w:rsidRPr="002474BD">
        <w:t xml:space="preserve"> therapeutic, </w:t>
      </w:r>
      <w:r w:rsidR="00873118" w:rsidRPr="002474BD">
        <w:t>welcoming,</w:t>
      </w:r>
      <w:r w:rsidRPr="002474BD">
        <w:t xml:space="preserve"> and culturally safe environment that supports the sensory and other treatment, care and support needs of consumers experiencing psychological distress</w:t>
      </w:r>
      <w:r>
        <w:t xml:space="preserve">. </w:t>
      </w:r>
      <w:r>
        <w:rPr>
          <w:rFonts w:eastAsia="Times New Roman"/>
        </w:rPr>
        <w:t xml:space="preserve">This includes designing with input from local ACCHOs and/or Traditional Owner groups and including consideration of gender, disability, cultural, language and other aspects of diversity for people who may be admitted to a Hub. </w:t>
      </w:r>
    </w:p>
    <w:p w14:paraId="50E6E837" w14:textId="77777777" w:rsidR="00A42487" w:rsidRPr="002474BD" w:rsidRDefault="00A42487" w:rsidP="00A42487">
      <w:pPr>
        <w:pStyle w:val="Bullet1"/>
      </w:pPr>
      <w:r>
        <w:t>F</w:t>
      </w:r>
      <w:r w:rsidRPr="002474BD">
        <w:t xml:space="preserve">acilities and amenities appropriate to </w:t>
      </w:r>
      <w:r w:rsidRPr="1DF2FF34">
        <w:t xml:space="preserve">consumers, families and carers expected to visit </w:t>
      </w:r>
      <w:r w:rsidRPr="18629E2E">
        <w:t xml:space="preserve">the service, </w:t>
      </w:r>
      <w:r w:rsidRPr="1DF2FF34">
        <w:t xml:space="preserve">and </w:t>
      </w:r>
      <w:r w:rsidRPr="002474BD">
        <w:t>their expected lengths of stay (e.g. bedrooms, ensuites, clinical spaces, therapy spaces, and communal areas and refreshments for admitted consumers in particular</w:t>
      </w:r>
      <w:r>
        <w:t>).</w:t>
      </w:r>
    </w:p>
    <w:p w14:paraId="45677998" w14:textId="77777777" w:rsidR="00A42487" w:rsidRPr="002474BD" w:rsidRDefault="00A42487" w:rsidP="00A42487">
      <w:pPr>
        <w:pStyle w:val="Bullet1"/>
      </w:pPr>
      <w:r>
        <w:t>A</w:t>
      </w:r>
      <w:r w:rsidRPr="002474BD">
        <w:t xml:space="preserve">dequate circulation space to avoid consumers </w:t>
      </w:r>
      <w:r w:rsidRPr="18629E2E">
        <w:t xml:space="preserve">and support people </w:t>
      </w:r>
      <w:r w:rsidRPr="002474BD">
        <w:t>feeling ‘crowded’ or ‘constrained’</w:t>
      </w:r>
      <w:r>
        <w:t xml:space="preserve"> and facilitates accessibility</w:t>
      </w:r>
      <w:r w:rsidRPr="002474BD">
        <w:t>.</w:t>
      </w:r>
    </w:p>
    <w:p w14:paraId="2DB0A079" w14:textId="77777777" w:rsidR="00A42487" w:rsidRPr="002474BD" w:rsidRDefault="00A42487" w:rsidP="00A42487">
      <w:pPr>
        <w:pStyle w:val="Bullet1"/>
      </w:pPr>
      <w:r>
        <w:t>A</w:t>
      </w:r>
      <w:r w:rsidRPr="002474BD">
        <w:t>dequate staff and public bathroom facilities</w:t>
      </w:r>
      <w:r>
        <w:t>.</w:t>
      </w:r>
    </w:p>
    <w:p w14:paraId="6C091D24" w14:textId="3D77965D" w:rsidR="00A42487" w:rsidRPr="002474BD" w:rsidRDefault="00A42487" w:rsidP="00A42487">
      <w:pPr>
        <w:pStyle w:val="Bullet1"/>
      </w:pPr>
      <w:r>
        <w:t>Dual access</w:t>
      </w:r>
      <w:r w:rsidRPr="002474BD">
        <w:t xml:space="preserve">/egress points in consult rooms, interview </w:t>
      </w:r>
      <w:r w:rsidR="00873118" w:rsidRPr="002474BD">
        <w:t>rooms,</w:t>
      </w:r>
      <w:r w:rsidRPr="002474BD">
        <w:t xml:space="preserve"> and bays</w:t>
      </w:r>
      <w:r>
        <w:t>.</w:t>
      </w:r>
    </w:p>
    <w:p w14:paraId="34AFF074" w14:textId="77777777" w:rsidR="00A42487" w:rsidRPr="002474BD" w:rsidRDefault="00A42487" w:rsidP="00A42487">
      <w:pPr>
        <w:pStyle w:val="Bullet1"/>
      </w:pPr>
      <w:r>
        <w:t>A</w:t>
      </w:r>
      <w:r w:rsidRPr="002474BD">
        <w:t xml:space="preserve">dequate medical equipment and treatment </w:t>
      </w:r>
      <w:r w:rsidRPr="7212205B">
        <w:t>spaces</w:t>
      </w:r>
      <w:r>
        <w:t>.</w:t>
      </w:r>
    </w:p>
    <w:p w14:paraId="5CA86E14" w14:textId="77777777" w:rsidR="00A42487" w:rsidRPr="002474BD" w:rsidRDefault="00A42487" w:rsidP="00A42487">
      <w:pPr>
        <w:pStyle w:val="Bullet1"/>
      </w:pPr>
      <w:r>
        <w:t>D</w:t>
      </w:r>
      <w:r w:rsidRPr="002474BD">
        <w:t>uress alarms (fixed and mobile)</w:t>
      </w:r>
      <w:r>
        <w:t>.</w:t>
      </w:r>
    </w:p>
    <w:p w14:paraId="4493CA3C" w14:textId="77777777" w:rsidR="00A42487" w:rsidRPr="002474BD" w:rsidRDefault="00A42487" w:rsidP="00A42487">
      <w:pPr>
        <w:pStyle w:val="Bullet1"/>
      </w:pPr>
      <w:r>
        <w:t>Fittings and fixtures marketed as anti-ligature.</w:t>
      </w:r>
    </w:p>
    <w:p w14:paraId="74C238E2" w14:textId="77777777" w:rsidR="00A42487" w:rsidRPr="002474BD" w:rsidRDefault="00A42487" w:rsidP="00A42487">
      <w:pPr>
        <w:pStyle w:val="Bullet1"/>
      </w:pPr>
      <w:r>
        <w:t>S</w:t>
      </w:r>
      <w:r w:rsidRPr="002474BD">
        <w:t>taff amenities</w:t>
      </w:r>
      <w:r>
        <w:t>.</w:t>
      </w:r>
    </w:p>
    <w:p w14:paraId="5A0D352E" w14:textId="2979E27A" w:rsidR="00A42487" w:rsidRPr="002474BD" w:rsidRDefault="00A42487" w:rsidP="00A42487">
      <w:pPr>
        <w:pStyle w:val="Bullet1"/>
      </w:pPr>
      <w:r>
        <w:t>F</w:t>
      </w:r>
      <w:r w:rsidRPr="002474BD">
        <w:t xml:space="preserve">lexible spaces such as consulting rooms that can also be used as private spaces for </w:t>
      </w:r>
      <w:r w:rsidRPr="6CF08EA8">
        <w:t>consumers</w:t>
      </w:r>
      <w:r w:rsidRPr="002474BD">
        <w:t xml:space="preserve">, </w:t>
      </w:r>
      <w:r w:rsidR="00873118" w:rsidRPr="002474BD">
        <w:t>families,</w:t>
      </w:r>
      <w:r w:rsidRPr="002474BD">
        <w:t xml:space="preserve"> and carers.</w:t>
      </w:r>
    </w:p>
    <w:p w14:paraId="47BE01F3" w14:textId="77777777" w:rsidR="00A42487" w:rsidRDefault="00A42487" w:rsidP="00A42487">
      <w:pPr>
        <w:pStyle w:val="Bullet1"/>
      </w:pPr>
      <w:r>
        <w:t>A</w:t>
      </w:r>
      <w:r w:rsidRPr="002474BD">
        <w:t>dequate clinical and staff spaces to support the multi-disciplinary team model</w:t>
      </w:r>
      <w:r>
        <w:t>.</w:t>
      </w:r>
    </w:p>
    <w:p w14:paraId="5F5D91C1" w14:textId="77777777" w:rsidR="00A42487" w:rsidRDefault="00A42487" w:rsidP="00A42487">
      <w:pPr>
        <w:pStyle w:val="Bullet1"/>
      </w:pPr>
      <w:r>
        <w:t>Consideration of the positive therapeutic impacts of natural light, reduced noise, natural materials and/or soft natural colour tones, nature images, and access to safe and secure outdoor environments where possible, for both consumers and carers. Where access to outdoors and natural light is limited, priority should be given to admitted consumers who may stay up to 72 hours. The access to natural light and external spaces however is secondary to maintaining a clinically safe and functionally appropriate environment.</w:t>
      </w:r>
    </w:p>
    <w:p w14:paraId="23AD8816" w14:textId="1A093DDA" w:rsidR="00A42487" w:rsidRPr="00EA641E" w:rsidRDefault="00A42487" w:rsidP="00A42487">
      <w:pPr>
        <w:pStyle w:val="Bullet1"/>
        <w:spacing w:before="120" w:after="120"/>
      </w:pPr>
      <w:r w:rsidRPr="7E8E6178">
        <w:t>The</w:t>
      </w:r>
      <w:r>
        <w:t xml:space="preserve"> Hubs</w:t>
      </w:r>
      <w:r w:rsidRPr="7E8E6178">
        <w:t xml:space="preserve"> should be </w:t>
      </w:r>
      <w:r>
        <w:t>near</w:t>
      </w:r>
      <w:r w:rsidRPr="7E8E6178">
        <w:t xml:space="preserve"> the ED short</w:t>
      </w:r>
      <w:r>
        <w:t xml:space="preserve"> </w:t>
      </w:r>
      <w:r w:rsidRPr="7E8E6178">
        <w:t>stay units</w:t>
      </w:r>
      <w:r>
        <w:t xml:space="preserve">. </w:t>
      </w:r>
      <w:r w:rsidRPr="7E8E6178">
        <w:t xml:space="preserve">This will support clinical care, safety, operational viability </w:t>
      </w:r>
      <w:r>
        <w:t xml:space="preserve">and improved provision of integrated physical health, mental </w:t>
      </w:r>
      <w:r w:rsidR="00873118">
        <w:t>health,</w:t>
      </w:r>
      <w:r>
        <w:t xml:space="preserve"> and AOD care </w:t>
      </w:r>
      <w:r w:rsidRPr="7E8E6178">
        <w:t xml:space="preserve">by: </w:t>
      </w:r>
    </w:p>
    <w:p w14:paraId="534A67D7" w14:textId="77777777" w:rsidR="00A42487" w:rsidRPr="00EA641E" w:rsidRDefault="00A42487" w:rsidP="00A42487">
      <w:pPr>
        <w:pStyle w:val="Bullet2"/>
      </w:pPr>
      <w:r w:rsidRPr="3CF06E93">
        <w:t>enabling sharing of clinical, peer worker and security staff</w:t>
      </w:r>
    </w:p>
    <w:p w14:paraId="687E979E" w14:textId="77777777" w:rsidR="00A42487" w:rsidRPr="00EA641E" w:rsidRDefault="00A42487" w:rsidP="00A42487">
      <w:pPr>
        <w:pStyle w:val="Bullet2"/>
      </w:pPr>
      <w:r w:rsidRPr="3CF06E93">
        <w:t xml:space="preserve">enabling the use of flexible spaces within the ED, according to demand, and </w:t>
      </w:r>
    </w:p>
    <w:p w14:paraId="5B8B738B" w14:textId="77777777" w:rsidR="00A42487" w:rsidRPr="00EA641E" w:rsidRDefault="00A42487" w:rsidP="00A42487">
      <w:pPr>
        <w:pStyle w:val="Bullet2"/>
      </w:pPr>
      <w:r w:rsidRPr="3CF06E93">
        <w:t>avoiding closure of short</w:t>
      </w:r>
      <w:r>
        <w:t xml:space="preserve"> </w:t>
      </w:r>
      <w:r w:rsidRPr="3CF06E93">
        <w:t>stay beds at times when there are low consumer numbers (due to staffing cost and security concerns).</w:t>
      </w:r>
    </w:p>
    <w:p w14:paraId="0FDC91F6" w14:textId="77777777" w:rsidR="00A42487" w:rsidRDefault="00A42487" w:rsidP="00A42487">
      <w:pPr>
        <w:pStyle w:val="Body"/>
        <w:spacing w:before="120"/>
      </w:pPr>
      <w:r w:rsidRPr="00EA641E">
        <w:lastRenderedPageBreak/>
        <w:t>Like ED short</w:t>
      </w:r>
      <w:r>
        <w:t xml:space="preserve"> </w:t>
      </w:r>
      <w:r w:rsidRPr="00EA641E">
        <w:t>stay units</w:t>
      </w:r>
      <w:r>
        <w:t xml:space="preserve">, </w:t>
      </w:r>
      <w:r w:rsidRPr="00EA641E">
        <w:t xml:space="preserve">the </w:t>
      </w:r>
      <w:r>
        <w:t>Hubs</w:t>
      </w:r>
      <w:r w:rsidRPr="00EA641E">
        <w:t xml:space="preserve"> will be separated from the ED acute assessment and treatment areas. </w:t>
      </w:r>
      <w:r>
        <w:t>C</w:t>
      </w:r>
      <w:r w:rsidRPr="00EA641E">
        <w:t xml:space="preserve">onsumers and </w:t>
      </w:r>
      <w:r w:rsidRPr="00EA641E" w:rsidDel="00516892">
        <w:t>families</w:t>
      </w:r>
      <w:r>
        <w:t>, carers and supporters</w:t>
      </w:r>
      <w:r w:rsidRPr="00EA641E">
        <w:t xml:space="preserve"> who are </w:t>
      </w:r>
      <w:r>
        <w:t>provided</w:t>
      </w:r>
      <w:r w:rsidRPr="00EA641E">
        <w:t xml:space="preserve"> the non-admitted </w:t>
      </w:r>
      <w:r>
        <w:t xml:space="preserve">care </w:t>
      </w:r>
      <w:r w:rsidRPr="00EA641E">
        <w:t xml:space="preserve">component of the </w:t>
      </w:r>
      <w:r>
        <w:t>Hubs</w:t>
      </w:r>
      <w:r w:rsidRPr="00EA641E">
        <w:t xml:space="preserve"> will be </w:t>
      </w:r>
      <w:r>
        <w:t xml:space="preserve">seen </w:t>
      </w:r>
      <w:r w:rsidRPr="00EA641E">
        <w:t>in the area recommended by the ED</w:t>
      </w:r>
      <w:r>
        <w:t>,</w:t>
      </w:r>
      <w:r w:rsidRPr="00EA641E">
        <w:t xml:space="preserve"> which may include a cubicle in the general area of the ED or </w:t>
      </w:r>
      <w:r>
        <w:t>an</w:t>
      </w:r>
      <w:r w:rsidRPr="00EA641E">
        <w:t xml:space="preserve"> interview space within the Hub.</w:t>
      </w:r>
    </w:p>
    <w:p w14:paraId="1BD84484" w14:textId="77777777" w:rsidR="00A42487" w:rsidRPr="00EA641E" w:rsidRDefault="00A42487" w:rsidP="00A42487">
      <w:pPr>
        <w:pStyle w:val="Body"/>
      </w:pPr>
      <w:r w:rsidRPr="1BD9B5D0">
        <w:t>The department understand</w:t>
      </w:r>
      <w:r>
        <w:t>s</w:t>
      </w:r>
      <w:r w:rsidRPr="1BD9B5D0">
        <w:t xml:space="preserve"> that</w:t>
      </w:r>
      <w:r>
        <w:rPr>
          <w:b/>
        </w:rPr>
        <w:t xml:space="preserve"> </w:t>
      </w:r>
      <w:r w:rsidRPr="00143711">
        <w:rPr>
          <w:bCs/>
        </w:rPr>
        <w:t>the</w:t>
      </w:r>
      <w:r w:rsidRPr="1BD9B5D0">
        <w:t xml:space="preserve"> Hubs established during the first phase of the rollout of the guideline (funded in 2018-19) may not have any delineation between their assessment and short stay areas (in terms of their physical build). For future Hu</w:t>
      </w:r>
      <w:r w:rsidRPr="00143711">
        <w:t xml:space="preserve">b </w:t>
      </w:r>
      <w:r w:rsidRPr="1BD9B5D0">
        <w:t xml:space="preserve">builds, the number of short stay beds and assessment cubicles (or patient bed bays) in each new facility is expected to reflect the demand modelling for each service. </w:t>
      </w:r>
      <w:r w:rsidRPr="2471302A">
        <w:t xml:space="preserve">The </w:t>
      </w:r>
      <w:r>
        <w:t>Mental Health and Wellbeing Division</w:t>
      </w:r>
      <w:r w:rsidRPr="1BD9B5D0">
        <w:t xml:space="preserve"> in the Department of Health </w:t>
      </w:r>
      <w:r>
        <w:t xml:space="preserve">will support service planning for future hubs </w:t>
      </w:r>
      <w:r w:rsidRPr="1BD9B5D0">
        <w:t xml:space="preserve">to determine the </w:t>
      </w:r>
      <w:r w:rsidRPr="027DBD26">
        <w:t>forecast demand of future facilities which will inform infrastructure planning</w:t>
      </w:r>
      <w:r>
        <w:t xml:space="preserve"> in partnership with VHBA</w:t>
      </w:r>
      <w:r w:rsidRPr="027DBD26">
        <w:t>.</w:t>
      </w:r>
    </w:p>
    <w:p w14:paraId="52C92DA1" w14:textId="77777777" w:rsidR="00A42487" w:rsidRDefault="00A42487" w:rsidP="00A42487">
      <w:pPr>
        <w:pStyle w:val="Heading1"/>
      </w:pPr>
      <w:bookmarkStart w:id="39" w:name="_Toc215655985"/>
      <w:r>
        <w:t>9. Funding and performance management</w:t>
      </w:r>
      <w:bookmarkEnd w:id="39"/>
      <w:r>
        <w:t xml:space="preserve"> </w:t>
      </w:r>
    </w:p>
    <w:p w14:paraId="0AE863BD" w14:textId="77777777" w:rsidR="00A42487" w:rsidRDefault="00A42487" w:rsidP="00A42487">
      <w:pPr>
        <w:pStyle w:val="Heading2"/>
      </w:pPr>
      <w:bookmarkStart w:id="40" w:name="_Toc215655986"/>
      <w:r>
        <w:t>9.1 Funding model</w:t>
      </w:r>
      <w:bookmarkEnd w:id="40"/>
    </w:p>
    <w:p w14:paraId="104712DE" w14:textId="65571A9D" w:rsidR="00A42487" w:rsidRPr="007C73C2" w:rsidRDefault="00A42487" w:rsidP="00A42487">
      <w:pPr>
        <w:pStyle w:val="Body"/>
      </w:pPr>
      <w:bookmarkStart w:id="41" w:name="_Hlk162357585"/>
      <w:r w:rsidRPr="007C73C2">
        <w:t xml:space="preserve">The </w:t>
      </w:r>
      <w:r>
        <w:t>department’s</w:t>
      </w:r>
      <w:r w:rsidRPr="007C73C2">
        <w:t xml:space="preserve"> </w:t>
      </w:r>
      <w:hyperlink r:id="rId37">
        <w:r w:rsidRPr="3766B372">
          <w:rPr>
            <w:rStyle w:val="Hyperlink"/>
          </w:rPr>
          <w:t>Policy and funding guidelines for health services</w:t>
        </w:r>
      </w:hyperlink>
      <w:r w:rsidRPr="007C73C2">
        <w:t xml:space="preserve"> </w:t>
      </w:r>
      <w:r w:rsidR="00C70C04">
        <w:t>&lt;</w:t>
      </w:r>
      <w:r w:rsidR="00C70C04" w:rsidRPr="00C70C04">
        <w:t>https://www.health.vic.gov.au/policy-and-funding-guidelines-for-health-services</w:t>
      </w:r>
      <w:r w:rsidR="00C70C04">
        <w:t xml:space="preserve">&gt; </w:t>
      </w:r>
      <w:r>
        <w:t>outline</w:t>
      </w:r>
      <w:r w:rsidRPr="007C73C2">
        <w:t xml:space="preserve"> the system-wide terms and conditions for government-funded healthcare organisations, including hospitals and health services</w:t>
      </w:r>
      <w:r>
        <w:t>.</w:t>
      </w:r>
      <w:r w:rsidRPr="007C73C2">
        <w:t xml:space="preserve"> </w:t>
      </w:r>
      <w:r>
        <w:t>They</w:t>
      </w:r>
      <w:r w:rsidRPr="007C73C2">
        <w:t xml:space="preserve"> </w:t>
      </w:r>
      <w:r>
        <w:t>contain</w:t>
      </w:r>
      <w:r w:rsidRPr="007C73C2">
        <w:t xml:space="preserve"> detailed information on various operational and service </w:t>
      </w:r>
      <w:r>
        <w:t>requirements that must be adhered to. Funding includes Emergency care stream activity-based funding for Hub beds and non-admitted mental health activity-based funding for in-reach and consultation liaison input of staff from the health service’s mental health program</w:t>
      </w:r>
      <w:bookmarkEnd w:id="41"/>
      <w:r>
        <w:t>.</w:t>
      </w:r>
    </w:p>
    <w:p w14:paraId="11AB93E3" w14:textId="77777777" w:rsidR="00A42487" w:rsidRDefault="00A42487" w:rsidP="00A42487">
      <w:pPr>
        <w:pStyle w:val="Heading2"/>
      </w:pPr>
      <w:bookmarkStart w:id="42" w:name="_Toc215655987"/>
      <w:r>
        <w:t>9.2 Performance m</w:t>
      </w:r>
      <w:r w:rsidRPr="5CAB293C">
        <w:t xml:space="preserve">onitoring and </w:t>
      </w:r>
      <w:r>
        <w:t>reporting</w:t>
      </w:r>
      <w:bookmarkEnd w:id="42"/>
    </w:p>
    <w:p w14:paraId="7E5518A5" w14:textId="2D4A4B05" w:rsidR="00A42487" w:rsidRDefault="00A42487" w:rsidP="00A42487">
      <w:pPr>
        <w:pStyle w:val="Body"/>
      </w:pPr>
      <w:hyperlink r:id="rId38" w:history="1">
        <w:r w:rsidRPr="004B267D">
          <w:rPr>
            <w:rStyle w:val="Hyperlink"/>
          </w:rPr>
          <w:t>The Victorian Health Services Performance Monitoring Framework</w:t>
        </w:r>
      </w:hyperlink>
      <w:r w:rsidRPr="004B267D">
        <w:t xml:space="preserve"> </w:t>
      </w:r>
      <w:r w:rsidR="00C70C04">
        <w:t>&lt;</w:t>
      </w:r>
      <w:r w:rsidR="00C70C04" w:rsidRPr="00C70C04">
        <w:t>https://www.health.vic.gov.au/funding-performance-accountability/performance-monitoring-framework</w:t>
      </w:r>
      <w:r w:rsidR="00C70C04">
        <w:t xml:space="preserve">&gt; </w:t>
      </w:r>
      <w:r>
        <w:t>(the Framework) specifies</w:t>
      </w:r>
      <w:r w:rsidRPr="00F472CA">
        <w:t xml:space="preserve"> the </w:t>
      </w:r>
      <w:r>
        <w:t>g</w:t>
      </w:r>
      <w:r w:rsidRPr="00F472CA">
        <w:t xml:space="preserve">overnment’s performance monitoring of Victorian public health services and hospitals. </w:t>
      </w:r>
      <w:r>
        <w:t xml:space="preserve">It </w:t>
      </w:r>
      <w:r w:rsidRPr="00F472CA">
        <w:t xml:space="preserve">promotes transparency and shared accountability for performance improvement across the system and helps inform future policy and planning strategies. </w:t>
      </w:r>
    </w:p>
    <w:p w14:paraId="219F6017" w14:textId="77777777" w:rsidR="00A42487" w:rsidRDefault="00A42487" w:rsidP="00A42487">
      <w:pPr>
        <w:pStyle w:val="Body"/>
      </w:pPr>
      <w:r w:rsidRPr="00DA4A5E">
        <w:t xml:space="preserve">The Framework is designed to assess the level of performance risk posed to each health service in relation to the delivery of safe, high quality, accessible and sustainable health care for Victorian patients and communities. </w:t>
      </w:r>
      <w:r>
        <w:t>It</w:t>
      </w:r>
      <w:r w:rsidRPr="00DA4A5E">
        <w:t xml:space="preserve"> uses targets and other intelligence to identify areas of risk and poor performance</w:t>
      </w:r>
      <w:r>
        <w:t xml:space="preserve"> and </w:t>
      </w:r>
      <w:r w:rsidRPr="00DA4A5E">
        <w:t>whether a health service is improving over time in relation to those targets.</w:t>
      </w:r>
    </w:p>
    <w:p w14:paraId="7A36066D" w14:textId="36277353" w:rsidR="00A42487" w:rsidRDefault="00A42487" w:rsidP="00A42487">
      <w:pPr>
        <w:pStyle w:val="Body"/>
      </w:pPr>
      <w:r w:rsidRPr="004B267D">
        <w:t xml:space="preserve">The </w:t>
      </w:r>
      <w:hyperlink r:id="rId39">
        <w:r w:rsidRPr="3766B372">
          <w:rPr>
            <w:rStyle w:val="Hyperlink"/>
          </w:rPr>
          <w:t>Statement of Priorities</w:t>
        </w:r>
      </w:hyperlink>
      <w:r w:rsidR="00C70C04">
        <w:t xml:space="preserve"> &lt;</w:t>
      </w:r>
      <w:r w:rsidR="00C70C04" w:rsidRPr="00C70C04">
        <w:t>https://www.health.vic.gov.au/funding-performance-accountability/statements-of-priorities</w:t>
      </w:r>
      <w:r w:rsidR="00C70C04">
        <w:t>&gt;</w:t>
      </w:r>
      <w:r w:rsidRPr="004B267D">
        <w:t xml:space="preserve"> is the key service delivery and accountability agreement between health services and the department. It outlines key deliverables and performance targets to be achieved by health services within the allocated annual budget. Statement of Priorities include key performance measures specific to timely access to emergency care</w:t>
      </w:r>
      <w:r>
        <w:t>, with p</w:t>
      </w:r>
      <w:r w:rsidRPr="004B267D">
        <w:t xml:space="preserve">erformance against these </w:t>
      </w:r>
      <w:r>
        <w:t xml:space="preserve">measures </w:t>
      </w:r>
      <w:r w:rsidRPr="004B267D">
        <w:t>monitored in monthly reports.</w:t>
      </w:r>
    </w:p>
    <w:p w14:paraId="05A18D05" w14:textId="77777777" w:rsidR="00A42487" w:rsidRPr="003D26CD" w:rsidRDefault="00A42487" w:rsidP="00A42487">
      <w:pPr>
        <w:pStyle w:val="Body"/>
      </w:pPr>
      <w:r>
        <w:t>Hub performance and fidelity to this guideline may be discussed with health services in regular program meetings of department staff with mental health program clinical and operational directors, and health service-wide performance meetings of department staff with health service executives.</w:t>
      </w:r>
    </w:p>
    <w:p w14:paraId="21ABB164" w14:textId="77777777" w:rsidR="00A42487" w:rsidRPr="00EA641E" w:rsidRDefault="00A42487" w:rsidP="00A42487">
      <w:pPr>
        <w:pStyle w:val="Heading3"/>
      </w:pPr>
      <w:bookmarkStart w:id="43" w:name="_Toc215655988"/>
      <w:r>
        <w:lastRenderedPageBreak/>
        <w:t xml:space="preserve">9.2.1 </w:t>
      </w:r>
      <w:r w:rsidRPr="00EA641E">
        <w:t>Routine monitoring</w:t>
      </w:r>
      <w:bookmarkEnd w:id="43"/>
      <w:r w:rsidRPr="00EA641E">
        <w:t xml:space="preserve"> </w:t>
      </w:r>
    </w:p>
    <w:p w14:paraId="52C1021F" w14:textId="2B92F44A" w:rsidR="00A42487" w:rsidRDefault="00A42487" w:rsidP="00A42487">
      <w:pPr>
        <w:pStyle w:val="Body"/>
      </w:pPr>
      <w:r w:rsidRPr="00F206FF">
        <w:t>Service data collection requirements for performance monitoring are outlined below. Service data will enable the department to monitor performance and ensure accountability for delivering tangible outcomes for consumers accessing treatment, care and support at the Hubs.</w:t>
      </w:r>
    </w:p>
    <w:p w14:paraId="517B5353" w14:textId="77777777" w:rsidR="00A42487" w:rsidRDefault="00A42487" w:rsidP="00A42487">
      <w:pPr>
        <w:pStyle w:val="Body"/>
      </w:pPr>
      <w:r>
        <w:t>Department monitored data may include:</w:t>
      </w:r>
    </w:p>
    <w:p w14:paraId="03387EDB" w14:textId="77777777" w:rsidR="00A42487" w:rsidRDefault="00A42487" w:rsidP="00A42487">
      <w:pPr>
        <w:pStyle w:val="Bullet1"/>
      </w:pPr>
      <w:r>
        <w:t>Hub bed occupancy and separations and mental health and AOD contacts for Hub consumers</w:t>
      </w:r>
    </w:p>
    <w:p w14:paraId="29675A06" w14:textId="77777777" w:rsidR="00A42487" w:rsidRDefault="00A42487" w:rsidP="00A42487">
      <w:pPr>
        <w:pStyle w:val="Bullet1"/>
      </w:pPr>
      <w:r>
        <w:t>Diagnoses and age for Hub consumers</w:t>
      </w:r>
    </w:p>
    <w:p w14:paraId="7CF55013" w14:textId="77777777" w:rsidR="00A42487" w:rsidRPr="00F206FF" w:rsidRDefault="00A42487" w:rsidP="00A42487">
      <w:pPr>
        <w:pStyle w:val="Bullet1"/>
      </w:pPr>
      <w:r>
        <w:t>ED and Hub length of stay (including proportion with an ED length of stay of less than four hours) and proportion of Hub consumers: admitted to a mental health bed (including proportion with an ED departure to a mental health bed within 8 hours), with any restrictive intervention, re-presenting to ED in 28 days.</w:t>
      </w:r>
    </w:p>
    <w:p w14:paraId="6A0DED13" w14:textId="77777777" w:rsidR="00A42487" w:rsidRDefault="00A42487" w:rsidP="00A42487">
      <w:pPr>
        <w:pStyle w:val="Body"/>
        <w:rPr>
          <w:rFonts w:cs="Arial"/>
        </w:rPr>
      </w:pPr>
      <w:r w:rsidRPr="00EA641E">
        <w:rPr>
          <w:rFonts w:cs="Arial"/>
        </w:rPr>
        <w:t xml:space="preserve">Ongoing monitoring of the </w:t>
      </w:r>
      <w:r>
        <w:rPr>
          <w:rFonts w:cs="Arial"/>
        </w:rPr>
        <w:t>H</w:t>
      </w:r>
      <w:r w:rsidRPr="00EA641E">
        <w:rPr>
          <w:rFonts w:cs="Arial"/>
        </w:rPr>
        <w:t>ub</w:t>
      </w:r>
      <w:r>
        <w:rPr>
          <w:rFonts w:cs="Arial"/>
        </w:rPr>
        <w:t>s</w:t>
      </w:r>
      <w:r w:rsidRPr="00EA641E">
        <w:rPr>
          <w:rFonts w:cs="Arial"/>
        </w:rPr>
        <w:t xml:space="preserve"> is a key function of the </w:t>
      </w:r>
      <w:r w:rsidRPr="006B5F5F">
        <w:t xml:space="preserve">governance committee </w:t>
      </w:r>
      <w:r>
        <w:t xml:space="preserve">monitoring Hub operation </w:t>
      </w:r>
      <w:r w:rsidRPr="00EA641E">
        <w:rPr>
          <w:rFonts w:cs="Arial"/>
        </w:rPr>
        <w:t xml:space="preserve">described in </w:t>
      </w:r>
      <w:r w:rsidRPr="3766B372">
        <w:rPr>
          <w:rFonts w:cs="Arial"/>
          <w:b/>
          <w:bCs/>
        </w:rPr>
        <w:t>4</w:t>
      </w:r>
      <w:r w:rsidRPr="3766B372">
        <w:rPr>
          <w:rFonts w:cs="Arial"/>
          <w:b/>
        </w:rPr>
        <w:t>.1 Governance Committee</w:t>
      </w:r>
      <w:r w:rsidDel="00C33CCB">
        <w:t xml:space="preserve"> </w:t>
      </w:r>
      <w:r>
        <w:rPr>
          <w:rFonts w:cs="Arial"/>
        </w:rPr>
        <w:t>2</w:t>
      </w:r>
      <w:r w:rsidRPr="00EA641E">
        <w:rPr>
          <w:rFonts w:cs="Arial"/>
        </w:rPr>
        <w:t xml:space="preserve">. </w:t>
      </w:r>
      <w:r>
        <w:rPr>
          <w:rFonts w:cs="Arial"/>
        </w:rPr>
        <w:t>This should include</w:t>
      </w:r>
      <w:r w:rsidRPr="00EA641E">
        <w:rPr>
          <w:rFonts w:cs="Arial"/>
        </w:rPr>
        <w:t xml:space="preserve"> use</w:t>
      </w:r>
      <w:r>
        <w:rPr>
          <w:rFonts w:cs="Arial"/>
        </w:rPr>
        <w:t xml:space="preserve"> of</w:t>
      </w:r>
      <w:r w:rsidRPr="00EA641E">
        <w:rPr>
          <w:rFonts w:cs="Arial"/>
        </w:rPr>
        <w:t xml:space="preserve"> existing data to monitor and evaluate the </w:t>
      </w:r>
      <w:r>
        <w:rPr>
          <w:rFonts w:cs="Arial"/>
        </w:rPr>
        <w:t>H</w:t>
      </w:r>
      <w:r w:rsidRPr="00EA641E">
        <w:rPr>
          <w:rFonts w:cs="Arial"/>
        </w:rPr>
        <w:t>ubs</w:t>
      </w:r>
      <w:r>
        <w:rPr>
          <w:rFonts w:cs="Arial"/>
        </w:rPr>
        <w:t>’</w:t>
      </w:r>
      <w:r w:rsidRPr="00EA641E">
        <w:rPr>
          <w:rFonts w:cs="Arial"/>
        </w:rPr>
        <w:t xml:space="preserve"> performance and outcomes. In addition, the health service will implement mechanisms to obtain feedback from consumers</w:t>
      </w:r>
      <w:r w:rsidRPr="4B7B87B8">
        <w:rPr>
          <w:rFonts w:cs="Arial"/>
        </w:rPr>
        <w:t xml:space="preserve">, families, carers and supporters, </w:t>
      </w:r>
      <w:r w:rsidRPr="00EA641E">
        <w:rPr>
          <w:rFonts w:cs="Arial"/>
        </w:rPr>
        <w:t xml:space="preserve">and staff of both the </w:t>
      </w:r>
      <w:r>
        <w:rPr>
          <w:rFonts w:cs="Arial"/>
        </w:rPr>
        <w:t>Hubs</w:t>
      </w:r>
      <w:r w:rsidRPr="00EA641E">
        <w:rPr>
          <w:rFonts w:cs="Arial"/>
        </w:rPr>
        <w:t xml:space="preserve"> and collaborating services.</w:t>
      </w:r>
    </w:p>
    <w:p w14:paraId="334CDBA1" w14:textId="77777777" w:rsidR="00A42487" w:rsidRPr="003B242C" w:rsidRDefault="00A42487" w:rsidP="00A42487">
      <w:pPr>
        <w:pStyle w:val="Heading3"/>
      </w:pPr>
      <w:bookmarkStart w:id="44" w:name="_Toc215655989"/>
      <w:r>
        <w:t>9.2.2 Reporting requirements</w:t>
      </w:r>
      <w:bookmarkEnd w:id="44"/>
    </w:p>
    <w:p w14:paraId="26926E48" w14:textId="77777777" w:rsidR="00A42487" w:rsidRPr="00076818" w:rsidRDefault="00A42487" w:rsidP="00A42487">
      <w:pPr>
        <w:pStyle w:val="Body"/>
      </w:pPr>
      <w:r>
        <w:t xml:space="preserve">Performance against the actions and deliverables committed to in the </w:t>
      </w:r>
      <w:hyperlink r:id="rId40">
        <w:r w:rsidRPr="5A1C7C43">
          <w:rPr>
            <w:rStyle w:val="Hyperlink"/>
            <w:color w:val="auto"/>
            <w:u w:val="none"/>
          </w:rPr>
          <w:t>Statement of Priorities</w:t>
        </w:r>
      </w:hyperlink>
      <w:r>
        <w:t xml:space="preserve"> (Part A) are formally reported in health services’ annual reports at the end of the financial year, as consistent with the annual report guidelines (report of operations). Health services are expected to also provide a half yearly progress report on achieving Part A action items and associated deliverables.</w:t>
      </w:r>
    </w:p>
    <w:p w14:paraId="5A9D7BDF" w14:textId="77777777" w:rsidR="00A42487" w:rsidRPr="00EA641E" w:rsidRDefault="00A42487" w:rsidP="00A42487">
      <w:pPr>
        <w:pStyle w:val="Heading1"/>
        <w:spacing w:after="120" w:line="280" w:lineRule="atLeast"/>
      </w:pPr>
      <w:bookmarkStart w:id="45" w:name="_Toc215655990"/>
      <w:r>
        <w:t xml:space="preserve">10. </w:t>
      </w:r>
      <w:r w:rsidRPr="7E8E6178">
        <w:t>Evaluation</w:t>
      </w:r>
      <w:bookmarkEnd w:id="45"/>
      <w:r w:rsidRPr="7E8E6178">
        <w:t xml:space="preserve"> </w:t>
      </w:r>
    </w:p>
    <w:p w14:paraId="66A6114C" w14:textId="77777777" w:rsidR="00A42487" w:rsidRPr="00EA641E" w:rsidRDefault="00A42487" w:rsidP="00A42487">
      <w:pPr>
        <w:pStyle w:val="Body"/>
      </w:pPr>
      <w:r w:rsidRPr="7E8E6178">
        <w:t xml:space="preserve">In collaboration with funded health services, the department </w:t>
      </w:r>
      <w:r>
        <w:t>may</w:t>
      </w:r>
      <w:r w:rsidRPr="7E8E6178">
        <w:t xml:space="preserve"> </w:t>
      </w:r>
      <w:r>
        <w:t>undertake</w:t>
      </w:r>
      <w:r w:rsidRPr="7E8E6178">
        <w:t xml:space="preserve"> an evaluation of the </w:t>
      </w:r>
      <w:r>
        <w:t>H</w:t>
      </w:r>
      <w:r w:rsidRPr="7E8E6178">
        <w:t>ubs</w:t>
      </w:r>
      <w:r>
        <w:t xml:space="preserve"> in the future.</w:t>
      </w:r>
      <w:r w:rsidRPr="7E8E6178">
        <w:t xml:space="preserve"> </w:t>
      </w:r>
      <w:r>
        <w:t>If this occurs, h</w:t>
      </w:r>
      <w:r w:rsidRPr="7E8E6178">
        <w:t xml:space="preserve">ealth services are expected to participate in the evaluation, including any agreed data collection methods. </w:t>
      </w:r>
      <w:r w:rsidRPr="00EA641E">
        <w:t>The evaluation data may include analysis of data related to:</w:t>
      </w:r>
    </w:p>
    <w:p w14:paraId="0BF2710C" w14:textId="123B0106" w:rsidR="00A42487" w:rsidRPr="00EA641E" w:rsidRDefault="00A42487" w:rsidP="00A42487">
      <w:pPr>
        <w:pStyle w:val="Bullet1"/>
      </w:pPr>
      <w:r w:rsidRPr="3CF06E93">
        <w:t xml:space="preserve">consumer and family, </w:t>
      </w:r>
      <w:r w:rsidR="00873118" w:rsidRPr="3CF06E93">
        <w:t>carer,</w:t>
      </w:r>
      <w:r w:rsidRPr="3CF06E93">
        <w:t xml:space="preserve"> and supporter experiences of care</w:t>
      </w:r>
    </w:p>
    <w:p w14:paraId="6EE78411" w14:textId="77777777" w:rsidR="00A42487" w:rsidRPr="00EA641E" w:rsidRDefault="00A42487" w:rsidP="00A42487">
      <w:pPr>
        <w:pStyle w:val="Bullet1"/>
      </w:pPr>
      <w:r w:rsidRPr="3CF06E93">
        <w:t>staff experience of the MHAOD ED Hubs</w:t>
      </w:r>
    </w:p>
    <w:p w14:paraId="42C26E8C" w14:textId="77777777" w:rsidR="00A42487" w:rsidRPr="00EA641E" w:rsidRDefault="00A42487" w:rsidP="00A42487">
      <w:pPr>
        <w:pStyle w:val="Bullet1"/>
      </w:pPr>
      <w:r w:rsidRPr="3CF06E93">
        <w:t>the number and nature of critical clinical incidents</w:t>
      </w:r>
    </w:p>
    <w:p w14:paraId="3817B9C4" w14:textId="77777777" w:rsidR="00A42487" w:rsidRPr="00EA641E" w:rsidRDefault="00A42487" w:rsidP="00A42487">
      <w:pPr>
        <w:pStyle w:val="Bullet1"/>
      </w:pPr>
      <w:r w:rsidRPr="3CF06E93">
        <w:t>health and safety data and measures</w:t>
      </w:r>
    </w:p>
    <w:p w14:paraId="013E63EE" w14:textId="2C089A4C" w:rsidR="00A42487" w:rsidRPr="00EA641E" w:rsidRDefault="00A42487" w:rsidP="00A42487">
      <w:pPr>
        <w:pStyle w:val="Bullet1"/>
        <w:spacing w:after="120"/>
      </w:pPr>
      <w:r>
        <w:t xml:space="preserve">how </w:t>
      </w:r>
      <w:r w:rsidRPr="3CF06E93">
        <w:t xml:space="preserve">post-discharge support </w:t>
      </w:r>
      <w:r>
        <w:t>was provided</w:t>
      </w:r>
    </w:p>
    <w:p w14:paraId="518C5F20" w14:textId="1DF206D4" w:rsidR="00A42487" w:rsidRPr="00017A68" w:rsidRDefault="00A42487" w:rsidP="00A42487">
      <w:pPr>
        <w:pStyle w:val="Body"/>
      </w:pPr>
      <w:r w:rsidRPr="332D876A">
        <w:t xml:space="preserve">Over time, the department would expect to see </w:t>
      </w:r>
      <w:r>
        <w:t xml:space="preserve">a </w:t>
      </w:r>
      <w:r w:rsidRPr="332D876A">
        <w:t xml:space="preserve">reduced length of stay in EDs for people presenting with </w:t>
      </w:r>
      <w:r>
        <w:t>acute</w:t>
      </w:r>
      <w:r w:rsidRPr="332D876A">
        <w:t xml:space="preserve"> mental health</w:t>
      </w:r>
      <w:r>
        <w:t>, psychological distress and</w:t>
      </w:r>
      <w:r w:rsidRPr="332D876A">
        <w:t xml:space="preserve"> </w:t>
      </w:r>
      <w:r>
        <w:t xml:space="preserve">AOD </w:t>
      </w:r>
      <w:r w:rsidRPr="332D876A">
        <w:t xml:space="preserve">needs, improved wait times for consumers, an increase in positive feedback and satisfaction from consumers, families, carers and supporters who used the service, and reduced rates of re-presentations to </w:t>
      </w:r>
      <w:r w:rsidR="00EE33DF" w:rsidRPr="332D876A">
        <w:t>E.Ds.</w:t>
      </w:r>
      <w:r w:rsidRPr="332D876A">
        <w:t xml:space="preserve"> Enhanced coordination and collaboration between medical, mental health and AOD disciplines over time would also be desirable.</w:t>
      </w:r>
    </w:p>
    <w:p w14:paraId="112A3B46" w14:textId="77777777" w:rsidR="00A42487" w:rsidRDefault="00A42487" w:rsidP="00A42487">
      <w:pPr>
        <w:spacing w:after="0" w:line="240" w:lineRule="auto"/>
        <w:rPr>
          <w:rFonts w:eastAsia="MS Gothic" w:cs="Arial"/>
          <w:bCs/>
          <w:color w:val="201547"/>
          <w:kern w:val="32"/>
          <w:sz w:val="40"/>
          <w:szCs w:val="40"/>
        </w:rPr>
      </w:pPr>
      <w:r>
        <w:br w:type="page"/>
      </w:r>
    </w:p>
    <w:p w14:paraId="1C30B9E8" w14:textId="77777777" w:rsidR="00A42487" w:rsidRDefault="00A42487" w:rsidP="00A42487">
      <w:pPr>
        <w:pStyle w:val="Heading1"/>
      </w:pPr>
      <w:bookmarkStart w:id="46" w:name="_Toc215655991"/>
      <w:r w:rsidRPr="004758DD">
        <w:lastRenderedPageBreak/>
        <w:t>Addendum</w:t>
      </w:r>
      <w:bookmarkEnd w:id="46"/>
    </w:p>
    <w:p w14:paraId="1458CC14" w14:textId="77777777" w:rsidR="00A42487" w:rsidRPr="00EA641E" w:rsidRDefault="00A42487" w:rsidP="00A42487">
      <w:pPr>
        <w:pStyle w:val="Heading2"/>
      </w:pPr>
      <w:bookmarkStart w:id="47" w:name="_Toc215655992"/>
      <w:r w:rsidRPr="00EA641E">
        <w:t>Application of ED employed staff industrial awards and agreements</w:t>
      </w:r>
      <w:bookmarkEnd w:id="47"/>
    </w:p>
    <w:p w14:paraId="2D99EA17" w14:textId="77777777" w:rsidR="00A42487" w:rsidRPr="00076818" w:rsidRDefault="00A42487" w:rsidP="00A42487">
      <w:pPr>
        <w:pStyle w:val="Body"/>
      </w:pPr>
      <w:r>
        <w:t>In keeping with the responsibility for governance being with the ED, the range of industrial instruments that apply to staff employed under the direction of ED leaders will apply to staff employed in the Hubs.</w:t>
      </w:r>
      <w:r>
        <w:rPr>
          <w:rStyle w:val="FootnoteReference"/>
        </w:rPr>
        <w:footnoteReference w:id="16"/>
      </w:r>
    </w:p>
    <w:p w14:paraId="04B6517F" w14:textId="77777777" w:rsidR="00A42487" w:rsidRPr="00D07A0C" w:rsidRDefault="00A42487" w:rsidP="00A42487">
      <w:pPr>
        <w:pStyle w:val="Body"/>
      </w:pPr>
      <w:r w:rsidRPr="00D07A0C">
        <w:t xml:space="preserve">The following awards and enterprise agreements </w:t>
      </w:r>
      <w:r>
        <w:t>will</w:t>
      </w:r>
      <w:r w:rsidRPr="00D07A0C">
        <w:t xml:space="preserve"> be applied:</w:t>
      </w:r>
    </w:p>
    <w:p w14:paraId="61612025" w14:textId="77777777" w:rsidR="00A42487" w:rsidRDefault="00A42487" w:rsidP="00A42487">
      <w:pPr>
        <w:pStyle w:val="Bullet1"/>
      </w:pPr>
      <w:r>
        <w:t xml:space="preserve">Medical staff – Doctors in Training (Victorian Public Health Sector) (AMA VICTORIA/ASMOF) (single interest employers) Enterprise Agreement 2022-2026; Medical Specialists (Victorian Public Health Sector) (AMA VICTORIA/ASMOF) (single interest employers) Enterprise Agreement 2022-2026 </w:t>
      </w:r>
    </w:p>
    <w:p w14:paraId="661B0F52" w14:textId="77777777" w:rsidR="00A42487" w:rsidRPr="00EA641E" w:rsidRDefault="00A42487" w:rsidP="00A42487">
      <w:pPr>
        <w:pStyle w:val="Bullet1"/>
      </w:pPr>
      <w:r w:rsidRPr="00EA641E">
        <w:t>Nursing staff – Nurses and Midwives (Victorian Public Sector) (Single Interest Employers) Enterprise Agreement 20</w:t>
      </w:r>
      <w:r>
        <w:t>24</w:t>
      </w:r>
      <w:r w:rsidRPr="00EA641E">
        <w:t xml:space="preserve"> – 202</w:t>
      </w:r>
      <w:r>
        <w:t>8.</w:t>
      </w:r>
    </w:p>
    <w:p w14:paraId="37279B80" w14:textId="77777777" w:rsidR="00A42487" w:rsidRPr="00EA641E" w:rsidRDefault="00A42487" w:rsidP="00A42487">
      <w:pPr>
        <w:pStyle w:val="Bullet1"/>
      </w:pPr>
      <w:r w:rsidRPr="00EA641E">
        <w:t>Health and Allied Services staff – Victorian Public Health Sector (Health and Allied Services, Managers and Administrative Workers) Single Interest Enterprise Agreement 20</w:t>
      </w:r>
      <w:r>
        <w:t>21</w:t>
      </w:r>
      <w:r w:rsidRPr="00EA641E">
        <w:t>-20</w:t>
      </w:r>
      <w:r>
        <w:t>25.</w:t>
      </w:r>
    </w:p>
    <w:p w14:paraId="058547C2" w14:textId="77777777" w:rsidR="00A42487" w:rsidRPr="00543B7C" w:rsidRDefault="00A42487" w:rsidP="00A42487">
      <w:pPr>
        <w:pStyle w:val="Bullet1"/>
      </w:pPr>
      <w:r w:rsidRPr="00CB191C">
        <w:t xml:space="preserve">Health Professionals </w:t>
      </w:r>
      <w:r w:rsidRPr="00543B7C">
        <w:t>Staff</w:t>
      </w:r>
      <w:r w:rsidRPr="00EA641E">
        <w:t xml:space="preserve"> – </w:t>
      </w:r>
      <w:r w:rsidRPr="00543B7C">
        <w:t>Allied Health Professionals (Victorian Public Health Sector) Single Interest Enterprise Agreement 2021 – 2026.</w:t>
      </w:r>
    </w:p>
    <w:p w14:paraId="651E912D" w14:textId="77777777" w:rsidR="00A42487" w:rsidRPr="00F17A2E" w:rsidRDefault="00A42487" w:rsidP="00A42487">
      <w:pPr>
        <w:pStyle w:val="Bullet1"/>
        <w:spacing w:after="120"/>
      </w:pPr>
      <w:r>
        <w:t>Administration staff – Victorian Public Health Sector (Health and Allied Services, managers and Administrative Workers) Single Interest Enterprise Agreement 2021-2025.</w:t>
      </w:r>
    </w:p>
    <w:p w14:paraId="60B451EC" w14:textId="77777777" w:rsidR="00A42487" w:rsidRPr="00EA641E" w:rsidRDefault="00A42487" w:rsidP="00A42487">
      <w:pPr>
        <w:pStyle w:val="Bullet1"/>
        <w:numPr>
          <w:ilvl w:val="0"/>
          <w:numId w:val="0"/>
        </w:numPr>
        <w:spacing w:after="120"/>
        <w:rPr>
          <w:szCs w:val="21"/>
          <w:highlight w:val="yellow"/>
        </w:rPr>
      </w:pPr>
      <w:r w:rsidRPr="7D748719">
        <w:rPr>
          <w:rFonts w:ascii="Segoe UI" w:eastAsia="Segoe UI" w:hAnsi="Segoe UI" w:cs="Segoe UI"/>
          <w:color w:val="333333"/>
          <w:szCs w:val="21"/>
        </w:rPr>
        <w:t>Mental health staff employed directly by the ED will be covered by the relevant agreement listed above. Mental health staff employed by the mental health program of the health service and providing in reach to the hub will be employed under the Victorian Public Mental health Services Enterprise Agreement 2020 - 2024.</w:t>
      </w:r>
    </w:p>
    <w:p w14:paraId="00B7BE21" w14:textId="77777777" w:rsidR="00A42487" w:rsidRPr="0080018C" w:rsidRDefault="00A42487" w:rsidP="00A42487">
      <w:pPr>
        <w:pStyle w:val="Body"/>
        <w:spacing w:before="120"/>
        <w:sectPr w:rsidR="00A42487" w:rsidRPr="0080018C" w:rsidSect="00B27381">
          <w:headerReference w:type="default" r:id="rId41"/>
          <w:pgSz w:w="11906" w:h="16838" w:code="9"/>
          <w:pgMar w:top="1418" w:right="851" w:bottom="1418" w:left="851" w:header="851" w:footer="851" w:gutter="0"/>
          <w:cols w:space="340"/>
          <w:titlePg/>
          <w:docGrid w:linePitch="360"/>
        </w:sectPr>
      </w:pPr>
      <w:r>
        <w:t xml:space="preserve">Where an enterprise agreement applies, this would usually exclude coverage of an award. </w:t>
      </w:r>
    </w:p>
    <w:p w14:paraId="06FD5803" w14:textId="03176587" w:rsidR="00A42487" w:rsidRDefault="00A42487" w:rsidP="009B13AF">
      <w:pPr>
        <w:pStyle w:val="Heading1"/>
        <w:spacing w:before="120" w:after="120"/>
      </w:pPr>
      <w:bookmarkStart w:id="48" w:name="_Toc215655993"/>
      <w:r>
        <w:lastRenderedPageBreak/>
        <w:t>Appendix – Consumer pathway</w:t>
      </w:r>
      <w:bookmarkEnd w:id="48"/>
    </w:p>
    <w:p w14:paraId="40262B1E" w14:textId="4CA5D630" w:rsidR="00A42487" w:rsidRDefault="00E22B05" w:rsidP="00A42487">
      <w:pPr>
        <w:pStyle w:val="Body"/>
      </w:pPr>
      <w:r>
        <w:t xml:space="preserve">The following </w:t>
      </w:r>
      <w:r w:rsidR="009B13AF">
        <w:t xml:space="preserve">image displays the </w:t>
      </w:r>
      <w:r w:rsidR="005A6A93">
        <w:t xml:space="preserve">consumer pathway </w:t>
      </w:r>
      <w:r w:rsidR="00150BB3">
        <w:t xml:space="preserve">to access a </w:t>
      </w:r>
      <w:r w:rsidR="00A4492F">
        <w:t>MHAOD ED Hub</w:t>
      </w:r>
      <w:r w:rsidR="00CB71D2">
        <w:t>.</w:t>
      </w:r>
    </w:p>
    <w:p w14:paraId="2E620173" w14:textId="2F250B3D" w:rsidR="00B540C3" w:rsidRPr="00B540C3" w:rsidRDefault="00B540C3" w:rsidP="00B540C3">
      <w:pPr>
        <w:pStyle w:val="Body"/>
      </w:pPr>
      <w:r w:rsidRPr="00B540C3">
        <w:rPr>
          <w:b/>
          <w:bCs/>
          <w:szCs w:val="21"/>
        </w:rPr>
        <w:t>Consumer pathway to access a MHAOD ED Hub</w:t>
      </w:r>
    </w:p>
    <w:p w14:paraId="00DE5A45" w14:textId="3C297B15" w:rsidR="00B540C3" w:rsidRPr="00B540C3" w:rsidRDefault="00B540C3" w:rsidP="00B540C3">
      <w:pPr>
        <w:numPr>
          <w:ilvl w:val="0"/>
          <w:numId w:val="11"/>
        </w:numPr>
        <w:spacing w:after="0" w:line="240" w:lineRule="auto"/>
        <w:rPr>
          <w:szCs w:val="21"/>
        </w:rPr>
      </w:pPr>
      <w:r w:rsidRPr="00B540C3">
        <w:rPr>
          <w:b/>
          <w:bCs/>
          <w:szCs w:val="21"/>
        </w:rPr>
        <w:t>Consumer arrives at ED</w:t>
      </w:r>
    </w:p>
    <w:p w14:paraId="6D39B319" w14:textId="77777777" w:rsidR="00B540C3" w:rsidRPr="00B540C3" w:rsidRDefault="00B540C3" w:rsidP="00B540C3">
      <w:pPr>
        <w:numPr>
          <w:ilvl w:val="1"/>
          <w:numId w:val="11"/>
        </w:numPr>
        <w:spacing w:after="0" w:line="240" w:lineRule="auto"/>
        <w:rPr>
          <w:szCs w:val="21"/>
        </w:rPr>
      </w:pPr>
      <w:r w:rsidRPr="00B540C3">
        <w:rPr>
          <w:szCs w:val="21"/>
        </w:rPr>
        <w:t xml:space="preserve">Possible arrival methods: </w:t>
      </w:r>
    </w:p>
    <w:p w14:paraId="5998C277" w14:textId="7C798FF6" w:rsidR="00B540C3" w:rsidRPr="00B540C3" w:rsidRDefault="00B540C3" w:rsidP="00B540C3">
      <w:pPr>
        <w:numPr>
          <w:ilvl w:val="2"/>
          <w:numId w:val="11"/>
        </w:numPr>
        <w:spacing w:after="0" w:line="240" w:lineRule="auto"/>
        <w:rPr>
          <w:szCs w:val="21"/>
        </w:rPr>
      </w:pPr>
      <w:r w:rsidRPr="00B540C3">
        <w:rPr>
          <w:szCs w:val="21"/>
        </w:rPr>
        <w:t>With ambulance or police</w:t>
      </w:r>
    </w:p>
    <w:p w14:paraId="54692253" w14:textId="2F4F9730" w:rsidR="00B540C3" w:rsidRPr="00B540C3" w:rsidRDefault="00B540C3" w:rsidP="00B540C3">
      <w:pPr>
        <w:numPr>
          <w:ilvl w:val="2"/>
          <w:numId w:val="11"/>
        </w:numPr>
        <w:spacing w:after="0" w:line="240" w:lineRule="auto"/>
        <w:rPr>
          <w:szCs w:val="21"/>
        </w:rPr>
      </w:pPr>
      <w:r w:rsidRPr="00B540C3">
        <w:rPr>
          <w:szCs w:val="21"/>
        </w:rPr>
        <w:t>Via interhospital transfer</w:t>
      </w:r>
    </w:p>
    <w:p w14:paraId="6056B4D9" w14:textId="46485AF7" w:rsidR="00B540C3" w:rsidRPr="00B540C3" w:rsidRDefault="00B540C3" w:rsidP="00B540C3">
      <w:pPr>
        <w:numPr>
          <w:ilvl w:val="2"/>
          <w:numId w:val="11"/>
        </w:numPr>
        <w:spacing w:after="0" w:line="240" w:lineRule="auto"/>
        <w:rPr>
          <w:szCs w:val="21"/>
        </w:rPr>
      </w:pPr>
      <w:r w:rsidRPr="00B540C3">
        <w:rPr>
          <w:szCs w:val="21"/>
        </w:rPr>
        <w:t>Self-presenting or with family, friends, or a health professional</w:t>
      </w:r>
    </w:p>
    <w:p w14:paraId="7964DBD8" w14:textId="149FDB49" w:rsidR="00B540C3" w:rsidRPr="00B540C3" w:rsidRDefault="00B540C3" w:rsidP="00B540C3">
      <w:pPr>
        <w:numPr>
          <w:ilvl w:val="0"/>
          <w:numId w:val="11"/>
        </w:numPr>
        <w:spacing w:after="0" w:line="240" w:lineRule="auto"/>
        <w:rPr>
          <w:szCs w:val="21"/>
        </w:rPr>
      </w:pPr>
      <w:r w:rsidRPr="00B540C3">
        <w:rPr>
          <w:b/>
          <w:bCs/>
          <w:szCs w:val="21"/>
        </w:rPr>
        <w:t>Emergency Department Triage</w:t>
      </w:r>
    </w:p>
    <w:p w14:paraId="2D52E6B4" w14:textId="20EDB1AE" w:rsidR="00B540C3" w:rsidRPr="00B540C3" w:rsidRDefault="00B540C3" w:rsidP="00B540C3">
      <w:pPr>
        <w:numPr>
          <w:ilvl w:val="1"/>
          <w:numId w:val="11"/>
        </w:numPr>
        <w:spacing w:after="0" w:line="240" w:lineRule="auto"/>
        <w:rPr>
          <w:szCs w:val="21"/>
        </w:rPr>
      </w:pPr>
      <w:r w:rsidRPr="00B540C3">
        <w:rPr>
          <w:szCs w:val="21"/>
        </w:rPr>
        <w:t xml:space="preserve">If aggression occurs before or after arriving: </w:t>
      </w:r>
    </w:p>
    <w:p w14:paraId="60695D55" w14:textId="0EF8D85B" w:rsidR="00B540C3" w:rsidRPr="00B540C3" w:rsidRDefault="00B540C3" w:rsidP="00B540C3">
      <w:pPr>
        <w:numPr>
          <w:ilvl w:val="2"/>
          <w:numId w:val="11"/>
        </w:numPr>
        <w:spacing w:after="0" w:line="240" w:lineRule="auto"/>
        <w:rPr>
          <w:szCs w:val="21"/>
        </w:rPr>
      </w:pPr>
      <w:r w:rsidRPr="00B540C3">
        <w:rPr>
          <w:b/>
          <w:bCs/>
          <w:szCs w:val="21"/>
        </w:rPr>
        <w:t>Stabilise behaviour and assess</w:t>
      </w:r>
      <w:r w:rsidRPr="00B540C3">
        <w:rPr>
          <w:szCs w:val="21"/>
        </w:rPr>
        <w:t xml:space="preserve"> in Behaviour Assessment Room or Behaviour Assessment Unit (if present) or through code grey or other team response.</w:t>
      </w:r>
    </w:p>
    <w:p w14:paraId="452E6CD5" w14:textId="77777777" w:rsidR="00B540C3" w:rsidRPr="00B540C3" w:rsidRDefault="00B540C3" w:rsidP="00B540C3">
      <w:pPr>
        <w:numPr>
          <w:ilvl w:val="0"/>
          <w:numId w:val="11"/>
        </w:numPr>
        <w:spacing w:after="0" w:line="240" w:lineRule="auto"/>
        <w:rPr>
          <w:szCs w:val="21"/>
        </w:rPr>
      </w:pPr>
      <w:r w:rsidRPr="00B540C3">
        <w:rPr>
          <w:b/>
          <w:bCs/>
          <w:szCs w:val="21"/>
        </w:rPr>
        <w:t>ED Triage determines if consumer meets Hub criteria</w:t>
      </w:r>
    </w:p>
    <w:p w14:paraId="2111F0E3" w14:textId="77777777" w:rsidR="00B540C3" w:rsidRPr="00B540C3" w:rsidRDefault="00B540C3" w:rsidP="00B540C3">
      <w:pPr>
        <w:numPr>
          <w:ilvl w:val="1"/>
          <w:numId w:val="11"/>
        </w:numPr>
        <w:spacing w:after="0" w:line="240" w:lineRule="auto"/>
        <w:rPr>
          <w:szCs w:val="21"/>
        </w:rPr>
      </w:pPr>
      <w:r w:rsidRPr="00B540C3">
        <w:rPr>
          <w:szCs w:val="21"/>
        </w:rPr>
        <w:t>Ideally in coordination with Hub or Emergency Mental Health (MH) clinicians.</w:t>
      </w:r>
    </w:p>
    <w:p w14:paraId="4852EF35" w14:textId="13453AE2" w:rsidR="00B540C3" w:rsidRPr="00B540C3" w:rsidRDefault="00B540C3" w:rsidP="00B540C3">
      <w:pPr>
        <w:numPr>
          <w:ilvl w:val="1"/>
          <w:numId w:val="11"/>
        </w:numPr>
        <w:spacing w:after="0" w:line="240" w:lineRule="auto"/>
        <w:rPr>
          <w:szCs w:val="21"/>
        </w:rPr>
      </w:pPr>
      <w:r w:rsidRPr="00B540C3">
        <w:rPr>
          <w:b/>
          <w:bCs/>
          <w:szCs w:val="21"/>
        </w:rPr>
        <w:t>If NO:</w:t>
      </w:r>
      <w:r w:rsidRPr="00B540C3">
        <w:rPr>
          <w:szCs w:val="21"/>
        </w:rPr>
        <w:t xml:space="preserve"> </w:t>
      </w:r>
    </w:p>
    <w:p w14:paraId="30AFADAE" w14:textId="77777777" w:rsidR="00B540C3" w:rsidRPr="00B540C3" w:rsidRDefault="00B540C3" w:rsidP="00B540C3">
      <w:pPr>
        <w:numPr>
          <w:ilvl w:val="2"/>
          <w:numId w:val="11"/>
        </w:numPr>
        <w:spacing w:after="0" w:line="240" w:lineRule="auto"/>
        <w:rPr>
          <w:szCs w:val="21"/>
        </w:rPr>
      </w:pPr>
      <w:r w:rsidRPr="00B540C3">
        <w:rPr>
          <w:szCs w:val="21"/>
        </w:rPr>
        <w:t>Streamed to appropriate ED treatment zone.</w:t>
      </w:r>
    </w:p>
    <w:p w14:paraId="5EA6B57D" w14:textId="77777777" w:rsidR="00B540C3" w:rsidRPr="00B540C3" w:rsidRDefault="00B540C3" w:rsidP="00B540C3">
      <w:pPr>
        <w:numPr>
          <w:ilvl w:val="1"/>
          <w:numId w:val="11"/>
        </w:numPr>
        <w:spacing w:after="0" w:line="240" w:lineRule="auto"/>
        <w:rPr>
          <w:szCs w:val="21"/>
        </w:rPr>
      </w:pPr>
      <w:r w:rsidRPr="00B540C3">
        <w:rPr>
          <w:b/>
          <w:bCs/>
          <w:szCs w:val="21"/>
        </w:rPr>
        <w:t>If YES:</w:t>
      </w:r>
      <w:r w:rsidRPr="00B540C3">
        <w:rPr>
          <w:szCs w:val="21"/>
        </w:rPr>
        <w:t xml:space="preserve"> </w:t>
      </w:r>
    </w:p>
    <w:p w14:paraId="3C8D6EFA" w14:textId="0C8E3C93" w:rsidR="00B540C3" w:rsidRPr="00B540C3" w:rsidRDefault="00B540C3" w:rsidP="00B540C3">
      <w:pPr>
        <w:numPr>
          <w:ilvl w:val="2"/>
          <w:numId w:val="11"/>
        </w:numPr>
        <w:spacing w:after="0" w:line="240" w:lineRule="auto"/>
        <w:rPr>
          <w:szCs w:val="21"/>
        </w:rPr>
      </w:pPr>
      <w:r w:rsidRPr="00B540C3">
        <w:rPr>
          <w:szCs w:val="21"/>
        </w:rPr>
        <w:t>Hub clinician confirms criteria for Hub meet and if short stay or non-admission.</w:t>
      </w:r>
    </w:p>
    <w:p w14:paraId="18E73C3F" w14:textId="77777777" w:rsidR="00B540C3" w:rsidRPr="00B540C3" w:rsidRDefault="00B540C3" w:rsidP="00B540C3">
      <w:pPr>
        <w:numPr>
          <w:ilvl w:val="0"/>
          <w:numId w:val="11"/>
        </w:numPr>
        <w:spacing w:after="0" w:line="240" w:lineRule="auto"/>
        <w:rPr>
          <w:szCs w:val="21"/>
        </w:rPr>
      </w:pPr>
      <w:r w:rsidRPr="00B540C3">
        <w:rPr>
          <w:b/>
          <w:bCs/>
          <w:szCs w:val="21"/>
        </w:rPr>
        <w:t>Consumer transferred to MHAOD ED Hub assessment space</w:t>
      </w:r>
    </w:p>
    <w:p w14:paraId="79FF050A" w14:textId="77777777" w:rsidR="00B540C3" w:rsidRPr="00B540C3" w:rsidRDefault="00B540C3" w:rsidP="00B540C3">
      <w:pPr>
        <w:numPr>
          <w:ilvl w:val="1"/>
          <w:numId w:val="11"/>
        </w:numPr>
        <w:spacing w:after="0" w:line="240" w:lineRule="auto"/>
        <w:rPr>
          <w:szCs w:val="21"/>
        </w:rPr>
      </w:pPr>
      <w:r w:rsidRPr="00B540C3">
        <w:rPr>
          <w:szCs w:val="21"/>
        </w:rPr>
        <w:t xml:space="preserve">Duration: </w:t>
      </w:r>
    </w:p>
    <w:p w14:paraId="47714DC3" w14:textId="59CA9FF1" w:rsidR="00B540C3" w:rsidRPr="00B540C3" w:rsidRDefault="00B540C3" w:rsidP="00B540C3">
      <w:pPr>
        <w:numPr>
          <w:ilvl w:val="2"/>
          <w:numId w:val="11"/>
        </w:numPr>
        <w:spacing w:after="0" w:line="240" w:lineRule="auto"/>
        <w:rPr>
          <w:szCs w:val="21"/>
        </w:rPr>
      </w:pPr>
      <w:r w:rsidRPr="00B540C3">
        <w:rPr>
          <w:szCs w:val="21"/>
        </w:rPr>
        <w:t>4 hours up to 24 hours (short stay unit)</w:t>
      </w:r>
    </w:p>
    <w:p w14:paraId="60C118DD" w14:textId="77777777" w:rsidR="00B540C3" w:rsidRPr="00B540C3" w:rsidRDefault="00B540C3" w:rsidP="00B540C3">
      <w:pPr>
        <w:numPr>
          <w:ilvl w:val="2"/>
          <w:numId w:val="11"/>
        </w:numPr>
        <w:spacing w:after="0" w:line="240" w:lineRule="auto"/>
        <w:rPr>
          <w:szCs w:val="21"/>
        </w:rPr>
      </w:pPr>
      <w:r w:rsidRPr="00B540C3">
        <w:rPr>
          <w:szCs w:val="21"/>
        </w:rPr>
        <w:t>Short Stay Unit: 24 hours up to 72 hours</w:t>
      </w:r>
    </w:p>
    <w:p w14:paraId="6AE3CD1E" w14:textId="1C6310DC" w:rsidR="00B540C3" w:rsidRPr="00B540C3" w:rsidRDefault="00B540C3" w:rsidP="00B540C3">
      <w:pPr>
        <w:numPr>
          <w:ilvl w:val="0"/>
          <w:numId w:val="11"/>
        </w:numPr>
        <w:spacing w:after="0" w:line="240" w:lineRule="auto"/>
        <w:rPr>
          <w:szCs w:val="21"/>
        </w:rPr>
      </w:pPr>
      <w:r w:rsidRPr="00B540C3">
        <w:rPr>
          <w:b/>
          <w:bCs/>
          <w:szCs w:val="21"/>
        </w:rPr>
        <w:t>Does consumer require MH or other IPU admission?</w:t>
      </w:r>
    </w:p>
    <w:p w14:paraId="4040FB3F" w14:textId="77777777" w:rsidR="00B540C3" w:rsidRPr="00B540C3" w:rsidRDefault="00B540C3" w:rsidP="00B540C3">
      <w:pPr>
        <w:numPr>
          <w:ilvl w:val="1"/>
          <w:numId w:val="11"/>
        </w:numPr>
        <w:spacing w:after="0" w:line="240" w:lineRule="auto"/>
        <w:rPr>
          <w:szCs w:val="21"/>
        </w:rPr>
      </w:pPr>
      <w:r w:rsidRPr="00B540C3">
        <w:rPr>
          <w:b/>
          <w:bCs/>
          <w:szCs w:val="21"/>
        </w:rPr>
        <w:t>If YES:</w:t>
      </w:r>
      <w:r w:rsidRPr="00B540C3">
        <w:rPr>
          <w:szCs w:val="21"/>
        </w:rPr>
        <w:t xml:space="preserve"> </w:t>
      </w:r>
    </w:p>
    <w:p w14:paraId="17F389C3" w14:textId="77777777" w:rsidR="00B540C3" w:rsidRPr="00B540C3" w:rsidRDefault="00B540C3" w:rsidP="00B540C3">
      <w:pPr>
        <w:numPr>
          <w:ilvl w:val="2"/>
          <w:numId w:val="11"/>
        </w:numPr>
        <w:spacing w:after="0" w:line="240" w:lineRule="auto"/>
        <w:rPr>
          <w:szCs w:val="21"/>
        </w:rPr>
      </w:pPr>
      <w:r w:rsidRPr="00B540C3">
        <w:rPr>
          <w:szCs w:val="21"/>
        </w:rPr>
        <w:t>Transfer to IPU bed.</w:t>
      </w:r>
    </w:p>
    <w:p w14:paraId="74F8CA90" w14:textId="77777777" w:rsidR="00B540C3" w:rsidRPr="00B540C3" w:rsidRDefault="00B540C3" w:rsidP="00B540C3">
      <w:pPr>
        <w:numPr>
          <w:ilvl w:val="1"/>
          <w:numId w:val="11"/>
        </w:numPr>
        <w:spacing w:after="0" w:line="240" w:lineRule="auto"/>
        <w:rPr>
          <w:szCs w:val="21"/>
        </w:rPr>
      </w:pPr>
      <w:r w:rsidRPr="00B540C3">
        <w:rPr>
          <w:b/>
          <w:bCs/>
          <w:szCs w:val="21"/>
        </w:rPr>
        <w:t>If NO:</w:t>
      </w:r>
      <w:r w:rsidRPr="00B540C3">
        <w:rPr>
          <w:szCs w:val="21"/>
        </w:rPr>
        <w:t xml:space="preserve"> </w:t>
      </w:r>
    </w:p>
    <w:p w14:paraId="077FF685" w14:textId="04F9D2B0" w:rsidR="00B540C3" w:rsidRDefault="00B540C3" w:rsidP="00B540C3">
      <w:pPr>
        <w:numPr>
          <w:ilvl w:val="2"/>
          <w:numId w:val="11"/>
        </w:numPr>
        <w:spacing w:after="0" w:line="240" w:lineRule="auto"/>
        <w:rPr>
          <w:szCs w:val="21"/>
        </w:rPr>
      </w:pPr>
      <w:r w:rsidRPr="00B540C3">
        <w:rPr>
          <w:szCs w:val="21"/>
        </w:rPr>
        <w:t>Discharge home with referrals, follow-up appointments, and 28-day Hub staff assertive outreach.</w:t>
      </w:r>
    </w:p>
    <w:p w14:paraId="5320F7B3" w14:textId="443020A9" w:rsidR="00B540C3" w:rsidRPr="00B540C3" w:rsidRDefault="00B540C3" w:rsidP="00B540C3">
      <w:pPr>
        <w:numPr>
          <w:ilvl w:val="2"/>
          <w:numId w:val="11"/>
        </w:numPr>
        <w:spacing w:after="0" w:line="240" w:lineRule="auto"/>
        <w:rPr>
          <w:szCs w:val="21"/>
        </w:rPr>
      </w:pPr>
      <w:r w:rsidRPr="00B540C3">
        <w:rPr>
          <w:szCs w:val="21"/>
        </w:rPr>
        <w:t>Transfer care to community-based team (e.g., HOPE, CATT, continuing care, AOD).</w:t>
      </w:r>
    </w:p>
    <w:p w14:paraId="32CB6E63" w14:textId="323648FD" w:rsidR="00B540C3" w:rsidRPr="00B540C3" w:rsidRDefault="00B540C3" w:rsidP="00B540C3">
      <w:pPr>
        <w:numPr>
          <w:ilvl w:val="2"/>
          <w:numId w:val="11"/>
        </w:numPr>
        <w:spacing w:after="0" w:line="240" w:lineRule="auto"/>
        <w:rPr>
          <w:szCs w:val="21"/>
        </w:rPr>
      </w:pPr>
      <w:r w:rsidRPr="00B540C3">
        <w:rPr>
          <w:szCs w:val="21"/>
        </w:rPr>
        <w:t>Transfer to AOD or MH residential bed (e.g., PARC, CCU, residential detox).</w:t>
      </w:r>
    </w:p>
    <w:p w14:paraId="41569612" w14:textId="14145C67" w:rsidR="00B540C3" w:rsidRPr="00B540C3" w:rsidRDefault="00B540C3" w:rsidP="00B540C3">
      <w:pPr>
        <w:numPr>
          <w:ilvl w:val="2"/>
          <w:numId w:val="11"/>
        </w:numPr>
        <w:spacing w:after="0" w:line="240" w:lineRule="auto"/>
        <w:rPr>
          <w:szCs w:val="21"/>
        </w:rPr>
      </w:pPr>
      <w:r w:rsidRPr="00B540C3">
        <w:rPr>
          <w:szCs w:val="21"/>
        </w:rPr>
        <w:t>Family, carers, supporters referred to Mental Health and Wellbeing Connect Centre or Tandem Support and Referral Line if needed.</w:t>
      </w:r>
    </w:p>
    <w:p w14:paraId="74D14199" w14:textId="6C299D47" w:rsidR="0008204A" w:rsidRPr="00B540C3" w:rsidRDefault="00B540C3" w:rsidP="0008204A">
      <w:pPr>
        <w:pStyle w:val="Body"/>
        <w:rPr>
          <w:szCs w:val="21"/>
        </w:rPr>
      </w:pPr>
      <w:r>
        <w:rPr>
          <w:noProof/>
        </w:rPr>
        <w:drawing>
          <wp:anchor distT="0" distB="0" distL="114300" distR="114300" simplePos="0" relativeHeight="251662336" behindDoc="1" locked="0" layoutInCell="1" allowOverlap="1" wp14:anchorId="4D499263" wp14:editId="2931B3F0">
            <wp:simplePos x="0" y="0"/>
            <wp:positionH relativeFrom="margin">
              <wp:align>center</wp:align>
            </wp:positionH>
            <wp:positionV relativeFrom="paragraph">
              <wp:posOffset>95885</wp:posOffset>
            </wp:positionV>
            <wp:extent cx="6819900" cy="2663825"/>
            <wp:effectExtent l="0" t="0" r="0" b="3175"/>
            <wp:wrapTight wrapText="bothSides">
              <wp:wrapPolygon edited="0">
                <wp:start x="6999" y="0"/>
                <wp:lineTo x="2896" y="0"/>
                <wp:lineTo x="2655" y="154"/>
                <wp:lineTo x="2655" y="4171"/>
                <wp:lineTo x="3137" y="4943"/>
                <wp:lineTo x="4103" y="4943"/>
                <wp:lineTo x="3379" y="7415"/>
                <wp:lineTo x="302" y="7723"/>
                <wp:lineTo x="60" y="7878"/>
                <wp:lineTo x="0" y="10658"/>
                <wp:lineTo x="0" y="21317"/>
                <wp:lineTo x="483" y="21471"/>
                <wp:lineTo x="1569" y="21471"/>
                <wp:lineTo x="21540" y="21317"/>
                <wp:lineTo x="21540" y="15601"/>
                <wp:lineTo x="20997" y="14366"/>
                <wp:lineTo x="20514" y="13748"/>
                <wp:lineTo x="19006" y="12358"/>
                <wp:lineTo x="19971" y="12049"/>
                <wp:lineTo x="20212" y="11276"/>
                <wp:lineTo x="19850" y="9886"/>
                <wp:lineTo x="20393" y="9114"/>
                <wp:lineTo x="20393" y="8650"/>
                <wp:lineTo x="19730" y="7415"/>
                <wp:lineTo x="19790" y="6642"/>
                <wp:lineTo x="19368" y="5252"/>
                <wp:lineTo x="19790" y="4943"/>
                <wp:lineTo x="20212" y="4016"/>
                <wp:lineTo x="20273" y="927"/>
                <wp:lineTo x="9533" y="0"/>
                <wp:lineTo x="6999" y="0"/>
              </wp:wrapPolygon>
            </wp:wrapTight>
            <wp:docPr id="1907854334" name="Picture 1" descr="The following image displays the consumer pathway to access a MHAOD ED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4334" name="Picture 1" descr="The following image displays the consumer pathway to access a MHAOD ED Hub."/>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819900" cy="2663825"/>
                    </a:xfrm>
                    <a:prstGeom prst="rect">
                      <a:avLst/>
                    </a:prstGeom>
                    <a:noFill/>
                  </pic:spPr>
                </pic:pic>
              </a:graphicData>
            </a:graphic>
            <wp14:sizeRelH relativeFrom="margin">
              <wp14:pctWidth>0</wp14:pctWidth>
            </wp14:sizeRelH>
            <wp14:sizeRelV relativeFrom="margin">
              <wp14:pctHeight>0</wp14:pctHeight>
            </wp14:sizeRelV>
          </wp:anchor>
        </w:drawing>
      </w:r>
    </w:p>
    <w:sectPr w:rsidR="0008204A" w:rsidRPr="00B540C3" w:rsidSect="00454A7D">
      <w:headerReference w:type="even" r:id="rId43"/>
      <w:headerReference w:type="default" r:id="rId44"/>
      <w:footerReference w:type="even" r:id="rId45"/>
      <w:footerReference w:type="default" r:id="rId46"/>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FDED" w14:textId="77777777" w:rsidR="00E21248" w:rsidRDefault="00E21248">
      <w:r>
        <w:separator/>
      </w:r>
    </w:p>
    <w:p w14:paraId="79BD65BB" w14:textId="77777777" w:rsidR="00E21248" w:rsidRDefault="00E21248"/>
  </w:endnote>
  <w:endnote w:type="continuationSeparator" w:id="0">
    <w:p w14:paraId="50F23031" w14:textId="77777777" w:rsidR="00E21248" w:rsidRDefault="00E21248">
      <w:r>
        <w:continuationSeparator/>
      </w:r>
    </w:p>
    <w:p w14:paraId="762F9559" w14:textId="77777777" w:rsidR="00E21248" w:rsidRDefault="00E21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5CCA"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729C87CD" wp14:editId="7A12A89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5062E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9C87CD"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B5062E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2226"/>
      <w:docPartObj>
        <w:docPartGallery w:val="Page Numbers (Bottom of Page)"/>
        <w:docPartUnique/>
      </w:docPartObj>
    </w:sdtPr>
    <w:sdtEndPr>
      <w:rPr>
        <w:noProof/>
      </w:rPr>
    </w:sdtEndPr>
    <w:sdtContent>
      <w:p w14:paraId="4C6808E7" w14:textId="0D3B862E" w:rsidR="00431A70" w:rsidRDefault="00B27381" w:rsidP="00B2738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817220"/>
      <w:docPartObj>
        <w:docPartGallery w:val="Page Numbers (Bottom of Page)"/>
        <w:docPartUnique/>
      </w:docPartObj>
    </w:sdtPr>
    <w:sdtEndPr>
      <w:rPr>
        <w:noProof/>
      </w:rPr>
    </w:sdtEndPr>
    <w:sdtContent>
      <w:p w14:paraId="7BCD0B55" w14:textId="7C531326" w:rsidR="00B27381" w:rsidRDefault="00B27381">
        <w:pPr>
          <w:pStyle w:val="Footer"/>
        </w:pPr>
        <w:r>
          <w:fldChar w:fldCharType="begin"/>
        </w:r>
        <w:r>
          <w:instrText xml:space="preserve"> PAGE   \* MERGEFORMAT </w:instrText>
        </w:r>
        <w:r>
          <w:fldChar w:fldCharType="separate"/>
        </w:r>
        <w:r>
          <w:rPr>
            <w:noProof/>
          </w:rPr>
          <w:t>2</w:t>
        </w:r>
        <w:r>
          <w:rPr>
            <w:noProof/>
          </w:rPr>
          <w:fldChar w:fldCharType="end"/>
        </w:r>
      </w:p>
    </w:sdtContent>
  </w:sdt>
  <w:p w14:paraId="32E7561D" w14:textId="65CCC5CC" w:rsidR="00EB4BC7" w:rsidRDefault="00EB4B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C716" w14:textId="77777777"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0D5DCDF5" wp14:editId="62B2F982">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016F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5DCDF5" id="_x0000_t202" coordsize="21600,21600" o:spt="202" path="m,l,21600r21600,l21600,xe">
              <v:stroke joinstyle="miter"/>
              <v:path gradientshapeok="t" o:connecttype="rect"/>
            </v:shapetype>
            <v:shape id="MSIPCMd3f54469bd0204c6fb2f3fa8" o:spid="_x0000_s1027"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40016F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9CA4" w14:textId="77777777" w:rsidR="00431A70" w:rsidRDefault="008977D1">
    <w:pPr>
      <w:pStyle w:val="Footer"/>
    </w:pPr>
    <w:r>
      <w:rPr>
        <w:noProof/>
        <w:lang w:eastAsia="en-AU"/>
      </w:rPr>
      <mc:AlternateContent>
        <mc:Choice Requires="wps">
          <w:drawing>
            <wp:anchor distT="0" distB="0" distL="114300" distR="114300" simplePos="0" relativeHeight="251658243" behindDoc="0" locked="0" layoutInCell="0" allowOverlap="1" wp14:anchorId="071AD156" wp14:editId="2ADD934E">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47A66C"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1AD156" id="_x0000_t202" coordsize="21600,21600" o:spt="202" path="m,l,21600r21600,l21600,xe">
              <v:stroke joinstyle="miter"/>
              <v:path gradientshapeok="t" o:connecttype="rect"/>
            </v:shapetype>
            <v:shape id="MSIPCM74884611b90139cc3ff5acf2"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747A66C"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1" behindDoc="0" locked="0" layoutInCell="0" allowOverlap="1" wp14:anchorId="1168E09E" wp14:editId="7F7DD999">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C5D8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168E09E" id="MSIPCM82764d688816a9dc96a1b608" o:spid="_x0000_s1029"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2E3C5D8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D8BD" w14:textId="77777777" w:rsidR="00E21248" w:rsidRDefault="00E21248" w:rsidP="00207717">
      <w:pPr>
        <w:spacing w:before="120"/>
      </w:pPr>
      <w:r>
        <w:separator/>
      </w:r>
    </w:p>
  </w:footnote>
  <w:footnote w:type="continuationSeparator" w:id="0">
    <w:p w14:paraId="7E17AAE0" w14:textId="77777777" w:rsidR="00E21248" w:rsidRDefault="00E21248">
      <w:r>
        <w:continuationSeparator/>
      </w:r>
    </w:p>
    <w:p w14:paraId="6D033D9F" w14:textId="77777777" w:rsidR="00E21248" w:rsidRDefault="00E21248"/>
  </w:footnote>
  <w:footnote w:id="1">
    <w:p w14:paraId="27794F71" w14:textId="009351D2" w:rsidR="00A42487" w:rsidRDefault="00A42487" w:rsidP="00A42487">
      <w:pPr>
        <w:pStyle w:val="FootnoteText"/>
      </w:pPr>
      <w:r>
        <w:rPr>
          <w:rStyle w:val="FootnoteReference"/>
        </w:rPr>
        <w:footnoteRef/>
      </w:r>
      <w:r>
        <w:t xml:space="preserve"> High-quality care is defined as “safe, timely, effective, efficient, equitable and person-centred care” (p. 5) in the Safer Care Victoria (2024) </w:t>
      </w:r>
      <w:r>
        <w:rPr>
          <w:i/>
          <w:iCs/>
        </w:rPr>
        <w:t xml:space="preserve">Delivering high-quality care, </w:t>
      </w:r>
      <w:r w:rsidRPr="00CB191C">
        <w:rPr>
          <w:i/>
          <w:iCs/>
        </w:rPr>
        <w:t>Victorian Clinical Governance Framework</w:t>
      </w:r>
      <w:r>
        <w:t xml:space="preserve">, found here: </w:t>
      </w:r>
      <w:r w:rsidR="00B540C3">
        <w:t>&lt;</w:t>
      </w:r>
      <w:r w:rsidRPr="00733350">
        <w:t>https://www.safercare.vic.gov.au/sites/default/files/2024-08/Victorian%20Clinical%20Governance%20Framework.pdf</w:t>
      </w:r>
      <w:r w:rsidR="00B540C3">
        <w:t>&gt;</w:t>
      </w:r>
    </w:p>
  </w:footnote>
  <w:footnote w:id="2">
    <w:p w14:paraId="73E95BF8" w14:textId="6F178CFB" w:rsidR="00A42487" w:rsidRDefault="00A42487" w:rsidP="00A42487">
      <w:pPr>
        <w:pStyle w:val="FootnoteText"/>
      </w:pPr>
      <w:r>
        <w:rPr>
          <w:rStyle w:val="FootnoteReference"/>
        </w:rPr>
        <w:footnoteRef/>
      </w:r>
      <w:r>
        <w:t xml:space="preserve"> Royal Commission Website, </w:t>
      </w:r>
      <w:r w:rsidR="00C5205E">
        <w:t>&lt;</w:t>
      </w:r>
      <w:hyperlink r:id="rId1" w:history="1">
        <w:r w:rsidR="00C5205E" w:rsidRPr="00680C26">
          <w:rPr>
            <w:rStyle w:val="Hyperlink"/>
          </w:rPr>
          <w:t>https://finalreport.rcvmhs.vic.gov.au/</w:t>
        </w:r>
      </w:hyperlink>
      <w:r w:rsidR="00C5205E">
        <w:t>&gt;</w:t>
      </w:r>
    </w:p>
  </w:footnote>
  <w:footnote w:id="3">
    <w:p w14:paraId="5A7A2297" w14:textId="6A5F5F3B" w:rsidR="00A42487" w:rsidRPr="00A044EE" w:rsidRDefault="00A42487" w:rsidP="00A42487">
      <w:pPr>
        <w:pStyle w:val="FootnoteText"/>
        <w:rPr>
          <w:lang w:val="fr-FR"/>
        </w:rPr>
      </w:pPr>
      <w:r>
        <w:rPr>
          <w:rStyle w:val="FootnoteReference"/>
        </w:rPr>
        <w:footnoteRef/>
      </w:r>
      <w:r w:rsidRPr="00A044EE">
        <w:rPr>
          <w:lang w:val="fr-FR"/>
        </w:rPr>
        <w:t xml:space="preserve"> </w:t>
      </w:r>
      <w:r w:rsidR="00EE33DF" w:rsidRPr="00A044EE">
        <w:rPr>
          <w:lang w:val="fr-FR"/>
        </w:rPr>
        <w:t>Recommandations</w:t>
      </w:r>
      <w:r w:rsidRPr="00A044EE">
        <w:rPr>
          <w:lang w:val="fr-FR"/>
        </w:rPr>
        <w:t xml:space="preserve">, </w:t>
      </w:r>
      <w:r w:rsidR="00C5205E">
        <w:rPr>
          <w:lang w:val="fr-FR"/>
        </w:rPr>
        <w:t>&lt;</w:t>
      </w:r>
      <w:hyperlink r:id="rId2" w:history="1">
        <w:r w:rsidR="00C5205E" w:rsidRPr="00680C26">
          <w:rPr>
            <w:rStyle w:val="Hyperlink"/>
            <w:lang w:val="fr-FR"/>
          </w:rPr>
          <w:t>https://finalreport.rcvmhs.vic.gov.au/recommendations/</w:t>
        </w:r>
      </w:hyperlink>
      <w:r w:rsidR="00C5205E">
        <w:rPr>
          <w:lang w:val="fr-FR"/>
        </w:rPr>
        <w:t>&gt;</w:t>
      </w:r>
    </w:p>
  </w:footnote>
  <w:footnote w:id="4">
    <w:p w14:paraId="1A8DF178" w14:textId="77777777" w:rsidR="00A42487" w:rsidRDefault="00A42487" w:rsidP="00A42487">
      <w:pPr>
        <w:pStyle w:val="FootnoteText"/>
      </w:pPr>
      <w:r>
        <w:rPr>
          <w:rStyle w:val="FootnoteReference"/>
        </w:rPr>
        <w:footnoteRef/>
      </w:r>
      <w:r>
        <w:t xml:space="preserve"> Consistent with the document “</w:t>
      </w:r>
      <w:r w:rsidRPr="00AC6037">
        <w:rPr>
          <w:i/>
          <w:iCs/>
        </w:rPr>
        <w:t>Mental health response for children and youth people (0-25 years): Guidance for Area Mental Health and Wellbeing Services – August 2024</w:t>
      </w:r>
      <w:r>
        <w:t xml:space="preserve">” </w:t>
      </w:r>
      <w:r w:rsidRPr="00CC6063">
        <w:t>people of all ages and backgrounds can access mental health assessment and short-term care in an emergency department at any time of the day or night</w:t>
      </w:r>
      <w:r>
        <w:t>. This is to occur regardless of whether the health service operates adolescent inpatient mental health services. People aged under 16 years of age would receive this elsewhere within the emergency department unless the clinical decision is made to admit them to the Hub. Where child-specific ED spaces are present this may be preferred to the Hub for consumers aged 16 to 17. Services should also document in local practice guidance how it is decided if Hub consumers aged 16 and 17 should be accompanied by a parent or guardian.</w:t>
      </w:r>
    </w:p>
  </w:footnote>
  <w:footnote w:id="5">
    <w:p w14:paraId="527550AD" w14:textId="69630227" w:rsidR="00A42487" w:rsidRPr="00F17A2E" w:rsidRDefault="00A42487" w:rsidP="00A42487">
      <w:pPr>
        <w:pStyle w:val="FootnoteText"/>
        <w:rPr>
          <w:i/>
          <w:iCs/>
        </w:rPr>
      </w:pPr>
      <w:r>
        <w:rPr>
          <w:rStyle w:val="FootnoteReference"/>
        </w:rPr>
        <w:footnoteRef/>
      </w:r>
      <w:r>
        <w:t xml:space="preserve"> Safer Care Victoria (2024) </w:t>
      </w:r>
      <w:r>
        <w:rPr>
          <w:i/>
          <w:iCs/>
        </w:rPr>
        <w:t>Improving safety for consumers at risk of harm of ligature</w:t>
      </w:r>
      <w:r>
        <w:t xml:space="preserve"> found here: </w:t>
      </w:r>
      <w:r w:rsidR="00C5205E">
        <w:t>&lt;</w:t>
      </w:r>
      <w:r w:rsidRPr="007F24DA">
        <w:t>https://www.safercare.vic.gov.au/resources/clinical-guidance/mental-health/ligature</w:t>
      </w:r>
      <w:r w:rsidR="00C5205E">
        <w:t>&gt;</w:t>
      </w:r>
    </w:p>
  </w:footnote>
  <w:footnote w:id="6">
    <w:p w14:paraId="79A4CCA5" w14:textId="0F239BC0" w:rsidR="00A42487" w:rsidRPr="002D1036" w:rsidRDefault="00A42487" w:rsidP="00A42487">
      <w:pPr>
        <w:pStyle w:val="FootnoteText"/>
      </w:pPr>
      <w:r>
        <w:rPr>
          <w:rStyle w:val="FootnoteReference"/>
        </w:rPr>
        <w:footnoteRef/>
      </w:r>
      <w:r>
        <w:t xml:space="preserve"> Victorian Government Department of Health (2010). </w:t>
      </w:r>
      <w:r>
        <w:rPr>
          <w:i/>
          <w:iCs/>
        </w:rPr>
        <w:t xml:space="preserve">Working with the suicidal person: Clinical practice guidelines for emergency departments and mental health services, p.23. </w:t>
      </w:r>
      <w:r w:rsidRPr="002D1036">
        <w:t>Fo</w:t>
      </w:r>
      <w:r w:rsidRPr="00AC6037">
        <w:t>und</w:t>
      </w:r>
      <w:r>
        <w:t xml:space="preserve"> at</w:t>
      </w:r>
      <w:r w:rsidRPr="002D1036">
        <w:t xml:space="preserve">: </w:t>
      </w:r>
      <w:r w:rsidR="00C5205E">
        <w:t>&lt;</w:t>
      </w:r>
      <w:r w:rsidRPr="002D1036">
        <w:t>https://www.health.vic.gov.au/publications/suicide-working-with-the-suicidal-person-clinical-practice-guidelines-for-emergency</w:t>
      </w:r>
      <w:r w:rsidR="00C5205E">
        <w:t>&gt;</w:t>
      </w:r>
    </w:p>
  </w:footnote>
  <w:footnote w:id="7">
    <w:p w14:paraId="424BC0F0" w14:textId="758B27B1" w:rsidR="00A42487" w:rsidRPr="000D1C67" w:rsidRDefault="00A42487" w:rsidP="00A42487">
      <w:pPr>
        <w:pStyle w:val="FootnoteText"/>
      </w:pPr>
      <w:r>
        <w:rPr>
          <w:rStyle w:val="FootnoteReference"/>
        </w:rPr>
        <w:footnoteRef/>
      </w:r>
      <w:r>
        <w:t xml:space="preserve"> Hill N. T.M et al. (2023). </w:t>
      </w:r>
      <w:r>
        <w:rPr>
          <w:i/>
          <w:iCs/>
        </w:rPr>
        <w:t>Recommendations for integrated suicide-related crisis and follow-up care in emergency departments and other acute settings.</w:t>
      </w:r>
      <w:r>
        <w:t xml:space="preserve"> Sydney: Black Dog Institute. Found at: </w:t>
      </w:r>
      <w:r w:rsidR="00C5205E">
        <w:t>&lt;</w:t>
      </w:r>
      <w:r w:rsidRPr="00261F55">
        <w:t>https://www.blackdoginstitute.org.au/wp-content/uploads/2024/07/BDI_ED_Guidelines-2024-Final.pdf</w:t>
      </w:r>
      <w:r w:rsidR="00C5205E">
        <w:t>&gt;</w:t>
      </w:r>
    </w:p>
  </w:footnote>
  <w:footnote w:id="8">
    <w:p w14:paraId="6F359FB6" w14:textId="74B75BAE" w:rsidR="00A42487" w:rsidRPr="0014113B" w:rsidRDefault="00A42487" w:rsidP="00A42487">
      <w:pPr>
        <w:pStyle w:val="FootnoteText"/>
      </w:pPr>
      <w:r>
        <w:rPr>
          <w:rStyle w:val="FootnoteReference"/>
        </w:rPr>
        <w:footnoteRef/>
      </w:r>
      <w:r>
        <w:t xml:space="preserve"> Victorian Government Department of Human Services (2007). </w:t>
      </w:r>
      <w:r>
        <w:rPr>
          <w:i/>
          <w:iCs/>
        </w:rPr>
        <w:t xml:space="preserve">Mental health care: Framework for emergency department services. </w:t>
      </w:r>
      <w:r w:rsidRPr="0014113B">
        <w:t>Fo</w:t>
      </w:r>
      <w:r w:rsidRPr="00B021F2">
        <w:t>un</w:t>
      </w:r>
      <w:r>
        <w:t>d at:</w:t>
      </w:r>
      <w:r w:rsidRPr="0014113B">
        <w:t xml:space="preserve"> </w:t>
      </w:r>
      <w:r w:rsidR="00C5205E">
        <w:t>&lt;</w:t>
      </w:r>
      <w:r w:rsidRPr="0014113B">
        <w:t>https://www.health.vic.gov.au/publications/emergency-departments-framework-for-mental-health-care</w:t>
      </w:r>
      <w:r w:rsidR="00C5205E">
        <w:t>&gt;</w:t>
      </w:r>
    </w:p>
  </w:footnote>
  <w:footnote w:id="9">
    <w:p w14:paraId="773CF1DD" w14:textId="2AE19E4B" w:rsidR="00A42487" w:rsidRPr="00525E01" w:rsidRDefault="00A42487" w:rsidP="00A42487">
      <w:pPr>
        <w:pStyle w:val="FootnoteText"/>
      </w:pPr>
      <w:r>
        <w:rPr>
          <w:rStyle w:val="FootnoteReference"/>
        </w:rPr>
        <w:footnoteRef/>
      </w:r>
      <w:r>
        <w:t xml:space="preserve"> Australasian College for Emergency Medicine (2022). </w:t>
      </w:r>
      <w:r>
        <w:rPr>
          <w:i/>
          <w:iCs/>
        </w:rPr>
        <w:t xml:space="preserve">Access to care for patients with acute mental and behavioural conditions. </w:t>
      </w:r>
      <w:r>
        <w:t xml:space="preserve">Found at: </w:t>
      </w:r>
      <w:r w:rsidR="00C5205E">
        <w:t>&lt;</w:t>
      </w:r>
      <w:r w:rsidRPr="005E4C1C">
        <w:t>https://acem.org.au/getmedia/e18bf276-d800-4a58-bd1e-31cd1f68595b/2022_12-Access-to-Care-for-Patients-With-Acute-Mental-and-Behavioural-Conditions</w:t>
      </w:r>
      <w:r w:rsidR="00C5205E">
        <w:t>&gt;</w:t>
      </w:r>
    </w:p>
  </w:footnote>
  <w:footnote w:id="10">
    <w:p w14:paraId="7817A916" w14:textId="2217486C" w:rsidR="00A42487" w:rsidRPr="00A25B9C" w:rsidRDefault="00A42487" w:rsidP="00A42487">
      <w:pPr>
        <w:pStyle w:val="FootnoteText"/>
      </w:pPr>
      <w:r>
        <w:rPr>
          <w:rStyle w:val="FootnoteReference"/>
        </w:rPr>
        <w:footnoteRef/>
      </w:r>
      <w:r>
        <w:t xml:space="preserve"> Safer Care Victora (2024). </w:t>
      </w:r>
      <w:r w:rsidRPr="00A25B9C">
        <w:rPr>
          <w:i/>
          <w:iCs/>
        </w:rPr>
        <w:t>Caring for people displaying acute behavioural disturbance</w:t>
      </w:r>
      <w:r>
        <w:rPr>
          <w:i/>
          <w:iCs/>
        </w:rPr>
        <w:t xml:space="preserve"> (ABD): </w:t>
      </w:r>
      <w:r w:rsidRPr="00A25B9C">
        <w:rPr>
          <w:i/>
          <w:iCs/>
        </w:rPr>
        <w:t>Clinical guidance to improve care in emergency settings</w:t>
      </w:r>
      <w:r>
        <w:rPr>
          <w:i/>
          <w:iCs/>
        </w:rPr>
        <w:t>.</w:t>
      </w:r>
      <w:r>
        <w:t xml:space="preserve"> Found at: </w:t>
      </w:r>
      <w:r w:rsidR="00C5205E">
        <w:t>&lt;</w:t>
      </w:r>
      <w:r w:rsidRPr="009B38DE">
        <w:t>https://www.safercare.vic.gov.au/best-practice-improvement/clinical-guidance/emergency/acute-behavioural-disturbance</w:t>
      </w:r>
      <w:r w:rsidR="00C5205E">
        <w:t>&gt;</w:t>
      </w:r>
    </w:p>
  </w:footnote>
  <w:footnote w:id="11">
    <w:p w14:paraId="3EBEB04C" w14:textId="6AC7181B" w:rsidR="00A42487" w:rsidRPr="001B127B" w:rsidRDefault="00A42487" w:rsidP="00A42487">
      <w:pPr>
        <w:pStyle w:val="FootnoteText"/>
      </w:pPr>
      <w:r>
        <w:rPr>
          <w:rStyle w:val="FootnoteReference"/>
        </w:rPr>
        <w:footnoteRef/>
      </w:r>
      <w:r w:rsidRPr="003A7325">
        <w:t xml:space="preserve"> Haber PS &amp; Riordan BC (2021). </w:t>
      </w:r>
      <w:r w:rsidRPr="001B127B">
        <w:t>N</w:t>
      </w:r>
      <w:r w:rsidRPr="00B021F2">
        <w:t>ew Australian guidelines for the</w:t>
      </w:r>
      <w:r>
        <w:t xml:space="preserve"> treatment of alcohol problems: An overview of recommendations</w:t>
      </w:r>
      <w:r>
        <w:rPr>
          <w:i/>
          <w:iCs/>
        </w:rPr>
        <w:t xml:space="preserve">. MJA, </w:t>
      </w:r>
      <w:r>
        <w:t xml:space="preserve">215 (7). Found at: </w:t>
      </w:r>
      <w:r w:rsidR="00C5205E">
        <w:t>&lt;</w:t>
      </w:r>
      <w:r w:rsidRPr="009B5947">
        <w:t>https://www.mja.com.au/system/files/2021-09/Sup_215_7_4%20Oct.pdf</w:t>
      </w:r>
      <w:r w:rsidR="00C5205E">
        <w:t>&gt;</w:t>
      </w:r>
    </w:p>
  </w:footnote>
  <w:footnote w:id="12">
    <w:p w14:paraId="347E1E77" w14:textId="30BA93BD" w:rsidR="00A42487" w:rsidRPr="00C17F52" w:rsidRDefault="00A42487" w:rsidP="00A42487">
      <w:pPr>
        <w:pStyle w:val="FootnoteText"/>
      </w:pPr>
      <w:r>
        <w:rPr>
          <w:rStyle w:val="FootnoteReference"/>
        </w:rPr>
        <w:footnoteRef/>
      </w:r>
      <w:r>
        <w:t xml:space="preserve"> Office of the Chief Psychiatrist Victoria (2024). </w:t>
      </w:r>
      <w:r>
        <w:rPr>
          <w:i/>
          <w:iCs/>
        </w:rPr>
        <w:t>White paper: On the principles of mental health risk assessment.</w:t>
      </w:r>
      <w:r>
        <w:t xml:space="preserve"> Found at: </w:t>
      </w:r>
      <w:r w:rsidR="00C5205E">
        <w:t>&lt;</w:t>
      </w:r>
      <w:r w:rsidRPr="004B4E10">
        <w:t>https://www.health.vic.gov.au/chief-psychiatrist/white-paper-on-the-principles-of-mental-health-risk-assessment</w:t>
      </w:r>
      <w:r w:rsidR="00C5205E">
        <w:t>&gt;</w:t>
      </w:r>
    </w:p>
  </w:footnote>
  <w:footnote w:id="13">
    <w:p w14:paraId="65638050" w14:textId="68728E6E" w:rsidR="00A42487" w:rsidRPr="00EC0916" w:rsidRDefault="00A42487" w:rsidP="00A42487">
      <w:pPr>
        <w:pStyle w:val="FootnoteText"/>
      </w:pPr>
      <w:r>
        <w:rPr>
          <w:rStyle w:val="FootnoteReference"/>
        </w:rPr>
        <w:footnoteRef/>
      </w:r>
      <w:r w:rsidRPr="00EC0916">
        <w:t xml:space="preserve"> Fi</w:t>
      </w:r>
      <w:r w:rsidRPr="00312A4B">
        <w:t>ve discipline frameworks have b</w:t>
      </w:r>
      <w:r>
        <w:t xml:space="preserve">een published for consumer and carer perspective workers in mental health, AOD or harm reduction roles, and can be found: </w:t>
      </w:r>
      <w:r w:rsidR="00C5205E">
        <w:t>&lt;</w:t>
      </w:r>
      <w:r w:rsidRPr="00410938">
        <w:t>https://www.health.vic.gov.au/workforce-and-training/lived-experience-workforce-initiatives</w:t>
      </w:r>
      <w:r w:rsidR="00C5205E">
        <w:t>&gt;</w:t>
      </w:r>
    </w:p>
  </w:footnote>
  <w:footnote w:id="14">
    <w:p w14:paraId="353E6909" w14:textId="5A3B1A87" w:rsidR="00A42487" w:rsidRPr="00B017B8" w:rsidRDefault="00A42487" w:rsidP="00A42487">
      <w:pPr>
        <w:pStyle w:val="FootnoteText"/>
      </w:pPr>
      <w:r>
        <w:rPr>
          <w:rStyle w:val="FootnoteReference"/>
        </w:rPr>
        <w:footnoteRef/>
      </w:r>
      <w:r w:rsidRPr="00312A4B">
        <w:t xml:space="preserve"> Daniel C et al. (2022). </w:t>
      </w:r>
      <w:r>
        <w:rPr>
          <w:i/>
          <w:iCs/>
        </w:rPr>
        <w:t xml:space="preserve">Safewards Emergency Department Interventions. </w:t>
      </w:r>
      <w:r>
        <w:t xml:space="preserve">Found at: </w:t>
      </w:r>
      <w:r w:rsidR="00C70C04">
        <w:t>&lt;</w:t>
      </w:r>
      <w:r w:rsidRPr="000737B3">
        <w:t>https://www.health.vic.gov.au/practice-and-service-quality/safewards-in-emergency-departments-trial</w:t>
      </w:r>
      <w:r w:rsidR="00C70C04">
        <w:t>&gt;</w:t>
      </w:r>
    </w:p>
  </w:footnote>
  <w:footnote w:id="15">
    <w:p w14:paraId="36504E4B" w14:textId="2E4046AE" w:rsidR="00A42487" w:rsidRPr="00DC0C35" w:rsidRDefault="00A42487" w:rsidP="00A42487">
      <w:pPr>
        <w:pStyle w:val="FootnoteText"/>
      </w:pPr>
      <w:r>
        <w:rPr>
          <w:rStyle w:val="FootnoteReference"/>
        </w:rPr>
        <w:footnoteRef/>
      </w:r>
      <w:r>
        <w:t xml:space="preserve"> Safer Care Victoria (2024). </w:t>
      </w:r>
      <w:r>
        <w:rPr>
          <w:i/>
          <w:iCs/>
        </w:rPr>
        <w:t xml:space="preserve">Delivering high quality care: Victorian Clinical Governance Framework. </w:t>
      </w:r>
      <w:r>
        <w:t xml:space="preserve">Found at: </w:t>
      </w:r>
      <w:r w:rsidR="00C70C04">
        <w:t>&lt;</w:t>
      </w:r>
      <w:r w:rsidR="00C70C04" w:rsidRPr="00B540C3">
        <w:t>https://www.safercare.vic.gov.au/sites/default/files/2024-08/Victorian%20Clinical%20Governance%20Framework.pdf</w:t>
      </w:r>
      <w:r w:rsidR="00C70C04">
        <w:t>&gt;</w:t>
      </w:r>
    </w:p>
  </w:footnote>
  <w:footnote w:id="16">
    <w:p w14:paraId="41D86CC9" w14:textId="224A3DCA" w:rsidR="00A42487" w:rsidRDefault="00A42487" w:rsidP="00A42487">
      <w:pPr>
        <w:pStyle w:val="FootnoteText"/>
      </w:pPr>
      <w:r>
        <w:rPr>
          <w:rStyle w:val="FootnoteReference"/>
        </w:rPr>
        <w:footnoteRef/>
      </w:r>
      <w:r>
        <w:t xml:space="preserve"> This guidance is given to ensure that services are operating in accordance with the 2021 Fair Work bargaining dispute decision [2021] FWCFB 3537 related to staff employment within Mental Health and AOD ED Hubs found here: </w:t>
      </w:r>
      <w:r w:rsidR="00C70C04">
        <w:t>&lt;</w:t>
      </w:r>
      <w:r w:rsidRPr="00D54BB1">
        <w:t>https://www.fwc.gov.au/document-search/view/1/aHR0cHM6Ly9zYXNyY2RhdGFwcmRhdWVhYS5ibG9iLmNvcmUud2luZG93cy5uZXQvZGVjaXNpb25zLzIwMjEvMDYvRjFDMDg0OEE0MTFCNUYxREI5REJFQkFFMzlBRDdDRTE3MDQ0X2RvY3g3MDkwLnBkZg2?sid=&amp;q=ED%24%24Hubs</w:t>
      </w:r>
      <w:r w:rsidR="00C70C04">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C995" w14:textId="2962B238" w:rsidR="00A42487" w:rsidRPr="0051568D" w:rsidRDefault="00A42487" w:rsidP="008F776E">
    <w:pPr>
      <w:pStyle w:val="Header"/>
    </w:pPr>
    <w:r>
      <w:t xml:space="preserve">MHAOD ED Hubs Guideline </w:t>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F0F6" w14:textId="77777777" w:rsidR="00431A70" w:rsidRPr="00454A7D" w:rsidRDefault="00431A70" w:rsidP="00454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19BF" w14:textId="77777777" w:rsidR="00562811" w:rsidRPr="0051568D" w:rsidRDefault="00562811" w:rsidP="0017674D">
    <w:pPr>
      <w:pStyle w:val="Header"/>
    </w:pPr>
    <w:r>
      <w:t>Document title</w:t>
    </w:r>
    <w:r w:rsidR="009C245E">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0DA0EA8"/>
    <w:multiLevelType w:val="multilevel"/>
    <w:tmpl w:val="DEA04C72"/>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BE1EE0"/>
    <w:multiLevelType w:val="multilevel"/>
    <w:tmpl w:val="4ACAC00E"/>
    <w:styleLink w:val="VHBABulletList"/>
    <w:lvl w:ilvl="0">
      <w:start w:val="1"/>
      <w:numFmt w:val="bullet"/>
      <w:pStyle w:val="VHBAbullet1"/>
      <w:lvlText w:val="•"/>
      <w:lvlJc w:val="left"/>
      <w:pPr>
        <w:ind w:left="397" w:hanging="397"/>
      </w:pPr>
      <w:rPr>
        <w:rFonts w:ascii="Calibri" w:hAnsi="Calibri" w:hint="default"/>
        <w:color w:val="auto"/>
      </w:rPr>
    </w:lvl>
    <w:lvl w:ilvl="1">
      <w:start w:val="1"/>
      <w:numFmt w:val="bullet"/>
      <w:lvlRestart w:val="0"/>
      <w:pStyle w:val="VHBAbullet2"/>
      <w:lvlText w:val="–"/>
      <w:lvlJc w:val="left"/>
      <w:pPr>
        <w:ind w:left="794" w:hanging="397"/>
      </w:pPr>
      <w:rPr>
        <w:rFonts w:ascii="Arial" w:hAnsi="Aria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7A018B8"/>
    <w:multiLevelType w:val="multilevel"/>
    <w:tmpl w:val="4ACAC00E"/>
    <w:numStyleLink w:val="VHBABulletList"/>
  </w:abstractNum>
  <w:abstractNum w:abstractNumId="6" w15:restartNumberingAfterBreak="0">
    <w:nsid w:val="48692641"/>
    <w:multiLevelType w:val="hybridMultilevel"/>
    <w:tmpl w:val="609CD682"/>
    <w:lvl w:ilvl="0" w:tplc="3FAAB5F4">
      <w:start w:val="1"/>
      <w:numFmt w:val="bullet"/>
      <w:pStyle w:val="do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EA6412D"/>
    <w:multiLevelType w:val="multilevel"/>
    <w:tmpl w:val="28C2FB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073653158">
    <w:abstractNumId w:val="3"/>
  </w:num>
  <w:num w:numId="2" w16cid:durableId="1432583832">
    <w:abstractNumId w:val="8"/>
  </w:num>
  <w:num w:numId="3" w16cid:durableId="144592348">
    <w:abstractNumId w:val="7"/>
  </w:num>
  <w:num w:numId="4" w16cid:durableId="1343628778">
    <w:abstractNumId w:val="10"/>
  </w:num>
  <w:num w:numId="5" w16cid:durableId="1743792221">
    <w:abstractNumId w:val="4"/>
  </w:num>
  <w:num w:numId="6" w16cid:durableId="1032263313">
    <w:abstractNumId w:val="0"/>
  </w:num>
  <w:num w:numId="7" w16cid:durableId="675696982">
    <w:abstractNumId w:val="6"/>
  </w:num>
  <w:num w:numId="8" w16cid:durableId="333992213">
    <w:abstractNumId w:val="1"/>
  </w:num>
  <w:num w:numId="9" w16cid:durableId="1472673269">
    <w:abstractNumId w:val="2"/>
  </w:num>
  <w:num w:numId="10" w16cid:durableId="1476724830">
    <w:abstractNumId w:val="5"/>
  </w:num>
  <w:num w:numId="11" w16cid:durableId="823931821">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87"/>
    <w:rsid w:val="00000719"/>
    <w:rsid w:val="00002D68"/>
    <w:rsid w:val="000033F7"/>
    <w:rsid w:val="00003403"/>
    <w:rsid w:val="00005347"/>
    <w:rsid w:val="000072B6"/>
    <w:rsid w:val="0001021B"/>
    <w:rsid w:val="00011D89"/>
    <w:rsid w:val="000154FD"/>
    <w:rsid w:val="00022271"/>
    <w:rsid w:val="000235E8"/>
    <w:rsid w:val="00024485"/>
    <w:rsid w:val="00024D89"/>
    <w:rsid w:val="000250B6"/>
    <w:rsid w:val="00026540"/>
    <w:rsid w:val="00030CDD"/>
    <w:rsid w:val="00033D81"/>
    <w:rsid w:val="00033DC9"/>
    <w:rsid w:val="00037366"/>
    <w:rsid w:val="00041BF0"/>
    <w:rsid w:val="00042C8A"/>
    <w:rsid w:val="0004536B"/>
    <w:rsid w:val="00046B68"/>
    <w:rsid w:val="00047152"/>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2BAB"/>
    <w:rsid w:val="00103276"/>
    <w:rsid w:val="0010392D"/>
    <w:rsid w:val="0010447F"/>
    <w:rsid w:val="00104FE3"/>
    <w:rsid w:val="0010714F"/>
    <w:rsid w:val="001120C5"/>
    <w:rsid w:val="00120BD3"/>
    <w:rsid w:val="00122FEA"/>
    <w:rsid w:val="001232BD"/>
    <w:rsid w:val="001236DC"/>
    <w:rsid w:val="001238EF"/>
    <w:rsid w:val="00124ED5"/>
    <w:rsid w:val="001276FA"/>
    <w:rsid w:val="00141102"/>
    <w:rsid w:val="001447B3"/>
    <w:rsid w:val="00150B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A785D"/>
    <w:rsid w:val="001B058F"/>
    <w:rsid w:val="001B6B96"/>
    <w:rsid w:val="001B738B"/>
    <w:rsid w:val="001C09DB"/>
    <w:rsid w:val="001C277E"/>
    <w:rsid w:val="001C2A72"/>
    <w:rsid w:val="001C31B7"/>
    <w:rsid w:val="001D0B75"/>
    <w:rsid w:val="001D186D"/>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3E5D"/>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3DD7"/>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4D4E"/>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0DEF"/>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422F"/>
    <w:rsid w:val="0058757E"/>
    <w:rsid w:val="005950B0"/>
    <w:rsid w:val="00596A4B"/>
    <w:rsid w:val="00597507"/>
    <w:rsid w:val="005A479D"/>
    <w:rsid w:val="005A6A93"/>
    <w:rsid w:val="005B1C6D"/>
    <w:rsid w:val="005B21B6"/>
    <w:rsid w:val="005B3A08"/>
    <w:rsid w:val="005B7A63"/>
    <w:rsid w:val="005C0955"/>
    <w:rsid w:val="005C1E47"/>
    <w:rsid w:val="005C49DA"/>
    <w:rsid w:val="005C50F3"/>
    <w:rsid w:val="005C54B5"/>
    <w:rsid w:val="005C5D80"/>
    <w:rsid w:val="005C5D91"/>
    <w:rsid w:val="005D07B8"/>
    <w:rsid w:val="005D3A75"/>
    <w:rsid w:val="005D6597"/>
    <w:rsid w:val="005E14E7"/>
    <w:rsid w:val="005E26A3"/>
    <w:rsid w:val="005E2ECB"/>
    <w:rsid w:val="005E447E"/>
    <w:rsid w:val="005E4FD1"/>
    <w:rsid w:val="005F0775"/>
    <w:rsid w:val="005F0CF5"/>
    <w:rsid w:val="005F21EB"/>
    <w:rsid w:val="005F424B"/>
    <w:rsid w:val="005F64CF"/>
    <w:rsid w:val="005F7F67"/>
    <w:rsid w:val="006041AD"/>
    <w:rsid w:val="00605908"/>
    <w:rsid w:val="006059F0"/>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86CD7"/>
    <w:rsid w:val="00691B62"/>
    <w:rsid w:val="006933B5"/>
    <w:rsid w:val="00693D14"/>
    <w:rsid w:val="006940AA"/>
    <w:rsid w:val="00696F27"/>
    <w:rsid w:val="006A18C2"/>
    <w:rsid w:val="006A3383"/>
    <w:rsid w:val="006A5948"/>
    <w:rsid w:val="006B077C"/>
    <w:rsid w:val="006B6803"/>
    <w:rsid w:val="006C0DB5"/>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47C97"/>
    <w:rsid w:val="00750135"/>
    <w:rsid w:val="00750EC2"/>
    <w:rsid w:val="00752B28"/>
    <w:rsid w:val="007536BC"/>
    <w:rsid w:val="007541A9"/>
    <w:rsid w:val="00754E36"/>
    <w:rsid w:val="0075754E"/>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4306"/>
    <w:rsid w:val="00796E20"/>
    <w:rsid w:val="00797C32"/>
    <w:rsid w:val="007A11E8"/>
    <w:rsid w:val="007B06DA"/>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1312"/>
    <w:rsid w:val="00823275"/>
    <w:rsid w:val="0082366F"/>
    <w:rsid w:val="008338A2"/>
    <w:rsid w:val="00841AA9"/>
    <w:rsid w:val="008474FE"/>
    <w:rsid w:val="00853EE4"/>
    <w:rsid w:val="00855535"/>
    <w:rsid w:val="00857C5A"/>
    <w:rsid w:val="0086255E"/>
    <w:rsid w:val="008633F0"/>
    <w:rsid w:val="00867D9D"/>
    <w:rsid w:val="00872E0A"/>
    <w:rsid w:val="00873118"/>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B6599"/>
    <w:rsid w:val="008C2F92"/>
    <w:rsid w:val="008C3546"/>
    <w:rsid w:val="008C589D"/>
    <w:rsid w:val="008C6D51"/>
    <w:rsid w:val="008D2846"/>
    <w:rsid w:val="008D4236"/>
    <w:rsid w:val="008D462F"/>
    <w:rsid w:val="008D6DCF"/>
    <w:rsid w:val="008D78DD"/>
    <w:rsid w:val="008E4376"/>
    <w:rsid w:val="008E7A0A"/>
    <w:rsid w:val="008E7B49"/>
    <w:rsid w:val="008F2186"/>
    <w:rsid w:val="008F59F6"/>
    <w:rsid w:val="008F776E"/>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13AF"/>
    <w:rsid w:val="009B2AE8"/>
    <w:rsid w:val="009B5622"/>
    <w:rsid w:val="009B59E9"/>
    <w:rsid w:val="009B70AA"/>
    <w:rsid w:val="009C245E"/>
    <w:rsid w:val="009C46D9"/>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48A8"/>
    <w:rsid w:val="00A157B1"/>
    <w:rsid w:val="00A22229"/>
    <w:rsid w:val="00A24442"/>
    <w:rsid w:val="00A24ADA"/>
    <w:rsid w:val="00A32577"/>
    <w:rsid w:val="00A330BB"/>
    <w:rsid w:val="00A42487"/>
    <w:rsid w:val="00A446F5"/>
    <w:rsid w:val="00A44882"/>
    <w:rsid w:val="00A4492F"/>
    <w:rsid w:val="00A45125"/>
    <w:rsid w:val="00A54715"/>
    <w:rsid w:val="00A6061C"/>
    <w:rsid w:val="00A62D44"/>
    <w:rsid w:val="00A67263"/>
    <w:rsid w:val="00A7161C"/>
    <w:rsid w:val="00A71CE4"/>
    <w:rsid w:val="00A77AA3"/>
    <w:rsid w:val="00A8236D"/>
    <w:rsid w:val="00A849A4"/>
    <w:rsid w:val="00A854EB"/>
    <w:rsid w:val="00A872E5"/>
    <w:rsid w:val="00A908A4"/>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072AC"/>
    <w:rsid w:val="00B13851"/>
    <w:rsid w:val="00B13B1C"/>
    <w:rsid w:val="00B14B5F"/>
    <w:rsid w:val="00B21F90"/>
    <w:rsid w:val="00B22291"/>
    <w:rsid w:val="00B23F9A"/>
    <w:rsid w:val="00B2417B"/>
    <w:rsid w:val="00B24E6F"/>
    <w:rsid w:val="00B26CB5"/>
    <w:rsid w:val="00B27381"/>
    <w:rsid w:val="00B2752E"/>
    <w:rsid w:val="00B307CC"/>
    <w:rsid w:val="00B326B7"/>
    <w:rsid w:val="00B3588E"/>
    <w:rsid w:val="00B4198F"/>
    <w:rsid w:val="00B41F3D"/>
    <w:rsid w:val="00B431E8"/>
    <w:rsid w:val="00B45141"/>
    <w:rsid w:val="00B47CD1"/>
    <w:rsid w:val="00B519CD"/>
    <w:rsid w:val="00B5273A"/>
    <w:rsid w:val="00B540C3"/>
    <w:rsid w:val="00B57329"/>
    <w:rsid w:val="00B60E61"/>
    <w:rsid w:val="00B62B50"/>
    <w:rsid w:val="00B635B7"/>
    <w:rsid w:val="00B638BE"/>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0162"/>
    <w:rsid w:val="00BD2850"/>
    <w:rsid w:val="00BD6B9D"/>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05E"/>
    <w:rsid w:val="00C52217"/>
    <w:rsid w:val="00C602FF"/>
    <w:rsid w:val="00C60411"/>
    <w:rsid w:val="00C61174"/>
    <w:rsid w:val="00C6148F"/>
    <w:rsid w:val="00C621B1"/>
    <w:rsid w:val="00C62F7A"/>
    <w:rsid w:val="00C63B9C"/>
    <w:rsid w:val="00C6682F"/>
    <w:rsid w:val="00C67BF4"/>
    <w:rsid w:val="00C70C04"/>
    <w:rsid w:val="00C7275E"/>
    <w:rsid w:val="00C731AF"/>
    <w:rsid w:val="00C74C5D"/>
    <w:rsid w:val="00C85152"/>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B71D2"/>
    <w:rsid w:val="00CC0C72"/>
    <w:rsid w:val="00CC2BFD"/>
    <w:rsid w:val="00CC3BB0"/>
    <w:rsid w:val="00CC6F40"/>
    <w:rsid w:val="00CD3476"/>
    <w:rsid w:val="00CD64DF"/>
    <w:rsid w:val="00CE0F5B"/>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4783"/>
    <w:rsid w:val="00E06B75"/>
    <w:rsid w:val="00E11332"/>
    <w:rsid w:val="00E11352"/>
    <w:rsid w:val="00E170DC"/>
    <w:rsid w:val="00E17546"/>
    <w:rsid w:val="00E210B5"/>
    <w:rsid w:val="00E21248"/>
    <w:rsid w:val="00E22B05"/>
    <w:rsid w:val="00E261B3"/>
    <w:rsid w:val="00E26818"/>
    <w:rsid w:val="00E27FFC"/>
    <w:rsid w:val="00E30B15"/>
    <w:rsid w:val="00E33237"/>
    <w:rsid w:val="00E40181"/>
    <w:rsid w:val="00E54950"/>
    <w:rsid w:val="00E55FB3"/>
    <w:rsid w:val="00E56A01"/>
    <w:rsid w:val="00E629A1"/>
    <w:rsid w:val="00E659F2"/>
    <w:rsid w:val="00E6794C"/>
    <w:rsid w:val="00E71591"/>
    <w:rsid w:val="00E71CEB"/>
    <w:rsid w:val="00E7474F"/>
    <w:rsid w:val="00E80DE3"/>
    <w:rsid w:val="00E82C55"/>
    <w:rsid w:val="00E8787E"/>
    <w:rsid w:val="00E9042A"/>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3DF"/>
    <w:rsid w:val="00EE3E24"/>
    <w:rsid w:val="00EE4D5D"/>
    <w:rsid w:val="00EE5131"/>
    <w:rsid w:val="00EE6B82"/>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37D8"/>
    <w:rsid w:val="00F250A9"/>
    <w:rsid w:val="00F267AF"/>
    <w:rsid w:val="00F301BA"/>
    <w:rsid w:val="00F30FF4"/>
    <w:rsid w:val="00F3122E"/>
    <w:rsid w:val="00F32368"/>
    <w:rsid w:val="00F331AD"/>
    <w:rsid w:val="00F34DAC"/>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EFF"/>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 w:val="09F054CA"/>
    <w:rsid w:val="20092516"/>
    <w:rsid w:val="368DB8EA"/>
    <w:rsid w:val="395FB55F"/>
    <w:rsid w:val="3F7E2FAE"/>
    <w:rsid w:val="400F080E"/>
    <w:rsid w:val="457166F2"/>
    <w:rsid w:val="7627319D"/>
    <w:rsid w:val="7F8AE6E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CE5548"/>
  <w15:docId w15:val="{269DEB4E-05A5-4B6B-A0B6-2756976C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TOCheadingfactsheet">
    <w:name w:val="TOC heading fact sheet"/>
    <w:basedOn w:val="Heading2"/>
    <w:next w:val="Body"/>
    <w:link w:val="TOCheadingfactsheetChar"/>
    <w:uiPriority w:val="4"/>
    <w:rsid w:val="00A42487"/>
    <w:pPr>
      <w:spacing w:before="480" w:after="200" w:line="330" w:lineRule="atLeast"/>
      <w:outlineLvl w:val="9"/>
    </w:pPr>
    <w:rPr>
      <w:sz w:val="29"/>
    </w:rPr>
  </w:style>
  <w:style w:type="character" w:customStyle="1" w:styleId="TOCheadingfactsheetChar">
    <w:name w:val="TOC heading fact sheet Char"/>
    <w:link w:val="TOCheadingfactsheet"/>
    <w:uiPriority w:val="4"/>
    <w:rsid w:val="00A42487"/>
    <w:rPr>
      <w:rFonts w:ascii="Arial" w:hAnsi="Arial"/>
      <w:b/>
      <w:color w:val="53565A"/>
      <w:sz w:val="29"/>
      <w:szCs w:val="28"/>
      <w:lang w:eastAsia="en-US"/>
    </w:rPr>
  </w:style>
  <w:style w:type="paragraph" w:styleId="ListParagraph">
    <w:name w:val="List Paragraph"/>
    <w:basedOn w:val="Normal"/>
    <w:link w:val="ListParagraphChar"/>
    <w:uiPriority w:val="34"/>
    <w:qFormat/>
    <w:rsid w:val="00A42487"/>
    <w:pPr>
      <w:spacing w:after="200" w:line="276" w:lineRule="auto"/>
      <w:ind w:left="720"/>
      <w:contextualSpacing/>
    </w:pPr>
    <w:rPr>
      <w:rFonts w:asciiTheme="minorHAnsi" w:eastAsiaTheme="minorHAnsi" w:hAnsiTheme="minorHAnsi" w:cstheme="minorBidi"/>
      <w:sz w:val="22"/>
      <w:szCs w:val="22"/>
    </w:rPr>
  </w:style>
  <w:style w:type="paragraph" w:customStyle="1" w:styleId="body0">
    <w:name w:val="body"/>
    <w:basedOn w:val="Normal"/>
    <w:link w:val="bodyChar0"/>
    <w:qFormat/>
    <w:rsid w:val="00A42487"/>
    <w:pPr>
      <w:spacing w:before="120" w:line="240" w:lineRule="auto"/>
      <w:jc w:val="both"/>
    </w:pPr>
    <w:rPr>
      <w:rFonts w:asciiTheme="minorHAnsi" w:eastAsiaTheme="minorHAnsi" w:hAnsiTheme="minorHAnsi" w:cstheme="minorBidi"/>
      <w:sz w:val="22"/>
      <w:szCs w:val="22"/>
    </w:rPr>
  </w:style>
  <w:style w:type="paragraph" w:customStyle="1" w:styleId="dot">
    <w:name w:val="dot"/>
    <w:basedOn w:val="ListParagraph"/>
    <w:link w:val="dotChar"/>
    <w:qFormat/>
    <w:rsid w:val="00A42487"/>
    <w:pPr>
      <w:numPr>
        <w:numId w:val="7"/>
      </w:numPr>
      <w:spacing w:before="120" w:after="120" w:line="240" w:lineRule="auto"/>
    </w:pPr>
  </w:style>
  <w:style w:type="character" w:customStyle="1" w:styleId="bodyChar0">
    <w:name w:val="body Char"/>
    <w:basedOn w:val="DefaultParagraphFont"/>
    <w:link w:val="body0"/>
    <w:rsid w:val="00A42487"/>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rsid w:val="00A42487"/>
    <w:rPr>
      <w:rFonts w:asciiTheme="minorHAnsi" w:eastAsiaTheme="minorHAnsi" w:hAnsiTheme="minorHAnsi" w:cstheme="minorBidi"/>
      <w:sz w:val="22"/>
      <w:szCs w:val="22"/>
      <w:lang w:eastAsia="en-US"/>
    </w:rPr>
  </w:style>
  <w:style w:type="character" w:customStyle="1" w:styleId="dotChar">
    <w:name w:val="dot Char"/>
    <w:basedOn w:val="ListParagraphChar"/>
    <w:link w:val="dot"/>
    <w:rsid w:val="00A42487"/>
    <w:rPr>
      <w:rFonts w:asciiTheme="minorHAnsi" w:eastAsiaTheme="minorHAnsi" w:hAnsiTheme="minorHAnsi" w:cstheme="minorBidi"/>
      <w:sz w:val="22"/>
      <w:szCs w:val="22"/>
      <w:lang w:eastAsia="en-US"/>
    </w:rPr>
  </w:style>
  <w:style w:type="paragraph" w:customStyle="1" w:styleId="DHHSmainheading">
    <w:name w:val="DHHS main heading"/>
    <w:uiPriority w:val="8"/>
    <w:rsid w:val="00A42487"/>
    <w:pPr>
      <w:spacing w:after="160" w:line="560" w:lineRule="atLeast"/>
    </w:pPr>
    <w:rPr>
      <w:rFonts w:ascii="Arial" w:eastAsiaTheme="minorEastAsia" w:hAnsi="Arial" w:cstheme="minorBidi"/>
      <w:color w:val="FFFFFF"/>
      <w:sz w:val="50"/>
      <w:szCs w:val="50"/>
      <w:lang w:eastAsia="en-US"/>
    </w:rPr>
  </w:style>
  <w:style w:type="paragraph" w:customStyle="1" w:styleId="xxmsonormal">
    <w:name w:val="x_x_msonormal"/>
    <w:basedOn w:val="Normal"/>
    <w:rsid w:val="00A42487"/>
    <w:pPr>
      <w:spacing w:after="0" w:line="240" w:lineRule="auto"/>
    </w:pPr>
    <w:rPr>
      <w:rFonts w:ascii="Calibri" w:eastAsiaTheme="minorHAnsi" w:hAnsi="Calibri" w:cs="Calibri"/>
      <w:sz w:val="22"/>
      <w:szCs w:val="22"/>
      <w:lang w:eastAsia="en-AU"/>
    </w:rPr>
  </w:style>
  <w:style w:type="character" w:styleId="Mention">
    <w:name w:val="Mention"/>
    <w:basedOn w:val="DefaultParagraphFont"/>
    <w:uiPriority w:val="99"/>
    <w:unhideWhenUsed/>
    <w:rsid w:val="00A42487"/>
    <w:rPr>
      <w:color w:val="2B579A"/>
      <w:shd w:val="clear" w:color="auto" w:fill="E1DFDD"/>
    </w:rPr>
  </w:style>
  <w:style w:type="character" w:customStyle="1" w:styleId="normaltextrun">
    <w:name w:val="normaltextrun"/>
    <w:basedOn w:val="DefaultParagraphFont"/>
    <w:rsid w:val="00A42487"/>
  </w:style>
  <w:style w:type="character" w:customStyle="1" w:styleId="eop">
    <w:name w:val="eop"/>
    <w:basedOn w:val="DefaultParagraphFont"/>
    <w:rsid w:val="00A42487"/>
  </w:style>
  <w:style w:type="paragraph" w:customStyle="1" w:styleId="VHBAbody">
    <w:name w:val="VHBA body"/>
    <w:link w:val="VHBAbodyChar"/>
    <w:qFormat/>
    <w:rsid w:val="00A42487"/>
    <w:pPr>
      <w:spacing w:after="120" w:line="270" w:lineRule="atLeast"/>
    </w:pPr>
    <w:rPr>
      <w:rFonts w:asciiTheme="minorHAnsi" w:eastAsia="Times" w:hAnsiTheme="minorHAnsi"/>
      <w:lang w:eastAsia="en-US"/>
    </w:rPr>
  </w:style>
  <w:style w:type="character" w:customStyle="1" w:styleId="VHBAbodyChar">
    <w:name w:val="VHBA body Char"/>
    <w:basedOn w:val="DefaultParagraphFont"/>
    <w:link w:val="VHBAbody"/>
    <w:rsid w:val="00A42487"/>
    <w:rPr>
      <w:rFonts w:asciiTheme="minorHAnsi" w:eastAsia="Times" w:hAnsiTheme="minorHAnsi"/>
      <w:lang w:eastAsia="en-US"/>
    </w:rPr>
  </w:style>
  <w:style w:type="paragraph" w:customStyle="1" w:styleId="pf0">
    <w:name w:val="pf0"/>
    <w:basedOn w:val="Normal"/>
    <w:rsid w:val="00A42487"/>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A42487"/>
    <w:rPr>
      <w:rFonts w:ascii="Segoe UI" w:hAnsi="Segoe UI" w:cs="Segoe UI" w:hint="default"/>
      <w:sz w:val="18"/>
      <w:szCs w:val="18"/>
    </w:rPr>
  </w:style>
  <w:style w:type="paragraph" w:customStyle="1" w:styleId="VHBAfigurecaption">
    <w:name w:val="VHBA figure caption"/>
    <w:next w:val="VHBAbody"/>
    <w:qFormat/>
    <w:rsid w:val="00A42487"/>
    <w:pPr>
      <w:keepNext/>
      <w:keepLines/>
      <w:spacing w:before="240" w:after="120"/>
    </w:pPr>
    <w:rPr>
      <w:rFonts w:ascii="Arial" w:hAnsi="Arial"/>
      <w:b/>
      <w:lang w:eastAsia="en-US"/>
    </w:rPr>
  </w:style>
  <w:style w:type="paragraph" w:customStyle="1" w:styleId="VHBAbullet1">
    <w:name w:val="VHBA bullet 1"/>
    <w:basedOn w:val="VHBAbody"/>
    <w:uiPriority w:val="4"/>
    <w:qFormat/>
    <w:rsid w:val="00A42487"/>
    <w:pPr>
      <w:numPr>
        <w:numId w:val="10"/>
      </w:numPr>
      <w:tabs>
        <w:tab w:val="num" w:pos="926"/>
      </w:tabs>
      <w:spacing w:after="40"/>
      <w:ind w:left="926" w:hanging="360"/>
      <w:jc w:val="both"/>
    </w:pPr>
  </w:style>
  <w:style w:type="paragraph" w:customStyle="1" w:styleId="VHBAbullet2">
    <w:name w:val="VHBA bullet 2"/>
    <w:basedOn w:val="VHBAbody"/>
    <w:uiPriority w:val="4"/>
    <w:qFormat/>
    <w:rsid w:val="00A42487"/>
    <w:pPr>
      <w:numPr>
        <w:ilvl w:val="1"/>
        <w:numId w:val="10"/>
      </w:numPr>
      <w:tabs>
        <w:tab w:val="num" w:pos="926"/>
      </w:tabs>
      <w:spacing w:after="40"/>
      <w:ind w:left="926" w:hanging="360"/>
      <w:jc w:val="both"/>
    </w:pPr>
  </w:style>
  <w:style w:type="numbering" w:customStyle="1" w:styleId="VHBABulletList">
    <w:name w:val="VHBA Bullet List"/>
    <w:rsid w:val="00A42487"/>
    <w:pPr>
      <w:numPr>
        <w:numId w:val="9"/>
      </w:numPr>
    </w:pPr>
  </w:style>
  <w:style w:type="character" w:customStyle="1" w:styleId="FooterChar">
    <w:name w:val="Footer Char"/>
    <w:basedOn w:val="DefaultParagraphFont"/>
    <w:link w:val="Footer"/>
    <w:uiPriority w:val="99"/>
    <w:rsid w:val="00B27381"/>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vic.gov.au/guidelines-using-interpreting-services" TargetMode="External"/><Relationship Id="rId26" Type="http://schemas.openxmlformats.org/officeDocument/2006/relationships/hyperlink" Target="https://www.health.vic.gov.au/publications/mental-health-intensive-care-framework" TargetMode="External"/><Relationship Id="rId39" Type="http://schemas.openxmlformats.org/officeDocument/2006/relationships/hyperlink" Target="https://www.health.vic.gov.au/funding-performance-accountability/statements-of-priorities" TargetMode="External"/><Relationship Id="rId21" Type="http://schemas.openxmlformats.org/officeDocument/2006/relationships/hyperlink" Target="https://www.mentalhealthcommission.gov.au/lived-experience/lived-experience-workforces/peer-experience-workforce-guidelines" TargetMode="External"/><Relationship Id="rId34" Type="http://schemas.openxmlformats.org/officeDocument/2006/relationships/hyperlink" Target="https://www.health.vic.gov.au/chief-psychiatrist/reporting-restrictive-interventions-in-emergency-departments-and-urgent-care-centres" TargetMode="External"/><Relationship Id="rId42" Type="http://schemas.openxmlformats.org/officeDocument/2006/relationships/image" Target="media/image2.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vic.gov.au/sites/default/files/2022-07/Integrated-treatment-care-support-guidance-for-mhw-and-aod-servic-pdf.pdf" TargetMode="External"/><Relationship Id="rId29" Type="http://schemas.openxmlformats.org/officeDocument/2006/relationships/hyperlink" Target="https://www.health.vic.gov.au/practice-and-service-quality/safewards-training-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afercare.vic.gov.au/clinical-guidance/venous-thromboembolism" TargetMode="External"/><Relationship Id="rId32" Type="http://schemas.openxmlformats.org/officeDocument/2006/relationships/hyperlink" Target="https://www.health.vic.gov.au/chief-psychiatrist/office-of-the-chief-psychiatrist-reform-activities-and-news" TargetMode="External"/><Relationship Id="rId37" Type="http://schemas.openxmlformats.org/officeDocument/2006/relationships/hyperlink" Target="https://www.health.vic.gov.au/policy-and-funding-guidelines-for-health-services" TargetMode="External"/><Relationship Id="rId40" Type="http://schemas.openxmlformats.org/officeDocument/2006/relationships/hyperlink" Target="https://www.health.vic.gov.au/funding-performance-accountability/statements-of-priorities"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health.vic.gov.au/mental-health-and-wellbeing-act" TargetMode="External"/><Relationship Id="rId23" Type="http://schemas.openxmlformats.org/officeDocument/2006/relationships/hyperlink" Target="https://www.mhpod.gov.au/" TargetMode="External"/><Relationship Id="rId28" Type="http://schemas.openxmlformats.org/officeDocument/2006/relationships/hyperlink" Target="https://www.health.vic.gov.au/chief-psychiatrist/chief-psychiatrist-guidelines?page=3" TargetMode="External"/><Relationship Id="rId36" Type="http://schemas.openxmlformats.org/officeDocument/2006/relationships/hyperlink" Target="https://healthfacilityguidelines.com.au/news/content-update-hpu-133-mental-health-emergency-short-stay-unit" TargetMode="External"/><Relationship Id="rId10" Type="http://schemas.openxmlformats.org/officeDocument/2006/relationships/endnotes" Target="endnotes.xml"/><Relationship Id="rId19" Type="http://schemas.openxmlformats.org/officeDocument/2006/relationships/hyperlink" Target="https://www.vhba.vic.gov.au/resources/design-guidelines" TargetMode="External"/><Relationship Id="rId31" Type="http://schemas.openxmlformats.org/officeDocument/2006/relationships/hyperlink" Target="https://www.health.vic.gov.au/chief-psychiatrist/chief-psychiatrists-restrictive-interventions"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workforce-and-training/lived-experience-workforce-initiatives" TargetMode="External"/><Relationship Id="rId27" Type="http://schemas.openxmlformats.org/officeDocument/2006/relationships/hyperlink" Target="https://www.safercare.vic.gov.au/publications/mental-health-intensive-care-framework" TargetMode="External"/><Relationship Id="rId30" Type="http://schemas.openxmlformats.org/officeDocument/2006/relationships/hyperlink" Target="https://www.safercare.vic.gov.au/publications/victorian-clinical-governance-framework" TargetMode="External"/><Relationship Id="rId35" Type="http://schemas.openxmlformats.org/officeDocument/2006/relationships/hyperlink" Target="https://www.health.vic.gov.au/chief-psychiatrist/chief-psychiatrists-restrictive-interventions"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vic.gov.au/mental-health-and-wellbeing-act-principles" TargetMode="External"/><Relationship Id="rId25" Type="http://schemas.openxmlformats.org/officeDocument/2006/relationships/hyperlink" Target="https://www.safercare.vic.gov.au/best-practice-improvement/clinical-guidance/emergency/acute-behavioural-disturbance" TargetMode="External"/><Relationship Id="rId33" Type="http://schemas.openxmlformats.org/officeDocument/2006/relationships/hyperlink" Target="https://www.mhpod.gov.au/" TargetMode="External"/><Relationship Id="rId38" Type="http://schemas.openxmlformats.org/officeDocument/2006/relationships/hyperlink" Target="https://www.health.vic.gov.au/funding-performance-accountability/performance-monitoring-framework" TargetMode="External"/><Relationship Id="rId46" Type="http://schemas.openxmlformats.org/officeDocument/2006/relationships/footer" Target="footer5.xml"/><Relationship Id="rId20" Type="http://schemas.openxmlformats.org/officeDocument/2006/relationships/hyperlink" Target="https://www.health.vic.gov.au/chief-psychiatrist/working-together-with-families-and-carers"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finalreport.rcvmhs.vic.gov.au/recommendations/" TargetMode="External"/><Relationship Id="rId1" Type="http://schemas.openxmlformats.org/officeDocument/2006/relationships/hyperlink" Target="https://finalreport.rcvmhs.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H%20visual%20style/DH%20navy%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34C1602473B640A910C01D55E751EA" ma:contentTypeVersion="16" ma:contentTypeDescription="Create a new document." ma:contentTypeScope="" ma:versionID="16493a41b4f667991cc0150060714e13">
  <xsd:schema xmlns:xsd="http://www.w3.org/2001/XMLSchema" xmlns:xs="http://www.w3.org/2001/XMLSchema" xmlns:p="http://schemas.microsoft.com/office/2006/metadata/properties" xmlns:ns2="da1311ee-8013-4668-9c1b-7ff0642677d8" xmlns:ns3="26d2a5be-9061-4c56-8e8f-0a9c419d2316" targetNamespace="http://schemas.microsoft.com/office/2006/metadata/properties" ma:root="true" ma:fieldsID="850dd3180cd6c542c93fae8ced82115e" ns2:_="" ns3:_="">
    <xsd:import namespace="da1311ee-8013-4668-9c1b-7ff0642677d8"/>
    <xsd:import namespace="26d2a5be-9061-4c56-8e8f-0a9c419d23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311ee-8013-4668-9c1b-7ff0642677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2ee0ac-2559-4f6f-9557-65e9a92bf3e1}" ma:internalName="TaxCatchAll" ma:showField="CatchAllData" ma:web="da1311ee-8013-4668-9c1b-7ff06426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d2a5be-9061-4c56-8e8f-0a9c419d23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d2a5be-9061-4c56-8e8f-0a9c419d2316">
      <Terms xmlns="http://schemas.microsoft.com/office/infopath/2007/PartnerControls"/>
    </lcf76f155ced4ddcb4097134ff3c332f>
    <TaxCatchAll xmlns="da1311ee-8013-4668-9c1b-7ff0642677d8"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53057D0-6DE3-4C92-8081-5966FD74A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311ee-8013-4668-9c1b-7ff0642677d8"/>
    <ds:schemaRef ds:uri="26d2a5be-9061-4c56-8e8f-0a9c419d2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6d2a5be-9061-4c56-8e8f-0a9c419d2316"/>
    <ds:schemaRef ds:uri="da1311ee-8013-4668-9c1b-7ff0642677d8"/>
  </ds:schemaRefs>
</ds:datastoreItem>
</file>

<file path=docProps/app.xml><?xml version="1.0" encoding="utf-8"?>
<Properties xmlns="http://schemas.openxmlformats.org/officeDocument/2006/extended-properties" xmlns:vt="http://schemas.openxmlformats.org/officeDocument/2006/docPropsVTypes">
  <Template>DH%20navy%20report.dotx</Template>
  <TotalTime>1</TotalTime>
  <Pages>27</Pages>
  <Words>11164</Words>
  <Characters>63635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Guideline for the Mental Health and Alcohol and Other Drugs Emergency Department Hubs</vt:lpstr>
    </vt:vector>
  </TitlesOfParts>
  <Manager/>
  <Company>Victoria State Government, Department of Health</Company>
  <LinksUpToDate>false</LinksUpToDate>
  <CharactersWithSpaces>74650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for the Mental Health and Alcohol and Other Drugs Emergency Department Hubs</dc:title>
  <dc:subject>Guideline for the Mental Health and Alcohol and Other Drugs Emergency Department Hubs</dc:subject>
  <dc:creator>Mental Health and Wellbeing Division</dc:creator>
  <cp:keywords/>
  <dc:description/>
  <cp:lastModifiedBy>Tyler McPherson (Health)</cp:lastModifiedBy>
  <cp:revision>2</cp:revision>
  <cp:lastPrinted>2021-01-29T05:27:00Z</cp:lastPrinted>
  <dcterms:created xsi:type="dcterms:W3CDTF">2025-12-15T00:00:00Z</dcterms:created>
  <dcterms:modified xsi:type="dcterms:W3CDTF">2025-12-15T00:00:00Z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0x0101007A34C1602473B640A910C01D55E751EA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