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539B" w14:textId="27622CE0" w:rsidR="00056EC4" w:rsidRDefault="00E156D9" w:rsidP="00BA5FA5">
      <w:pPr>
        <w:pStyle w:val="Documenttitle"/>
      </w:pPr>
      <w:r w:rsidRPr="00E156D9">
        <w:t>Victorian public health and wellbeing outcomes framework 202</w:t>
      </w:r>
      <w:r w:rsidR="00E9042A" w:rsidRPr="00977D59">
        <w:rPr>
          <w:noProof/>
        </w:rPr>
        <w:drawing>
          <wp:anchor distT="0" distB="0" distL="114300" distR="114300" simplePos="0" relativeHeight="251658240" behindDoc="1" locked="1" layoutInCell="1" allowOverlap="0" wp14:anchorId="7F5C1F32" wp14:editId="0C25BC80">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r>
        <w:t>5</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5C86E601" w14:textId="77777777" w:rsidTr="00FD4D12">
        <w:trPr>
          <w:cantSplit/>
        </w:trPr>
        <w:tc>
          <w:tcPr>
            <w:tcW w:w="0" w:type="auto"/>
            <w:tcMar>
              <w:top w:w="0" w:type="dxa"/>
              <w:left w:w="0" w:type="dxa"/>
              <w:right w:w="0" w:type="dxa"/>
            </w:tcMar>
          </w:tcPr>
          <w:p w14:paraId="009B2FD6" w14:textId="41D6C652" w:rsidR="00AD784C" w:rsidRPr="00431F42" w:rsidRDefault="00AD784C" w:rsidP="00BA5FA5">
            <w:pPr>
              <w:pStyle w:val="Documentsubtitle"/>
            </w:pPr>
          </w:p>
        </w:tc>
      </w:tr>
      <w:tr w:rsidR="00AD784C" w14:paraId="35B9D031" w14:textId="77777777" w:rsidTr="00FD4D12">
        <w:trPr>
          <w:cantSplit/>
        </w:trPr>
        <w:tc>
          <w:tcPr>
            <w:tcW w:w="0" w:type="auto"/>
          </w:tcPr>
          <w:p w14:paraId="3E329639" w14:textId="67831765" w:rsidR="00386109" w:rsidRPr="00A1389F" w:rsidRDefault="00386109" w:rsidP="00BA5FA5">
            <w:pPr>
              <w:pStyle w:val="Documentsubtitle"/>
            </w:pPr>
          </w:p>
        </w:tc>
      </w:tr>
      <w:tr w:rsidR="00430393" w14:paraId="7A197194" w14:textId="77777777" w:rsidTr="00FD4D12">
        <w:trPr>
          <w:cantSplit/>
        </w:trPr>
        <w:tc>
          <w:tcPr>
            <w:tcW w:w="0" w:type="auto"/>
          </w:tcPr>
          <w:p w14:paraId="3474A638" w14:textId="77777777" w:rsidR="00430393" w:rsidRDefault="000200D5" w:rsidP="00BA5FA5">
            <w:pPr>
              <w:pStyle w:val="Bannermarking"/>
            </w:pPr>
            <w:fldSimple w:instr="FILLIN  &quot;Type the protective marking&quot; \d OFFICIAL \o  \* MERGEFORMAT">
              <w:r>
                <w:t>OFFICIAL</w:t>
              </w:r>
            </w:fldSimple>
          </w:p>
        </w:tc>
      </w:tr>
    </w:tbl>
    <w:p w14:paraId="3D2746A8" w14:textId="77777777" w:rsidR="00FE4081" w:rsidRDefault="00FE4081" w:rsidP="00BA5FA5">
      <w:pPr>
        <w:pStyle w:val="Body"/>
      </w:pPr>
    </w:p>
    <w:p w14:paraId="26CE79AB" w14:textId="77777777" w:rsidR="00FE4081" w:rsidRPr="00FE4081" w:rsidRDefault="00FE4081" w:rsidP="00BA5FA5">
      <w:pPr>
        <w:pStyle w:val="Body"/>
        <w:sectPr w:rsidR="00FE4081" w:rsidRPr="00FE4081" w:rsidSect="002C5B7C">
          <w:footerReference w:type="even" r:id="rId9"/>
          <w:footerReference w:type="default" r:id="rId10"/>
          <w:footerReference w:type="first" r:id="rId11"/>
          <w:type w:val="continuous"/>
          <w:pgSz w:w="11906" w:h="16838" w:code="9"/>
          <w:pgMar w:top="3969" w:right="1304" w:bottom="1418" w:left="1304" w:header="680" w:footer="851" w:gutter="0"/>
          <w:cols w:space="340"/>
          <w:docGrid w:linePitch="360"/>
        </w:sectPr>
      </w:pPr>
    </w:p>
    <w:p w14:paraId="5A1E5868" w14:textId="569E4ACC" w:rsidR="00431F42" w:rsidRDefault="00431F42" w:rsidP="00BA5FA5">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5FF8BDA" w14:textId="77777777" w:rsidTr="00431F42">
        <w:tc>
          <w:tcPr>
            <w:tcW w:w="7598" w:type="dxa"/>
          </w:tcPr>
          <w:p w14:paraId="1074A58B" w14:textId="77777777" w:rsidR="00431F42" w:rsidRDefault="00431F42" w:rsidP="00BA5FA5">
            <w:pPr>
              <w:pStyle w:val="Body"/>
            </w:pPr>
          </w:p>
        </w:tc>
      </w:tr>
    </w:tbl>
    <w:p w14:paraId="17A5198B" w14:textId="29630407" w:rsidR="000D2ABA" w:rsidRDefault="000D2ABA" w:rsidP="00BA5FA5">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790F464A" w14:textId="77777777" w:rsidTr="00562507">
        <w:trPr>
          <w:cantSplit/>
          <w:trHeight w:val="7088"/>
        </w:trPr>
        <w:tc>
          <w:tcPr>
            <w:tcW w:w="9288" w:type="dxa"/>
          </w:tcPr>
          <w:p w14:paraId="1BA3E184" w14:textId="45E31E46" w:rsidR="009F2182" w:rsidRPr="00BA26F6" w:rsidRDefault="009F2182" w:rsidP="00BA5FA5">
            <w:pPr>
              <w:pStyle w:val="Body"/>
              <w:rPr>
                <w:rFonts w:eastAsia="Times New Roman"/>
                <w:color w:val="87189D"/>
                <w:sz w:val="24"/>
                <w:szCs w:val="24"/>
              </w:rPr>
            </w:pPr>
          </w:p>
        </w:tc>
      </w:tr>
      <w:tr w:rsidR="009F2182" w14:paraId="462EA343" w14:textId="77777777" w:rsidTr="00562507">
        <w:trPr>
          <w:cantSplit/>
          <w:trHeight w:val="5103"/>
        </w:trPr>
        <w:tc>
          <w:tcPr>
            <w:tcW w:w="9288" w:type="dxa"/>
            <w:vAlign w:val="bottom"/>
          </w:tcPr>
          <w:p w14:paraId="16B1CEDF" w14:textId="77777777" w:rsidR="00E46CAD" w:rsidRPr="0055119B" w:rsidRDefault="006131E8" w:rsidP="00E46CAD">
            <w:pPr>
              <w:pStyle w:val="Accessibilitypara"/>
            </w:pPr>
            <w:r w:rsidRPr="0055119B">
              <w:t>To receive this document in another format</w:t>
            </w:r>
            <w:r>
              <w:t>,</w:t>
            </w:r>
            <w:r w:rsidRPr="0055119B">
              <w:t xml:space="preserve"> p</w:t>
            </w:r>
            <w:r w:rsidR="00211084">
              <w:t>lease email</w:t>
            </w:r>
            <w:r w:rsidR="0035115C">
              <w:t xml:space="preserve"> </w:t>
            </w:r>
            <w:hyperlink r:id="rId12" w:history="1">
              <w:r w:rsidR="00E46CAD" w:rsidRPr="003C4CEA">
                <w:rPr>
                  <w:rStyle w:val="Hyperlink"/>
                </w:rPr>
                <w:t>email the Department of Health</w:t>
              </w:r>
            </w:hyperlink>
            <w:r w:rsidR="00E46CAD" w:rsidRPr="0055119B">
              <w:t xml:space="preserve"> &lt;</w:t>
            </w:r>
            <w:r w:rsidR="00E46CAD">
              <w:t>prevention@health.vic.gov.au</w:t>
            </w:r>
            <w:r w:rsidR="00E46CAD" w:rsidRPr="0055119B">
              <w:t>&gt;.</w:t>
            </w:r>
          </w:p>
          <w:p w14:paraId="7EF3A974" w14:textId="77777777" w:rsidR="006131E8" w:rsidRPr="0055119B" w:rsidRDefault="006131E8" w:rsidP="00BA5FA5">
            <w:pPr>
              <w:pStyle w:val="Imprint"/>
            </w:pPr>
            <w:r w:rsidRPr="0055119B">
              <w:t>Authorised and published by the Victorian Government, 1 Treasury Place, Melbourne.</w:t>
            </w:r>
          </w:p>
          <w:p w14:paraId="64B8CC23" w14:textId="12DD0DC8" w:rsidR="006131E8" w:rsidRPr="00E820A3" w:rsidRDefault="006131E8" w:rsidP="00BA5FA5">
            <w:pPr>
              <w:pStyle w:val="Imprint"/>
            </w:pPr>
            <w:r w:rsidRPr="0055119B">
              <w:t xml:space="preserve">© State of Victoria, Australia, Department </w:t>
            </w:r>
            <w:r w:rsidRPr="001B058F">
              <w:t xml:space="preserve">of </w:t>
            </w:r>
            <w:r>
              <w:t>Health</w:t>
            </w:r>
            <w:r w:rsidRPr="00E820A3">
              <w:t xml:space="preserve">, </w:t>
            </w:r>
            <w:r w:rsidR="00E820A3" w:rsidRPr="00E820A3">
              <w:t>October 2025</w:t>
            </w:r>
            <w:r w:rsidRPr="00E820A3">
              <w:t>.</w:t>
            </w:r>
          </w:p>
          <w:p w14:paraId="207C4471" w14:textId="77777777" w:rsidR="006131E8" w:rsidRPr="00E820A3" w:rsidRDefault="006131E8" w:rsidP="00BA5FA5">
            <w:pPr>
              <w:pStyle w:val="Imprint"/>
            </w:pPr>
            <w:bookmarkStart w:id="0" w:name="_Hlk62746129"/>
            <w:r w:rsidRPr="00E820A3">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A5A61D7" w14:textId="0977549F" w:rsidR="006131E8" w:rsidRPr="00E33237" w:rsidRDefault="006131E8" w:rsidP="00BA5FA5">
            <w:pPr>
              <w:pStyle w:val="Imprint"/>
              <w:rPr>
                <w:color w:val="004C97"/>
              </w:rPr>
            </w:pPr>
            <w:r w:rsidRPr="00E820A3">
              <w:t>In this document, ‘Aboriginal’ refers to both Aboriginal and Torres Strait Islander people. ‘Indigenous’ or ‘Koori/Koorie’ is retained when part of the title of a report, program or quotation</w:t>
            </w:r>
            <w:r w:rsidRPr="00E33237">
              <w:rPr>
                <w:color w:val="004C97"/>
              </w:rPr>
              <w:t>.</w:t>
            </w:r>
          </w:p>
          <w:p w14:paraId="4D3E37FC" w14:textId="182447EB" w:rsidR="00467CF7" w:rsidRPr="00175A4D" w:rsidRDefault="006131E8" w:rsidP="00BA5FA5">
            <w:pPr>
              <w:pStyle w:val="Imprint"/>
            </w:pPr>
            <w:r w:rsidRPr="00822D8B">
              <w:t>ISBN</w:t>
            </w:r>
            <w:r w:rsidR="000D5540" w:rsidRPr="00822D8B">
              <w:t xml:space="preserve"> 978-1-</w:t>
            </w:r>
            <w:r w:rsidR="000D5540" w:rsidRPr="00175A4D">
              <w:t>76131-806-1</w:t>
            </w:r>
            <w:r w:rsidR="00175A4D">
              <w:t xml:space="preserve"> (print) </w:t>
            </w:r>
          </w:p>
          <w:p w14:paraId="5868572F" w14:textId="25D9A386" w:rsidR="006131E8" w:rsidRPr="00822D8B" w:rsidRDefault="006131E8" w:rsidP="00BA5FA5">
            <w:pPr>
              <w:pStyle w:val="Imprint"/>
              <w:rPr>
                <w:color w:val="auto"/>
              </w:rPr>
            </w:pPr>
            <w:r w:rsidRPr="00175A4D">
              <w:t xml:space="preserve">ISSN </w:t>
            </w:r>
            <w:r w:rsidR="00997C0F" w:rsidRPr="00175A4D">
              <w:t>978-1-76131-807-8</w:t>
            </w:r>
            <w:r w:rsidRPr="00175A4D">
              <w:rPr>
                <w:color w:val="004C97"/>
              </w:rPr>
              <w:t xml:space="preserve"> </w:t>
            </w:r>
            <w:r w:rsidR="00175A4D">
              <w:rPr>
                <w:color w:val="004C97"/>
              </w:rPr>
              <w:t>(</w:t>
            </w:r>
            <w:r w:rsidRPr="00175A4D">
              <w:t>online/PDF/Word)</w:t>
            </w:r>
          </w:p>
          <w:p w14:paraId="35E59D5C" w14:textId="0AE7D6DB" w:rsidR="006131E8" w:rsidRPr="0055119B" w:rsidRDefault="006131E8" w:rsidP="00BA5FA5">
            <w:pPr>
              <w:pStyle w:val="Imprint"/>
            </w:pPr>
            <w:r w:rsidRPr="0055119B">
              <w:t>Available at &lt;</w:t>
            </w:r>
            <w:r w:rsidR="007C3497" w:rsidRPr="007C3497">
              <w:t>https://www.health.vic.gov.au/publications/victorian-public-health-and-wellbeing-outcomes-framework-and-data-dictionary</w:t>
            </w:r>
            <w:r w:rsidRPr="0055119B">
              <w:t>&gt;</w:t>
            </w:r>
          </w:p>
          <w:bookmarkEnd w:id="0"/>
          <w:p w14:paraId="6EAEE25B" w14:textId="7B2A5038" w:rsidR="009F2182" w:rsidRDefault="009F2182" w:rsidP="00BA5FA5">
            <w:pPr>
              <w:pStyle w:val="Body"/>
            </w:pPr>
          </w:p>
        </w:tc>
      </w:tr>
      <w:tr w:rsidR="0008204A" w14:paraId="7CCD156A" w14:textId="77777777" w:rsidTr="0008204A">
        <w:trPr>
          <w:cantSplit/>
        </w:trPr>
        <w:tc>
          <w:tcPr>
            <w:tcW w:w="9288" w:type="dxa"/>
          </w:tcPr>
          <w:p w14:paraId="063A11E4" w14:textId="77777777" w:rsidR="0008204A" w:rsidRPr="0055119B" w:rsidRDefault="0008204A" w:rsidP="00BA5FA5">
            <w:pPr>
              <w:pStyle w:val="Body"/>
            </w:pPr>
          </w:p>
        </w:tc>
      </w:tr>
    </w:tbl>
    <w:p w14:paraId="62BB8F8C" w14:textId="11A84E2D" w:rsidR="0008204A" w:rsidRPr="0008204A" w:rsidRDefault="0008204A" w:rsidP="00BA5FA5">
      <w:pPr>
        <w:pStyle w:val="Body"/>
      </w:pPr>
    </w:p>
    <w:p w14:paraId="507EDA6E" w14:textId="77777777" w:rsidR="00AD784C" w:rsidRPr="00B57329" w:rsidRDefault="00AD784C" w:rsidP="00BA5FA5">
      <w:pPr>
        <w:pStyle w:val="TOCheadingreport"/>
      </w:pPr>
      <w:r w:rsidRPr="00B57329">
        <w:lastRenderedPageBreak/>
        <w:t>Contents</w:t>
      </w:r>
    </w:p>
    <w:p w14:paraId="7A0E492F" w14:textId="69CD0CF0" w:rsidR="00B428AC"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1959705" w:history="1">
        <w:r w:rsidR="00B428AC" w:rsidRPr="0096670E">
          <w:rPr>
            <w:rStyle w:val="Hyperlink"/>
          </w:rPr>
          <w:t>Acknowledgement</w:t>
        </w:r>
        <w:r w:rsidR="00B428AC">
          <w:rPr>
            <w:webHidden/>
          </w:rPr>
          <w:tab/>
        </w:r>
        <w:r w:rsidR="00B428AC">
          <w:rPr>
            <w:webHidden/>
          </w:rPr>
          <w:fldChar w:fldCharType="begin"/>
        </w:r>
        <w:r w:rsidR="00B428AC">
          <w:rPr>
            <w:webHidden/>
          </w:rPr>
          <w:instrText xml:space="preserve"> PAGEREF _Toc211959705 \h </w:instrText>
        </w:r>
        <w:r w:rsidR="00B428AC">
          <w:rPr>
            <w:webHidden/>
          </w:rPr>
        </w:r>
        <w:r w:rsidR="00B428AC">
          <w:rPr>
            <w:webHidden/>
          </w:rPr>
          <w:fldChar w:fldCharType="separate"/>
        </w:r>
        <w:r w:rsidR="00B428AC">
          <w:rPr>
            <w:webHidden/>
          </w:rPr>
          <w:t>6</w:t>
        </w:r>
        <w:r w:rsidR="00B428AC">
          <w:rPr>
            <w:webHidden/>
          </w:rPr>
          <w:fldChar w:fldCharType="end"/>
        </w:r>
      </w:hyperlink>
    </w:p>
    <w:p w14:paraId="111A973F" w14:textId="2783FF59" w:rsidR="00B428AC" w:rsidRDefault="00B428AC">
      <w:pPr>
        <w:pStyle w:val="TOC1"/>
        <w:rPr>
          <w:rFonts w:asciiTheme="minorHAnsi" w:eastAsiaTheme="minorEastAsia" w:hAnsiTheme="minorHAnsi" w:cstheme="minorBidi"/>
          <w:b w:val="0"/>
          <w:kern w:val="2"/>
          <w:sz w:val="24"/>
          <w:szCs w:val="24"/>
          <w:lang w:eastAsia="en-AU"/>
          <w14:ligatures w14:val="standardContextual"/>
        </w:rPr>
      </w:pPr>
      <w:hyperlink w:anchor="_Toc211959706" w:history="1">
        <w:r w:rsidRPr="0096670E">
          <w:rPr>
            <w:rStyle w:val="Hyperlink"/>
          </w:rPr>
          <w:t>Executive summary</w:t>
        </w:r>
        <w:r>
          <w:rPr>
            <w:webHidden/>
          </w:rPr>
          <w:tab/>
        </w:r>
        <w:r>
          <w:rPr>
            <w:webHidden/>
          </w:rPr>
          <w:fldChar w:fldCharType="begin"/>
        </w:r>
        <w:r>
          <w:rPr>
            <w:webHidden/>
          </w:rPr>
          <w:instrText xml:space="preserve"> PAGEREF _Toc211959706 \h </w:instrText>
        </w:r>
        <w:r>
          <w:rPr>
            <w:webHidden/>
          </w:rPr>
        </w:r>
        <w:r>
          <w:rPr>
            <w:webHidden/>
          </w:rPr>
          <w:fldChar w:fldCharType="separate"/>
        </w:r>
        <w:r>
          <w:rPr>
            <w:webHidden/>
          </w:rPr>
          <w:t>7</w:t>
        </w:r>
        <w:r>
          <w:rPr>
            <w:webHidden/>
          </w:rPr>
          <w:fldChar w:fldCharType="end"/>
        </w:r>
      </w:hyperlink>
    </w:p>
    <w:p w14:paraId="44291970" w14:textId="0F3BAC14" w:rsidR="00B428AC" w:rsidRDefault="00B428AC">
      <w:pPr>
        <w:pStyle w:val="TOC1"/>
        <w:rPr>
          <w:rFonts w:asciiTheme="minorHAnsi" w:eastAsiaTheme="minorEastAsia" w:hAnsiTheme="minorHAnsi" w:cstheme="minorBidi"/>
          <w:b w:val="0"/>
          <w:kern w:val="2"/>
          <w:sz w:val="24"/>
          <w:szCs w:val="24"/>
          <w:lang w:eastAsia="en-AU"/>
          <w14:ligatures w14:val="standardContextual"/>
        </w:rPr>
      </w:pPr>
      <w:hyperlink w:anchor="_Toc211959707" w:history="1">
        <w:r w:rsidRPr="0096670E">
          <w:rPr>
            <w:rStyle w:val="Hyperlink"/>
          </w:rPr>
          <w:t>Introduction</w:t>
        </w:r>
        <w:r>
          <w:rPr>
            <w:webHidden/>
          </w:rPr>
          <w:tab/>
        </w:r>
        <w:r>
          <w:rPr>
            <w:webHidden/>
          </w:rPr>
          <w:fldChar w:fldCharType="begin"/>
        </w:r>
        <w:r>
          <w:rPr>
            <w:webHidden/>
          </w:rPr>
          <w:instrText xml:space="preserve"> PAGEREF _Toc211959707 \h </w:instrText>
        </w:r>
        <w:r>
          <w:rPr>
            <w:webHidden/>
          </w:rPr>
        </w:r>
        <w:r>
          <w:rPr>
            <w:webHidden/>
          </w:rPr>
          <w:fldChar w:fldCharType="separate"/>
        </w:r>
        <w:r>
          <w:rPr>
            <w:webHidden/>
          </w:rPr>
          <w:t>8</w:t>
        </w:r>
        <w:r>
          <w:rPr>
            <w:webHidden/>
          </w:rPr>
          <w:fldChar w:fldCharType="end"/>
        </w:r>
      </w:hyperlink>
    </w:p>
    <w:p w14:paraId="77C1B773" w14:textId="1AC0507A" w:rsidR="00B428AC" w:rsidRDefault="00B428AC">
      <w:pPr>
        <w:pStyle w:val="TOC2"/>
        <w:rPr>
          <w:rFonts w:asciiTheme="minorHAnsi" w:eastAsiaTheme="minorEastAsia" w:hAnsiTheme="minorHAnsi" w:cstheme="minorBidi"/>
          <w:kern w:val="2"/>
          <w:sz w:val="24"/>
          <w:szCs w:val="24"/>
          <w:lang w:eastAsia="en-AU"/>
          <w14:ligatures w14:val="standardContextual"/>
        </w:rPr>
      </w:pPr>
      <w:hyperlink w:anchor="_Toc211959708" w:history="1">
        <w:r w:rsidRPr="0096670E">
          <w:rPr>
            <w:rStyle w:val="Hyperlink"/>
          </w:rPr>
          <w:t>Outcomes framework refresh</w:t>
        </w:r>
        <w:r>
          <w:rPr>
            <w:webHidden/>
          </w:rPr>
          <w:tab/>
        </w:r>
        <w:r>
          <w:rPr>
            <w:webHidden/>
          </w:rPr>
          <w:fldChar w:fldCharType="begin"/>
        </w:r>
        <w:r>
          <w:rPr>
            <w:webHidden/>
          </w:rPr>
          <w:instrText xml:space="preserve"> PAGEREF _Toc211959708 \h </w:instrText>
        </w:r>
        <w:r>
          <w:rPr>
            <w:webHidden/>
          </w:rPr>
        </w:r>
        <w:r>
          <w:rPr>
            <w:webHidden/>
          </w:rPr>
          <w:fldChar w:fldCharType="separate"/>
        </w:r>
        <w:r>
          <w:rPr>
            <w:webHidden/>
          </w:rPr>
          <w:t>8</w:t>
        </w:r>
        <w:r>
          <w:rPr>
            <w:webHidden/>
          </w:rPr>
          <w:fldChar w:fldCharType="end"/>
        </w:r>
      </w:hyperlink>
    </w:p>
    <w:p w14:paraId="5DA7A7D8" w14:textId="3B475C93" w:rsidR="00B428AC" w:rsidRDefault="00B428AC">
      <w:pPr>
        <w:pStyle w:val="TOC2"/>
        <w:rPr>
          <w:rFonts w:asciiTheme="minorHAnsi" w:eastAsiaTheme="minorEastAsia" w:hAnsiTheme="minorHAnsi" w:cstheme="minorBidi"/>
          <w:kern w:val="2"/>
          <w:sz w:val="24"/>
          <w:szCs w:val="24"/>
          <w:lang w:eastAsia="en-AU"/>
          <w14:ligatures w14:val="standardContextual"/>
        </w:rPr>
      </w:pPr>
      <w:hyperlink w:anchor="_Toc211959709" w:history="1">
        <w:r w:rsidRPr="0096670E">
          <w:rPr>
            <w:rStyle w:val="Hyperlink"/>
          </w:rPr>
          <w:t>Aboriginal data sovereignty in Victoria</w:t>
        </w:r>
        <w:r>
          <w:rPr>
            <w:webHidden/>
          </w:rPr>
          <w:tab/>
        </w:r>
        <w:r>
          <w:rPr>
            <w:webHidden/>
          </w:rPr>
          <w:fldChar w:fldCharType="begin"/>
        </w:r>
        <w:r>
          <w:rPr>
            <w:webHidden/>
          </w:rPr>
          <w:instrText xml:space="preserve"> PAGEREF _Toc211959709 \h </w:instrText>
        </w:r>
        <w:r>
          <w:rPr>
            <w:webHidden/>
          </w:rPr>
        </w:r>
        <w:r>
          <w:rPr>
            <w:webHidden/>
          </w:rPr>
          <w:fldChar w:fldCharType="separate"/>
        </w:r>
        <w:r>
          <w:rPr>
            <w:webHidden/>
          </w:rPr>
          <w:t>10</w:t>
        </w:r>
        <w:r>
          <w:rPr>
            <w:webHidden/>
          </w:rPr>
          <w:fldChar w:fldCharType="end"/>
        </w:r>
      </w:hyperlink>
    </w:p>
    <w:p w14:paraId="03DEE70F" w14:textId="0123E052" w:rsidR="00B428AC" w:rsidRDefault="00B428AC">
      <w:pPr>
        <w:pStyle w:val="TOC1"/>
        <w:rPr>
          <w:rFonts w:asciiTheme="minorHAnsi" w:eastAsiaTheme="minorEastAsia" w:hAnsiTheme="minorHAnsi" w:cstheme="minorBidi"/>
          <w:b w:val="0"/>
          <w:kern w:val="2"/>
          <w:sz w:val="24"/>
          <w:szCs w:val="24"/>
          <w:lang w:eastAsia="en-AU"/>
          <w14:ligatures w14:val="standardContextual"/>
        </w:rPr>
      </w:pPr>
      <w:hyperlink w:anchor="_Toc211959710" w:history="1">
        <w:r w:rsidRPr="0096670E">
          <w:rPr>
            <w:rStyle w:val="Hyperlink"/>
          </w:rPr>
          <w:t>Purpose</w:t>
        </w:r>
        <w:r>
          <w:rPr>
            <w:webHidden/>
          </w:rPr>
          <w:tab/>
        </w:r>
        <w:r>
          <w:rPr>
            <w:webHidden/>
          </w:rPr>
          <w:fldChar w:fldCharType="begin"/>
        </w:r>
        <w:r>
          <w:rPr>
            <w:webHidden/>
          </w:rPr>
          <w:instrText xml:space="preserve"> PAGEREF _Toc211959710 \h </w:instrText>
        </w:r>
        <w:r>
          <w:rPr>
            <w:webHidden/>
          </w:rPr>
        </w:r>
        <w:r>
          <w:rPr>
            <w:webHidden/>
          </w:rPr>
          <w:fldChar w:fldCharType="separate"/>
        </w:r>
        <w:r>
          <w:rPr>
            <w:webHidden/>
          </w:rPr>
          <w:t>11</w:t>
        </w:r>
        <w:r>
          <w:rPr>
            <w:webHidden/>
          </w:rPr>
          <w:fldChar w:fldCharType="end"/>
        </w:r>
      </w:hyperlink>
    </w:p>
    <w:p w14:paraId="1952D8E8" w14:textId="2B913C60" w:rsidR="00B428AC" w:rsidRDefault="00B428AC">
      <w:pPr>
        <w:pStyle w:val="TOC2"/>
        <w:rPr>
          <w:rFonts w:asciiTheme="minorHAnsi" w:eastAsiaTheme="minorEastAsia" w:hAnsiTheme="minorHAnsi" w:cstheme="minorBidi"/>
          <w:kern w:val="2"/>
          <w:sz w:val="24"/>
          <w:szCs w:val="24"/>
          <w:lang w:eastAsia="en-AU"/>
          <w14:ligatures w14:val="standardContextual"/>
        </w:rPr>
      </w:pPr>
      <w:hyperlink w:anchor="_Toc211959711" w:history="1">
        <w:r w:rsidRPr="0096670E">
          <w:rPr>
            <w:rStyle w:val="Hyperlink"/>
          </w:rPr>
          <w:t>Whole-of-government approach</w:t>
        </w:r>
        <w:r>
          <w:rPr>
            <w:webHidden/>
          </w:rPr>
          <w:tab/>
        </w:r>
        <w:r>
          <w:rPr>
            <w:webHidden/>
          </w:rPr>
          <w:fldChar w:fldCharType="begin"/>
        </w:r>
        <w:r>
          <w:rPr>
            <w:webHidden/>
          </w:rPr>
          <w:instrText xml:space="preserve"> PAGEREF _Toc211959711 \h </w:instrText>
        </w:r>
        <w:r>
          <w:rPr>
            <w:webHidden/>
          </w:rPr>
        </w:r>
        <w:r>
          <w:rPr>
            <w:webHidden/>
          </w:rPr>
          <w:fldChar w:fldCharType="separate"/>
        </w:r>
        <w:r>
          <w:rPr>
            <w:webHidden/>
          </w:rPr>
          <w:t>12</w:t>
        </w:r>
        <w:r>
          <w:rPr>
            <w:webHidden/>
          </w:rPr>
          <w:fldChar w:fldCharType="end"/>
        </w:r>
      </w:hyperlink>
    </w:p>
    <w:p w14:paraId="1A580770" w14:textId="304951AA" w:rsidR="00B428AC" w:rsidRDefault="00B428AC">
      <w:pPr>
        <w:pStyle w:val="TOC2"/>
        <w:rPr>
          <w:rFonts w:asciiTheme="minorHAnsi" w:eastAsiaTheme="minorEastAsia" w:hAnsiTheme="minorHAnsi" w:cstheme="minorBidi"/>
          <w:kern w:val="2"/>
          <w:sz w:val="24"/>
          <w:szCs w:val="24"/>
          <w:lang w:eastAsia="en-AU"/>
          <w14:ligatures w14:val="standardContextual"/>
        </w:rPr>
      </w:pPr>
      <w:hyperlink w:anchor="_Toc211959712" w:history="1">
        <w:r w:rsidRPr="0096670E">
          <w:rPr>
            <w:rStyle w:val="Hyperlink"/>
          </w:rPr>
          <w:t>Population health approach</w:t>
        </w:r>
        <w:r>
          <w:rPr>
            <w:webHidden/>
          </w:rPr>
          <w:tab/>
        </w:r>
        <w:r>
          <w:rPr>
            <w:webHidden/>
          </w:rPr>
          <w:fldChar w:fldCharType="begin"/>
        </w:r>
        <w:r>
          <w:rPr>
            <w:webHidden/>
          </w:rPr>
          <w:instrText xml:space="preserve"> PAGEREF _Toc211959712 \h </w:instrText>
        </w:r>
        <w:r>
          <w:rPr>
            <w:webHidden/>
          </w:rPr>
        </w:r>
        <w:r>
          <w:rPr>
            <w:webHidden/>
          </w:rPr>
          <w:fldChar w:fldCharType="separate"/>
        </w:r>
        <w:r>
          <w:rPr>
            <w:webHidden/>
          </w:rPr>
          <w:t>12</w:t>
        </w:r>
        <w:r>
          <w:rPr>
            <w:webHidden/>
          </w:rPr>
          <w:fldChar w:fldCharType="end"/>
        </w:r>
      </w:hyperlink>
    </w:p>
    <w:p w14:paraId="3E220E48" w14:textId="1F2A5D00" w:rsidR="00B428AC" w:rsidRDefault="00B428AC">
      <w:pPr>
        <w:pStyle w:val="TOC1"/>
        <w:rPr>
          <w:rFonts w:asciiTheme="minorHAnsi" w:eastAsiaTheme="minorEastAsia" w:hAnsiTheme="minorHAnsi" w:cstheme="minorBidi"/>
          <w:b w:val="0"/>
          <w:kern w:val="2"/>
          <w:sz w:val="24"/>
          <w:szCs w:val="24"/>
          <w:lang w:eastAsia="en-AU"/>
          <w14:ligatures w14:val="standardContextual"/>
        </w:rPr>
      </w:pPr>
      <w:hyperlink w:anchor="_Toc211959713" w:history="1">
        <w:r w:rsidRPr="0096670E">
          <w:rPr>
            <w:rStyle w:val="Hyperlink"/>
          </w:rPr>
          <w:t>Victorian Government targets</w:t>
        </w:r>
        <w:r>
          <w:rPr>
            <w:webHidden/>
          </w:rPr>
          <w:tab/>
        </w:r>
        <w:r>
          <w:rPr>
            <w:webHidden/>
          </w:rPr>
          <w:fldChar w:fldCharType="begin"/>
        </w:r>
        <w:r>
          <w:rPr>
            <w:webHidden/>
          </w:rPr>
          <w:instrText xml:space="preserve"> PAGEREF _Toc211959713 \h </w:instrText>
        </w:r>
        <w:r>
          <w:rPr>
            <w:webHidden/>
          </w:rPr>
        </w:r>
        <w:r>
          <w:rPr>
            <w:webHidden/>
          </w:rPr>
          <w:fldChar w:fldCharType="separate"/>
        </w:r>
        <w:r>
          <w:rPr>
            <w:webHidden/>
          </w:rPr>
          <w:t>14</w:t>
        </w:r>
        <w:r>
          <w:rPr>
            <w:webHidden/>
          </w:rPr>
          <w:fldChar w:fldCharType="end"/>
        </w:r>
      </w:hyperlink>
    </w:p>
    <w:p w14:paraId="3B8ABBA5" w14:textId="773977F3" w:rsidR="00B428AC" w:rsidRDefault="00B428AC">
      <w:pPr>
        <w:pStyle w:val="TOC1"/>
        <w:rPr>
          <w:rFonts w:asciiTheme="minorHAnsi" w:eastAsiaTheme="minorEastAsia" w:hAnsiTheme="minorHAnsi" w:cstheme="minorBidi"/>
          <w:b w:val="0"/>
          <w:kern w:val="2"/>
          <w:sz w:val="24"/>
          <w:szCs w:val="24"/>
          <w:lang w:eastAsia="en-AU"/>
          <w14:ligatures w14:val="standardContextual"/>
        </w:rPr>
      </w:pPr>
      <w:hyperlink w:anchor="_Toc211959714" w:history="1">
        <w:r w:rsidRPr="0096670E">
          <w:rPr>
            <w:rStyle w:val="Hyperlink"/>
          </w:rPr>
          <w:t>Structure of the outcomes framework</w:t>
        </w:r>
        <w:r>
          <w:rPr>
            <w:webHidden/>
          </w:rPr>
          <w:tab/>
        </w:r>
        <w:r>
          <w:rPr>
            <w:webHidden/>
          </w:rPr>
          <w:fldChar w:fldCharType="begin"/>
        </w:r>
        <w:r>
          <w:rPr>
            <w:webHidden/>
          </w:rPr>
          <w:instrText xml:space="preserve"> PAGEREF _Toc211959714 \h </w:instrText>
        </w:r>
        <w:r>
          <w:rPr>
            <w:webHidden/>
          </w:rPr>
        </w:r>
        <w:r>
          <w:rPr>
            <w:webHidden/>
          </w:rPr>
          <w:fldChar w:fldCharType="separate"/>
        </w:r>
        <w:r>
          <w:rPr>
            <w:webHidden/>
          </w:rPr>
          <w:t>19</w:t>
        </w:r>
        <w:r>
          <w:rPr>
            <w:webHidden/>
          </w:rPr>
          <w:fldChar w:fldCharType="end"/>
        </w:r>
      </w:hyperlink>
    </w:p>
    <w:p w14:paraId="544D7A76" w14:textId="2252823F" w:rsidR="00B428AC" w:rsidRDefault="00B428AC">
      <w:pPr>
        <w:pStyle w:val="TOC2"/>
        <w:rPr>
          <w:rFonts w:asciiTheme="minorHAnsi" w:eastAsiaTheme="minorEastAsia" w:hAnsiTheme="minorHAnsi" w:cstheme="minorBidi"/>
          <w:kern w:val="2"/>
          <w:sz w:val="24"/>
          <w:szCs w:val="24"/>
          <w:lang w:eastAsia="en-AU"/>
          <w14:ligatures w14:val="standardContextual"/>
        </w:rPr>
      </w:pPr>
      <w:hyperlink w:anchor="_Toc211959715" w:history="1">
        <w:r w:rsidRPr="0096670E">
          <w:rPr>
            <w:rStyle w:val="Hyperlink"/>
          </w:rPr>
          <w:t>The framework architecture</w:t>
        </w:r>
        <w:r>
          <w:rPr>
            <w:webHidden/>
          </w:rPr>
          <w:tab/>
        </w:r>
        <w:r>
          <w:rPr>
            <w:webHidden/>
          </w:rPr>
          <w:fldChar w:fldCharType="begin"/>
        </w:r>
        <w:r>
          <w:rPr>
            <w:webHidden/>
          </w:rPr>
          <w:instrText xml:space="preserve"> PAGEREF _Toc211959715 \h </w:instrText>
        </w:r>
        <w:r>
          <w:rPr>
            <w:webHidden/>
          </w:rPr>
        </w:r>
        <w:r>
          <w:rPr>
            <w:webHidden/>
          </w:rPr>
          <w:fldChar w:fldCharType="separate"/>
        </w:r>
        <w:r>
          <w:rPr>
            <w:webHidden/>
          </w:rPr>
          <w:t>19</w:t>
        </w:r>
        <w:r>
          <w:rPr>
            <w:webHidden/>
          </w:rPr>
          <w:fldChar w:fldCharType="end"/>
        </w:r>
      </w:hyperlink>
    </w:p>
    <w:p w14:paraId="3B5FF2AF" w14:textId="17091E68" w:rsidR="00B428AC" w:rsidRDefault="00B428AC">
      <w:pPr>
        <w:pStyle w:val="TOC2"/>
        <w:rPr>
          <w:rFonts w:asciiTheme="minorHAnsi" w:eastAsiaTheme="minorEastAsia" w:hAnsiTheme="minorHAnsi" w:cstheme="minorBidi"/>
          <w:kern w:val="2"/>
          <w:sz w:val="24"/>
          <w:szCs w:val="24"/>
          <w:lang w:eastAsia="en-AU"/>
          <w14:ligatures w14:val="standardContextual"/>
        </w:rPr>
      </w:pPr>
      <w:hyperlink w:anchor="_Toc211959716" w:history="1">
        <w:r w:rsidRPr="0096670E">
          <w:rPr>
            <w:rStyle w:val="Hyperlink"/>
          </w:rPr>
          <w:t>The framework vision and domains</w:t>
        </w:r>
        <w:r>
          <w:rPr>
            <w:webHidden/>
          </w:rPr>
          <w:tab/>
        </w:r>
        <w:r>
          <w:rPr>
            <w:webHidden/>
          </w:rPr>
          <w:fldChar w:fldCharType="begin"/>
        </w:r>
        <w:r>
          <w:rPr>
            <w:webHidden/>
          </w:rPr>
          <w:instrText xml:space="preserve"> PAGEREF _Toc211959716 \h </w:instrText>
        </w:r>
        <w:r>
          <w:rPr>
            <w:webHidden/>
          </w:rPr>
        </w:r>
        <w:r>
          <w:rPr>
            <w:webHidden/>
          </w:rPr>
          <w:fldChar w:fldCharType="separate"/>
        </w:r>
        <w:r>
          <w:rPr>
            <w:webHidden/>
          </w:rPr>
          <w:t>19</w:t>
        </w:r>
        <w:r>
          <w:rPr>
            <w:webHidden/>
          </w:rPr>
          <w:fldChar w:fldCharType="end"/>
        </w:r>
      </w:hyperlink>
    </w:p>
    <w:p w14:paraId="6AEDFA0A" w14:textId="5D33A99C" w:rsidR="00B428AC" w:rsidRDefault="00B428AC">
      <w:pPr>
        <w:pStyle w:val="TOC1"/>
        <w:rPr>
          <w:rFonts w:asciiTheme="minorHAnsi" w:eastAsiaTheme="minorEastAsia" w:hAnsiTheme="minorHAnsi" w:cstheme="minorBidi"/>
          <w:b w:val="0"/>
          <w:kern w:val="2"/>
          <w:sz w:val="24"/>
          <w:szCs w:val="24"/>
          <w:lang w:eastAsia="en-AU"/>
          <w14:ligatures w14:val="standardContextual"/>
        </w:rPr>
      </w:pPr>
      <w:hyperlink w:anchor="_Toc211959717" w:history="1">
        <w:r w:rsidRPr="0096670E">
          <w:rPr>
            <w:rStyle w:val="Hyperlink"/>
          </w:rPr>
          <w:t>Outcomes framework specifications</w:t>
        </w:r>
        <w:r>
          <w:rPr>
            <w:webHidden/>
          </w:rPr>
          <w:tab/>
        </w:r>
        <w:r>
          <w:rPr>
            <w:webHidden/>
          </w:rPr>
          <w:fldChar w:fldCharType="begin"/>
        </w:r>
        <w:r>
          <w:rPr>
            <w:webHidden/>
          </w:rPr>
          <w:instrText xml:space="preserve"> PAGEREF _Toc211959717 \h </w:instrText>
        </w:r>
        <w:r>
          <w:rPr>
            <w:webHidden/>
          </w:rPr>
        </w:r>
        <w:r>
          <w:rPr>
            <w:webHidden/>
          </w:rPr>
          <w:fldChar w:fldCharType="separate"/>
        </w:r>
        <w:r>
          <w:rPr>
            <w:webHidden/>
          </w:rPr>
          <w:t>25</w:t>
        </w:r>
        <w:r>
          <w:rPr>
            <w:webHidden/>
          </w:rPr>
          <w:fldChar w:fldCharType="end"/>
        </w:r>
      </w:hyperlink>
    </w:p>
    <w:p w14:paraId="469E4300" w14:textId="416AE88E" w:rsidR="00B428AC" w:rsidRDefault="00B428AC">
      <w:pPr>
        <w:pStyle w:val="TOC2"/>
        <w:rPr>
          <w:rFonts w:asciiTheme="minorHAnsi" w:eastAsiaTheme="minorEastAsia" w:hAnsiTheme="minorHAnsi" w:cstheme="minorBidi"/>
          <w:kern w:val="2"/>
          <w:sz w:val="24"/>
          <w:szCs w:val="24"/>
          <w:lang w:eastAsia="en-AU"/>
          <w14:ligatures w14:val="standardContextual"/>
        </w:rPr>
      </w:pPr>
      <w:hyperlink w:anchor="_Toc211959718" w:history="1">
        <w:r w:rsidRPr="0096670E">
          <w:rPr>
            <w:rStyle w:val="Hyperlink"/>
          </w:rPr>
          <w:t>Domain 1: Population health and wellbeing in Victoria across the lifespan</w:t>
        </w:r>
        <w:r>
          <w:rPr>
            <w:webHidden/>
          </w:rPr>
          <w:tab/>
        </w:r>
        <w:r>
          <w:rPr>
            <w:webHidden/>
          </w:rPr>
          <w:fldChar w:fldCharType="begin"/>
        </w:r>
        <w:r>
          <w:rPr>
            <w:webHidden/>
          </w:rPr>
          <w:instrText xml:space="preserve"> PAGEREF _Toc211959718 \h </w:instrText>
        </w:r>
        <w:r>
          <w:rPr>
            <w:webHidden/>
          </w:rPr>
        </w:r>
        <w:r>
          <w:rPr>
            <w:webHidden/>
          </w:rPr>
          <w:fldChar w:fldCharType="separate"/>
        </w:r>
        <w:r>
          <w:rPr>
            <w:webHidden/>
          </w:rPr>
          <w:t>25</w:t>
        </w:r>
        <w:r>
          <w:rPr>
            <w:webHidden/>
          </w:rPr>
          <w:fldChar w:fldCharType="end"/>
        </w:r>
      </w:hyperlink>
    </w:p>
    <w:p w14:paraId="407D2A19" w14:textId="6756E6A6" w:rsidR="00B428AC" w:rsidRDefault="00B428AC">
      <w:pPr>
        <w:pStyle w:val="TOC2"/>
        <w:rPr>
          <w:rFonts w:asciiTheme="minorHAnsi" w:eastAsiaTheme="minorEastAsia" w:hAnsiTheme="minorHAnsi" w:cstheme="minorBidi"/>
          <w:kern w:val="2"/>
          <w:sz w:val="24"/>
          <w:szCs w:val="24"/>
          <w:lang w:eastAsia="en-AU"/>
          <w14:ligatures w14:val="standardContextual"/>
        </w:rPr>
      </w:pPr>
      <w:hyperlink w:anchor="_Toc211959719" w:history="1">
        <w:r w:rsidRPr="0096670E">
          <w:rPr>
            <w:rStyle w:val="Hyperlink"/>
          </w:rPr>
          <w:t>Domain 2: Victorians experience social connectedness and community wellbeing</w:t>
        </w:r>
        <w:r>
          <w:rPr>
            <w:webHidden/>
          </w:rPr>
          <w:tab/>
        </w:r>
        <w:r>
          <w:rPr>
            <w:webHidden/>
          </w:rPr>
          <w:fldChar w:fldCharType="begin"/>
        </w:r>
        <w:r>
          <w:rPr>
            <w:webHidden/>
          </w:rPr>
          <w:instrText xml:space="preserve"> PAGEREF _Toc211959719 \h </w:instrText>
        </w:r>
        <w:r>
          <w:rPr>
            <w:webHidden/>
          </w:rPr>
        </w:r>
        <w:r>
          <w:rPr>
            <w:webHidden/>
          </w:rPr>
          <w:fldChar w:fldCharType="separate"/>
        </w:r>
        <w:r>
          <w:rPr>
            <w:webHidden/>
          </w:rPr>
          <w:t>34</w:t>
        </w:r>
        <w:r>
          <w:rPr>
            <w:webHidden/>
          </w:rPr>
          <w:fldChar w:fldCharType="end"/>
        </w:r>
      </w:hyperlink>
    </w:p>
    <w:p w14:paraId="1CC4C56B" w14:textId="7B9B895D" w:rsidR="00B428AC" w:rsidRDefault="00B428AC">
      <w:pPr>
        <w:pStyle w:val="TOC2"/>
        <w:rPr>
          <w:rFonts w:asciiTheme="minorHAnsi" w:eastAsiaTheme="minorEastAsia" w:hAnsiTheme="minorHAnsi" w:cstheme="minorBidi"/>
          <w:kern w:val="2"/>
          <w:sz w:val="24"/>
          <w:szCs w:val="24"/>
          <w:lang w:eastAsia="en-AU"/>
          <w14:ligatures w14:val="standardContextual"/>
        </w:rPr>
      </w:pPr>
      <w:hyperlink w:anchor="_Toc211959720" w:history="1">
        <w:r w:rsidRPr="0096670E">
          <w:rPr>
            <w:rStyle w:val="Hyperlink"/>
            <w:rFonts w:eastAsia="VIC"/>
          </w:rPr>
          <w:t>Domain 3: Victorians have access to learning and development opportunities</w:t>
        </w:r>
        <w:r>
          <w:rPr>
            <w:webHidden/>
          </w:rPr>
          <w:tab/>
        </w:r>
        <w:r>
          <w:rPr>
            <w:webHidden/>
          </w:rPr>
          <w:fldChar w:fldCharType="begin"/>
        </w:r>
        <w:r>
          <w:rPr>
            <w:webHidden/>
          </w:rPr>
          <w:instrText xml:space="preserve"> PAGEREF _Toc211959720 \h </w:instrText>
        </w:r>
        <w:r>
          <w:rPr>
            <w:webHidden/>
          </w:rPr>
        </w:r>
        <w:r>
          <w:rPr>
            <w:webHidden/>
          </w:rPr>
          <w:fldChar w:fldCharType="separate"/>
        </w:r>
        <w:r>
          <w:rPr>
            <w:webHidden/>
          </w:rPr>
          <w:t>36</w:t>
        </w:r>
        <w:r>
          <w:rPr>
            <w:webHidden/>
          </w:rPr>
          <w:fldChar w:fldCharType="end"/>
        </w:r>
      </w:hyperlink>
    </w:p>
    <w:p w14:paraId="43D66686" w14:textId="080A4A14" w:rsidR="00B428AC" w:rsidRDefault="00B428AC">
      <w:pPr>
        <w:pStyle w:val="TOC2"/>
        <w:rPr>
          <w:rFonts w:asciiTheme="minorHAnsi" w:eastAsiaTheme="minorEastAsia" w:hAnsiTheme="minorHAnsi" w:cstheme="minorBidi"/>
          <w:kern w:val="2"/>
          <w:sz w:val="24"/>
          <w:szCs w:val="24"/>
          <w:lang w:eastAsia="en-AU"/>
          <w14:ligatures w14:val="standardContextual"/>
        </w:rPr>
      </w:pPr>
      <w:hyperlink w:anchor="_Toc211959721" w:history="1">
        <w:r w:rsidRPr="0096670E">
          <w:rPr>
            <w:rStyle w:val="Hyperlink"/>
            <w:rFonts w:eastAsia="VIC"/>
          </w:rPr>
          <w:t>Domain 4: Strong economic participation and stability in Victoria</w:t>
        </w:r>
        <w:r>
          <w:rPr>
            <w:webHidden/>
          </w:rPr>
          <w:tab/>
        </w:r>
        <w:r>
          <w:rPr>
            <w:webHidden/>
          </w:rPr>
          <w:fldChar w:fldCharType="begin"/>
        </w:r>
        <w:r>
          <w:rPr>
            <w:webHidden/>
          </w:rPr>
          <w:instrText xml:space="preserve"> PAGEREF _Toc211959721 \h </w:instrText>
        </w:r>
        <w:r>
          <w:rPr>
            <w:webHidden/>
          </w:rPr>
        </w:r>
        <w:r>
          <w:rPr>
            <w:webHidden/>
          </w:rPr>
          <w:fldChar w:fldCharType="separate"/>
        </w:r>
        <w:r>
          <w:rPr>
            <w:webHidden/>
          </w:rPr>
          <w:t>37</w:t>
        </w:r>
        <w:r>
          <w:rPr>
            <w:webHidden/>
          </w:rPr>
          <w:fldChar w:fldCharType="end"/>
        </w:r>
      </w:hyperlink>
    </w:p>
    <w:p w14:paraId="1327F58E" w14:textId="655213EC" w:rsidR="00B428AC" w:rsidRDefault="00B428AC">
      <w:pPr>
        <w:pStyle w:val="TOC2"/>
        <w:rPr>
          <w:rFonts w:asciiTheme="minorHAnsi" w:eastAsiaTheme="minorEastAsia" w:hAnsiTheme="minorHAnsi" w:cstheme="minorBidi"/>
          <w:kern w:val="2"/>
          <w:sz w:val="24"/>
          <w:szCs w:val="24"/>
          <w:lang w:eastAsia="en-AU"/>
          <w14:ligatures w14:val="standardContextual"/>
        </w:rPr>
      </w:pPr>
      <w:hyperlink w:anchor="_Toc211959722" w:history="1">
        <w:r w:rsidRPr="0096670E">
          <w:rPr>
            <w:rStyle w:val="Hyperlink"/>
            <w:rFonts w:eastAsia="VIC"/>
          </w:rPr>
          <w:t>Domain 5: Victorians have health-sustaining natural and built environments</w:t>
        </w:r>
        <w:r>
          <w:rPr>
            <w:webHidden/>
          </w:rPr>
          <w:tab/>
        </w:r>
        <w:r>
          <w:rPr>
            <w:webHidden/>
          </w:rPr>
          <w:fldChar w:fldCharType="begin"/>
        </w:r>
        <w:r>
          <w:rPr>
            <w:webHidden/>
          </w:rPr>
          <w:instrText xml:space="preserve"> PAGEREF _Toc211959722 \h </w:instrText>
        </w:r>
        <w:r>
          <w:rPr>
            <w:webHidden/>
          </w:rPr>
        </w:r>
        <w:r>
          <w:rPr>
            <w:webHidden/>
          </w:rPr>
          <w:fldChar w:fldCharType="separate"/>
        </w:r>
        <w:r>
          <w:rPr>
            <w:webHidden/>
          </w:rPr>
          <w:t>39</w:t>
        </w:r>
        <w:r>
          <w:rPr>
            <w:webHidden/>
          </w:rPr>
          <w:fldChar w:fldCharType="end"/>
        </w:r>
      </w:hyperlink>
    </w:p>
    <w:p w14:paraId="7F03F803" w14:textId="7A9B6D48" w:rsidR="00B428AC" w:rsidRDefault="00B428AC">
      <w:pPr>
        <w:pStyle w:val="TOC1"/>
        <w:rPr>
          <w:rFonts w:asciiTheme="minorHAnsi" w:eastAsiaTheme="minorEastAsia" w:hAnsiTheme="minorHAnsi" w:cstheme="minorBidi"/>
          <w:b w:val="0"/>
          <w:kern w:val="2"/>
          <w:sz w:val="24"/>
          <w:szCs w:val="24"/>
          <w:lang w:eastAsia="en-AU"/>
          <w14:ligatures w14:val="standardContextual"/>
        </w:rPr>
      </w:pPr>
      <w:hyperlink w:anchor="_Toc211959723" w:history="1">
        <w:r w:rsidRPr="0096670E">
          <w:rPr>
            <w:rStyle w:val="Hyperlink"/>
          </w:rPr>
          <w:t>Implementing the framework</w:t>
        </w:r>
        <w:r>
          <w:rPr>
            <w:webHidden/>
          </w:rPr>
          <w:tab/>
        </w:r>
        <w:r>
          <w:rPr>
            <w:webHidden/>
          </w:rPr>
          <w:fldChar w:fldCharType="begin"/>
        </w:r>
        <w:r>
          <w:rPr>
            <w:webHidden/>
          </w:rPr>
          <w:instrText xml:space="preserve"> PAGEREF _Toc211959723 \h </w:instrText>
        </w:r>
        <w:r>
          <w:rPr>
            <w:webHidden/>
          </w:rPr>
        </w:r>
        <w:r>
          <w:rPr>
            <w:webHidden/>
          </w:rPr>
          <w:fldChar w:fldCharType="separate"/>
        </w:r>
        <w:r>
          <w:rPr>
            <w:webHidden/>
          </w:rPr>
          <w:t>41</w:t>
        </w:r>
        <w:r>
          <w:rPr>
            <w:webHidden/>
          </w:rPr>
          <w:fldChar w:fldCharType="end"/>
        </w:r>
      </w:hyperlink>
    </w:p>
    <w:p w14:paraId="564E8A78" w14:textId="4F1D4AB0" w:rsidR="00B428AC" w:rsidRDefault="00B428AC">
      <w:pPr>
        <w:pStyle w:val="TOC2"/>
        <w:rPr>
          <w:rFonts w:asciiTheme="minorHAnsi" w:eastAsiaTheme="minorEastAsia" w:hAnsiTheme="minorHAnsi" w:cstheme="minorBidi"/>
          <w:kern w:val="2"/>
          <w:sz w:val="24"/>
          <w:szCs w:val="24"/>
          <w:lang w:eastAsia="en-AU"/>
          <w14:ligatures w14:val="standardContextual"/>
        </w:rPr>
      </w:pPr>
      <w:hyperlink w:anchor="_Toc211959724" w:history="1">
        <w:r w:rsidRPr="0096670E">
          <w:rPr>
            <w:rStyle w:val="Hyperlink"/>
            <w:rFonts w:eastAsia="MS Gothic"/>
          </w:rPr>
          <w:t>Governance</w:t>
        </w:r>
        <w:r>
          <w:rPr>
            <w:webHidden/>
          </w:rPr>
          <w:tab/>
        </w:r>
        <w:r>
          <w:rPr>
            <w:webHidden/>
          </w:rPr>
          <w:fldChar w:fldCharType="begin"/>
        </w:r>
        <w:r>
          <w:rPr>
            <w:webHidden/>
          </w:rPr>
          <w:instrText xml:space="preserve"> PAGEREF _Toc211959724 \h </w:instrText>
        </w:r>
        <w:r>
          <w:rPr>
            <w:webHidden/>
          </w:rPr>
        </w:r>
        <w:r>
          <w:rPr>
            <w:webHidden/>
          </w:rPr>
          <w:fldChar w:fldCharType="separate"/>
        </w:r>
        <w:r>
          <w:rPr>
            <w:webHidden/>
          </w:rPr>
          <w:t>41</w:t>
        </w:r>
        <w:r>
          <w:rPr>
            <w:webHidden/>
          </w:rPr>
          <w:fldChar w:fldCharType="end"/>
        </w:r>
      </w:hyperlink>
    </w:p>
    <w:p w14:paraId="1E22EF58" w14:textId="3C84A9DB" w:rsidR="00B428AC" w:rsidRDefault="00B428AC">
      <w:pPr>
        <w:pStyle w:val="TOC2"/>
        <w:rPr>
          <w:rFonts w:asciiTheme="minorHAnsi" w:eastAsiaTheme="minorEastAsia" w:hAnsiTheme="minorHAnsi" w:cstheme="minorBidi"/>
          <w:kern w:val="2"/>
          <w:sz w:val="24"/>
          <w:szCs w:val="24"/>
          <w:lang w:eastAsia="en-AU"/>
          <w14:ligatures w14:val="standardContextual"/>
        </w:rPr>
      </w:pPr>
      <w:hyperlink w:anchor="_Toc211959725" w:history="1">
        <w:r w:rsidRPr="0096670E">
          <w:rPr>
            <w:rStyle w:val="Hyperlink"/>
            <w:rFonts w:eastAsia="MS Gothic"/>
          </w:rPr>
          <w:t>Defining success and measuring progress</w:t>
        </w:r>
        <w:r>
          <w:rPr>
            <w:webHidden/>
          </w:rPr>
          <w:tab/>
        </w:r>
        <w:r>
          <w:rPr>
            <w:webHidden/>
          </w:rPr>
          <w:fldChar w:fldCharType="begin"/>
        </w:r>
        <w:r>
          <w:rPr>
            <w:webHidden/>
          </w:rPr>
          <w:instrText xml:space="preserve"> PAGEREF _Toc211959725 \h </w:instrText>
        </w:r>
        <w:r>
          <w:rPr>
            <w:webHidden/>
          </w:rPr>
        </w:r>
        <w:r>
          <w:rPr>
            <w:webHidden/>
          </w:rPr>
          <w:fldChar w:fldCharType="separate"/>
        </w:r>
        <w:r>
          <w:rPr>
            <w:webHidden/>
          </w:rPr>
          <w:t>41</w:t>
        </w:r>
        <w:r>
          <w:rPr>
            <w:webHidden/>
          </w:rPr>
          <w:fldChar w:fldCharType="end"/>
        </w:r>
      </w:hyperlink>
    </w:p>
    <w:p w14:paraId="3D44BCF7" w14:textId="4E05CA99" w:rsidR="00B428AC" w:rsidRDefault="00B428AC">
      <w:pPr>
        <w:pStyle w:val="TOC2"/>
        <w:rPr>
          <w:rFonts w:asciiTheme="minorHAnsi" w:eastAsiaTheme="minorEastAsia" w:hAnsiTheme="minorHAnsi" w:cstheme="minorBidi"/>
          <w:kern w:val="2"/>
          <w:sz w:val="24"/>
          <w:szCs w:val="24"/>
          <w:lang w:eastAsia="en-AU"/>
          <w14:ligatures w14:val="standardContextual"/>
        </w:rPr>
      </w:pPr>
      <w:hyperlink w:anchor="_Toc211959726" w:history="1">
        <w:r w:rsidRPr="0096670E">
          <w:rPr>
            <w:rStyle w:val="Hyperlink"/>
          </w:rPr>
          <w:t>Reporting against the outcomes framework</w:t>
        </w:r>
        <w:r>
          <w:rPr>
            <w:webHidden/>
          </w:rPr>
          <w:tab/>
        </w:r>
        <w:r>
          <w:rPr>
            <w:webHidden/>
          </w:rPr>
          <w:fldChar w:fldCharType="begin"/>
        </w:r>
        <w:r>
          <w:rPr>
            <w:webHidden/>
          </w:rPr>
          <w:instrText xml:space="preserve"> PAGEREF _Toc211959726 \h </w:instrText>
        </w:r>
        <w:r>
          <w:rPr>
            <w:webHidden/>
          </w:rPr>
        </w:r>
        <w:r>
          <w:rPr>
            <w:webHidden/>
          </w:rPr>
          <w:fldChar w:fldCharType="separate"/>
        </w:r>
        <w:r>
          <w:rPr>
            <w:webHidden/>
          </w:rPr>
          <w:t>42</w:t>
        </w:r>
        <w:r>
          <w:rPr>
            <w:webHidden/>
          </w:rPr>
          <w:fldChar w:fldCharType="end"/>
        </w:r>
      </w:hyperlink>
    </w:p>
    <w:p w14:paraId="111219D6" w14:textId="04A48DCD" w:rsidR="00B428AC" w:rsidRDefault="00B428AC">
      <w:pPr>
        <w:pStyle w:val="TOC2"/>
        <w:rPr>
          <w:rFonts w:asciiTheme="minorHAnsi" w:eastAsiaTheme="minorEastAsia" w:hAnsiTheme="minorHAnsi" w:cstheme="minorBidi"/>
          <w:kern w:val="2"/>
          <w:sz w:val="24"/>
          <w:szCs w:val="24"/>
          <w:lang w:eastAsia="en-AU"/>
          <w14:ligatures w14:val="standardContextual"/>
        </w:rPr>
      </w:pPr>
      <w:hyperlink w:anchor="_Toc211959727" w:history="1">
        <w:r w:rsidRPr="0096670E">
          <w:rPr>
            <w:rStyle w:val="Hyperlink"/>
          </w:rPr>
          <w:t>Future directions and data gaps</w:t>
        </w:r>
        <w:r>
          <w:rPr>
            <w:webHidden/>
          </w:rPr>
          <w:tab/>
        </w:r>
        <w:r>
          <w:rPr>
            <w:webHidden/>
          </w:rPr>
          <w:fldChar w:fldCharType="begin"/>
        </w:r>
        <w:r>
          <w:rPr>
            <w:webHidden/>
          </w:rPr>
          <w:instrText xml:space="preserve"> PAGEREF _Toc211959727 \h </w:instrText>
        </w:r>
        <w:r>
          <w:rPr>
            <w:webHidden/>
          </w:rPr>
        </w:r>
        <w:r>
          <w:rPr>
            <w:webHidden/>
          </w:rPr>
          <w:fldChar w:fldCharType="separate"/>
        </w:r>
        <w:r>
          <w:rPr>
            <w:webHidden/>
          </w:rPr>
          <w:t>43</w:t>
        </w:r>
        <w:r>
          <w:rPr>
            <w:webHidden/>
          </w:rPr>
          <w:fldChar w:fldCharType="end"/>
        </w:r>
      </w:hyperlink>
    </w:p>
    <w:p w14:paraId="7E75F2DE" w14:textId="3D814E57" w:rsidR="00B428AC" w:rsidRDefault="00B428AC">
      <w:pPr>
        <w:pStyle w:val="TOC1"/>
        <w:rPr>
          <w:rFonts w:asciiTheme="minorHAnsi" w:eastAsiaTheme="minorEastAsia" w:hAnsiTheme="minorHAnsi" w:cstheme="minorBidi"/>
          <w:b w:val="0"/>
          <w:kern w:val="2"/>
          <w:sz w:val="24"/>
          <w:szCs w:val="24"/>
          <w:lang w:eastAsia="en-AU"/>
          <w14:ligatures w14:val="standardContextual"/>
        </w:rPr>
      </w:pPr>
      <w:hyperlink w:anchor="_Toc211959728" w:history="1">
        <w:r w:rsidRPr="0096670E">
          <w:rPr>
            <w:rStyle w:val="Hyperlink"/>
          </w:rPr>
          <w:t>Glossary</w:t>
        </w:r>
        <w:r>
          <w:rPr>
            <w:webHidden/>
          </w:rPr>
          <w:tab/>
        </w:r>
        <w:r>
          <w:rPr>
            <w:webHidden/>
          </w:rPr>
          <w:fldChar w:fldCharType="begin"/>
        </w:r>
        <w:r>
          <w:rPr>
            <w:webHidden/>
          </w:rPr>
          <w:instrText xml:space="preserve"> PAGEREF _Toc211959728 \h </w:instrText>
        </w:r>
        <w:r>
          <w:rPr>
            <w:webHidden/>
          </w:rPr>
        </w:r>
        <w:r>
          <w:rPr>
            <w:webHidden/>
          </w:rPr>
          <w:fldChar w:fldCharType="separate"/>
        </w:r>
        <w:r>
          <w:rPr>
            <w:webHidden/>
          </w:rPr>
          <w:t>45</w:t>
        </w:r>
        <w:r>
          <w:rPr>
            <w:webHidden/>
          </w:rPr>
          <w:fldChar w:fldCharType="end"/>
        </w:r>
      </w:hyperlink>
    </w:p>
    <w:p w14:paraId="0DF31D79" w14:textId="3FA9ACB2" w:rsidR="00B428AC" w:rsidRDefault="00B428AC">
      <w:pPr>
        <w:pStyle w:val="TOC1"/>
        <w:rPr>
          <w:rFonts w:asciiTheme="minorHAnsi" w:eastAsiaTheme="minorEastAsia" w:hAnsiTheme="minorHAnsi" w:cstheme="minorBidi"/>
          <w:b w:val="0"/>
          <w:kern w:val="2"/>
          <w:sz w:val="24"/>
          <w:szCs w:val="24"/>
          <w:lang w:eastAsia="en-AU"/>
          <w14:ligatures w14:val="standardContextual"/>
        </w:rPr>
      </w:pPr>
      <w:hyperlink w:anchor="_Toc211959729" w:history="1">
        <w:r w:rsidRPr="0096670E">
          <w:rPr>
            <w:rStyle w:val="Hyperlink"/>
          </w:rPr>
          <w:t>Appendix 1. Summary of datasets</w:t>
        </w:r>
        <w:r>
          <w:rPr>
            <w:webHidden/>
          </w:rPr>
          <w:tab/>
        </w:r>
        <w:r>
          <w:rPr>
            <w:webHidden/>
          </w:rPr>
          <w:fldChar w:fldCharType="begin"/>
        </w:r>
        <w:r>
          <w:rPr>
            <w:webHidden/>
          </w:rPr>
          <w:instrText xml:space="preserve"> PAGEREF _Toc211959729 \h </w:instrText>
        </w:r>
        <w:r>
          <w:rPr>
            <w:webHidden/>
          </w:rPr>
        </w:r>
        <w:r>
          <w:rPr>
            <w:webHidden/>
          </w:rPr>
          <w:fldChar w:fldCharType="separate"/>
        </w:r>
        <w:r>
          <w:rPr>
            <w:webHidden/>
          </w:rPr>
          <w:t>47</w:t>
        </w:r>
        <w:r>
          <w:rPr>
            <w:webHidden/>
          </w:rPr>
          <w:fldChar w:fldCharType="end"/>
        </w:r>
      </w:hyperlink>
    </w:p>
    <w:p w14:paraId="65C5AADD" w14:textId="42BE50F2" w:rsidR="00FB1F6E" w:rsidRDefault="00AD784C" w:rsidP="00CC2C58">
      <w:pPr>
        <w:pStyle w:val="Body"/>
      </w:pPr>
      <w:r>
        <w:fldChar w:fldCharType="end"/>
      </w:r>
      <w:r w:rsidR="00FB1F6E">
        <w:br w:type="page"/>
      </w:r>
    </w:p>
    <w:p w14:paraId="58EE6B52" w14:textId="77777777" w:rsidR="00076D4D" w:rsidRDefault="00076D4D" w:rsidP="00BA5FA5">
      <w:pPr>
        <w:pStyle w:val="Heading1"/>
      </w:pPr>
      <w:bookmarkStart w:id="1" w:name="_Toc195193910"/>
      <w:bookmarkStart w:id="2" w:name="_Toc195614867"/>
      <w:bookmarkStart w:id="3" w:name="_Toc195778174"/>
      <w:bookmarkStart w:id="4" w:name="_Toc211959705"/>
      <w:r>
        <w:lastRenderedPageBreak/>
        <w:t>Acknowledgement</w:t>
      </w:r>
      <w:bookmarkEnd w:id="1"/>
      <w:bookmarkEnd w:id="2"/>
      <w:bookmarkEnd w:id="3"/>
      <w:bookmarkEnd w:id="4"/>
    </w:p>
    <w:p w14:paraId="4D980CF8" w14:textId="77777777" w:rsidR="00076D4D" w:rsidRPr="00076D4D" w:rsidRDefault="00076D4D" w:rsidP="00BA5FA5">
      <w:pPr>
        <w:pStyle w:val="Body"/>
      </w:pPr>
      <w:r w:rsidRPr="00076D4D">
        <w:t>The department acknowledges the strength of Aboriginal and Torres Strait Islander peoples across the Country and the power and resilience that is shared as members of the world’s oldest living culture.</w:t>
      </w:r>
    </w:p>
    <w:p w14:paraId="5D365A50" w14:textId="77777777" w:rsidR="00076D4D" w:rsidRPr="00076D4D" w:rsidRDefault="00076D4D" w:rsidP="00BA5FA5">
      <w:pPr>
        <w:pStyle w:val="Body"/>
      </w:pPr>
      <w:r w:rsidRPr="00076D4D">
        <w:t>We acknowledge Aboriginal and Torres Strait Islander peoples as Australia’s First People and recognise the richness and diversity of all Traditional Owners across Victoria.</w:t>
      </w:r>
    </w:p>
    <w:p w14:paraId="09338F33" w14:textId="77777777" w:rsidR="00076D4D" w:rsidRPr="00076D4D" w:rsidRDefault="00076D4D" w:rsidP="00BA5FA5">
      <w:pPr>
        <w:pStyle w:val="Body"/>
      </w:pPr>
      <w:r w:rsidRPr="00076D4D">
        <w:t>We recognise that Aboriginal and Torres Strait Islander people in Victoria practice their lore, customs and languages, and nurture Country through their deep spiritual and cultural connections and practices to land and water.</w:t>
      </w:r>
    </w:p>
    <w:p w14:paraId="1A094CBB" w14:textId="70BBF21E" w:rsidR="00076D4D" w:rsidRPr="00076D4D" w:rsidRDefault="00076D4D" w:rsidP="00BA5FA5">
      <w:pPr>
        <w:pStyle w:val="Body"/>
      </w:pPr>
      <w:r w:rsidRPr="00076D4D">
        <w:t xml:space="preserve">We are committed to a future based on equality, truth and justice. We acknowledge that the entrenched systemic injustices experienced by Aboriginal and Torres Strait Islander people endure, including in our health system, and that Victoria’s ongoing </w:t>
      </w:r>
      <w:r w:rsidR="00F757F8">
        <w:t>T</w:t>
      </w:r>
      <w:r w:rsidRPr="00076D4D">
        <w:t>reaty and truth-telling processes provide an opportunity to right these wrongs</w:t>
      </w:r>
      <w:r w:rsidR="00564602">
        <w:t>,</w:t>
      </w:r>
      <w:r w:rsidRPr="00076D4D">
        <w:t xml:space="preserve"> and ensure </w:t>
      </w:r>
      <w:r w:rsidR="00564602">
        <w:t xml:space="preserve">that </w:t>
      </w:r>
      <w:r w:rsidRPr="00076D4D">
        <w:t>Aboriginal and Torres Strait Islander people have the freedom and power to make the decisions that affect their communities.</w:t>
      </w:r>
    </w:p>
    <w:p w14:paraId="71D1540F" w14:textId="4F973931" w:rsidR="00076D4D" w:rsidRPr="00076D4D" w:rsidRDefault="00076D4D" w:rsidP="00BA5FA5">
      <w:pPr>
        <w:pStyle w:val="Body"/>
      </w:pPr>
      <w:r w:rsidRPr="00076D4D">
        <w:t>We express our deepest gratitude and pay our deepest respect to ancestors, Elders and leaders – past and present. They have paved the way, with strength and fortitude, for our future generations.</w:t>
      </w:r>
    </w:p>
    <w:p w14:paraId="0692B126" w14:textId="59E99555" w:rsidR="00076D4D" w:rsidRPr="00076D4D" w:rsidRDefault="00076D4D" w:rsidP="00BA5FA5">
      <w:pPr>
        <w:pStyle w:val="Body"/>
      </w:pPr>
      <w:r w:rsidRPr="00076D4D">
        <w:t xml:space="preserve">Through this outcomes framework we are seeking to embed principles of self-determination and reconciliation, working towards self-determined outcomes and ensuring an equitable voice. As we work to achieve the vision of the Victorian </w:t>
      </w:r>
      <w:r w:rsidR="00B036D7">
        <w:t>p</w:t>
      </w:r>
      <w:r w:rsidRPr="00076D4D">
        <w:t xml:space="preserve">ublic </w:t>
      </w:r>
      <w:r w:rsidR="00B036D7">
        <w:t>h</w:t>
      </w:r>
      <w:r w:rsidRPr="00076D4D">
        <w:t xml:space="preserve">ealth and </w:t>
      </w:r>
      <w:r w:rsidR="00B036D7">
        <w:t>w</w:t>
      </w:r>
      <w:r w:rsidRPr="00076D4D">
        <w:t xml:space="preserve">ellbeing </w:t>
      </w:r>
      <w:r w:rsidR="00B036D7">
        <w:t>p</w:t>
      </w:r>
      <w:r w:rsidRPr="00076D4D">
        <w:t>lan 2023</w:t>
      </w:r>
      <w:r w:rsidR="001C74B9">
        <w:t>–</w:t>
      </w:r>
      <w:r w:rsidRPr="00076D4D">
        <w:t>2027, we recognise the contributions of Aboriginal and Torres Strait Islander Peoples to Victorian life and how it enriches us all.</w:t>
      </w:r>
    </w:p>
    <w:p w14:paraId="44A2AF49" w14:textId="6E76861E" w:rsidR="00076D4D" w:rsidRDefault="00953EA7" w:rsidP="00BA5FA5">
      <w:pPr>
        <w:spacing w:after="0" w:line="240" w:lineRule="auto"/>
        <w:rPr>
          <w:rFonts w:eastAsia="Times"/>
        </w:rPr>
      </w:pPr>
      <w:r w:rsidRPr="00953EA7">
        <w:t>From this point of the document onwards, ‘Aboriginal’ refers to both Aboriginal and Torres Strait Islander people. ‘Indigenous’ or ‘Koori/Koorie’ is retained when part of the title of a report, program or quotation.</w:t>
      </w:r>
      <w:r w:rsidR="00076D4D">
        <w:br w:type="page"/>
      </w:r>
    </w:p>
    <w:p w14:paraId="7C8B6445" w14:textId="3841CE81" w:rsidR="00A92052" w:rsidRPr="001A4769" w:rsidRDefault="00A92052" w:rsidP="00BA5FA5">
      <w:pPr>
        <w:pStyle w:val="Heading1"/>
      </w:pPr>
      <w:bookmarkStart w:id="5" w:name="_Toc151976134"/>
      <w:bookmarkStart w:id="6" w:name="_Toc195193912"/>
      <w:bookmarkStart w:id="7" w:name="_Toc195614868"/>
      <w:bookmarkStart w:id="8" w:name="_Toc195778175"/>
      <w:bookmarkStart w:id="9" w:name="_Toc211959706"/>
      <w:r>
        <w:lastRenderedPageBreak/>
        <w:t xml:space="preserve">Executive </w:t>
      </w:r>
      <w:r w:rsidR="00AA302F">
        <w:t>s</w:t>
      </w:r>
      <w:r>
        <w:t>ummary</w:t>
      </w:r>
      <w:bookmarkEnd w:id="5"/>
      <w:bookmarkEnd w:id="6"/>
      <w:bookmarkEnd w:id="7"/>
      <w:bookmarkEnd w:id="8"/>
      <w:bookmarkEnd w:id="9"/>
    </w:p>
    <w:p w14:paraId="0A9294B8" w14:textId="77777777" w:rsidR="00A92052" w:rsidRDefault="00A92052" w:rsidP="00BA5FA5">
      <w:pPr>
        <w:pStyle w:val="Body"/>
      </w:pPr>
      <w:r>
        <w:t>Population h</w:t>
      </w:r>
      <w:r w:rsidRPr="008D37CE">
        <w:t>ealth and wellbeing</w:t>
      </w:r>
      <w:r>
        <w:t xml:space="preserve"> outcomes are</w:t>
      </w:r>
      <w:r w:rsidRPr="008D37CE">
        <w:t xml:space="preserve"> </w:t>
      </w:r>
      <w:r>
        <w:t>determined</w:t>
      </w:r>
      <w:r w:rsidRPr="008D37CE">
        <w:t xml:space="preserve"> by many factors</w:t>
      </w:r>
      <w:r>
        <w:t xml:space="preserve"> and influences in people’s everyday lives. To prevent the onset of chronic disease and reduce the prevalence of poor health, action is required to address those factors and influences, which are largely outside the healthcare system. </w:t>
      </w:r>
    </w:p>
    <w:p w14:paraId="34600ED1" w14:textId="77777777" w:rsidR="00A92052" w:rsidRDefault="00A92052" w:rsidP="00BA5FA5">
      <w:pPr>
        <w:pStyle w:val="Body"/>
      </w:pPr>
      <w:r>
        <w:t>Achieving better health and wellbeing for all Victorians is a shared responsibility. It needs collective and sustained effort from many partners, including government, non-government organisations, businesses, health professionals, communities, families and individuals. However, it is not always easy to measure the combined impact of this collective effort.</w:t>
      </w:r>
    </w:p>
    <w:p w14:paraId="642535B3" w14:textId="399A8C2B" w:rsidR="00A92052" w:rsidRDefault="00A92052" w:rsidP="00BA5FA5">
      <w:pPr>
        <w:pStyle w:val="Body"/>
      </w:pPr>
      <w:r w:rsidRPr="00CB22CF">
        <w:rPr>
          <w:rFonts w:hint="eastAsia"/>
        </w:rPr>
        <w:t>The</w:t>
      </w:r>
      <w:r w:rsidR="003F62C8">
        <w:t xml:space="preserve"> </w:t>
      </w:r>
      <w:r w:rsidRPr="0063346A">
        <w:rPr>
          <w:rFonts w:hint="eastAsia"/>
        </w:rPr>
        <w:t>Victorian public health and wellbeing outcomes framework</w:t>
      </w:r>
      <w:r w:rsidR="00301C27">
        <w:t xml:space="preserve"> </w:t>
      </w:r>
      <w:r w:rsidRPr="00CB22CF">
        <w:rPr>
          <w:rFonts w:hint="eastAsia"/>
        </w:rPr>
        <w:t>(</w:t>
      </w:r>
      <w:r w:rsidRPr="00484FAA">
        <w:t xml:space="preserve">outcomes </w:t>
      </w:r>
      <w:r w:rsidRPr="00CB22CF">
        <w:rPr>
          <w:rFonts w:hint="eastAsia"/>
        </w:rPr>
        <w:t xml:space="preserve">framework) </w:t>
      </w:r>
      <w:r>
        <w:t>provides a consistent and transparent mechanism for monitoring population health and wellbeing outcomes over time.</w:t>
      </w:r>
    </w:p>
    <w:p w14:paraId="028A02B3" w14:textId="51DC8E3D" w:rsidR="00A92052" w:rsidRDefault="00A92052" w:rsidP="00BA5FA5">
      <w:pPr>
        <w:pStyle w:val="Body"/>
      </w:pPr>
      <w:r>
        <w:t>An outcomes-based approach allows us to set the vision for what we want to achieve and defines how to measure whether we are achieving this vision. Defining health and wellbeing outcomes also communicates our priorities to other sectors and sets a shared direction for change, supporting the Victorian</w:t>
      </w:r>
      <w:r w:rsidRPr="002E1919">
        <w:rPr>
          <w:color w:val="000000" w:themeColor="text1"/>
        </w:rPr>
        <w:t xml:space="preserve"> </w:t>
      </w:r>
      <w:r w:rsidR="00301C27">
        <w:rPr>
          <w:color w:val="000000" w:themeColor="text1"/>
        </w:rPr>
        <w:t>G</w:t>
      </w:r>
      <w:r w:rsidRPr="002E1919">
        <w:rPr>
          <w:color w:val="000000" w:themeColor="text1"/>
        </w:rPr>
        <w:t>overnment, funded agencies and o</w:t>
      </w:r>
      <w:r>
        <w:rPr>
          <w:color w:val="000000" w:themeColor="text1"/>
        </w:rPr>
        <w:t>ur</w:t>
      </w:r>
      <w:r w:rsidRPr="002E1919">
        <w:rPr>
          <w:color w:val="000000" w:themeColor="text1"/>
        </w:rPr>
        <w:t xml:space="preserve"> partners </w:t>
      </w:r>
      <w:r>
        <w:t xml:space="preserve">to align efforts to improve health and wellbeing. </w:t>
      </w:r>
    </w:p>
    <w:p w14:paraId="03964B5F" w14:textId="77777777" w:rsidR="00A92052" w:rsidRDefault="00A92052" w:rsidP="00BA5FA5">
      <w:pPr>
        <w:pStyle w:val="Body"/>
      </w:pPr>
      <w:r>
        <w:t xml:space="preserve">The </w:t>
      </w:r>
      <w:r w:rsidRPr="002652BB">
        <w:t>Victorian public health and wellbeing plan 2023–2027</w:t>
      </w:r>
      <w:r>
        <w:t xml:space="preserve"> proposes a bold vision for the state:</w:t>
      </w:r>
    </w:p>
    <w:p w14:paraId="37D633C9" w14:textId="583E0E10" w:rsidR="00A92052" w:rsidRPr="00A23231" w:rsidRDefault="00A92052" w:rsidP="002752F2">
      <w:pPr>
        <w:pStyle w:val="Quotetext"/>
      </w:pPr>
      <w:r>
        <w:t>A</w:t>
      </w:r>
      <w:r w:rsidRPr="00A23231">
        <w:t xml:space="preserve"> Victoria free of the avoidable burden of disease and injury</w:t>
      </w:r>
      <w:r w:rsidR="002A7BE5">
        <w:t>,</w:t>
      </w:r>
      <w:r w:rsidRPr="00A23231">
        <w:t xml:space="preserve"> so that all Victorians can enjoy the highest attainable standards of health, wellbeing and participation at every age.</w:t>
      </w:r>
    </w:p>
    <w:p w14:paraId="2F8D804D" w14:textId="778A3BCB" w:rsidR="00A92052" w:rsidRPr="00CB22CF" w:rsidRDefault="00A92052" w:rsidP="00BA5FA5">
      <w:pPr>
        <w:pStyle w:val="Body"/>
      </w:pPr>
      <w:r w:rsidRPr="00733CD8">
        <w:t>The outcomes framework translates this vision into a quantifiable set of outcomes, indicators, measures and targets</w:t>
      </w:r>
      <w:r>
        <w:t xml:space="preserve"> </w:t>
      </w:r>
      <w:r w:rsidR="002A7BE5">
        <w:t xml:space="preserve">that are </w:t>
      </w:r>
      <w:r>
        <w:t xml:space="preserve">designed to track progress against consecutive </w:t>
      </w:r>
      <w:r w:rsidRPr="008E64D8">
        <w:t>Victorian public health and wellbeing plans</w:t>
      </w:r>
      <w:r>
        <w:t>.</w:t>
      </w:r>
      <w:r w:rsidRPr="000C4861">
        <w:t xml:space="preserve"> </w:t>
      </w:r>
      <w:r>
        <w:t xml:space="preserve">Measures in the framework are drawn from multiple data sources and cover priority areas identified in the </w:t>
      </w:r>
      <w:r w:rsidRPr="002652BB">
        <w:t>Victorian public health and wellbeing plan 2023–27</w:t>
      </w:r>
      <w:r w:rsidR="0052771B">
        <w:rPr>
          <w:i/>
          <w:iCs/>
        </w:rPr>
        <w:t xml:space="preserve">, </w:t>
      </w:r>
      <w:r w:rsidR="0052771B" w:rsidRPr="002752F2">
        <w:t>as well as</w:t>
      </w:r>
      <w:r w:rsidRPr="0052771B">
        <w:t xml:space="preserve"> </w:t>
      </w:r>
      <w:r w:rsidRPr="000C4861">
        <w:t>indicators spanning the social, emotional and environmental determinants of health, health behaviours and long-term health outcomes.</w:t>
      </w:r>
      <w:r>
        <w:t xml:space="preserve"> </w:t>
      </w:r>
    </w:p>
    <w:p w14:paraId="627FCFCE" w14:textId="52F376E0" w:rsidR="00A92052" w:rsidRDefault="00A92052" w:rsidP="00BA5FA5">
      <w:pPr>
        <w:pStyle w:val="Body"/>
      </w:pPr>
      <w:r>
        <w:t>Importantly, t</w:t>
      </w:r>
      <w:r w:rsidRPr="00CB22CF">
        <w:rPr>
          <w:rFonts w:hint="eastAsia"/>
        </w:rPr>
        <w:t xml:space="preserve">he </w:t>
      </w:r>
      <w:r w:rsidRPr="00484FAA">
        <w:t xml:space="preserve">outcomes </w:t>
      </w:r>
      <w:r w:rsidRPr="00CB22CF">
        <w:rPr>
          <w:rFonts w:hint="eastAsia"/>
        </w:rPr>
        <w:t xml:space="preserve">framework </w:t>
      </w:r>
      <w:r w:rsidRPr="00484FAA">
        <w:t>demonstrates where there are avoidable gaps</w:t>
      </w:r>
      <w:r>
        <w:t xml:space="preserve"> and unexplained variance</w:t>
      </w:r>
      <w:r w:rsidRPr="00484FAA">
        <w:t xml:space="preserve"> in health status between different population</w:t>
      </w:r>
      <w:r>
        <w:t xml:space="preserve"> groups.</w:t>
      </w:r>
      <w:r w:rsidRPr="00484FAA">
        <w:t xml:space="preserve"> </w:t>
      </w:r>
      <w:r w:rsidRPr="00CB22CF">
        <w:rPr>
          <w:rFonts w:hint="eastAsia"/>
        </w:rPr>
        <w:t xml:space="preserve">This data </w:t>
      </w:r>
      <w:r>
        <w:t xml:space="preserve">provides insights into the extent of health </w:t>
      </w:r>
      <w:proofErr w:type="gramStart"/>
      <w:r>
        <w:t>inequity</w:t>
      </w:r>
      <w:r w:rsidR="004E502E">
        <w:t>,</w:t>
      </w:r>
      <w:r>
        <w:t xml:space="preserve"> and</w:t>
      </w:r>
      <w:proofErr w:type="gramEnd"/>
      <w:r>
        <w:t xml:space="preserve"> is</w:t>
      </w:r>
      <w:r w:rsidRPr="00CB22CF">
        <w:rPr>
          <w:rFonts w:hint="eastAsia"/>
        </w:rPr>
        <w:t xml:space="preserve"> used to direct actions towards those who need </w:t>
      </w:r>
      <w:r>
        <w:t xml:space="preserve">it the most to ensure good health and wellbeing is enjoyed equally across the Victorian population. </w:t>
      </w:r>
    </w:p>
    <w:p w14:paraId="5C53F6C3" w14:textId="1CC58D82" w:rsidR="00A92052" w:rsidRDefault="00A92052" w:rsidP="00BA5FA5">
      <w:pPr>
        <w:pStyle w:val="Body"/>
      </w:pPr>
      <w:r w:rsidRPr="0081683F">
        <w:t xml:space="preserve">The outcomes framework includes targets </w:t>
      </w:r>
      <w:r>
        <w:t xml:space="preserve">that </w:t>
      </w:r>
      <w:r w:rsidRPr="0081683F">
        <w:t xml:space="preserve">the Victorian Government </w:t>
      </w:r>
      <w:r>
        <w:t xml:space="preserve">supports or </w:t>
      </w:r>
      <w:r w:rsidRPr="0081683F">
        <w:t xml:space="preserve">has </w:t>
      </w:r>
      <w:r>
        <w:t xml:space="preserve">formally </w:t>
      </w:r>
      <w:r w:rsidRPr="0081683F">
        <w:t>committed to</w:t>
      </w:r>
      <w:r>
        <w:t>.</w:t>
      </w:r>
      <w:r w:rsidRPr="0081683F">
        <w:t xml:space="preserve"> These long-term targets include those set through state policies, as well as targets Victoria has committed to through national agreements</w:t>
      </w:r>
      <w:r w:rsidR="00034B2D">
        <w:t>,</w:t>
      </w:r>
      <w:r w:rsidRPr="0081683F">
        <w:t xml:space="preserve"> and, where relevant, those developed under international agreements (such as the World Health Organization</w:t>
      </w:r>
      <w:r w:rsidR="00EF2834">
        <w:t xml:space="preserve"> (WHO)</w:t>
      </w:r>
      <w:r w:rsidRPr="0081683F">
        <w:t xml:space="preserve"> non</w:t>
      </w:r>
      <w:r w:rsidR="00744B2C">
        <w:t>communicable</w:t>
      </w:r>
      <w:r w:rsidRPr="0081683F">
        <w:t xml:space="preserve"> disease targets).</w:t>
      </w:r>
    </w:p>
    <w:p w14:paraId="1C2E8A62" w14:textId="2D60EC5F" w:rsidR="00A92052" w:rsidRDefault="00A92052" w:rsidP="00BA5FA5">
      <w:pPr>
        <w:pStyle w:val="Body"/>
      </w:pPr>
      <w:r>
        <w:t xml:space="preserve">The outcomes framework is for agencies and organisations with responsibilities aligned to the </w:t>
      </w:r>
      <w:r w:rsidRPr="00197393">
        <w:t xml:space="preserve">Victorian </w:t>
      </w:r>
      <w:r w:rsidR="002145A7" w:rsidRPr="00197393">
        <w:t>p</w:t>
      </w:r>
      <w:r w:rsidRPr="00197393">
        <w:t xml:space="preserve">ublic </w:t>
      </w:r>
      <w:r w:rsidR="002145A7" w:rsidRPr="00197393">
        <w:t>h</w:t>
      </w:r>
      <w:r w:rsidRPr="00197393">
        <w:t xml:space="preserve">ealth and </w:t>
      </w:r>
      <w:r w:rsidR="002145A7" w:rsidRPr="00197393">
        <w:t>w</w:t>
      </w:r>
      <w:r w:rsidRPr="00197393">
        <w:t xml:space="preserve">ellbeing </w:t>
      </w:r>
      <w:r w:rsidR="002145A7" w:rsidRPr="00197393">
        <w:t>p</w:t>
      </w:r>
      <w:r w:rsidRPr="00197393">
        <w:t>lan</w:t>
      </w:r>
      <w:r>
        <w:t>. Key users will be state government departments, funded agencies and local councils.</w:t>
      </w:r>
    </w:p>
    <w:p w14:paraId="407F8886" w14:textId="77777777" w:rsidR="00A92052" w:rsidRDefault="00A92052" w:rsidP="000F628D">
      <w:pPr>
        <w:pStyle w:val="Body"/>
      </w:pPr>
      <w:bookmarkStart w:id="10" w:name="_Toc195193911"/>
      <w:bookmarkStart w:id="11" w:name="_Toc195193914"/>
      <w:r>
        <w:br w:type="page"/>
      </w:r>
    </w:p>
    <w:p w14:paraId="77A55BFC" w14:textId="77777777" w:rsidR="00A92052" w:rsidRDefault="00A92052" w:rsidP="00BA5FA5">
      <w:pPr>
        <w:pStyle w:val="Heading1"/>
      </w:pPr>
      <w:bookmarkStart w:id="12" w:name="_Toc195614869"/>
      <w:bookmarkStart w:id="13" w:name="_Toc195778176"/>
      <w:bookmarkStart w:id="14" w:name="_Toc211959707"/>
      <w:r>
        <w:lastRenderedPageBreak/>
        <w:t>Introduction</w:t>
      </w:r>
      <w:bookmarkEnd w:id="10"/>
      <w:bookmarkEnd w:id="12"/>
      <w:bookmarkEnd w:id="13"/>
      <w:bookmarkEnd w:id="14"/>
      <w:r>
        <w:t xml:space="preserve"> </w:t>
      </w:r>
    </w:p>
    <w:p w14:paraId="1DC6D48D" w14:textId="77777777" w:rsidR="00A92052" w:rsidRPr="00160172" w:rsidRDefault="00A92052" w:rsidP="00BA5FA5">
      <w:pPr>
        <w:pStyle w:val="Heading2"/>
        <w:rPr>
          <w:b w:val="0"/>
          <w:bCs/>
        </w:rPr>
      </w:pPr>
      <w:bookmarkStart w:id="15" w:name="_Toc211959708"/>
      <w:bookmarkStart w:id="16" w:name="_Toc195614870"/>
      <w:bookmarkStart w:id="17" w:name="_Toc195778177"/>
      <w:r w:rsidRPr="00160172">
        <w:rPr>
          <w:b w:val="0"/>
          <w:bCs/>
        </w:rPr>
        <w:t>Outcomes framework refresh</w:t>
      </w:r>
      <w:bookmarkEnd w:id="11"/>
      <w:bookmarkEnd w:id="15"/>
      <w:r w:rsidRPr="00160172">
        <w:rPr>
          <w:b w:val="0"/>
          <w:bCs/>
        </w:rPr>
        <w:t xml:space="preserve"> </w:t>
      </w:r>
      <w:bookmarkEnd w:id="16"/>
      <w:bookmarkEnd w:id="17"/>
    </w:p>
    <w:p w14:paraId="6FD4DE64" w14:textId="4240008B" w:rsidR="00A92052" w:rsidRDefault="00A92052" w:rsidP="00BA5FA5">
      <w:pPr>
        <w:pStyle w:val="Body"/>
        <w:rPr>
          <w:i/>
          <w:iCs/>
          <w:szCs w:val="21"/>
        </w:rPr>
      </w:pPr>
      <w:r>
        <w:rPr>
          <w:szCs w:val="21"/>
        </w:rPr>
        <w:t xml:space="preserve">The Victorian Department of Health </w:t>
      </w:r>
      <w:r w:rsidR="00D55953">
        <w:rPr>
          <w:szCs w:val="21"/>
        </w:rPr>
        <w:t xml:space="preserve">(the department) </w:t>
      </w:r>
      <w:r>
        <w:rPr>
          <w:szCs w:val="21"/>
        </w:rPr>
        <w:t xml:space="preserve">led a refresh of the </w:t>
      </w:r>
      <w:proofErr w:type="gramStart"/>
      <w:r>
        <w:rPr>
          <w:szCs w:val="21"/>
        </w:rPr>
        <w:t>outcomes</w:t>
      </w:r>
      <w:proofErr w:type="gramEnd"/>
      <w:r>
        <w:rPr>
          <w:szCs w:val="21"/>
        </w:rPr>
        <w:t xml:space="preserve"> framework in 2024</w:t>
      </w:r>
      <w:r w:rsidR="00D55953">
        <w:rPr>
          <w:szCs w:val="21"/>
        </w:rPr>
        <w:t>–</w:t>
      </w:r>
      <w:r>
        <w:rPr>
          <w:szCs w:val="21"/>
        </w:rPr>
        <w:t>25</w:t>
      </w:r>
      <w:r w:rsidR="004E1A1F">
        <w:rPr>
          <w:szCs w:val="21"/>
        </w:rPr>
        <w:t>,</w:t>
      </w:r>
      <w:r>
        <w:rPr>
          <w:szCs w:val="21"/>
        </w:rPr>
        <w:t xml:space="preserve"> following the release of the </w:t>
      </w:r>
      <w:r w:rsidRPr="00186CEA">
        <w:rPr>
          <w:szCs w:val="21"/>
        </w:rPr>
        <w:t>Victorian public health and wellbeing plan 2023–2027</w:t>
      </w:r>
      <w:r>
        <w:rPr>
          <w:i/>
          <w:iCs/>
          <w:szCs w:val="21"/>
        </w:rPr>
        <w:t xml:space="preserve">. </w:t>
      </w:r>
    </w:p>
    <w:p w14:paraId="546492DF" w14:textId="4EC62348" w:rsidR="00A92052" w:rsidRDefault="00A92052" w:rsidP="00BA5FA5">
      <w:pPr>
        <w:pStyle w:val="Body"/>
        <w:rPr>
          <w:szCs w:val="21"/>
        </w:rPr>
      </w:pPr>
      <w:r>
        <w:rPr>
          <w:szCs w:val="21"/>
        </w:rPr>
        <w:t xml:space="preserve">The refresh aimed to </w:t>
      </w:r>
      <w:r w:rsidRPr="00FB67F8">
        <w:rPr>
          <w:szCs w:val="21"/>
        </w:rPr>
        <w:t>enhance t</w:t>
      </w:r>
      <w:r>
        <w:rPr>
          <w:szCs w:val="21"/>
        </w:rPr>
        <w:t>he outcomes framework</w:t>
      </w:r>
      <w:r w:rsidRPr="00FB67F8">
        <w:rPr>
          <w:szCs w:val="21"/>
        </w:rPr>
        <w:t xml:space="preserve"> in line with </w:t>
      </w:r>
      <w:r w:rsidRPr="00A93DD9">
        <w:rPr>
          <w:szCs w:val="21"/>
        </w:rPr>
        <w:t xml:space="preserve">the </w:t>
      </w:r>
      <w:r>
        <w:rPr>
          <w:szCs w:val="21"/>
        </w:rPr>
        <w:t xml:space="preserve">new </w:t>
      </w:r>
      <w:r w:rsidRPr="00A93DD9">
        <w:rPr>
          <w:szCs w:val="21"/>
        </w:rPr>
        <w:t>plan, the broader policy environment</w:t>
      </w:r>
      <w:r w:rsidR="00585733">
        <w:rPr>
          <w:szCs w:val="21"/>
        </w:rPr>
        <w:t>,</w:t>
      </w:r>
      <w:r w:rsidRPr="00A93DD9">
        <w:rPr>
          <w:szCs w:val="21"/>
        </w:rPr>
        <w:t xml:space="preserve"> and changes in data measurement and accessibility since 2016</w:t>
      </w:r>
      <w:r w:rsidRPr="00FB67F8">
        <w:rPr>
          <w:szCs w:val="21"/>
        </w:rPr>
        <w:t>.</w:t>
      </w:r>
      <w:r>
        <w:rPr>
          <w:i/>
          <w:iCs/>
          <w:szCs w:val="21"/>
        </w:rPr>
        <w:t xml:space="preserve"> </w:t>
      </w:r>
      <w:r>
        <w:rPr>
          <w:szCs w:val="21"/>
        </w:rPr>
        <w:t xml:space="preserve">Given that it takes a long time to see real change in the health and wellbeing of a population, the refresh process has sought to balance consistency in measuring existing health and wellbeing outcomes </w:t>
      </w:r>
      <w:r w:rsidR="00D43804">
        <w:rPr>
          <w:szCs w:val="21"/>
        </w:rPr>
        <w:t xml:space="preserve">with </w:t>
      </w:r>
      <w:r>
        <w:rPr>
          <w:szCs w:val="21"/>
        </w:rPr>
        <w:t>support</w:t>
      </w:r>
      <w:r w:rsidR="00D43804">
        <w:rPr>
          <w:szCs w:val="21"/>
        </w:rPr>
        <w:t xml:space="preserve"> for</w:t>
      </w:r>
      <w:r>
        <w:rPr>
          <w:szCs w:val="21"/>
        </w:rPr>
        <w:t xml:space="preserve"> </w:t>
      </w:r>
      <w:r w:rsidR="00883F02">
        <w:rPr>
          <w:szCs w:val="21"/>
        </w:rPr>
        <w:t xml:space="preserve">the department </w:t>
      </w:r>
      <w:r>
        <w:rPr>
          <w:szCs w:val="21"/>
        </w:rPr>
        <w:t>to monitor contemporary and emerging health and wellbeing issues.</w:t>
      </w:r>
    </w:p>
    <w:p w14:paraId="31634842" w14:textId="77777777" w:rsidR="00A92052" w:rsidRDefault="00A92052" w:rsidP="00BA5FA5">
      <w:pPr>
        <w:pStyle w:val="Heading3"/>
      </w:pPr>
      <w:bookmarkStart w:id="18" w:name="_Toc195778178"/>
      <w:r>
        <w:t>Approach</w:t>
      </w:r>
      <w:bookmarkEnd w:id="18"/>
    </w:p>
    <w:p w14:paraId="48D7DE3F" w14:textId="20A3707A" w:rsidR="00A92052" w:rsidRDefault="00A92052" w:rsidP="00BA5FA5">
      <w:pPr>
        <w:pStyle w:val="Body"/>
        <w:rPr>
          <w:szCs w:val="21"/>
        </w:rPr>
      </w:pPr>
      <w:r w:rsidRPr="00AD671D">
        <w:rPr>
          <w:szCs w:val="21"/>
        </w:rPr>
        <w:t xml:space="preserve">The </w:t>
      </w:r>
      <w:r>
        <w:rPr>
          <w:szCs w:val="21"/>
        </w:rPr>
        <w:t xml:space="preserve">original outcomes </w:t>
      </w:r>
      <w:r w:rsidRPr="00AD671D">
        <w:rPr>
          <w:szCs w:val="21"/>
        </w:rPr>
        <w:t xml:space="preserve">framework was developed </w:t>
      </w:r>
      <w:r>
        <w:rPr>
          <w:szCs w:val="21"/>
        </w:rPr>
        <w:t>in 2016</w:t>
      </w:r>
      <w:r w:rsidRPr="00AD671D">
        <w:rPr>
          <w:szCs w:val="21"/>
        </w:rPr>
        <w:t xml:space="preserve"> </w:t>
      </w:r>
      <w:r>
        <w:rPr>
          <w:szCs w:val="21"/>
        </w:rPr>
        <w:t xml:space="preserve">through research and </w:t>
      </w:r>
      <w:r w:rsidRPr="00AD671D">
        <w:rPr>
          <w:szCs w:val="21"/>
        </w:rPr>
        <w:t>co</w:t>
      </w:r>
      <w:r>
        <w:rPr>
          <w:szCs w:val="21"/>
        </w:rPr>
        <w:t xml:space="preserve">nsultation with other </w:t>
      </w:r>
      <w:r w:rsidRPr="00AD671D">
        <w:rPr>
          <w:szCs w:val="21"/>
        </w:rPr>
        <w:t>government</w:t>
      </w:r>
      <w:r>
        <w:rPr>
          <w:szCs w:val="21"/>
        </w:rPr>
        <w:t xml:space="preserve"> departments and </w:t>
      </w:r>
      <w:r w:rsidRPr="00AD671D">
        <w:rPr>
          <w:szCs w:val="21"/>
        </w:rPr>
        <w:t>sector partners</w:t>
      </w:r>
      <w:r>
        <w:rPr>
          <w:szCs w:val="21"/>
        </w:rPr>
        <w:t>, using rigorous criteria for all indicators and measures. Many of the targets, indicators and measures in the original outcomes framework still reflect current public health and wellbeing priorities and factors that influence the health and wellbeing of Victorians.</w:t>
      </w:r>
    </w:p>
    <w:p w14:paraId="1C7601A9" w14:textId="77777777" w:rsidR="00A92052" w:rsidRDefault="00A92052" w:rsidP="00BA5FA5">
      <w:pPr>
        <w:pStyle w:val="Body"/>
        <w:rPr>
          <w:szCs w:val="21"/>
        </w:rPr>
      </w:pPr>
      <w:r>
        <w:rPr>
          <w:szCs w:val="21"/>
        </w:rPr>
        <w:t xml:space="preserve">To refresh the outcomes framework, the existing and new measures were assessed against the criteria in </w:t>
      </w:r>
      <w:r w:rsidRPr="00694284">
        <w:rPr>
          <w:szCs w:val="21"/>
        </w:rPr>
        <w:t>Table 1</w:t>
      </w:r>
      <w:r>
        <w:rPr>
          <w:szCs w:val="21"/>
        </w:rPr>
        <w:t xml:space="preserve">, which expand on the original criteria. Measures that no longer had a viable data source, or were no longer valid, were removed. A review of current outcomes </w:t>
      </w:r>
      <w:r w:rsidRPr="00EB2A06">
        <w:rPr>
          <w:szCs w:val="21"/>
        </w:rPr>
        <w:t>frameworks at state</w:t>
      </w:r>
      <w:r>
        <w:rPr>
          <w:szCs w:val="21"/>
        </w:rPr>
        <w:t xml:space="preserve">, </w:t>
      </w:r>
      <w:r w:rsidRPr="00EB2A06">
        <w:rPr>
          <w:szCs w:val="21"/>
        </w:rPr>
        <w:t xml:space="preserve">national </w:t>
      </w:r>
      <w:r>
        <w:rPr>
          <w:szCs w:val="21"/>
        </w:rPr>
        <w:t xml:space="preserve">and international </w:t>
      </w:r>
      <w:r w:rsidRPr="00EB2A06">
        <w:rPr>
          <w:szCs w:val="21"/>
        </w:rPr>
        <w:t xml:space="preserve">levels </w:t>
      </w:r>
      <w:r>
        <w:rPr>
          <w:szCs w:val="21"/>
        </w:rPr>
        <w:t>highlighted gaps in the outcomes framework and identified measures to fill these gaps. M</w:t>
      </w:r>
      <w:r w:rsidRPr="00EB307C">
        <w:rPr>
          <w:szCs w:val="21"/>
        </w:rPr>
        <w:t xml:space="preserve">easures that highlight inequality in health and wellbeing </w:t>
      </w:r>
      <w:r>
        <w:rPr>
          <w:szCs w:val="21"/>
        </w:rPr>
        <w:t xml:space="preserve">outcomes </w:t>
      </w:r>
      <w:r w:rsidRPr="00EB307C">
        <w:rPr>
          <w:szCs w:val="21"/>
        </w:rPr>
        <w:t xml:space="preserve">were considered through assessing the ability of data to be disaggregated. </w:t>
      </w:r>
    </w:p>
    <w:p w14:paraId="762A8403" w14:textId="49F55BA7" w:rsidR="00A92052" w:rsidRDefault="00A92052" w:rsidP="00BA5FA5">
      <w:pPr>
        <w:pStyle w:val="Body"/>
        <w:rPr>
          <w:szCs w:val="21"/>
        </w:rPr>
      </w:pPr>
      <w:r>
        <w:rPr>
          <w:szCs w:val="21"/>
        </w:rPr>
        <w:t>Consultation and feedback from key stakeholders</w:t>
      </w:r>
      <w:r w:rsidRPr="00801744">
        <w:rPr>
          <w:szCs w:val="21"/>
        </w:rPr>
        <w:t xml:space="preserve"> </w:t>
      </w:r>
      <w:r w:rsidRPr="00EB2A06">
        <w:rPr>
          <w:szCs w:val="21"/>
        </w:rPr>
        <w:t xml:space="preserve">across government </w:t>
      </w:r>
      <w:r>
        <w:rPr>
          <w:szCs w:val="21"/>
        </w:rPr>
        <w:t>and non-government organisations identified emerging health and wellbeing problems that should be monitored for the whole population for the long</w:t>
      </w:r>
      <w:r w:rsidR="00597BC5">
        <w:rPr>
          <w:szCs w:val="21"/>
        </w:rPr>
        <w:t xml:space="preserve"> </w:t>
      </w:r>
      <w:r>
        <w:rPr>
          <w:szCs w:val="21"/>
        </w:rPr>
        <w:t xml:space="preserve">term, with additional consideration of issues disproportionately impacting vulnerable populations. </w:t>
      </w:r>
    </w:p>
    <w:p w14:paraId="58175C34" w14:textId="19F91594" w:rsidR="00A92052" w:rsidRPr="008B4E6B" w:rsidRDefault="00A92052" w:rsidP="00BA5FA5">
      <w:pPr>
        <w:pStyle w:val="Body"/>
      </w:pPr>
      <w:r w:rsidRPr="00D76DE6">
        <w:t xml:space="preserve">By aligning with </w:t>
      </w:r>
      <w:r w:rsidRPr="008B4E6B">
        <w:t xml:space="preserve">existing state, national or </w:t>
      </w:r>
      <w:r>
        <w:t>international</w:t>
      </w:r>
      <w:r w:rsidRPr="008B4E6B">
        <w:t xml:space="preserve"> targets</w:t>
      </w:r>
      <w:r w:rsidRPr="00D76DE6">
        <w:t>, the outcomes framework reaffirms Victoria’s commitment to a shared vision for improving health and wellbeing and supports policy, programs and investment over the long</w:t>
      </w:r>
      <w:r w:rsidR="00673437">
        <w:t xml:space="preserve"> </w:t>
      </w:r>
      <w:r w:rsidRPr="00D76DE6">
        <w:t>term</w:t>
      </w:r>
      <w:r w:rsidRPr="008B4E6B">
        <w:t>.</w:t>
      </w:r>
    </w:p>
    <w:p w14:paraId="598EBE10" w14:textId="2B77196D" w:rsidR="00391CC9" w:rsidRDefault="00391CC9" w:rsidP="008B06E0">
      <w:pPr>
        <w:pStyle w:val="Tablecaption"/>
      </w:pPr>
      <w:r>
        <w:t xml:space="preserve">Table </w:t>
      </w:r>
      <w:r>
        <w:fldChar w:fldCharType="begin"/>
      </w:r>
      <w:r>
        <w:instrText xml:space="preserve"> SEQ Table \* ARABIC </w:instrText>
      </w:r>
      <w:r>
        <w:fldChar w:fldCharType="separate"/>
      </w:r>
      <w:r w:rsidR="00B035D1">
        <w:rPr>
          <w:noProof/>
        </w:rPr>
        <w:t>1</w:t>
      </w:r>
      <w:r>
        <w:fldChar w:fldCharType="end"/>
      </w:r>
      <w:r>
        <w:t xml:space="preserve">. </w:t>
      </w:r>
      <w:r w:rsidRPr="00EE191D">
        <w:t>Criteria for measures</w:t>
      </w:r>
    </w:p>
    <w:tbl>
      <w:tblPr>
        <w:tblStyle w:val="GridTable4-Accent2"/>
        <w:tblW w:w="9282" w:type="dxa"/>
        <w:tblLook w:val="06A0" w:firstRow="1" w:lastRow="0" w:firstColumn="1" w:lastColumn="0" w:noHBand="1" w:noVBand="1"/>
      </w:tblPr>
      <w:tblGrid>
        <w:gridCol w:w="4395"/>
        <w:gridCol w:w="4887"/>
      </w:tblGrid>
      <w:tr w:rsidR="006B66B9" w:rsidRPr="00673437" w14:paraId="3B2E9D85" w14:textId="77777777" w:rsidTr="008B06E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hideMark/>
          </w:tcPr>
          <w:p w14:paraId="0EB9ADD1" w14:textId="46602C91" w:rsidR="00A92052" w:rsidRPr="008B06E0" w:rsidRDefault="00A92052" w:rsidP="00A2453C">
            <w:pPr>
              <w:pStyle w:val="Tablecolhead"/>
              <w:rPr>
                <w:b/>
                <w:bCs w:val="0"/>
                <w:color w:val="auto"/>
              </w:rPr>
            </w:pPr>
            <w:r w:rsidRPr="008B06E0">
              <w:rPr>
                <w:color w:val="auto"/>
              </w:rPr>
              <w:t>Criteria for measures</w:t>
            </w:r>
          </w:p>
        </w:tc>
        <w:tc>
          <w:tcPr>
            <w:tcW w:w="0" w:type="dxa"/>
            <w:hideMark/>
          </w:tcPr>
          <w:p w14:paraId="044DE3F3" w14:textId="62A60986" w:rsidR="00A92052" w:rsidRPr="008B06E0" w:rsidRDefault="00A92052" w:rsidP="00A2453C">
            <w:pPr>
              <w:pStyle w:val="Tablecolhead"/>
              <w:cnfStyle w:val="100000000000" w:firstRow="1" w:lastRow="0" w:firstColumn="0" w:lastColumn="0" w:oddVBand="0" w:evenVBand="0" w:oddHBand="0" w:evenHBand="0" w:firstRowFirstColumn="0" w:firstRowLastColumn="0" w:lastRowFirstColumn="0" w:lastRowLastColumn="0"/>
              <w:rPr>
                <w:b/>
                <w:bCs w:val="0"/>
                <w:color w:val="auto"/>
              </w:rPr>
            </w:pPr>
            <w:r w:rsidRPr="008B06E0">
              <w:rPr>
                <w:color w:val="auto"/>
              </w:rPr>
              <w:t>Description</w:t>
            </w:r>
          </w:p>
        </w:tc>
      </w:tr>
      <w:tr w:rsidR="00A92052" w:rsidRPr="0023035A" w14:paraId="0FA3FBBD" w14:textId="77777777" w:rsidTr="008B06E0">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065DD2A8" w14:textId="74E89F1F" w:rsidR="00A92052" w:rsidRPr="0023035A" w:rsidRDefault="00A92052" w:rsidP="00670C9B">
            <w:pPr>
              <w:pStyle w:val="Tabletext"/>
              <w:rPr>
                <w:b w:val="0"/>
                <w:bCs w:val="0"/>
              </w:rPr>
            </w:pPr>
            <w:r w:rsidRPr="0023035A">
              <w:t>Understandable</w:t>
            </w:r>
          </w:p>
        </w:tc>
        <w:tc>
          <w:tcPr>
            <w:tcW w:w="0" w:type="dxa"/>
            <w:hideMark/>
          </w:tcPr>
          <w:p w14:paraId="58673A9E" w14:textId="415A201F" w:rsidR="00A92052" w:rsidRPr="0023035A" w:rsidRDefault="00A92052" w:rsidP="008B06E0">
            <w:pPr>
              <w:pStyle w:val="Tablebullet1"/>
              <w:cnfStyle w:val="000000000000" w:firstRow="0" w:lastRow="0" w:firstColumn="0" w:lastColumn="0" w:oddVBand="0" w:evenVBand="0" w:oddHBand="0" w:evenHBand="0" w:firstRowFirstColumn="0" w:firstRowLastColumn="0" w:lastRowFirstColumn="0" w:lastRowLastColumn="0"/>
            </w:pPr>
            <w:r w:rsidRPr="0023035A">
              <w:t xml:space="preserve">Face validity </w:t>
            </w:r>
            <w:r w:rsidR="006B66B9">
              <w:t>–</w:t>
            </w:r>
            <w:r w:rsidRPr="0023035A">
              <w:t xml:space="preserve"> measures what it is intended to measure</w:t>
            </w:r>
          </w:p>
          <w:p w14:paraId="0B409319" w14:textId="6D61178B" w:rsidR="00A92052" w:rsidRPr="0023035A" w:rsidRDefault="00A92052" w:rsidP="008B06E0">
            <w:pPr>
              <w:pStyle w:val="Tablebullet1"/>
              <w:cnfStyle w:val="000000000000" w:firstRow="0" w:lastRow="0" w:firstColumn="0" w:lastColumn="0" w:oddVBand="0" w:evenVBand="0" w:oddHBand="0" w:evenHBand="0" w:firstRowFirstColumn="0" w:firstRowLastColumn="0" w:lastRowFirstColumn="0" w:lastRowLastColumn="0"/>
            </w:pPr>
            <w:r w:rsidRPr="0023035A">
              <w:t>Meaningful to, and likely to be perceived as important by, the public and stakeholders</w:t>
            </w:r>
          </w:p>
          <w:p w14:paraId="4757D570" w14:textId="5B81658E" w:rsidR="00A92052" w:rsidRPr="0023035A" w:rsidRDefault="00A92052" w:rsidP="008B06E0">
            <w:pPr>
              <w:pStyle w:val="Tablebullet1"/>
              <w:cnfStyle w:val="000000000000" w:firstRow="0" w:lastRow="0" w:firstColumn="0" w:lastColumn="0" w:oddVBand="0" w:evenVBand="0" w:oddHBand="0" w:evenHBand="0" w:firstRowFirstColumn="0" w:firstRowLastColumn="0" w:lastRowFirstColumn="0" w:lastRowLastColumn="0"/>
            </w:pPr>
            <w:r w:rsidRPr="0023035A">
              <w:t>Can be presented in a way that is suitable to multiple stakeholders</w:t>
            </w:r>
          </w:p>
        </w:tc>
      </w:tr>
      <w:tr w:rsidR="00A92052" w:rsidRPr="0023035A" w14:paraId="0DAF028A" w14:textId="77777777" w:rsidTr="008B06E0">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20FD312B" w14:textId="35B8AB89" w:rsidR="00A92052" w:rsidRPr="0023035A" w:rsidRDefault="00A92052" w:rsidP="00670C9B">
            <w:pPr>
              <w:pStyle w:val="Tabletext"/>
              <w:rPr>
                <w:b w:val="0"/>
                <w:bCs w:val="0"/>
              </w:rPr>
            </w:pPr>
            <w:r w:rsidRPr="0023035A">
              <w:t>Comparable</w:t>
            </w:r>
          </w:p>
        </w:tc>
        <w:tc>
          <w:tcPr>
            <w:tcW w:w="0" w:type="dxa"/>
            <w:hideMark/>
          </w:tcPr>
          <w:p w14:paraId="2C53F83E" w14:textId="74F6B8D6" w:rsidR="00A92052" w:rsidRPr="0023035A" w:rsidRDefault="00A92052" w:rsidP="008B06E0">
            <w:pPr>
              <w:pStyle w:val="Tablebullet1"/>
              <w:cnfStyle w:val="000000000000" w:firstRow="0" w:lastRow="0" w:firstColumn="0" w:lastColumn="0" w:oddVBand="0" w:evenVBand="0" w:oddHBand="0" w:evenHBand="0" w:firstRowFirstColumn="0" w:firstRowLastColumn="0" w:lastRowFirstColumn="0" w:lastRowLastColumn="0"/>
            </w:pPr>
            <w:r w:rsidRPr="0023035A">
              <w:t>Data available at the total population and subpopulation level for sociodemographic and cohort populations, enabling assessment of inequalities and equalities</w:t>
            </w:r>
          </w:p>
          <w:p w14:paraId="2C673027" w14:textId="2E62B017" w:rsidR="00A92052" w:rsidRPr="0023035A" w:rsidRDefault="00A92052" w:rsidP="008B06E0">
            <w:pPr>
              <w:pStyle w:val="Tablebullet1"/>
              <w:cnfStyle w:val="000000000000" w:firstRow="0" w:lastRow="0" w:firstColumn="0" w:lastColumn="0" w:oddVBand="0" w:evenVBand="0" w:oddHBand="0" w:evenHBand="0" w:firstRowFirstColumn="0" w:firstRowLastColumn="0" w:lastRowFirstColumn="0" w:lastRowLastColumn="0"/>
            </w:pPr>
            <w:r w:rsidRPr="0023035A">
              <w:lastRenderedPageBreak/>
              <w:t>Allows local, state, national and international comparison</w:t>
            </w:r>
          </w:p>
        </w:tc>
      </w:tr>
      <w:tr w:rsidR="00A92052" w:rsidRPr="0023035A" w14:paraId="3214E1F1" w14:textId="77777777" w:rsidTr="008B06E0">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0E012EB8" w14:textId="210F8F49" w:rsidR="00A92052" w:rsidRPr="0023035A" w:rsidRDefault="00A92052" w:rsidP="00670C9B">
            <w:pPr>
              <w:pStyle w:val="Tabletext"/>
              <w:rPr>
                <w:b w:val="0"/>
                <w:bCs w:val="0"/>
              </w:rPr>
            </w:pPr>
            <w:r w:rsidRPr="0023035A">
              <w:lastRenderedPageBreak/>
              <w:t>Methodologically robust</w:t>
            </w:r>
          </w:p>
        </w:tc>
        <w:tc>
          <w:tcPr>
            <w:tcW w:w="0" w:type="dxa"/>
            <w:hideMark/>
          </w:tcPr>
          <w:p w14:paraId="5E6A005D" w14:textId="57394F5B" w:rsidR="00A92052" w:rsidRPr="0023035A" w:rsidRDefault="00A92052" w:rsidP="00155C13">
            <w:pPr>
              <w:pStyle w:val="Tablebullet1"/>
              <w:cnfStyle w:val="000000000000" w:firstRow="0" w:lastRow="0" w:firstColumn="0" w:lastColumn="0" w:oddVBand="0" w:evenVBand="0" w:oddHBand="0" w:evenHBand="0" w:firstRowFirstColumn="0" w:firstRowLastColumn="0" w:lastRowFirstColumn="0" w:lastRowLastColumn="0"/>
            </w:pPr>
            <w:r w:rsidRPr="0023035A">
              <w:t>Allows change over time to be detected</w:t>
            </w:r>
          </w:p>
          <w:p w14:paraId="239CE07B" w14:textId="75241919" w:rsidR="00A92052" w:rsidRPr="0023035A" w:rsidRDefault="00A92052" w:rsidP="00155C13">
            <w:pPr>
              <w:pStyle w:val="Tablebullet1"/>
              <w:cnfStyle w:val="000000000000" w:firstRow="0" w:lastRow="0" w:firstColumn="0" w:lastColumn="0" w:oddVBand="0" w:evenVBand="0" w:oddHBand="0" w:evenHBand="0" w:firstRowFirstColumn="0" w:firstRowLastColumn="0" w:lastRowFirstColumn="0" w:lastRowLastColumn="0"/>
            </w:pPr>
            <w:r w:rsidRPr="0023035A">
              <w:t>Data is available at least every five years, and preferably every three years</w:t>
            </w:r>
          </w:p>
          <w:p w14:paraId="545C895A" w14:textId="70E0CFDE" w:rsidR="00A92052" w:rsidRPr="0023035A" w:rsidRDefault="00A92052" w:rsidP="00155C13">
            <w:pPr>
              <w:pStyle w:val="Tablebullet1"/>
              <w:cnfStyle w:val="000000000000" w:firstRow="0" w:lastRow="0" w:firstColumn="0" w:lastColumn="0" w:oddVBand="0" w:evenVBand="0" w:oddHBand="0" w:evenHBand="0" w:firstRowFirstColumn="0" w:firstRowLastColumn="0" w:lastRowFirstColumn="0" w:lastRowLastColumn="0"/>
            </w:pPr>
            <w:r w:rsidRPr="0023035A">
              <w:t>Timely availability of data following collection</w:t>
            </w:r>
          </w:p>
          <w:p w14:paraId="7D0E2426" w14:textId="4C6C7EFC" w:rsidR="00A92052" w:rsidRPr="0023035A" w:rsidRDefault="00A92052" w:rsidP="00155C13">
            <w:pPr>
              <w:pStyle w:val="Tablebullet1"/>
              <w:cnfStyle w:val="000000000000" w:firstRow="0" w:lastRow="0" w:firstColumn="0" w:lastColumn="0" w:oddVBand="0" w:evenVBand="0" w:oddHBand="0" w:evenHBand="0" w:firstRowFirstColumn="0" w:firstRowLastColumn="0" w:lastRowFirstColumn="0" w:lastRowLastColumn="0"/>
            </w:pPr>
            <w:r w:rsidRPr="0023035A">
              <w:t>Does not create perverse incentive</w:t>
            </w:r>
          </w:p>
          <w:p w14:paraId="228DB992" w14:textId="44D4260B" w:rsidR="00A92052" w:rsidRPr="0023035A" w:rsidRDefault="00A92052" w:rsidP="00155C13">
            <w:pPr>
              <w:pStyle w:val="Tablebullet1"/>
              <w:cnfStyle w:val="000000000000" w:firstRow="0" w:lastRow="0" w:firstColumn="0" w:lastColumn="0" w:oddVBand="0" w:evenVBand="0" w:oddHBand="0" w:evenHBand="0" w:firstRowFirstColumn="0" w:firstRowLastColumn="0" w:lastRowFirstColumn="0" w:lastRowLastColumn="0"/>
            </w:pPr>
            <w:r w:rsidRPr="0023035A">
              <w:t>Collectable within an existing, reliable, well</w:t>
            </w:r>
            <w:r w:rsidR="00DF1AA2">
              <w:t>-</w:t>
            </w:r>
            <w:r w:rsidRPr="0023035A">
              <w:t>established data source</w:t>
            </w:r>
          </w:p>
        </w:tc>
      </w:tr>
      <w:tr w:rsidR="00A92052" w:rsidRPr="0023035A" w14:paraId="08FE6D49" w14:textId="77777777" w:rsidTr="008B06E0">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662CB476" w14:textId="70B3A872" w:rsidR="00A92052" w:rsidRPr="0023035A" w:rsidRDefault="00A92052" w:rsidP="00670C9B">
            <w:pPr>
              <w:pStyle w:val="Tabletext"/>
              <w:rPr>
                <w:b w:val="0"/>
                <w:bCs w:val="0"/>
              </w:rPr>
            </w:pPr>
            <w:r w:rsidRPr="0023035A">
              <w:t>Accepted and harmonised</w:t>
            </w:r>
          </w:p>
        </w:tc>
        <w:tc>
          <w:tcPr>
            <w:tcW w:w="0" w:type="dxa"/>
            <w:hideMark/>
          </w:tcPr>
          <w:p w14:paraId="5C1411DF" w14:textId="2681DD97" w:rsidR="00A92052" w:rsidRPr="0023035A" w:rsidRDefault="00A92052" w:rsidP="00155C13">
            <w:pPr>
              <w:pStyle w:val="Tablebullet1"/>
              <w:cnfStyle w:val="000000000000" w:firstRow="0" w:lastRow="0" w:firstColumn="0" w:lastColumn="0" w:oddVBand="0" w:evenVBand="0" w:oddHBand="0" w:evenHBand="0" w:firstRowFirstColumn="0" w:firstRowLastColumn="0" w:lastRowFirstColumn="0" w:lastRowLastColumn="0"/>
            </w:pPr>
            <w:r w:rsidRPr="0023035A">
              <w:t>Endorsed or in standard use</w:t>
            </w:r>
          </w:p>
        </w:tc>
      </w:tr>
    </w:tbl>
    <w:p w14:paraId="23B331C2" w14:textId="77777777" w:rsidR="00A92052" w:rsidRDefault="00A92052" w:rsidP="00BA5FA5">
      <w:pPr>
        <w:pStyle w:val="Heading3"/>
      </w:pPr>
      <w:bookmarkStart w:id="19" w:name="_Toc195778179"/>
      <w:r>
        <w:t>Summary of changes</w:t>
      </w:r>
      <w:bookmarkEnd w:id="19"/>
    </w:p>
    <w:p w14:paraId="2C88A7B5" w14:textId="10E53C18" w:rsidR="00A92052" w:rsidRDefault="00A92052" w:rsidP="00BA5FA5">
      <w:pPr>
        <w:pStyle w:val="Body"/>
      </w:pPr>
      <w:r w:rsidRPr="006A5359">
        <w:t>The re</w:t>
      </w:r>
      <w:r>
        <w:t>fresh</w:t>
      </w:r>
      <w:r w:rsidRPr="006A5359">
        <w:t xml:space="preserve"> resulted in a</w:t>
      </w:r>
      <w:r>
        <w:t xml:space="preserve">n overall </w:t>
      </w:r>
      <w:r w:rsidRPr="001D4AE3">
        <w:t>decrease</w:t>
      </w:r>
      <w:r>
        <w:t xml:space="preserve"> in the number of measures in the outcomes framework.</w:t>
      </w:r>
      <w:r w:rsidRPr="006A5359">
        <w:t xml:space="preserve"> </w:t>
      </w:r>
      <w:r>
        <w:t>A</w:t>
      </w:r>
      <w:r w:rsidRPr="006A5359">
        <w:t xml:space="preserve">ll changes were </w:t>
      </w:r>
      <w:r>
        <w:t xml:space="preserve">approved </w:t>
      </w:r>
      <w:r w:rsidRPr="006A5359">
        <w:t>by the</w:t>
      </w:r>
      <w:r>
        <w:t xml:space="preserve"> Victorian Public Health and Wellbeing </w:t>
      </w:r>
      <w:r w:rsidRPr="001D4AE3">
        <w:t>Inter</w:t>
      </w:r>
      <w:r w:rsidR="00A30524">
        <w:t>d</w:t>
      </w:r>
      <w:r w:rsidRPr="001D4AE3">
        <w:t>epartmental C</w:t>
      </w:r>
      <w:r>
        <w:t xml:space="preserve">ommittee and endorsed by the </w:t>
      </w:r>
      <w:r w:rsidRPr="001D4AE3">
        <w:t>Victorian Government</w:t>
      </w:r>
      <w:r>
        <w:t>.</w:t>
      </w:r>
    </w:p>
    <w:p w14:paraId="1196A87E" w14:textId="112F1004" w:rsidR="00A92052" w:rsidRPr="002B6C8F" w:rsidRDefault="00A92052" w:rsidP="00BA5FA5">
      <w:pPr>
        <w:pStyle w:val="Body"/>
      </w:pPr>
      <w:r>
        <w:t>The outcomes framework d</w:t>
      </w:r>
      <w:r w:rsidRPr="002B6C8F">
        <w:t xml:space="preserve">omains </w:t>
      </w:r>
      <w:r>
        <w:t xml:space="preserve">were changed to </w:t>
      </w:r>
      <w:r w:rsidRPr="002B6C8F">
        <w:t xml:space="preserve">align with </w:t>
      </w:r>
      <w:r>
        <w:t>the</w:t>
      </w:r>
      <w:r w:rsidRPr="002B6C8F">
        <w:t xml:space="preserve"> </w:t>
      </w:r>
      <w:r>
        <w:t>social and wider</w:t>
      </w:r>
      <w:r w:rsidRPr="002B6C8F">
        <w:t xml:space="preserve"> </w:t>
      </w:r>
      <w:r>
        <w:t>d</w:t>
      </w:r>
      <w:r w:rsidRPr="002B6C8F">
        <w:t xml:space="preserve">eterminants of </w:t>
      </w:r>
      <w:r>
        <w:t>h</w:t>
      </w:r>
      <w:r w:rsidRPr="002B6C8F">
        <w:t>ealth</w:t>
      </w:r>
      <w:r w:rsidR="00C50E78">
        <w:t>,</w:t>
      </w:r>
      <w:r>
        <w:t xml:space="preserve"> including social, environmental, structural, cultural and economic</w:t>
      </w:r>
      <w:r w:rsidR="00C50E78">
        <w:t>,</w:t>
      </w:r>
      <w:r>
        <w:t xml:space="preserve"> and factors that influence health outcomes.</w:t>
      </w:r>
    </w:p>
    <w:p w14:paraId="5BCAA62A" w14:textId="77777777" w:rsidR="00A92052" w:rsidRDefault="00A92052" w:rsidP="00BA5FA5">
      <w:pPr>
        <w:pStyle w:val="Body"/>
      </w:pPr>
      <w:r>
        <w:t>Existing measures that did not align with the agreed criteria</w:t>
      </w:r>
      <w:r w:rsidRPr="009E77EF">
        <w:t xml:space="preserve"> </w:t>
      </w:r>
      <w:r>
        <w:t>were removed, primarily because the measures were no longer valid, reliable or did not have a current data source.</w:t>
      </w:r>
    </w:p>
    <w:p w14:paraId="08558289" w14:textId="77777777" w:rsidR="00A92052" w:rsidRDefault="00A92052" w:rsidP="00BA5FA5">
      <w:pPr>
        <w:pStyle w:val="Body"/>
      </w:pPr>
      <w:r>
        <w:t>The wording of some indicators and outcomes was amended to align with current government policy and some existing measures</w:t>
      </w:r>
      <w:r w:rsidRPr="006E4876">
        <w:t xml:space="preserve"> </w:t>
      </w:r>
      <w:r>
        <w:t xml:space="preserve">were reclassified within the framework. This will not disrupt long-term reporting. </w:t>
      </w:r>
    </w:p>
    <w:p w14:paraId="537D7D1D" w14:textId="77777777" w:rsidR="00A92052" w:rsidRDefault="00A92052" w:rsidP="00BA5FA5">
      <w:pPr>
        <w:pStyle w:val="Body"/>
      </w:pPr>
      <w:r>
        <w:t>In summary, new measures were introduced to:</w:t>
      </w:r>
    </w:p>
    <w:p w14:paraId="103595FC" w14:textId="05F5DADE" w:rsidR="00A92052" w:rsidRDefault="00A92052" w:rsidP="002041E3">
      <w:pPr>
        <w:pStyle w:val="Bullet1"/>
      </w:pPr>
      <w:r>
        <w:t>strengthen measures relating to chronic disease and expand this area to capture the main conditions contributing to the burden of disease (</w:t>
      </w:r>
      <w:r w:rsidR="00D771B0">
        <w:t>for example,</w:t>
      </w:r>
      <w:r>
        <w:t xml:space="preserve"> dementia)</w:t>
      </w:r>
    </w:p>
    <w:p w14:paraId="72C78CDB" w14:textId="54F2AC53" w:rsidR="00A92052" w:rsidRDefault="00A92052" w:rsidP="002041E3">
      <w:pPr>
        <w:pStyle w:val="Bullet1"/>
      </w:pPr>
      <w:r>
        <w:t xml:space="preserve">strengthen measures relating to physical activity, oral health, sun protection, sexual and reproductive health, </w:t>
      </w:r>
      <w:r w:rsidR="0083709A">
        <w:t xml:space="preserve">and </w:t>
      </w:r>
      <w:r>
        <w:t>mental health and injury</w:t>
      </w:r>
    </w:p>
    <w:p w14:paraId="6C73A31E" w14:textId="7C755ED2" w:rsidR="00A92052" w:rsidRDefault="00A92052" w:rsidP="002041E3">
      <w:pPr>
        <w:pStyle w:val="Bullet1"/>
      </w:pPr>
      <w:r>
        <w:t>strengthen measures relating to discrimination, family violence and homelessness</w:t>
      </w:r>
      <w:r w:rsidR="0056056E">
        <w:t>,</w:t>
      </w:r>
      <w:r>
        <w:t xml:space="preserve"> where new data sources have become available or </w:t>
      </w:r>
      <w:r w:rsidR="0056056E">
        <w:t xml:space="preserve">have </w:t>
      </w:r>
      <w:r>
        <w:t>evolved over</w:t>
      </w:r>
      <w:r w:rsidR="0056056E">
        <w:t xml:space="preserve"> </w:t>
      </w:r>
      <w:r>
        <w:t>time</w:t>
      </w:r>
    </w:p>
    <w:p w14:paraId="2B45B5F4" w14:textId="3F9C5A8C" w:rsidR="00A92052" w:rsidRDefault="00A92052" w:rsidP="002041E3">
      <w:pPr>
        <w:pStyle w:val="Bullet1"/>
      </w:pPr>
      <w:r>
        <w:t>include new measures for contemporary issues related to public health and wellbeing areas</w:t>
      </w:r>
      <w:r w:rsidR="00CC2BC0">
        <w:t>,</w:t>
      </w:r>
      <w:r>
        <w:t xml:space="preserve"> such as loneliness, vaping, antimicrobial resistance, digital inclusion and biodiversity (</w:t>
      </w:r>
      <w:r w:rsidR="00CC2BC0">
        <w:t xml:space="preserve">see </w:t>
      </w:r>
      <w:r w:rsidRPr="008E00DA">
        <w:t>Figure</w:t>
      </w:r>
      <w:r w:rsidR="00CC2BC0" w:rsidRPr="008E00DA">
        <w:t> </w:t>
      </w:r>
      <w:r w:rsidRPr="008E00DA">
        <w:t>1</w:t>
      </w:r>
      <w:r w:rsidRPr="00A96D37">
        <w:t>)</w:t>
      </w:r>
      <w:r w:rsidR="00B84241">
        <w:t>.</w:t>
      </w:r>
    </w:p>
    <w:p w14:paraId="2C621574" w14:textId="0EBF7F52" w:rsidR="00A92052" w:rsidRDefault="00A92052" w:rsidP="00E35D97">
      <w:pPr>
        <w:pStyle w:val="Bodyafterbullets"/>
      </w:pPr>
      <w:r>
        <w:t xml:space="preserve">A small number of measures in the original framework that had not been defined or reported on were retained. Consultation on these measures has established that there is an opportunity to align with work being undertaken in these areas in the next </w:t>
      </w:r>
      <w:r w:rsidR="00A96D37">
        <w:t xml:space="preserve">six to </w:t>
      </w:r>
      <w:r>
        <w:t>12 months (</w:t>
      </w:r>
      <w:r w:rsidR="00D771B0">
        <w:t>for example,</w:t>
      </w:r>
      <w:r>
        <w:t xml:space="preserve"> liveability).</w:t>
      </w:r>
    </w:p>
    <w:p w14:paraId="49DDC561" w14:textId="77777777" w:rsidR="00A92052" w:rsidRDefault="00A92052" w:rsidP="00BA5FA5">
      <w:pPr>
        <w:pStyle w:val="Body"/>
      </w:pPr>
      <w:r>
        <w:t xml:space="preserve">Measures that were </w:t>
      </w:r>
      <w:r w:rsidRPr="00FB7848">
        <w:t>removed</w:t>
      </w:r>
      <w:r>
        <w:t xml:space="preserve"> include:</w:t>
      </w:r>
    </w:p>
    <w:p w14:paraId="5BE9E397" w14:textId="41FFB34F" w:rsidR="00A92052" w:rsidRDefault="00077DD4" w:rsidP="002041E3">
      <w:pPr>
        <w:pStyle w:val="Bullet1"/>
      </w:pPr>
      <w:r>
        <w:t>a</w:t>
      </w:r>
      <w:r w:rsidR="00A92052">
        <w:t>dolescents who practice safe sex – as d</w:t>
      </w:r>
      <w:r w:rsidR="00A92052" w:rsidRPr="006B4C2A">
        <w:t xml:space="preserve">ata is </w:t>
      </w:r>
      <w:r w:rsidR="00A92052">
        <w:t xml:space="preserve">no </w:t>
      </w:r>
      <w:r w:rsidR="00A92052" w:rsidRPr="006B4C2A">
        <w:t>longer being collected</w:t>
      </w:r>
    </w:p>
    <w:p w14:paraId="36CD1164" w14:textId="2BD3483F" w:rsidR="00A92052" w:rsidRDefault="00077DD4" w:rsidP="002041E3">
      <w:pPr>
        <w:pStyle w:val="Bullet1"/>
      </w:pPr>
      <w:r>
        <w:t>m</w:t>
      </w:r>
      <w:r w:rsidR="00A92052" w:rsidRPr="00004A88">
        <w:t>ean daily serves of fruit</w:t>
      </w:r>
      <w:r w:rsidR="00A92052">
        <w:t xml:space="preserve"> and</w:t>
      </w:r>
      <w:r w:rsidR="00A92052" w:rsidRPr="00004A88">
        <w:t xml:space="preserve"> vegetables in adults</w:t>
      </w:r>
      <w:r>
        <w:t>,</w:t>
      </w:r>
      <w:r w:rsidR="00A92052" w:rsidRPr="00004A88">
        <w:t xml:space="preserve"> adolescents</w:t>
      </w:r>
      <w:r>
        <w:t xml:space="preserve"> and</w:t>
      </w:r>
      <w:r w:rsidR="00A92052" w:rsidRPr="00004A88">
        <w:t xml:space="preserve"> children</w:t>
      </w:r>
      <w:r w:rsidR="00A92052" w:rsidRPr="00995989">
        <w:t xml:space="preserve"> </w:t>
      </w:r>
      <w:r w:rsidR="005B2681">
        <w:t xml:space="preserve">– </w:t>
      </w:r>
      <w:r w:rsidR="00A92052" w:rsidRPr="00995989">
        <w:t xml:space="preserve">due to </w:t>
      </w:r>
      <w:r w:rsidR="00A92052">
        <w:t xml:space="preserve">data </w:t>
      </w:r>
      <w:r w:rsidR="00A92052" w:rsidRPr="00995989">
        <w:t>validity</w:t>
      </w:r>
    </w:p>
    <w:p w14:paraId="7420F4A1" w14:textId="56E4AEAA" w:rsidR="00A92052" w:rsidRDefault="00077DD4" w:rsidP="002041E3">
      <w:pPr>
        <w:pStyle w:val="Bullet1"/>
      </w:pPr>
      <w:r>
        <w:t>p</w:t>
      </w:r>
      <w:r w:rsidR="00A92052" w:rsidRPr="00027D49">
        <w:t>roportion of adults who belong to an organised group</w:t>
      </w:r>
      <w:r w:rsidR="005B2681">
        <w:t xml:space="preserve"> – </w:t>
      </w:r>
      <w:r w:rsidR="00A92052">
        <w:t>as d</w:t>
      </w:r>
      <w:r w:rsidR="00A92052" w:rsidRPr="00672F14">
        <w:t>ata is longer being collected</w:t>
      </w:r>
    </w:p>
    <w:p w14:paraId="2F55B362" w14:textId="3B771326" w:rsidR="00A92052" w:rsidRDefault="005B2681" w:rsidP="002041E3">
      <w:pPr>
        <w:pStyle w:val="Bullet1"/>
      </w:pPr>
      <w:r>
        <w:lastRenderedPageBreak/>
        <w:t>p</w:t>
      </w:r>
      <w:r w:rsidR="00A92052" w:rsidRPr="00027D49">
        <w:t xml:space="preserve">roportion of adults who attended an arts activity </w:t>
      </w:r>
      <w:r w:rsidRPr="00027D49">
        <w:t xml:space="preserve">or cultural activity </w:t>
      </w:r>
      <w:r w:rsidR="00A92052" w:rsidRPr="00027D49">
        <w:t xml:space="preserve">in the last </w:t>
      </w:r>
      <w:r>
        <w:t>three</w:t>
      </w:r>
      <w:r w:rsidR="00A92052" w:rsidRPr="00027D49">
        <w:t xml:space="preserve"> months</w:t>
      </w:r>
      <w:r>
        <w:t xml:space="preserve"> – </w:t>
      </w:r>
      <w:r w:rsidR="00A92052">
        <w:t>as d</w:t>
      </w:r>
      <w:r w:rsidR="00A92052" w:rsidRPr="00672F14">
        <w:t>ata is longer being collected</w:t>
      </w:r>
    </w:p>
    <w:p w14:paraId="05CF89DA" w14:textId="2C8013E4" w:rsidR="00A92052" w:rsidRDefault="007671ED" w:rsidP="002041E3">
      <w:pPr>
        <w:pStyle w:val="Bullet1"/>
      </w:pPr>
      <w:r>
        <w:t>p</w:t>
      </w:r>
      <w:r w:rsidR="00A92052">
        <w:t xml:space="preserve">roportion of the population with reticulated drinking water that complies with the E. </w:t>
      </w:r>
      <w:r>
        <w:t>c</w:t>
      </w:r>
      <w:r w:rsidR="00A92052">
        <w:t xml:space="preserve">oli water quality standard </w:t>
      </w:r>
      <w:r>
        <w:t>–</w:t>
      </w:r>
      <w:r w:rsidR="00A92052" w:rsidRPr="001F5AAF">
        <w:t xml:space="preserve"> </w:t>
      </w:r>
      <w:r w:rsidR="00A92052" w:rsidRPr="00995989">
        <w:t xml:space="preserve">due to </w:t>
      </w:r>
      <w:r w:rsidR="00A92052">
        <w:t xml:space="preserve">data </w:t>
      </w:r>
      <w:r w:rsidR="00A92052" w:rsidRPr="00995989">
        <w:t>validity</w:t>
      </w:r>
    </w:p>
    <w:p w14:paraId="05E81C1B" w14:textId="12E8EA0D" w:rsidR="00A92052" w:rsidRPr="00027D49" w:rsidRDefault="007671ED" w:rsidP="00E35D97">
      <w:pPr>
        <w:pStyle w:val="Bullet1"/>
      </w:pPr>
      <w:r>
        <w:t>n</w:t>
      </w:r>
      <w:r w:rsidR="00A92052">
        <w:t>otification rate of salmonellosis –</w:t>
      </w:r>
      <w:r>
        <w:t xml:space="preserve"> </w:t>
      </w:r>
      <w:r w:rsidR="00A92052">
        <w:t xml:space="preserve">not a </w:t>
      </w:r>
      <w:r w:rsidR="00A92052" w:rsidRPr="00995989">
        <w:t>valid</w:t>
      </w:r>
      <w:r w:rsidR="00A92052">
        <w:t xml:space="preserve"> measure of the outcome</w:t>
      </w:r>
      <w:r>
        <w:t>.</w:t>
      </w:r>
    </w:p>
    <w:p w14:paraId="348AFC38" w14:textId="1BDDB017" w:rsidR="00A92052" w:rsidRPr="008B4E6B" w:rsidRDefault="00A92052" w:rsidP="00E35D97">
      <w:pPr>
        <w:pStyle w:val="Bodyafterbullets"/>
      </w:pPr>
      <w:r>
        <w:t>T</w:t>
      </w:r>
      <w:r w:rsidRPr="008B4E6B">
        <w:t>argets</w:t>
      </w:r>
      <w:r>
        <w:t xml:space="preserve"> were refreshed across three of the five domains of the framework (see </w:t>
      </w:r>
      <w:hyperlink w:anchor="_Victorian_Government_targets" w:history="1">
        <w:r w:rsidRPr="00EC7852">
          <w:rPr>
            <w:rStyle w:val="Hyperlink"/>
          </w:rPr>
          <w:t xml:space="preserve">Victorian </w:t>
        </w:r>
        <w:r w:rsidR="00EC7852" w:rsidRPr="00EC7852">
          <w:rPr>
            <w:rStyle w:val="Hyperlink"/>
          </w:rPr>
          <w:t>G</w:t>
        </w:r>
        <w:r w:rsidRPr="00EC7852">
          <w:rPr>
            <w:rStyle w:val="Hyperlink"/>
          </w:rPr>
          <w:t>overnment targets</w:t>
        </w:r>
      </w:hyperlink>
      <w:r>
        <w:t>). A</w:t>
      </w:r>
      <w:r w:rsidRPr="00051671">
        <w:t xml:space="preserve">ll targets </w:t>
      </w:r>
      <w:r>
        <w:t xml:space="preserve">were reviewed </w:t>
      </w:r>
      <w:r w:rsidRPr="00051671">
        <w:t>to ensure they reflect the intended impact of specific interventions and policy settings.</w:t>
      </w:r>
    </w:p>
    <w:p w14:paraId="0F5208CE" w14:textId="0A740C27" w:rsidR="00B84241" w:rsidRDefault="00B84241" w:rsidP="00992391">
      <w:pPr>
        <w:pStyle w:val="Figurecaption"/>
      </w:pPr>
      <w:r>
        <w:t xml:space="preserve">Figure </w:t>
      </w:r>
      <w:r>
        <w:fldChar w:fldCharType="begin"/>
      </w:r>
      <w:r>
        <w:instrText xml:space="preserve"> SEQ Figure \* ARABIC </w:instrText>
      </w:r>
      <w:r>
        <w:fldChar w:fldCharType="separate"/>
      </w:r>
      <w:r w:rsidR="008B3072">
        <w:rPr>
          <w:noProof/>
        </w:rPr>
        <w:t>1</w:t>
      </w:r>
      <w:r>
        <w:fldChar w:fldCharType="end"/>
      </w:r>
      <w:r>
        <w:t xml:space="preserve">. </w:t>
      </w:r>
      <w:r w:rsidRPr="00D1579E">
        <w:t xml:space="preserve">New measures introduced to the </w:t>
      </w:r>
      <w:proofErr w:type="gramStart"/>
      <w:r w:rsidRPr="00D1579E">
        <w:t>outcomes</w:t>
      </w:r>
      <w:proofErr w:type="gramEnd"/>
      <w:r w:rsidRPr="00D1579E">
        <w:t xml:space="preserve"> framework</w:t>
      </w:r>
    </w:p>
    <w:tbl>
      <w:tblPr>
        <w:tblStyle w:val="TableGrid"/>
        <w:tblW w:w="0" w:type="auto"/>
        <w:tblLook w:val="04A0" w:firstRow="1" w:lastRow="0" w:firstColumn="1" w:lastColumn="0" w:noHBand="0" w:noVBand="1"/>
      </w:tblPr>
      <w:tblGrid>
        <w:gridCol w:w="1857"/>
        <w:gridCol w:w="1857"/>
        <w:gridCol w:w="1858"/>
        <w:gridCol w:w="1858"/>
        <w:gridCol w:w="1858"/>
      </w:tblGrid>
      <w:tr w:rsidR="00347C0D" w14:paraId="3D252F9C" w14:textId="77777777" w:rsidTr="00347C0D">
        <w:tc>
          <w:tcPr>
            <w:tcW w:w="1857" w:type="dxa"/>
          </w:tcPr>
          <w:p w14:paraId="1D29E055" w14:textId="6C0A3FD6" w:rsidR="00347C0D" w:rsidRDefault="00EC63BC" w:rsidP="00EC63BC">
            <w:pPr>
              <w:pStyle w:val="Body"/>
              <w:jc w:val="center"/>
            </w:pPr>
            <w:r w:rsidRPr="00EC63BC">
              <w:rPr>
                <w:noProof/>
              </w:rPr>
              <w:drawing>
                <wp:inline distT="0" distB="0" distL="0" distR="0" wp14:anchorId="603FD7A5" wp14:editId="4A3F73A3">
                  <wp:extent cx="838317" cy="695422"/>
                  <wp:effectExtent l="0" t="0" r="0" b="9525"/>
                  <wp:docPr id="352464577" name="Picture 1" descr="Picture of healthy human lu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64577" name="Picture 1" descr="Picture of healthy human lungs."/>
                          <pic:cNvPicPr/>
                        </pic:nvPicPr>
                        <pic:blipFill>
                          <a:blip r:embed="rId13"/>
                          <a:stretch>
                            <a:fillRect/>
                          </a:stretch>
                        </pic:blipFill>
                        <pic:spPr>
                          <a:xfrm>
                            <a:off x="0" y="0"/>
                            <a:ext cx="838317" cy="695422"/>
                          </a:xfrm>
                          <a:prstGeom prst="rect">
                            <a:avLst/>
                          </a:prstGeom>
                        </pic:spPr>
                      </pic:pic>
                    </a:graphicData>
                  </a:graphic>
                </wp:inline>
              </w:drawing>
            </w:r>
          </w:p>
        </w:tc>
        <w:tc>
          <w:tcPr>
            <w:tcW w:w="1857" w:type="dxa"/>
          </w:tcPr>
          <w:p w14:paraId="6A8FE329" w14:textId="3A09738A" w:rsidR="00347C0D" w:rsidRDefault="00F00691" w:rsidP="00B401E2">
            <w:pPr>
              <w:pStyle w:val="Body"/>
            </w:pPr>
            <w:r w:rsidRPr="00F00691">
              <w:rPr>
                <w:noProof/>
              </w:rPr>
              <w:drawing>
                <wp:inline distT="0" distB="0" distL="0" distR="0" wp14:anchorId="17A24336" wp14:editId="3AD7CC2B">
                  <wp:extent cx="962159" cy="685896"/>
                  <wp:effectExtent l="0" t="0" r="0" b="0"/>
                  <wp:docPr id="988617420" name="Picture 1" descr="Picture of a non-descript micro-organ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17420" name="Picture 1" descr="Picture of a non-descript micro-organism."/>
                          <pic:cNvPicPr/>
                        </pic:nvPicPr>
                        <pic:blipFill>
                          <a:blip r:embed="rId14"/>
                          <a:stretch>
                            <a:fillRect/>
                          </a:stretch>
                        </pic:blipFill>
                        <pic:spPr>
                          <a:xfrm>
                            <a:off x="0" y="0"/>
                            <a:ext cx="962159" cy="685896"/>
                          </a:xfrm>
                          <a:prstGeom prst="rect">
                            <a:avLst/>
                          </a:prstGeom>
                        </pic:spPr>
                      </pic:pic>
                    </a:graphicData>
                  </a:graphic>
                </wp:inline>
              </w:drawing>
            </w:r>
          </w:p>
        </w:tc>
        <w:tc>
          <w:tcPr>
            <w:tcW w:w="1858" w:type="dxa"/>
          </w:tcPr>
          <w:p w14:paraId="2D0A8445" w14:textId="636BD2FE" w:rsidR="00347C0D" w:rsidRDefault="00566122" w:rsidP="00B401E2">
            <w:pPr>
              <w:pStyle w:val="Body"/>
            </w:pPr>
            <w:r w:rsidRPr="00566122">
              <w:rPr>
                <w:noProof/>
              </w:rPr>
              <w:drawing>
                <wp:inline distT="0" distB="0" distL="0" distR="0" wp14:anchorId="3A8A560E" wp14:editId="70440D7B">
                  <wp:extent cx="857370" cy="771633"/>
                  <wp:effectExtent l="0" t="0" r="0" b="9525"/>
                  <wp:docPr id="143256643" name="Picture 1" descr="Picture of a smart phone with pending message to represent lonel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6643" name="Picture 1" descr="Picture of a smart phone with pending message to represent loneliness."/>
                          <pic:cNvPicPr/>
                        </pic:nvPicPr>
                        <pic:blipFill>
                          <a:blip r:embed="rId15"/>
                          <a:stretch>
                            <a:fillRect/>
                          </a:stretch>
                        </pic:blipFill>
                        <pic:spPr>
                          <a:xfrm>
                            <a:off x="0" y="0"/>
                            <a:ext cx="857370" cy="771633"/>
                          </a:xfrm>
                          <a:prstGeom prst="rect">
                            <a:avLst/>
                          </a:prstGeom>
                        </pic:spPr>
                      </pic:pic>
                    </a:graphicData>
                  </a:graphic>
                </wp:inline>
              </w:drawing>
            </w:r>
          </w:p>
        </w:tc>
        <w:tc>
          <w:tcPr>
            <w:tcW w:w="1858" w:type="dxa"/>
          </w:tcPr>
          <w:p w14:paraId="078125E2" w14:textId="3E3D8673" w:rsidR="00347C0D" w:rsidRDefault="00875356" w:rsidP="00B401E2">
            <w:pPr>
              <w:pStyle w:val="Body"/>
            </w:pPr>
            <w:r w:rsidRPr="00875356">
              <w:rPr>
                <w:noProof/>
              </w:rPr>
              <w:drawing>
                <wp:inline distT="0" distB="0" distL="0" distR="0" wp14:anchorId="595BBA06" wp14:editId="0E580989">
                  <wp:extent cx="885949" cy="762106"/>
                  <wp:effectExtent l="0" t="0" r="9525" b="0"/>
                  <wp:docPr id="2104907744" name="Picture 1" descr="Picture of a desktop monitor to represent digital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7744" name="Picture 1" descr="Picture of a desktop monitor to represent digital information."/>
                          <pic:cNvPicPr/>
                        </pic:nvPicPr>
                        <pic:blipFill>
                          <a:blip r:embed="rId16"/>
                          <a:stretch>
                            <a:fillRect/>
                          </a:stretch>
                        </pic:blipFill>
                        <pic:spPr>
                          <a:xfrm>
                            <a:off x="0" y="0"/>
                            <a:ext cx="885949" cy="762106"/>
                          </a:xfrm>
                          <a:prstGeom prst="rect">
                            <a:avLst/>
                          </a:prstGeom>
                        </pic:spPr>
                      </pic:pic>
                    </a:graphicData>
                  </a:graphic>
                </wp:inline>
              </w:drawing>
            </w:r>
          </w:p>
        </w:tc>
        <w:tc>
          <w:tcPr>
            <w:tcW w:w="1858" w:type="dxa"/>
          </w:tcPr>
          <w:p w14:paraId="00970847" w14:textId="31E4336A" w:rsidR="00347C0D" w:rsidRDefault="00E92ABD" w:rsidP="00B401E2">
            <w:pPr>
              <w:pStyle w:val="Body"/>
            </w:pPr>
            <w:r w:rsidRPr="00E92ABD">
              <w:rPr>
                <w:noProof/>
              </w:rPr>
              <w:drawing>
                <wp:inline distT="0" distB="0" distL="0" distR="0" wp14:anchorId="1A953061" wp14:editId="4E9619A9">
                  <wp:extent cx="981212" cy="790685"/>
                  <wp:effectExtent l="0" t="0" r="9525" b="9525"/>
                  <wp:docPr id="68072709" name="Picture 1" descr="Picture of plants and a wheelbarrow to represent vegetation regeneration and bio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72709" name="Picture 1" descr="Picture of plants and a wheelbarrow to represent vegetation regeneration and biodiversity."/>
                          <pic:cNvPicPr/>
                        </pic:nvPicPr>
                        <pic:blipFill>
                          <a:blip r:embed="rId17"/>
                          <a:stretch>
                            <a:fillRect/>
                          </a:stretch>
                        </pic:blipFill>
                        <pic:spPr>
                          <a:xfrm>
                            <a:off x="0" y="0"/>
                            <a:ext cx="981212" cy="790685"/>
                          </a:xfrm>
                          <a:prstGeom prst="rect">
                            <a:avLst/>
                          </a:prstGeom>
                        </pic:spPr>
                      </pic:pic>
                    </a:graphicData>
                  </a:graphic>
                </wp:inline>
              </w:drawing>
            </w:r>
          </w:p>
        </w:tc>
      </w:tr>
      <w:tr w:rsidR="00347C0D" w14:paraId="3CE71D29" w14:textId="77777777" w:rsidTr="00347C0D">
        <w:tc>
          <w:tcPr>
            <w:tcW w:w="1857" w:type="dxa"/>
          </w:tcPr>
          <w:p w14:paraId="38EBA210" w14:textId="77777777" w:rsidR="0029237C" w:rsidRPr="0029237C" w:rsidRDefault="0029237C" w:rsidP="0029237C">
            <w:pPr>
              <w:pStyle w:val="Body"/>
              <w:rPr>
                <w:b/>
                <w:bCs/>
                <w:sz w:val="20"/>
              </w:rPr>
            </w:pPr>
            <w:r w:rsidRPr="0029237C">
              <w:rPr>
                <w:sz w:val="20"/>
              </w:rPr>
              <w:t xml:space="preserve">New measures for </w:t>
            </w:r>
            <w:r w:rsidRPr="0029237C">
              <w:rPr>
                <w:b/>
                <w:bCs/>
                <w:sz w:val="20"/>
              </w:rPr>
              <w:t>vaping:</w:t>
            </w:r>
          </w:p>
          <w:p w14:paraId="39E4FEFC" w14:textId="7056E185" w:rsidR="0029237C" w:rsidRPr="00175A4D" w:rsidRDefault="0029237C" w:rsidP="0029237C">
            <w:pPr>
              <w:pStyle w:val="Body"/>
              <w:rPr>
                <w:sz w:val="20"/>
              </w:rPr>
            </w:pPr>
            <w:r w:rsidRPr="0029237C">
              <w:rPr>
                <w:i/>
                <w:iCs/>
                <w:sz w:val="20"/>
              </w:rPr>
              <w:t xml:space="preserve">• </w:t>
            </w:r>
            <w:r w:rsidRPr="00175A4D">
              <w:rPr>
                <w:sz w:val="20"/>
              </w:rPr>
              <w:t xml:space="preserve">Proportion of </w:t>
            </w:r>
            <w:r w:rsidR="00F603BC" w:rsidRPr="00175A4D">
              <w:rPr>
                <w:sz w:val="20"/>
              </w:rPr>
              <w:t>14-year-olds</w:t>
            </w:r>
            <w:r w:rsidRPr="00175A4D">
              <w:rPr>
                <w:sz w:val="20"/>
              </w:rPr>
              <w:t xml:space="preserve"> and over who vape</w:t>
            </w:r>
          </w:p>
          <w:p w14:paraId="56A046C4" w14:textId="12F87527" w:rsidR="00347C0D" w:rsidRPr="00906D8F" w:rsidRDefault="0029237C" w:rsidP="00F00691">
            <w:pPr>
              <w:pStyle w:val="Body"/>
              <w:rPr>
                <w:sz w:val="20"/>
              </w:rPr>
            </w:pPr>
            <w:r w:rsidRPr="00175A4D">
              <w:rPr>
                <w:sz w:val="20"/>
              </w:rPr>
              <w:t>• Proportion of adults</w:t>
            </w:r>
            <w:r w:rsidR="00F00691" w:rsidRPr="00175A4D">
              <w:rPr>
                <w:sz w:val="20"/>
              </w:rPr>
              <w:t xml:space="preserve"> </w:t>
            </w:r>
            <w:r w:rsidRPr="00175A4D">
              <w:rPr>
                <w:sz w:val="20"/>
              </w:rPr>
              <w:t>who vape</w:t>
            </w:r>
          </w:p>
        </w:tc>
        <w:tc>
          <w:tcPr>
            <w:tcW w:w="1857" w:type="dxa"/>
          </w:tcPr>
          <w:p w14:paraId="1F9D9606" w14:textId="2A6BE832" w:rsidR="00F603BC" w:rsidRPr="00F603BC" w:rsidRDefault="00F603BC" w:rsidP="00F603BC">
            <w:pPr>
              <w:pStyle w:val="Body"/>
              <w:rPr>
                <w:b/>
                <w:bCs/>
                <w:sz w:val="20"/>
              </w:rPr>
            </w:pPr>
            <w:r w:rsidRPr="00F603BC">
              <w:rPr>
                <w:sz w:val="20"/>
              </w:rPr>
              <w:t>New breakdown to capture</w:t>
            </w:r>
            <w:r w:rsidR="00566122" w:rsidRPr="00906D8F">
              <w:rPr>
                <w:sz w:val="20"/>
              </w:rPr>
              <w:t xml:space="preserve"> </w:t>
            </w:r>
            <w:r w:rsidRPr="00906D8F">
              <w:rPr>
                <w:b/>
                <w:bCs/>
                <w:sz w:val="20"/>
              </w:rPr>
              <w:t>antimicrobial</w:t>
            </w:r>
            <w:r w:rsidRPr="00F603BC">
              <w:rPr>
                <w:b/>
                <w:bCs/>
                <w:sz w:val="20"/>
              </w:rPr>
              <w:t xml:space="preserve"> resistance:</w:t>
            </w:r>
          </w:p>
          <w:p w14:paraId="5DC7C35D" w14:textId="0B8171FC" w:rsidR="00347C0D" w:rsidRPr="00906D8F" w:rsidRDefault="00F603BC" w:rsidP="00F603BC">
            <w:pPr>
              <w:pStyle w:val="Body"/>
              <w:rPr>
                <w:sz w:val="20"/>
              </w:rPr>
            </w:pPr>
            <w:r w:rsidRPr="00F603BC">
              <w:rPr>
                <w:i/>
                <w:iCs/>
                <w:sz w:val="20"/>
              </w:rPr>
              <w:t xml:space="preserve">• </w:t>
            </w:r>
            <w:r w:rsidRPr="00175A4D">
              <w:rPr>
                <w:sz w:val="20"/>
              </w:rPr>
              <w:t>Proportion of gonorrhoea notifications that are resistant</w:t>
            </w:r>
          </w:p>
        </w:tc>
        <w:tc>
          <w:tcPr>
            <w:tcW w:w="1858" w:type="dxa"/>
          </w:tcPr>
          <w:p w14:paraId="7F934737" w14:textId="2E7FE89A" w:rsidR="00566122" w:rsidRPr="00566122" w:rsidRDefault="00566122" w:rsidP="00566122">
            <w:pPr>
              <w:pStyle w:val="Body"/>
              <w:rPr>
                <w:b/>
                <w:bCs/>
                <w:sz w:val="20"/>
              </w:rPr>
            </w:pPr>
            <w:r w:rsidRPr="00566122">
              <w:rPr>
                <w:sz w:val="20"/>
              </w:rPr>
              <w:t>New measures for</w:t>
            </w:r>
            <w:r w:rsidRPr="00906D8F">
              <w:rPr>
                <w:sz w:val="20"/>
              </w:rPr>
              <w:t xml:space="preserve"> </w:t>
            </w:r>
            <w:r w:rsidRPr="00566122">
              <w:rPr>
                <w:b/>
                <w:bCs/>
                <w:sz w:val="20"/>
              </w:rPr>
              <w:t>loneliness:</w:t>
            </w:r>
          </w:p>
          <w:p w14:paraId="539EB1C8" w14:textId="0D494527" w:rsidR="00347C0D" w:rsidRPr="00175A4D" w:rsidRDefault="00566122" w:rsidP="00875356">
            <w:pPr>
              <w:pStyle w:val="Body"/>
              <w:rPr>
                <w:sz w:val="20"/>
              </w:rPr>
            </w:pPr>
            <w:r w:rsidRPr="00175A4D">
              <w:rPr>
                <w:sz w:val="20"/>
              </w:rPr>
              <w:t>• Proportion of people</w:t>
            </w:r>
            <w:r w:rsidR="00875356" w:rsidRPr="00175A4D">
              <w:rPr>
                <w:sz w:val="20"/>
              </w:rPr>
              <w:t xml:space="preserve"> </w:t>
            </w:r>
            <w:r w:rsidRPr="00175A4D">
              <w:rPr>
                <w:sz w:val="20"/>
              </w:rPr>
              <w:t>who are lonely</w:t>
            </w:r>
          </w:p>
        </w:tc>
        <w:tc>
          <w:tcPr>
            <w:tcW w:w="1858" w:type="dxa"/>
          </w:tcPr>
          <w:p w14:paraId="01660EDB" w14:textId="2333631A" w:rsidR="00875356" w:rsidRPr="00875356" w:rsidRDefault="00875356" w:rsidP="00875356">
            <w:pPr>
              <w:pStyle w:val="Body"/>
              <w:rPr>
                <w:b/>
                <w:bCs/>
                <w:sz w:val="20"/>
              </w:rPr>
            </w:pPr>
            <w:r w:rsidRPr="00875356">
              <w:rPr>
                <w:sz w:val="20"/>
              </w:rPr>
              <w:t xml:space="preserve">New measure for </w:t>
            </w:r>
            <w:r w:rsidRPr="00875356">
              <w:rPr>
                <w:b/>
                <w:bCs/>
                <w:sz w:val="20"/>
              </w:rPr>
              <w:t>digital</w:t>
            </w:r>
            <w:r w:rsidRPr="00906D8F">
              <w:rPr>
                <w:b/>
                <w:bCs/>
                <w:sz w:val="20"/>
              </w:rPr>
              <w:t xml:space="preserve"> </w:t>
            </w:r>
            <w:r w:rsidRPr="00875356">
              <w:rPr>
                <w:sz w:val="20"/>
              </w:rPr>
              <w:t>access, affordability and</w:t>
            </w:r>
            <w:r w:rsidR="00B62F90" w:rsidRPr="00906D8F">
              <w:rPr>
                <w:sz w:val="20"/>
              </w:rPr>
              <w:t xml:space="preserve"> </w:t>
            </w:r>
            <w:r w:rsidRPr="00875356">
              <w:rPr>
                <w:sz w:val="20"/>
              </w:rPr>
              <w:t>digital ability</w:t>
            </w:r>
            <w:r w:rsidRPr="00875356">
              <w:rPr>
                <w:b/>
                <w:bCs/>
                <w:sz w:val="20"/>
              </w:rPr>
              <w:t>:</w:t>
            </w:r>
          </w:p>
          <w:p w14:paraId="0A172E2F" w14:textId="638E4C80" w:rsidR="00347C0D" w:rsidRPr="00906D8F" w:rsidRDefault="00875356" w:rsidP="00875356">
            <w:pPr>
              <w:pStyle w:val="Body"/>
              <w:rPr>
                <w:sz w:val="20"/>
              </w:rPr>
            </w:pPr>
            <w:r w:rsidRPr="00875356">
              <w:rPr>
                <w:i/>
                <w:iCs/>
                <w:sz w:val="20"/>
              </w:rPr>
              <w:t xml:space="preserve">• </w:t>
            </w:r>
            <w:r w:rsidRPr="00175A4D">
              <w:rPr>
                <w:sz w:val="20"/>
              </w:rPr>
              <w:t>Victoria’s score on the Australian Digital Inclusion Index</w:t>
            </w:r>
          </w:p>
        </w:tc>
        <w:tc>
          <w:tcPr>
            <w:tcW w:w="1858" w:type="dxa"/>
          </w:tcPr>
          <w:p w14:paraId="742186A8" w14:textId="1B277776" w:rsidR="00E92ABD" w:rsidRPr="00E92ABD" w:rsidRDefault="00E92ABD" w:rsidP="00E92ABD">
            <w:pPr>
              <w:pStyle w:val="Body"/>
              <w:rPr>
                <w:b/>
                <w:bCs/>
                <w:sz w:val="20"/>
              </w:rPr>
            </w:pPr>
            <w:r w:rsidRPr="00E92ABD">
              <w:rPr>
                <w:sz w:val="20"/>
              </w:rPr>
              <w:t>New definition and</w:t>
            </w:r>
            <w:r w:rsidRPr="00906D8F">
              <w:rPr>
                <w:sz w:val="20"/>
              </w:rPr>
              <w:t xml:space="preserve"> </w:t>
            </w:r>
            <w:r w:rsidRPr="00E92ABD">
              <w:rPr>
                <w:sz w:val="20"/>
              </w:rPr>
              <w:t xml:space="preserve">measure for </w:t>
            </w:r>
            <w:r w:rsidRPr="00E92ABD">
              <w:rPr>
                <w:b/>
                <w:bCs/>
                <w:sz w:val="20"/>
              </w:rPr>
              <w:t>biodiversity:</w:t>
            </w:r>
          </w:p>
          <w:p w14:paraId="36538376" w14:textId="47352707" w:rsidR="00347C0D" w:rsidRPr="00906D8F" w:rsidRDefault="00E92ABD" w:rsidP="00E92ABD">
            <w:pPr>
              <w:pStyle w:val="Body"/>
              <w:rPr>
                <w:sz w:val="20"/>
              </w:rPr>
            </w:pPr>
            <w:r w:rsidRPr="00E92ABD">
              <w:rPr>
                <w:i/>
                <w:iCs/>
                <w:sz w:val="20"/>
              </w:rPr>
              <w:t xml:space="preserve">• </w:t>
            </w:r>
            <w:r w:rsidRPr="00175A4D">
              <w:rPr>
                <w:sz w:val="20"/>
              </w:rPr>
              <w:t>Increased percentage of environmental indicators for biodiversity in the State of our Environment report assessed as improving</w:t>
            </w:r>
          </w:p>
        </w:tc>
      </w:tr>
    </w:tbl>
    <w:p w14:paraId="273EA9DA" w14:textId="0A39AD88" w:rsidR="00A92052" w:rsidRPr="00543C8E" w:rsidRDefault="00F914D1" w:rsidP="00BA5FA5">
      <w:pPr>
        <w:pStyle w:val="Heading2"/>
        <w:rPr>
          <w:b w:val="0"/>
          <w:bCs/>
        </w:rPr>
      </w:pPr>
      <w:bookmarkStart w:id="20" w:name="_Toc195193913"/>
      <w:bookmarkStart w:id="21" w:name="_Toc195614871"/>
      <w:bookmarkStart w:id="22" w:name="_Toc195778180"/>
      <w:bookmarkStart w:id="23" w:name="_Toc211959709"/>
      <w:bookmarkStart w:id="24" w:name="_Toc195193915"/>
      <w:r w:rsidRPr="00543C8E">
        <w:rPr>
          <w:b w:val="0"/>
          <w:bCs/>
        </w:rPr>
        <w:t>Aboriginal</w:t>
      </w:r>
      <w:r w:rsidR="00693519" w:rsidRPr="00543C8E">
        <w:rPr>
          <w:b w:val="0"/>
          <w:bCs/>
        </w:rPr>
        <w:t xml:space="preserve"> </w:t>
      </w:r>
      <w:r w:rsidR="00A92052" w:rsidRPr="00543C8E">
        <w:rPr>
          <w:b w:val="0"/>
          <w:bCs/>
        </w:rPr>
        <w:t>data sovereignty</w:t>
      </w:r>
      <w:bookmarkEnd w:id="20"/>
      <w:bookmarkEnd w:id="21"/>
      <w:bookmarkEnd w:id="22"/>
      <w:r w:rsidR="00A92052" w:rsidRPr="00543C8E">
        <w:rPr>
          <w:b w:val="0"/>
          <w:bCs/>
        </w:rPr>
        <w:t xml:space="preserve"> </w:t>
      </w:r>
      <w:r w:rsidR="0053773F" w:rsidRPr="00543C8E">
        <w:rPr>
          <w:b w:val="0"/>
          <w:bCs/>
        </w:rPr>
        <w:t>in Victoria</w:t>
      </w:r>
      <w:bookmarkEnd w:id="23"/>
    </w:p>
    <w:p w14:paraId="470582E7" w14:textId="139E2562" w:rsidR="003C6036" w:rsidRDefault="00A92052" w:rsidP="00BA5FA5">
      <w:pPr>
        <w:pStyle w:val="Body"/>
      </w:pPr>
      <w:r>
        <w:t xml:space="preserve">The outcomes framework recognises the unique experience of </w:t>
      </w:r>
      <w:r w:rsidR="005E5745">
        <w:t>Aboriginal</w:t>
      </w:r>
      <w:r w:rsidR="009E6D69">
        <w:t xml:space="preserve"> people in</w:t>
      </w:r>
      <w:r>
        <w:t xml:space="preserve"> Victoria and their self-determined holistic concepts of health and wellbeing</w:t>
      </w:r>
      <w:r w:rsidR="000E79F0">
        <w:t>,</w:t>
      </w:r>
      <w:r>
        <w:t xml:space="preserve"> and community-controlled models of healthcare</w:t>
      </w:r>
      <w:r>
        <w:rPr>
          <w:rStyle w:val="FootnoteReference"/>
        </w:rPr>
        <w:footnoteReference w:id="2"/>
      </w:r>
      <w:r>
        <w:t xml:space="preserve">. </w:t>
      </w:r>
    </w:p>
    <w:p w14:paraId="65AC342F" w14:textId="0A96284B" w:rsidR="00A92052" w:rsidRDefault="00A92052" w:rsidP="00BA5FA5">
      <w:pPr>
        <w:pStyle w:val="Body"/>
      </w:pPr>
      <w:r>
        <w:t xml:space="preserve">The </w:t>
      </w:r>
      <w:proofErr w:type="spellStart"/>
      <w:r>
        <w:t>Yoorrook</w:t>
      </w:r>
      <w:proofErr w:type="spellEnd"/>
      <w:r>
        <w:t xml:space="preserve"> Justice Commission defines Indigenous data sovereignty as </w:t>
      </w:r>
      <w:r w:rsidR="00841B26">
        <w:t>‘</w:t>
      </w:r>
      <w:r>
        <w:t>the right of Indigenous Peoples to own, control, access and possess data that derive from them, and which pertain to their members, knowledge systems, customs, resources or territories</w:t>
      </w:r>
      <w:r w:rsidR="00D44277">
        <w:t>’</w:t>
      </w:r>
      <w:r>
        <w:rPr>
          <w:rStyle w:val="FootnoteReference"/>
        </w:rPr>
        <w:footnoteReference w:id="3"/>
      </w:r>
      <w:r w:rsidR="00D44277">
        <w:t>.</w:t>
      </w:r>
      <w:r w:rsidRPr="00675CB6">
        <w:t xml:space="preserve"> </w:t>
      </w:r>
      <w:r w:rsidR="008329B5">
        <w:t>D</w:t>
      </w:r>
      <w:r w:rsidR="008329B5" w:rsidRPr="00E746A7">
        <w:t xml:space="preserve">ata and information pertaining to Aboriginal peoples </w:t>
      </w:r>
      <w:r w:rsidR="00CD7C84">
        <w:t>must be</w:t>
      </w:r>
      <w:r w:rsidR="008329B5" w:rsidRPr="00E746A7">
        <w:t xml:space="preserve"> governed and used in accordance with Indigenous Data Sovereignty principles.</w:t>
      </w:r>
    </w:p>
    <w:p w14:paraId="1A5AC911" w14:textId="53E96F96" w:rsidR="00A92052" w:rsidRDefault="00A92052" w:rsidP="00BA5FA5">
      <w:pPr>
        <w:pStyle w:val="Body"/>
      </w:pPr>
      <w:r>
        <w:t xml:space="preserve">For this outcomes framework, it is important to note that the concept of Indigenous data sovereignty is key </w:t>
      </w:r>
      <w:r w:rsidR="006B6699">
        <w:t>in</w:t>
      </w:r>
      <w:r>
        <w:t xml:space="preserve"> supporting </w:t>
      </w:r>
      <w:r w:rsidR="0031497B">
        <w:t>Community’s</w:t>
      </w:r>
      <w:r w:rsidR="000849F0">
        <w:t xml:space="preserve"> </w:t>
      </w:r>
      <w:r>
        <w:t xml:space="preserve">vision that </w:t>
      </w:r>
      <w:r w:rsidRPr="0048609B">
        <w:t>Aboriginal people have access to a health system that is holistic, culturally safe, accessible and empowering</w:t>
      </w:r>
      <w:r>
        <w:rPr>
          <w:rStyle w:val="FootnoteReference"/>
        </w:rPr>
        <w:footnoteReference w:id="4"/>
      </w:r>
      <w:r w:rsidR="00B702C6">
        <w:t>.</w:t>
      </w:r>
      <w:r w:rsidR="00024EFE">
        <w:t xml:space="preserve"> </w:t>
      </w:r>
      <w:r>
        <w:t xml:space="preserve">Implementation of this framework requires </w:t>
      </w:r>
      <w:r>
        <w:lastRenderedPageBreak/>
        <w:t>an understanding of Aboriginal ways of knowing, doing and being</w:t>
      </w:r>
      <w:r w:rsidR="00181567">
        <w:t>, noting that culturally inappropriate</w:t>
      </w:r>
      <w:r w:rsidR="00D01D05">
        <w:t xml:space="preserve"> use of data</w:t>
      </w:r>
      <w:r>
        <w:t xml:space="preserve"> can lead to deficit-based narratives that fail to acknowledge the strengths of Aboriginal cultural practices as protective factors for Aboriginal people.</w:t>
      </w:r>
    </w:p>
    <w:p w14:paraId="27E04A6C" w14:textId="773C46F9" w:rsidR="00A92052" w:rsidRDefault="00C830BB" w:rsidP="00BA5FA5">
      <w:pPr>
        <w:pStyle w:val="Body"/>
      </w:pPr>
      <w:r>
        <w:t>Specific A</w:t>
      </w:r>
      <w:r w:rsidR="00081F02">
        <w:t>boriginal p</w:t>
      </w:r>
      <w:r w:rsidR="00A92052" w:rsidRPr="00E410A8">
        <w:t>opulation</w:t>
      </w:r>
      <w:r w:rsidR="00FC23B0">
        <w:t>-</w:t>
      </w:r>
      <w:r w:rsidR="00A92052" w:rsidRPr="00E410A8">
        <w:t xml:space="preserve">level data </w:t>
      </w:r>
      <w:r w:rsidR="005A7669">
        <w:t>provide</w:t>
      </w:r>
      <w:r w:rsidR="00EF7F61">
        <w:t xml:space="preserve">s an understanding </w:t>
      </w:r>
      <w:r w:rsidR="00F91D90">
        <w:t xml:space="preserve">of how </w:t>
      </w:r>
      <w:r w:rsidR="00A92052" w:rsidRPr="00E410A8">
        <w:t>Victor</w:t>
      </w:r>
      <w:r w:rsidR="00A92052">
        <w:t>i</w:t>
      </w:r>
      <w:r w:rsidR="00A92052" w:rsidRPr="00E410A8">
        <w:t>a is track</w:t>
      </w:r>
      <w:r w:rsidR="00D1549A">
        <w:t>ing</w:t>
      </w:r>
      <w:r w:rsidR="0006380E">
        <w:t xml:space="preserve"> against several</w:t>
      </w:r>
      <w:r w:rsidR="00A92052" w:rsidRPr="00E410A8">
        <w:t xml:space="preserve"> commitments </w:t>
      </w:r>
      <w:r w:rsidR="008C4BB1">
        <w:t>to improve</w:t>
      </w:r>
      <w:r w:rsidR="006207D4">
        <w:t xml:space="preserve"> Aboriginal health and wellbeing</w:t>
      </w:r>
      <w:r w:rsidR="00010AA1">
        <w:t xml:space="preserve">, including </w:t>
      </w:r>
      <w:r w:rsidR="00A92052" w:rsidRPr="00E410A8">
        <w:t>the National Agreement o</w:t>
      </w:r>
      <w:r w:rsidR="00A92052">
        <w:t>n</w:t>
      </w:r>
      <w:r w:rsidR="00A92052" w:rsidRPr="00E410A8">
        <w:t xml:space="preserve"> Closing the Gap</w:t>
      </w:r>
      <w:r w:rsidR="00A92052">
        <w:rPr>
          <w:rStyle w:val="FootnoteReference"/>
        </w:rPr>
        <w:footnoteReference w:id="5"/>
      </w:r>
      <w:r w:rsidR="000334D1">
        <w:t>.</w:t>
      </w:r>
      <w:r w:rsidR="00B31668">
        <w:t xml:space="preserve"> </w:t>
      </w:r>
      <w:r w:rsidR="00514330">
        <w:t>However</w:t>
      </w:r>
      <w:r w:rsidR="00E81188">
        <w:t xml:space="preserve">, </w:t>
      </w:r>
      <w:r w:rsidR="00A92052">
        <w:t>significant data</w:t>
      </w:r>
      <w:r w:rsidR="00A92052" w:rsidRPr="00E410A8">
        <w:t xml:space="preserve"> gaps</w:t>
      </w:r>
      <w:r w:rsidR="00133D95">
        <w:t xml:space="preserve"> remain</w:t>
      </w:r>
      <w:r w:rsidR="00A92052" w:rsidRPr="00E410A8">
        <w:t xml:space="preserve"> for </w:t>
      </w:r>
      <w:r w:rsidR="00A92052">
        <w:t>Aboriginal</w:t>
      </w:r>
      <w:r w:rsidR="00A92052" w:rsidRPr="00E410A8">
        <w:t xml:space="preserve"> </w:t>
      </w:r>
      <w:r w:rsidR="003C00F5">
        <w:t>p</w:t>
      </w:r>
      <w:r w:rsidR="00A92052" w:rsidRPr="00E410A8">
        <w:t xml:space="preserve">eople in Victoria, </w:t>
      </w:r>
      <w:r w:rsidR="00A173B9">
        <w:t xml:space="preserve">as such, </w:t>
      </w:r>
      <w:r w:rsidR="00B36CE4">
        <w:t>establish</w:t>
      </w:r>
      <w:r w:rsidR="00A173B9">
        <w:t>ing</w:t>
      </w:r>
      <w:r w:rsidR="00B36CE4">
        <w:t xml:space="preserve"> data </w:t>
      </w:r>
      <w:r w:rsidR="000C6059">
        <w:t>sharing</w:t>
      </w:r>
      <w:r w:rsidR="00B36CE4">
        <w:t xml:space="preserve"> </w:t>
      </w:r>
      <w:r w:rsidR="00D72570">
        <w:t>arrangement</w:t>
      </w:r>
      <w:r w:rsidR="00246596">
        <w:t>s between the Victorian Department of Health</w:t>
      </w:r>
      <w:r w:rsidR="00E245AA">
        <w:t xml:space="preserve"> and </w:t>
      </w:r>
      <w:r w:rsidR="00A92052" w:rsidRPr="00AE35BC">
        <w:t>Aboriginal community-controlled organisations</w:t>
      </w:r>
      <w:r w:rsidR="001E5FE7">
        <w:t>,</w:t>
      </w:r>
      <w:r w:rsidR="00A92052" w:rsidRPr="00AE35BC">
        <w:t xml:space="preserve"> </w:t>
      </w:r>
      <w:r w:rsidR="00E245AA">
        <w:t>who</w:t>
      </w:r>
      <w:r w:rsidR="00403A38" w:rsidRPr="00AE35BC">
        <w:t xml:space="preserve"> </w:t>
      </w:r>
      <w:r w:rsidR="00A92052" w:rsidRPr="00AE35BC">
        <w:t xml:space="preserve">know what works best for their </w:t>
      </w:r>
      <w:r w:rsidR="00F07A87">
        <w:t xml:space="preserve">local </w:t>
      </w:r>
      <w:r w:rsidR="00A92052" w:rsidRPr="00AE35BC">
        <w:t>communities</w:t>
      </w:r>
      <w:r w:rsidR="001E5FE7">
        <w:t>,</w:t>
      </w:r>
      <w:r w:rsidR="00F278D5">
        <w:t xml:space="preserve"> is important</w:t>
      </w:r>
      <w:r w:rsidR="00A92052" w:rsidRPr="00E410A8">
        <w:t>.</w:t>
      </w:r>
    </w:p>
    <w:p w14:paraId="45E9D6DF" w14:textId="4201EB37" w:rsidR="00FC66E5" w:rsidRDefault="00A92052" w:rsidP="00BA5FA5">
      <w:pPr>
        <w:pStyle w:val="Body"/>
      </w:pPr>
      <w:r>
        <w:t xml:space="preserve">The outcomes framework aligns with other important frameworks for Aboriginal people, including the nationally agreed </w:t>
      </w:r>
      <w:r w:rsidRPr="0048609B">
        <w:rPr>
          <w:b/>
          <w:bCs/>
        </w:rPr>
        <w:t>Closing the Gap Framework</w:t>
      </w:r>
      <w:r w:rsidR="002C1395">
        <w:rPr>
          <w:i/>
          <w:iCs/>
        </w:rPr>
        <w:t>,</w:t>
      </w:r>
      <w:r>
        <w:t xml:space="preserve"> the </w:t>
      </w:r>
      <w:r w:rsidRPr="0048609B">
        <w:rPr>
          <w:b/>
          <w:bCs/>
        </w:rPr>
        <w:t>Victorian Aboriginal Affairs Framework 2018</w:t>
      </w:r>
      <w:r w:rsidR="00FC66E5" w:rsidRPr="0048609B">
        <w:rPr>
          <w:b/>
          <w:bCs/>
        </w:rPr>
        <w:t>–</w:t>
      </w:r>
      <w:r w:rsidRPr="0048609B">
        <w:rPr>
          <w:b/>
          <w:bCs/>
        </w:rPr>
        <w:t>2023</w:t>
      </w:r>
      <w:r w:rsidR="002C1395">
        <w:rPr>
          <w:i/>
          <w:iCs/>
        </w:rPr>
        <w:t xml:space="preserve"> </w:t>
      </w:r>
      <w:r w:rsidR="002C1395" w:rsidRPr="00A57342">
        <w:t>and the</w:t>
      </w:r>
      <w:r w:rsidR="002C1395">
        <w:rPr>
          <w:i/>
          <w:iCs/>
        </w:rPr>
        <w:t xml:space="preserve"> </w:t>
      </w:r>
      <w:r w:rsidR="00A57342">
        <w:t xml:space="preserve">forthcoming </w:t>
      </w:r>
      <w:r w:rsidR="00A57342" w:rsidRPr="0012214A">
        <w:t>Aboriginal Health and Wellbeing Partnership</w:t>
      </w:r>
      <w:r w:rsidR="00A57342" w:rsidRPr="00992391">
        <w:rPr>
          <w:i/>
          <w:iCs/>
        </w:rPr>
        <w:t xml:space="preserve"> (</w:t>
      </w:r>
      <w:r w:rsidR="00A57342" w:rsidRPr="0012214A">
        <w:t>AHWP</w:t>
      </w:r>
      <w:r w:rsidR="00A57342" w:rsidRPr="00992391">
        <w:rPr>
          <w:i/>
          <w:iCs/>
        </w:rPr>
        <w:t xml:space="preserve">) </w:t>
      </w:r>
      <w:r w:rsidR="00A57342" w:rsidRPr="0012214A">
        <w:t>Accountability Framework</w:t>
      </w:r>
      <w:r w:rsidR="00A57342">
        <w:t xml:space="preserve"> and data dashboard, to be developed in partnership with the Victorian Aboriginal Controlled Community Health Organisation (VAC</w:t>
      </w:r>
      <w:r w:rsidR="00250481">
        <w:t>C</w:t>
      </w:r>
      <w:r w:rsidR="00A57342">
        <w:t>HO) and Aboriginal people of Victoria.</w:t>
      </w:r>
    </w:p>
    <w:p w14:paraId="6293E261" w14:textId="4C77BE6F" w:rsidR="00A92052" w:rsidRDefault="0098032C" w:rsidP="00BA5FA5">
      <w:pPr>
        <w:pStyle w:val="Body"/>
      </w:pPr>
      <w:r>
        <w:t>The following s</w:t>
      </w:r>
      <w:r w:rsidR="00A92052">
        <w:t>ources of information on the health and wellbeing of Aboriginal people in Victoria</w:t>
      </w:r>
      <w:r w:rsidR="00AB53A2">
        <w:t xml:space="preserve"> </w:t>
      </w:r>
      <w:r w:rsidR="00A92052">
        <w:t>are recommended:</w:t>
      </w:r>
    </w:p>
    <w:p w14:paraId="5E609893" w14:textId="5248841A" w:rsidR="00A92052" w:rsidRDefault="00A92052" w:rsidP="002041E3">
      <w:pPr>
        <w:pStyle w:val="Bullet1"/>
      </w:pPr>
      <w:hyperlink r:id="rId18" w:history="1">
        <w:r w:rsidRPr="00D66A2C">
          <w:rPr>
            <w:rStyle w:val="Hyperlink"/>
          </w:rPr>
          <w:t>Closing the Gap targets and outcomes</w:t>
        </w:r>
      </w:hyperlink>
      <w:r>
        <w:t xml:space="preserve"> </w:t>
      </w:r>
      <w:r w:rsidR="00D66A2C">
        <w:t>&lt;</w:t>
      </w:r>
      <w:r w:rsidR="000D35B1">
        <w:t>www</w:t>
      </w:r>
      <w:r w:rsidR="00D66A2C" w:rsidRPr="00D66A2C">
        <w:t>.closingthegap.gov.au/national-agreement/targets</w:t>
      </w:r>
      <w:r w:rsidR="00D66A2C">
        <w:t>&gt;</w:t>
      </w:r>
    </w:p>
    <w:p w14:paraId="3ACA2A7A" w14:textId="1FC1189D" w:rsidR="00A92052" w:rsidRDefault="00A92052" w:rsidP="002041E3">
      <w:pPr>
        <w:pStyle w:val="Bullet1"/>
      </w:pPr>
      <w:hyperlink r:id="rId19" w:history="1">
        <w:r w:rsidRPr="006A436F">
          <w:rPr>
            <w:rStyle w:val="Hyperlink"/>
            <w:i/>
            <w:iCs/>
          </w:rPr>
          <w:t xml:space="preserve">Victorian Aboriginal Affairs Framework </w:t>
        </w:r>
        <w:r w:rsidRPr="00C84C6C">
          <w:rPr>
            <w:rStyle w:val="Hyperlink"/>
          </w:rPr>
          <w:t>(VAAF) data dashboa</w:t>
        </w:r>
        <w:r w:rsidR="00C84C6C">
          <w:rPr>
            <w:rStyle w:val="Hyperlink"/>
          </w:rPr>
          <w:t>rd</w:t>
        </w:r>
      </w:hyperlink>
      <w:r w:rsidR="009508D0">
        <w:t xml:space="preserve"> &lt;</w:t>
      </w:r>
      <w:r w:rsidR="000D35B1">
        <w:t>www</w:t>
      </w:r>
      <w:r w:rsidR="009508D0" w:rsidRPr="009508D0">
        <w:t>.firstpeoplesrelations.vic.gov.au/victorian-aboriginal-affairs-framework-data-dashboard</w:t>
      </w:r>
      <w:r w:rsidR="009508D0">
        <w:t>&gt;</w:t>
      </w:r>
    </w:p>
    <w:p w14:paraId="78CC5372" w14:textId="62868D1C" w:rsidR="00A92052" w:rsidRPr="00302B8A" w:rsidRDefault="00A92052" w:rsidP="002041E3">
      <w:pPr>
        <w:pStyle w:val="Bullet1"/>
      </w:pPr>
      <w:hyperlink r:id="rId20" w:history="1">
        <w:r w:rsidRPr="00302B8A">
          <w:rPr>
            <w:rStyle w:val="Hyperlink"/>
          </w:rPr>
          <w:t>Victorian Government Aboriginal Affairs Report</w:t>
        </w:r>
      </w:hyperlink>
      <w:r w:rsidR="003B3B28">
        <w:t xml:space="preserve"> &lt;</w:t>
      </w:r>
      <w:r w:rsidR="000D35B1">
        <w:t>www</w:t>
      </w:r>
      <w:r w:rsidR="00DD52D7" w:rsidRPr="00DD52D7">
        <w:t>.firstpeoplesrelations.vic.gov.au/aboriginal-affairs-report</w:t>
      </w:r>
      <w:r w:rsidR="003B3B28">
        <w:t>&gt;</w:t>
      </w:r>
    </w:p>
    <w:p w14:paraId="51AA4768" w14:textId="09F203AB" w:rsidR="00A92052" w:rsidRPr="00302B8A" w:rsidRDefault="00970F98" w:rsidP="002041E3">
      <w:pPr>
        <w:pStyle w:val="Bullet1"/>
      </w:pPr>
      <w:r w:rsidRPr="006A436F">
        <w:t xml:space="preserve">AHWP </w:t>
      </w:r>
      <w:r w:rsidR="00A92052" w:rsidRPr="006A436F">
        <w:t>Forum</w:t>
      </w:r>
      <w:r w:rsidR="003371E6">
        <w:t xml:space="preserve"> &lt;</w:t>
      </w:r>
      <w:r w:rsidR="000D35B1">
        <w:t>www</w:t>
      </w:r>
      <w:r w:rsidR="003371E6" w:rsidRPr="003371E6">
        <w:t>.vaccho.org.au/ahwpf/</w:t>
      </w:r>
      <w:r w:rsidR="003371E6">
        <w:t>&gt;.</w:t>
      </w:r>
    </w:p>
    <w:p w14:paraId="0C823887" w14:textId="77777777" w:rsidR="00A92052" w:rsidRDefault="00A92052" w:rsidP="00BA5FA5">
      <w:pPr>
        <w:pStyle w:val="Heading1"/>
      </w:pPr>
      <w:bookmarkStart w:id="25" w:name="_Toc195614872"/>
      <w:bookmarkStart w:id="26" w:name="_Toc195778181"/>
      <w:bookmarkStart w:id="27" w:name="_Toc211959710"/>
      <w:r>
        <w:t>Purpose</w:t>
      </w:r>
      <w:bookmarkEnd w:id="24"/>
      <w:bookmarkEnd w:id="25"/>
      <w:bookmarkEnd w:id="26"/>
      <w:bookmarkEnd w:id="27"/>
    </w:p>
    <w:p w14:paraId="7ABF3B0D" w14:textId="77777777" w:rsidR="00A92052" w:rsidRDefault="00A92052" w:rsidP="00BA5FA5">
      <w:pPr>
        <w:pStyle w:val="Body"/>
      </w:pPr>
      <w:r>
        <w:t xml:space="preserve">The outcomes framework enables us to monitor our cumulative impact on changes to health and wellbeing. By providing a systematic mechanism to track and report longer-term changes, the outcomes framework supports us to identify emerging trends and potential problems. </w:t>
      </w:r>
    </w:p>
    <w:p w14:paraId="154961C7" w14:textId="484174BB" w:rsidR="00A92052" w:rsidRDefault="00A92052" w:rsidP="00BA5FA5">
      <w:pPr>
        <w:pStyle w:val="Body"/>
      </w:pPr>
      <w:r>
        <w:t>This may include the positive or negative effects of unanticipated developments in the wider community, such as changes to policy settings at different levels of government, technological and scientific advances</w:t>
      </w:r>
      <w:r w:rsidR="00416038">
        <w:t>,</w:t>
      </w:r>
      <w:r>
        <w:t xml:space="preserve"> or private</w:t>
      </w:r>
      <w:r w:rsidR="00416038">
        <w:t>-</w:t>
      </w:r>
      <w:r>
        <w:t>sector activities.</w:t>
      </w:r>
    </w:p>
    <w:p w14:paraId="3B38D31B" w14:textId="77777777" w:rsidR="00A92052" w:rsidRDefault="00A92052" w:rsidP="00BA5FA5">
      <w:pPr>
        <w:pStyle w:val="Body"/>
      </w:pPr>
      <w:r>
        <w:t>Outcomes can support flexibility for people and place. At the local level, an outcomes approach helps us to tailor policy implementation to address local priorities, opportunities and challenges.</w:t>
      </w:r>
    </w:p>
    <w:p w14:paraId="0E07750C" w14:textId="5534F780" w:rsidR="00A92052" w:rsidRDefault="00A92052" w:rsidP="00BA5FA5">
      <w:pPr>
        <w:pStyle w:val="Body"/>
      </w:pPr>
      <w:r>
        <w:t xml:space="preserve">One of the main purposes of the </w:t>
      </w:r>
      <w:proofErr w:type="gramStart"/>
      <w:r>
        <w:t>outcomes</w:t>
      </w:r>
      <w:proofErr w:type="gramEnd"/>
      <w:r>
        <w:t xml:space="preserve"> framework is to assess inequalities according to specific population groups and geographic areas, where data is available, and to identify whether improvements to health and wellbeing are shared equally across Victoria.</w:t>
      </w:r>
    </w:p>
    <w:p w14:paraId="4F2216B7" w14:textId="77777777" w:rsidR="00A92052" w:rsidRPr="00543C8E" w:rsidRDefault="00A92052" w:rsidP="00BA5FA5">
      <w:pPr>
        <w:pStyle w:val="Heading2"/>
        <w:rPr>
          <w:b w:val="0"/>
          <w:bCs/>
        </w:rPr>
      </w:pPr>
      <w:bookmarkStart w:id="28" w:name="_Toc195193916"/>
      <w:bookmarkStart w:id="29" w:name="_Toc195614873"/>
      <w:bookmarkStart w:id="30" w:name="_Toc195778182"/>
      <w:bookmarkStart w:id="31" w:name="_Toc211959711"/>
      <w:r w:rsidRPr="00543C8E">
        <w:rPr>
          <w:b w:val="0"/>
          <w:bCs/>
        </w:rPr>
        <w:lastRenderedPageBreak/>
        <w:t>Whole-of-government approach</w:t>
      </w:r>
      <w:bookmarkEnd w:id="28"/>
      <w:bookmarkEnd w:id="29"/>
      <w:bookmarkEnd w:id="30"/>
      <w:bookmarkEnd w:id="31"/>
    </w:p>
    <w:p w14:paraId="69CE3DA6" w14:textId="620B6187" w:rsidR="00A92052" w:rsidRDefault="00A92052" w:rsidP="00BA5FA5">
      <w:pPr>
        <w:pStyle w:val="Body"/>
      </w:pPr>
      <w:r w:rsidRPr="00984AFC">
        <w:t xml:space="preserve">Improving population health and wellbeing can take many </w:t>
      </w:r>
      <w:proofErr w:type="gramStart"/>
      <w:r w:rsidRPr="00984AFC">
        <w:t>years</w:t>
      </w:r>
      <w:r w:rsidR="001B6141">
        <w:t>,</w:t>
      </w:r>
      <w:r w:rsidRPr="00984AFC">
        <w:t xml:space="preserve"> and</w:t>
      </w:r>
      <w:proofErr w:type="gramEnd"/>
      <w:r w:rsidRPr="00984AFC">
        <w:t xml:space="preserve"> requires concerted and collective effort across a range of sector</w:t>
      </w:r>
      <w:r>
        <w:t>s. Many of</w:t>
      </w:r>
      <w:r w:rsidRPr="00C83BD9">
        <w:t xml:space="preserve"> the strongest influences on health and wellbeing are not within the remit of </w:t>
      </w:r>
      <w:r>
        <w:t>the h</w:t>
      </w:r>
      <w:r w:rsidRPr="00C83BD9">
        <w:t>ealth</w:t>
      </w:r>
      <w:r>
        <w:t xml:space="preserve"> sector, </w:t>
      </w:r>
      <w:r w:rsidR="001B6141">
        <w:t>such as</w:t>
      </w:r>
      <w:r>
        <w:t xml:space="preserve"> food security, education and employment</w:t>
      </w:r>
      <w:r w:rsidRPr="00984AFC">
        <w:t>.</w:t>
      </w:r>
      <w:r>
        <w:t xml:space="preserve"> </w:t>
      </w:r>
    </w:p>
    <w:p w14:paraId="281FFAF9" w14:textId="64CA22D1" w:rsidR="00A92052" w:rsidRDefault="00A92052" w:rsidP="00BA5FA5">
      <w:pPr>
        <w:pStyle w:val="Body"/>
      </w:pPr>
      <w:r w:rsidRPr="00B3712B">
        <w:t>The outcomes framework aligns with a whole</w:t>
      </w:r>
      <w:r w:rsidR="00E216EF">
        <w:t xml:space="preserve"> </w:t>
      </w:r>
      <w:r w:rsidRPr="00B3712B">
        <w:t>of</w:t>
      </w:r>
      <w:r w:rsidR="00E216EF">
        <w:t xml:space="preserve"> </w:t>
      </w:r>
      <w:r w:rsidRPr="00B3712B">
        <w:t xml:space="preserve">Victorian </w:t>
      </w:r>
      <w:r w:rsidR="00C75958">
        <w:t>G</w:t>
      </w:r>
      <w:r w:rsidRPr="00B3712B">
        <w:t>overnment outcomes-based approach</w:t>
      </w:r>
      <w:r>
        <w:rPr>
          <w:rStyle w:val="FootnoteReference"/>
        </w:rPr>
        <w:footnoteReference w:id="6"/>
      </w:r>
      <w:r>
        <w:t xml:space="preserve">. It supports and embeds a shared </w:t>
      </w:r>
      <w:r w:rsidRPr="006630F3">
        <w:t>commitment to public health and wellbeing</w:t>
      </w:r>
      <w:r>
        <w:t xml:space="preserve"> goals</w:t>
      </w:r>
      <w:r w:rsidRPr="006630F3">
        <w:t xml:space="preserve"> across Victorian </w:t>
      </w:r>
      <w:r>
        <w:t>sectors</w:t>
      </w:r>
      <w:r w:rsidRPr="006630F3">
        <w:t>, including education, social, environmental, economic, commercial and climate</w:t>
      </w:r>
      <w:r>
        <w:t xml:space="preserve"> organisations.</w:t>
      </w:r>
      <w:r w:rsidRPr="006630F3">
        <w:t xml:space="preserve"> </w:t>
      </w:r>
    </w:p>
    <w:p w14:paraId="6DEBEAFC" w14:textId="012C72E6" w:rsidR="00A92052" w:rsidRDefault="00A92052" w:rsidP="00BA5FA5">
      <w:pPr>
        <w:pStyle w:val="Body"/>
      </w:pPr>
      <w:r>
        <w:t xml:space="preserve">Together with the </w:t>
      </w:r>
      <w:r w:rsidR="00FD29AC">
        <w:t>Victorian</w:t>
      </w:r>
      <w:r w:rsidR="00FD29AC" w:rsidRPr="00C637FE">
        <w:t xml:space="preserve"> </w:t>
      </w:r>
      <w:r w:rsidRPr="00C637FE">
        <w:t>public health and wellbeing plan</w:t>
      </w:r>
      <w:r>
        <w:t xml:space="preserve">, the outcomes framework provides a clear sense of longer-term direction. This enables </w:t>
      </w:r>
      <w:r w:rsidR="0053030B">
        <w:t>s</w:t>
      </w:r>
      <w:r>
        <w:t>tate and local government departments and agencies to address health and wellbeing priority areas, set strategic directions, measure inequity</w:t>
      </w:r>
      <w:r w:rsidR="0053030B">
        <w:t>,</w:t>
      </w:r>
      <w:r>
        <w:t xml:space="preserve"> and monitor combined efforts to improve health and wellbeing.</w:t>
      </w:r>
    </w:p>
    <w:p w14:paraId="053F6999" w14:textId="20ADDF1A" w:rsidR="005753D2" w:rsidRDefault="00A92052" w:rsidP="00BA5FA5">
      <w:pPr>
        <w:pStyle w:val="Body"/>
      </w:pPr>
      <w:r>
        <w:t>The framework intersects</w:t>
      </w:r>
      <w:r w:rsidRPr="00B3712B">
        <w:t xml:space="preserve"> </w:t>
      </w:r>
      <w:r>
        <w:t>with a range of whole</w:t>
      </w:r>
      <w:r w:rsidR="0053030B">
        <w:t>-</w:t>
      </w:r>
      <w:r>
        <w:t>of</w:t>
      </w:r>
      <w:r w:rsidR="0053030B">
        <w:t>-</w:t>
      </w:r>
      <w:r>
        <w:t xml:space="preserve">government or portfolio-based policies and outcomes frameworks </w:t>
      </w:r>
      <w:r w:rsidR="0053030B">
        <w:t xml:space="preserve">that are </w:t>
      </w:r>
      <w:r>
        <w:t xml:space="preserve">relevant to health and wellbeing, </w:t>
      </w:r>
      <w:r w:rsidR="005753D2">
        <w:t>including</w:t>
      </w:r>
      <w:r w:rsidR="0002640B">
        <w:t xml:space="preserve"> the</w:t>
      </w:r>
      <w:r w:rsidR="005753D2">
        <w:t>:</w:t>
      </w:r>
    </w:p>
    <w:p w14:paraId="01893F89" w14:textId="2004EC91" w:rsidR="00DA4348" w:rsidRPr="00503124" w:rsidRDefault="00DA4348" w:rsidP="006D193D">
      <w:pPr>
        <w:pStyle w:val="Bullet1"/>
      </w:pPr>
      <w:r w:rsidRPr="00503124">
        <w:t>Wellbeing in Victoria: a strategy to promote good mental health 2025-2035 and Wellbeing Action Plan 2025-2027</w:t>
      </w:r>
    </w:p>
    <w:p w14:paraId="7A4A4AB5" w14:textId="01A86265" w:rsidR="005753D2" w:rsidRPr="006D193D" w:rsidRDefault="00A92052" w:rsidP="0006461A">
      <w:pPr>
        <w:pStyle w:val="Bullet1"/>
      </w:pPr>
      <w:r w:rsidRPr="006D193D">
        <w:t>Mental Health and Wellbeing Outcomes and Performance Framework</w:t>
      </w:r>
    </w:p>
    <w:p w14:paraId="5B8BA634" w14:textId="4B6068E0" w:rsidR="00C245DD" w:rsidRDefault="00C245DD" w:rsidP="0006461A">
      <w:pPr>
        <w:pStyle w:val="Bullet1"/>
      </w:pPr>
      <w:r w:rsidRPr="00C245DD">
        <w:t xml:space="preserve">Our promise, your future: Victoria’s youth strategy 2022-2027 and </w:t>
      </w:r>
      <w:r>
        <w:t>o</w:t>
      </w:r>
      <w:r w:rsidRPr="00C245DD">
        <w:t xml:space="preserve">utcomes </w:t>
      </w:r>
      <w:r>
        <w:t>f</w:t>
      </w:r>
      <w:r w:rsidRPr="00C245DD">
        <w:t>ramework</w:t>
      </w:r>
    </w:p>
    <w:p w14:paraId="6ACD5498" w14:textId="5B17CA02" w:rsidR="0002640B" w:rsidRDefault="00A92052" w:rsidP="0006461A">
      <w:pPr>
        <w:pStyle w:val="Bullet1"/>
      </w:pPr>
      <w:r w:rsidRPr="00BA17A7">
        <w:t>Pride in our Future: Victoria’s LGBTIQ</w:t>
      </w:r>
      <w:r w:rsidR="00725661">
        <w:t>A</w:t>
      </w:r>
      <w:r w:rsidRPr="00BA17A7">
        <w:t>+ Strategy 2022</w:t>
      </w:r>
      <w:r w:rsidR="00633908">
        <w:t>–</w:t>
      </w:r>
      <w:r w:rsidRPr="00BA17A7">
        <w:t>2032</w:t>
      </w:r>
      <w:r>
        <w:t xml:space="preserve"> </w:t>
      </w:r>
      <w:r w:rsidRPr="00727366">
        <w:t>and outcomes framework</w:t>
      </w:r>
    </w:p>
    <w:p w14:paraId="0EA2BF29" w14:textId="73B392BD" w:rsidR="00A92052" w:rsidRDefault="00A92052" w:rsidP="0006461A">
      <w:pPr>
        <w:pStyle w:val="Bullet1"/>
      </w:pPr>
      <w:r>
        <w:t xml:space="preserve">forthcoming </w:t>
      </w:r>
      <w:r w:rsidR="0089662B" w:rsidRPr="00F07963">
        <w:t>AHWP</w:t>
      </w:r>
      <w:r w:rsidRPr="00F07963">
        <w:t xml:space="preserve"> Accountability Framework</w:t>
      </w:r>
      <w:r>
        <w:t xml:space="preserve">. </w:t>
      </w:r>
    </w:p>
    <w:p w14:paraId="148C33E1" w14:textId="6C4C7543" w:rsidR="00A92052" w:rsidRDefault="00A92052" w:rsidP="0006461A">
      <w:pPr>
        <w:pStyle w:val="Bodyafterbullets"/>
      </w:pPr>
      <w:r>
        <w:t xml:space="preserve">Where relevant, linkages to other outcomes frameworks are provided </w:t>
      </w:r>
      <w:r w:rsidR="006351C2">
        <w:t xml:space="preserve">in the </w:t>
      </w:r>
      <w:r w:rsidR="006351C2" w:rsidRPr="003D4120">
        <w:t>data dictionary</w:t>
      </w:r>
      <w:r w:rsidR="006351C2">
        <w:t xml:space="preserve"> </w:t>
      </w:r>
      <w:r>
        <w:t>to support a systems approach to prevention and direct readers to additional metrics.</w:t>
      </w:r>
    </w:p>
    <w:p w14:paraId="61AF0A1D" w14:textId="77777777" w:rsidR="00A92052" w:rsidRPr="00543C8E" w:rsidRDefault="00A92052" w:rsidP="00BA5FA5">
      <w:pPr>
        <w:pStyle w:val="Heading2"/>
        <w:rPr>
          <w:b w:val="0"/>
          <w:bCs/>
        </w:rPr>
      </w:pPr>
      <w:bookmarkStart w:id="32" w:name="_Toc195193917"/>
      <w:bookmarkStart w:id="33" w:name="_Toc195614874"/>
      <w:bookmarkStart w:id="34" w:name="_Toc195778183"/>
      <w:bookmarkStart w:id="35" w:name="_Toc211959712"/>
      <w:r w:rsidRPr="00543C8E">
        <w:rPr>
          <w:b w:val="0"/>
          <w:bCs/>
        </w:rPr>
        <w:t>Population health approach</w:t>
      </w:r>
      <w:bookmarkEnd w:id="32"/>
      <w:bookmarkEnd w:id="33"/>
      <w:bookmarkEnd w:id="34"/>
      <w:bookmarkEnd w:id="35"/>
    </w:p>
    <w:p w14:paraId="1323F067" w14:textId="5511941B" w:rsidR="00A92052" w:rsidRDefault="00A92052" w:rsidP="00BA5FA5">
      <w:pPr>
        <w:pStyle w:val="Body"/>
      </w:pPr>
      <w:r>
        <w:t>A population health approach focuses on improving the health and wellbeing of whole populations</w:t>
      </w:r>
      <w:r w:rsidR="00C255E1">
        <w:t>,</w:t>
      </w:r>
      <w:r>
        <w:t xml:space="preserve"> as well as specific groups within the population. </w:t>
      </w:r>
    </w:p>
    <w:p w14:paraId="64CA482D" w14:textId="77777777" w:rsidR="00A92052" w:rsidRDefault="00A92052" w:rsidP="00BA5FA5">
      <w:pPr>
        <w:pStyle w:val="Body"/>
      </w:pPr>
      <w:r>
        <w:t>This approach recognises that health and wellbeing are influenced by the settings, circumstances and events of everyday life. Health outcomes are the result of a complex interplay of personal, social, economic and environmental factors that are generally referred to as the ‘determinants of health’</w:t>
      </w:r>
      <w:r>
        <w:rPr>
          <w:rStyle w:val="FootnoteReference"/>
        </w:rPr>
        <w:footnoteReference w:id="7"/>
      </w:r>
      <w:r>
        <w:t xml:space="preserve">. </w:t>
      </w:r>
    </w:p>
    <w:p w14:paraId="3F3FDF5B" w14:textId="3D9492D4" w:rsidR="00A92052" w:rsidRDefault="00A92052" w:rsidP="00BA5FA5">
      <w:pPr>
        <w:pStyle w:val="Body"/>
        <w:rPr>
          <w:szCs w:val="21"/>
        </w:rPr>
      </w:pPr>
      <w:r w:rsidRPr="006674E1">
        <w:rPr>
          <w:szCs w:val="21"/>
        </w:rPr>
        <w:t xml:space="preserve">The </w:t>
      </w:r>
      <w:r w:rsidRPr="004D2E58">
        <w:rPr>
          <w:szCs w:val="21"/>
        </w:rPr>
        <w:t xml:space="preserve">Victorian </w:t>
      </w:r>
      <w:r w:rsidR="000A0232">
        <w:rPr>
          <w:szCs w:val="21"/>
        </w:rPr>
        <w:t>p</w:t>
      </w:r>
      <w:r w:rsidRPr="004D2E58">
        <w:rPr>
          <w:szCs w:val="21"/>
        </w:rPr>
        <w:t xml:space="preserve">ublic </w:t>
      </w:r>
      <w:r w:rsidR="000A0232">
        <w:rPr>
          <w:szCs w:val="21"/>
        </w:rPr>
        <w:t>h</w:t>
      </w:r>
      <w:r w:rsidRPr="004D2E58">
        <w:rPr>
          <w:szCs w:val="21"/>
        </w:rPr>
        <w:t xml:space="preserve">ealth and </w:t>
      </w:r>
      <w:r w:rsidR="000A0232">
        <w:rPr>
          <w:szCs w:val="21"/>
        </w:rPr>
        <w:t>w</w:t>
      </w:r>
      <w:r w:rsidRPr="004D2E58">
        <w:rPr>
          <w:szCs w:val="21"/>
        </w:rPr>
        <w:t xml:space="preserve">ellbeing </w:t>
      </w:r>
      <w:r w:rsidR="000A0232">
        <w:rPr>
          <w:szCs w:val="21"/>
        </w:rPr>
        <w:t>p</w:t>
      </w:r>
      <w:r w:rsidRPr="004D2E58">
        <w:rPr>
          <w:szCs w:val="21"/>
        </w:rPr>
        <w:t>lan</w:t>
      </w:r>
      <w:r w:rsidRPr="006674E1">
        <w:rPr>
          <w:szCs w:val="21"/>
        </w:rPr>
        <w:t xml:space="preserve"> </w:t>
      </w:r>
      <w:r>
        <w:rPr>
          <w:szCs w:val="21"/>
        </w:rPr>
        <w:t xml:space="preserve">aims to provide strategic, overarching direction for </w:t>
      </w:r>
      <w:r w:rsidR="00233146">
        <w:rPr>
          <w:szCs w:val="21"/>
        </w:rPr>
        <w:t xml:space="preserve">the </w:t>
      </w:r>
      <w:r>
        <w:rPr>
          <w:szCs w:val="21"/>
        </w:rPr>
        <w:t>government and its partner</w:t>
      </w:r>
      <w:r w:rsidR="00233146">
        <w:rPr>
          <w:szCs w:val="21"/>
        </w:rPr>
        <w:t>s</w:t>
      </w:r>
      <w:r>
        <w:rPr>
          <w:szCs w:val="21"/>
        </w:rPr>
        <w:t xml:space="preserve"> to improve health outcomes by addressing the determinants of health. The outcomes framework monitors the impact of th</w:t>
      </w:r>
      <w:r w:rsidR="003F2145">
        <w:rPr>
          <w:szCs w:val="21"/>
        </w:rPr>
        <w:t>is p</w:t>
      </w:r>
      <w:r>
        <w:rPr>
          <w:szCs w:val="21"/>
        </w:rPr>
        <w:t>lan.</w:t>
      </w:r>
    </w:p>
    <w:p w14:paraId="73706DBB" w14:textId="5105F4E2" w:rsidR="00583953" w:rsidRDefault="00A92052" w:rsidP="00BA5FA5">
      <w:pPr>
        <w:pStyle w:val="Body"/>
        <w:rPr>
          <w:szCs w:val="21"/>
        </w:rPr>
      </w:pPr>
      <w:r>
        <w:rPr>
          <w:szCs w:val="21"/>
        </w:rPr>
        <w:t xml:space="preserve">The </w:t>
      </w:r>
      <w:r w:rsidR="003F2145">
        <w:rPr>
          <w:szCs w:val="21"/>
        </w:rPr>
        <w:t>p</w:t>
      </w:r>
      <w:r>
        <w:rPr>
          <w:szCs w:val="21"/>
        </w:rPr>
        <w:t>lan and outcomes framework acknowledge that m</w:t>
      </w:r>
      <w:r w:rsidRPr="006674E1">
        <w:rPr>
          <w:szCs w:val="21"/>
        </w:rPr>
        <w:t>any groups are disproportionately impacted</w:t>
      </w:r>
      <w:r>
        <w:rPr>
          <w:szCs w:val="21"/>
        </w:rPr>
        <w:t xml:space="preserve"> by health risk factors</w:t>
      </w:r>
      <w:r w:rsidRPr="006674E1">
        <w:rPr>
          <w:szCs w:val="21"/>
        </w:rPr>
        <w:t xml:space="preserve">, particularly </w:t>
      </w:r>
      <w:r w:rsidR="003F2145">
        <w:rPr>
          <w:szCs w:val="21"/>
        </w:rPr>
        <w:t>Aboriginal</w:t>
      </w:r>
      <w:r w:rsidR="004B65F5" w:rsidRPr="00A91FAE">
        <w:rPr>
          <w:szCs w:val="21"/>
        </w:rPr>
        <w:t xml:space="preserve"> </w:t>
      </w:r>
      <w:r w:rsidRPr="00A91FAE">
        <w:rPr>
          <w:szCs w:val="21"/>
        </w:rPr>
        <w:t>people</w:t>
      </w:r>
      <w:r w:rsidRPr="006674E1">
        <w:rPr>
          <w:szCs w:val="21"/>
        </w:rPr>
        <w:t>, older Victorians, lower socioeconomic groups, regional households, multicultural, refugee</w:t>
      </w:r>
      <w:r>
        <w:rPr>
          <w:szCs w:val="21"/>
        </w:rPr>
        <w:t>s</w:t>
      </w:r>
      <w:r w:rsidRPr="006674E1">
        <w:rPr>
          <w:szCs w:val="21"/>
        </w:rPr>
        <w:t>, temporary migrants, LGBTIQ</w:t>
      </w:r>
      <w:r>
        <w:rPr>
          <w:szCs w:val="21"/>
        </w:rPr>
        <w:t>A</w:t>
      </w:r>
      <w:r w:rsidRPr="006674E1">
        <w:rPr>
          <w:szCs w:val="21"/>
        </w:rPr>
        <w:t>+ people, carers and people with disabilit</w:t>
      </w:r>
      <w:r w:rsidR="00BB1954">
        <w:rPr>
          <w:szCs w:val="21"/>
        </w:rPr>
        <w:t>y</w:t>
      </w:r>
      <w:r w:rsidRPr="006674E1">
        <w:rPr>
          <w:szCs w:val="21"/>
        </w:rPr>
        <w:t>.</w:t>
      </w:r>
    </w:p>
    <w:p w14:paraId="10688D50" w14:textId="0FD70B72" w:rsidR="00A92052" w:rsidRPr="00525853" w:rsidRDefault="00A92052" w:rsidP="00BA5FA5">
      <w:pPr>
        <w:pStyle w:val="Body"/>
        <w:rPr>
          <w:szCs w:val="21"/>
        </w:rPr>
      </w:pPr>
      <w:r>
        <w:rPr>
          <w:szCs w:val="21"/>
        </w:rPr>
        <w:lastRenderedPageBreak/>
        <w:t xml:space="preserve">The </w:t>
      </w:r>
      <w:r w:rsidR="003F2145">
        <w:rPr>
          <w:szCs w:val="21"/>
        </w:rPr>
        <w:t>p</w:t>
      </w:r>
      <w:r>
        <w:rPr>
          <w:szCs w:val="21"/>
        </w:rPr>
        <w:t>lan and outcomes framework also aim to achieve a</w:t>
      </w:r>
      <w:r w:rsidRPr="006674E1">
        <w:rPr>
          <w:szCs w:val="21"/>
        </w:rPr>
        <w:t xml:space="preserve">n equitable approach to health </w:t>
      </w:r>
      <w:r>
        <w:rPr>
          <w:szCs w:val="21"/>
        </w:rPr>
        <w:t>in which all Victorians have</w:t>
      </w:r>
      <w:r w:rsidRPr="006674E1">
        <w:rPr>
          <w:szCs w:val="21"/>
        </w:rPr>
        <w:t xml:space="preserve"> fair and just opportunity to attain their highest level of health and wellbeing, and that the </w:t>
      </w:r>
      <w:r>
        <w:rPr>
          <w:szCs w:val="21"/>
        </w:rPr>
        <w:t>disproportionate impact of risk factors is</w:t>
      </w:r>
      <w:r w:rsidRPr="006674E1">
        <w:rPr>
          <w:szCs w:val="21"/>
        </w:rPr>
        <w:t xml:space="preserve"> addressed. </w:t>
      </w:r>
    </w:p>
    <w:p w14:paraId="1601F515" w14:textId="75A78B8B" w:rsidR="00A92052" w:rsidRPr="006674E1" w:rsidRDefault="00A92052" w:rsidP="00BA5FA5">
      <w:pPr>
        <w:pStyle w:val="Body"/>
        <w:rPr>
          <w:szCs w:val="21"/>
        </w:rPr>
      </w:pPr>
      <w:r w:rsidRPr="006674E1">
        <w:rPr>
          <w:szCs w:val="21"/>
        </w:rPr>
        <w:t>Improving population health and wellbeing and reducing</w:t>
      </w:r>
      <w:r>
        <w:rPr>
          <w:szCs w:val="21"/>
        </w:rPr>
        <w:t xml:space="preserve"> health</w:t>
      </w:r>
      <w:r w:rsidRPr="006674E1">
        <w:rPr>
          <w:szCs w:val="21"/>
        </w:rPr>
        <w:t xml:space="preserve"> inequ</w:t>
      </w:r>
      <w:r>
        <w:rPr>
          <w:szCs w:val="21"/>
        </w:rPr>
        <w:t>ity</w:t>
      </w:r>
      <w:r w:rsidRPr="006674E1">
        <w:rPr>
          <w:szCs w:val="21"/>
        </w:rPr>
        <w:t xml:space="preserve"> requires</w:t>
      </w:r>
      <w:r w:rsidR="00954719">
        <w:rPr>
          <w:szCs w:val="21"/>
        </w:rPr>
        <w:t xml:space="preserve"> </w:t>
      </w:r>
      <w:r w:rsidRPr="006674E1">
        <w:rPr>
          <w:szCs w:val="21"/>
        </w:rPr>
        <w:t>multi</w:t>
      </w:r>
      <w:r>
        <w:rPr>
          <w:szCs w:val="21"/>
        </w:rPr>
        <w:t>-</w:t>
      </w:r>
      <w:r w:rsidRPr="006674E1">
        <w:rPr>
          <w:szCs w:val="21"/>
        </w:rPr>
        <w:t>sectoral collaboration</w:t>
      </w:r>
      <w:r>
        <w:rPr>
          <w:szCs w:val="21"/>
        </w:rPr>
        <w:t xml:space="preserve"> and </w:t>
      </w:r>
      <w:r w:rsidRPr="006674E1">
        <w:rPr>
          <w:szCs w:val="21"/>
        </w:rPr>
        <w:t>coordinated efforts</w:t>
      </w:r>
      <w:r>
        <w:rPr>
          <w:szCs w:val="21"/>
        </w:rPr>
        <w:t xml:space="preserve"> across sectors and systems</w:t>
      </w:r>
      <w:r w:rsidRPr="006674E1">
        <w:rPr>
          <w:szCs w:val="21"/>
        </w:rPr>
        <w:t>.</w:t>
      </w:r>
      <w:r>
        <w:rPr>
          <w:szCs w:val="21"/>
        </w:rPr>
        <w:t xml:space="preserve"> The removal of health inequity is embedded in this approach, and the outcomes framework provides scope to monitor impact through data disaggregation.</w:t>
      </w:r>
    </w:p>
    <w:p w14:paraId="6423D0E3" w14:textId="77777777" w:rsidR="00A92052" w:rsidRPr="001A4769" w:rsidRDefault="00A92052" w:rsidP="00BA5FA5">
      <w:pPr>
        <w:pStyle w:val="Heading3"/>
      </w:pPr>
      <w:bookmarkStart w:id="36" w:name="_Toc195778184"/>
      <w:r>
        <w:t>Data disaggregation and inequalities</w:t>
      </w:r>
      <w:bookmarkEnd w:id="36"/>
      <w:r>
        <w:t xml:space="preserve"> </w:t>
      </w:r>
    </w:p>
    <w:p w14:paraId="5F63F20A" w14:textId="132FAFF2" w:rsidR="00CD25E3" w:rsidRDefault="00A92052" w:rsidP="00BA5FA5">
      <w:pPr>
        <w:pStyle w:val="Body"/>
      </w:pPr>
      <w:r>
        <w:t xml:space="preserve">The outcomes framework takes a whole-of-population </w:t>
      </w:r>
      <w:proofErr w:type="gramStart"/>
      <w:r>
        <w:t>view</w:t>
      </w:r>
      <w:r w:rsidR="00954719">
        <w:t>,</w:t>
      </w:r>
      <w:r>
        <w:t xml:space="preserve"> but</w:t>
      </w:r>
      <w:proofErr w:type="gramEnd"/>
      <w:r>
        <w:t xml:space="preserve"> also </w:t>
      </w:r>
      <w:r w:rsidRPr="000F66B3">
        <w:t>allows us to determine if changes in health and wellbeing for the population are shared equally by all.</w:t>
      </w:r>
      <w:r w:rsidRPr="001A4769">
        <w:t xml:space="preserve"> </w:t>
      </w:r>
      <w:r w:rsidR="00741EFB">
        <w:t>It</w:t>
      </w:r>
      <w:r w:rsidRPr="00721404">
        <w:t xml:space="preserve"> ha</w:t>
      </w:r>
      <w:r>
        <w:t>s</w:t>
      </w:r>
      <w:r w:rsidRPr="00721404">
        <w:t xml:space="preserve"> universal measures, with data and reporting that captures and compares the </w:t>
      </w:r>
      <w:r>
        <w:t xml:space="preserve">health and wellbeing </w:t>
      </w:r>
      <w:r w:rsidRPr="00721404">
        <w:t>of Victoria’s diverse communities.</w:t>
      </w:r>
    </w:p>
    <w:p w14:paraId="3350DA86" w14:textId="7DF5E4E7" w:rsidR="00A92052" w:rsidRPr="006552D3" w:rsidRDefault="00A92052" w:rsidP="00BA5FA5">
      <w:pPr>
        <w:pStyle w:val="Body"/>
        <w:rPr>
          <w:rFonts w:cs="Arial"/>
        </w:rPr>
      </w:pPr>
      <w:r w:rsidRPr="006552D3">
        <w:rPr>
          <w:rFonts w:cs="Arial"/>
        </w:rPr>
        <w:t>This includes</w:t>
      </w:r>
      <w:r w:rsidR="00CD25E3">
        <w:rPr>
          <w:rFonts w:cs="Arial"/>
        </w:rPr>
        <w:t>,</w:t>
      </w:r>
      <w:r w:rsidRPr="006552D3">
        <w:rPr>
          <w:rFonts w:cs="Arial"/>
        </w:rPr>
        <w:t xml:space="preserve"> but is not limited to:</w:t>
      </w:r>
    </w:p>
    <w:p w14:paraId="3FDC0D30" w14:textId="02A02619" w:rsidR="00A92052" w:rsidRPr="006552D3" w:rsidRDefault="00A92052" w:rsidP="002041E3">
      <w:pPr>
        <w:pStyle w:val="Bullet1"/>
      </w:pPr>
      <w:r w:rsidRPr="006552D3">
        <w:t>personal factors, such as gender, age, sexuality and disability</w:t>
      </w:r>
    </w:p>
    <w:p w14:paraId="77F2C15A" w14:textId="77777777" w:rsidR="00A92052" w:rsidRPr="006552D3" w:rsidRDefault="00A92052" w:rsidP="002041E3">
      <w:pPr>
        <w:pStyle w:val="Bullet1"/>
      </w:pPr>
      <w:r w:rsidRPr="006552D3">
        <w:t>cultural, ethnic and religious background</w:t>
      </w:r>
    </w:p>
    <w:p w14:paraId="36F08E82" w14:textId="6BA962A0" w:rsidR="00A92052" w:rsidRPr="006552D3" w:rsidRDefault="00A92052" w:rsidP="002041E3">
      <w:pPr>
        <w:pStyle w:val="Bullet1"/>
      </w:pPr>
      <w:r w:rsidRPr="006552D3">
        <w:t>where people live in Victoria (</w:t>
      </w:r>
      <w:r w:rsidR="00D771B0">
        <w:t>for example</w:t>
      </w:r>
      <w:r w:rsidRPr="006552D3">
        <w:t>, urban</w:t>
      </w:r>
      <w:r w:rsidR="00236FAD">
        <w:t xml:space="preserve"> or </w:t>
      </w:r>
      <w:r w:rsidRPr="006552D3">
        <w:t>rural</w:t>
      </w:r>
      <w:r w:rsidR="00236FAD">
        <w:t>,</w:t>
      </w:r>
      <w:r w:rsidRPr="006552D3">
        <w:t xml:space="preserve"> metropolitan</w:t>
      </w:r>
      <w:r w:rsidR="00236FAD">
        <w:t xml:space="preserve"> and </w:t>
      </w:r>
      <w:r w:rsidRPr="006552D3">
        <w:t>suburban)</w:t>
      </w:r>
    </w:p>
    <w:p w14:paraId="4597F1F5" w14:textId="21BE363D" w:rsidR="00A92052" w:rsidRPr="00311E1D" w:rsidRDefault="00A92052" w:rsidP="002041E3">
      <w:pPr>
        <w:pStyle w:val="Bullet1"/>
      </w:pPr>
      <w:r w:rsidRPr="001A4769">
        <w:t xml:space="preserve">socioeconomic status </w:t>
      </w:r>
      <w:r>
        <w:t>(</w:t>
      </w:r>
      <w:r w:rsidRPr="001A4769">
        <w:t xml:space="preserve">using measures such as Socioeconomic Indexes for Areas, income category, education level or presence of a </w:t>
      </w:r>
      <w:r w:rsidR="007F030C">
        <w:t>H</w:t>
      </w:r>
      <w:r w:rsidRPr="001A4769">
        <w:t xml:space="preserve">ealth </w:t>
      </w:r>
      <w:r w:rsidR="007F030C">
        <w:t>C</w:t>
      </w:r>
      <w:r w:rsidRPr="001A4769">
        <w:t xml:space="preserve">are </w:t>
      </w:r>
      <w:r w:rsidR="007F030C">
        <w:t>C</w:t>
      </w:r>
      <w:r w:rsidRPr="001A4769">
        <w:t>ard</w:t>
      </w:r>
      <w:r>
        <w:t>)</w:t>
      </w:r>
    </w:p>
    <w:p w14:paraId="712A30F2" w14:textId="77777777" w:rsidR="00A92052" w:rsidRDefault="00A92052" w:rsidP="002041E3">
      <w:pPr>
        <w:pStyle w:val="Bullet1"/>
      </w:pPr>
      <w:r w:rsidRPr="00997E2B">
        <w:t>other life experiences, such as homelessness</w:t>
      </w:r>
      <w:r>
        <w:t>, mental illness or chronic illness</w:t>
      </w:r>
      <w:r w:rsidRPr="00997E2B">
        <w:t>.</w:t>
      </w:r>
    </w:p>
    <w:p w14:paraId="5511FB3B" w14:textId="4C2ABBE2" w:rsidR="00DC078C" w:rsidRDefault="00A92052" w:rsidP="00E35D97">
      <w:pPr>
        <w:pStyle w:val="Bodyafterbullets"/>
      </w:pPr>
      <w:r w:rsidRPr="001A4769">
        <w:t xml:space="preserve">Data collection </w:t>
      </w:r>
      <w:r>
        <w:t xml:space="preserve">for diverse communities </w:t>
      </w:r>
      <w:r w:rsidRPr="001A4769">
        <w:t>is more complete for some measures than for others</w:t>
      </w:r>
      <w:r w:rsidR="000C7AAF">
        <w:t>,</w:t>
      </w:r>
      <w:r>
        <w:t xml:space="preserve"> depending on the data source, noting this information is available for each measure in the </w:t>
      </w:r>
      <w:r w:rsidR="0062300A" w:rsidRPr="00F77FF4">
        <w:t>d</w:t>
      </w:r>
      <w:r w:rsidRPr="00F77FF4">
        <w:t xml:space="preserve">ata </w:t>
      </w:r>
      <w:r w:rsidR="0062300A" w:rsidRPr="00F77FF4">
        <w:t>d</w:t>
      </w:r>
      <w:r w:rsidRPr="00F77FF4">
        <w:t>ictionary</w:t>
      </w:r>
      <w:r>
        <w:t>.</w:t>
      </w:r>
    </w:p>
    <w:p w14:paraId="7AA4B829" w14:textId="7054B4CC" w:rsidR="00A92052" w:rsidRDefault="00A92052" w:rsidP="00E35D97">
      <w:pPr>
        <w:pStyle w:val="Bodyafterbullets"/>
      </w:pPr>
      <w:r>
        <w:t xml:space="preserve">Data collected for some measures may be of </w:t>
      </w:r>
      <w:r w:rsidRPr="001A4769">
        <w:t xml:space="preserve">insufficient quality </w:t>
      </w:r>
      <w:r>
        <w:t>or the sample size may be too small to be reliably reported on, for example:</w:t>
      </w:r>
    </w:p>
    <w:p w14:paraId="1C39EDAA" w14:textId="29F2B361" w:rsidR="00A92052" w:rsidRPr="009F51F6" w:rsidRDefault="00A92052" w:rsidP="002041E3">
      <w:pPr>
        <w:pStyle w:val="Bullet1"/>
      </w:pPr>
      <w:r w:rsidRPr="12349DEF">
        <w:t>data for Aboriginal people may not be of sufficient sample size due to the small population of Aboriginal people in Victoria, particularly when reviewed by other factors such as age, gender, region or health condition</w:t>
      </w:r>
    </w:p>
    <w:p w14:paraId="755F5478" w14:textId="48D9AD88" w:rsidR="00A92052" w:rsidRDefault="00A92052" w:rsidP="002041E3">
      <w:pPr>
        <w:pStyle w:val="Bullet1"/>
      </w:pPr>
      <w:r>
        <w:t>m</w:t>
      </w:r>
      <w:r w:rsidRPr="009F51F6">
        <w:t xml:space="preserve">easures of cultural and linguistic diversity often rely on the variables </w:t>
      </w:r>
      <w:r w:rsidR="004A336D">
        <w:t xml:space="preserve">of </w:t>
      </w:r>
      <w:r w:rsidRPr="009F51F6">
        <w:t>country of birth and language background other than English</w:t>
      </w:r>
      <w:r w:rsidR="00891F1F">
        <w:t>. These</w:t>
      </w:r>
      <w:r w:rsidRPr="009F51F6">
        <w:t xml:space="preserve"> are not ideal measures of cultural and linguistic diversity</w:t>
      </w:r>
      <w:r w:rsidR="004A336D">
        <w:t>,</w:t>
      </w:r>
      <w:r w:rsidRPr="009F51F6">
        <w:t xml:space="preserve"> because they don’t capture other social elements of cultural diversity</w:t>
      </w:r>
      <w:r>
        <w:t>,</w:t>
      </w:r>
      <w:r w:rsidRPr="0078470B">
        <w:t xml:space="preserve"> </w:t>
      </w:r>
      <w:r>
        <w:t>including cultural determinants of Aboriginal health and wellbeing</w:t>
      </w:r>
    </w:p>
    <w:p w14:paraId="653864E5" w14:textId="77777777" w:rsidR="00A92052" w:rsidRDefault="00A92052" w:rsidP="002041E3">
      <w:pPr>
        <w:pStyle w:val="Bullet1"/>
      </w:pPr>
      <w:r>
        <w:t xml:space="preserve">the terms sex and gender are often used </w:t>
      </w:r>
      <w:r w:rsidRPr="000B1E75">
        <w:t>inconsistently across public health datasets, and not all data sources measure both, as is best practice</w:t>
      </w:r>
    </w:p>
    <w:p w14:paraId="3F839536" w14:textId="77777777" w:rsidR="00A92052" w:rsidRPr="009F51F6" w:rsidRDefault="00A92052" w:rsidP="002041E3">
      <w:pPr>
        <w:pStyle w:val="Bullet1"/>
      </w:pPr>
      <w:r>
        <w:t xml:space="preserve">there is insufficient data to assess </w:t>
      </w:r>
      <w:r w:rsidRPr="009F51F6">
        <w:t>trends in health and wellbeing over time by sexual orientation</w:t>
      </w:r>
      <w:r>
        <w:t>.</w:t>
      </w:r>
    </w:p>
    <w:p w14:paraId="3600014C" w14:textId="77777777" w:rsidR="00A92052" w:rsidRDefault="00A92052" w:rsidP="00E35D97">
      <w:pPr>
        <w:pStyle w:val="Bodyafterbullets"/>
      </w:pPr>
      <w:r w:rsidRPr="001A4769">
        <w:t>To provide a comprehensive picture of health and wellbeing, reporting against th</w:t>
      </w:r>
      <w:r>
        <w:t>e</w:t>
      </w:r>
      <w:r w:rsidRPr="001A4769">
        <w:t xml:space="preserve"> </w:t>
      </w:r>
      <w:proofErr w:type="gramStart"/>
      <w:r w:rsidRPr="001A4769">
        <w:t>outcomes</w:t>
      </w:r>
      <w:proofErr w:type="gramEnd"/>
      <w:r w:rsidRPr="001A4769">
        <w:t xml:space="preserve"> framework requires some measures to be assessed using different definitions of population or area characteristics. </w:t>
      </w:r>
      <w:r w:rsidRPr="0026493A">
        <w:t xml:space="preserve">Multiple data sources may be needed to inform a single measure to provide analysis of multiple inequalities. </w:t>
      </w:r>
      <w:r w:rsidRPr="00CA11F6">
        <w:t>These multiple data sources are listed in the data dictionary as primary, secondary and tertiary sources. The specific way any characteristic is measured is available from the data owner.</w:t>
      </w:r>
    </w:p>
    <w:p w14:paraId="393EA1CB" w14:textId="77777777" w:rsidR="00A92052" w:rsidRDefault="00A92052" w:rsidP="00BA5FA5">
      <w:pPr>
        <w:pStyle w:val="Heading1"/>
      </w:pPr>
      <w:bookmarkStart w:id="37" w:name="_Victorian_Government_targets"/>
      <w:bookmarkStart w:id="38" w:name="_Toc195193918"/>
      <w:bookmarkStart w:id="39" w:name="_Toc195614875"/>
      <w:bookmarkStart w:id="40" w:name="_Toc195778185"/>
      <w:bookmarkStart w:id="41" w:name="_Toc211959713"/>
      <w:bookmarkEnd w:id="37"/>
      <w:r>
        <w:lastRenderedPageBreak/>
        <w:t>Victorian Government targets</w:t>
      </w:r>
      <w:bookmarkEnd w:id="38"/>
      <w:bookmarkEnd w:id="39"/>
      <w:bookmarkEnd w:id="40"/>
      <w:bookmarkEnd w:id="41"/>
      <w:r>
        <w:t xml:space="preserve"> </w:t>
      </w:r>
    </w:p>
    <w:p w14:paraId="32D1B2C7" w14:textId="77777777" w:rsidR="00A92052" w:rsidRDefault="00A92052" w:rsidP="00BA5FA5">
      <w:pPr>
        <w:pStyle w:val="Body"/>
      </w:pPr>
      <w:r>
        <w:t xml:space="preserve">The targets included in this </w:t>
      </w:r>
      <w:proofErr w:type="gramStart"/>
      <w:r>
        <w:t>outcomes</w:t>
      </w:r>
      <w:proofErr w:type="gramEnd"/>
      <w:r>
        <w:t xml:space="preserve"> framework represent long-term improvements in major health and wellbeing outcomes and relate to specific measures. </w:t>
      </w:r>
    </w:p>
    <w:p w14:paraId="31C44174" w14:textId="77777777" w:rsidR="00A92052" w:rsidRDefault="00A92052" w:rsidP="00BA5FA5">
      <w:pPr>
        <w:pStyle w:val="Body"/>
      </w:pPr>
      <w:r>
        <w:t xml:space="preserve">The targets included are those that the Victorian Government supports or has committed to through state policies, national policies, or that Australia has committed to through international agreements. The outcomes framework tracks our progress towards achieving these targets. </w:t>
      </w:r>
    </w:p>
    <w:p w14:paraId="510FCBB7" w14:textId="77777777" w:rsidR="00A92052" w:rsidRDefault="00A92052" w:rsidP="00BA5FA5">
      <w:pPr>
        <w:pStyle w:val="Body"/>
      </w:pPr>
      <w:r>
        <w:t xml:space="preserve">The </w:t>
      </w:r>
      <w:r w:rsidRPr="001A4769">
        <w:t>Victorian Government is</w:t>
      </w:r>
      <w:r>
        <w:t xml:space="preserve"> </w:t>
      </w:r>
      <w:r w:rsidRPr="001A4769">
        <w:t>committed to these targets, most of which</w:t>
      </w:r>
      <w:r>
        <w:t xml:space="preserve"> </w:t>
      </w:r>
      <w:r w:rsidRPr="001A4769">
        <w:t xml:space="preserve">are to be achieved </w:t>
      </w:r>
      <w:r>
        <w:t xml:space="preserve">by </w:t>
      </w:r>
      <w:r w:rsidRPr="00F20453">
        <w:t>2030</w:t>
      </w:r>
      <w:r>
        <w:t xml:space="preserve">. </w:t>
      </w:r>
    </w:p>
    <w:p w14:paraId="7A751B78" w14:textId="77777777" w:rsidR="009B53BB" w:rsidRDefault="009B53BB" w:rsidP="00BA5FA5">
      <w:pPr>
        <w:pStyle w:val="Body"/>
        <w:sectPr w:rsidR="009B53BB" w:rsidSect="00454A7D">
          <w:headerReference w:type="even" r:id="rId21"/>
          <w:headerReference w:type="default" r:id="rId22"/>
          <w:footerReference w:type="even" r:id="rId23"/>
          <w:footerReference w:type="default" r:id="rId24"/>
          <w:pgSz w:w="11906" w:h="16838" w:code="9"/>
          <w:pgMar w:top="1418" w:right="1304" w:bottom="1134" w:left="1304" w:header="680" w:footer="851" w:gutter="0"/>
          <w:cols w:space="340"/>
          <w:titlePg/>
          <w:docGrid w:linePitch="360"/>
        </w:sectPr>
      </w:pPr>
    </w:p>
    <w:p w14:paraId="5E57038C" w14:textId="2581CCFB" w:rsidR="007C661D" w:rsidRDefault="007C661D" w:rsidP="003A51DB">
      <w:pPr>
        <w:pStyle w:val="Tablecaption"/>
      </w:pPr>
      <w:r>
        <w:lastRenderedPageBreak/>
        <w:t xml:space="preserve">Table </w:t>
      </w:r>
      <w:r>
        <w:fldChar w:fldCharType="begin"/>
      </w:r>
      <w:r>
        <w:instrText xml:space="preserve"> SEQ Table \* ARABIC </w:instrText>
      </w:r>
      <w:r>
        <w:fldChar w:fldCharType="separate"/>
      </w:r>
      <w:r w:rsidR="00B035D1">
        <w:rPr>
          <w:noProof/>
        </w:rPr>
        <w:t>2</w:t>
      </w:r>
      <w:r>
        <w:fldChar w:fldCharType="end"/>
      </w:r>
      <w:r>
        <w:t xml:space="preserve">. </w:t>
      </w:r>
      <w:r w:rsidR="00787EB0">
        <w:t>L</w:t>
      </w:r>
      <w:r w:rsidRPr="007B2E0A">
        <w:t>ist of current targets across government</w:t>
      </w:r>
    </w:p>
    <w:tbl>
      <w:tblPr>
        <w:tblStyle w:val="GridTable4-Accent2"/>
        <w:tblW w:w="5000" w:type="pct"/>
        <w:tblLook w:val="06A0" w:firstRow="1" w:lastRow="0" w:firstColumn="1" w:lastColumn="0" w:noHBand="1" w:noVBand="1"/>
      </w:tblPr>
      <w:tblGrid>
        <w:gridCol w:w="3515"/>
        <w:gridCol w:w="3760"/>
        <w:gridCol w:w="3186"/>
        <w:gridCol w:w="3815"/>
      </w:tblGrid>
      <w:tr w:rsidR="00E447E7" w:rsidRPr="0003755C" w14:paraId="1BB94D6C" w14:textId="77777777" w:rsidTr="00702F5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31" w:type="pct"/>
            <w:hideMark/>
          </w:tcPr>
          <w:p w14:paraId="3A0D024D" w14:textId="77777777" w:rsidR="00A92052" w:rsidRPr="003A51DB" w:rsidRDefault="00A92052" w:rsidP="00382985">
            <w:pPr>
              <w:pStyle w:val="Tablecolhead"/>
              <w:rPr>
                <w:rFonts w:ascii="Segoe UI" w:hAnsi="Segoe UI" w:cs="Segoe UI"/>
                <w:b/>
                <w:bCs w:val="0"/>
                <w:color w:val="auto"/>
                <w:sz w:val="18"/>
                <w:szCs w:val="18"/>
                <w:lang w:eastAsia="en-AU"/>
              </w:rPr>
            </w:pPr>
            <w:r w:rsidRPr="003A51DB">
              <w:rPr>
                <w:color w:val="auto"/>
                <w:lang w:eastAsia="en-AU"/>
              </w:rPr>
              <w:t>Outcome </w:t>
            </w:r>
          </w:p>
        </w:tc>
        <w:tc>
          <w:tcPr>
            <w:tcW w:w="1317" w:type="pct"/>
            <w:hideMark/>
          </w:tcPr>
          <w:p w14:paraId="201E1C9D" w14:textId="77777777" w:rsidR="00A92052" w:rsidRPr="003A51DB" w:rsidRDefault="00A92052" w:rsidP="00382985">
            <w:pPr>
              <w:pStyle w:val="Tablecolhead"/>
              <w:cnfStyle w:val="100000000000" w:firstRow="1" w:lastRow="0" w:firstColumn="0" w:lastColumn="0" w:oddVBand="0" w:evenVBand="0" w:oddHBand="0" w:evenHBand="0" w:firstRowFirstColumn="0" w:firstRowLastColumn="0" w:lastRowFirstColumn="0" w:lastRowLastColumn="0"/>
              <w:rPr>
                <w:rFonts w:ascii="Segoe UI" w:hAnsi="Segoe UI" w:cs="Segoe UI"/>
                <w:b/>
                <w:bCs w:val="0"/>
                <w:color w:val="auto"/>
                <w:sz w:val="18"/>
                <w:szCs w:val="18"/>
                <w:lang w:eastAsia="en-AU"/>
              </w:rPr>
            </w:pPr>
            <w:r w:rsidRPr="003A51DB">
              <w:rPr>
                <w:color w:val="auto"/>
                <w:lang w:eastAsia="en-AU"/>
              </w:rPr>
              <w:t>Target </w:t>
            </w:r>
          </w:p>
        </w:tc>
        <w:tc>
          <w:tcPr>
            <w:tcW w:w="1116" w:type="pct"/>
            <w:hideMark/>
          </w:tcPr>
          <w:p w14:paraId="3E3C884E" w14:textId="77777777" w:rsidR="00A92052" w:rsidRPr="003A51DB" w:rsidRDefault="00A92052" w:rsidP="00382985">
            <w:pPr>
              <w:pStyle w:val="Tablecolhead"/>
              <w:cnfStyle w:val="100000000000" w:firstRow="1" w:lastRow="0" w:firstColumn="0" w:lastColumn="0" w:oddVBand="0" w:evenVBand="0" w:oddHBand="0" w:evenHBand="0" w:firstRowFirstColumn="0" w:firstRowLastColumn="0" w:lastRowFirstColumn="0" w:lastRowLastColumn="0"/>
              <w:rPr>
                <w:rFonts w:ascii="Segoe UI" w:hAnsi="Segoe UI" w:cs="Segoe UI"/>
                <w:b/>
                <w:bCs w:val="0"/>
                <w:color w:val="auto"/>
                <w:sz w:val="18"/>
                <w:szCs w:val="18"/>
                <w:lang w:eastAsia="en-AU"/>
              </w:rPr>
            </w:pPr>
            <w:r w:rsidRPr="003A51DB">
              <w:rPr>
                <w:color w:val="auto"/>
                <w:lang w:eastAsia="en-AU"/>
              </w:rPr>
              <w:t>Baseline </w:t>
            </w:r>
          </w:p>
        </w:tc>
        <w:tc>
          <w:tcPr>
            <w:tcW w:w="1336" w:type="pct"/>
            <w:hideMark/>
          </w:tcPr>
          <w:p w14:paraId="3345E6F0" w14:textId="6417BCA7" w:rsidR="00A92052" w:rsidRPr="003A51DB" w:rsidRDefault="00A92052" w:rsidP="00382985">
            <w:pPr>
              <w:pStyle w:val="Tablecolhead"/>
              <w:cnfStyle w:val="100000000000" w:firstRow="1" w:lastRow="0" w:firstColumn="0" w:lastColumn="0" w:oddVBand="0" w:evenVBand="0" w:oddHBand="0" w:evenHBand="0" w:firstRowFirstColumn="0" w:firstRowLastColumn="0" w:lastRowFirstColumn="0" w:lastRowLastColumn="0"/>
              <w:rPr>
                <w:rFonts w:ascii="Segoe UI" w:hAnsi="Segoe UI" w:cs="Segoe UI"/>
                <w:b/>
                <w:bCs w:val="0"/>
                <w:color w:val="auto"/>
                <w:sz w:val="18"/>
                <w:szCs w:val="18"/>
                <w:lang w:eastAsia="en-AU"/>
              </w:rPr>
            </w:pPr>
            <w:r w:rsidRPr="003A51DB">
              <w:rPr>
                <w:color w:val="auto"/>
                <w:lang w:eastAsia="en-AU"/>
              </w:rPr>
              <w:t>Source strategy</w:t>
            </w:r>
            <w:r w:rsidR="00C931F9">
              <w:rPr>
                <w:b/>
                <w:bCs w:val="0"/>
                <w:color w:val="auto"/>
                <w:lang w:eastAsia="en-AU"/>
              </w:rPr>
              <w:t xml:space="preserve"> or </w:t>
            </w:r>
            <w:r w:rsidRPr="003A51DB">
              <w:rPr>
                <w:color w:val="auto"/>
                <w:lang w:eastAsia="en-AU"/>
              </w:rPr>
              <w:t>plan </w:t>
            </w:r>
          </w:p>
        </w:tc>
      </w:tr>
      <w:tr w:rsidR="00702F50" w:rsidRPr="00E8099A" w14:paraId="11A4A77A" w14:textId="77777777" w:rsidTr="00702F50">
        <w:trPr>
          <w:trHeight w:val="300"/>
        </w:trPr>
        <w:tc>
          <w:tcPr>
            <w:cnfStyle w:val="001000000000" w:firstRow="0" w:lastRow="0" w:firstColumn="1" w:lastColumn="0" w:oddVBand="0" w:evenVBand="0" w:oddHBand="0" w:evenHBand="0" w:firstRowFirstColumn="0" w:firstRowLastColumn="0" w:lastRowFirstColumn="0" w:lastRowLastColumn="0"/>
            <w:tcW w:w="1231" w:type="pct"/>
            <w:hideMark/>
          </w:tcPr>
          <w:p w14:paraId="2EDBDF9C" w14:textId="77777777" w:rsidR="00702F50" w:rsidRPr="00E8099A" w:rsidRDefault="00702F50" w:rsidP="00670C9B">
            <w:pPr>
              <w:pStyle w:val="Tabletext"/>
              <w:rPr>
                <w:rFonts w:ascii="Segoe UI" w:hAnsi="Segoe UI" w:cs="Segoe UI"/>
                <w:sz w:val="18"/>
                <w:szCs w:val="18"/>
                <w:lang w:eastAsia="en-AU"/>
              </w:rPr>
            </w:pPr>
            <w:r w:rsidRPr="00E8099A">
              <w:rPr>
                <w:lang w:eastAsia="en-AU"/>
              </w:rPr>
              <w:t>Victorians enjoy high levels of physical health </w:t>
            </w:r>
          </w:p>
        </w:tc>
        <w:tc>
          <w:tcPr>
            <w:tcW w:w="1317" w:type="pct"/>
            <w:hideMark/>
          </w:tcPr>
          <w:p w14:paraId="441E2010" w14:textId="38D59C03" w:rsidR="00702F50" w:rsidRPr="00E8099A" w:rsidRDefault="00702F50" w:rsidP="00670C9B">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A 33.3</w:t>
            </w:r>
            <w:r>
              <w:rPr>
                <w:lang w:eastAsia="en-AU"/>
              </w:rPr>
              <w:t xml:space="preserve"> percent</w:t>
            </w:r>
            <w:r w:rsidRPr="00E8099A">
              <w:rPr>
                <w:lang w:eastAsia="en-AU"/>
              </w:rPr>
              <w:t xml:space="preserve"> decrease in premature deaths due to chronic disease by 2030 </w:t>
            </w:r>
          </w:p>
        </w:tc>
        <w:tc>
          <w:tcPr>
            <w:tcW w:w="1116" w:type="pct"/>
            <w:hideMark/>
          </w:tcPr>
          <w:p w14:paraId="52C0EF16" w14:textId="77777777" w:rsidR="00702F50" w:rsidRPr="00E8099A" w:rsidRDefault="00702F50" w:rsidP="00670C9B">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2015 </w:t>
            </w:r>
          </w:p>
        </w:tc>
        <w:tc>
          <w:tcPr>
            <w:tcW w:w="1336" w:type="pct"/>
            <w:hideMark/>
          </w:tcPr>
          <w:p w14:paraId="4EA100B3" w14:textId="77777777" w:rsidR="00702F50" w:rsidRPr="00E8099A" w:rsidRDefault="00702F50" w:rsidP="00670C9B">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WHO Global Action Plan for the Prevention and Control of Noncommunicable Diseases 2023–2030 </w:t>
            </w:r>
          </w:p>
        </w:tc>
      </w:tr>
      <w:tr w:rsidR="00702F50" w:rsidRPr="00E8099A" w14:paraId="102A9F29"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74B99BA1" w14:textId="56D03641" w:rsidR="00702F50" w:rsidRPr="00E8099A" w:rsidRDefault="00702F50" w:rsidP="00702F50">
            <w:pPr>
              <w:pStyle w:val="Tabletext"/>
              <w:rPr>
                <w:rFonts w:ascii="Segoe UI" w:hAnsi="Segoe UI" w:cs="Segoe UI"/>
                <w:sz w:val="18"/>
                <w:szCs w:val="18"/>
                <w:lang w:eastAsia="en-AU"/>
              </w:rPr>
            </w:pPr>
          </w:p>
        </w:tc>
        <w:tc>
          <w:tcPr>
            <w:tcW w:w="1317" w:type="pct"/>
            <w:hideMark/>
          </w:tcPr>
          <w:p w14:paraId="0F94650E" w14:textId="04A5AAC4"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Halt the rise in diabetes prevalence by 2030 (0</w:t>
            </w:r>
            <w:r>
              <w:rPr>
                <w:lang w:eastAsia="en-AU"/>
              </w:rPr>
              <w:t>percent</w:t>
            </w:r>
            <w:r w:rsidRPr="00E8099A">
              <w:rPr>
                <w:lang w:eastAsia="en-AU"/>
              </w:rPr>
              <w:t xml:space="preserve"> increase by 2030) from 2011–12 baseline </w:t>
            </w:r>
          </w:p>
        </w:tc>
        <w:tc>
          <w:tcPr>
            <w:tcW w:w="1116" w:type="pct"/>
            <w:hideMark/>
          </w:tcPr>
          <w:p w14:paraId="4AF57D69" w14:textId="54986EE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2011</w:t>
            </w:r>
            <w:r>
              <w:rPr>
                <w:lang w:eastAsia="en-AU"/>
              </w:rPr>
              <w:t>–</w:t>
            </w:r>
            <w:r w:rsidRPr="00E8099A">
              <w:rPr>
                <w:lang w:eastAsia="en-AU"/>
              </w:rPr>
              <w:t>12 </w:t>
            </w:r>
          </w:p>
        </w:tc>
        <w:tc>
          <w:tcPr>
            <w:tcW w:w="1336" w:type="pct"/>
            <w:hideMark/>
          </w:tcPr>
          <w:p w14:paraId="46D90F3E"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WHO Global Action Plan for the Prevention and Control of Noncommunicable Diseases 2023–2030 </w:t>
            </w:r>
          </w:p>
        </w:tc>
      </w:tr>
      <w:tr w:rsidR="00702F50" w:rsidRPr="00E8099A" w14:paraId="03B39060"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4E288F02" w14:textId="0CBE46EA" w:rsidR="00702F50" w:rsidRPr="00E8099A" w:rsidRDefault="00702F50" w:rsidP="00702F50">
            <w:pPr>
              <w:pStyle w:val="Tabletext"/>
              <w:rPr>
                <w:rFonts w:ascii="Segoe UI" w:hAnsi="Segoe UI" w:cs="Segoe UI"/>
                <w:sz w:val="18"/>
                <w:szCs w:val="18"/>
                <w:lang w:eastAsia="en-AU"/>
              </w:rPr>
            </w:pPr>
          </w:p>
        </w:tc>
        <w:tc>
          <w:tcPr>
            <w:tcW w:w="1317" w:type="pct"/>
            <w:hideMark/>
          </w:tcPr>
          <w:p w14:paraId="05031287"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Halve the proportion of Victorians diagnosed with preventable cancers by 2040 </w:t>
            </w:r>
          </w:p>
        </w:tc>
        <w:tc>
          <w:tcPr>
            <w:tcW w:w="1116" w:type="pct"/>
            <w:hideMark/>
          </w:tcPr>
          <w:p w14:paraId="61EA6D81"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2014 </w:t>
            </w:r>
          </w:p>
        </w:tc>
        <w:tc>
          <w:tcPr>
            <w:tcW w:w="1336" w:type="pct"/>
            <w:hideMark/>
          </w:tcPr>
          <w:p w14:paraId="7977CAFF" w14:textId="336EAEED"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Victorian Cancer Plan</w:t>
            </w:r>
            <w:r>
              <w:rPr>
                <w:lang w:eastAsia="en-AU"/>
              </w:rPr>
              <w:br/>
            </w:r>
            <w:r w:rsidRPr="00E8099A">
              <w:rPr>
                <w:lang w:eastAsia="en-AU"/>
              </w:rPr>
              <w:t>2024</w:t>
            </w:r>
            <w:r>
              <w:rPr>
                <w:lang w:eastAsia="en-AU"/>
              </w:rPr>
              <w:t>–</w:t>
            </w:r>
            <w:r w:rsidRPr="00E8099A">
              <w:rPr>
                <w:lang w:eastAsia="en-AU"/>
              </w:rPr>
              <w:t>28 </w:t>
            </w:r>
          </w:p>
        </w:tc>
      </w:tr>
      <w:tr w:rsidR="00702F50" w:rsidRPr="00E8099A" w14:paraId="401E7E5C"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1AB6708B" w14:textId="7AB336AD" w:rsidR="00702F50" w:rsidRPr="00E8099A" w:rsidRDefault="00702F50" w:rsidP="00702F50">
            <w:pPr>
              <w:pStyle w:val="Tabletext"/>
              <w:rPr>
                <w:rFonts w:ascii="Segoe UI" w:hAnsi="Segoe UI" w:cs="Segoe UI"/>
                <w:sz w:val="18"/>
                <w:szCs w:val="18"/>
                <w:lang w:eastAsia="en-AU"/>
              </w:rPr>
            </w:pPr>
          </w:p>
        </w:tc>
        <w:tc>
          <w:tcPr>
            <w:tcW w:w="1317" w:type="pct"/>
            <w:hideMark/>
          </w:tcPr>
          <w:p w14:paraId="64084AC7"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Halve road deaths and progressively reduce serious injuries by 2030 </w:t>
            </w:r>
          </w:p>
        </w:tc>
        <w:tc>
          <w:tcPr>
            <w:tcW w:w="1116" w:type="pct"/>
            <w:hideMark/>
          </w:tcPr>
          <w:p w14:paraId="2D299CAB" w14:textId="68715FB8"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Pr>
                <w:lang w:eastAsia="en-AU"/>
              </w:rPr>
              <w:t>To be determined</w:t>
            </w:r>
            <w:r w:rsidRPr="00E8099A">
              <w:rPr>
                <w:lang w:eastAsia="en-AU"/>
              </w:rPr>
              <w:t> </w:t>
            </w:r>
          </w:p>
        </w:tc>
        <w:tc>
          <w:tcPr>
            <w:tcW w:w="1336" w:type="pct"/>
            <w:hideMark/>
          </w:tcPr>
          <w:p w14:paraId="306C26EF" w14:textId="5E3825A0"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Victorian Road Safety Strategy 2021</w:t>
            </w:r>
            <w:r>
              <w:rPr>
                <w:lang w:eastAsia="en-AU"/>
              </w:rPr>
              <w:t>–</w:t>
            </w:r>
            <w:r w:rsidRPr="00E8099A">
              <w:rPr>
                <w:lang w:eastAsia="en-AU"/>
              </w:rPr>
              <w:t>2030 </w:t>
            </w:r>
          </w:p>
        </w:tc>
      </w:tr>
      <w:tr w:rsidR="00702F50" w:rsidRPr="00E8099A" w14:paraId="345CC92B"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6CE25999" w14:textId="4845897A" w:rsidR="00702F50" w:rsidRPr="00E8099A" w:rsidRDefault="00702F50" w:rsidP="00702F50">
            <w:pPr>
              <w:pStyle w:val="Tabletext"/>
              <w:rPr>
                <w:rFonts w:ascii="Segoe UI" w:hAnsi="Segoe UI" w:cs="Segoe UI"/>
                <w:sz w:val="18"/>
                <w:szCs w:val="18"/>
                <w:lang w:eastAsia="en-AU"/>
              </w:rPr>
            </w:pPr>
          </w:p>
        </w:tc>
        <w:tc>
          <w:tcPr>
            <w:tcW w:w="1317" w:type="pct"/>
            <w:hideMark/>
          </w:tcPr>
          <w:p w14:paraId="42943C0A" w14:textId="5610BE3D"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 xml:space="preserve">Virtually eliminate </w:t>
            </w:r>
            <w:r>
              <w:rPr>
                <w:lang w:eastAsia="en-AU"/>
              </w:rPr>
              <w:t>h</w:t>
            </w:r>
            <w:r w:rsidRPr="00C73356">
              <w:rPr>
                <w:lang w:eastAsia="en-AU"/>
              </w:rPr>
              <w:t xml:space="preserve">uman immunodeficiency </w:t>
            </w:r>
            <w:r w:rsidRPr="006F4F38">
              <w:rPr>
                <w:lang w:eastAsia="en-AU"/>
              </w:rPr>
              <w:t>virus (</w:t>
            </w:r>
            <w:r w:rsidRPr="003A51DB">
              <w:rPr>
                <w:lang w:eastAsia="en-AU"/>
              </w:rPr>
              <w:t>HIV</w:t>
            </w:r>
            <w:r w:rsidRPr="006F4F38">
              <w:rPr>
                <w:lang w:eastAsia="en-AU"/>
              </w:rPr>
              <w:t>)</w:t>
            </w:r>
            <w:r w:rsidRPr="00C73356">
              <w:rPr>
                <w:lang w:eastAsia="en-AU"/>
              </w:rPr>
              <w:t xml:space="preserve"> </w:t>
            </w:r>
            <w:r w:rsidRPr="00E8099A">
              <w:rPr>
                <w:lang w:eastAsia="en-AU"/>
              </w:rPr>
              <w:t>transmission by 2030 </w:t>
            </w:r>
          </w:p>
        </w:tc>
        <w:tc>
          <w:tcPr>
            <w:tcW w:w="1116" w:type="pct"/>
            <w:hideMark/>
          </w:tcPr>
          <w:p w14:paraId="4BD03668"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n/a </w:t>
            </w:r>
          </w:p>
        </w:tc>
        <w:tc>
          <w:tcPr>
            <w:tcW w:w="1336" w:type="pct"/>
            <w:hideMark/>
          </w:tcPr>
          <w:p w14:paraId="0DC40768" w14:textId="763B7ED4"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Ninth National HIV Strategy 2024</w:t>
            </w:r>
            <w:r>
              <w:rPr>
                <w:lang w:eastAsia="en-AU"/>
              </w:rPr>
              <w:t>–</w:t>
            </w:r>
            <w:r w:rsidRPr="00E8099A">
              <w:rPr>
                <w:lang w:eastAsia="en-AU"/>
              </w:rPr>
              <w:t>2030 </w:t>
            </w:r>
          </w:p>
        </w:tc>
      </w:tr>
      <w:tr w:rsidR="00702F50" w:rsidRPr="00E8099A" w14:paraId="2EEA3FF4"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669E4CC9" w14:textId="2EB7E643" w:rsidR="00702F50" w:rsidRPr="00E8099A" w:rsidRDefault="00702F50" w:rsidP="00702F50">
            <w:pPr>
              <w:pStyle w:val="Tabletext"/>
              <w:rPr>
                <w:rFonts w:ascii="Segoe UI" w:hAnsi="Segoe UI" w:cs="Segoe UI"/>
                <w:sz w:val="18"/>
                <w:szCs w:val="18"/>
                <w:lang w:eastAsia="en-AU"/>
              </w:rPr>
            </w:pPr>
          </w:p>
        </w:tc>
        <w:tc>
          <w:tcPr>
            <w:tcW w:w="1317" w:type="pct"/>
            <w:hideMark/>
          </w:tcPr>
          <w:p w14:paraId="61F4B6E0" w14:textId="00BBBF64"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90</w:t>
            </w:r>
            <w:r>
              <w:rPr>
                <w:lang w:eastAsia="en-AU"/>
              </w:rPr>
              <w:t xml:space="preserve"> percent</w:t>
            </w:r>
            <w:r w:rsidRPr="00E8099A">
              <w:rPr>
                <w:lang w:eastAsia="en-AU"/>
              </w:rPr>
              <w:t xml:space="preserve"> reduction in the number of new infections of hepatitis B and C by 2030 </w:t>
            </w:r>
          </w:p>
        </w:tc>
        <w:tc>
          <w:tcPr>
            <w:tcW w:w="1116" w:type="pct"/>
            <w:hideMark/>
          </w:tcPr>
          <w:p w14:paraId="041892E2"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2015 </w:t>
            </w:r>
          </w:p>
        </w:tc>
        <w:tc>
          <w:tcPr>
            <w:tcW w:w="1336" w:type="pct"/>
            <w:hideMark/>
          </w:tcPr>
          <w:p w14:paraId="3DC7A3F8"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Victorian sexual and reproductive health and viral hepatitis strategy 2022–30 </w:t>
            </w:r>
          </w:p>
        </w:tc>
      </w:tr>
      <w:tr w:rsidR="00702F50" w:rsidRPr="00E8099A" w14:paraId="7FB18AFF"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6BA44BD4" w14:textId="6009631E" w:rsidR="00702F50" w:rsidRPr="00E8099A" w:rsidRDefault="00702F50" w:rsidP="00702F50">
            <w:pPr>
              <w:pStyle w:val="Tabletext"/>
              <w:rPr>
                <w:rFonts w:ascii="Segoe UI" w:hAnsi="Segoe UI" w:cs="Segoe UI"/>
                <w:sz w:val="18"/>
                <w:szCs w:val="18"/>
                <w:lang w:eastAsia="en-AU"/>
              </w:rPr>
            </w:pPr>
          </w:p>
        </w:tc>
        <w:tc>
          <w:tcPr>
            <w:tcW w:w="1317" w:type="pct"/>
            <w:hideMark/>
          </w:tcPr>
          <w:p w14:paraId="18FDFC34" w14:textId="274ACEBA"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Reduce the prevalence of chlamydia, gonorrhoea and infectious syphilis by 2030</w:t>
            </w:r>
          </w:p>
        </w:tc>
        <w:tc>
          <w:tcPr>
            <w:tcW w:w="1116" w:type="pct"/>
            <w:hideMark/>
          </w:tcPr>
          <w:p w14:paraId="62C117DA"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2019 </w:t>
            </w:r>
          </w:p>
        </w:tc>
        <w:tc>
          <w:tcPr>
            <w:tcW w:w="1336" w:type="pct"/>
            <w:hideMark/>
          </w:tcPr>
          <w:p w14:paraId="24BCF28B"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Victorian sexual and reproductive health and viral hepatitis strategy 2022–30 </w:t>
            </w:r>
          </w:p>
        </w:tc>
      </w:tr>
      <w:tr w:rsidR="00702F50" w:rsidRPr="00E8099A" w14:paraId="09FE9F47"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592E43EF" w14:textId="632C5A60" w:rsidR="00702F50" w:rsidRPr="00E8099A" w:rsidRDefault="00702F50" w:rsidP="00702F50">
            <w:pPr>
              <w:pStyle w:val="Tabletext"/>
              <w:rPr>
                <w:rFonts w:ascii="Segoe UI" w:hAnsi="Segoe UI" w:cs="Segoe UI"/>
                <w:sz w:val="18"/>
                <w:szCs w:val="18"/>
                <w:lang w:eastAsia="en-AU"/>
              </w:rPr>
            </w:pPr>
          </w:p>
        </w:tc>
        <w:tc>
          <w:tcPr>
            <w:tcW w:w="1317" w:type="pct"/>
            <w:hideMark/>
          </w:tcPr>
          <w:p w14:paraId="5EF105DC" w14:textId="7DB857EE"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 xml:space="preserve">Eliminate cervical cancer as a public health problem in Victoria </w:t>
            </w:r>
            <w:r>
              <w:rPr>
                <w:lang w:eastAsia="en-AU"/>
              </w:rPr>
              <w:t xml:space="preserve">by </w:t>
            </w:r>
            <w:r w:rsidRPr="00E8099A">
              <w:rPr>
                <w:lang w:eastAsia="en-AU"/>
              </w:rPr>
              <w:t>2035</w:t>
            </w:r>
          </w:p>
        </w:tc>
        <w:tc>
          <w:tcPr>
            <w:tcW w:w="1116" w:type="pct"/>
            <w:hideMark/>
          </w:tcPr>
          <w:p w14:paraId="5F7AA130"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2016 </w:t>
            </w:r>
          </w:p>
        </w:tc>
        <w:tc>
          <w:tcPr>
            <w:tcW w:w="1336" w:type="pct"/>
            <w:hideMark/>
          </w:tcPr>
          <w:p w14:paraId="7E868739" w14:textId="22E16C62"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Victorian Cancer Plan</w:t>
            </w:r>
            <w:r>
              <w:rPr>
                <w:lang w:eastAsia="en-AU"/>
              </w:rPr>
              <w:br/>
            </w:r>
            <w:r w:rsidRPr="00E8099A">
              <w:rPr>
                <w:lang w:eastAsia="en-AU"/>
              </w:rPr>
              <w:t>2024</w:t>
            </w:r>
            <w:r>
              <w:rPr>
                <w:lang w:eastAsia="en-AU"/>
              </w:rPr>
              <w:t>–</w:t>
            </w:r>
            <w:r w:rsidRPr="00E8099A">
              <w:rPr>
                <w:lang w:eastAsia="en-AU"/>
              </w:rPr>
              <w:t>28 </w:t>
            </w:r>
          </w:p>
        </w:tc>
      </w:tr>
      <w:tr w:rsidR="00702F50" w:rsidRPr="00E8099A" w14:paraId="7B708503"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08312D28" w14:textId="379404F8" w:rsidR="00702F50" w:rsidRPr="00E8099A" w:rsidRDefault="00702F50" w:rsidP="00702F50">
            <w:pPr>
              <w:pStyle w:val="Tabletext"/>
              <w:rPr>
                <w:rFonts w:ascii="Segoe UI" w:hAnsi="Segoe UI" w:cs="Segoe UI"/>
                <w:sz w:val="18"/>
                <w:szCs w:val="18"/>
                <w:lang w:eastAsia="en-AU"/>
              </w:rPr>
            </w:pPr>
          </w:p>
        </w:tc>
        <w:tc>
          <w:tcPr>
            <w:tcW w:w="1317" w:type="pct"/>
            <w:hideMark/>
          </w:tcPr>
          <w:p w14:paraId="619DFA25"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Eliminate congenital syphilis by 2030 </w:t>
            </w:r>
          </w:p>
        </w:tc>
        <w:tc>
          <w:tcPr>
            <w:tcW w:w="1116" w:type="pct"/>
            <w:hideMark/>
          </w:tcPr>
          <w:p w14:paraId="04925A80"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2020 </w:t>
            </w:r>
          </w:p>
        </w:tc>
        <w:tc>
          <w:tcPr>
            <w:tcW w:w="1336" w:type="pct"/>
            <w:hideMark/>
          </w:tcPr>
          <w:p w14:paraId="7DA69A0B"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Victorian sexual and reproductive health and viral hepatitis strategy 2022–30 </w:t>
            </w:r>
          </w:p>
        </w:tc>
      </w:tr>
      <w:tr w:rsidR="00702F50" w:rsidRPr="00E8099A" w14:paraId="5DB28FBE" w14:textId="77777777" w:rsidTr="00702F50">
        <w:trPr>
          <w:trHeight w:val="300"/>
        </w:trPr>
        <w:tc>
          <w:tcPr>
            <w:cnfStyle w:val="001000000000" w:firstRow="0" w:lastRow="0" w:firstColumn="1" w:lastColumn="0" w:oddVBand="0" w:evenVBand="0" w:oddHBand="0" w:evenHBand="0" w:firstRowFirstColumn="0" w:firstRowLastColumn="0" w:lastRowFirstColumn="0" w:lastRowLastColumn="0"/>
            <w:tcW w:w="1231" w:type="pct"/>
            <w:hideMark/>
          </w:tcPr>
          <w:p w14:paraId="26ABCF62" w14:textId="15A522B6" w:rsidR="00702F50" w:rsidRPr="00E8099A" w:rsidRDefault="00702F50" w:rsidP="00702F50">
            <w:pPr>
              <w:pStyle w:val="Tabletext"/>
              <w:rPr>
                <w:rFonts w:ascii="Segoe UI" w:hAnsi="Segoe UI" w:cs="Segoe UI"/>
                <w:sz w:val="18"/>
                <w:szCs w:val="18"/>
                <w:lang w:eastAsia="en-AU"/>
              </w:rPr>
            </w:pPr>
            <w:r w:rsidRPr="00E8099A">
              <w:rPr>
                <w:lang w:eastAsia="en-AU"/>
              </w:rPr>
              <w:lastRenderedPageBreak/>
              <w:t>Victorians enjoy high levels of physical health </w:t>
            </w:r>
          </w:p>
        </w:tc>
        <w:tc>
          <w:tcPr>
            <w:tcW w:w="1317" w:type="pct"/>
            <w:hideMark/>
          </w:tcPr>
          <w:p w14:paraId="283FAFDB" w14:textId="3EC8CFB8" w:rsidR="00702F50" w:rsidRPr="00E8099A" w:rsidRDefault="00702F50" w:rsidP="00702F50">
            <w:pPr>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 xml:space="preserve">Achieve and maintain </w:t>
            </w:r>
            <w:r>
              <w:t xml:space="preserve">human </w:t>
            </w:r>
            <w:r w:rsidRPr="008C372C">
              <w:t xml:space="preserve">papillomavirus </w:t>
            </w:r>
            <w:r>
              <w:t xml:space="preserve">(HPV) </w:t>
            </w:r>
            <w:r w:rsidRPr="00E8099A">
              <w:rPr>
                <w:lang w:eastAsia="en-AU"/>
              </w:rPr>
              <w:t xml:space="preserve">adolescent vaccination coverage of </w:t>
            </w:r>
            <w:proofErr w:type="gramStart"/>
            <w:r w:rsidRPr="00E8099A">
              <w:rPr>
                <w:lang w:eastAsia="en-AU"/>
              </w:rPr>
              <w:t>80</w:t>
            </w:r>
            <w:r>
              <w:rPr>
                <w:lang w:eastAsia="en-AU"/>
              </w:rPr>
              <w:t xml:space="preserve"> </w:t>
            </w:r>
            <w:r w:rsidRPr="00E8099A">
              <w:rPr>
                <w:lang w:eastAsia="en-AU"/>
              </w:rPr>
              <w:t xml:space="preserve"> by</w:t>
            </w:r>
            <w:proofErr w:type="gramEnd"/>
            <w:r w:rsidRPr="00E8099A">
              <w:rPr>
                <w:lang w:eastAsia="en-AU"/>
              </w:rPr>
              <w:t xml:space="preserve"> 2030 </w:t>
            </w:r>
          </w:p>
        </w:tc>
        <w:tc>
          <w:tcPr>
            <w:tcW w:w="1116" w:type="pct"/>
            <w:hideMark/>
          </w:tcPr>
          <w:p w14:paraId="2E4A2273"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2017 </w:t>
            </w:r>
          </w:p>
        </w:tc>
        <w:tc>
          <w:tcPr>
            <w:tcW w:w="1336" w:type="pct"/>
            <w:hideMark/>
          </w:tcPr>
          <w:p w14:paraId="6D1870F6"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Victorian sexual and reproductive health and viral hepatitis strategy 2022–30 </w:t>
            </w:r>
          </w:p>
        </w:tc>
      </w:tr>
      <w:tr w:rsidR="00702F50" w:rsidRPr="00E8099A" w14:paraId="3A71D175"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264147F6" w14:textId="0B6DA80E" w:rsidR="00702F50" w:rsidRPr="00E8099A" w:rsidRDefault="00702F50" w:rsidP="00702F50">
            <w:pPr>
              <w:pStyle w:val="Tabletext"/>
              <w:rPr>
                <w:rFonts w:ascii="Segoe UI" w:hAnsi="Segoe UI" w:cs="Segoe UI"/>
                <w:sz w:val="18"/>
                <w:szCs w:val="18"/>
                <w:lang w:eastAsia="en-AU"/>
              </w:rPr>
            </w:pPr>
          </w:p>
        </w:tc>
        <w:tc>
          <w:tcPr>
            <w:tcW w:w="1317" w:type="pct"/>
            <w:hideMark/>
          </w:tcPr>
          <w:p w14:paraId="31727D56"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Halt the rise and reverse the trend in the prevalence of obesity in adults by 2030 </w:t>
            </w:r>
          </w:p>
        </w:tc>
        <w:tc>
          <w:tcPr>
            <w:tcW w:w="1116" w:type="pct"/>
            <w:hideMark/>
          </w:tcPr>
          <w:p w14:paraId="103F2556" w14:textId="0007AA25"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2017</w:t>
            </w:r>
            <w:r>
              <w:rPr>
                <w:lang w:eastAsia="en-AU"/>
              </w:rPr>
              <w:t>–</w:t>
            </w:r>
            <w:r w:rsidRPr="00E8099A">
              <w:rPr>
                <w:lang w:eastAsia="en-AU"/>
              </w:rPr>
              <w:t>18 </w:t>
            </w:r>
          </w:p>
        </w:tc>
        <w:tc>
          <w:tcPr>
            <w:tcW w:w="1336" w:type="pct"/>
            <w:hideMark/>
          </w:tcPr>
          <w:p w14:paraId="61880698" w14:textId="43FD1E11"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National Preventive Health Strategy 2021</w:t>
            </w:r>
            <w:r>
              <w:rPr>
                <w:lang w:eastAsia="en-AU"/>
              </w:rPr>
              <w:t>–</w:t>
            </w:r>
            <w:r w:rsidRPr="00E8099A">
              <w:rPr>
                <w:lang w:eastAsia="en-AU"/>
              </w:rPr>
              <w:t>2030 </w:t>
            </w:r>
          </w:p>
        </w:tc>
      </w:tr>
      <w:tr w:rsidR="00702F50" w:rsidRPr="00E8099A" w14:paraId="24C206E6"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3B7D3FFC" w14:textId="08D4E20D" w:rsidR="00702F50" w:rsidRPr="00E8099A" w:rsidRDefault="00702F50" w:rsidP="00702F50">
            <w:pPr>
              <w:pStyle w:val="Tabletext"/>
              <w:rPr>
                <w:rFonts w:ascii="Segoe UI" w:hAnsi="Segoe UI" w:cs="Segoe UI"/>
                <w:sz w:val="18"/>
                <w:szCs w:val="18"/>
                <w:lang w:eastAsia="en-AU"/>
              </w:rPr>
            </w:pPr>
          </w:p>
        </w:tc>
        <w:tc>
          <w:tcPr>
            <w:tcW w:w="1317" w:type="pct"/>
            <w:hideMark/>
          </w:tcPr>
          <w:p w14:paraId="4F0C6F27" w14:textId="6A4CABC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 xml:space="preserve">Reduce overweight and obesity in children and adolescents aged </w:t>
            </w:r>
            <w:r>
              <w:rPr>
                <w:lang w:eastAsia="en-AU"/>
              </w:rPr>
              <w:t>two–</w:t>
            </w:r>
            <w:r w:rsidRPr="00E8099A">
              <w:rPr>
                <w:lang w:eastAsia="en-AU"/>
              </w:rPr>
              <w:t>17 years by at least 5</w:t>
            </w:r>
            <w:r>
              <w:rPr>
                <w:lang w:eastAsia="en-AU"/>
              </w:rPr>
              <w:t xml:space="preserve"> percent</w:t>
            </w:r>
            <w:r w:rsidRPr="00E8099A">
              <w:rPr>
                <w:lang w:eastAsia="en-AU"/>
              </w:rPr>
              <w:t xml:space="preserve"> by 2030 </w:t>
            </w:r>
          </w:p>
        </w:tc>
        <w:tc>
          <w:tcPr>
            <w:tcW w:w="1116" w:type="pct"/>
            <w:hideMark/>
          </w:tcPr>
          <w:p w14:paraId="2B110562" w14:textId="2178068C"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2011</w:t>
            </w:r>
            <w:r>
              <w:rPr>
                <w:lang w:eastAsia="en-AU"/>
              </w:rPr>
              <w:t>–</w:t>
            </w:r>
            <w:r w:rsidRPr="00E8099A">
              <w:rPr>
                <w:lang w:eastAsia="en-AU"/>
              </w:rPr>
              <w:t>12 </w:t>
            </w:r>
          </w:p>
        </w:tc>
        <w:tc>
          <w:tcPr>
            <w:tcW w:w="1336" w:type="pct"/>
            <w:hideMark/>
          </w:tcPr>
          <w:p w14:paraId="47084EC0" w14:textId="136BDDEB"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National Preventive Health Strategy 2021</w:t>
            </w:r>
            <w:r>
              <w:rPr>
                <w:lang w:eastAsia="en-AU"/>
              </w:rPr>
              <w:t>–</w:t>
            </w:r>
            <w:r w:rsidRPr="00E8099A">
              <w:rPr>
                <w:lang w:eastAsia="en-AU"/>
              </w:rPr>
              <w:t>2030 </w:t>
            </w:r>
          </w:p>
        </w:tc>
      </w:tr>
      <w:tr w:rsidR="00702F50" w:rsidRPr="00E8099A" w14:paraId="6D2F952F"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428F75A7" w14:textId="69F0D2B4" w:rsidR="00702F50" w:rsidRPr="00E8099A" w:rsidRDefault="00702F50" w:rsidP="00702F50">
            <w:pPr>
              <w:pStyle w:val="Tabletext"/>
              <w:rPr>
                <w:rFonts w:ascii="Segoe UI" w:hAnsi="Segoe UI" w:cs="Segoe UI"/>
                <w:sz w:val="18"/>
                <w:szCs w:val="18"/>
                <w:lang w:eastAsia="en-AU"/>
              </w:rPr>
            </w:pPr>
          </w:p>
        </w:tc>
        <w:tc>
          <w:tcPr>
            <w:tcW w:w="1317" w:type="pct"/>
            <w:hideMark/>
          </w:tcPr>
          <w:p w14:paraId="14A1682E"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Suicide rates have reduced equitably across all groups and communities </w:t>
            </w:r>
          </w:p>
        </w:tc>
        <w:tc>
          <w:tcPr>
            <w:tcW w:w="1116" w:type="pct"/>
            <w:hideMark/>
          </w:tcPr>
          <w:p w14:paraId="0F265E64"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2024 </w:t>
            </w:r>
          </w:p>
        </w:tc>
        <w:tc>
          <w:tcPr>
            <w:tcW w:w="1336" w:type="pct"/>
            <w:hideMark/>
          </w:tcPr>
          <w:p w14:paraId="4DFFE636" w14:textId="522C4D7B"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Victorian suicide prevention and response strategy 2024</w:t>
            </w:r>
            <w:r>
              <w:rPr>
                <w:lang w:eastAsia="en-AU"/>
              </w:rPr>
              <w:t>–</w:t>
            </w:r>
            <w:r w:rsidRPr="00E8099A">
              <w:rPr>
                <w:lang w:eastAsia="en-AU"/>
              </w:rPr>
              <w:t>34 </w:t>
            </w:r>
          </w:p>
        </w:tc>
      </w:tr>
      <w:tr w:rsidR="00702F50" w:rsidRPr="00E8099A" w14:paraId="2E526AEE" w14:textId="77777777" w:rsidTr="00702F50">
        <w:trPr>
          <w:trHeight w:val="300"/>
        </w:trPr>
        <w:tc>
          <w:tcPr>
            <w:cnfStyle w:val="001000000000" w:firstRow="0" w:lastRow="0" w:firstColumn="1" w:lastColumn="0" w:oddVBand="0" w:evenVBand="0" w:oddHBand="0" w:evenHBand="0" w:firstRowFirstColumn="0" w:firstRowLastColumn="0" w:lastRowFirstColumn="0" w:lastRowLastColumn="0"/>
            <w:tcW w:w="1231" w:type="pct"/>
            <w:hideMark/>
          </w:tcPr>
          <w:p w14:paraId="557B17AC" w14:textId="77777777" w:rsidR="00702F50" w:rsidRPr="00E8099A" w:rsidRDefault="00702F50" w:rsidP="00702F50">
            <w:pPr>
              <w:pStyle w:val="Tabletext"/>
              <w:rPr>
                <w:rFonts w:ascii="Segoe UI" w:hAnsi="Segoe UI" w:cs="Segoe UI"/>
                <w:sz w:val="18"/>
                <w:szCs w:val="18"/>
                <w:lang w:eastAsia="en-AU"/>
              </w:rPr>
            </w:pPr>
            <w:r w:rsidRPr="00E8099A">
              <w:rPr>
                <w:lang w:eastAsia="en-AU"/>
              </w:rPr>
              <w:t>Victorians are supported to protect and promote health </w:t>
            </w:r>
          </w:p>
        </w:tc>
        <w:tc>
          <w:tcPr>
            <w:tcW w:w="1317" w:type="pct"/>
            <w:hideMark/>
          </w:tcPr>
          <w:p w14:paraId="6E47F507" w14:textId="33792C4E"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 xml:space="preserve">Adults and children (≥9 years) maintain or increase their fruit consumption to an average </w:t>
            </w:r>
            <w:r>
              <w:rPr>
                <w:lang w:eastAsia="en-AU"/>
              </w:rPr>
              <w:t>two</w:t>
            </w:r>
            <w:r w:rsidRPr="00E8099A">
              <w:rPr>
                <w:lang w:eastAsia="en-AU"/>
              </w:rPr>
              <w:t xml:space="preserve"> serves per day by 2030 </w:t>
            </w:r>
          </w:p>
        </w:tc>
        <w:tc>
          <w:tcPr>
            <w:tcW w:w="1116" w:type="pct"/>
            <w:hideMark/>
          </w:tcPr>
          <w:p w14:paraId="598FFBB0" w14:textId="63EDB70C"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2017</w:t>
            </w:r>
            <w:r>
              <w:rPr>
                <w:lang w:eastAsia="en-AU"/>
              </w:rPr>
              <w:t>–</w:t>
            </w:r>
            <w:r w:rsidRPr="00E8099A">
              <w:rPr>
                <w:lang w:eastAsia="en-AU"/>
              </w:rPr>
              <w:t>18 </w:t>
            </w:r>
          </w:p>
        </w:tc>
        <w:tc>
          <w:tcPr>
            <w:tcW w:w="1336" w:type="pct"/>
            <w:hideMark/>
          </w:tcPr>
          <w:p w14:paraId="03B76961" w14:textId="48067CA6"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National Preventive Health Strategy 2021</w:t>
            </w:r>
            <w:r>
              <w:rPr>
                <w:lang w:eastAsia="en-AU"/>
              </w:rPr>
              <w:t>–</w:t>
            </w:r>
            <w:r w:rsidRPr="00E8099A">
              <w:rPr>
                <w:lang w:eastAsia="en-AU"/>
              </w:rPr>
              <w:t>2030 </w:t>
            </w:r>
          </w:p>
        </w:tc>
      </w:tr>
      <w:tr w:rsidR="00702F50" w:rsidRPr="00E8099A" w14:paraId="69E9D4C9"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2ADD0B3F" w14:textId="31E5EFF3" w:rsidR="00702F50" w:rsidRPr="00E8099A" w:rsidRDefault="00702F50" w:rsidP="00702F50">
            <w:pPr>
              <w:pStyle w:val="Tabletext"/>
              <w:rPr>
                <w:rFonts w:ascii="Segoe UI" w:hAnsi="Segoe UI" w:cs="Segoe UI"/>
                <w:sz w:val="18"/>
                <w:szCs w:val="18"/>
                <w:lang w:eastAsia="en-AU"/>
              </w:rPr>
            </w:pPr>
          </w:p>
        </w:tc>
        <w:tc>
          <w:tcPr>
            <w:tcW w:w="1317" w:type="pct"/>
            <w:hideMark/>
          </w:tcPr>
          <w:p w14:paraId="7D05411B" w14:textId="78492699"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 xml:space="preserve">Adults and children (≥9 years) maintain or increase their vegetable consumption to </w:t>
            </w:r>
            <w:r>
              <w:rPr>
                <w:lang w:eastAsia="en-AU"/>
              </w:rPr>
              <w:t>five</w:t>
            </w:r>
            <w:r w:rsidRPr="00E8099A">
              <w:rPr>
                <w:lang w:eastAsia="en-AU"/>
              </w:rPr>
              <w:t xml:space="preserve"> serves per day </w:t>
            </w:r>
          </w:p>
        </w:tc>
        <w:tc>
          <w:tcPr>
            <w:tcW w:w="1116" w:type="pct"/>
            <w:hideMark/>
          </w:tcPr>
          <w:p w14:paraId="4D9FA51D" w14:textId="77FE0DE8"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2017</w:t>
            </w:r>
            <w:r>
              <w:rPr>
                <w:lang w:eastAsia="en-AU"/>
              </w:rPr>
              <w:t>–</w:t>
            </w:r>
            <w:r w:rsidRPr="00E8099A">
              <w:rPr>
                <w:lang w:eastAsia="en-AU"/>
              </w:rPr>
              <w:t>18 </w:t>
            </w:r>
          </w:p>
        </w:tc>
        <w:tc>
          <w:tcPr>
            <w:tcW w:w="1336" w:type="pct"/>
            <w:hideMark/>
          </w:tcPr>
          <w:p w14:paraId="008E3091" w14:textId="104140B2"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National Preventive Health Strategy 2021</w:t>
            </w:r>
            <w:r>
              <w:rPr>
                <w:lang w:eastAsia="en-AU"/>
              </w:rPr>
              <w:t>–</w:t>
            </w:r>
            <w:r w:rsidRPr="00E8099A">
              <w:rPr>
                <w:lang w:eastAsia="en-AU"/>
              </w:rPr>
              <w:t>2030 </w:t>
            </w:r>
          </w:p>
        </w:tc>
      </w:tr>
      <w:tr w:rsidR="00702F50" w:rsidRPr="00E8099A" w14:paraId="2E3286E8"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4A950002" w14:textId="5D3308A7" w:rsidR="00702F50" w:rsidRPr="00E8099A" w:rsidRDefault="00702F50" w:rsidP="00702F50">
            <w:pPr>
              <w:pStyle w:val="Tabletext"/>
              <w:rPr>
                <w:rFonts w:ascii="Segoe UI" w:hAnsi="Segoe UI" w:cs="Segoe UI"/>
                <w:sz w:val="18"/>
                <w:szCs w:val="18"/>
                <w:lang w:eastAsia="en-AU"/>
              </w:rPr>
            </w:pPr>
          </w:p>
        </w:tc>
        <w:tc>
          <w:tcPr>
            <w:tcW w:w="1317" w:type="pct"/>
            <w:hideMark/>
          </w:tcPr>
          <w:p w14:paraId="512E1BA0" w14:textId="6B260EA3"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Reduce the proportion of children and adults’ total energy intake from discretionary foods from &gt;30</w:t>
            </w:r>
            <w:r>
              <w:rPr>
                <w:lang w:eastAsia="en-AU"/>
              </w:rPr>
              <w:t xml:space="preserve"> percent</w:t>
            </w:r>
            <w:r w:rsidRPr="00E8099A">
              <w:rPr>
                <w:lang w:eastAsia="en-AU"/>
              </w:rPr>
              <w:t xml:space="preserve"> to &lt;20</w:t>
            </w:r>
            <w:r>
              <w:rPr>
                <w:lang w:eastAsia="en-AU"/>
              </w:rPr>
              <w:t xml:space="preserve"> percent</w:t>
            </w:r>
            <w:r w:rsidRPr="00E8099A">
              <w:rPr>
                <w:lang w:eastAsia="en-AU"/>
              </w:rPr>
              <w:t xml:space="preserve"> by 2030 </w:t>
            </w:r>
          </w:p>
        </w:tc>
        <w:tc>
          <w:tcPr>
            <w:tcW w:w="1116" w:type="pct"/>
            <w:hideMark/>
          </w:tcPr>
          <w:p w14:paraId="70E6AD3A" w14:textId="57BE258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2011</w:t>
            </w:r>
            <w:r>
              <w:rPr>
                <w:lang w:eastAsia="en-AU"/>
              </w:rPr>
              <w:t>–</w:t>
            </w:r>
            <w:r w:rsidRPr="00E8099A">
              <w:rPr>
                <w:lang w:eastAsia="en-AU"/>
              </w:rPr>
              <w:t>12 </w:t>
            </w:r>
          </w:p>
        </w:tc>
        <w:tc>
          <w:tcPr>
            <w:tcW w:w="1336" w:type="pct"/>
            <w:hideMark/>
          </w:tcPr>
          <w:p w14:paraId="5C907DAF" w14:textId="7A123011"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National Preventive Health Strategy 2021</w:t>
            </w:r>
            <w:r>
              <w:rPr>
                <w:lang w:eastAsia="en-AU"/>
              </w:rPr>
              <w:t>–</w:t>
            </w:r>
            <w:r w:rsidRPr="00E8099A">
              <w:rPr>
                <w:lang w:eastAsia="en-AU"/>
              </w:rPr>
              <w:t>2030 </w:t>
            </w:r>
          </w:p>
        </w:tc>
      </w:tr>
      <w:tr w:rsidR="00702F50" w:rsidRPr="00E8099A" w14:paraId="476F921D"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636E2E12" w14:textId="09DFE489" w:rsidR="00702F50" w:rsidRPr="00E8099A" w:rsidRDefault="00702F50" w:rsidP="00702F50">
            <w:pPr>
              <w:pStyle w:val="Tabletext"/>
              <w:rPr>
                <w:rFonts w:ascii="Segoe UI" w:hAnsi="Segoe UI" w:cs="Segoe UI"/>
                <w:sz w:val="18"/>
                <w:szCs w:val="18"/>
                <w:lang w:eastAsia="en-AU"/>
              </w:rPr>
            </w:pPr>
          </w:p>
        </w:tc>
        <w:tc>
          <w:tcPr>
            <w:tcW w:w="1317" w:type="pct"/>
            <w:hideMark/>
          </w:tcPr>
          <w:p w14:paraId="14EA66CC" w14:textId="2CBC4401"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Reduce the prevalence of insufficient physical activity among children, adolescents and adults by at least 15</w:t>
            </w:r>
            <w:r>
              <w:rPr>
                <w:lang w:eastAsia="en-AU"/>
              </w:rPr>
              <w:t xml:space="preserve"> percent</w:t>
            </w:r>
            <w:r w:rsidRPr="00E8099A">
              <w:rPr>
                <w:lang w:eastAsia="en-AU"/>
              </w:rPr>
              <w:t xml:space="preserve"> by 2030 </w:t>
            </w:r>
          </w:p>
        </w:tc>
        <w:tc>
          <w:tcPr>
            <w:tcW w:w="1116" w:type="pct"/>
            <w:hideMark/>
          </w:tcPr>
          <w:p w14:paraId="7F76560E" w14:textId="4DE07F3C"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2017</w:t>
            </w:r>
            <w:r>
              <w:rPr>
                <w:lang w:eastAsia="en-AU"/>
              </w:rPr>
              <w:t>–</w:t>
            </w:r>
            <w:r w:rsidRPr="00E8099A">
              <w:rPr>
                <w:lang w:eastAsia="en-AU"/>
              </w:rPr>
              <w:t>18 </w:t>
            </w:r>
          </w:p>
        </w:tc>
        <w:tc>
          <w:tcPr>
            <w:tcW w:w="1336" w:type="pct"/>
            <w:hideMark/>
          </w:tcPr>
          <w:p w14:paraId="79D04EE5" w14:textId="0881979D"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National Preventive Health Strategy 2021</w:t>
            </w:r>
            <w:r>
              <w:rPr>
                <w:lang w:eastAsia="en-AU"/>
              </w:rPr>
              <w:t>–</w:t>
            </w:r>
            <w:r w:rsidRPr="00E8099A">
              <w:rPr>
                <w:lang w:eastAsia="en-AU"/>
              </w:rPr>
              <w:t>2030 </w:t>
            </w:r>
          </w:p>
        </w:tc>
      </w:tr>
      <w:tr w:rsidR="00702F50" w:rsidRPr="00E8099A" w14:paraId="1F7CB773"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1E45442B" w14:textId="6D4F0487" w:rsidR="00702F50" w:rsidRPr="00E8099A" w:rsidRDefault="00702F50" w:rsidP="00702F50">
            <w:pPr>
              <w:pStyle w:val="Tabletext"/>
              <w:rPr>
                <w:rFonts w:ascii="Segoe UI" w:hAnsi="Segoe UI" w:cs="Segoe UI"/>
                <w:sz w:val="18"/>
                <w:szCs w:val="18"/>
                <w:lang w:eastAsia="en-AU"/>
              </w:rPr>
            </w:pPr>
          </w:p>
        </w:tc>
        <w:tc>
          <w:tcPr>
            <w:tcW w:w="1317" w:type="pct"/>
            <w:hideMark/>
          </w:tcPr>
          <w:p w14:paraId="6254F318" w14:textId="31DF5999"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 xml:space="preserve">Increase the prevalence of Victorians (≥15 years) who are meeting the </w:t>
            </w:r>
            <w:r w:rsidRPr="00E8099A">
              <w:rPr>
                <w:lang w:eastAsia="en-AU"/>
              </w:rPr>
              <w:lastRenderedPageBreak/>
              <w:t>strengthening guidelines by at least 15</w:t>
            </w:r>
            <w:r>
              <w:rPr>
                <w:lang w:eastAsia="en-AU"/>
              </w:rPr>
              <w:t xml:space="preserve"> percent</w:t>
            </w:r>
            <w:r w:rsidRPr="00E8099A">
              <w:rPr>
                <w:lang w:eastAsia="en-AU"/>
              </w:rPr>
              <w:t xml:space="preserve"> by 2030 </w:t>
            </w:r>
          </w:p>
        </w:tc>
        <w:tc>
          <w:tcPr>
            <w:tcW w:w="1116" w:type="pct"/>
            <w:hideMark/>
          </w:tcPr>
          <w:p w14:paraId="6FFED8E0" w14:textId="7CC76220"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lastRenderedPageBreak/>
              <w:t>2017</w:t>
            </w:r>
            <w:r>
              <w:rPr>
                <w:lang w:eastAsia="en-AU"/>
              </w:rPr>
              <w:t>–</w:t>
            </w:r>
            <w:r w:rsidRPr="00E8099A">
              <w:rPr>
                <w:lang w:eastAsia="en-AU"/>
              </w:rPr>
              <w:t>18 </w:t>
            </w:r>
          </w:p>
        </w:tc>
        <w:tc>
          <w:tcPr>
            <w:tcW w:w="1336" w:type="pct"/>
            <w:hideMark/>
          </w:tcPr>
          <w:p w14:paraId="1ED2FE91" w14:textId="3472E1B0"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National Preventive Health Strategy 2021</w:t>
            </w:r>
            <w:r>
              <w:rPr>
                <w:lang w:eastAsia="en-AU"/>
              </w:rPr>
              <w:t>–</w:t>
            </w:r>
            <w:r w:rsidRPr="00E8099A">
              <w:rPr>
                <w:lang w:eastAsia="en-AU"/>
              </w:rPr>
              <w:t>2030 </w:t>
            </w:r>
          </w:p>
        </w:tc>
      </w:tr>
      <w:tr w:rsidR="00702F50" w:rsidRPr="00E8099A" w14:paraId="6330E0FE"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0E968827" w14:textId="3EB14662" w:rsidR="00702F50" w:rsidRPr="00E8099A" w:rsidRDefault="00702F50" w:rsidP="00702F50">
            <w:pPr>
              <w:pStyle w:val="Tabletext"/>
              <w:rPr>
                <w:rFonts w:ascii="Segoe UI" w:hAnsi="Segoe UI" w:cs="Segoe UI"/>
                <w:sz w:val="18"/>
                <w:szCs w:val="18"/>
                <w:lang w:eastAsia="en-AU"/>
              </w:rPr>
            </w:pPr>
          </w:p>
        </w:tc>
        <w:tc>
          <w:tcPr>
            <w:tcW w:w="1317" w:type="pct"/>
            <w:hideMark/>
          </w:tcPr>
          <w:p w14:paraId="3FF1FDAF" w14:textId="3D5CB768"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Increase immunisation coverage rates to at least 95</w:t>
            </w:r>
            <w:r>
              <w:rPr>
                <w:lang w:eastAsia="en-AU"/>
              </w:rPr>
              <w:t xml:space="preserve"> percent</w:t>
            </w:r>
            <w:r w:rsidRPr="00E8099A">
              <w:rPr>
                <w:lang w:eastAsia="en-AU"/>
              </w:rPr>
              <w:t xml:space="preserve"> of children aged </w:t>
            </w:r>
            <w:r>
              <w:rPr>
                <w:lang w:eastAsia="en-AU"/>
              </w:rPr>
              <w:t>one</w:t>
            </w:r>
            <w:r w:rsidRPr="00E8099A">
              <w:rPr>
                <w:lang w:eastAsia="en-AU"/>
              </w:rPr>
              <w:t xml:space="preserve"> and </w:t>
            </w:r>
            <w:r>
              <w:rPr>
                <w:lang w:eastAsia="en-AU"/>
              </w:rPr>
              <w:t>two</w:t>
            </w:r>
            <w:r w:rsidRPr="00E8099A">
              <w:rPr>
                <w:lang w:eastAsia="en-AU"/>
              </w:rPr>
              <w:t xml:space="preserve"> years by 2030, and maintain a coverage rate of at least 95</w:t>
            </w:r>
            <w:r>
              <w:rPr>
                <w:lang w:eastAsia="en-AU"/>
              </w:rPr>
              <w:t xml:space="preserve"> percent</w:t>
            </w:r>
            <w:r w:rsidRPr="00E8099A">
              <w:rPr>
                <w:lang w:eastAsia="en-AU"/>
              </w:rPr>
              <w:t xml:space="preserve"> for children aged </w:t>
            </w:r>
            <w:r>
              <w:rPr>
                <w:lang w:eastAsia="en-AU"/>
              </w:rPr>
              <w:t>five</w:t>
            </w:r>
            <w:r w:rsidRPr="00E8099A">
              <w:rPr>
                <w:lang w:eastAsia="en-AU"/>
              </w:rPr>
              <w:t xml:space="preserve"> years </w:t>
            </w:r>
          </w:p>
        </w:tc>
        <w:tc>
          <w:tcPr>
            <w:tcW w:w="1116" w:type="pct"/>
            <w:hideMark/>
          </w:tcPr>
          <w:p w14:paraId="419E0149"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2021 </w:t>
            </w:r>
          </w:p>
        </w:tc>
        <w:tc>
          <w:tcPr>
            <w:tcW w:w="1336" w:type="pct"/>
            <w:hideMark/>
          </w:tcPr>
          <w:p w14:paraId="65A417C6" w14:textId="152C18AF"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National Preventive Health Strategy 2021</w:t>
            </w:r>
            <w:r>
              <w:rPr>
                <w:lang w:eastAsia="en-AU"/>
              </w:rPr>
              <w:t>–</w:t>
            </w:r>
            <w:r w:rsidRPr="00E8099A">
              <w:rPr>
                <w:lang w:eastAsia="en-AU"/>
              </w:rPr>
              <w:t>2030 </w:t>
            </w:r>
          </w:p>
        </w:tc>
      </w:tr>
      <w:tr w:rsidR="00702F50" w:rsidRPr="00E8099A" w14:paraId="3AC58041" w14:textId="77777777" w:rsidTr="00702F50">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653456D9" w14:textId="30A10FFB" w:rsidR="00702F50" w:rsidRPr="00E8099A" w:rsidRDefault="00702F50" w:rsidP="00702F50">
            <w:pPr>
              <w:pStyle w:val="Tabletext"/>
              <w:rPr>
                <w:rFonts w:ascii="Segoe UI" w:hAnsi="Segoe UI" w:cs="Segoe UI"/>
                <w:sz w:val="18"/>
                <w:szCs w:val="18"/>
                <w:lang w:eastAsia="en-AU"/>
              </w:rPr>
            </w:pPr>
          </w:p>
        </w:tc>
        <w:tc>
          <w:tcPr>
            <w:tcW w:w="1317" w:type="pct"/>
          </w:tcPr>
          <w:p w14:paraId="23F4B639" w14:textId="00F2F46A"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lang w:eastAsia="en-AU"/>
              </w:rPr>
            </w:pPr>
            <w:r w:rsidRPr="352ADDA2">
              <w:rPr>
                <w:lang w:eastAsia="en-AU"/>
              </w:rPr>
              <w:t>Achieve a daily smoking prevalence of less than 10</w:t>
            </w:r>
            <w:r>
              <w:rPr>
                <w:lang w:eastAsia="en-AU"/>
              </w:rPr>
              <w:t xml:space="preserve"> percent</w:t>
            </w:r>
            <w:r w:rsidRPr="352ADDA2">
              <w:rPr>
                <w:lang w:eastAsia="en-AU"/>
              </w:rPr>
              <w:t xml:space="preserve"> by 2025 and 5</w:t>
            </w:r>
            <w:r>
              <w:rPr>
                <w:lang w:eastAsia="en-AU"/>
              </w:rPr>
              <w:t xml:space="preserve"> percent</w:t>
            </w:r>
            <w:r w:rsidRPr="352ADDA2">
              <w:rPr>
                <w:lang w:eastAsia="en-AU"/>
              </w:rPr>
              <w:t xml:space="preserve"> or less for adults (≥18 years) by 2030 </w:t>
            </w:r>
          </w:p>
        </w:tc>
        <w:tc>
          <w:tcPr>
            <w:tcW w:w="1116" w:type="pct"/>
          </w:tcPr>
          <w:p w14:paraId="7DFF780D" w14:textId="3B767E20"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lang w:eastAsia="en-AU"/>
              </w:rPr>
            </w:pPr>
            <w:r w:rsidRPr="352ADDA2">
              <w:rPr>
                <w:lang w:eastAsia="en-AU"/>
              </w:rPr>
              <w:t>2017</w:t>
            </w:r>
            <w:r>
              <w:rPr>
                <w:lang w:eastAsia="en-AU"/>
              </w:rPr>
              <w:t>–</w:t>
            </w:r>
            <w:r w:rsidRPr="352ADDA2">
              <w:rPr>
                <w:lang w:eastAsia="en-AU"/>
              </w:rPr>
              <w:t>18 </w:t>
            </w:r>
          </w:p>
        </w:tc>
        <w:tc>
          <w:tcPr>
            <w:tcW w:w="1336" w:type="pct"/>
          </w:tcPr>
          <w:p w14:paraId="4CAD98A3" w14:textId="302696B0"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lang w:eastAsia="en-AU"/>
              </w:rPr>
            </w:pPr>
            <w:r w:rsidRPr="352ADDA2">
              <w:rPr>
                <w:lang w:eastAsia="en-AU"/>
              </w:rPr>
              <w:t>National Preventive Health Strategy 2021</w:t>
            </w:r>
            <w:r>
              <w:rPr>
                <w:lang w:eastAsia="en-AU"/>
              </w:rPr>
              <w:t>–</w:t>
            </w:r>
            <w:r w:rsidRPr="352ADDA2">
              <w:rPr>
                <w:lang w:eastAsia="en-AU"/>
              </w:rPr>
              <w:t>2030 </w:t>
            </w:r>
          </w:p>
        </w:tc>
      </w:tr>
      <w:tr w:rsidR="00702F50" w14:paraId="3F690B78"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45D60BB0" w14:textId="2DEEEAD9" w:rsidR="00702F50" w:rsidRDefault="00702F50" w:rsidP="00702F50">
            <w:pPr>
              <w:pStyle w:val="Tabletext"/>
            </w:pPr>
          </w:p>
        </w:tc>
        <w:tc>
          <w:tcPr>
            <w:tcW w:w="1317" w:type="pct"/>
            <w:hideMark/>
          </w:tcPr>
          <w:p w14:paraId="3F8B431E" w14:textId="16B1A265" w:rsidR="00702F50"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59B492AA">
              <w:rPr>
                <w:lang w:eastAsia="en-AU"/>
              </w:rPr>
              <w:t>At least a 10</w:t>
            </w:r>
            <w:r>
              <w:rPr>
                <w:lang w:eastAsia="en-AU"/>
              </w:rPr>
              <w:t xml:space="preserve"> percent</w:t>
            </w:r>
            <w:r w:rsidRPr="59B492AA">
              <w:rPr>
                <w:lang w:eastAsia="en-AU"/>
              </w:rPr>
              <w:t xml:space="preserve"> reduction in harmful alcohol consumption by Victorians (≥14 years) by 2025 and at least a 15</w:t>
            </w:r>
            <w:r>
              <w:rPr>
                <w:lang w:eastAsia="en-AU"/>
              </w:rPr>
              <w:t xml:space="preserve"> percent</w:t>
            </w:r>
            <w:r w:rsidRPr="59B492AA">
              <w:rPr>
                <w:lang w:eastAsia="en-AU"/>
              </w:rPr>
              <w:t xml:space="preserve"> reduction by 2030 </w:t>
            </w:r>
          </w:p>
        </w:tc>
        <w:tc>
          <w:tcPr>
            <w:tcW w:w="1116" w:type="pct"/>
            <w:hideMark/>
          </w:tcPr>
          <w:p w14:paraId="5C9AAA1E" w14:textId="77777777" w:rsidR="00702F50"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59B492AA">
              <w:rPr>
                <w:lang w:eastAsia="en-AU"/>
              </w:rPr>
              <w:t>2019 </w:t>
            </w:r>
          </w:p>
        </w:tc>
        <w:tc>
          <w:tcPr>
            <w:tcW w:w="1336" w:type="pct"/>
            <w:hideMark/>
          </w:tcPr>
          <w:p w14:paraId="347D2108" w14:textId="1B701F96" w:rsidR="00702F50"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59B492AA">
              <w:rPr>
                <w:lang w:eastAsia="en-AU"/>
              </w:rPr>
              <w:t>National Preventive Health Strategy 2021</w:t>
            </w:r>
            <w:r>
              <w:rPr>
                <w:lang w:eastAsia="en-AU"/>
              </w:rPr>
              <w:t>–</w:t>
            </w:r>
            <w:r w:rsidRPr="59B492AA">
              <w:rPr>
                <w:lang w:eastAsia="en-AU"/>
              </w:rPr>
              <w:t>2030 </w:t>
            </w:r>
          </w:p>
        </w:tc>
      </w:tr>
      <w:tr w:rsidR="00702F50" w14:paraId="54C441D3" w14:textId="77777777" w:rsidTr="00175A4D">
        <w:trPr>
          <w:trHeight w:val="300"/>
        </w:trPr>
        <w:tc>
          <w:tcPr>
            <w:cnfStyle w:val="001000000000" w:firstRow="0" w:lastRow="0" w:firstColumn="1" w:lastColumn="0" w:oddVBand="0" w:evenVBand="0" w:oddHBand="0" w:evenHBand="0" w:firstRowFirstColumn="0" w:firstRowLastColumn="0" w:lastRowFirstColumn="0" w:lastRowLastColumn="0"/>
            <w:tcW w:w="1231" w:type="pct"/>
          </w:tcPr>
          <w:p w14:paraId="3BE9D316" w14:textId="41B4586E" w:rsidR="00702F50" w:rsidRDefault="00702F50" w:rsidP="00702F50">
            <w:pPr>
              <w:pStyle w:val="Tabletext"/>
            </w:pPr>
          </w:p>
        </w:tc>
        <w:tc>
          <w:tcPr>
            <w:tcW w:w="1317" w:type="pct"/>
            <w:hideMark/>
          </w:tcPr>
          <w:p w14:paraId="1453BA54" w14:textId="6DEBA66A" w:rsidR="00702F50"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7385104D">
              <w:rPr>
                <w:lang w:eastAsia="en-AU"/>
              </w:rPr>
              <w:t>Less than 10</w:t>
            </w:r>
            <w:r>
              <w:rPr>
                <w:lang w:eastAsia="en-AU"/>
              </w:rPr>
              <w:t xml:space="preserve"> percent</w:t>
            </w:r>
            <w:r w:rsidRPr="7385104D">
              <w:rPr>
                <w:lang w:eastAsia="en-AU"/>
              </w:rPr>
              <w:t xml:space="preserve"> of young people (14</w:t>
            </w:r>
            <w:r>
              <w:rPr>
                <w:lang w:eastAsia="en-AU"/>
              </w:rPr>
              <w:t>–</w:t>
            </w:r>
            <w:r w:rsidRPr="7385104D">
              <w:rPr>
                <w:lang w:eastAsia="en-AU"/>
              </w:rPr>
              <w:t>17-year-olds) are consuming alcohol by 2030 </w:t>
            </w:r>
          </w:p>
        </w:tc>
        <w:tc>
          <w:tcPr>
            <w:tcW w:w="1116" w:type="pct"/>
            <w:hideMark/>
          </w:tcPr>
          <w:p w14:paraId="6B1FD8FE" w14:textId="77777777" w:rsidR="00702F50"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7385104D">
              <w:rPr>
                <w:lang w:eastAsia="en-AU"/>
              </w:rPr>
              <w:t>2019 </w:t>
            </w:r>
          </w:p>
        </w:tc>
        <w:tc>
          <w:tcPr>
            <w:tcW w:w="1336" w:type="pct"/>
            <w:hideMark/>
          </w:tcPr>
          <w:p w14:paraId="3FD4761E" w14:textId="20DA57D9" w:rsidR="00702F50"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7385104D">
              <w:rPr>
                <w:lang w:eastAsia="en-AU"/>
              </w:rPr>
              <w:t>National Preventive Health Strategy 2021</w:t>
            </w:r>
            <w:r>
              <w:rPr>
                <w:lang w:eastAsia="en-AU"/>
              </w:rPr>
              <w:t>–</w:t>
            </w:r>
            <w:r w:rsidRPr="7385104D">
              <w:rPr>
                <w:lang w:eastAsia="en-AU"/>
              </w:rPr>
              <w:t>2030 </w:t>
            </w:r>
          </w:p>
        </w:tc>
      </w:tr>
      <w:tr w:rsidR="00702F50" w:rsidRPr="00E8099A" w14:paraId="7BCA1C21" w14:textId="77777777" w:rsidTr="00702F50">
        <w:trPr>
          <w:trHeight w:val="300"/>
        </w:trPr>
        <w:tc>
          <w:tcPr>
            <w:cnfStyle w:val="001000000000" w:firstRow="0" w:lastRow="0" w:firstColumn="1" w:lastColumn="0" w:oddVBand="0" w:evenVBand="0" w:oddHBand="0" w:evenHBand="0" w:firstRowFirstColumn="0" w:firstRowLastColumn="0" w:lastRowFirstColumn="0" w:lastRowLastColumn="0"/>
            <w:tcW w:w="1231" w:type="pct"/>
            <w:hideMark/>
          </w:tcPr>
          <w:p w14:paraId="081E2F32" w14:textId="77777777" w:rsidR="00702F50" w:rsidRPr="00E8099A" w:rsidRDefault="00702F50" w:rsidP="00702F50">
            <w:pPr>
              <w:pStyle w:val="Tabletext"/>
              <w:rPr>
                <w:rFonts w:ascii="Segoe UI" w:hAnsi="Segoe UI" w:cs="Segoe UI"/>
                <w:sz w:val="18"/>
                <w:szCs w:val="18"/>
                <w:lang w:eastAsia="en-AU"/>
              </w:rPr>
            </w:pPr>
            <w:r w:rsidRPr="00E8099A">
              <w:rPr>
                <w:lang w:eastAsia="en-AU"/>
              </w:rPr>
              <w:t>Victorians have access to education, skills development and learning throughout life </w:t>
            </w:r>
          </w:p>
        </w:tc>
        <w:tc>
          <w:tcPr>
            <w:tcW w:w="1317" w:type="pct"/>
            <w:hideMark/>
          </w:tcPr>
          <w:p w14:paraId="6F31E7CF" w14:textId="77E5FCE7" w:rsidR="00702F50" w:rsidRDefault="00702F50" w:rsidP="00702F50">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0E8099A">
              <w:rPr>
                <w:lang w:eastAsia="en-AU"/>
              </w:rPr>
              <w:t xml:space="preserve">By 2030, in the </w:t>
            </w:r>
            <w:r w:rsidRPr="00A063E6">
              <w:rPr>
                <w:lang w:eastAsia="en-AU"/>
              </w:rPr>
              <w:t xml:space="preserve">National Assessment Program – Literacy and Numeracy </w:t>
            </w:r>
            <w:r>
              <w:rPr>
                <w:lang w:eastAsia="en-AU"/>
              </w:rPr>
              <w:t>(</w:t>
            </w:r>
            <w:r w:rsidRPr="00E8099A">
              <w:rPr>
                <w:lang w:eastAsia="en-AU"/>
              </w:rPr>
              <w:t>NAPLAN</w:t>
            </w:r>
            <w:r>
              <w:rPr>
                <w:lang w:eastAsia="en-AU"/>
              </w:rPr>
              <w:t>)</w:t>
            </w:r>
            <w:r w:rsidRPr="00E8099A">
              <w:rPr>
                <w:lang w:eastAsia="en-AU"/>
              </w:rPr>
              <w:t xml:space="preserve"> Reading and Numeracy:</w:t>
            </w:r>
          </w:p>
          <w:p w14:paraId="35CBA950" w14:textId="5E1EFACC" w:rsidR="00702F50" w:rsidRDefault="00702F50" w:rsidP="00702F50">
            <w:pPr>
              <w:pStyle w:val="Tablebullet1"/>
              <w:cnfStyle w:val="000000000000" w:firstRow="0" w:lastRow="0" w:firstColumn="0" w:lastColumn="0" w:oddVBand="0" w:evenVBand="0" w:oddHBand="0" w:evenHBand="0" w:firstRowFirstColumn="0" w:firstRowLastColumn="0" w:lastRowFirstColumn="0" w:lastRowLastColumn="0"/>
              <w:rPr>
                <w:lang w:eastAsia="en-AU"/>
              </w:rPr>
            </w:pPr>
            <w:r w:rsidRPr="683CCBD5">
              <w:rPr>
                <w:lang w:eastAsia="en-AU"/>
              </w:rPr>
              <w:t>reduce the proportion of all Year 3, 5, 7 and 9 students in the Needs Additional Support proficiency level by 10</w:t>
            </w:r>
            <w:r>
              <w:rPr>
                <w:lang w:eastAsia="en-AU"/>
              </w:rPr>
              <w:t xml:space="preserve"> percent</w:t>
            </w:r>
          </w:p>
          <w:p w14:paraId="2DCB804F" w14:textId="3B385159" w:rsidR="00702F50" w:rsidRDefault="00702F50" w:rsidP="00702F50">
            <w:pPr>
              <w:pStyle w:val="Tablebullet1"/>
              <w:cnfStyle w:val="000000000000" w:firstRow="0" w:lastRow="0" w:firstColumn="0" w:lastColumn="0" w:oddVBand="0" w:evenVBand="0" w:oddHBand="0" w:evenHBand="0" w:firstRowFirstColumn="0" w:firstRowLastColumn="0" w:lastRowFirstColumn="0" w:lastRowLastColumn="0"/>
              <w:rPr>
                <w:lang w:eastAsia="en-AU"/>
              </w:rPr>
            </w:pPr>
            <w:r w:rsidRPr="683CCBD5">
              <w:rPr>
                <w:lang w:eastAsia="en-AU"/>
              </w:rPr>
              <w:t>increase the proportion of all Year 3, 5, 7 and 9 students in the Strong and Exceeding proficiency levels by 10</w:t>
            </w:r>
            <w:r>
              <w:rPr>
                <w:lang w:eastAsia="en-AU"/>
              </w:rPr>
              <w:t xml:space="preserve"> percent</w:t>
            </w:r>
          </w:p>
          <w:p w14:paraId="09054817" w14:textId="4B27B297" w:rsidR="00702F50" w:rsidRPr="00E8099A" w:rsidRDefault="00702F50" w:rsidP="00702F50">
            <w:pPr>
              <w:pStyle w:val="Tablebullet1"/>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 xml:space="preserve">trend upwards in the proportion of priority equity cohort students in the </w:t>
            </w:r>
            <w:r w:rsidRPr="00E8099A">
              <w:rPr>
                <w:lang w:eastAsia="en-AU"/>
              </w:rPr>
              <w:lastRenderedPageBreak/>
              <w:t>Strong and Exceeding proficiency levels</w:t>
            </w:r>
          </w:p>
        </w:tc>
        <w:tc>
          <w:tcPr>
            <w:tcW w:w="1116" w:type="pct"/>
            <w:hideMark/>
          </w:tcPr>
          <w:p w14:paraId="2AAB534D" w14:textId="0F0E71E1"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Pr>
                <w:lang w:eastAsia="en-AU"/>
              </w:rPr>
              <w:lastRenderedPageBreak/>
              <w:t>To be determined</w:t>
            </w:r>
            <w:r w:rsidRPr="00E8099A">
              <w:rPr>
                <w:lang w:eastAsia="en-AU"/>
              </w:rPr>
              <w:t> </w:t>
            </w:r>
          </w:p>
        </w:tc>
        <w:tc>
          <w:tcPr>
            <w:tcW w:w="1336" w:type="pct"/>
            <w:hideMark/>
          </w:tcPr>
          <w:p w14:paraId="09A78C9D" w14:textId="6E77C3B6"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Commonwealth Better and Fairer Schools Agreement 2025</w:t>
            </w:r>
            <w:r>
              <w:rPr>
                <w:lang w:eastAsia="en-AU"/>
              </w:rPr>
              <w:t>–</w:t>
            </w:r>
            <w:r w:rsidRPr="00E8099A">
              <w:rPr>
                <w:lang w:eastAsia="en-AU"/>
              </w:rPr>
              <w:t>2034 </w:t>
            </w:r>
          </w:p>
        </w:tc>
      </w:tr>
      <w:tr w:rsidR="00702F50" w:rsidRPr="00E8099A" w14:paraId="2946EA78" w14:textId="77777777" w:rsidTr="00702F50">
        <w:trPr>
          <w:trHeight w:val="300"/>
        </w:trPr>
        <w:tc>
          <w:tcPr>
            <w:cnfStyle w:val="001000000000" w:firstRow="0" w:lastRow="0" w:firstColumn="1" w:lastColumn="0" w:oddVBand="0" w:evenVBand="0" w:oddHBand="0" w:evenHBand="0" w:firstRowFirstColumn="0" w:firstRowLastColumn="0" w:lastRowFirstColumn="0" w:lastRowLastColumn="0"/>
            <w:tcW w:w="1231" w:type="pct"/>
            <w:hideMark/>
          </w:tcPr>
          <w:p w14:paraId="13A60791" w14:textId="77777777" w:rsidR="00702F50" w:rsidRPr="00E8099A" w:rsidRDefault="00702F50" w:rsidP="00702F50">
            <w:pPr>
              <w:pStyle w:val="Tabletext"/>
              <w:rPr>
                <w:rFonts w:ascii="Segoe UI" w:hAnsi="Segoe UI" w:cs="Segoe UI"/>
                <w:sz w:val="18"/>
                <w:szCs w:val="18"/>
                <w:lang w:eastAsia="en-AU"/>
              </w:rPr>
            </w:pPr>
            <w:r w:rsidRPr="00E8099A">
              <w:rPr>
                <w:lang w:eastAsia="en-AU"/>
              </w:rPr>
              <w:t>Victorians have access to sustainable and safe built and natural environments </w:t>
            </w:r>
          </w:p>
        </w:tc>
        <w:tc>
          <w:tcPr>
            <w:tcW w:w="1317" w:type="pct"/>
            <w:hideMark/>
          </w:tcPr>
          <w:p w14:paraId="637CF69A" w14:textId="32E4C2F4"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40</w:t>
            </w:r>
            <w:r>
              <w:rPr>
                <w:lang w:eastAsia="en-AU"/>
              </w:rPr>
              <w:t xml:space="preserve"> percent</w:t>
            </w:r>
            <w:r w:rsidRPr="00E8099A">
              <w:rPr>
                <w:lang w:eastAsia="en-AU"/>
              </w:rPr>
              <w:t xml:space="preserve"> of the state’s electricity sourced from renewable generation by 2025</w:t>
            </w:r>
            <w:r>
              <w:rPr>
                <w:lang w:eastAsia="en-AU"/>
              </w:rPr>
              <w:t>,</w:t>
            </w:r>
            <w:r w:rsidRPr="00E8099A">
              <w:rPr>
                <w:lang w:eastAsia="en-AU"/>
              </w:rPr>
              <w:t xml:space="preserve"> 65</w:t>
            </w:r>
            <w:r>
              <w:rPr>
                <w:lang w:eastAsia="en-AU"/>
              </w:rPr>
              <w:t xml:space="preserve"> percent</w:t>
            </w:r>
            <w:r w:rsidRPr="00E8099A">
              <w:rPr>
                <w:lang w:eastAsia="en-AU"/>
              </w:rPr>
              <w:t xml:space="preserve"> by 2030</w:t>
            </w:r>
            <w:r>
              <w:rPr>
                <w:lang w:eastAsia="en-AU"/>
              </w:rPr>
              <w:t>, and 95 percent by 2035</w:t>
            </w:r>
          </w:p>
        </w:tc>
        <w:tc>
          <w:tcPr>
            <w:tcW w:w="1116" w:type="pct"/>
            <w:hideMark/>
          </w:tcPr>
          <w:p w14:paraId="4C0D633D" w14:textId="65295EFF"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2013</w:t>
            </w:r>
            <w:r>
              <w:rPr>
                <w:lang w:eastAsia="en-AU"/>
              </w:rPr>
              <w:t>–</w:t>
            </w:r>
            <w:r w:rsidRPr="00E8099A">
              <w:rPr>
                <w:lang w:eastAsia="en-AU"/>
              </w:rPr>
              <w:t>14 </w:t>
            </w:r>
          </w:p>
        </w:tc>
        <w:tc>
          <w:tcPr>
            <w:tcW w:w="1336" w:type="pct"/>
            <w:hideMark/>
          </w:tcPr>
          <w:p w14:paraId="38A4E737" w14:textId="77777777" w:rsidR="00702F50" w:rsidRPr="00ED00B6"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i/>
                <w:iCs/>
                <w:sz w:val="18"/>
                <w:szCs w:val="18"/>
                <w:lang w:eastAsia="en-AU"/>
              </w:rPr>
            </w:pPr>
            <w:r w:rsidRPr="00ED00B6">
              <w:rPr>
                <w:i/>
                <w:iCs/>
                <w:lang w:eastAsia="en-AU"/>
              </w:rPr>
              <w:t>Renewable energy (Jobs and Investment) Act 2017 </w:t>
            </w:r>
          </w:p>
        </w:tc>
      </w:tr>
      <w:tr w:rsidR="00702F50" w:rsidRPr="00E8099A" w14:paraId="0D14D8D4" w14:textId="77777777" w:rsidTr="00702F50">
        <w:trPr>
          <w:trHeight w:val="300"/>
        </w:trPr>
        <w:tc>
          <w:tcPr>
            <w:cnfStyle w:val="001000000000" w:firstRow="0" w:lastRow="0" w:firstColumn="1" w:lastColumn="0" w:oddVBand="0" w:evenVBand="0" w:oddHBand="0" w:evenHBand="0" w:firstRowFirstColumn="0" w:firstRowLastColumn="0" w:lastRowFirstColumn="0" w:lastRowLastColumn="0"/>
            <w:tcW w:w="1231" w:type="pct"/>
            <w:hideMark/>
          </w:tcPr>
          <w:p w14:paraId="209DCDFE" w14:textId="56E1D479" w:rsidR="00702F50" w:rsidRPr="00E8099A" w:rsidRDefault="00702F50" w:rsidP="00702F50">
            <w:pPr>
              <w:pStyle w:val="Tabletext"/>
              <w:rPr>
                <w:rFonts w:ascii="Segoe UI" w:hAnsi="Segoe UI" w:cs="Segoe UI"/>
                <w:sz w:val="18"/>
                <w:szCs w:val="18"/>
                <w:lang w:eastAsia="en-AU"/>
              </w:rPr>
            </w:pPr>
          </w:p>
        </w:tc>
        <w:tc>
          <w:tcPr>
            <w:tcW w:w="1317" w:type="pct"/>
            <w:hideMark/>
          </w:tcPr>
          <w:p w14:paraId="5B33419E" w14:textId="77777777" w:rsidR="00702F50" w:rsidRDefault="00702F50" w:rsidP="00702F50">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0E8099A">
              <w:rPr>
                <w:lang w:eastAsia="en-AU"/>
              </w:rPr>
              <w:t>Greenhouse gas emissions reduction of</w:t>
            </w:r>
            <w:r>
              <w:rPr>
                <w:lang w:eastAsia="en-AU"/>
              </w:rPr>
              <w:t>:</w:t>
            </w:r>
          </w:p>
          <w:p w14:paraId="0E25D4F1" w14:textId="62C860CC" w:rsidR="00702F50" w:rsidRDefault="00702F50" w:rsidP="00702F50">
            <w:pPr>
              <w:pStyle w:val="Tablebullet1"/>
              <w:cnfStyle w:val="000000000000" w:firstRow="0" w:lastRow="0" w:firstColumn="0" w:lastColumn="0" w:oddVBand="0" w:evenVBand="0" w:oddHBand="0" w:evenHBand="0" w:firstRowFirstColumn="0" w:firstRowLastColumn="0" w:lastRowFirstColumn="0" w:lastRowLastColumn="0"/>
              <w:rPr>
                <w:lang w:eastAsia="en-AU"/>
              </w:rPr>
            </w:pPr>
            <w:r w:rsidRPr="00E460F2">
              <w:rPr>
                <w:lang w:eastAsia="en-AU"/>
              </w:rPr>
              <w:t>28</w:t>
            </w:r>
            <w:r>
              <w:rPr>
                <w:lang w:eastAsia="en-AU"/>
              </w:rPr>
              <w:t>–</w:t>
            </w:r>
            <w:r w:rsidRPr="00E460F2">
              <w:rPr>
                <w:lang w:eastAsia="en-AU"/>
              </w:rPr>
              <w:t>33</w:t>
            </w:r>
            <w:r>
              <w:rPr>
                <w:lang w:eastAsia="en-AU"/>
              </w:rPr>
              <w:t xml:space="preserve"> percent</w:t>
            </w:r>
            <w:r w:rsidRPr="00E460F2">
              <w:rPr>
                <w:lang w:eastAsia="en-AU"/>
              </w:rPr>
              <w:t xml:space="preserve"> on 2005 levels by 2025</w:t>
            </w:r>
          </w:p>
          <w:p w14:paraId="4F3E479F" w14:textId="0EA705EE" w:rsidR="00702F50" w:rsidRDefault="00702F50" w:rsidP="00702F50">
            <w:pPr>
              <w:pStyle w:val="Tablebullet1"/>
              <w:cnfStyle w:val="000000000000" w:firstRow="0" w:lastRow="0" w:firstColumn="0" w:lastColumn="0" w:oddVBand="0" w:evenVBand="0" w:oddHBand="0" w:evenHBand="0" w:firstRowFirstColumn="0" w:firstRowLastColumn="0" w:lastRowFirstColumn="0" w:lastRowLastColumn="0"/>
              <w:rPr>
                <w:lang w:eastAsia="en-AU"/>
              </w:rPr>
            </w:pPr>
            <w:r w:rsidRPr="00E460F2">
              <w:rPr>
                <w:lang w:eastAsia="en-AU"/>
              </w:rPr>
              <w:t>45</w:t>
            </w:r>
            <w:r>
              <w:rPr>
                <w:lang w:eastAsia="en-AU"/>
              </w:rPr>
              <w:t>–</w:t>
            </w:r>
            <w:r w:rsidRPr="00E460F2">
              <w:rPr>
                <w:lang w:eastAsia="en-AU"/>
              </w:rPr>
              <w:t>50</w:t>
            </w:r>
            <w:r>
              <w:rPr>
                <w:lang w:eastAsia="en-AU"/>
              </w:rPr>
              <w:t xml:space="preserve"> percent</w:t>
            </w:r>
            <w:r w:rsidRPr="00E460F2">
              <w:rPr>
                <w:lang w:eastAsia="en-AU"/>
              </w:rPr>
              <w:t xml:space="preserve"> by 2030</w:t>
            </w:r>
          </w:p>
          <w:p w14:paraId="5D7CBE9A" w14:textId="3414027B" w:rsidR="00702F50" w:rsidRDefault="00702F50" w:rsidP="00702F50">
            <w:pPr>
              <w:pStyle w:val="Tablebullet1"/>
              <w:cnfStyle w:val="000000000000" w:firstRow="0" w:lastRow="0" w:firstColumn="0" w:lastColumn="0" w:oddVBand="0" w:evenVBand="0" w:oddHBand="0" w:evenHBand="0" w:firstRowFirstColumn="0" w:firstRowLastColumn="0" w:lastRowFirstColumn="0" w:lastRowLastColumn="0"/>
              <w:rPr>
                <w:lang w:eastAsia="en-AU"/>
              </w:rPr>
            </w:pPr>
            <w:r w:rsidRPr="00E460F2">
              <w:rPr>
                <w:lang w:eastAsia="en-AU"/>
              </w:rPr>
              <w:t>75</w:t>
            </w:r>
            <w:r>
              <w:rPr>
                <w:lang w:eastAsia="en-AU"/>
              </w:rPr>
              <w:t>–</w:t>
            </w:r>
            <w:r w:rsidRPr="00E460F2">
              <w:rPr>
                <w:lang w:eastAsia="en-AU"/>
              </w:rPr>
              <w:t>80</w:t>
            </w:r>
            <w:r>
              <w:rPr>
                <w:lang w:eastAsia="en-AU"/>
              </w:rPr>
              <w:t xml:space="preserve"> percent</w:t>
            </w:r>
            <w:r w:rsidRPr="00E460F2">
              <w:rPr>
                <w:lang w:eastAsia="en-AU"/>
              </w:rPr>
              <w:t xml:space="preserve"> by 2035</w:t>
            </w:r>
          </w:p>
          <w:p w14:paraId="5788CBF2" w14:textId="77777777" w:rsidR="00702F50" w:rsidRDefault="00702F50" w:rsidP="00702F50">
            <w:pPr>
              <w:pStyle w:val="Tablebullet1"/>
              <w:cnfStyle w:val="000000000000" w:firstRow="0" w:lastRow="0" w:firstColumn="0" w:lastColumn="0" w:oddVBand="0" w:evenVBand="0" w:oddHBand="0" w:evenHBand="0" w:firstRowFirstColumn="0" w:firstRowLastColumn="0" w:lastRowFirstColumn="0" w:lastRowLastColumn="0"/>
              <w:rPr>
                <w:lang w:eastAsia="en-AU"/>
              </w:rPr>
            </w:pPr>
            <w:r w:rsidRPr="00E460F2">
              <w:rPr>
                <w:lang w:eastAsia="en-AU"/>
              </w:rPr>
              <w:t>net zero by 2045</w:t>
            </w:r>
          </w:p>
          <w:p w14:paraId="60F45F4A" w14:textId="5C06B1CC" w:rsidR="00702F50" w:rsidRPr="00724C19" w:rsidRDefault="00702F50" w:rsidP="00702F50">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0E8099A">
              <w:rPr>
                <w:lang w:eastAsia="en-AU"/>
              </w:rPr>
              <w:t xml:space="preserve">(legislated </w:t>
            </w:r>
            <w:r>
              <w:rPr>
                <w:lang w:eastAsia="en-AU"/>
              </w:rPr>
              <w:t>emission reduction</w:t>
            </w:r>
            <w:r w:rsidRPr="00E8099A">
              <w:rPr>
                <w:lang w:eastAsia="en-AU"/>
              </w:rPr>
              <w:t xml:space="preserve"> targets) </w:t>
            </w:r>
          </w:p>
        </w:tc>
        <w:tc>
          <w:tcPr>
            <w:tcW w:w="1116" w:type="pct"/>
            <w:hideMark/>
          </w:tcPr>
          <w:p w14:paraId="19F887CE" w14:textId="77777777" w:rsidR="00702F50" w:rsidRPr="00E8099A"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E8099A">
              <w:rPr>
                <w:lang w:eastAsia="en-AU"/>
              </w:rPr>
              <w:t>2005 </w:t>
            </w:r>
          </w:p>
        </w:tc>
        <w:tc>
          <w:tcPr>
            <w:tcW w:w="1336" w:type="pct"/>
            <w:hideMark/>
          </w:tcPr>
          <w:p w14:paraId="6E7EAF38" w14:textId="4AF03649" w:rsidR="00702F50" w:rsidRPr="00ED00B6" w:rsidRDefault="00702F50" w:rsidP="00702F50">
            <w:pPr>
              <w:pStyle w:val="Tabletext"/>
              <w:cnfStyle w:val="000000000000" w:firstRow="0" w:lastRow="0" w:firstColumn="0" w:lastColumn="0" w:oddVBand="0" w:evenVBand="0" w:oddHBand="0" w:evenHBand="0" w:firstRowFirstColumn="0" w:firstRowLastColumn="0" w:lastRowFirstColumn="0" w:lastRowLastColumn="0"/>
              <w:rPr>
                <w:rFonts w:ascii="Segoe UI" w:hAnsi="Segoe UI" w:cs="Segoe UI"/>
                <w:i/>
                <w:iCs/>
                <w:sz w:val="18"/>
                <w:szCs w:val="18"/>
                <w:lang w:eastAsia="en-AU"/>
              </w:rPr>
            </w:pPr>
            <w:r w:rsidRPr="00ED00B6">
              <w:rPr>
                <w:i/>
                <w:iCs/>
                <w:lang w:eastAsia="en-AU"/>
              </w:rPr>
              <w:t xml:space="preserve">Climate </w:t>
            </w:r>
            <w:r>
              <w:rPr>
                <w:i/>
                <w:iCs/>
                <w:lang w:eastAsia="en-AU"/>
              </w:rPr>
              <w:t>Action</w:t>
            </w:r>
            <w:r w:rsidRPr="00ED00B6">
              <w:rPr>
                <w:i/>
                <w:iCs/>
                <w:lang w:eastAsia="en-AU"/>
              </w:rPr>
              <w:t xml:space="preserve"> Act 2017</w:t>
            </w:r>
          </w:p>
        </w:tc>
      </w:tr>
    </w:tbl>
    <w:p w14:paraId="64ACCF9B" w14:textId="77777777" w:rsidR="009B53BB" w:rsidRDefault="009B53BB" w:rsidP="00BA5FA5">
      <w:pPr>
        <w:pStyle w:val="Heading1"/>
        <w:sectPr w:rsidR="009B53BB" w:rsidSect="00E877E8">
          <w:pgSz w:w="16838" w:h="11906" w:orient="landscape" w:code="9"/>
          <w:pgMar w:top="1304" w:right="1134" w:bottom="1304" w:left="1418" w:header="680" w:footer="851" w:gutter="0"/>
          <w:cols w:space="340"/>
          <w:titlePg/>
          <w:docGrid w:linePitch="360"/>
        </w:sectPr>
      </w:pPr>
      <w:bookmarkStart w:id="42" w:name="_Toc195193919"/>
      <w:bookmarkStart w:id="43" w:name="_Toc195614876"/>
      <w:bookmarkStart w:id="44" w:name="_Toc195778186"/>
    </w:p>
    <w:p w14:paraId="73CEFCA0" w14:textId="445A61F7" w:rsidR="00A92052" w:rsidRDefault="00A92052" w:rsidP="00BA5FA5">
      <w:pPr>
        <w:pStyle w:val="Heading1"/>
      </w:pPr>
      <w:bookmarkStart w:id="45" w:name="_Toc211959714"/>
      <w:r>
        <w:lastRenderedPageBreak/>
        <w:t xml:space="preserve">Structure of the </w:t>
      </w:r>
      <w:proofErr w:type="gramStart"/>
      <w:r>
        <w:t>outcomes</w:t>
      </w:r>
      <w:proofErr w:type="gramEnd"/>
      <w:r>
        <w:t xml:space="preserve"> framework</w:t>
      </w:r>
      <w:bookmarkEnd w:id="42"/>
      <w:bookmarkEnd w:id="43"/>
      <w:bookmarkEnd w:id="44"/>
      <w:bookmarkEnd w:id="45"/>
    </w:p>
    <w:p w14:paraId="66BE8E7E" w14:textId="77777777" w:rsidR="00A92052" w:rsidRPr="004731F3" w:rsidRDefault="00A92052" w:rsidP="00BA5FA5">
      <w:pPr>
        <w:pStyle w:val="Heading2"/>
        <w:rPr>
          <w:b w:val="0"/>
          <w:bCs/>
        </w:rPr>
      </w:pPr>
      <w:bookmarkStart w:id="46" w:name="_Toc195193920"/>
      <w:bookmarkStart w:id="47" w:name="_Toc195614877"/>
      <w:bookmarkStart w:id="48" w:name="_Toc195778187"/>
      <w:bookmarkStart w:id="49" w:name="_Toc211959715"/>
      <w:r w:rsidRPr="004731F3">
        <w:rPr>
          <w:b w:val="0"/>
          <w:bCs/>
        </w:rPr>
        <w:t>The framework architecture</w:t>
      </w:r>
      <w:bookmarkEnd w:id="46"/>
      <w:bookmarkEnd w:id="47"/>
      <w:bookmarkEnd w:id="48"/>
      <w:bookmarkEnd w:id="49"/>
    </w:p>
    <w:p w14:paraId="376D6817" w14:textId="45735F1B" w:rsidR="00A92052" w:rsidRPr="0096055E" w:rsidRDefault="00A92052" w:rsidP="00BA5FA5">
      <w:r>
        <w:t>The</w:t>
      </w:r>
      <w:r w:rsidRPr="006552D3">
        <w:rPr>
          <w:rFonts w:cs="Arial"/>
        </w:rPr>
        <w:t xml:space="preserve"> </w:t>
      </w:r>
      <w:r w:rsidRPr="006552D3">
        <w:rPr>
          <w:rFonts w:cs="Arial"/>
          <w:i/>
          <w:iCs/>
        </w:rPr>
        <w:t>Outcomes Reform in Victoria</w:t>
      </w:r>
      <w:r w:rsidRPr="006552D3">
        <w:rPr>
          <w:rFonts w:cs="Arial"/>
        </w:rPr>
        <w:t xml:space="preserve"> statement lays out the Victorian Public Service’s approach and architecture for implementing </w:t>
      </w:r>
      <w:r>
        <w:rPr>
          <w:rFonts w:cs="Arial"/>
        </w:rPr>
        <w:t>an</w:t>
      </w:r>
      <w:r w:rsidRPr="006552D3">
        <w:rPr>
          <w:rFonts w:cs="Arial"/>
        </w:rPr>
        <w:t xml:space="preserve"> outcomes</w:t>
      </w:r>
      <w:r>
        <w:rPr>
          <w:rFonts w:cs="Arial"/>
        </w:rPr>
        <w:t xml:space="preserve"> approach</w:t>
      </w:r>
      <w:r>
        <w:rPr>
          <w:rStyle w:val="FootnoteReference"/>
        </w:rPr>
        <w:footnoteReference w:id="8"/>
      </w:r>
      <w:r w:rsidR="00A210D5">
        <w:rPr>
          <w:rFonts w:cs="Arial"/>
        </w:rPr>
        <w:t>.</w:t>
      </w:r>
    </w:p>
    <w:p w14:paraId="7B3F1EE8" w14:textId="77777777" w:rsidR="00A92052" w:rsidRDefault="00A92052" w:rsidP="00BA5FA5">
      <w:r>
        <w:t xml:space="preserve">Consistent with this approach, the outcomes framework architecture sets out a singular vision underpinned by five domains, which together reflect the social and wider determinants of health. </w:t>
      </w:r>
    </w:p>
    <w:p w14:paraId="3F91A158" w14:textId="7BCA2B91" w:rsidR="00A92052" w:rsidRPr="001F412E" w:rsidRDefault="00A92052" w:rsidP="00BA5FA5">
      <w:r>
        <w:t>The</w:t>
      </w:r>
      <w:r w:rsidR="00420476">
        <w:t>se</w:t>
      </w:r>
      <w:r>
        <w:t xml:space="preserve"> five domains contain a series of outcomes, each with respective indicators and measures, which together define how progress will be measured.</w:t>
      </w:r>
      <w:r w:rsidRPr="00AE1257">
        <w:t xml:space="preserve"> </w:t>
      </w:r>
      <w:r w:rsidRPr="001F412E">
        <w:rPr>
          <w:rFonts w:eastAsia="Times"/>
        </w:rPr>
        <w:t>Each component – domain, outcome, indicator, target and measure – provides increased technical detail or specificity.</w:t>
      </w:r>
      <w:r>
        <w:rPr>
          <w:rFonts w:eastAsia="Times"/>
        </w:rPr>
        <w:t xml:space="preserve"> </w:t>
      </w:r>
      <w:r w:rsidRPr="00A61713">
        <w:t>Figure 2</w:t>
      </w:r>
      <w:r w:rsidRPr="001F412E">
        <w:t xml:space="preserve"> shows the structure of the </w:t>
      </w:r>
      <w:proofErr w:type="gramStart"/>
      <w:r w:rsidRPr="001F412E">
        <w:t>outcomes</w:t>
      </w:r>
      <w:proofErr w:type="gramEnd"/>
      <w:r w:rsidRPr="001F412E">
        <w:t xml:space="preserve"> framework.</w:t>
      </w:r>
    </w:p>
    <w:p w14:paraId="0E668F8D" w14:textId="3BD2B78E" w:rsidR="007911F7" w:rsidRDefault="007911F7" w:rsidP="00A61713">
      <w:pPr>
        <w:pStyle w:val="Figurecaption"/>
      </w:pPr>
      <w:r>
        <w:t xml:space="preserve">Figure </w:t>
      </w:r>
      <w:r>
        <w:fldChar w:fldCharType="begin"/>
      </w:r>
      <w:r>
        <w:instrText xml:space="preserve"> SEQ Figure \* ARABIC </w:instrText>
      </w:r>
      <w:r>
        <w:fldChar w:fldCharType="separate"/>
      </w:r>
      <w:r w:rsidR="008B3072">
        <w:rPr>
          <w:noProof/>
        </w:rPr>
        <w:t>2</w:t>
      </w:r>
      <w:r>
        <w:fldChar w:fldCharType="end"/>
      </w:r>
      <w:r>
        <w:t xml:space="preserve">. </w:t>
      </w:r>
      <w:r w:rsidRPr="00510022">
        <w:t xml:space="preserve">Structure of the </w:t>
      </w:r>
      <w:proofErr w:type="gramStart"/>
      <w:r w:rsidRPr="00510022">
        <w:t>outcomes</w:t>
      </w:r>
      <w:proofErr w:type="gramEnd"/>
      <w:r w:rsidRPr="00510022">
        <w:t xml:space="preserve"> framework</w:t>
      </w:r>
    </w:p>
    <w:p w14:paraId="139BEFEC" w14:textId="77777777" w:rsidR="009B1942" w:rsidRDefault="009B1942" w:rsidP="009B1942">
      <w:pPr>
        <w:pStyle w:val="Body"/>
      </w:pPr>
      <w:r>
        <w:t>[This figure has been converted to text]</w:t>
      </w:r>
    </w:p>
    <w:p w14:paraId="36FDA2F7" w14:textId="457B9481" w:rsidR="00866632" w:rsidRPr="00AE432F" w:rsidRDefault="009B1942" w:rsidP="00866632">
      <w:pPr>
        <w:autoSpaceDE w:val="0"/>
        <w:autoSpaceDN w:val="0"/>
        <w:adjustRightInd w:val="0"/>
        <w:spacing w:after="0" w:line="240" w:lineRule="auto"/>
      </w:pPr>
      <w:r>
        <w:t xml:space="preserve">Vision: </w:t>
      </w:r>
      <w:r w:rsidR="00AE432F">
        <w:t>t</w:t>
      </w:r>
      <w:r w:rsidR="00866632" w:rsidRPr="00AE432F">
        <w:t xml:space="preserve">he Public Health and Wellbeing Act </w:t>
      </w:r>
      <w:r w:rsidR="00AE432F" w:rsidRPr="00AE432F">
        <w:t xml:space="preserve">2008 </w:t>
      </w:r>
      <w:r w:rsidR="00866632" w:rsidRPr="00AE432F">
        <w:t>provides the context for the</w:t>
      </w:r>
    </w:p>
    <w:p w14:paraId="604FE974" w14:textId="5A001EA6" w:rsidR="009B1942" w:rsidRPr="00AE432F" w:rsidRDefault="00866632" w:rsidP="00866632">
      <w:pPr>
        <w:pStyle w:val="Body"/>
        <w:rPr>
          <w:rFonts w:eastAsia="Times New Roman"/>
        </w:rPr>
      </w:pPr>
      <w:r w:rsidRPr="00AE432F">
        <w:rPr>
          <w:rFonts w:eastAsia="Times New Roman"/>
        </w:rPr>
        <w:t xml:space="preserve">vision of the Victorian public health and wellbeing plan </w:t>
      </w:r>
      <w:r w:rsidR="00AE432F" w:rsidRPr="00AE432F">
        <w:rPr>
          <w:rFonts w:eastAsia="Times New Roman"/>
        </w:rPr>
        <w:t>2023-2027</w:t>
      </w:r>
    </w:p>
    <w:p w14:paraId="74BBF43C" w14:textId="1D068D4B" w:rsidR="009B1942" w:rsidRDefault="009B1942" w:rsidP="0034446F">
      <w:pPr>
        <w:pStyle w:val="Body"/>
      </w:pPr>
      <w:r>
        <w:t xml:space="preserve">Domains: </w:t>
      </w:r>
      <w:r w:rsidR="0034446F">
        <w:t>articulate broad areas for action aligned with achieving the vision</w:t>
      </w:r>
      <w:r>
        <w:t>.</w:t>
      </w:r>
    </w:p>
    <w:p w14:paraId="69958D9E" w14:textId="4FE1F9F0" w:rsidR="009B1942" w:rsidRDefault="009B1942" w:rsidP="00CF0C60">
      <w:pPr>
        <w:pStyle w:val="Body"/>
      </w:pPr>
      <w:r>
        <w:t xml:space="preserve">Outcomes: </w:t>
      </w:r>
      <w:r w:rsidR="00CF0C60">
        <w:t>show the change or difference we want to see and are measurable</w:t>
      </w:r>
      <w:r>
        <w:t>.</w:t>
      </w:r>
    </w:p>
    <w:p w14:paraId="2966CEED" w14:textId="1B34B3CA" w:rsidR="009B1942" w:rsidRDefault="009B1942" w:rsidP="004C2EA5">
      <w:pPr>
        <w:pStyle w:val="Body"/>
      </w:pPr>
      <w:r>
        <w:t xml:space="preserve">Indicators: </w:t>
      </w:r>
      <w:r w:rsidR="004C2EA5">
        <w:t xml:space="preserve">define the direction of change needed to progress towards an outcome </w:t>
      </w:r>
      <w:r>
        <w:t xml:space="preserve">are the changes that need to happen to achieve a desired outcome. </w:t>
      </w:r>
    </w:p>
    <w:p w14:paraId="7F9AA80E" w14:textId="36F1BFEF" w:rsidR="000675A2" w:rsidRDefault="000675A2" w:rsidP="004C2EA5">
      <w:pPr>
        <w:pStyle w:val="Body"/>
      </w:pPr>
      <w:r w:rsidRPr="000675A2">
        <w:t>Targets:</w:t>
      </w:r>
      <w:r w:rsidRPr="000675A2">
        <w:rPr>
          <w:b/>
          <w:bCs/>
        </w:rPr>
        <w:t xml:space="preserve"> </w:t>
      </w:r>
      <w:r w:rsidRPr="000675A2">
        <w:t>are a specific result to be achieved by a specified time</w:t>
      </w:r>
      <w:r>
        <w:t>.</w:t>
      </w:r>
    </w:p>
    <w:p w14:paraId="3FDA9857" w14:textId="4527141A" w:rsidR="009B1942" w:rsidRDefault="009B1942" w:rsidP="00553A5A">
      <w:pPr>
        <w:pStyle w:val="Body"/>
      </w:pPr>
      <w:r>
        <w:t>Measures: provide</w:t>
      </w:r>
      <w:r w:rsidR="00553A5A">
        <w:t xml:space="preserve"> an objective and standardised qualification of the size, amount or degree of the desired condition.</w:t>
      </w:r>
    </w:p>
    <w:p w14:paraId="5B095D71" w14:textId="40130C89" w:rsidR="00A92052" w:rsidRDefault="009B1942" w:rsidP="009B1942">
      <w:pPr>
        <w:pStyle w:val="Body"/>
      </w:pPr>
      <w:r>
        <w:t>[end figure text]</w:t>
      </w:r>
    </w:p>
    <w:p w14:paraId="1152A12E" w14:textId="77777777" w:rsidR="00A92052" w:rsidRPr="004731F3" w:rsidRDefault="00A92052" w:rsidP="00BA5FA5">
      <w:pPr>
        <w:pStyle w:val="Heading2"/>
        <w:rPr>
          <w:b w:val="0"/>
          <w:bCs/>
        </w:rPr>
      </w:pPr>
      <w:bookmarkStart w:id="50" w:name="_Toc195193921"/>
      <w:bookmarkStart w:id="51" w:name="_Toc195614878"/>
      <w:bookmarkStart w:id="52" w:name="_Toc195778188"/>
      <w:bookmarkStart w:id="53" w:name="_Toc211959716"/>
      <w:r w:rsidRPr="004731F3">
        <w:rPr>
          <w:b w:val="0"/>
          <w:bCs/>
        </w:rPr>
        <w:t>The framework vision and domains</w:t>
      </w:r>
      <w:bookmarkEnd w:id="50"/>
      <w:bookmarkEnd w:id="51"/>
      <w:bookmarkEnd w:id="52"/>
      <w:bookmarkEnd w:id="53"/>
    </w:p>
    <w:p w14:paraId="29FE0F1F" w14:textId="319A5567" w:rsidR="00A92052" w:rsidRDefault="00A92052" w:rsidP="00BA5FA5">
      <w:pPr>
        <w:pStyle w:val="Body"/>
        <w:spacing w:line="276" w:lineRule="auto"/>
      </w:pPr>
      <w:r>
        <w:t xml:space="preserve">The </w:t>
      </w:r>
      <w:r w:rsidRPr="00151E58">
        <w:rPr>
          <w:b/>
          <w:bCs/>
        </w:rPr>
        <w:t>Public Health and Wellbeing Act 2008</w:t>
      </w:r>
      <w:r>
        <w:t xml:space="preserve"> provides the context for the vision of the </w:t>
      </w:r>
      <w:r w:rsidRPr="004C6A83">
        <w:t xml:space="preserve">Victorian </w:t>
      </w:r>
      <w:r w:rsidR="00192151" w:rsidRPr="004C6A83">
        <w:t xml:space="preserve">public </w:t>
      </w:r>
      <w:r w:rsidRPr="004C6A83">
        <w:t xml:space="preserve">health and </w:t>
      </w:r>
      <w:r w:rsidR="00192151" w:rsidRPr="004C6A83">
        <w:t>w</w:t>
      </w:r>
      <w:r w:rsidRPr="004C6A83">
        <w:t xml:space="preserve">ellbeing </w:t>
      </w:r>
      <w:r w:rsidR="00192151" w:rsidRPr="004C6A83">
        <w:t>p</w:t>
      </w:r>
      <w:r w:rsidRPr="004C6A83">
        <w:t>lan</w:t>
      </w:r>
      <w:r>
        <w:rPr>
          <w:i/>
          <w:iCs/>
        </w:rPr>
        <w:t xml:space="preserve"> </w:t>
      </w:r>
      <w:r w:rsidRPr="00BF5DD9">
        <w:t>and outcomes framework</w:t>
      </w:r>
      <w:r>
        <w:t xml:space="preserve">. </w:t>
      </w:r>
      <w:r w:rsidRPr="008639B5">
        <w:t>For Victorians to be the healthiest people in the world, we need a long-term commitment to public health and wellbeing.</w:t>
      </w:r>
      <w:r>
        <w:t xml:space="preserve"> </w:t>
      </w:r>
    </w:p>
    <w:p w14:paraId="1296CE96" w14:textId="77777777" w:rsidR="00A92052" w:rsidRPr="003D4DC7" w:rsidRDefault="00A92052" w:rsidP="00BA5FA5">
      <w:pPr>
        <w:pStyle w:val="Body"/>
        <w:spacing w:line="276" w:lineRule="auto"/>
        <w:rPr>
          <w:rFonts w:cs="Arial"/>
          <w:szCs w:val="21"/>
        </w:rPr>
      </w:pPr>
      <w:r w:rsidRPr="00E940AC">
        <w:rPr>
          <w:szCs w:val="21"/>
        </w:rPr>
        <w:t>Our vision is a</w:t>
      </w:r>
      <w:r w:rsidRPr="00E940AC">
        <w:rPr>
          <w:i/>
          <w:szCs w:val="21"/>
        </w:rPr>
        <w:t xml:space="preserve"> </w:t>
      </w:r>
      <w:r w:rsidRPr="00592573">
        <w:rPr>
          <w:iCs/>
          <w:szCs w:val="21"/>
        </w:rPr>
        <w:t>‘</w:t>
      </w:r>
      <w:r w:rsidRPr="004C6A83">
        <w:rPr>
          <w:iCs/>
          <w:szCs w:val="21"/>
        </w:rPr>
        <w:t>Victoria free of the avoidable burden of disease and injury, so that all Victorians can enjoy the highest attainable standards of health, wellbeing and participation at every age</w:t>
      </w:r>
      <w:r w:rsidRPr="00E50907">
        <w:rPr>
          <w:iCs/>
          <w:szCs w:val="21"/>
        </w:rPr>
        <w:t>’</w:t>
      </w:r>
      <w:r w:rsidRPr="00592573">
        <w:rPr>
          <w:iCs/>
          <w:szCs w:val="21"/>
        </w:rPr>
        <w:t>.</w:t>
      </w:r>
      <w:r w:rsidRPr="00E940AC">
        <w:rPr>
          <w:szCs w:val="21"/>
        </w:rPr>
        <w:t xml:space="preserve"> </w:t>
      </w:r>
    </w:p>
    <w:p w14:paraId="3E801E6B" w14:textId="58F22A11" w:rsidR="00A92052" w:rsidRDefault="00A92052" w:rsidP="00BA5FA5">
      <w:pPr>
        <w:pStyle w:val="Body"/>
      </w:pPr>
      <w:r>
        <w:t xml:space="preserve">The </w:t>
      </w:r>
      <w:r w:rsidR="00FF0462">
        <w:t xml:space="preserve">five domains in the </w:t>
      </w:r>
      <w:proofErr w:type="gramStart"/>
      <w:r>
        <w:t>outcomes</w:t>
      </w:r>
      <w:proofErr w:type="gramEnd"/>
      <w:r>
        <w:t xml:space="preserve"> framework align with the </w:t>
      </w:r>
      <w:r w:rsidRPr="00DC7B7C">
        <w:t>Operational framework for monitoring social determinants of health equity</w:t>
      </w:r>
      <w:r>
        <w:rPr>
          <w:rStyle w:val="FootnoteReference"/>
        </w:rPr>
        <w:footnoteReference w:id="9"/>
      </w:r>
      <w:r w:rsidR="00740CC5">
        <w:t>.</w:t>
      </w:r>
      <w:r>
        <w:t xml:space="preserve"> Monitoring the social determinants of health equity is critical to create healthier and more equitable communities. Within the five domains, outcomes and indicators </w:t>
      </w:r>
      <w:r>
        <w:lastRenderedPageBreak/>
        <w:t xml:space="preserve">align with departmental and whole-of-government policy and outcomes directions, including the </w:t>
      </w:r>
      <w:r w:rsidR="002B3EB2">
        <w:t>o</w:t>
      </w:r>
      <w:r>
        <w:t xml:space="preserve">utcomes </w:t>
      </w:r>
      <w:r w:rsidR="002B3EB2">
        <w:t>f</w:t>
      </w:r>
      <w:r>
        <w:t>ramework</w:t>
      </w:r>
      <w:r>
        <w:rPr>
          <w:rStyle w:val="FootnoteReference"/>
        </w:rPr>
        <w:footnoteReference w:id="10"/>
      </w:r>
      <w:r w:rsidR="00C72814">
        <w:t>.</w:t>
      </w:r>
    </w:p>
    <w:p w14:paraId="541BC51D" w14:textId="77777777" w:rsidR="00A92052" w:rsidRDefault="00A92052" w:rsidP="00BA5FA5">
      <w:pPr>
        <w:pStyle w:val="Heading3"/>
      </w:pPr>
      <w:bookmarkStart w:id="54" w:name="_Toc195778189"/>
      <w:r w:rsidRPr="005C5F2A">
        <w:t xml:space="preserve">Domain 1: Population health </w:t>
      </w:r>
      <w:r>
        <w:t>and wellbeing in Victoria across the lifespan</w:t>
      </w:r>
      <w:bookmarkEnd w:id="54"/>
    </w:p>
    <w:p w14:paraId="4865C5FF" w14:textId="02D9B6BF" w:rsidR="00A92052" w:rsidRDefault="00A92052" w:rsidP="00BA5FA5">
      <w:pPr>
        <w:pStyle w:val="Body"/>
      </w:pPr>
      <w:r>
        <w:t xml:space="preserve">This domain is focused on factors that support Victorians to have good physical and mental health. It also </w:t>
      </w:r>
      <w:r w:rsidRPr="005C3036">
        <w:t xml:space="preserve">includes health behaviours, such as nutrition, physical activity, tobacco consumption and alcohol consumption, which, although traditionally not considered to be </w:t>
      </w:r>
      <w:r>
        <w:t>social determinants of health</w:t>
      </w:r>
      <w:r w:rsidRPr="005C3036">
        <w:t>, are distributed differently among different social groups and th</w:t>
      </w:r>
      <w:r>
        <w:t>erefore</w:t>
      </w:r>
      <w:r w:rsidR="005B0845">
        <w:t>,</w:t>
      </w:r>
      <w:r w:rsidRPr="005C3036">
        <w:t xml:space="preserve"> play an important role in social inequities in health.</w:t>
      </w:r>
    </w:p>
    <w:p w14:paraId="0369A706" w14:textId="77777777" w:rsidR="00A92052" w:rsidRDefault="00A92052" w:rsidP="00BA5FA5">
      <w:pPr>
        <w:pStyle w:val="Heading3"/>
      </w:pPr>
      <w:bookmarkStart w:id="55" w:name="_Toc195778190"/>
      <w:r w:rsidRPr="00A83E72">
        <w:t xml:space="preserve">Domain 2: </w:t>
      </w:r>
      <w:r>
        <w:t>Victorians experience s</w:t>
      </w:r>
      <w:r w:rsidRPr="00A83E72">
        <w:t>ocial co</w:t>
      </w:r>
      <w:r>
        <w:t>nnectedness and community wellbeing</w:t>
      </w:r>
      <w:bookmarkEnd w:id="55"/>
    </w:p>
    <w:p w14:paraId="30354E00" w14:textId="40B45FE6" w:rsidR="00B408E4" w:rsidRDefault="00A92052" w:rsidP="00BA5FA5">
      <w:pPr>
        <w:pStyle w:val="Body"/>
      </w:pPr>
      <w:r>
        <w:t xml:space="preserve">This domain covers safety and social and community support. </w:t>
      </w:r>
      <w:r w:rsidRPr="00760CE7">
        <w:t>People’s relationships and interactions with family, friends, co-workers and community members can have a major impact on their health and wellbeing.</w:t>
      </w:r>
      <w:r>
        <w:t xml:space="preserve"> Within this domain</w:t>
      </w:r>
      <w:r w:rsidR="00AB3D7E">
        <w:t>,</w:t>
      </w:r>
      <w:r>
        <w:t xml:space="preserve"> one of the most important outcomes is that Victorians are free from racism and discrimination</w:t>
      </w:r>
      <w:r w:rsidR="00B408E4">
        <w:t>,</w:t>
      </w:r>
      <w:r>
        <w:t xml:space="preserve"> where serious health, social and economic impacts are evident for people, communities and societies.</w:t>
      </w:r>
    </w:p>
    <w:p w14:paraId="07394D6D" w14:textId="5B1B96CC" w:rsidR="00A92052" w:rsidRDefault="00A92052" w:rsidP="00BA5FA5">
      <w:pPr>
        <w:pStyle w:val="Body"/>
      </w:pPr>
      <w:r w:rsidRPr="008A0E35">
        <w:t>This can be achieved with an increased focus on the cultural determinants of health</w:t>
      </w:r>
      <w:r w:rsidR="00683870">
        <w:t xml:space="preserve"> that</w:t>
      </w:r>
      <w:r w:rsidRPr="006A3FCA">
        <w:t xml:space="preserve"> include connections to Community, Kin, Country and Self-determination</w:t>
      </w:r>
      <w:r w:rsidR="00683870">
        <w:t>,</w:t>
      </w:r>
      <w:r w:rsidRPr="006A3FCA">
        <w:t xml:space="preserve"> which act as key protective factors</w:t>
      </w:r>
      <w:r w:rsidR="00683870">
        <w:t>,</w:t>
      </w:r>
      <w:r w:rsidRPr="006A3FCA">
        <w:t xml:space="preserve"> particularly for Aboriginal communities.</w:t>
      </w:r>
      <w:r w:rsidRPr="008A0E35">
        <w:t xml:space="preserve"> </w:t>
      </w:r>
    </w:p>
    <w:p w14:paraId="3C5C0393" w14:textId="77777777" w:rsidR="00A92052" w:rsidRDefault="00A92052" w:rsidP="00BA5FA5">
      <w:pPr>
        <w:pStyle w:val="Heading3"/>
      </w:pPr>
      <w:bookmarkStart w:id="56" w:name="_Toc195778191"/>
      <w:r w:rsidRPr="00367298">
        <w:t xml:space="preserve">Domain 3: </w:t>
      </w:r>
      <w:r>
        <w:t>Victorians have</w:t>
      </w:r>
      <w:r w:rsidRPr="00367298">
        <w:t xml:space="preserve"> access </w:t>
      </w:r>
      <w:r>
        <w:t>to learning and development opportunities</w:t>
      </w:r>
      <w:bookmarkEnd w:id="56"/>
    </w:p>
    <w:p w14:paraId="3101E1FD" w14:textId="5F23223C" w:rsidR="00A92052" w:rsidRDefault="00A92052" w:rsidP="00BA5FA5">
      <w:pPr>
        <w:pStyle w:val="Body"/>
      </w:pPr>
      <w:r>
        <w:t>This domain reflects learning conditions and opportunities that are important for people’s health and wellbeing across the life course, ranging from early childhood education to digital access. Education is critical for human and economic development and cohesive societies</w:t>
      </w:r>
      <w:r w:rsidR="00BB7F18">
        <w:t>.</w:t>
      </w:r>
      <w:r>
        <w:t xml:space="preserve"> </w:t>
      </w:r>
      <w:r w:rsidR="00BB7F18">
        <w:t>T</w:t>
      </w:r>
      <w:r>
        <w:t>he importance of education in the early years of life is critical to health later in life.</w:t>
      </w:r>
    </w:p>
    <w:p w14:paraId="30477A9B" w14:textId="5D647E0D" w:rsidR="00A92052" w:rsidRDefault="00A92052" w:rsidP="00BA5FA5">
      <w:pPr>
        <w:pStyle w:val="Heading3"/>
      </w:pPr>
      <w:bookmarkStart w:id="57" w:name="_Toc195778192"/>
      <w:r w:rsidRPr="005E3A1F">
        <w:t xml:space="preserve">Domain 4: </w:t>
      </w:r>
      <w:r>
        <w:t>Strong e</w:t>
      </w:r>
      <w:r w:rsidRPr="005E3A1F">
        <w:t xml:space="preserve">conomic </w:t>
      </w:r>
      <w:r>
        <w:t xml:space="preserve">participation and </w:t>
      </w:r>
      <w:r w:rsidRPr="005E3A1F">
        <w:t>stability</w:t>
      </w:r>
      <w:r>
        <w:t xml:space="preserve"> in Victoria</w:t>
      </w:r>
      <w:bookmarkEnd w:id="57"/>
    </w:p>
    <w:p w14:paraId="6FE87AB3" w14:textId="77777777" w:rsidR="00426E97" w:rsidRDefault="00A92052" w:rsidP="00BA5FA5">
      <w:pPr>
        <w:pStyle w:val="Body"/>
      </w:pPr>
      <w:r>
        <w:t>This domain outlines areas where there is strong evidence and widespread recognition of their impact on health</w:t>
      </w:r>
      <w:r w:rsidR="00D4747A">
        <w:t>,</w:t>
      </w:r>
      <w:r>
        <w:t xml:space="preserve"> including poverty and housing security.</w:t>
      </w:r>
      <w:r w:rsidRPr="00DD7345">
        <w:t xml:space="preserve"> </w:t>
      </w:r>
      <w:r w:rsidRPr="00E062B7">
        <w:t>Access to appropriate, affordable and secure housing can limit the physical and mental health risks presented by factors such as homelessness and overcrowding</w:t>
      </w:r>
      <w:r>
        <w:t>.</w:t>
      </w:r>
    </w:p>
    <w:p w14:paraId="41376207" w14:textId="70AA1E84" w:rsidR="00A92052" w:rsidRDefault="00A92052" w:rsidP="00BA5FA5">
      <w:pPr>
        <w:pStyle w:val="Body"/>
      </w:pPr>
      <w:r>
        <w:t>Employment and work also has a strong impact on physical and mental health and wellbeing.</w:t>
      </w:r>
      <w:r w:rsidRPr="00DD7345" w:rsidDel="0090143A">
        <w:t xml:space="preserve"> </w:t>
      </w:r>
      <w:r w:rsidRPr="00DD7345">
        <w:t>People with disabilit</w:t>
      </w:r>
      <w:r w:rsidR="00D4663B">
        <w:t>y</w:t>
      </w:r>
      <w:r w:rsidRPr="00DD7345">
        <w:t>, injur</w:t>
      </w:r>
      <w:r w:rsidR="00D4663B">
        <w:t>y</w:t>
      </w:r>
      <w:r w:rsidRPr="00DD7345">
        <w:t xml:space="preserve"> or </w:t>
      </w:r>
      <w:r>
        <w:t xml:space="preserve">some health </w:t>
      </w:r>
      <w:r w:rsidRPr="00DD7345">
        <w:t xml:space="preserve">conditions </w:t>
      </w:r>
      <w:r>
        <w:t>are likely to experience barriers to employment</w:t>
      </w:r>
      <w:r w:rsidRPr="00DD7345">
        <w:t>.</w:t>
      </w:r>
      <w:r>
        <w:t xml:space="preserve"> </w:t>
      </w:r>
      <w:r w:rsidRPr="00704F30">
        <w:t>Widening inequalities in these determinants are often used to help explain widening health inequalities</w:t>
      </w:r>
      <w:r>
        <w:t>.</w:t>
      </w:r>
    </w:p>
    <w:p w14:paraId="04B87898" w14:textId="0C1583E1" w:rsidR="00A92052" w:rsidRPr="005E3A1F" w:rsidRDefault="00A92052" w:rsidP="00BA5FA5">
      <w:pPr>
        <w:pStyle w:val="Heading3"/>
      </w:pPr>
      <w:bookmarkStart w:id="58" w:name="_Toc195778193"/>
      <w:r w:rsidRPr="005E3A1F">
        <w:lastRenderedPageBreak/>
        <w:t>Domain 5: Victorians have health</w:t>
      </w:r>
      <w:r w:rsidR="00BE34E4">
        <w:t>-</w:t>
      </w:r>
      <w:r w:rsidRPr="005E3A1F">
        <w:t>sustaining natural and built environments</w:t>
      </w:r>
      <w:bookmarkEnd w:id="58"/>
    </w:p>
    <w:p w14:paraId="33F70EB9" w14:textId="5FB9E190" w:rsidR="00A92052" w:rsidRDefault="00A92052" w:rsidP="00BA5FA5">
      <w:pPr>
        <w:pStyle w:val="Body"/>
      </w:pPr>
      <w:r w:rsidRPr="00E0705F">
        <w:t>The neighbourhoods people live in have a major impact on their health and wellbeing.</w:t>
      </w:r>
      <w:r>
        <w:t xml:space="preserve"> This domain is focused on liveable and sustainable environments</w:t>
      </w:r>
      <w:r w:rsidR="0006302A">
        <w:t>,</w:t>
      </w:r>
      <w:r>
        <w:t xml:space="preserve"> and climate actions. Climate change actions that focus on health and wellbeing play a critical role in building the resilience of local communities, whil</w:t>
      </w:r>
      <w:r w:rsidR="00BE34E4">
        <w:t>e</w:t>
      </w:r>
      <w:r>
        <w:t xml:space="preserve"> also generating many direct and indirect benefits to communities and organisations.</w:t>
      </w:r>
    </w:p>
    <w:p w14:paraId="295572B5" w14:textId="77777777" w:rsidR="004A727B" w:rsidRDefault="004A727B" w:rsidP="00BA5FA5">
      <w:pPr>
        <w:pStyle w:val="Body"/>
      </w:pPr>
    </w:p>
    <w:p w14:paraId="7D58C0AE" w14:textId="6709C943" w:rsidR="00290A61" w:rsidRDefault="00290A61" w:rsidP="00BA5FA5">
      <w:pPr>
        <w:pStyle w:val="Body"/>
        <w:sectPr w:rsidR="00290A61" w:rsidSect="009B53BB">
          <w:pgSz w:w="11906" w:h="16838" w:code="9"/>
          <w:pgMar w:top="1418" w:right="1304" w:bottom="1134" w:left="1304" w:header="680" w:footer="851" w:gutter="0"/>
          <w:cols w:space="340"/>
          <w:titlePg/>
          <w:docGrid w:linePitch="360"/>
        </w:sectPr>
      </w:pPr>
    </w:p>
    <w:p w14:paraId="3B8584F9" w14:textId="61C6DAA9" w:rsidR="00993660" w:rsidRDefault="00993660" w:rsidP="00BC2967">
      <w:pPr>
        <w:pStyle w:val="Tablecaption"/>
      </w:pPr>
      <w:r>
        <w:lastRenderedPageBreak/>
        <w:t xml:space="preserve">Table </w:t>
      </w:r>
      <w:r w:rsidR="00B035D1">
        <w:fldChar w:fldCharType="begin"/>
      </w:r>
      <w:r w:rsidR="00B035D1">
        <w:instrText xml:space="preserve"> SEQ Table \* ARABIC </w:instrText>
      </w:r>
      <w:r w:rsidR="00B035D1">
        <w:fldChar w:fldCharType="separate"/>
      </w:r>
      <w:r w:rsidR="00B035D1">
        <w:rPr>
          <w:noProof/>
        </w:rPr>
        <w:t>3</w:t>
      </w:r>
      <w:r w:rsidR="00B035D1">
        <w:rPr>
          <w:noProof/>
        </w:rPr>
        <w:fldChar w:fldCharType="end"/>
      </w:r>
      <w:r>
        <w:t xml:space="preserve">. </w:t>
      </w:r>
      <w:r w:rsidR="0015394C">
        <w:t>Summary of the</w:t>
      </w:r>
      <w:r w:rsidRPr="00C3374C">
        <w:t xml:space="preserve"> Victorian Public Health and Wellbeing Framework (domains, outcomes and indicators)</w:t>
      </w:r>
    </w:p>
    <w:p w14:paraId="2EE53009" w14:textId="77777777" w:rsidR="00DB7F0B" w:rsidRDefault="00DB7F0B" w:rsidP="00DB7F0B">
      <w:pPr>
        <w:pStyle w:val="Body"/>
      </w:pPr>
      <w:r>
        <w:t>[This figure has been converted to text]</w:t>
      </w:r>
    </w:p>
    <w:p w14:paraId="4E6E4C0B" w14:textId="41CF6178" w:rsidR="000A2A5C" w:rsidRDefault="002065A1" w:rsidP="000A2A5C">
      <w:pPr>
        <w:pStyle w:val="Body"/>
      </w:pPr>
      <w:r>
        <w:t xml:space="preserve">Domain 1: </w:t>
      </w:r>
      <w:r w:rsidR="000A2A5C">
        <w:t>Wellbeing in Victoria across the lifespan</w:t>
      </w:r>
    </w:p>
    <w:p w14:paraId="78680E92" w14:textId="77777777" w:rsidR="000A2A5C" w:rsidRDefault="000A2A5C" w:rsidP="000A2A5C">
      <w:pPr>
        <w:pStyle w:val="Body"/>
      </w:pPr>
      <w:r>
        <w:t>Outcome 1.1: Victorians enjoy high levels of physical health</w:t>
      </w:r>
    </w:p>
    <w:p w14:paraId="4B03E94E" w14:textId="77777777" w:rsidR="000A2A5C" w:rsidRDefault="000A2A5C" w:rsidP="002065A1">
      <w:pPr>
        <w:pStyle w:val="Body"/>
        <w:numPr>
          <w:ilvl w:val="0"/>
          <w:numId w:val="36"/>
        </w:numPr>
      </w:pPr>
      <w:r>
        <w:t>Increase healthy start in life</w:t>
      </w:r>
    </w:p>
    <w:p w14:paraId="701A2F52" w14:textId="77777777" w:rsidR="000A2A5C" w:rsidRDefault="000A2A5C" w:rsidP="002065A1">
      <w:pPr>
        <w:pStyle w:val="Body"/>
        <w:numPr>
          <w:ilvl w:val="0"/>
          <w:numId w:val="36"/>
        </w:numPr>
      </w:pPr>
      <w:r>
        <w:t>Reduce premature death rates</w:t>
      </w:r>
    </w:p>
    <w:p w14:paraId="379662C3" w14:textId="77777777" w:rsidR="000A2A5C" w:rsidRDefault="000A2A5C" w:rsidP="002065A1">
      <w:pPr>
        <w:pStyle w:val="Body"/>
        <w:numPr>
          <w:ilvl w:val="0"/>
          <w:numId w:val="36"/>
        </w:numPr>
      </w:pPr>
      <w:r>
        <w:t>Reduce prevalence of preventable chronic disease</w:t>
      </w:r>
    </w:p>
    <w:p w14:paraId="1F57A3FD" w14:textId="77777777" w:rsidR="000A2A5C" w:rsidRDefault="000A2A5C" w:rsidP="002065A1">
      <w:pPr>
        <w:pStyle w:val="Body"/>
        <w:numPr>
          <w:ilvl w:val="0"/>
          <w:numId w:val="36"/>
        </w:numPr>
      </w:pPr>
      <w:r>
        <w:t>Increase self-rated health</w:t>
      </w:r>
    </w:p>
    <w:p w14:paraId="003AEFE4" w14:textId="77777777" w:rsidR="000A2A5C" w:rsidRDefault="000A2A5C" w:rsidP="002065A1">
      <w:pPr>
        <w:pStyle w:val="Body"/>
        <w:numPr>
          <w:ilvl w:val="0"/>
          <w:numId w:val="36"/>
        </w:numPr>
      </w:pPr>
      <w:r>
        <w:t>Decrease unintentional injury</w:t>
      </w:r>
    </w:p>
    <w:p w14:paraId="70119C2C" w14:textId="77777777" w:rsidR="000A2A5C" w:rsidRDefault="000A2A5C" w:rsidP="002065A1">
      <w:pPr>
        <w:pStyle w:val="Body"/>
        <w:numPr>
          <w:ilvl w:val="0"/>
          <w:numId w:val="36"/>
        </w:numPr>
      </w:pPr>
      <w:r>
        <w:t>Reduce preventable oral diseases</w:t>
      </w:r>
    </w:p>
    <w:p w14:paraId="6EA1337A" w14:textId="77777777" w:rsidR="000A2A5C" w:rsidRDefault="000A2A5C" w:rsidP="002065A1">
      <w:pPr>
        <w:pStyle w:val="Body"/>
        <w:numPr>
          <w:ilvl w:val="0"/>
          <w:numId w:val="36"/>
        </w:numPr>
      </w:pPr>
      <w:r>
        <w:t>Reduce antimicrobial resistance</w:t>
      </w:r>
    </w:p>
    <w:p w14:paraId="3940C256" w14:textId="77777777" w:rsidR="000A2A5C" w:rsidRDefault="000A2A5C" w:rsidP="002065A1">
      <w:pPr>
        <w:pStyle w:val="Body"/>
        <w:numPr>
          <w:ilvl w:val="0"/>
          <w:numId w:val="36"/>
        </w:numPr>
      </w:pPr>
      <w:r>
        <w:t>Increase sexual and reproductive health</w:t>
      </w:r>
    </w:p>
    <w:p w14:paraId="046C3031" w14:textId="77777777" w:rsidR="000A2A5C" w:rsidRDefault="000A2A5C" w:rsidP="000A2A5C">
      <w:pPr>
        <w:pStyle w:val="Body"/>
      </w:pPr>
      <w:r>
        <w:t>Outcome 1.2: Victorians enjoy high levels of mental health</w:t>
      </w:r>
    </w:p>
    <w:p w14:paraId="45817E33" w14:textId="77777777" w:rsidR="000A2A5C" w:rsidRDefault="000A2A5C" w:rsidP="002065A1">
      <w:pPr>
        <w:pStyle w:val="Body"/>
        <w:numPr>
          <w:ilvl w:val="0"/>
          <w:numId w:val="37"/>
        </w:numPr>
      </w:pPr>
      <w:r>
        <w:t>Increase Victorians’ experience of good mental health and wellbeing</w:t>
      </w:r>
    </w:p>
    <w:p w14:paraId="13D33F6D" w14:textId="77777777" w:rsidR="000A2A5C" w:rsidRDefault="000A2A5C" w:rsidP="002065A1">
      <w:pPr>
        <w:pStyle w:val="Body"/>
        <w:numPr>
          <w:ilvl w:val="0"/>
          <w:numId w:val="37"/>
        </w:numPr>
      </w:pPr>
      <w:r>
        <w:t>Decrease suicide and psychological distress</w:t>
      </w:r>
    </w:p>
    <w:p w14:paraId="2A34E45C" w14:textId="77777777" w:rsidR="000A2A5C" w:rsidRDefault="000A2A5C" w:rsidP="000A2A5C">
      <w:pPr>
        <w:pStyle w:val="Body"/>
      </w:pPr>
      <w:r>
        <w:t>Outcome 1.3: Victorians are supported to protect and promote health</w:t>
      </w:r>
    </w:p>
    <w:p w14:paraId="4A2953E5" w14:textId="77777777" w:rsidR="000A2A5C" w:rsidRDefault="000A2A5C" w:rsidP="002065A1">
      <w:pPr>
        <w:pStyle w:val="Body"/>
        <w:numPr>
          <w:ilvl w:val="0"/>
          <w:numId w:val="38"/>
        </w:numPr>
      </w:pPr>
      <w:r>
        <w:t>Increase healthier eating</w:t>
      </w:r>
    </w:p>
    <w:p w14:paraId="2E84540E" w14:textId="77777777" w:rsidR="000A2A5C" w:rsidRDefault="000A2A5C" w:rsidP="002065A1">
      <w:pPr>
        <w:pStyle w:val="Body"/>
        <w:numPr>
          <w:ilvl w:val="0"/>
          <w:numId w:val="38"/>
        </w:numPr>
      </w:pPr>
      <w:r>
        <w:t>Increase active living</w:t>
      </w:r>
    </w:p>
    <w:p w14:paraId="25996B17" w14:textId="77777777" w:rsidR="000A2A5C" w:rsidRDefault="000A2A5C" w:rsidP="002065A1">
      <w:pPr>
        <w:pStyle w:val="Body"/>
        <w:numPr>
          <w:ilvl w:val="0"/>
          <w:numId w:val="38"/>
        </w:numPr>
      </w:pPr>
      <w:r>
        <w:t>Reduce overweight and obesity</w:t>
      </w:r>
    </w:p>
    <w:p w14:paraId="09AE0835" w14:textId="77777777" w:rsidR="000A2A5C" w:rsidRDefault="000A2A5C" w:rsidP="002065A1">
      <w:pPr>
        <w:pStyle w:val="Body"/>
        <w:numPr>
          <w:ilvl w:val="0"/>
          <w:numId w:val="38"/>
        </w:numPr>
      </w:pPr>
      <w:r>
        <w:t>Reduce smoking and vaping</w:t>
      </w:r>
    </w:p>
    <w:p w14:paraId="747D8B3A" w14:textId="77777777" w:rsidR="000A2A5C" w:rsidRDefault="000A2A5C" w:rsidP="002065A1">
      <w:pPr>
        <w:pStyle w:val="Body"/>
        <w:numPr>
          <w:ilvl w:val="0"/>
          <w:numId w:val="38"/>
        </w:numPr>
      </w:pPr>
      <w:r>
        <w:t>Reduce harmful alcohol and drug use</w:t>
      </w:r>
    </w:p>
    <w:p w14:paraId="0F533632" w14:textId="77777777" w:rsidR="000A2A5C" w:rsidRDefault="000A2A5C" w:rsidP="002065A1">
      <w:pPr>
        <w:pStyle w:val="Body"/>
        <w:numPr>
          <w:ilvl w:val="0"/>
          <w:numId w:val="38"/>
        </w:numPr>
      </w:pPr>
      <w:r>
        <w:t>Increase immunisation</w:t>
      </w:r>
    </w:p>
    <w:p w14:paraId="0652D50A" w14:textId="77777777" w:rsidR="000A2A5C" w:rsidRDefault="000A2A5C" w:rsidP="002065A1">
      <w:pPr>
        <w:pStyle w:val="Body"/>
        <w:numPr>
          <w:ilvl w:val="0"/>
          <w:numId w:val="38"/>
        </w:numPr>
      </w:pPr>
      <w:r>
        <w:t>Reduce harmful sun exposure</w:t>
      </w:r>
    </w:p>
    <w:p w14:paraId="32C38EF1" w14:textId="3003DE13" w:rsidR="000A2A5C" w:rsidRDefault="00B759B5" w:rsidP="000A2A5C">
      <w:pPr>
        <w:pStyle w:val="Body"/>
      </w:pPr>
      <w:r>
        <w:lastRenderedPageBreak/>
        <w:t xml:space="preserve">Domain 2: </w:t>
      </w:r>
      <w:r w:rsidR="000A2A5C">
        <w:t>Victorians experience social connectedness and community wellbeing</w:t>
      </w:r>
    </w:p>
    <w:p w14:paraId="134F70C5" w14:textId="77777777" w:rsidR="000A2A5C" w:rsidRDefault="000A2A5C" w:rsidP="000A2A5C">
      <w:pPr>
        <w:pStyle w:val="Body"/>
      </w:pPr>
      <w:r>
        <w:t>Outcome 2.1: Victorians are safe and treated with respect</w:t>
      </w:r>
    </w:p>
    <w:p w14:paraId="69A5F866" w14:textId="77777777" w:rsidR="000A2A5C" w:rsidRDefault="000A2A5C" w:rsidP="00B759B5">
      <w:pPr>
        <w:pStyle w:val="Body"/>
        <w:numPr>
          <w:ilvl w:val="0"/>
          <w:numId w:val="35"/>
        </w:numPr>
      </w:pPr>
      <w:r>
        <w:t>Reduce prevalence and impact of abuse and neglect of children</w:t>
      </w:r>
    </w:p>
    <w:p w14:paraId="1F376229" w14:textId="77777777" w:rsidR="000A2A5C" w:rsidRDefault="000A2A5C" w:rsidP="00B759B5">
      <w:pPr>
        <w:pStyle w:val="Body"/>
        <w:numPr>
          <w:ilvl w:val="0"/>
          <w:numId w:val="35"/>
        </w:numPr>
      </w:pPr>
      <w:r>
        <w:t>Reduce incidence of family violence</w:t>
      </w:r>
    </w:p>
    <w:p w14:paraId="2ABD7119" w14:textId="77777777" w:rsidR="000A2A5C" w:rsidRDefault="000A2A5C" w:rsidP="00B759B5">
      <w:pPr>
        <w:pStyle w:val="Body"/>
        <w:numPr>
          <w:ilvl w:val="0"/>
          <w:numId w:val="35"/>
        </w:numPr>
      </w:pPr>
      <w:r>
        <w:t>Increase community safety</w:t>
      </w:r>
    </w:p>
    <w:p w14:paraId="40A89A62" w14:textId="77777777" w:rsidR="000A2A5C" w:rsidRDefault="000A2A5C" w:rsidP="000A2A5C">
      <w:pPr>
        <w:pStyle w:val="Body"/>
      </w:pPr>
      <w:r>
        <w:t>Outcome 2.2: Victorian communities are fair and inclusive</w:t>
      </w:r>
    </w:p>
    <w:p w14:paraId="1F377453" w14:textId="77777777" w:rsidR="000A2A5C" w:rsidRDefault="000A2A5C" w:rsidP="00532887">
      <w:pPr>
        <w:pStyle w:val="Body"/>
        <w:numPr>
          <w:ilvl w:val="0"/>
          <w:numId w:val="34"/>
        </w:numPr>
      </w:pPr>
      <w:r>
        <w:t>Increase connection to culture and communities</w:t>
      </w:r>
    </w:p>
    <w:p w14:paraId="2D765C03" w14:textId="77777777" w:rsidR="000A2A5C" w:rsidRDefault="000A2A5C" w:rsidP="00532887">
      <w:pPr>
        <w:pStyle w:val="Body"/>
        <w:numPr>
          <w:ilvl w:val="0"/>
          <w:numId w:val="34"/>
        </w:numPr>
      </w:pPr>
      <w:r>
        <w:t>Increase access to social support</w:t>
      </w:r>
    </w:p>
    <w:p w14:paraId="30B499FC" w14:textId="77777777" w:rsidR="000A2A5C" w:rsidRDefault="000A2A5C" w:rsidP="000A2A5C">
      <w:pPr>
        <w:pStyle w:val="Body"/>
      </w:pPr>
      <w:r>
        <w:t>Outcome 2.3: Victorians are free from racism and discrimination</w:t>
      </w:r>
    </w:p>
    <w:p w14:paraId="1B84298C" w14:textId="77777777" w:rsidR="000A2A5C" w:rsidRDefault="000A2A5C" w:rsidP="00532887">
      <w:pPr>
        <w:pStyle w:val="Body"/>
        <w:numPr>
          <w:ilvl w:val="0"/>
          <w:numId w:val="33"/>
        </w:numPr>
      </w:pPr>
      <w:r>
        <w:t xml:space="preserve">Reduce all forms of racism and discrimination </w:t>
      </w:r>
    </w:p>
    <w:p w14:paraId="383AA0E6" w14:textId="25599B19" w:rsidR="000A2A5C" w:rsidRDefault="00B759B5" w:rsidP="00B759B5">
      <w:pPr>
        <w:pStyle w:val="Body"/>
      </w:pPr>
      <w:r>
        <w:t xml:space="preserve">Domain 3: </w:t>
      </w:r>
      <w:r w:rsidR="000A2A5C">
        <w:t>Victorians have access to learning and development opportunities</w:t>
      </w:r>
    </w:p>
    <w:p w14:paraId="3C3B6482" w14:textId="77777777" w:rsidR="000A2A5C" w:rsidRDefault="000A2A5C" w:rsidP="000A2A5C">
      <w:pPr>
        <w:pStyle w:val="Body"/>
      </w:pPr>
      <w:r>
        <w:t>Outcome 3.1: Victorians have access to education, skills development and learning throughout life</w:t>
      </w:r>
    </w:p>
    <w:p w14:paraId="4D8B979B" w14:textId="77777777" w:rsidR="000A2A5C" w:rsidRDefault="000A2A5C" w:rsidP="00532887">
      <w:pPr>
        <w:pStyle w:val="Body"/>
        <w:numPr>
          <w:ilvl w:val="0"/>
          <w:numId w:val="32"/>
        </w:numPr>
      </w:pPr>
      <w:r>
        <w:t>Decrease developmental vulnerability</w:t>
      </w:r>
    </w:p>
    <w:p w14:paraId="7F4400FA" w14:textId="77777777" w:rsidR="000A2A5C" w:rsidRDefault="000A2A5C" w:rsidP="00532887">
      <w:pPr>
        <w:pStyle w:val="Body"/>
        <w:numPr>
          <w:ilvl w:val="0"/>
          <w:numId w:val="32"/>
        </w:numPr>
      </w:pPr>
      <w:r>
        <w:t>Increase educational attainment</w:t>
      </w:r>
    </w:p>
    <w:p w14:paraId="6EE677B2" w14:textId="77777777" w:rsidR="000A2A5C" w:rsidRDefault="000A2A5C" w:rsidP="00532887">
      <w:pPr>
        <w:pStyle w:val="Body"/>
        <w:numPr>
          <w:ilvl w:val="0"/>
          <w:numId w:val="32"/>
        </w:numPr>
      </w:pPr>
      <w:r>
        <w:t>Increase Victoria’s digital inclusion</w:t>
      </w:r>
    </w:p>
    <w:p w14:paraId="1A8AD1B1" w14:textId="06FB4A63" w:rsidR="000A2A5C" w:rsidRDefault="00532887" w:rsidP="000A2A5C">
      <w:pPr>
        <w:pStyle w:val="Body"/>
      </w:pPr>
      <w:r>
        <w:t xml:space="preserve">Domain 4: </w:t>
      </w:r>
      <w:r w:rsidR="000A2A5C">
        <w:t>Strong economic participation and stability in Victoria</w:t>
      </w:r>
    </w:p>
    <w:p w14:paraId="5A9B27AD" w14:textId="77777777" w:rsidR="000A2A5C" w:rsidRDefault="000A2A5C" w:rsidP="000A2A5C">
      <w:pPr>
        <w:pStyle w:val="Body"/>
      </w:pPr>
      <w:r>
        <w:t>Outcome 4.1: Victorians participate in the economy</w:t>
      </w:r>
    </w:p>
    <w:p w14:paraId="0D4DF06B" w14:textId="77777777" w:rsidR="000A2A5C" w:rsidRDefault="000A2A5C" w:rsidP="00532887">
      <w:pPr>
        <w:pStyle w:val="Body"/>
        <w:numPr>
          <w:ilvl w:val="0"/>
          <w:numId w:val="31"/>
        </w:numPr>
      </w:pPr>
      <w:r>
        <w:t>Increase labour market participation</w:t>
      </w:r>
    </w:p>
    <w:p w14:paraId="020CE0D0" w14:textId="77777777" w:rsidR="000A2A5C" w:rsidRDefault="000A2A5C" w:rsidP="000A2A5C">
      <w:pPr>
        <w:pStyle w:val="Body"/>
      </w:pPr>
      <w:r>
        <w:t>Outcome 4.2: Victorians have financial security</w:t>
      </w:r>
    </w:p>
    <w:p w14:paraId="431937EC" w14:textId="77777777" w:rsidR="000A2A5C" w:rsidRDefault="000A2A5C" w:rsidP="00532887">
      <w:pPr>
        <w:pStyle w:val="Body"/>
        <w:numPr>
          <w:ilvl w:val="0"/>
          <w:numId w:val="30"/>
        </w:numPr>
      </w:pPr>
      <w:r>
        <w:t>Decrease financial stress</w:t>
      </w:r>
    </w:p>
    <w:p w14:paraId="39832098" w14:textId="77777777" w:rsidR="000A2A5C" w:rsidRDefault="000A2A5C" w:rsidP="000A2A5C">
      <w:pPr>
        <w:pStyle w:val="Body"/>
      </w:pPr>
      <w:r>
        <w:t>Outcome 4.3: Victorians have suitable and stable housing</w:t>
      </w:r>
    </w:p>
    <w:p w14:paraId="7686391D" w14:textId="77777777" w:rsidR="000A2A5C" w:rsidRDefault="000A2A5C" w:rsidP="00532887">
      <w:pPr>
        <w:pStyle w:val="Body"/>
        <w:numPr>
          <w:ilvl w:val="0"/>
          <w:numId w:val="29"/>
        </w:numPr>
      </w:pPr>
      <w:r>
        <w:t>Decrease homelessness</w:t>
      </w:r>
    </w:p>
    <w:p w14:paraId="1649FBD5" w14:textId="6290084D" w:rsidR="000A2A5C" w:rsidRDefault="00532887" w:rsidP="000A2A5C">
      <w:pPr>
        <w:pStyle w:val="Body"/>
      </w:pPr>
      <w:r>
        <w:t xml:space="preserve">Domain 5: </w:t>
      </w:r>
      <w:r w:rsidR="000A2A5C">
        <w:t>Victorians have health-sustaining natural and built environments</w:t>
      </w:r>
    </w:p>
    <w:p w14:paraId="2F4EDC3E" w14:textId="77777777" w:rsidR="000A2A5C" w:rsidRDefault="000A2A5C" w:rsidP="000A2A5C">
      <w:pPr>
        <w:pStyle w:val="Body"/>
      </w:pPr>
      <w:r>
        <w:lastRenderedPageBreak/>
        <w:t>Outcome 5.1: Victorians belong to resilient and liveable communities</w:t>
      </w:r>
    </w:p>
    <w:p w14:paraId="7F640365" w14:textId="77777777" w:rsidR="000A2A5C" w:rsidRPr="00F13B88" w:rsidRDefault="000A2A5C" w:rsidP="00F13B88">
      <w:pPr>
        <w:pStyle w:val="Body"/>
        <w:numPr>
          <w:ilvl w:val="0"/>
          <w:numId w:val="28"/>
        </w:numPr>
      </w:pPr>
      <w:r w:rsidRPr="00F13B88">
        <w:t>Increase neighbourhood liveability</w:t>
      </w:r>
    </w:p>
    <w:p w14:paraId="3AE347D5" w14:textId="77777777" w:rsidR="000A2A5C" w:rsidRPr="00F13B88" w:rsidRDefault="000A2A5C" w:rsidP="00F13B88">
      <w:pPr>
        <w:pStyle w:val="Body"/>
        <w:numPr>
          <w:ilvl w:val="0"/>
          <w:numId w:val="28"/>
        </w:numPr>
      </w:pPr>
      <w:r w:rsidRPr="00F13B88">
        <w:t>Increase adaptation to the impacts of climate change</w:t>
      </w:r>
    </w:p>
    <w:p w14:paraId="3C477FE2" w14:textId="77777777" w:rsidR="000A2A5C" w:rsidRDefault="000A2A5C" w:rsidP="000A2A5C">
      <w:pPr>
        <w:pStyle w:val="Body"/>
      </w:pPr>
      <w:r>
        <w:t>Outcome 5.2: Victorians have access to sustainable and safe built and natural environments</w:t>
      </w:r>
    </w:p>
    <w:p w14:paraId="1E01E236" w14:textId="77777777" w:rsidR="000A2A5C" w:rsidRDefault="000A2A5C" w:rsidP="00F13B88">
      <w:pPr>
        <w:pStyle w:val="Body"/>
        <w:numPr>
          <w:ilvl w:val="0"/>
          <w:numId w:val="27"/>
        </w:numPr>
      </w:pPr>
      <w:r>
        <w:t>Increase environmental sustainability</w:t>
      </w:r>
    </w:p>
    <w:p w14:paraId="3E6BE2FD" w14:textId="494FF4AE" w:rsidR="000A2A5C" w:rsidRDefault="000A2A5C" w:rsidP="00F13B88">
      <w:pPr>
        <w:pStyle w:val="Body"/>
        <w:numPr>
          <w:ilvl w:val="0"/>
          <w:numId w:val="27"/>
        </w:numPr>
      </w:pPr>
      <w:r>
        <w:t>Increase environmental quality</w:t>
      </w:r>
    </w:p>
    <w:p w14:paraId="448EC7BD" w14:textId="696D8F96" w:rsidR="004464F6" w:rsidRPr="004464F6" w:rsidRDefault="00DB7F0B" w:rsidP="004464F6">
      <w:pPr>
        <w:pStyle w:val="Body"/>
      </w:pPr>
      <w:r>
        <w:t>[end figure text]</w:t>
      </w:r>
    </w:p>
    <w:p w14:paraId="15F894C1" w14:textId="77777777" w:rsidR="00F13B88" w:rsidRDefault="00F13B88">
      <w:pPr>
        <w:spacing w:after="0" w:line="240" w:lineRule="auto"/>
        <w:rPr>
          <w:rFonts w:eastAsia="MS Gothic" w:cs="Arial"/>
          <w:bCs/>
          <w:color w:val="C63663"/>
          <w:kern w:val="32"/>
          <w:sz w:val="44"/>
          <w:szCs w:val="44"/>
        </w:rPr>
      </w:pPr>
      <w:r>
        <w:br w:type="page"/>
      </w:r>
    </w:p>
    <w:p w14:paraId="4AB4DD16" w14:textId="2B2A6F32" w:rsidR="00571D4F" w:rsidRDefault="00B140E3" w:rsidP="00D021AE">
      <w:pPr>
        <w:pStyle w:val="Heading1"/>
      </w:pPr>
      <w:bookmarkStart w:id="59" w:name="_Toc211959717"/>
      <w:r w:rsidRPr="00B140E3">
        <w:lastRenderedPageBreak/>
        <w:t>Outcomes framework specifications</w:t>
      </w:r>
      <w:bookmarkEnd w:id="59"/>
    </w:p>
    <w:p w14:paraId="139CA0CD" w14:textId="36B6A7AC" w:rsidR="00261ADE" w:rsidRDefault="00302D35" w:rsidP="00D021AE">
      <w:pPr>
        <w:pStyle w:val="Body"/>
      </w:pPr>
      <w:r>
        <w:t xml:space="preserve">Note: See </w:t>
      </w:r>
      <w:hyperlink w:anchor="_Glossary" w:history="1">
        <w:r w:rsidRPr="009D746F">
          <w:rPr>
            <w:rStyle w:val="Hyperlink"/>
          </w:rPr>
          <w:t>Glossary</w:t>
        </w:r>
      </w:hyperlink>
      <w:r>
        <w:t xml:space="preserve"> for definition</w:t>
      </w:r>
      <w:r w:rsidR="009D746F">
        <w:t>s</w:t>
      </w:r>
      <w:r>
        <w:t xml:space="preserve"> of acronyms</w:t>
      </w:r>
      <w:r w:rsidR="009D746F">
        <w:t>.</w:t>
      </w:r>
    </w:p>
    <w:p w14:paraId="0B1B56B2" w14:textId="62BD4F6B" w:rsidR="00166BBE" w:rsidRPr="004731F3" w:rsidRDefault="00166BBE" w:rsidP="00920A5A">
      <w:pPr>
        <w:pStyle w:val="Heading2"/>
        <w:rPr>
          <w:b w:val="0"/>
          <w:bCs/>
        </w:rPr>
      </w:pPr>
      <w:bookmarkStart w:id="60" w:name="_Toc211959718"/>
      <w:r w:rsidRPr="004731F3">
        <w:rPr>
          <w:b w:val="0"/>
          <w:bCs/>
        </w:rPr>
        <w:t>Domain 1: Population health and wellbeing in Victoria across the lifespan</w:t>
      </w:r>
      <w:bookmarkEnd w:id="60"/>
    </w:p>
    <w:p w14:paraId="2EC048D0" w14:textId="3EA11579" w:rsidR="00BC2967" w:rsidRDefault="00BC2967" w:rsidP="00920A5A">
      <w:pPr>
        <w:pStyle w:val="Tablecaption"/>
      </w:pPr>
      <w:r>
        <w:t xml:space="preserve">Table </w:t>
      </w:r>
      <w:r>
        <w:fldChar w:fldCharType="begin"/>
      </w:r>
      <w:r>
        <w:instrText xml:space="preserve"> SEQ Table \* ARABIC </w:instrText>
      </w:r>
      <w:r>
        <w:fldChar w:fldCharType="separate"/>
      </w:r>
      <w:r w:rsidR="00B035D1">
        <w:rPr>
          <w:noProof/>
        </w:rPr>
        <w:t>4</w:t>
      </w:r>
      <w:r>
        <w:fldChar w:fldCharType="end"/>
      </w:r>
      <w:r>
        <w:t xml:space="preserve">. </w:t>
      </w:r>
      <w:r w:rsidRPr="00B96984">
        <w:t>Outcome 1.1: Victorians enjoy high levels of physical health</w:t>
      </w:r>
    </w:p>
    <w:tbl>
      <w:tblPr>
        <w:tblStyle w:val="TableGridLight"/>
        <w:tblW w:w="0" w:type="auto"/>
        <w:tblLook w:val="04A0" w:firstRow="1" w:lastRow="0" w:firstColumn="1" w:lastColumn="0" w:noHBand="0" w:noVBand="1"/>
      </w:tblPr>
      <w:tblGrid>
        <w:gridCol w:w="1972"/>
        <w:gridCol w:w="3099"/>
        <w:gridCol w:w="3502"/>
        <w:gridCol w:w="1640"/>
        <w:gridCol w:w="2757"/>
        <w:gridCol w:w="1306"/>
      </w:tblGrid>
      <w:tr w:rsidR="006B70B0" w:rsidRPr="006B70B0" w14:paraId="5A72E9BF" w14:textId="77777777" w:rsidTr="009437D0">
        <w:trPr>
          <w:trHeight w:val="455"/>
          <w:tblHeader/>
        </w:trPr>
        <w:tc>
          <w:tcPr>
            <w:tcW w:w="0" w:type="auto"/>
            <w:shd w:val="clear" w:color="auto" w:fill="4F81BD" w:themeFill="accent1"/>
            <w:vAlign w:val="center"/>
          </w:tcPr>
          <w:p w14:paraId="62D68E43" w14:textId="77777777" w:rsidR="00166BBE" w:rsidRPr="00FB73F9" w:rsidRDefault="00166BBE" w:rsidP="00FB73F9">
            <w:pPr>
              <w:pStyle w:val="Tablecolhead"/>
              <w:rPr>
                <w:b w:val="0"/>
                <w:color w:val="FFFFFF" w:themeColor="background1"/>
              </w:rPr>
            </w:pPr>
            <w:r w:rsidRPr="00920A5A">
              <w:rPr>
                <w:color w:val="FFFFFF" w:themeColor="background1"/>
              </w:rPr>
              <w:t>Indicator</w:t>
            </w:r>
          </w:p>
        </w:tc>
        <w:tc>
          <w:tcPr>
            <w:tcW w:w="0" w:type="auto"/>
            <w:shd w:val="clear" w:color="auto" w:fill="4F81BD" w:themeFill="accent1"/>
            <w:vAlign w:val="center"/>
          </w:tcPr>
          <w:p w14:paraId="5C1C9EE4" w14:textId="77777777" w:rsidR="00166BBE" w:rsidRPr="00FB73F9" w:rsidRDefault="00166BBE" w:rsidP="00FB73F9">
            <w:pPr>
              <w:pStyle w:val="Tablecolhead"/>
              <w:rPr>
                <w:b w:val="0"/>
                <w:color w:val="FFFFFF" w:themeColor="background1"/>
              </w:rPr>
            </w:pPr>
            <w:r w:rsidRPr="00FB73F9">
              <w:rPr>
                <w:color w:val="FFFFFF" w:themeColor="background1"/>
              </w:rPr>
              <w:t>Measure</w:t>
            </w:r>
          </w:p>
        </w:tc>
        <w:tc>
          <w:tcPr>
            <w:tcW w:w="0" w:type="auto"/>
            <w:shd w:val="clear" w:color="auto" w:fill="4F81BD" w:themeFill="accent1"/>
            <w:vAlign w:val="center"/>
          </w:tcPr>
          <w:p w14:paraId="51088903" w14:textId="77777777" w:rsidR="00166BBE" w:rsidRPr="00FB73F9" w:rsidRDefault="00166BBE" w:rsidP="00FB73F9">
            <w:pPr>
              <w:pStyle w:val="Tablecolhead"/>
              <w:rPr>
                <w:b w:val="0"/>
                <w:color w:val="FFFFFF" w:themeColor="background1"/>
              </w:rPr>
            </w:pPr>
            <w:r w:rsidRPr="00FB73F9">
              <w:rPr>
                <w:color w:val="FFFFFF" w:themeColor="background1"/>
              </w:rPr>
              <w:t>Measure detail</w:t>
            </w:r>
          </w:p>
        </w:tc>
        <w:tc>
          <w:tcPr>
            <w:tcW w:w="0" w:type="auto"/>
            <w:shd w:val="clear" w:color="auto" w:fill="4F81BD" w:themeFill="accent1"/>
            <w:vAlign w:val="center"/>
          </w:tcPr>
          <w:p w14:paraId="4F7D1F6A" w14:textId="77777777" w:rsidR="00166BBE" w:rsidRPr="00FB73F9" w:rsidRDefault="00166BBE" w:rsidP="00FB73F9">
            <w:pPr>
              <w:pStyle w:val="Tablecolhead"/>
              <w:rPr>
                <w:b w:val="0"/>
                <w:color w:val="FFFFFF" w:themeColor="background1"/>
              </w:rPr>
            </w:pPr>
            <w:r w:rsidRPr="00FB73F9">
              <w:rPr>
                <w:color w:val="FFFFFF" w:themeColor="background1"/>
              </w:rPr>
              <w:t>Source</w:t>
            </w:r>
          </w:p>
        </w:tc>
        <w:tc>
          <w:tcPr>
            <w:tcW w:w="0" w:type="auto"/>
            <w:shd w:val="clear" w:color="auto" w:fill="4F81BD" w:themeFill="accent1"/>
            <w:vAlign w:val="center"/>
          </w:tcPr>
          <w:p w14:paraId="0E2B11DC" w14:textId="77777777" w:rsidR="00166BBE" w:rsidRPr="00FB73F9" w:rsidRDefault="00166BBE" w:rsidP="00FB73F9">
            <w:pPr>
              <w:pStyle w:val="Tablecolhead"/>
              <w:rPr>
                <w:b w:val="0"/>
                <w:color w:val="FFFFFF" w:themeColor="background1"/>
              </w:rPr>
            </w:pPr>
            <w:r w:rsidRPr="00FB73F9">
              <w:rPr>
                <w:color w:val="FFFFFF" w:themeColor="background1"/>
              </w:rPr>
              <w:t>Target</w:t>
            </w:r>
          </w:p>
        </w:tc>
        <w:tc>
          <w:tcPr>
            <w:tcW w:w="0" w:type="auto"/>
            <w:shd w:val="clear" w:color="auto" w:fill="4F81BD" w:themeFill="accent1"/>
            <w:vAlign w:val="center"/>
          </w:tcPr>
          <w:p w14:paraId="2558CB10" w14:textId="77777777" w:rsidR="00166BBE" w:rsidRPr="00FB73F9" w:rsidRDefault="00166BBE" w:rsidP="00FB73F9">
            <w:pPr>
              <w:pStyle w:val="Tablecolhead"/>
              <w:rPr>
                <w:b w:val="0"/>
                <w:color w:val="FFFFFF" w:themeColor="background1"/>
              </w:rPr>
            </w:pPr>
            <w:r w:rsidRPr="00FB73F9">
              <w:rPr>
                <w:color w:val="FFFFFF" w:themeColor="background1"/>
              </w:rPr>
              <w:t>Reference</w:t>
            </w:r>
          </w:p>
        </w:tc>
      </w:tr>
      <w:tr w:rsidR="006B70B0" w:rsidRPr="00817067" w14:paraId="065F2490" w14:textId="77777777" w:rsidTr="00C50035">
        <w:tc>
          <w:tcPr>
            <w:tcW w:w="0" w:type="auto"/>
          </w:tcPr>
          <w:p w14:paraId="057E226D" w14:textId="77777777" w:rsidR="00166BBE" w:rsidRPr="00AE1A66" w:rsidRDefault="00166BBE" w:rsidP="00FB73F9">
            <w:pPr>
              <w:pStyle w:val="Tabletext"/>
            </w:pPr>
            <w:r w:rsidRPr="00AE1A66">
              <w:rPr>
                <w:lang w:eastAsia="en-AU"/>
              </w:rPr>
              <w:t>Increase healthy start in life</w:t>
            </w:r>
          </w:p>
        </w:tc>
        <w:tc>
          <w:tcPr>
            <w:tcW w:w="0" w:type="auto"/>
          </w:tcPr>
          <w:p w14:paraId="52FB6180" w14:textId="77777777" w:rsidR="00166BBE" w:rsidRPr="00817067" w:rsidRDefault="00166BBE" w:rsidP="00FB73F9">
            <w:pPr>
              <w:pStyle w:val="Tabletext"/>
            </w:pPr>
            <w:r w:rsidRPr="00817067">
              <w:t>Death rate of children under five years</w:t>
            </w:r>
          </w:p>
        </w:tc>
        <w:tc>
          <w:tcPr>
            <w:tcW w:w="0" w:type="auto"/>
          </w:tcPr>
          <w:p w14:paraId="10D8444B" w14:textId="77777777" w:rsidR="00166BBE" w:rsidRPr="00817067" w:rsidRDefault="00166BBE" w:rsidP="00FB73F9">
            <w:pPr>
              <w:pStyle w:val="Tabletext"/>
            </w:pPr>
            <w:r w:rsidRPr="00817067">
              <w:t>Death rate of children under five years</w:t>
            </w:r>
          </w:p>
        </w:tc>
        <w:tc>
          <w:tcPr>
            <w:tcW w:w="0" w:type="auto"/>
          </w:tcPr>
          <w:p w14:paraId="53C0AE16" w14:textId="77777777" w:rsidR="00166BBE" w:rsidRPr="00817067" w:rsidRDefault="00166BBE" w:rsidP="00FB73F9">
            <w:pPr>
              <w:pStyle w:val="Tabletext"/>
            </w:pPr>
            <w:r w:rsidRPr="00817067">
              <w:t>ABS</w:t>
            </w:r>
          </w:p>
        </w:tc>
        <w:tc>
          <w:tcPr>
            <w:tcW w:w="0" w:type="auto"/>
          </w:tcPr>
          <w:p w14:paraId="21E36EB7" w14:textId="77777777" w:rsidR="00166BBE" w:rsidRPr="00817067" w:rsidRDefault="00166BBE" w:rsidP="00FB73F9">
            <w:pPr>
              <w:pStyle w:val="Tabletext"/>
            </w:pPr>
          </w:p>
        </w:tc>
        <w:tc>
          <w:tcPr>
            <w:tcW w:w="0" w:type="auto"/>
          </w:tcPr>
          <w:p w14:paraId="2D1B2B76" w14:textId="77777777" w:rsidR="00166BBE" w:rsidRPr="00817067" w:rsidRDefault="00166BBE" w:rsidP="00FB73F9">
            <w:pPr>
              <w:pStyle w:val="Tabletext"/>
            </w:pPr>
            <w:r>
              <w:t>1.</w:t>
            </w:r>
            <w:r w:rsidRPr="00817067">
              <w:t>1.1.1</w:t>
            </w:r>
          </w:p>
        </w:tc>
      </w:tr>
      <w:tr w:rsidR="006B70B0" w:rsidRPr="00817067" w14:paraId="32335560" w14:textId="77777777" w:rsidTr="00C50035">
        <w:tc>
          <w:tcPr>
            <w:tcW w:w="0" w:type="auto"/>
          </w:tcPr>
          <w:p w14:paraId="0B0A61DC" w14:textId="77777777" w:rsidR="00166BBE" w:rsidRPr="00AE1A66" w:rsidRDefault="00166BBE" w:rsidP="00FB73F9">
            <w:pPr>
              <w:pStyle w:val="Tabletext"/>
            </w:pPr>
          </w:p>
        </w:tc>
        <w:tc>
          <w:tcPr>
            <w:tcW w:w="0" w:type="auto"/>
          </w:tcPr>
          <w:p w14:paraId="2858FB95" w14:textId="77777777" w:rsidR="00166BBE" w:rsidRPr="00817067" w:rsidRDefault="00166BBE" w:rsidP="00FB73F9">
            <w:pPr>
              <w:pStyle w:val="Tabletext"/>
            </w:pPr>
            <w:r w:rsidRPr="00817067">
              <w:t>Proportion of babies born of low birthweight</w:t>
            </w:r>
          </w:p>
        </w:tc>
        <w:tc>
          <w:tcPr>
            <w:tcW w:w="0" w:type="auto"/>
          </w:tcPr>
          <w:p w14:paraId="78B8419E" w14:textId="77777777" w:rsidR="00166BBE" w:rsidRPr="00817067" w:rsidRDefault="00166BBE" w:rsidP="00FB73F9">
            <w:pPr>
              <w:pStyle w:val="Tabletext"/>
            </w:pPr>
            <w:r w:rsidRPr="00817067">
              <w:t>Proportion of babies born of low birthweight</w:t>
            </w:r>
          </w:p>
        </w:tc>
        <w:tc>
          <w:tcPr>
            <w:tcW w:w="0" w:type="auto"/>
          </w:tcPr>
          <w:p w14:paraId="4FBA36F8" w14:textId="77777777" w:rsidR="00166BBE" w:rsidRPr="00817067" w:rsidRDefault="00166BBE" w:rsidP="00FB73F9">
            <w:pPr>
              <w:pStyle w:val="Tabletext"/>
            </w:pPr>
            <w:r w:rsidRPr="00817067">
              <w:t>VPDC</w:t>
            </w:r>
          </w:p>
        </w:tc>
        <w:tc>
          <w:tcPr>
            <w:tcW w:w="0" w:type="auto"/>
          </w:tcPr>
          <w:p w14:paraId="35DBA994" w14:textId="77777777" w:rsidR="00166BBE" w:rsidRPr="00817067" w:rsidRDefault="00166BBE" w:rsidP="00FB73F9">
            <w:pPr>
              <w:pStyle w:val="Tabletext"/>
            </w:pPr>
          </w:p>
        </w:tc>
        <w:tc>
          <w:tcPr>
            <w:tcW w:w="0" w:type="auto"/>
          </w:tcPr>
          <w:p w14:paraId="4705524E" w14:textId="77777777" w:rsidR="00166BBE" w:rsidRPr="00817067" w:rsidRDefault="00166BBE" w:rsidP="00FB73F9">
            <w:pPr>
              <w:pStyle w:val="Tabletext"/>
            </w:pPr>
            <w:r>
              <w:t>1.</w:t>
            </w:r>
            <w:r w:rsidRPr="00817067">
              <w:t>1.1.2</w:t>
            </w:r>
          </w:p>
        </w:tc>
      </w:tr>
      <w:tr w:rsidR="006B70B0" w:rsidRPr="00817067" w14:paraId="523BA9BD" w14:textId="77777777" w:rsidTr="00C50035">
        <w:tc>
          <w:tcPr>
            <w:tcW w:w="0" w:type="auto"/>
          </w:tcPr>
          <w:p w14:paraId="765F11F3" w14:textId="77777777" w:rsidR="00166BBE" w:rsidRPr="00AE1A66" w:rsidRDefault="00166BBE" w:rsidP="00FB73F9">
            <w:pPr>
              <w:pStyle w:val="Tabletext"/>
            </w:pPr>
          </w:p>
        </w:tc>
        <w:tc>
          <w:tcPr>
            <w:tcW w:w="0" w:type="auto"/>
          </w:tcPr>
          <w:p w14:paraId="38407B75" w14:textId="77777777" w:rsidR="00166BBE" w:rsidRPr="00817067" w:rsidRDefault="00166BBE" w:rsidP="00FB73F9">
            <w:pPr>
              <w:pStyle w:val="Tabletext"/>
            </w:pPr>
            <w:r w:rsidRPr="00817067">
              <w:t>Proportion of mothers who smoked tobacco in the first 20 weeks of pregnancy</w:t>
            </w:r>
          </w:p>
        </w:tc>
        <w:tc>
          <w:tcPr>
            <w:tcW w:w="0" w:type="auto"/>
          </w:tcPr>
          <w:p w14:paraId="1CCD0BCD" w14:textId="77777777" w:rsidR="00166BBE" w:rsidRPr="00817067" w:rsidRDefault="00166BBE" w:rsidP="00FB73F9">
            <w:pPr>
              <w:pStyle w:val="Tabletext"/>
            </w:pPr>
            <w:r w:rsidRPr="00817067">
              <w:t>Proportion of mothers who smoked tobacco in the first 20 weeks of pregnancy</w:t>
            </w:r>
          </w:p>
        </w:tc>
        <w:tc>
          <w:tcPr>
            <w:tcW w:w="0" w:type="auto"/>
          </w:tcPr>
          <w:p w14:paraId="014A7837" w14:textId="77777777" w:rsidR="00166BBE" w:rsidRPr="00817067" w:rsidRDefault="00166BBE" w:rsidP="00FB73F9">
            <w:pPr>
              <w:pStyle w:val="Tabletext"/>
            </w:pPr>
            <w:r w:rsidRPr="00817067">
              <w:t>VPDC</w:t>
            </w:r>
          </w:p>
        </w:tc>
        <w:tc>
          <w:tcPr>
            <w:tcW w:w="0" w:type="auto"/>
          </w:tcPr>
          <w:p w14:paraId="20F28710" w14:textId="77777777" w:rsidR="00166BBE" w:rsidRPr="00817067" w:rsidRDefault="00166BBE" w:rsidP="00FB73F9">
            <w:pPr>
              <w:pStyle w:val="Tabletext"/>
            </w:pPr>
          </w:p>
        </w:tc>
        <w:tc>
          <w:tcPr>
            <w:tcW w:w="0" w:type="auto"/>
          </w:tcPr>
          <w:p w14:paraId="13342352" w14:textId="77777777" w:rsidR="00166BBE" w:rsidRPr="00817067" w:rsidRDefault="00166BBE" w:rsidP="00FB73F9">
            <w:pPr>
              <w:pStyle w:val="Tabletext"/>
            </w:pPr>
            <w:r>
              <w:t>1.</w:t>
            </w:r>
            <w:r w:rsidRPr="00817067">
              <w:t>1.1.3</w:t>
            </w:r>
          </w:p>
        </w:tc>
      </w:tr>
      <w:tr w:rsidR="006B70B0" w:rsidRPr="00817067" w14:paraId="752C49B4" w14:textId="77777777" w:rsidTr="00C50035">
        <w:tc>
          <w:tcPr>
            <w:tcW w:w="0" w:type="auto"/>
          </w:tcPr>
          <w:p w14:paraId="55EB888B" w14:textId="77777777" w:rsidR="00166BBE" w:rsidRPr="00AE1A66" w:rsidRDefault="00166BBE" w:rsidP="00FB73F9">
            <w:pPr>
              <w:pStyle w:val="Tabletext"/>
            </w:pPr>
          </w:p>
        </w:tc>
        <w:tc>
          <w:tcPr>
            <w:tcW w:w="0" w:type="auto"/>
          </w:tcPr>
          <w:p w14:paraId="47E22C97" w14:textId="77777777" w:rsidR="00166BBE" w:rsidRPr="00817067" w:rsidRDefault="00166BBE" w:rsidP="00FB73F9">
            <w:pPr>
              <w:pStyle w:val="Tabletext"/>
            </w:pPr>
            <w:r w:rsidRPr="00817067">
              <w:t>Proportion of children exposed to alcohol in utero</w:t>
            </w:r>
          </w:p>
        </w:tc>
        <w:tc>
          <w:tcPr>
            <w:tcW w:w="0" w:type="auto"/>
          </w:tcPr>
          <w:p w14:paraId="4AD56C81" w14:textId="77777777" w:rsidR="00166BBE" w:rsidRPr="00817067" w:rsidRDefault="00166BBE" w:rsidP="00FB73F9">
            <w:pPr>
              <w:pStyle w:val="Tabletext"/>
            </w:pPr>
            <w:r w:rsidRPr="00817067">
              <w:t>Proportion of children exposed to alcohol in utero</w:t>
            </w:r>
          </w:p>
        </w:tc>
        <w:tc>
          <w:tcPr>
            <w:tcW w:w="0" w:type="auto"/>
          </w:tcPr>
          <w:p w14:paraId="78B06DEC" w14:textId="77777777" w:rsidR="00166BBE" w:rsidRPr="00817067" w:rsidRDefault="00166BBE" w:rsidP="00FB73F9">
            <w:pPr>
              <w:pStyle w:val="Tabletext"/>
            </w:pPr>
            <w:r w:rsidRPr="002C5AD0">
              <w:t>VCHWS</w:t>
            </w:r>
            <w:r>
              <w:t>/VPDC</w:t>
            </w:r>
          </w:p>
        </w:tc>
        <w:tc>
          <w:tcPr>
            <w:tcW w:w="0" w:type="auto"/>
          </w:tcPr>
          <w:p w14:paraId="2375E781" w14:textId="77777777" w:rsidR="00166BBE" w:rsidRPr="00817067" w:rsidRDefault="00166BBE" w:rsidP="00FB73F9">
            <w:pPr>
              <w:pStyle w:val="Tabletext"/>
            </w:pPr>
          </w:p>
        </w:tc>
        <w:tc>
          <w:tcPr>
            <w:tcW w:w="0" w:type="auto"/>
          </w:tcPr>
          <w:p w14:paraId="7D3F0192" w14:textId="77777777" w:rsidR="00166BBE" w:rsidRPr="00817067" w:rsidRDefault="00166BBE" w:rsidP="00FB73F9">
            <w:pPr>
              <w:pStyle w:val="Tabletext"/>
            </w:pPr>
            <w:r>
              <w:t>1.</w:t>
            </w:r>
            <w:r w:rsidRPr="00817067">
              <w:t>1.1.4</w:t>
            </w:r>
          </w:p>
        </w:tc>
      </w:tr>
      <w:tr w:rsidR="006B70B0" w:rsidRPr="00817067" w14:paraId="4F8B06A2" w14:textId="77777777" w:rsidTr="00C50035">
        <w:tc>
          <w:tcPr>
            <w:tcW w:w="0" w:type="auto"/>
          </w:tcPr>
          <w:p w14:paraId="3F146E69" w14:textId="77777777" w:rsidR="00166BBE" w:rsidRPr="00AE1A66" w:rsidRDefault="00166BBE" w:rsidP="00FB73F9">
            <w:pPr>
              <w:pStyle w:val="Tabletext"/>
            </w:pPr>
          </w:p>
        </w:tc>
        <w:tc>
          <w:tcPr>
            <w:tcW w:w="0" w:type="auto"/>
          </w:tcPr>
          <w:p w14:paraId="0DDC7AE7" w14:textId="033D910D" w:rsidR="00166BBE" w:rsidRPr="00FB73F9" w:rsidRDefault="00166BBE" w:rsidP="00FB73F9">
            <w:pPr>
              <w:pStyle w:val="Tabletext"/>
              <w:rPr>
                <w:lang w:eastAsia="en-AU"/>
              </w:rPr>
            </w:pPr>
            <w:r w:rsidRPr="00817067">
              <w:rPr>
                <w:kern w:val="24"/>
                <w:lang w:eastAsia="en-AU"/>
              </w:rPr>
              <w:t xml:space="preserve">Proportion of infants breastfed to </w:t>
            </w:r>
            <w:r w:rsidR="00DE3701">
              <w:rPr>
                <w:kern w:val="24"/>
                <w:lang w:eastAsia="en-AU"/>
              </w:rPr>
              <w:t>three</w:t>
            </w:r>
            <w:r w:rsidRPr="00817067">
              <w:rPr>
                <w:kern w:val="24"/>
                <w:lang w:eastAsia="en-AU"/>
              </w:rPr>
              <w:t xml:space="preserve"> and </w:t>
            </w:r>
            <w:r w:rsidR="00DE3701">
              <w:rPr>
                <w:kern w:val="24"/>
                <w:lang w:eastAsia="en-AU"/>
              </w:rPr>
              <w:t>six</w:t>
            </w:r>
            <w:r w:rsidRPr="00817067">
              <w:rPr>
                <w:kern w:val="24"/>
                <w:lang w:eastAsia="en-AU"/>
              </w:rPr>
              <w:t xml:space="preserve"> months of age</w:t>
            </w:r>
          </w:p>
        </w:tc>
        <w:tc>
          <w:tcPr>
            <w:tcW w:w="0" w:type="auto"/>
          </w:tcPr>
          <w:p w14:paraId="5E63B1B4" w14:textId="1F524E83" w:rsidR="00166BBE" w:rsidRPr="00817067" w:rsidRDefault="00166BBE" w:rsidP="00FB73F9">
            <w:pPr>
              <w:pStyle w:val="Tabletext"/>
            </w:pPr>
            <w:r w:rsidRPr="004A470E">
              <w:rPr>
                <w:color w:val="000000"/>
                <w:lang w:eastAsia="en-AU"/>
              </w:rPr>
              <w:t xml:space="preserve">Proportion of infants exclusively breastfed to four months of age and fully breastfed to </w:t>
            </w:r>
            <w:r w:rsidR="00DE3701">
              <w:rPr>
                <w:color w:val="000000"/>
                <w:lang w:eastAsia="en-AU"/>
              </w:rPr>
              <w:t>six</w:t>
            </w:r>
            <w:r w:rsidRPr="004A470E">
              <w:rPr>
                <w:color w:val="000000"/>
                <w:lang w:eastAsia="en-AU"/>
              </w:rPr>
              <w:t xml:space="preserve"> months of age</w:t>
            </w:r>
          </w:p>
        </w:tc>
        <w:tc>
          <w:tcPr>
            <w:tcW w:w="0" w:type="auto"/>
          </w:tcPr>
          <w:p w14:paraId="31A532AA" w14:textId="77777777" w:rsidR="00166BBE" w:rsidRPr="00817067" w:rsidRDefault="00166BBE" w:rsidP="00FB73F9">
            <w:pPr>
              <w:pStyle w:val="Tabletext"/>
            </w:pPr>
            <w:r w:rsidRPr="00817067">
              <w:t>MCH</w:t>
            </w:r>
            <w:r>
              <w:t>C</w:t>
            </w:r>
          </w:p>
        </w:tc>
        <w:tc>
          <w:tcPr>
            <w:tcW w:w="0" w:type="auto"/>
          </w:tcPr>
          <w:p w14:paraId="2995694B" w14:textId="77777777" w:rsidR="00166BBE" w:rsidRPr="00817067" w:rsidRDefault="00166BBE" w:rsidP="00FB73F9">
            <w:pPr>
              <w:pStyle w:val="Tabletext"/>
            </w:pPr>
          </w:p>
        </w:tc>
        <w:tc>
          <w:tcPr>
            <w:tcW w:w="0" w:type="auto"/>
          </w:tcPr>
          <w:p w14:paraId="63F52B4D" w14:textId="77777777" w:rsidR="00166BBE" w:rsidRPr="00817067" w:rsidRDefault="00166BBE" w:rsidP="00FB73F9">
            <w:pPr>
              <w:pStyle w:val="Tabletext"/>
            </w:pPr>
            <w:r>
              <w:t>1.</w:t>
            </w:r>
            <w:r w:rsidRPr="00817067">
              <w:t>1.1.5 a/b</w:t>
            </w:r>
          </w:p>
        </w:tc>
      </w:tr>
      <w:tr w:rsidR="006B70B0" w:rsidRPr="00817067" w14:paraId="72550B8B" w14:textId="77777777" w:rsidTr="00C50035">
        <w:tc>
          <w:tcPr>
            <w:tcW w:w="0" w:type="auto"/>
          </w:tcPr>
          <w:p w14:paraId="238A50A4" w14:textId="77777777" w:rsidR="00166BBE" w:rsidRPr="00AE1A66" w:rsidRDefault="00166BBE" w:rsidP="00FB73F9">
            <w:pPr>
              <w:pStyle w:val="Tabletext"/>
            </w:pPr>
          </w:p>
        </w:tc>
        <w:tc>
          <w:tcPr>
            <w:tcW w:w="0" w:type="auto"/>
          </w:tcPr>
          <w:p w14:paraId="0C446A9D" w14:textId="77777777" w:rsidR="00166BBE" w:rsidRPr="00817067" w:rsidRDefault="00166BBE" w:rsidP="00FB73F9">
            <w:pPr>
              <w:pStyle w:val="Tabletext"/>
              <w:rPr>
                <w:kern w:val="24"/>
                <w:lang w:eastAsia="en-AU"/>
              </w:rPr>
            </w:pPr>
            <w:r>
              <w:rPr>
                <w:kern w:val="24"/>
                <w:lang w:eastAsia="en-AU"/>
              </w:rPr>
              <w:t>Maternal age</w:t>
            </w:r>
          </w:p>
        </w:tc>
        <w:tc>
          <w:tcPr>
            <w:tcW w:w="0" w:type="auto"/>
          </w:tcPr>
          <w:p w14:paraId="37BAC401" w14:textId="77777777" w:rsidR="00166BBE" w:rsidRPr="00817067" w:rsidRDefault="00166BBE" w:rsidP="00FB73F9">
            <w:pPr>
              <w:pStyle w:val="Tabletext"/>
            </w:pPr>
            <w:r w:rsidRPr="00817067">
              <w:t xml:space="preserve">Birth rate for women </w:t>
            </w:r>
            <w:r>
              <w:t xml:space="preserve">aged </w:t>
            </w:r>
            <w:r w:rsidRPr="00817067">
              <w:t>15–19 years</w:t>
            </w:r>
            <w:r>
              <w:t xml:space="preserve"> </w:t>
            </w:r>
            <w:r w:rsidRPr="004A470E">
              <w:t>and 40 years and over</w:t>
            </w:r>
          </w:p>
        </w:tc>
        <w:tc>
          <w:tcPr>
            <w:tcW w:w="0" w:type="auto"/>
          </w:tcPr>
          <w:p w14:paraId="12FE3255" w14:textId="77777777" w:rsidR="00166BBE" w:rsidRPr="00817067" w:rsidRDefault="00166BBE" w:rsidP="00FB73F9">
            <w:pPr>
              <w:pStyle w:val="Tabletext"/>
            </w:pPr>
            <w:r w:rsidRPr="00817067">
              <w:t>VPDC</w:t>
            </w:r>
          </w:p>
        </w:tc>
        <w:tc>
          <w:tcPr>
            <w:tcW w:w="0" w:type="auto"/>
          </w:tcPr>
          <w:p w14:paraId="3CDDA3CC" w14:textId="77777777" w:rsidR="00166BBE" w:rsidRPr="00817067" w:rsidRDefault="00166BBE" w:rsidP="00FB73F9">
            <w:pPr>
              <w:pStyle w:val="Tabletext"/>
            </w:pPr>
          </w:p>
        </w:tc>
        <w:tc>
          <w:tcPr>
            <w:tcW w:w="0" w:type="auto"/>
          </w:tcPr>
          <w:p w14:paraId="1DE19670" w14:textId="77777777" w:rsidR="00166BBE" w:rsidRPr="00817067" w:rsidRDefault="00166BBE" w:rsidP="00FB73F9">
            <w:pPr>
              <w:pStyle w:val="Tabletext"/>
            </w:pPr>
            <w:r>
              <w:t>1.</w:t>
            </w:r>
            <w:r w:rsidRPr="00817067">
              <w:t>1.1.6</w:t>
            </w:r>
            <w:r>
              <w:t xml:space="preserve"> a/b</w:t>
            </w:r>
          </w:p>
        </w:tc>
      </w:tr>
      <w:tr w:rsidR="000C6471" w:rsidRPr="00817067" w14:paraId="5A1CE4E6" w14:textId="77777777" w:rsidTr="00C50035">
        <w:tc>
          <w:tcPr>
            <w:tcW w:w="0" w:type="auto"/>
            <w:shd w:val="clear" w:color="auto" w:fill="F2F2F2" w:themeFill="background1" w:themeFillShade="F2"/>
          </w:tcPr>
          <w:p w14:paraId="43A8D0ED" w14:textId="77777777" w:rsidR="00166BBE" w:rsidRPr="00AE1A66" w:rsidRDefault="00166BBE" w:rsidP="00FB73F9">
            <w:pPr>
              <w:pStyle w:val="Tabletext"/>
            </w:pPr>
            <w:r w:rsidRPr="00AE1A66">
              <w:rPr>
                <w:lang w:eastAsia="en-AU"/>
              </w:rPr>
              <w:t>Reduce premature death rates</w:t>
            </w:r>
          </w:p>
        </w:tc>
        <w:tc>
          <w:tcPr>
            <w:tcW w:w="0" w:type="auto"/>
            <w:shd w:val="clear" w:color="auto" w:fill="F2F2F2" w:themeFill="background1" w:themeFillShade="F2"/>
          </w:tcPr>
          <w:p w14:paraId="3E63F0A2" w14:textId="77777777" w:rsidR="00166BBE" w:rsidRPr="00817067" w:rsidRDefault="00166BBE" w:rsidP="00FB73F9">
            <w:pPr>
              <w:pStyle w:val="Tabletext"/>
            </w:pPr>
            <w:r w:rsidRPr="00817067">
              <w:t>Premature death rate</w:t>
            </w:r>
          </w:p>
        </w:tc>
        <w:tc>
          <w:tcPr>
            <w:tcW w:w="0" w:type="auto"/>
            <w:shd w:val="clear" w:color="auto" w:fill="F2F2F2" w:themeFill="background1" w:themeFillShade="F2"/>
          </w:tcPr>
          <w:p w14:paraId="1B135D35" w14:textId="77777777" w:rsidR="00166BBE" w:rsidRPr="00817067" w:rsidRDefault="00166BBE" w:rsidP="00FB73F9">
            <w:pPr>
              <w:pStyle w:val="Tabletext"/>
            </w:pPr>
            <w:r w:rsidRPr="000A2991">
              <w:t>Premature death rate (with sociodemographic breakdowns)</w:t>
            </w:r>
            <w:r w:rsidRPr="00817067">
              <w:t xml:space="preserve"> </w:t>
            </w:r>
          </w:p>
        </w:tc>
        <w:tc>
          <w:tcPr>
            <w:tcW w:w="0" w:type="auto"/>
            <w:shd w:val="clear" w:color="auto" w:fill="F2F2F2" w:themeFill="background1" w:themeFillShade="F2"/>
          </w:tcPr>
          <w:p w14:paraId="50EB7260" w14:textId="77777777" w:rsidR="00166BBE" w:rsidRPr="00817067" w:rsidRDefault="00166BBE" w:rsidP="00FB73F9">
            <w:pPr>
              <w:pStyle w:val="Tabletext"/>
            </w:pPr>
            <w:r w:rsidRPr="00817067">
              <w:t>ABS</w:t>
            </w:r>
          </w:p>
        </w:tc>
        <w:tc>
          <w:tcPr>
            <w:tcW w:w="0" w:type="auto"/>
            <w:shd w:val="clear" w:color="auto" w:fill="F2F2F2" w:themeFill="background1" w:themeFillShade="F2"/>
          </w:tcPr>
          <w:p w14:paraId="738FA896" w14:textId="77777777" w:rsidR="00166BBE" w:rsidRPr="00817067" w:rsidRDefault="00166BBE" w:rsidP="00FB73F9">
            <w:pPr>
              <w:pStyle w:val="Tabletext"/>
            </w:pPr>
          </w:p>
        </w:tc>
        <w:tc>
          <w:tcPr>
            <w:tcW w:w="0" w:type="auto"/>
            <w:shd w:val="clear" w:color="auto" w:fill="F2F2F2" w:themeFill="background1" w:themeFillShade="F2"/>
          </w:tcPr>
          <w:p w14:paraId="694368EB" w14:textId="77777777" w:rsidR="00166BBE" w:rsidRPr="00817067" w:rsidRDefault="00166BBE" w:rsidP="00FB73F9">
            <w:pPr>
              <w:pStyle w:val="Tabletext"/>
            </w:pPr>
            <w:r>
              <w:t>1.</w:t>
            </w:r>
            <w:r w:rsidRPr="00817067">
              <w:t>1.</w:t>
            </w:r>
            <w:r>
              <w:t>2.</w:t>
            </w:r>
            <w:r w:rsidRPr="00817067">
              <w:t>1</w:t>
            </w:r>
          </w:p>
        </w:tc>
      </w:tr>
      <w:tr w:rsidR="000C6471" w:rsidRPr="00817067" w14:paraId="23E308EB" w14:textId="77777777" w:rsidTr="00C50035">
        <w:tc>
          <w:tcPr>
            <w:tcW w:w="0" w:type="auto"/>
            <w:shd w:val="clear" w:color="auto" w:fill="F2F2F2" w:themeFill="background1" w:themeFillShade="F2"/>
          </w:tcPr>
          <w:p w14:paraId="21862A1E" w14:textId="77777777" w:rsidR="00166BBE" w:rsidRPr="00AE1A66" w:rsidRDefault="00166BBE" w:rsidP="00FB73F9">
            <w:pPr>
              <w:pStyle w:val="Tabletext"/>
            </w:pPr>
          </w:p>
        </w:tc>
        <w:tc>
          <w:tcPr>
            <w:tcW w:w="0" w:type="auto"/>
            <w:shd w:val="clear" w:color="auto" w:fill="F2F2F2" w:themeFill="background1" w:themeFillShade="F2"/>
          </w:tcPr>
          <w:p w14:paraId="330A7D38" w14:textId="77777777" w:rsidR="00166BBE" w:rsidRPr="00817067" w:rsidRDefault="00166BBE" w:rsidP="00FB73F9">
            <w:pPr>
              <w:pStyle w:val="Tabletext"/>
            </w:pPr>
            <w:r w:rsidRPr="00817067">
              <w:t>Premature death rate due to chronic diseases</w:t>
            </w:r>
          </w:p>
        </w:tc>
        <w:tc>
          <w:tcPr>
            <w:tcW w:w="0" w:type="auto"/>
            <w:shd w:val="clear" w:color="auto" w:fill="F2F2F2" w:themeFill="background1" w:themeFillShade="F2"/>
          </w:tcPr>
          <w:p w14:paraId="3472894A" w14:textId="4078E2D8" w:rsidR="00166BBE" w:rsidRPr="00817067" w:rsidRDefault="00166BBE" w:rsidP="00FB73F9">
            <w:pPr>
              <w:pStyle w:val="Tabletext"/>
            </w:pPr>
            <w:r w:rsidRPr="00817067">
              <w:t xml:space="preserve">Premature death rate due to cancer, </w:t>
            </w:r>
            <w:r w:rsidR="00086592">
              <w:t>cardiovascular disease</w:t>
            </w:r>
            <w:r w:rsidRPr="00817067">
              <w:t>, diabetes and chronic respiratory disease</w:t>
            </w:r>
          </w:p>
        </w:tc>
        <w:tc>
          <w:tcPr>
            <w:tcW w:w="0" w:type="auto"/>
            <w:shd w:val="clear" w:color="auto" w:fill="F2F2F2" w:themeFill="background1" w:themeFillShade="F2"/>
          </w:tcPr>
          <w:p w14:paraId="29099B59" w14:textId="77777777" w:rsidR="00166BBE" w:rsidRPr="00817067" w:rsidRDefault="00166BBE" w:rsidP="00FB73F9">
            <w:pPr>
              <w:pStyle w:val="Tabletext"/>
            </w:pPr>
            <w:r w:rsidRPr="00817067">
              <w:t>ABS</w:t>
            </w:r>
          </w:p>
        </w:tc>
        <w:tc>
          <w:tcPr>
            <w:tcW w:w="0" w:type="auto"/>
            <w:shd w:val="clear" w:color="auto" w:fill="F2F2F2" w:themeFill="background1" w:themeFillShade="F2"/>
          </w:tcPr>
          <w:p w14:paraId="70997966" w14:textId="4157E09C" w:rsidR="00166BBE" w:rsidRPr="00817067" w:rsidRDefault="00166BBE" w:rsidP="00FB73F9">
            <w:pPr>
              <w:pStyle w:val="Tabletext"/>
            </w:pPr>
            <w:r w:rsidRPr="00817067">
              <w:t>33.3</w:t>
            </w:r>
            <w:r w:rsidR="003A249A">
              <w:t xml:space="preserve"> percent</w:t>
            </w:r>
            <w:r w:rsidRPr="00817067">
              <w:t xml:space="preserve"> decrease in premature deaths due to chronic disease by 2030</w:t>
            </w:r>
          </w:p>
        </w:tc>
        <w:tc>
          <w:tcPr>
            <w:tcW w:w="0" w:type="auto"/>
            <w:shd w:val="clear" w:color="auto" w:fill="F2F2F2" w:themeFill="background1" w:themeFillShade="F2"/>
          </w:tcPr>
          <w:p w14:paraId="4AD3369D" w14:textId="77777777" w:rsidR="00166BBE" w:rsidRPr="00817067" w:rsidRDefault="00166BBE" w:rsidP="00FB73F9">
            <w:pPr>
              <w:pStyle w:val="Tabletext"/>
            </w:pPr>
            <w:r>
              <w:t>1.</w:t>
            </w:r>
            <w:r w:rsidRPr="00817067">
              <w:t>1.</w:t>
            </w:r>
            <w:r>
              <w:t>2.2</w:t>
            </w:r>
          </w:p>
        </w:tc>
      </w:tr>
      <w:tr w:rsidR="000C6471" w:rsidRPr="00817067" w14:paraId="726AB979" w14:textId="77777777" w:rsidTr="00C50035">
        <w:tc>
          <w:tcPr>
            <w:tcW w:w="0" w:type="auto"/>
            <w:shd w:val="clear" w:color="auto" w:fill="F2F2F2" w:themeFill="background1" w:themeFillShade="F2"/>
          </w:tcPr>
          <w:p w14:paraId="57D9D7B7" w14:textId="77777777" w:rsidR="00166BBE" w:rsidRPr="00AE1A66" w:rsidRDefault="00166BBE" w:rsidP="00616019">
            <w:pPr>
              <w:pStyle w:val="Tabletext"/>
            </w:pPr>
          </w:p>
        </w:tc>
        <w:tc>
          <w:tcPr>
            <w:tcW w:w="0" w:type="auto"/>
            <w:shd w:val="clear" w:color="auto" w:fill="F2F2F2" w:themeFill="background1" w:themeFillShade="F2"/>
          </w:tcPr>
          <w:p w14:paraId="5B357819" w14:textId="71B32DB0" w:rsidR="00166BBE" w:rsidRPr="00817067" w:rsidRDefault="00166BBE" w:rsidP="00616019">
            <w:pPr>
              <w:pStyle w:val="Tabletext"/>
            </w:pPr>
            <w:r w:rsidRPr="00817067">
              <w:t xml:space="preserve">Premature death rate due to </w:t>
            </w:r>
            <w:r w:rsidR="00086592">
              <w:t>cardiovascular disease</w:t>
            </w:r>
          </w:p>
        </w:tc>
        <w:tc>
          <w:tcPr>
            <w:tcW w:w="0" w:type="auto"/>
            <w:shd w:val="clear" w:color="auto" w:fill="F2F2F2" w:themeFill="background1" w:themeFillShade="F2"/>
          </w:tcPr>
          <w:p w14:paraId="2D4D3126" w14:textId="5EC99679" w:rsidR="00166BBE" w:rsidRPr="00817067" w:rsidRDefault="00166BBE" w:rsidP="00616019">
            <w:pPr>
              <w:pStyle w:val="Tabletext"/>
            </w:pPr>
            <w:r w:rsidRPr="00817067">
              <w:t>Premature death rate due to circulatory diseases</w:t>
            </w:r>
            <w:r w:rsidR="000521A1">
              <w:t>,</w:t>
            </w:r>
            <w:r w:rsidRPr="00817067">
              <w:t xml:space="preserve"> coronary heart disease and stroke</w:t>
            </w:r>
          </w:p>
        </w:tc>
        <w:tc>
          <w:tcPr>
            <w:tcW w:w="0" w:type="auto"/>
            <w:shd w:val="clear" w:color="auto" w:fill="F2F2F2" w:themeFill="background1" w:themeFillShade="F2"/>
          </w:tcPr>
          <w:p w14:paraId="05633F06" w14:textId="77777777" w:rsidR="00166BBE" w:rsidRPr="00817067" w:rsidRDefault="00166BBE" w:rsidP="00616019">
            <w:pPr>
              <w:pStyle w:val="Tabletext"/>
            </w:pPr>
            <w:r w:rsidRPr="00817067">
              <w:t>ABS</w:t>
            </w:r>
          </w:p>
        </w:tc>
        <w:tc>
          <w:tcPr>
            <w:tcW w:w="0" w:type="auto"/>
            <w:shd w:val="clear" w:color="auto" w:fill="F2F2F2" w:themeFill="background1" w:themeFillShade="F2"/>
          </w:tcPr>
          <w:p w14:paraId="4B756FD8" w14:textId="77777777" w:rsidR="00166BBE" w:rsidRPr="00817067" w:rsidRDefault="00166BBE" w:rsidP="00616019">
            <w:pPr>
              <w:pStyle w:val="Tabletext"/>
            </w:pPr>
          </w:p>
        </w:tc>
        <w:tc>
          <w:tcPr>
            <w:tcW w:w="0" w:type="auto"/>
            <w:shd w:val="clear" w:color="auto" w:fill="F2F2F2" w:themeFill="background1" w:themeFillShade="F2"/>
          </w:tcPr>
          <w:p w14:paraId="735080D1" w14:textId="77777777" w:rsidR="00166BBE" w:rsidRPr="00817067" w:rsidRDefault="00166BBE" w:rsidP="00616019">
            <w:pPr>
              <w:pStyle w:val="Tabletext"/>
            </w:pPr>
            <w:r>
              <w:t>1.</w:t>
            </w:r>
            <w:r w:rsidRPr="00817067">
              <w:t>1.</w:t>
            </w:r>
            <w:r>
              <w:t>2.3</w:t>
            </w:r>
            <w:r w:rsidRPr="00817067">
              <w:t xml:space="preserve"> a/b/c</w:t>
            </w:r>
          </w:p>
        </w:tc>
      </w:tr>
      <w:tr w:rsidR="000C6471" w:rsidRPr="00817067" w14:paraId="547620B4" w14:textId="77777777" w:rsidTr="00C50035">
        <w:tc>
          <w:tcPr>
            <w:tcW w:w="0" w:type="auto"/>
            <w:shd w:val="clear" w:color="auto" w:fill="F2F2F2" w:themeFill="background1" w:themeFillShade="F2"/>
          </w:tcPr>
          <w:p w14:paraId="035A585D" w14:textId="77777777" w:rsidR="00166BBE" w:rsidRPr="00AE1A66" w:rsidRDefault="00166BBE" w:rsidP="00616019">
            <w:pPr>
              <w:pStyle w:val="Tabletext"/>
            </w:pPr>
          </w:p>
        </w:tc>
        <w:tc>
          <w:tcPr>
            <w:tcW w:w="0" w:type="auto"/>
            <w:shd w:val="clear" w:color="auto" w:fill="F2F2F2" w:themeFill="background1" w:themeFillShade="F2"/>
          </w:tcPr>
          <w:p w14:paraId="3BFC8F93" w14:textId="77777777" w:rsidR="00166BBE" w:rsidRPr="00817067" w:rsidRDefault="00166BBE" w:rsidP="00616019">
            <w:pPr>
              <w:pStyle w:val="Tabletext"/>
            </w:pPr>
            <w:r w:rsidRPr="00817067">
              <w:t>Premature death rate due to cancers</w:t>
            </w:r>
          </w:p>
        </w:tc>
        <w:tc>
          <w:tcPr>
            <w:tcW w:w="0" w:type="auto"/>
            <w:shd w:val="clear" w:color="auto" w:fill="F2F2F2" w:themeFill="background1" w:themeFillShade="F2"/>
          </w:tcPr>
          <w:p w14:paraId="631CBF2F" w14:textId="77777777" w:rsidR="00166BBE" w:rsidRPr="00817067" w:rsidRDefault="00166BBE" w:rsidP="00616019">
            <w:pPr>
              <w:pStyle w:val="Tabletext"/>
            </w:pPr>
            <w:r w:rsidRPr="00817067">
              <w:t>Premature death rate due to cancers</w:t>
            </w:r>
          </w:p>
        </w:tc>
        <w:tc>
          <w:tcPr>
            <w:tcW w:w="0" w:type="auto"/>
            <w:shd w:val="clear" w:color="auto" w:fill="F2F2F2" w:themeFill="background1" w:themeFillShade="F2"/>
          </w:tcPr>
          <w:p w14:paraId="60DF6489" w14:textId="77777777" w:rsidR="00166BBE" w:rsidRPr="00817067" w:rsidRDefault="00166BBE" w:rsidP="00616019">
            <w:pPr>
              <w:pStyle w:val="Tabletext"/>
            </w:pPr>
            <w:r w:rsidRPr="00817067">
              <w:t>ABS</w:t>
            </w:r>
          </w:p>
        </w:tc>
        <w:tc>
          <w:tcPr>
            <w:tcW w:w="0" w:type="auto"/>
            <w:shd w:val="clear" w:color="auto" w:fill="F2F2F2" w:themeFill="background1" w:themeFillShade="F2"/>
          </w:tcPr>
          <w:p w14:paraId="7520BC46" w14:textId="77777777" w:rsidR="00166BBE" w:rsidRPr="00817067" w:rsidRDefault="00166BBE" w:rsidP="00616019">
            <w:pPr>
              <w:pStyle w:val="Tabletext"/>
            </w:pPr>
          </w:p>
        </w:tc>
        <w:tc>
          <w:tcPr>
            <w:tcW w:w="0" w:type="auto"/>
            <w:shd w:val="clear" w:color="auto" w:fill="F2F2F2" w:themeFill="background1" w:themeFillShade="F2"/>
          </w:tcPr>
          <w:p w14:paraId="03E3C7D6" w14:textId="77777777" w:rsidR="00166BBE" w:rsidRPr="00817067" w:rsidRDefault="00166BBE" w:rsidP="00616019">
            <w:pPr>
              <w:pStyle w:val="Tabletext"/>
            </w:pPr>
            <w:r w:rsidRPr="00817067">
              <w:t>1.1.</w:t>
            </w:r>
            <w:r>
              <w:t xml:space="preserve">2.4 </w:t>
            </w:r>
            <w:r w:rsidRPr="00817067">
              <w:t>a/b/c/d/e</w:t>
            </w:r>
          </w:p>
        </w:tc>
      </w:tr>
      <w:tr w:rsidR="000C6471" w:rsidRPr="00817067" w14:paraId="4C196515" w14:textId="77777777" w:rsidTr="00C50035">
        <w:tc>
          <w:tcPr>
            <w:tcW w:w="0" w:type="auto"/>
            <w:shd w:val="clear" w:color="auto" w:fill="F2F2F2" w:themeFill="background1" w:themeFillShade="F2"/>
          </w:tcPr>
          <w:p w14:paraId="52D16990" w14:textId="77777777" w:rsidR="00166BBE" w:rsidRPr="00AE1A66" w:rsidRDefault="00166BBE" w:rsidP="00616019">
            <w:pPr>
              <w:pStyle w:val="Tabletext"/>
            </w:pPr>
          </w:p>
        </w:tc>
        <w:tc>
          <w:tcPr>
            <w:tcW w:w="0" w:type="auto"/>
            <w:shd w:val="clear" w:color="auto" w:fill="F2F2F2" w:themeFill="background1" w:themeFillShade="F2"/>
          </w:tcPr>
          <w:p w14:paraId="46CBA0CA" w14:textId="77777777" w:rsidR="00166BBE" w:rsidRPr="00817067" w:rsidRDefault="00166BBE" w:rsidP="00616019">
            <w:pPr>
              <w:pStyle w:val="Tabletext"/>
            </w:pPr>
            <w:r w:rsidRPr="00817067">
              <w:t>Premature death rate due to chronic obstructive pulmonary disease</w:t>
            </w:r>
          </w:p>
        </w:tc>
        <w:tc>
          <w:tcPr>
            <w:tcW w:w="0" w:type="auto"/>
            <w:shd w:val="clear" w:color="auto" w:fill="F2F2F2" w:themeFill="background1" w:themeFillShade="F2"/>
          </w:tcPr>
          <w:p w14:paraId="0CE4394E" w14:textId="77777777" w:rsidR="00166BBE" w:rsidRPr="00817067" w:rsidRDefault="00166BBE" w:rsidP="00616019">
            <w:pPr>
              <w:pStyle w:val="Tabletext"/>
            </w:pPr>
            <w:r w:rsidRPr="00817067">
              <w:t>Premature death rate due to chronic obstructive pulmonary disease</w:t>
            </w:r>
          </w:p>
        </w:tc>
        <w:tc>
          <w:tcPr>
            <w:tcW w:w="0" w:type="auto"/>
            <w:shd w:val="clear" w:color="auto" w:fill="F2F2F2" w:themeFill="background1" w:themeFillShade="F2"/>
          </w:tcPr>
          <w:p w14:paraId="2A772999" w14:textId="77777777" w:rsidR="00166BBE" w:rsidRPr="00817067" w:rsidRDefault="00166BBE" w:rsidP="00616019">
            <w:pPr>
              <w:pStyle w:val="Tabletext"/>
            </w:pPr>
            <w:r w:rsidRPr="00817067">
              <w:t>ABS</w:t>
            </w:r>
          </w:p>
        </w:tc>
        <w:tc>
          <w:tcPr>
            <w:tcW w:w="0" w:type="auto"/>
            <w:shd w:val="clear" w:color="auto" w:fill="F2F2F2" w:themeFill="background1" w:themeFillShade="F2"/>
          </w:tcPr>
          <w:p w14:paraId="38839844" w14:textId="77777777" w:rsidR="00166BBE" w:rsidRPr="00817067" w:rsidRDefault="00166BBE" w:rsidP="00616019">
            <w:pPr>
              <w:pStyle w:val="Tabletext"/>
            </w:pPr>
          </w:p>
        </w:tc>
        <w:tc>
          <w:tcPr>
            <w:tcW w:w="0" w:type="auto"/>
            <w:shd w:val="clear" w:color="auto" w:fill="F2F2F2" w:themeFill="background1" w:themeFillShade="F2"/>
          </w:tcPr>
          <w:p w14:paraId="2B753FB2" w14:textId="77777777" w:rsidR="00166BBE" w:rsidRPr="00817067" w:rsidRDefault="00166BBE" w:rsidP="00616019">
            <w:pPr>
              <w:pStyle w:val="Tabletext"/>
            </w:pPr>
            <w:r w:rsidRPr="00817067">
              <w:t>1.1.</w:t>
            </w:r>
            <w:r>
              <w:t>2.5</w:t>
            </w:r>
          </w:p>
        </w:tc>
      </w:tr>
      <w:tr w:rsidR="000C6471" w:rsidRPr="00817067" w14:paraId="0C7AA966" w14:textId="77777777" w:rsidTr="00C50035">
        <w:tc>
          <w:tcPr>
            <w:tcW w:w="0" w:type="auto"/>
            <w:shd w:val="clear" w:color="auto" w:fill="F2F2F2" w:themeFill="background1" w:themeFillShade="F2"/>
          </w:tcPr>
          <w:p w14:paraId="0547B32B" w14:textId="77777777" w:rsidR="00166BBE" w:rsidRPr="00AE1A66" w:rsidRDefault="00166BBE" w:rsidP="00616019">
            <w:pPr>
              <w:pStyle w:val="Tabletext"/>
            </w:pPr>
          </w:p>
        </w:tc>
        <w:tc>
          <w:tcPr>
            <w:tcW w:w="0" w:type="auto"/>
            <w:shd w:val="clear" w:color="auto" w:fill="F2F2F2" w:themeFill="background1" w:themeFillShade="F2"/>
          </w:tcPr>
          <w:p w14:paraId="2AB1389D" w14:textId="77777777" w:rsidR="00166BBE" w:rsidRPr="00817067" w:rsidRDefault="00166BBE" w:rsidP="00616019">
            <w:pPr>
              <w:pStyle w:val="Tabletext"/>
            </w:pPr>
            <w:r w:rsidRPr="00817067">
              <w:t>Leading causes of death</w:t>
            </w:r>
          </w:p>
        </w:tc>
        <w:tc>
          <w:tcPr>
            <w:tcW w:w="0" w:type="auto"/>
            <w:shd w:val="clear" w:color="auto" w:fill="F2F2F2" w:themeFill="background1" w:themeFillShade="F2"/>
          </w:tcPr>
          <w:p w14:paraId="6BD59727" w14:textId="77E415FA" w:rsidR="00166BBE" w:rsidRPr="00817067" w:rsidRDefault="00166BBE" w:rsidP="00616019">
            <w:pPr>
              <w:pStyle w:val="Tabletext"/>
            </w:pPr>
            <w:r w:rsidRPr="00817067">
              <w:t xml:space="preserve">Top </w:t>
            </w:r>
            <w:r w:rsidR="00AF253F">
              <w:t>five</w:t>
            </w:r>
            <w:r w:rsidRPr="00817067">
              <w:t xml:space="preserve"> cause</w:t>
            </w:r>
            <w:r w:rsidR="00AF253F">
              <w:t>s</w:t>
            </w:r>
            <w:r w:rsidRPr="00817067">
              <w:t xml:space="preserve"> of death (by sociodemographic characteristics)</w:t>
            </w:r>
          </w:p>
        </w:tc>
        <w:tc>
          <w:tcPr>
            <w:tcW w:w="0" w:type="auto"/>
            <w:shd w:val="clear" w:color="auto" w:fill="F2F2F2" w:themeFill="background1" w:themeFillShade="F2"/>
          </w:tcPr>
          <w:p w14:paraId="7C14B53D" w14:textId="77777777" w:rsidR="00166BBE" w:rsidRPr="00817067" w:rsidRDefault="00166BBE" w:rsidP="00616019">
            <w:pPr>
              <w:pStyle w:val="Tabletext"/>
            </w:pPr>
            <w:r w:rsidRPr="00817067">
              <w:t>ABS</w:t>
            </w:r>
          </w:p>
        </w:tc>
        <w:tc>
          <w:tcPr>
            <w:tcW w:w="0" w:type="auto"/>
            <w:shd w:val="clear" w:color="auto" w:fill="F2F2F2" w:themeFill="background1" w:themeFillShade="F2"/>
          </w:tcPr>
          <w:p w14:paraId="4179F1F3" w14:textId="77777777" w:rsidR="00166BBE" w:rsidRPr="00817067" w:rsidRDefault="00166BBE" w:rsidP="00616019">
            <w:pPr>
              <w:pStyle w:val="Tabletext"/>
            </w:pPr>
          </w:p>
        </w:tc>
        <w:tc>
          <w:tcPr>
            <w:tcW w:w="0" w:type="auto"/>
            <w:shd w:val="clear" w:color="auto" w:fill="F2F2F2" w:themeFill="background1" w:themeFillShade="F2"/>
          </w:tcPr>
          <w:p w14:paraId="7E43DCCD" w14:textId="77777777" w:rsidR="00166BBE" w:rsidRPr="00817067" w:rsidRDefault="00166BBE" w:rsidP="00616019">
            <w:pPr>
              <w:pStyle w:val="Tabletext"/>
            </w:pPr>
            <w:r w:rsidRPr="00817067">
              <w:t>1.1.</w:t>
            </w:r>
            <w:r>
              <w:t>2.6</w:t>
            </w:r>
            <w:r w:rsidRPr="00817067">
              <w:t xml:space="preserve"> a/b/c/d/e</w:t>
            </w:r>
          </w:p>
        </w:tc>
      </w:tr>
      <w:tr w:rsidR="000C6471" w:rsidRPr="00817067" w14:paraId="335900EF" w14:textId="77777777" w:rsidTr="00C50035">
        <w:tc>
          <w:tcPr>
            <w:tcW w:w="0" w:type="auto"/>
            <w:shd w:val="clear" w:color="auto" w:fill="F2F2F2" w:themeFill="background1" w:themeFillShade="F2"/>
          </w:tcPr>
          <w:p w14:paraId="58C16A85" w14:textId="77777777" w:rsidR="00166BBE" w:rsidRPr="00AE1A66" w:rsidRDefault="00166BBE" w:rsidP="00616019">
            <w:pPr>
              <w:pStyle w:val="Tabletext"/>
            </w:pPr>
          </w:p>
        </w:tc>
        <w:tc>
          <w:tcPr>
            <w:tcW w:w="0" w:type="auto"/>
            <w:shd w:val="clear" w:color="auto" w:fill="F2F2F2" w:themeFill="background1" w:themeFillShade="F2"/>
          </w:tcPr>
          <w:p w14:paraId="0F206090" w14:textId="77777777" w:rsidR="00166BBE" w:rsidRPr="00817067" w:rsidRDefault="00166BBE" w:rsidP="00616019">
            <w:pPr>
              <w:pStyle w:val="Tabletext"/>
            </w:pPr>
            <w:r>
              <w:t>Mortality rates</w:t>
            </w:r>
          </w:p>
        </w:tc>
        <w:tc>
          <w:tcPr>
            <w:tcW w:w="0" w:type="auto"/>
            <w:shd w:val="clear" w:color="auto" w:fill="F2F2F2" w:themeFill="background1" w:themeFillShade="F2"/>
          </w:tcPr>
          <w:p w14:paraId="68252B88" w14:textId="77777777" w:rsidR="00166BBE" w:rsidRPr="00817067" w:rsidRDefault="00166BBE" w:rsidP="00616019">
            <w:pPr>
              <w:pStyle w:val="Tabletext"/>
            </w:pPr>
            <w:r>
              <w:t>Age s</w:t>
            </w:r>
            <w:r w:rsidRPr="00817067">
              <w:t xml:space="preserve">tandardised </w:t>
            </w:r>
            <w:r>
              <w:t>mortality</w:t>
            </w:r>
            <w:r w:rsidRPr="00817067">
              <w:t xml:space="preserve"> rate</w:t>
            </w:r>
            <w:r>
              <w:t xml:space="preserve"> (a) and crude mortality rate (b)</w:t>
            </w:r>
          </w:p>
        </w:tc>
        <w:tc>
          <w:tcPr>
            <w:tcW w:w="0" w:type="auto"/>
            <w:shd w:val="clear" w:color="auto" w:fill="F2F2F2" w:themeFill="background1" w:themeFillShade="F2"/>
          </w:tcPr>
          <w:p w14:paraId="7503FB96" w14:textId="77777777" w:rsidR="00166BBE" w:rsidRPr="00817067" w:rsidRDefault="00166BBE" w:rsidP="00616019">
            <w:pPr>
              <w:pStyle w:val="Tabletext"/>
            </w:pPr>
            <w:r w:rsidRPr="00817067">
              <w:t>ABS</w:t>
            </w:r>
          </w:p>
        </w:tc>
        <w:tc>
          <w:tcPr>
            <w:tcW w:w="0" w:type="auto"/>
            <w:shd w:val="clear" w:color="auto" w:fill="F2F2F2" w:themeFill="background1" w:themeFillShade="F2"/>
          </w:tcPr>
          <w:p w14:paraId="34D79B02" w14:textId="77777777" w:rsidR="00166BBE" w:rsidRPr="00817067" w:rsidRDefault="00166BBE" w:rsidP="00616019">
            <w:pPr>
              <w:pStyle w:val="Tabletext"/>
            </w:pPr>
          </w:p>
        </w:tc>
        <w:tc>
          <w:tcPr>
            <w:tcW w:w="0" w:type="auto"/>
            <w:shd w:val="clear" w:color="auto" w:fill="F2F2F2" w:themeFill="background1" w:themeFillShade="F2"/>
          </w:tcPr>
          <w:p w14:paraId="4E627CC2" w14:textId="77777777" w:rsidR="00166BBE" w:rsidRPr="00817067" w:rsidRDefault="00166BBE" w:rsidP="00616019">
            <w:pPr>
              <w:pStyle w:val="Tabletext"/>
            </w:pPr>
            <w:r w:rsidRPr="00817067">
              <w:t>1.1.</w:t>
            </w:r>
            <w:r>
              <w:t>2.7 a/b</w:t>
            </w:r>
          </w:p>
        </w:tc>
      </w:tr>
      <w:tr w:rsidR="000C6471" w:rsidRPr="00817067" w14:paraId="5E683935" w14:textId="77777777" w:rsidTr="00C50035">
        <w:tc>
          <w:tcPr>
            <w:tcW w:w="0" w:type="auto"/>
            <w:shd w:val="clear" w:color="auto" w:fill="F2F2F2" w:themeFill="background1" w:themeFillShade="F2"/>
          </w:tcPr>
          <w:p w14:paraId="78859E39" w14:textId="77777777" w:rsidR="00166BBE" w:rsidRPr="00AE1A66" w:rsidRDefault="00166BBE" w:rsidP="00616019">
            <w:pPr>
              <w:pStyle w:val="Tabletext"/>
            </w:pPr>
          </w:p>
        </w:tc>
        <w:tc>
          <w:tcPr>
            <w:tcW w:w="0" w:type="auto"/>
            <w:shd w:val="clear" w:color="auto" w:fill="F2F2F2" w:themeFill="background1" w:themeFillShade="F2"/>
          </w:tcPr>
          <w:p w14:paraId="3913E2E6" w14:textId="77777777" w:rsidR="00166BBE" w:rsidRPr="00817067" w:rsidRDefault="00166BBE" w:rsidP="00616019">
            <w:pPr>
              <w:pStyle w:val="Tabletext"/>
            </w:pPr>
            <w:r w:rsidRPr="00817067">
              <w:t>Life expectancy</w:t>
            </w:r>
          </w:p>
        </w:tc>
        <w:tc>
          <w:tcPr>
            <w:tcW w:w="0" w:type="auto"/>
            <w:shd w:val="clear" w:color="auto" w:fill="F2F2F2" w:themeFill="background1" w:themeFillShade="F2"/>
          </w:tcPr>
          <w:p w14:paraId="4AF46480" w14:textId="77777777" w:rsidR="00166BBE" w:rsidRPr="00817067" w:rsidRDefault="00166BBE" w:rsidP="00616019">
            <w:pPr>
              <w:pStyle w:val="Tabletext"/>
            </w:pPr>
            <w:r w:rsidRPr="00817067">
              <w:t>Life expectancy</w:t>
            </w:r>
          </w:p>
        </w:tc>
        <w:tc>
          <w:tcPr>
            <w:tcW w:w="0" w:type="auto"/>
            <w:shd w:val="clear" w:color="auto" w:fill="F2F2F2" w:themeFill="background1" w:themeFillShade="F2"/>
          </w:tcPr>
          <w:p w14:paraId="1CC05F44" w14:textId="77777777" w:rsidR="00166BBE" w:rsidRPr="00817067" w:rsidRDefault="00166BBE" w:rsidP="00616019">
            <w:pPr>
              <w:pStyle w:val="Tabletext"/>
            </w:pPr>
            <w:r w:rsidRPr="00817067">
              <w:t>ABS</w:t>
            </w:r>
          </w:p>
        </w:tc>
        <w:tc>
          <w:tcPr>
            <w:tcW w:w="0" w:type="auto"/>
            <w:shd w:val="clear" w:color="auto" w:fill="F2F2F2" w:themeFill="background1" w:themeFillShade="F2"/>
          </w:tcPr>
          <w:p w14:paraId="1B13623C" w14:textId="77777777" w:rsidR="00166BBE" w:rsidRPr="00817067" w:rsidRDefault="00166BBE" w:rsidP="00616019">
            <w:pPr>
              <w:pStyle w:val="Tabletext"/>
            </w:pPr>
          </w:p>
        </w:tc>
        <w:tc>
          <w:tcPr>
            <w:tcW w:w="0" w:type="auto"/>
            <w:shd w:val="clear" w:color="auto" w:fill="F2F2F2" w:themeFill="background1" w:themeFillShade="F2"/>
          </w:tcPr>
          <w:p w14:paraId="51AC69EB" w14:textId="77777777" w:rsidR="00166BBE" w:rsidRPr="00817067" w:rsidRDefault="00166BBE" w:rsidP="00616019">
            <w:pPr>
              <w:pStyle w:val="Tabletext"/>
            </w:pPr>
            <w:r w:rsidRPr="00817067">
              <w:t>1.1.</w:t>
            </w:r>
            <w:r>
              <w:t>2.8</w:t>
            </w:r>
          </w:p>
        </w:tc>
      </w:tr>
      <w:tr w:rsidR="000C6471" w:rsidRPr="00817067" w14:paraId="3CAA4EC3" w14:textId="77777777" w:rsidTr="00C50035">
        <w:tc>
          <w:tcPr>
            <w:tcW w:w="0" w:type="auto"/>
            <w:shd w:val="clear" w:color="auto" w:fill="F2F2F2" w:themeFill="background1" w:themeFillShade="F2"/>
          </w:tcPr>
          <w:p w14:paraId="5F67821D" w14:textId="77777777" w:rsidR="00166BBE" w:rsidRPr="00AE1A66" w:rsidRDefault="00166BBE" w:rsidP="00616019">
            <w:pPr>
              <w:pStyle w:val="Tabletext"/>
            </w:pPr>
          </w:p>
        </w:tc>
        <w:tc>
          <w:tcPr>
            <w:tcW w:w="0" w:type="auto"/>
            <w:shd w:val="clear" w:color="auto" w:fill="F2F2F2" w:themeFill="background1" w:themeFillShade="F2"/>
          </w:tcPr>
          <w:p w14:paraId="20F786E7" w14:textId="77777777" w:rsidR="00166BBE" w:rsidRPr="00817067" w:rsidRDefault="00166BBE" w:rsidP="00616019">
            <w:pPr>
              <w:pStyle w:val="Tabletext"/>
            </w:pPr>
            <w:r w:rsidRPr="00817067">
              <w:t>Median age of death</w:t>
            </w:r>
          </w:p>
        </w:tc>
        <w:tc>
          <w:tcPr>
            <w:tcW w:w="0" w:type="auto"/>
            <w:shd w:val="clear" w:color="auto" w:fill="F2F2F2" w:themeFill="background1" w:themeFillShade="F2"/>
          </w:tcPr>
          <w:p w14:paraId="52FF02C4" w14:textId="77777777" w:rsidR="00166BBE" w:rsidRPr="00817067" w:rsidRDefault="00166BBE" w:rsidP="00616019">
            <w:pPr>
              <w:pStyle w:val="Tabletext"/>
            </w:pPr>
            <w:r w:rsidRPr="00817067">
              <w:t>Median age of death</w:t>
            </w:r>
          </w:p>
        </w:tc>
        <w:tc>
          <w:tcPr>
            <w:tcW w:w="0" w:type="auto"/>
            <w:shd w:val="clear" w:color="auto" w:fill="F2F2F2" w:themeFill="background1" w:themeFillShade="F2"/>
          </w:tcPr>
          <w:p w14:paraId="1C19F18C" w14:textId="77777777" w:rsidR="00166BBE" w:rsidRPr="00817067" w:rsidRDefault="00166BBE" w:rsidP="00616019">
            <w:pPr>
              <w:pStyle w:val="Tabletext"/>
            </w:pPr>
            <w:r w:rsidRPr="00817067">
              <w:t>ABS</w:t>
            </w:r>
          </w:p>
        </w:tc>
        <w:tc>
          <w:tcPr>
            <w:tcW w:w="0" w:type="auto"/>
            <w:shd w:val="clear" w:color="auto" w:fill="F2F2F2" w:themeFill="background1" w:themeFillShade="F2"/>
          </w:tcPr>
          <w:p w14:paraId="2A544142" w14:textId="77777777" w:rsidR="00166BBE" w:rsidRPr="00817067" w:rsidRDefault="00166BBE" w:rsidP="00616019">
            <w:pPr>
              <w:pStyle w:val="Tabletext"/>
            </w:pPr>
          </w:p>
        </w:tc>
        <w:tc>
          <w:tcPr>
            <w:tcW w:w="0" w:type="auto"/>
            <w:shd w:val="clear" w:color="auto" w:fill="F2F2F2" w:themeFill="background1" w:themeFillShade="F2"/>
          </w:tcPr>
          <w:p w14:paraId="7D5839B2" w14:textId="77777777" w:rsidR="00166BBE" w:rsidRPr="00817067" w:rsidRDefault="00166BBE" w:rsidP="00616019">
            <w:pPr>
              <w:pStyle w:val="Tabletext"/>
            </w:pPr>
            <w:r w:rsidRPr="00817067">
              <w:t>1.1.</w:t>
            </w:r>
            <w:r>
              <w:t>2.9</w:t>
            </w:r>
          </w:p>
        </w:tc>
      </w:tr>
      <w:tr w:rsidR="006B70B0" w:rsidRPr="00817067" w14:paraId="0A4EF9C0" w14:textId="77777777" w:rsidTr="00C50035">
        <w:tc>
          <w:tcPr>
            <w:tcW w:w="0" w:type="auto"/>
          </w:tcPr>
          <w:p w14:paraId="6C9C544C" w14:textId="77777777" w:rsidR="00166BBE" w:rsidRPr="00AE1A66" w:rsidRDefault="00166BBE" w:rsidP="00616019">
            <w:pPr>
              <w:pStyle w:val="Tabletext"/>
            </w:pPr>
            <w:r w:rsidRPr="00AE1A66">
              <w:t>Reduce prevalence of preventable chronic disease</w:t>
            </w:r>
          </w:p>
        </w:tc>
        <w:tc>
          <w:tcPr>
            <w:tcW w:w="0" w:type="auto"/>
          </w:tcPr>
          <w:p w14:paraId="445AD00F" w14:textId="77777777" w:rsidR="00166BBE" w:rsidRPr="00817067" w:rsidRDefault="00166BBE" w:rsidP="00616019">
            <w:pPr>
              <w:pStyle w:val="Tabletext"/>
            </w:pPr>
            <w:r w:rsidRPr="00817067">
              <w:rPr>
                <w:color w:val="000000"/>
                <w:lang w:eastAsia="en-AU"/>
              </w:rPr>
              <w:t>Prevalence of diabetes in adults</w:t>
            </w:r>
          </w:p>
        </w:tc>
        <w:tc>
          <w:tcPr>
            <w:tcW w:w="0" w:type="auto"/>
          </w:tcPr>
          <w:p w14:paraId="6AECB161" w14:textId="77777777" w:rsidR="00166BBE" w:rsidRPr="00817067" w:rsidRDefault="00166BBE" w:rsidP="00616019">
            <w:pPr>
              <w:pStyle w:val="Tabletext"/>
            </w:pPr>
            <w:r w:rsidRPr="00817067">
              <w:rPr>
                <w:color w:val="000000"/>
                <w:lang w:eastAsia="en-AU"/>
              </w:rPr>
              <w:t>Prevalence rate of type 2 diabetes in adults (self-report)</w:t>
            </w:r>
          </w:p>
        </w:tc>
        <w:tc>
          <w:tcPr>
            <w:tcW w:w="0" w:type="auto"/>
          </w:tcPr>
          <w:p w14:paraId="155DBF97" w14:textId="77777777" w:rsidR="00166BBE" w:rsidRPr="00817067" w:rsidRDefault="00166BBE" w:rsidP="00616019">
            <w:pPr>
              <w:pStyle w:val="Tabletext"/>
            </w:pPr>
            <w:r w:rsidRPr="00817067">
              <w:t>VPHS</w:t>
            </w:r>
          </w:p>
        </w:tc>
        <w:tc>
          <w:tcPr>
            <w:tcW w:w="0" w:type="auto"/>
          </w:tcPr>
          <w:p w14:paraId="488BC651" w14:textId="276F57D0" w:rsidR="00166BBE" w:rsidRPr="00817067" w:rsidRDefault="00166BBE" w:rsidP="00616019">
            <w:pPr>
              <w:pStyle w:val="Tabletext"/>
            </w:pPr>
            <w:r w:rsidRPr="00817067">
              <w:t>Halt the rise in diabetes prevalence by 2030 (0</w:t>
            </w:r>
            <w:r w:rsidR="003A249A">
              <w:t xml:space="preserve"> percent</w:t>
            </w:r>
            <w:r w:rsidRPr="00817067">
              <w:t xml:space="preserve"> increase by 2030) from 2011–12 baseline</w:t>
            </w:r>
          </w:p>
        </w:tc>
        <w:tc>
          <w:tcPr>
            <w:tcW w:w="0" w:type="auto"/>
          </w:tcPr>
          <w:p w14:paraId="3543EFB0" w14:textId="77777777" w:rsidR="00166BBE" w:rsidRPr="00817067" w:rsidRDefault="00166BBE" w:rsidP="00616019">
            <w:pPr>
              <w:pStyle w:val="Tabletext"/>
            </w:pPr>
            <w:r w:rsidRPr="00817067">
              <w:t>1.1.</w:t>
            </w:r>
            <w:r>
              <w:t>3.1</w:t>
            </w:r>
          </w:p>
        </w:tc>
      </w:tr>
      <w:tr w:rsidR="006B70B0" w:rsidRPr="00817067" w14:paraId="60501043" w14:textId="77777777" w:rsidTr="00C50035">
        <w:tc>
          <w:tcPr>
            <w:tcW w:w="0" w:type="auto"/>
          </w:tcPr>
          <w:p w14:paraId="12CFE0D1" w14:textId="77777777" w:rsidR="00166BBE" w:rsidRPr="00AE1A66" w:rsidRDefault="00166BBE" w:rsidP="00DD559B">
            <w:pPr>
              <w:pStyle w:val="Tabletext"/>
            </w:pPr>
          </w:p>
        </w:tc>
        <w:tc>
          <w:tcPr>
            <w:tcW w:w="0" w:type="auto"/>
          </w:tcPr>
          <w:p w14:paraId="4BF06FE4" w14:textId="77777777" w:rsidR="00166BBE" w:rsidRPr="00817067" w:rsidRDefault="00166BBE" w:rsidP="00DD559B">
            <w:pPr>
              <w:pStyle w:val="Tabletext"/>
            </w:pPr>
            <w:r w:rsidRPr="00817067">
              <w:t>Gestational diabetes mellitus</w:t>
            </w:r>
          </w:p>
        </w:tc>
        <w:tc>
          <w:tcPr>
            <w:tcW w:w="0" w:type="auto"/>
          </w:tcPr>
          <w:p w14:paraId="62015FFC" w14:textId="77777777" w:rsidR="00166BBE" w:rsidRPr="00817067" w:rsidRDefault="00166BBE" w:rsidP="00DD559B">
            <w:pPr>
              <w:pStyle w:val="Tabletext"/>
            </w:pPr>
            <w:r w:rsidRPr="00F21F98">
              <w:t>Proportion of females reporting gestational diabetes mellitus (self-report)</w:t>
            </w:r>
          </w:p>
        </w:tc>
        <w:tc>
          <w:tcPr>
            <w:tcW w:w="0" w:type="auto"/>
          </w:tcPr>
          <w:p w14:paraId="69CC1E6F" w14:textId="77777777" w:rsidR="00166BBE" w:rsidRPr="00817067" w:rsidRDefault="00166BBE" w:rsidP="00DD559B">
            <w:pPr>
              <w:pStyle w:val="Tabletext"/>
            </w:pPr>
            <w:r w:rsidRPr="00817067">
              <w:t>VPHS</w:t>
            </w:r>
          </w:p>
        </w:tc>
        <w:tc>
          <w:tcPr>
            <w:tcW w:w="0" w:type="auto"/>
          </w:tcPr>
          <w:p w14:paraId="56B88B00" w14:textId="77777777" w:rsidR="00166BBE" w:rsidRPr="00817067" w:rsidRDefault="00166BBE" w:rsidP="00DD559B">
            <w:pPr>
              <w:pStyle w:val="Tabletext"/>
            </w:pPr>
          </w:p>
        </w:tc>
        <w:tc>
          <w:tcPr>
            <w:tcW w:w="0" w:type="auto"/>
          </w:tcPr>
          <w:p w14:paraId="00B95074" w14:textId="77777777" w:rsidR="00166BBE" w:rsidRPr="00817067" w:rsidRDefault="00166BBE" w:rsidP="00DD559B">
            <w:pPr>
              <w:pStyle w:val="Tabletext"/>
            </w:pPr>
            <w:r w:rsidRPr="00817067">
              <w:t>1.1.</w:t>
            </w:r>
            <w:r>
              <w:t>3.2</w:t>
            </w:r>
          </w:p>
        </w:tc>
      </w:tr>
      <w:tr w:rsidR="006B70B0" w:rsidRPr="00817067" w14:paraId="12DB52C6" w14:textId="77777777" w:rsidTr="00C50035">
        <w:tc>
          <w:tcPr>
            <w:tcW w:w="0" w:type="auto"/>
          </w:tcPr>
          <w:p w14:paraId="7A8CB4ED" w14:textId="77777777" w:rsidR="00166BBE" w:rsidRPr="00AE1A66" w:rsidRDefault="00166BBE" w:rsidP="00DD559B">
            <w:pPr>
              <w:pStyle w:val="Tabletext"/>
            </w:pPr>
          </w:p>
        </w:tc>
        <w:tc>
          <w:tcPr>
            <w:tcW w:w="0" w:type="auto"/>
          </w:tcPr>
          <w:p w14:paraId="0305E48F" w14:textId="77777777" w:rsidR="00166BBE" w:rsidRPr="00817067" w:rsidRDefault="00166BBE" w:rsidP="00DD559B">
            <w:pPr>
              <w:pStyle w:val="Tabletext"/>
            </w:pPr>
            <w:r w:rsidRPr="00817067">
              <w:t>Prevalence of selected chronic diseases</w:t>
            </w:r>
          </w:p>
        </w:tc>
        <w:tc>
          <w:tcPr>
            <w:tcW w:w="0" w:type="auto"/>
          </w:tcPr>
          <w:p w14:paraId="141DEA30" w14:textId="1524DAB4" w:rsidR="00166BBE" w:rsidRPr="00817067" w:rsidRDefault="00166BBE" w:rsidP="00DD559B">
            <w:pPr>
              <w:pStyle w:val="Tabletext"/>
            </w:pPr>
            <w:r w:rsidRPr="00817067">
              <w:t xml:space="preserve">Prevalence rate of </w:t>
            </w:r>
            <w:r w:rsidR="00AF253F" w:rsidRPr="00817067">
              <w:t>chronic obstructive pulmonary disease</w:t>
            </w:r>
            <w:r w:rsidR="00AF253F" w:rsidRPr="00817067" w:rsidDel="00AF253F">
              <w:t xml:space="preserve"> </w:t>
            </w:r>
            <w:r w:rsidRPr="00817067">
              <w:t>(self-report)</w:t>
            </w:r>
          </w:p>
        </w:tc>
        <w:tc>
          <w:tcPr>
            <w:tcW w:w="0" w:type="auto"/>
          </w:tcPr>
          <w:p w14:paraId="5AADFBAB" w14:textId="77777777" w:rsidR="00166BBE" w:rsidRPr="00817067" w:rsidRDefault="00166BBE" w:rsidP="00DD559B">
            <w:pPr>
              <w:pStyle w:val="Tabletext"/>
            </w:pPr>
            <w:r w:rsidRPr="00817067">
              <w:t>VPHS</w:t>
            </w:r>
          </w:p>
        </w:tc>
        <w:tc>
          <w:tcPr>
            <w:tcW w:w="0" w:type="auto"/>
          </w:tcPr>
          <w:p w14:paraId="5F9CC3DC" w14:textId="77777777" w:rsidR="00166BBE" w:rsidRPr="00817067" w:rsidRDefault="00166BBE" w:rsidP="00DD559B">
            <w:pPr>
              <w:pStyle w:val="Tabletext"/>
            </w:pPr>
          </w:p>
        </w:tc>
        <w:tc>
          <w:tcPr>
            <w:tcW w:w="0" w:type="auto"/>
          </w:tcPr>
          <w:p w14:paraId="1C12A89D" w14:textId="77777777" w:rsidR="00166BBE" w:rsidRPr="00817067" w:rsidRDefault="00166BBE" w:rsidP="00DD559B">
            <w:pPr>
              <w:pStyle w:val="Tabletext"/>
            </w:pPr>
            <w:r w:rsidRPr="00817067">
              <w:t>1.1.</w:t>
            </w:r>
            <w:r>
              <w:t>3.3 a</w:t>
            </w:r>
          </w:p>
        </w:tc>
      </w:tr>
      <w:tr w:rsidR="006B70B0" w:rsidRPr="00817067" w14:paraId="60C0D1B7" w14:textId="77777777" w:rsidTr="00C50035">
        <w:tc>
          <w:tcPr>
            <w:tcW w:w="0" w:type="auto"/>
          </w:tcPr>
          <w:p w14:paraId="03033134" w14:textId="77777777" w:rsidR="00166BBE" w:rsidRPr="00AE1A66" w:rsidRDefault="00166BBE" w:rsidP="00DD559B">
            <w:pPr>
              <w:pStyle w:val="Tabletext"/>
            </w:pPr>
          </w:p>
        </w:tc>
        <w:tc>
          <w:tcPr>
            <w:tcW w:w="0" w:type="auto"/>
          </w:tcPr>
          <w:p w14:paraId="2C833F01" w14:textId="77777777" w:rsidR="00166BBE" w:rsidRPr="00817067" w:rsidRDefault="00166BBE" w:rsidP="00DD559B">
            <w:pPr>
              <w:pStyle w:val="Tabletext"/>
            </w:pPr>
          </w:p>
        </w:tc>
        <w:tc>
          <w:tcPr>
            <w:tcW w:w="0" w:type="auto"/>
          </w:tcPr>
          <w:p w14:paraId="4214DC29" w14:textId="77777777" w:rsidR="00166BBE" w:rsidRPr="00817067" w:rsidRDefault="00166BBE" w:rsidP="00DD559B">
            <w:pPr>
              <w:pStyle w:val="Tabletext"/>
            </w:pPr>
            <w:r w:rsidRPr="00817067">
              <w:t>Prevalence rate of cancer (self-report)</w:t>
            </w:r>
          </w:p>
        </w:tc>
        <w:tc>
          <w:tcPr>
            <w:tcW w:w="0" w:type="auto"/>
          </w:tcPr>
          <w:p w14:paraId="354EF6B9" w14:textId="77777777" w:rsidR="00166BBE" w:rsidRPr="00817067" w:rsidRDefault="00166BBE" w:rsidP="00DD559B">
            <w:pPr>
              <w:pStyle w:val="Tabletext"/>
            </w:pPr>
            <w:r w:rsidRPr="00817067">
              <w:t>VPHS</w:t>
            </w:r>
          </w:p>
        </w:tc>
        <w:tc>
          <w:tcPr>
            <w:tcW w:w="0" w:type="auto"/>
          </w:tcPr>
          <w:p w14:paraId="315BEB47" w14:textId="77777777" w:rsidR="00166BBE" w:rsidRPr="00817067" w:rsidRDefault="00166BBE" w:rsidP="00DD559B">
            <w:pPr>
              <w:pStyle w:val="Tabletext"/>
            </w:pPr>
            <w:r w:rsidRPr="00817067">
              <w:t>Halve the proportion of Victorians diagnosed with preventable cancers by 2040</w:t>
            </w:r>
          </w:p>
        </w:tc>
        <w:tc>
          <w:tcPr>
            <w:tcW w:w="0" w:type="auto"/>
          </w:tcPr>
          <w:p w14:paraId="2E5DD4FE" w14:textId="77777777" w:rsidR="00166BBE" w:rsidRPr="00817067" w:rsidRDefault="00166BBE" w:rsidP="00DD559B">
            <w:pPr>
              <w:pStyle w:val="Tabletext"/>
            </w:pPr>
            <w:r w:rsidRPr="00817067">
              <w:t>1.1.</w:t>
            </w:r>
            <w:r>
              <w:t>3.3 b</w:t>
            </w:r>
          </w:p>
        </w:tc>
      </w:tr>
      <w:tr w:rsidR="006B70B0" w:rsidRPr="00817067" w14:paraId="668C86CC" w14:textId="77777777" w:rsidTr="00C50035">
        <w:tc>
          <w:tcPr>
            <w:tcW w:w="0" w:type="auto"/>
          </w:tcPr>
          <w:p w14:paraId="603A3138" w14:textId="77777777" w:rsidR="00166BBE" w:rsidRPr="00AE1A66" w:rsidRDefault="00166BBE" w:rsidP="00DD559B">
            <w:pPr>
              <w:pStyle w:val="Tabletext"/>
            </w:pPr>
          </w:p>
        </w:tc>
        <w:tc>
          <w:tcPr>
            <w:tcW w:w="0" w:type="auto"/>
          </w:tcPr>
          <w:p w14:paraId="337F2615" w14:textId="77777777" w:rsidR="00166BBE" w:rsidRPr="00817067" w:rsidRDefault="00166BBE" w:rsidP="00DD559B">
            <w:pPr>
              <w:pStyle w:val="Tabletext"/>
            </w:pPr>
          </w:p>
        </w:tc>
        <w:tc>
          <w:tcPr>
            <w:tcW w:w="0" w:type="auto"/>
          </w:tcPr>
          <w:p w14:paraId="2FE4CD52" w14:textId="77777777" w:rsidR="00166BBE" w:rsidRPr="00817067" w:rsidRDefault="00166BBE" w:rsidP="00DD559B">
            <w:pPr>
              <w:pStyle w:val="Tabletext"/>
            </w:pPr>
            <w:r w:rsidRPr="00817067">
              <w:t>Prevalence rate of heart disease (self-report)</w:t>
            </w:r>
          </w:p>
        </w:tc>
        <w:tc>
          <w:tcPr>
            <w:tcW w:w="0" w:type="auto"/>
          </w:tcPr>
          <w:p w14:paraId="77A58685" w14:textId="77777777" w:rsidR="00166BBE" w:rsidRPr="00817067" w:rsidRDefault="00166BBE" w:rsidP="00DD559B">
            <w:pPr>
              <w:pStyle w:val="Tabletext"/>
            </w:pPr>
            <w:r w:rsidRPr="00817067">
              <w:t>VPHS</w:t>
            </w:r>
          </w:p>
        </w:tc>
        <w:tc>
          <w:tcPr>
            <w:tcW w:w="0" w:type="auto"/>
          </w:tcPr>
          <w:p w14:paraId="2426A450" w14:textId="77777777" w:rsidR="00166BBE" w:rsidRPr="00817067" w:rsidRDefault="00166BBE" w:rsidP="00DD559B">
            <w:pPr>
              <w:pStyle w:val="Tabletext"/>
            </w:pPr>
          </w:p>
        </w:tc>
        <w:tc>
          <w:tcPr>
            <w:tcW w:w="0" w:type="auto"/>
          </w:tcPr>
          <w:p w14:paraId="797A5E9C" w14:textId="77777777" w:rsidR="00166BBE" w:rsidRPr="00817067" w:rsidRDefault="00166BBE" w:rsidP="00DD559B">
            <w:pPr>
              <w:pStyle w:val="Tabletext"/>
            </w:pPr>
            <w:r w:rsidRPr="00817067">
              <w:t>1.1.</w:t>
            </w:r>
            <w:r>
              <w:t>3.3 c</w:t>
            </w:r>
          </w:p>
        </w:tc>
      </w:tr>
      <w:tr w:rsidR="006B70B0" w:rsidRPr="00817067" w14:paraId="1C30312B" w14:textId="77777777" w:rsidTr="00C50035">
        <w:tc>
          <w:tcPr>
            <w:tcW w:w="0" w:type="auto"/>
          </w:tcPr>
          <w:p w14:paraId="381C3154" w14:textId="77777777" w:rsidR="00166BBE" w:rsidRPr="00AE1A66" w:rsidRDefault="00166BBE" w:rsidP="00DD559B">
            <w:pPr>
              <w:pStyle w:val="Tabletext"/>
            </w:pPr>
          </w:p>
        </w:tc>
        <w:tc>
          <w:tcPr>
            <w:tcW w:w="0" w:type="auto"/>
          </w:tcPr>
          <w:p w14:paraId="2C9D289A" w14:textId="77777777" w:rsidR="00166BBE" w:rsidRPr="00817067" w:rsidRDefault="00166BBE" w:rsidP="00DD559B">
            <w:pPr>
              <w:pStyle w:val="Tabletext"/>
            </w:pPr>
          </w:p>
        </w:tc>
        <w:tc>
          <w:tcPr>
            <w:tcW w:w="0" w:type="auto"/>
          </w:tcPr>
          <w:p w14:paraId="242B618E" w14:textId="77777777" w:rsidR="00166BBE" w:rsidRPr="00817067" w:rsidRDefault="00166BBE" w:rsidP="00DD559B">
            <w:pPr>
              <w:pStyle w:val="Tabletext"/>
            </w:pPr>
            <w:r w:rsidRPr="00817067">
              <w:t>Prevalence rate of asthma (self-repot)</w:t>
            </w:r>
          </w:p>
        </w:tc>
        <w:tc>
          <w:tcPr>
            <w:tcW w:w="0" w:type="auto"/>
          </w:tcPr>
          <w:p w14:paraId="2F4A549C" w14:textId="77777777" w:rsidR="00166BBE" w:rsidRPr="00817067" w:rsidRDefault="00166BBE" w:rsidP="00DD559B">
            <w:pPr>
              <w:pStyle w:val="Tabletext"/>
            </w:pPr>
            <w:r w:rsidRPr="00817067">
              <w:t>VPHS</w:t>
            </w:r>
          </w:p>
        </w:tc>
        <w:tc>
          <w:tcPr>
            <w:tcW w:w="0" w:type="auto"/>
          </w:tcPr>
          <w:p w14:paraId="519CBE36" w14:textId="77777777" w:rsidR="00166BBE" w:rsidRPr="00817067" w:rsidRDefault="00166BBE" w:rsidP="00DD559B">
            <w:pPr>
              <w:pStyle w:val="Tabletext"/>
            </w:pPr>
          </w:p>
        </w:tc>
        <w:tc>
          <w:tcPr>
            <w:tcW w:w="0" w:type="auto"/>
          </w:tcPr>
          <w:p w14:paraId="0539F9C8" w14:textId="77777777" w:rsidR="00166BBE" w:rsidRPr="00817067" w:rsidRDefault="00166BBE" w:rsidP="00DD559B">
            <w:pPr>
              <w:pStyle w:val="Tabletext"/>
            </w:pPr>
            <w:r w:rsidRPr="00817067">
              <w:t>1.1.</w:t>
            </w:r>
            <w:r>
              <w:t>3.3 d</w:t>
            </w:r>
          </w:p>
        </w:tc>
      </w:tr>
      <w:tr w:rsidR="006B70B0" w:rsidRPr="00817067" w14:paraId="4CDAA7FA" w14:textId="77777777" w:rsidTr="00C50035">
        <w:tc>
          <w:tcPr>
            <w:tcW w:w="0" w:type="auto"/>
          </w:tcPr>
          <w:p w14:paraId="7FDB0B58" w14:textId="77777777" w:rsidR="00166BBE" w:rsidRPr="00AE1A66" w:rsidRDefault="00166BBE" w:rsidP="00DD559B">
            <w:pPr>
              <w:pStyle w:val="Tabletext"/>
            </w:pPr>
          </w:p>
        </w:tc>
        <w:tc>
          <w:tcPr>
            <w:tcW w:w="0" w:type="auto"/>
          </w:tcPr>
          <w:p w14:paraId="114F2F2D" w14:textId="77777777" w:rsidR="00166BBE" w:rsidRPr="00817067" w:rsidRDefault="00166BBE" w:rsidP="00DD559B">
            <w:pPr>
              <w:pStyle w:val="Tabletext"/>
            </w:pPr>
            <w:r w:rsidRPr="00817067">
              <w:t>Proportion of adults with two or more chronic diseases</w:t>
            </w:r>
          </w:p>
        </w:tc>
        <w:tc>
          <w:tcPr>
            <w:tcW w:w="0" w:type="auto"/>
          </w:tcPr>
          <w:p w14:paraId="25D17CBC" w14:textId="77777777" w:rsidR="00166BBE" w:rsidRPr="00817067" w:rsidRDefault="00166BBE" w:rsidP="00DD559B">
            <w:pPr>
              <w:pStyle w:val="Tabletext"/>
            </w:pPr>
            <w:r w:rsidRPr="00817067">
              <w:t>Proportion of adults with two or more chronic diseases (self-report)</w:t>
            </w:r>
          </w:p>
        </w:tc>
        <w:tc>
          <w:tcPr>
            <w:tcW w:w="0" w:type="auto"/>
          </w:tcPr>
          <w:p w14:paraId="70AAF24A" w14:textId="77777777" w:rsidR="00166BBE" w:rsidRPr="00817067" w:rsidRDefault="00166BBE" w:rsidP="00DD559B">
            <w:pPr>
              <w:pStyle w:val="Tabletext"/>
            </w:pPr>
            <w:r w:rsidRPr="00817067">
              <w:t>VPHS</w:t>
            </w:r>
          </w:p>
        </w:tc>
        <w:tc>
          <w:tcPr>
            <w:tcW w:w="0" w:type="auto"/>
          </w:tcPr>
          <w:p w14:paraId="691DF159" w14:textId="77777777" w:rsidR="00166BBE" w:rsidRPr="00817067" w:rsidRDefault="00166BBE" w:rsidP="00DD559B">
            <w:pPr>
              <w:pStyle w:val="Tabletext"/>
            </w:pPr>
          </w:p>
        </w:tc>
        <w:tc>
          <w:tcPr>
            <w:tcW w:w="0" w:type="auto"/>
          </w:tcPr>
          <w:p w14:paraId="3CC0D5E6" w14:textId="77777777" w:rsidR="00166BBE" w:rsidRPr="00817067" w:rsidRDefault="00166BBE" w:rsidP="00DD559B">
            <w:pPr>
              <w:pStyle w:val="Tabletext"/>
            </w:pPr>
            <w:r w:rsidRPr="00817067">
              <w:t>1.1.</w:t>
            </w:r>
            <w:r>
              <w:t>3.4</w:t>
            </w:r>
          </w:p>
        </w:tc>
      </w:tr>
      <w:tr w:rsidR="000C6471" w:rsidRPr="00817067" w14:paraId="502CC51E" w14:textId="77777777" w:rsidTr="00C50035">
        <w:tc>
          <w:tcPr>
            <w:tcW w:w="0" w:type="auto"/>
            <w:shd w:val="clear" w:color="auto" w:fill="F2F2F2" w:themeFill="background1" w:themeFillShade="F2"/>
          </w:tcPr>
          <w:p w14:paraId="7B6B1056" w14:textId="143B6B27" w:rsidR="00166BBE" w:rsidRPr="00AE1A66" w:rsidRDefault="00166BBE" w:rsidP="00DD559B">
            <w:pPr>
              <w:pStyle w:val="Tabletext"/>
            </w:pPr>
            <w:r w:rsidRPr="00AE1A66">
              <w:t>Reduce risk factors for chronic disease development</w:t>
            </w:r>
          </w:p>
        </w:tc>
        <w:tc>
          <w:tcPr>
            <w:tcW w:w="0" w:type="auto"/>
            <w:shd w:val="clear" w:color="auto" w:fill="F2F2F2" w:themeFill="background1" w:themeFillShade="F2"/>
          </w:tcPr>
          <w:p w14:paraId="555EB05F" w14:textId="77777777" w:rsidR="00166BBE" w:rsidRPr="00817067" w:rsidRDefault="00166BBE" w:rsidP="00DD559B">
            <w:pPr>
              <w:pStyle w:val="Tabletext"/>
            </w:pPr>
            <w:r w:rsidRPr="00817067">
              <w:t>Proportion of adults with hypercholesterolaemia</w:t>
            </w:r>
          </w:p>
        </w:tc>
        <w:tc>
          <w:tcPr>
            <w:tcW w:w="0" w:type="auto"/>
            <w:shd w:val="clear" w:color="auto" w:fill="F2F2F2" w:themeFill="background1" w:themeFillShade="F2"/>
          </w:tcPr>
          <w:p w14:paraId="2CA1138A" w14:textId="77777777" w:rsidR="00166BBE" w:rsidRPr="00817067" w:rsidRDefault="00166BBE" w:rsidP="00DD559B">
            <w:pPr>
              <w:pStyle w:val="Tabletext"/>
            </w:pPr>
            <w:r w:rsidRPr="00817067">
              <w:t>Proportion of adults with hypercholesterolaemia</w:t>
            </w:r>
          </w:p>
        </w:tc>
        <w:tc>
          <w:tcPr>
            <w:tcW w:w="0" w:type="auto"/>
            <w:shd w:val="clear" w:color="auto" w:fill="F2F2F2" w:themeFill="background1" w:themeFillShade="F2"/>
          </w:tcPr>
          <w:p w14:paraId="3A77659B" w14:textId="77777777" w:rsidR="00166BBE" w:rsidRPr="00817067" w:rsidRDefault="00166BBE" w:rsidP="00DD559B">
            <w:pPr>
              <w:pStyle w:val="Tabletext"/>
            </w:pPr>
            <w:r w:rsidRPr="00817067">
              <w:t>VPHS</w:t>
            </w:r>
          </w:p>
        </w:tc>
        <w:tc>
          <w:tcPr>
            <w:tcW w:w="0" w:type="auto"/>
            <w:shd w:val="clear" w:color="auto" w:fill="F2F2F2" w:themeFill="background1" w:themeFillShade="F2"/>
          </w:tcPr>
          <w:p w14:paraId="1181C84C" w14:textId="77777777" w:rsidR="00166BBE" w:rsidRPr="00817067" w:rsidRDefault="00166BBE" w:rsidP="00DD559B">
            <w:pPr>
              <w:pStyle w:val="Tabletext"/>
            </w:pPr>
          </w:p>
        </w:tc>
        <w:tc>
          <w:tcPr>
            <w:tcW w:w="0" w:type="auto"/>
            <w:shd w:val="clear" w:color="auto" w:fill="F2F2F2" w:themeFill="background1" w:themeFillShade="F2"/>
          </w:tcPr>
          <w:p w14:paraId="3AEDCF0C" w14:textId="77777777" w:rsidR="00166BBE" w:rsidRPr="00817067" w:rsidRDefault="00166BBE" w:rsidP="00DD559B">
            <w:pPr>
              <w:pStyle w:val="Tabletext"/>
            </w:pPr>
            <w:r w:rsidRPr="00817067">
              <w:t>1.1.</w:t>
            </w:r>
            <w:r>
              <w:t>4.1</w:t>
            </w:r>
          </w:p>
        </w:tc>
      </w:tr>
      <w:tr w:rsidR="000C6471" w:rsidRPr="00817067" w14:paraId="74BBB432" w14:textId="77777777" w:rsidTr="00C50035">
        <w:tc>
          <w:tcPr>
            <w:tcW w:w="0" w:type="auto"/>
            <w:shd w:val="clear" w:color="auto" w:fill="F2F2F2" w:themeFill="background1" w:themeFillShade="F2"/>
          </w:tcPr>
          <w:p w14:paraId="6092EDDB" w14:textId="77777777" w:rsidR="00166BBE" w:rsidRPr="00AE1A66" w:rsidRDefault="00166BBE" w:rsidP="00DD559B">
            <w:pPr>
              <w:pStyle w:val="Tabletext"/>
            </w:pPr>
          </w:p>
        </w:tc>
        <w:tc>
          <w:tcPr>
            <w:tcW w:w="0" w:type="auto"/>
            <w:shd w:val="clear" w:color="auto" w:fill="F2F2F2" w:themeFill="background1" w:themeFillShade="F2"/>
          </w:tcPr>
          <w:p w14:paraId="7FBBE237" w14:textId="77777777" w:rsidR="00166BBE" w:rsidRPr="00817067" w:rsidRDefault="00166BBE" w:rsidP="00DD559B">
            <w:pPr>
              <w:pStyle w:val="Tabletext"/>
            </w:pPr>
            <w:r w:rsidRPr="00817067">
              <w:t>Proportion of adults with hypertension</w:t>
            </w:r>
          </w:p>
        </w:tc>
        <w:tc>
          <w:tcPr>
            <w:tcW w:w="0" w:type="auto"/>
            <w:shd w:val="clear" w:color="auto" w:fill="F2F2F2" w:themeFill="background1" w:themeFillShade="F2"/>
          </w:tcPr>
          <w:p w14:paraId="65E25B41" w14:textId="77777777" w:rsidR="00166BBE" w:rsidRPr="00817067" w:rsidRDefault="00166BBE" w:rsidP="00DD559B">
            <w:pPr>
              <w:pStyle w:val="Tabletext"/>
            </w:pPr>
            <w:r w:rsidRPr="00817067">
              <w:t>Proportion of adults with hypertension</w:t>
            </w:r>
          </w:p>
        </w:tc>
        <w:tc>
          <w:tcPr>
            <w:tcW w:w="0" w:type="auto"/>
            <w:shd w:val="clear" w:color="auto" w:fill="F2F2F2" w:themeFill="background1" w:themeFillShade="F2"/>
          </w:tcPr>
          <w:p w14:paraId="37D3AF72" w14:textId="77777777" w:rsidR="00166BBE" w:rsidRPr="00817067" w:rsidRDefault="00166BBE" w:rsidP="00DD559B">
            <w:pPr>
              <w:pStyle w:val="Tabletext"/>
            </w:pPr>
            <w:r w:rsidRPr="00817067">
              <w:t>VPHS</w:t>
            </w:r>
          </w:p>
        </w:tc>
        <w:tc>
          <w:tcPr>
            <w:tcW w:w="0" w:type="auto"/>
            <w:shd w:val="clear" w:color="auto" w:fill="F2F2F2" w:themeFill="background1" w:themeFillShade="F2"/>
          </w:tcPr>
          <w:p w14:paraId="4EFE724B" w14:textId="77777777" w:rsidR="00166BBE" w:rsidRPr="00817067" w:rsidRDefault="00166BBE" w:rsidP="00DD559B">
            <w:pPr>
              <w:pStyle w:val="Tabletext"/>
            </w:pPr>
          </w:p>
        </w:tc>
        <w:tc>
          <w:tcPr>
            <w:tcW w:w="0" w:type="auto"/>
            <w:shd w:val="clear" w:color="auto" w:fill="F2F2F2" w:themeFill="background1" w:themeFillShade="F2"/>
          </w:tcPr>
          <w:p w14:paraId="127384D6" w14:textId="77777777" w:rsidR="00166BBE" w:rsidRPr="00817067" w:rsidRDefault="00166BBE" w:rsidP="00DD559B">
            <w:pPr>
              <w:pStyle w:val="Tabletext"/>
            </w:pPr>
            <w:r w:rsidRPr="00817067">
              <w:t>1.1.4</w:t>
            </w:r>
            <w:r>
              <w:t>.2</w:t>
            </w:r>
          </w:p>
        </w:tc>
      </w:tr>
      <w:tr w:rsidR="000C6471" w:rsidRPr="00817067" w14:paraId="32032663" w14:textId="77777777" w:rsidTr="00C50035">
        <w:tc>
          <w:tcPr>
            <w:tcW w:w="0" w:type="auto"/>
            <w:shd w:val="clear" w:color="auto" w:fill="F2F2F2" w:themeFill="background1" w:themeFillShade="F2"/>
          </w:tcPr>
          <w:p w14:paraId="5FFCD3AE" w14:textId="77777777" w:rsidR="00166BBE" w:rsidRPr="00AE1A66" w:rsidRDefault="00166BBE" w:rsidP="00DD559B">
            <w:pPr>
              <w:pStyle w:val="Tabletext"/>
            </w:pPr>
          </w:p>
        </w:tc>
        <w:tc>
          <w:tcPr>
            <w:tcW w:w="0" w:type="auto"/>
            <w:shd w:val="clear" w:color="auto" w:fill="F2F2F2" w:themeFill="background1" w:themeFillShade="F2"/>
          </w:tcPr>
          <w:p w14:paraId="01519B3F" w14:textId="2C5E14E6" w:rsidR="00166BBE" w:rsidRPr="00817067" w:rsidRDefault="00166BBE" w:rsidP="00DD559B">
            <w:pPr>
              <w:pStyle w:val="Tabletext"/>
            </w:pPr>
            <w:r w:rsidRPr="00817067">
              <w:t xml:space="preserve">Proportion of </w:t>
            </w:r>
            <w:r>
              <w:t>adults</w:t>
            </w:r>
            <w:r w:rsidRPr="00817067">
              <w:t xml:space="preserve"> with </w:t>
            </w:r>
            <w:r w:rsidR="000C6471">
              <w:t>body mass index</w:t>
            </w:r>
            <w:r w:rsidR="000C6471" w:rsidRPr="00817067">
              <w:t xml:space="preserve"> </w:t>
            </w:r>
            <w:r w:rsidRPr="00817067">
              <w:t>indicating overweight or obese</w:t>
            </w:r>
          </w:p>
        </w:tc>
        <w:tc>
          <w:tcPr>
            <w:tcW w:w="0" w:type="auto"/>
            <w:shd w:val="clear" w:color="auto" w:fill="F2F2F2" w:themeFill="background1" w:themeFillShade="F2"/>
          </w:tcPr>
          <w:p w14:paraId="32BD7BFB" w14:textId="77777777" w:rsidR="00166BBE" w:rsidRPr="00817067" w:rsidRDefault="00166BBE" w:rsidP="00DD559B">
            <w:pPr>
              <w:pStyle w:val="Tabletext"/>
            </w:pPr>
            <w:r w:rsidRPr="00817067">
              <w:t>Proportion of adults who are overweight/obese or obese (measured)</w:t>
            </w:r>
          </w:p>
        </w:tc>
        <w:tc>
          <w:tcPr>
            <w:tcW w:w="0" w:type="auto"/>
            <w:shd w:val="clear" w:color="auto" w:fill="F2F2F2" w:themeFill="background1" w:themeFillShade="F2"/>
          </w:tcPr>
          <w:p w14:paraId="2A4A1996" w14:textId="77777777" w:rsidR="00166BBE" w:rsidRPr="00817067" w:rsidRDefault="00166BBE" w:rsidP="00DD559B">
            <w:pPr>
              <w:pStyle w:val="Tabletext"/>
            </w:pPr>
            <w:r w:rsidRPr="00CA1CA3">
              <w:t>NHS</w:t>
            </w:r>
          </w:p>
        </w:tc>
        <w:tc>
          <w:tcPr>
            <w:tcW w:w="0" w:type="auto"/>
            <w:shd w:val="clear" w:color="auto" w:fill="F2F2F2" w:themeFill="background1" w:themeFillShade="F2"/>
          </w:tcPr>
          <w:p w14:paraId="77C466D1" w14:textId="77777777" w:rsidR="00166BBE" w:rsidRPr="00817067" w:rsidRDefault="00166BBE" w:rsidP="00DD559B">
            <w:pPr>
              <w:pStyle w:val="Tabletext"/>
            </w:pPr>
          </w:p>
        </w:tc>
        <w:tc>
          <w:tcPr>
            <w:tcW w:w="0" w:type="auto"/>
            <w:shd w:val="clear" w:color="auto" w:fill="F2F2F2" w:themeFill="background1" w:themeFillShade="F2"/>
          </w:tcPr>
          <w:p w14:paraId="44A967E2" w14:textId="086BFDDC" w:rsidR="00166BBE" w:rsidRPr="00817067" w:rsidRDefault="00166BBE" w:rsidP="00DD559B">
            <w:pPr>
              <w:pStyle w:val="Tabletext"/>
            </w:pPr>
            <w:r w:rsidRPr="00817067">
              <w:t>1.1.</w:t>
            </w:r>
            <w:r>
              <w:t>4.3</w:t>
            </w:r>
            <w:r w:rsidRPr="00817067">
              <w:t xml:space="preserve"> a/b </w:t>
            </w:r>
          </w:p>
        </w:tc>
      </w:tr>
      <w:tr w:rsidR="000C6471" w:rsidRPr="00817067" w14:paraId="38BC7939" w14:textId="77777777" w:rsidTr="00C50035">
        <w:tc>
          <w:tcPr>
            <w:tcW w:w="0" w:type="auto"/>
            <w:shd w:val="clear" w:color="auto" w:fill="F2F2F2" w:themeFill="background1" w:themeFillShade="F2"/>
          </w:tcPr>
          <w:p w14:paraId="3DE48346" w14:textId="77777777" w:rsidR="00166BBE" w:rsidRPr="00AE1A66" w:rsidRDefault="00166BBE" w:rsidP="00DD559B">
            <w:pPr>
              <w:pStyle w:val="Tabletext"/>
            </w:pPr>
          </w:p>
        </w:tc>
        <w:tc>
          <w:tcPr>
            <w:tcW w:w="0" w:type="auto"/>
            <w:shd w:val="clear" w:color="auto" w:fill="F2F2F2" w:themeFill="background1" w:themeFillShade="F2"/>
          </w:tcPr>
          <w:p w14:paraId="028CF012" w14:textId="47A42212" w:rsidR="00166BBE" w:rsidRPr="00817067" w:rsidRDefault="00166BBE" w:rsidP="00DD559B">
            <w:pPr>
              <w:pStyle w:val="Tabletext"/>
            </w:pPr>
            <w:r w:rsidRPr="00817067">
              <w:t xml:space="preserve">Proportion of </w:t>
            </w:r>
            <w:r>
              <w:t>children</w:t>
            </w:r>
            <w:r w:rsidRPr="00817067">
              <w:t xml:space="preserve"> with </w:t>
            </w:r>
            <w:r w:rsidR="000C6471">
              <w:t>body mass index</w:t>
            </w:r>
            <w:r w:rsidR="000C6471" w:rsidRPr="00817067" w:rsidDel="000C6471">
              <w:t xml:space="preserve"> </w:t>
            </w:r>
            <w:r w:rsidRPr="00817067">
              <w:t>indicating overweight or obese</w:t>
            </w:r>
          </w:p>
        </w:tc>
        <w:tc>
          <w:tcPr>
            <w:tcW w:w="0" w:type="auto"/>
            <w:shd w:val="clear" w:color="auto" w:fill="F2F2F2" w:themeFill="background1" w:themeFillShade="F2"/>
          </w:tcPr>
          <w:p w14:paraId="73E29BA2" w14:textId="77777777" w:rsidR="00166BBE" w:rsidRPr="00817067" w:rsidRDefault="00166BBE" w:rsidP="00DD559B">
            <w:pPr>
              <w:pStyle w:val="Tabletext"/>
            </w:pPr>
            <w:r w:rsidRPr="00F21F98">
              <w:t>Proportion of children five to 17 years who are overweight/obese or obese (measured)</w:t>
            </w:r>
          </w:p>
        </w:tc>
        <w:tc>
          <w:tcPr>
            <w:tcW w:w="0" w:type="auto"/>
            <w:shd w:val="clear" w:color="auto" w:fill="F2F2F2" w:themeFill="background1" w:themeFillShade="F2"/>
          </w:tcPr>
          <w:p w14:paraId="57797F6D" w14:textId="77777777" w:rsidR="00166BBE" w:rsidRPr="00817067" w:rsidRDefault="00166BBE" w:rsidP="00DD559B">
            <w:pPr>
              <w:pStyle w:val="Tabletext"/>
            </w:pPr>
            <w:r w:rsidRPr="00404E63">
              <w:t>NHS</w:t>
            </w:r>
          </w:p>
        </w:tc>
        <w:tc>
          <w:tcPr>
            <w:tcW w:w="0" w:type="auto"/>
            <w:shd w:val="clear" w:color="auto" w:fill="F2F2F2" w:themeFill="background1" w:themeFillShade="F2"/>
          </w:tcPr>
          <w:p w14:paraId="6B1A66D1" w14:textId="14702D40" w:rsidR="00166BBE" w:rsidRPr="00817067" w:rsidRDefault="00166BBE" w:rsidP="00DD559B">
            <w:pPr>
              <w:pStyle w:val="Tabletext"/>
            </w:pPr>
            <w:r>
              <w:t>Reduce overweight and obesity in children and adolescents aged 2</w:t>
            </w:r>
            <w:r w:rsidR="00914056">
              <w:t>–</w:t>
            </w:r>
            <w:r>
              <w:t>17 years by at least 5</w:t>
            </w:r>
            <w:r w:rsidR="003A249A">
              <w:t xml:space="preserve"> percent</w:t>
            </w:r>
            <w:r>
              <w:t xml:space="preserve"> by 2030</w:t>
            </w:r>
          </w:p>
        </w:tc>
        <w:tc>
          <w:tcPr>
            <w:tcW w:w="0" w:type="auto"/>
            <w:shd w:val="clear" w:color="auto" w:fill="F2F2F2" w:themeFill="background1" w:themeFillShade="F2"/>
          </w:tcPr>
          <w:p w14:paraId="6EE7412E" w14:textId="5CBEB22E" w:rsidR="00166BBE" w:rsidRPr="00817067" w:rsidRDefault="00166BBE" w:rsidP="00DD559B">
            <w:pPr>
              <w:pStyle w:val="Tabletext"/>
            </w:pPr>
            <w:r w:rsidRPr="00817067">
              <w:t>1.1.</w:t>
            </w:r>
            <w:r>
              <w:t>4.4 a/b</w:t>
            </w:r>
            <w:r w:rsidRPr="00817067">
              <w:t xml:space="preserve"> </w:t>
            </w:r>
          </w:p>
        </w:tc>
      </w:tr>
      <w:tr w:rsidR="000C6471" w:rsidRPr="00817067" w14:paraId="147B508D" w14:textId="77777777" w:rsidTr="00C50035">
        <w:tc>
          <w:tcPr>
            <w:tcW w:w="0" w:type="auto"/>
            <w:shd w:val="clear" w:color="auto" w:fill="F2F2F2" w:themeFill="background1" w:themeFillShade="F2"/>
          </w:tcPr>
          <w:p w14:paraId="31834EC2" w14:textId="77777777" w:rsidR="00166BBE" w:rsidRPr="00AE1A66" w:rsidRDefault="00166BBE" w:rsidP="003D0E72">
            <w:pPr>
              <w:pStyle w:val="Tabletext"/>
            </w:pPr>
          </w:p>
        </w:tc>
        <w:tc>
          <w:tcPr>
            <w:tcW w:w="0" w:type="auto"/>
            <w:shd w:val="clear" w:color="auto" w:fill="F2F2F2" w:themeFill="background1" w:themeFillShade="F2"/>
          </w:tcPr>
          <w:p w14:paraId="15713428" w14:textId="77777777" w:rsidR="00166BBE" w:rsidRPr="00817067" w:rsidRDefault="00166BBE" w:rsidP="003D0E72">
            <w:pPr>
              <w:pStyle w:val="Tabletext"/>
            </w:pPr>
            <w:r w:rsidRPr="00817067">
              <w:t xml:space="preserve">Proportion of adults who consume alcohol at </w:t>
            </w:r>
            <w:r>
              <w:t xml:space="preserve">increased </w:t>
            </w:r>
            <w:r w:rsidRPr="00817067">
              <w:t>risk of harm</w:t>
            </w:r>
          </w:p>
        </w:tc>
        <w:tc>
          <w:tcPr>
            <w:tcW w:w="0" w:type="auto"/>
            <w:shd w:val="clear" w:color="auto" w:fill="F2F2F2" w:themeFill="background1" w:themeFillShade="F2"/>
          </w:tcPr>
          <w:p w14:paraId="32EAA78B" w14:textId="77777777" w:rsidR="00166BBE" w:rsidRPr="00817067" w:rsidRDefault="00166BBE" w:rsidP="003D0E72">
            <w:pPr>
              <w:pStyle w:val="Tabletext"/>
            </w:pPr>
            <w:r w:rsidRPr="005B5F03">
              <w:rPr>
                <w:lang w:eastAsia="en-AU"/>
              </w:rPr>
              <w:t>Proportion of adults who consume alcohol at increased risk of harm from alcohol-related disease and injury</w:t>
            </w:r>
          </w:p>
        </w:tc>
        <w:tc>
          <w:tcPr>
            <w:tcW w:w="0" w:type="auto"/>
            <w:shd w:val="clear" w:color="auto" w:fill="F2F2F2" w:themeFill="background1" w:themeFillShade="F2"/>
          </w:tcPr>
          <w:p w14:paraId="6F2A3E22" w14:textId="77777777" w:rsidR="00166BBE" w:rsidRPr="00817067" w:rsidRDefault="00166BBE" w:rsidP="003D0E72">
            <w:pPr>
              <w:pStyle w:val="Tabletext"/>
            </w:pPr>
            <w:r w:rsidRPr="00817067">
              <w:t>VPHS</w:t>
            </w:r>
          </w:p>
        </w:tc>
        <w:tc>
          <w:tcPr>
            <w:tcW w:w="0" w:type="auto"/>
            <w:shd w:val="clear" w:color="auto" w:fill="F2F2F2" w:themeFill="background1" w:themeFillShade="F2"/>
          </w:tcPr>
          <w:p w14:paraId="429E98DC" w14:textId="77777777" w:rsidR="00166BBE" w:rsidRPr="00817067" w:rsidRDefault="00166BBE" w:rsidP="003D0E72">
            <w:pPr>
              <w:pStyle w:val="Tabletext"/>
            </w:pPr>
          </w:p>
        </w:tc>
        <w:tc>
          <w:tcPr>
            <w:tcW w:w="0" w:type="auto"/>
            <w:shd w:val="clear" w:color="auto" w:fill="F2F2F2" w:themeFill="background1" w:themeFillShade="F2"/>
          </w:tcPr>
          <w:p w14:paraId="595B0929" w14:textId="730A1AC3" w:rsidR="00166BBE" w:rsidRPr="00817067" w:rsidRDefault="00166BBE" w:rsidP="003D0E72">
            <w:pPr>
              <w:pStyle w:val="Tabletext"/>
            </w:pPr>
            <w:r w:rsidRPr="00817067">
              <w:t>1.1.</w:t>
            </w:r>
            <w:r>
              <w:t>4.5</w:t>
            </w:r>
            <w:r w:rsidRPr="00817067">
              <w:t xml:space="preserve"> </w:t>
            </w:r>
          </w:p>
        </w:tc>
      </w:tr>
      <w:tr w:rsidR="000C6471" w:rsidRPr="00817067" w14:paraId="2F6C41AE" w14:textId="77777777" w:rsidTr="00C50035">
        <w:tc>
          <w:tcPr>
            <w:tcW w:w="0" w:type="auto"/>
            <w:shd w:val="clear" w:color="auto" w:fill="F2F2F2" w:themeFill="background1" w:themeFillShade="F2"/>
          </w:tcPr>
          <w:p w14:paraId="59CDDEDA" w14:textId="77777777" w:rsidR="00166BBE" w:rsidRPr="00AE1A66" w:rsidRDefault="00166BBE" w:rsidP="003D0E72">
            <w:pPr>
              <w:pStyle w:val="Tabletext"/>
            </w:pPr>
          </w:p>
        </w:tc>
        <w:tc>
          <w:tcPr>
            <w:tcW w:w="0" w:type="auto"/>
            <w:shd w:val="clear" w:color="auto" w:fill="F2F2F2" w:themeFill="background1" w:themeFillShade="F2"/>
          </w:tcPr>
          <w:p w14:paraId="49EB42C9" w14:textId="77777777" w:rsidR="00166BBE" w:rsidRPr="00817067" w:rsidRDefault="00166BBE" w:rsidP="003D0E72">
            <w:pPr>
              <w:pStyle w:val="Tabletext"/>
            </w:pPr>
            <w:r w:rsidRPr="00817067">
              <w:t>Proportion of adults who smoke</w:t>
            </w:r>
          </w:p>
        </w:tc>
        <w:tc>
          <w:tcPr>
            <w:tcW w:w="0" w:type="auto"/>
            <w:shd w:val="clear" w:color="auto" w:fill="F2F2F2" w:themeFill="background1" w:themeFillShade="F2"/>
          </w:tcPr>
          <w:p w14:paraId="616E00F1" w14:textId="77777777" w:rsidR="00166BBE" w:rsidRPr="00817067" w:rsidRDefault="00166BBE" w:rsidP="003D0E72">
            <w:pPr>
              <w:pStyle w:val="Tabletext"/>
            </w:pPr>
            <w:r w:rsidRPr="00817067">
              <w:t>Proportion of adults who smoke daily</w:t>
            </w:r>
          </w:p>
        </w:tc>
        <w:tc>
          <w:tcPr>
            <w:tcW w:w="0" w:type="auto"/>
            <w:shd w:val="clear" w:color="auto" w:fill="F2F2F2" w:themeFill="background1" w:themeFillShade="F2"/>
          </w:tcPr>
          <w:p w14:paraId="54271B48" w14:textId="77777777" w:rsidR="00166BBE" w:rsidRPr="00817067" w:rsidRDefault="00166BBE" w:rsidP="003D0E72">
            <w:pPr>
              <w:pStyle w:val="Tabletext"/>
            </w:pPr>
            <w:r w:rsidRPr="00817067">
              <w:t>VPHS</w:t>
            </w:r>
          </w:p>
        </w:tc>
        <w:tc>
          <w:tcPr>
            <w:tcW w:w="0" w:type="auto"/>
            <w:shd w:val="clear" w:color="auto" w:fill="F2F2F2" w:themeFill="background1" w:themeFillShade="F2"/>
          </w:tcPr>
          <w:p w14:paraId="7B4E6B0D" w14:textId="77777777" w:rsidR="00166BBE" w:rsidRPr="00817067" w:rsidRDefault="00166BBE" w:rsidP="003D0E72">
            <w:pPr>
              <w:pStyle w:val="Tabletext"/>
            </w:pPr>
          </w:p>
        </w:tc>
        <w:tc>
          <w:tcPr>
            <w:tcW w:w="0" w:type="auto"/>
            <w:shd w:val="clear" w:color="auto" w:fill="F2F2F2" w:themeFill="background1" w:themeFillShade="F2"/>
          </w:tcPr>
          <w:p w14:paraId="0A6DC005" w14:textId="04E93930" w:rsidR="00166BBE" w:rsidRPr="00817067" w:rsidRDefault="00166BBE" w:rsidP="003D0E72">
            <w:pPr>
              <w:pStyle w:val="Tabletext"/>
            </w:pPr>
            <w:r w:rsidRPr="00817067">
              <w:t>1.1.</w:t>
            </w:r>
            <w:r>
              <w:t xml:space="preserve">4.6 </w:t>
            </w:r>
          </w:p>
        </w:tc>
      </w:tr>
      <w:tr w:rsidR="006B70B0" w:rsidRPr="00817067" w14:paraId="15EBF89D" w14:textId="77777777" w:rsidTr="00C50035">
        <w:tc>
          <w:tcPr>
            <w:tcW w:w="0" w:type="auto"/>
          </w:tcPr>
          <w:p w14:paraId="67207D16" w14:textId="77777777" w:rsidR="00166BBE" w:rsidRPr="00AE1A66" w:rsidRDefault="00166BBE" w:rsidP="003D0E72">
            <w:pPr>
              <w:pStyle w:val="Tabletext"/>
            </w:pPr>
            <w:r w:rsidRPr="00AE1A66">
              <w:t>Increase self-rated health</w:t>
            </w:r>
          </w:p>
        </w:tc>
        <w:tc>
          <w:tcPr>
            <w:tcW w:w="0" w:type="auto"/>
          </w:tcPr>
          <w:p w14:paraId="646B9CC4" w14:textId="77777777" w:rsidR="00166BBE" w:rsidRPr="00817067" w:rsidRDefault="00166BBE" w:rsidP="003D0E72">
            <w:pPr>
              <w:pStyle w:val="Tabletext"/>
            </w:pPr>
            <w:r w:rsidRPr="00817067">
              <w:rPr>
                <w:lang w:eastAsia="en-AU"/>
              </w:rPr>
              <w:t xml:space="preserve">Proportion of </w:t>
            </w:r>
            <w:r>
              <w:rPr>
                <w:lang w:eastAsia="en-AU"/>
              </w:rPr>
              <w:t>adults</w:t>
            </w:r>
            <w:r w:rsidRPr="00817067">
              <w:rPr>
                <w:lang w:eastAsia="en-AU"/>
              </w:rPr>
              <w:t xml:space="preserve"> with very good or excellent self-rated health</w:t>
            </w:r>
          </w:p>
        </w:tc>
        <w:tc>
          <w:tcPr>
            <w:tcW w:w="0" w:type="auto"/>
          </w:tcPr>
          <w:p w14:paraId="0F69FB00" w14:textId="77777777" w:rsidR="00166BBE" w:rsidRPr="00817067" w:rsidRDefault="00166BBE" w:rsidP="003D0E72">
            <w:pPr>
              <w:pStyle w:val="Tabletext"/>
            </w:pPr>
            <w:r w:rsidRPr="00817067">
              <w:t xml:space="preserve">Proportion of adults who self-rate their health as very good or excellent </w:t>
            </w:r>
          </w:p>
        </w:tc>
        <w:tc>
          <w:tcPr>
            <w:tcW w:w="0" w:type="auto"/>
          </w:tcPr>
          <w:p w14:paraId="6FCEE2C6" w14:textId="77777777" w:rsidR="00166BBE" w:rsidRPr="00817067" w:rsidRDefault="00166BBE" w:rsidP="003D0E72">
            <w:pPr>
              <w:pStyle w:val="Tabletext"/>
            </w:pPr>
            <w:r w:rsidRPr="00817067">
              <w:t>VPHS</w:t>
            </w:r>
          </w:p>
        </w:tc>
        <w:tc>
          <w:tcPr>
            <w:tcW w:w="0" w:type="auto"/>
          </w:tcPr>
          <w:p w14:paraId="6EDEB379" w14:textId="77777777" w:rsidR="00166BBE" w:rsidRPr="00817067" w:rsidRDefault="00166BBE" w:rsidP="003D0E72">
            <w:pPr>
              <w:pStyle w:val="Tabletext"/>
            </w:pPr>
          </w:p>
        </w:tc>
        <w:tc>
          <w:tcPr>
            <w:tcW w:w="0" w:type="auto"/>
          </w:tcPr>
          <w:p w14:paraId="7098185F" w14:textId="77777777" w:rsidR="00166BBE" w:rsidRPr="00817067" w:rsidRDefault="00166BBE" w:rsidP="003D0E72">
            <w:pPr>
              <w:pStyle w:val="Tabletext"/>
            </w:pPr>
            <w:r w:rsidRPr="00817067">
              <w:t>1.1.</w:t>
            </w:r>
            <w:r>
              <w:t>5.1</w:t>
            </w:r>
          </w:p>
        </w:tc>
      </w:tr>
      <w:tr w:rsidR="006B70B0" w:rsidRPr="00817067" w14:paraId="5B967985" w14:textId="77777777" w:rsidTr="00C50035">
        <w:tc>
          <w:tcPr>
            <w:tcW w:w="0" w:type="auto"/>
          </w:tcPr>
          <w:p w14:paraId="18AD5B81" w14:textId="77777777" w:rsidR="00166BBE" w:rsidRPr="00AE1A66" w:rsidRDefault="00166BBE" w:rsidP="003D0E72">
            <w:pPr>
              <w:pStyle w:val="Tabletext"/>
            </w:pPr>
          </w:p>
        </w:tc>
        <w:tc>
          <w:tcPr>
            <w:tcW w:w="0" w:type="auto"/>
          </w:tcPr>
          <w:p w14:paraId="4D9C2DBE" w14:textId="77777777" w:rsidR="00166BBE" w:rsidRPr="00817067" w:rsidRDefault="00166BBE" w:rsidP="003D0E72">
            <w:pPr>
              <w:pStyle w:val="Tabletext"/>
            </w:pPr>
            <w:r w:rsidRPr="00817067">
              <w:rPr>
                <w:lang w:eastAsia="en-AU"/>
              </w:rPr>
              <w:t xml:space="preserve">Proportion of </w:t>
            </w:r>
            <w:r>
              <w:rPr>
                <w:lang w:eastAsia="en-AU"/>
              </w:rPr>
              <w:t>children</w:t>
            </w:r>
            <w:r w:rsidRPr="00817067">
              <w:rPr>
                <w:lang w:eastAsia="en-AU"/>
              </w:rPr>
              <w:t xml:space="preserve"> with very good or excellent self-rated health</w:t>
            </w:r>
          </w:p>
        </w:tc>
        <w:tc>
          <w:tcPr>
            <w:tcW w:w="0" w:type="auto"/>
          </w:tcPr>
          <w:p w14:paraId="7B93AF9B" w14:textId="77777777" w:rsidR="00166BBE" w:rsidRPr="00817067" w:rsidRDefault="00166BBE" w:rsidP="003D0E72">
            <w:pPr>
              <w:pStyle w:val="Tabletext"/>
            </w:pPr>
            <w:r w:rsidRPr="00817067">
              <w:t>Proportion of children 0–12 years whose health is rated as very good or excellent</w:t>
            </w:r>
          </w:p>
        </w:tc>
        <w:tc>
          <w:tcPr>
            <w:tcW w:w="0" w:type="auto"/>
          </w:tcPr>
          <w:p w14:paraId="6BC4C87D" w14:textId="77777777" w:rsidR="00166BBE" w:rsidRPr="00817067" w:rsidRDefault="00166BBE" w:rsidP="003D0E72">
            <w:pPr>
              <w:pStyle w:val="Tabletext"/>
            </w:pPr>
            <w:r w:rsidRPr="00D81EC0">
              <w:t>VCHWS</w:t>
            </w:r>
          </w:p>
        </w:tc>
        <w:tc>
          <w:tcPr>
            <w:tcW w:w="0" w:type="auto"/>
          </w:tcPr>
          <w:p w14:paraId="774C54EC" w14:textId="77777777" w:rsidR="00166BBE" w:rsidRPr="00817067" w:rsidRDefault="00166BBE" w:rsidP="003D0E72">
            <w:pPr>
              <w:pStyle w:val="Tabletext"/>
            </w:pPr>
          </w:p>
        </w:tc>
        <w:tc>
          <w:tcPr>
            <w:tcW w:w="0" w:type="auto"/>
          </w:tcPr>
          <w:p w14:paraId="4662E921" w14:textId="77777777" w:rsidR="00166BBE" w:rsidRPr="00817067" w:rsidRDefault="00166BBE" w:rsidP="003D0E72">
            <w:pPr>
              <w:pStyle w:val="Tabletext"/>
            </w:pPr>
            <w:r w:rsidRPr="00817067">
              <w:t>1.1.</w:t>
            </w:r>
            <w:r>
              <w:t>5.2</w:t>
            </w:r>
          </w:p>
        </w:tc>
      </w:tr>
      <w:tr w:rsidR="000C6471" w:rsidRPr="00817067" w14:paraId="2B3335F4" w14:textId="77777777" w:rsidTr="00C50035">
        <w:tc>
          <w:tcPr>
            <w:tcW w:w="0" w:type="auto"/>
            <w:shd w:val="clear" w:color="auto" w:fill="F2F2F2" w:themeFill="background1" w:themeFillShade="F2"/>
          </w:tcPr>
          <w:p w14:paraId="36C0B7B0" w14:textId="77777777" w:rsidR="00166BBE" w:rsidRPr="00AE1A66" w:rsidRDefault="00166BBE" w:rsidP="003D0E72">
            <w:pPr>
              <w:pStyle w:val="Tabletext"/>
            </w:pPr>
            <w:r w:rsidRPr="00AE1A66">
              <w:rPr>
                <w:lang w:eastAsia="en-AU"/>
              </w:rPr>
              <w:t>Decrease unintentional injury</w:t>
            </w:r>
          </w:p>
        </w:tc>
        <w:tc>
          <w:tcPr>
            <w:tcW w:w="0" w:type="auto"/>
            <w:shd w:val="clear" w:color="auto" w:fill="F2F2F2" w:themeFill="background1" w:themeFillShade="F2"/>
          </w:tcPr>
          <w:p w14:paraId="1A53A2A6" w14:textId="77777777" w:rsidR="00166BBE" w:rsidRPr="00817067" w:rsidRDefault="00166BBE" w:rsidP="003D0E72">
            <w:pPr>
              <w:pStyle w:val="Tabletext"/>
            </w:pPr>
            <w:r w:rsidRPr="00817067">
              <w:t>Deaths due to road traffic crashes</w:t>
            </w:r>
          </w:p>
        </w:tc>
        <w:tc>
          <w:tcPr>
            <w:tcW w:w="0" w:type="auto"/>
            <w:shd w:val="clear" w:color="auto" w:fill="F2F2F2" w:themeFill="background1" w:themeFillShade="F2"/>
          </w:tcPr>
          <w:p w14:paraId="15936744" w14:textId="77777777" w:rsidR="00166BBE" w:rsidRPr="00817067" w:rsidRDefault="00166BBE" w:rsidP="003D0E72">
            <w:pPr>
              <w:pStyle w:val="Tabletext"/>
            </w:pPr>
            <w:r w:rsidRPr="00817067">
              <w:t>Deaths due to road traffic crashes</w:t>
            </w:r>
          </w:p>
        </w:tc>
        <w:tc>
          <w:tcPr>
            <w:tcW w:w="0" w:type="auto"/>
            <w:shd w:val="clear" w:color="auto" w:fill="F2F2F2" w:themeFill="background1" w:themeFillShade="F2"/>
          </w:tcPr>
          <w:p w14:paraId="52ED4E94" w14:textId="67B4A21C" w:rsidR="00166BBE" w:rsidRPr="00817067" w:rsidRDefault="00166BBE" w:rsidP="003D0E72">
            <w:pPr>
              <w:pStyle w:val="Tabletext"/>
            </w:pPr>
            <w:r w:rsidRPr="00817067">
              <w:t>DTP/TAC</w:t>
            </w:r>
          </w:p>
        </w:tc>
        <w:tc>
          <w:tcPr>
            <w:tcW w:w="0" w:type="auto"/>
            <w:shd w:val="clear" w:color="auto" w:fill="F2F2F2" w:themeFill="background1" w:themeFillShade="F2"/>
          </w:tcPr>
          <w:p w14:paraId="74EC6A6A" w14:textId="77777777" w:rsidR="00166BBE" w:rsidRPr="00817067" w:rsidRDefault="00166BBE" w:rsidP="003D0E72">
            <w:pPr>
              <w:pStyle w:val="Tabletext"/>
            </w:pPr>
            <w:r w:rsidRPr="00817067">
              <w:t>Halve road deaths and progressively reduce serious injuries by 2030</w:t>
            </w:r>
          </w:p>
        </w:tc>
        <w:tc>
          <w:tcPr>
            <w:tcW w:w="0" w:type="auto"/>
            <w:shd w:val="clear" w:color="auto" w:fill="F2F2F2" w:themeFill="background1" w:themeFillShade="F2"/>
          </w:tcPr>
          <w:p w14:paraId="2CBB5EDE" w14:textId="77777777" w:rsidR="00166BBE" w:rsidRPr="00817067" w:rsidRDefault="00166BBE" w:rsidP="003D0E72">
            <w:pPr>
              <w:pStyle w:val="Tabletext"/>
            </w:pPr>
            <w:r w:rsidRPr="00817067">
              <w:t>1.1.</w:t>
            </w:r>
            <w:r>
              <w:t>6.1</w:t>
            </w:r>
          </w:p>
        </w:tc>
      </w:tr>
      <w:tr w:rsidR="000C6471" w:rsidRPr="00817067" w14:paraId="18E653A8" w14:textId="77777777" w:rsidTr="00C50035">
        <w:tc>
          <w:tcPr>
            <w:tcW w:w="0" w:type="auto"/>
            <w:shd w:val="clear" w:color="auto" w:fill="F2F2F2" w:themeFill="background1" w:themeFillShade="F2"/>
          </w:tcPr>
          <w:p w14:paraId="66A99A2B" w14:textId="77777777" w:rsidR="00166BBE" w:rsidRPr="00AE1A66" w:rsidRDefault="00166BBE" w:rsidP="003D0E72">
            <w:pPr>
              <w:pStyle w:val="Tabletext"/>
            </w:pPr>
          </w:p>
        </w:tc>
        <w:tc>
          <w:tcPr>
            <w:tcW w:w="0" w:type="auto"/>
            <w:shd w:val="clear" w:color="auto" w:fill="F2F2F2" w:themeFill="background1" w:themeFillShade="F2"/>
          </w:tcPr>
          <w:p w14:paraId="138C5D3C" w14:textId="77777777" w:rsidR="00166BBE" w:rsidRPr="00817067" w:rsidRDefault="00166BBE" w:rsidP="003D0E72">
            <w:pPr>
              <w:pStyle w:val="Tabletext"/>
            </w:pPr>
            <w:r>
              <w:t>S</w:t>
            </w:r>
            <w:r w:rsidRPr="00817067">
              <w:t>erious injury</w:t>
            </w:r>
            <w:r>
              <w:t xml:space="preserve"> </w:t>
            </w:r>
            <w:r w:rsidRPr="00817067">
              <w:t>due to road traffic crashes</w:t>
            </w:r>
          </w:p>
        </w:tc>
        <w:tc>
          <w:tcPr>
            <w:tcW w:w="0" w:type="auto"/>
            <w:shd w:val="clear" w:color="auto" w:fill="F2F2F2" w:themeFill="background1" w:themeFillShade="F2"/>
          </w:tcPr>
          <w:p w14:paraId="0AE172B5" w14:textId="77777777" w:rsidR="00166BBE" w:rsidRPr="00817067" w:rsidRDefault="00166BBE" w:rsidP="003D0E72">
            <w:pPr>
              <w:pStyle w:val="Tabletext"/>
            </w:pPr>
            <w:r w:rsidRPr="00817067">
              <w:t>Hospitalisations due to road traffic crashes</w:t>
            </w:r>
          </w:p>
        </w:tc>
        <w:tc>
          <w:tcPr>
            <w:tcW w:w="0" w:type="auto"/>
            <w:shd w:val="clear" w:color="auto" w:fill="F2F2F2" w:themeFill="background1" w:themeFillShade="F2"/>
          </w:tcPr>
          <w:p w14:paraId="05FA4E2B" w14:textId="4771DF71" w:rsidR="00166BBE" w:rsidRPr="00817067" w:rsidRDefault="00166BBE" w:rsidP="003D0E72">
            <w:pPr>
              <w:pStyle w:val="Tabletext"/>
            </w:pPr>
            <w:r w:rsidRPr="00817067">
              <w:t>VAED/VISU</w:t>
            </w:r>
          </w:p>
        </w:tc>
        <w:tc>
          <w:tcPr>
            <w:tcW w:w="0" w:type="auto"/>
            <w:shd w:val="clear" w:color="auto" w:fill="F2F2F2" w:themeFill="background1" w:themeFillShade="F2"/>
          </w:tcPr>
          <w:p w14:paraId="6E9574E0" w14:textId="77777777" w:rsidR="00166BBE" w:rsidRPr="00817067" w:rsidRDefault="00166BBE" w:rsidP="003D0E72">
            <w:pPr>
              <w:pStyle w:val="Tabletext"/>
            </w:pPr>
          </w:p>
        </w:tc>
        <w:tc>
          <w:tcPr>
            <w:tcW w:w="0" w:type="auto"/>
            <w:shd w:val="clear" w:color="auto" w:fill="F2F2F2" w:themeFill="background1" w:themeFillShade="F2"/>
          </w:tcPr>
          <w:p w14:paraId="76B1AA7C" w14:textId="77777777" w:rsidR="00166BBE" w:rsidRPr="00817067" w:rsidRDefault="00166BBE" w:rsidP="003D0E72">
            <w:pPr>
              <w:pStyle w:val="Tabletext"/>
            </w:pPr>
            <w:r w:rsidRPr="00817067">
              <w:t>1.1.</w:t>
            </w:r>
            <w:r>
              <w:t>6.2</w:t>
            </w:r>
          </w:p>
        </w:tc>
      </w:tr>
      <w:tr w:rsidR="000C6471" w:rsidRPr="00817067" w14:paraId="43A3F575" w14:textId="77777777" w:rsidTr="00C50035">
        <w:tc>
          <w:tcPr>
            <w:tcW w:w="0" w:type="auto"/>
            <w:shd w:val="clear" w:color="auto" w:fill="F2F2F2" w:themeFill="background1" w:themeFillShade="F2"/>
          </w:tcPr>
          <w:p w14:paraId="57240A34" w14:textId="77777777" w:rsidR="00166BBE" w:rsidRPr="00AE1A66" w:rsidRDefault="00166BBE" w:rsidP="003D0E72">
            <w:pPr>
              <w:pStyle w:val="Tabletext"/>
            </w:pPr>
          </w:p>
        </w:tc>
        <w:tc>
          <w:tcPr>
            <w:tcW w:w="0" w:type="auto"/>
            <w:shd w:val="clear" w:color="auto" w:fill="F2F2F2" w:themeFill="background1" w:themeFillShade="F2"/>
          </w:tcPr>
          <w:p w14:paraId="1CA8533F" w14:textId="77777777" w:rsidR="00166BBE" w:rsidRPr="00817067" w:rsidRDefault="00166BBE" w:rsidP="003D0E72">
            <w:pPr>
              <w:pStyle w:val="Tabletext"/>
            </w:pPr>
            <w:r w:rsidRPr="00817067">
              <w:t xml:space="preserve">Leading causes of death due to injury </w:t>
            </w:r>
          </w:p>
        </w:tc>
        <w:tc>
          <w:tcPr>
            <w:tcW w:w="0" w:type="auto"/>
            <w:shd w:val="clear" w:color="auto" w:fill="F2F2F2" w:themeFill="background1" w:themeFillShade="F2"/>
          </w:tcPr>
          <w:p w14:paraId="008E5003" w14:textId="7C0C1CCB" w:rsidR="00166BBE" w:rsidRPr="00817067" w:rsidRDefault="00166BBE" w:rsidP="003D0E72">
            <w:pPr>
              <w:pStyle w:val="Tabletext"/>
            </w:pPr>
            <w:r w:rsidRPr="00817067">
              <w:t xml:space="preserve">Top </w:t>
            </w:r>
            <w:r w:rsidR="008014E7">
              <w:t>five</w:t>
            </w:r>
            <w:r w:rsidRPr="00817067">
              <w:t xml:space="preserve"> cause</w:t>
            </w:r>
            <w:r w:rsidR="008014E7">
              <w:t>s</w:t>
            </w:r>
            <w:r w:rsidRPr="00817067">
              <w:t xml:space="preserve"> of death (by sociodemographic characteristics)</w:t>
            </w:r>
          </w:p>
        </w:tc>
        <w:tc>
          <w:tcPr>
            <w:tcW w:w="0" w:type="auto"/>
            <w:shd w:val="clear" w:color="auto" w:fill="F2F2F2" w:themeFill="background1" w:themeFillShade="F2"/>
          </w:tcPr>
          <w:p w14:paraId="6EA03870" w14:textId="72821CCE" w:rsidR="00166BBE" w:rsidRPr="00817067" w:rsidRDefault="00166BBE" w:rsidP="003D0E72">
            <w:pPr>
              <w:pStyle w:val="Tabletext"/>
            </w:pPr>
            <w:r w:rsidRPr="00817067">
              <w:t>VISU/ABS</w:t>
            </w:r>
          </w:p>
        </w:tc>
        <w:tc>
          <w:tcPr>
            <w:tcW w:w="0" w:type="auto"/>
            <w:shd w:val="clear" w:color="auto" w:fill="F2F2F2" w:themeFill="background1" w:themeFillShade="F2"/>
          </w:tcPr>
          <w:p w14:paraId="13A2071E" w14:textId="51488BA4" w:rsidR="00166BBE" w:rsidRPr="00817067" w:rsidRDefault="00166BBE" w:rsidP="003D0E72">
            <w:pPr>
              <w:pStyle w:val="Tabletext"/>
              <w:rPr>
                <w:i/>
                <w:iCs/>
              </w:rPr>
            </w:pPr>
          </w:p>
        </w:tc>
        <w:tc>
          <w:tcPr>
            <w:tcW w:w="0" w:type="auto"/>
            <w:shd w:val="clear" w:color="auto" w:fill="F2F2F2" w:themeFill="background1" w:themeFillShade="F2"/>
          </w:tcPr>
          <w:p w14:paraId="49F7D49A" w14:textId="77777777" w:rsidR="00166BBE" w:rsidRPr="00817067" w:rsidRDefault="00166BBE" w:rsidP="003D0E72">
            <w:pPr>
              <w:pStyle w:val="Tabletext"/>
            </w:pPr>
            <w:r w:rsidRPr="00817067">
              <w:t>1.1.</w:t>
            </w:r>
            <w:r>
              <w:t xml:space="preserve">6.3 </w:t>
            </w:r>
            <w:r w:rsidRPr="007D3404">
              <w:rPr>
                <w:i/>
                <w:iCs/>
              </w:rPr>
              <w:t>a/b/c/d/e</w:t>
            </w:r>
          </w:p>
        </w:tc>
      </w:tr>
      <w:tr w:rsidR="000C6471" w:rsidRPr="00817067" w14:paraId="71802320" w14:textId="77777777" w:rsidTr="00C50035">
        <w:tc>
          <w:tcPr>
            <w:tcW w:w="0" w:type="auto"/>
            <w:shd w:val="clear" w:color="auto" w:fill="F2F2F2" w:themeFill="background1" w:themeFillShade="F2"/>
          </w:tcPr>
          <w:p w14:paraId="040C575C" w14:textId="77777777" w:rsidR="00166BBE" w:rsidRPr="00AE1A66" w:rsidRDefault="00166BBE" w:rsidP="003D0E72">
            <w:pPr>
              <w:pStyle w:val="Tabletext"/>
            </w:pPr>
          </w:p>
        </w:tc>
        <w:tc>
          <w:tcPr>
            <w:tcW w:w="0" w:type="auto"/>
            <w:shd w:val="clear" w:color="auto" w:fill="F2F2F2" w:themeFill="background1" w:themeFillShade="F2"/>
          </w:tcPr>
          <w:p w14:paraId="68800D55" w14:textId="77777777" w:rsidR="00166BBE" w:rsidRPr="00817067" w:rsidRDefault="00166BBE" w:rsidP="003D0E72">
            <w:pPr>
              <w:pStyle w:val="Tabletext"/>
            </w:pPr>
            <w:r w:rsidRPr="00817067">
              <w:t>Leading causes of hospitalisation due to injury</w:t>
            </w:r>
          </w:p>
        </w:tc>
        <w:tc>
          <w:tcPr>
            <w:tcW w:w="0" w:type="auto"/>
            <w:shd w:val="clear" w:color="auto" w:fill="F2F2F2" w:themeFill="background1" w:themeFillShade="F2"/>
          </w:tcPr>
          <w:p w14:paraId="138C5677" w14:textId="3B390E26" w:rsidR="00166BBE" w:rsidRPr="00817067" w:rsidRDefault="00166BBE" w:rsidP="003D0E72">
            <w:pPr>
              <w:pStyle w:val="Tabletext"/>
            </w:pPr>
            <w:r w:rsidRPr="00817067">
              <w:t xml:space="preserve">Top </w:t>
            </w:r>
            <w:r w:rsidR="008014E7">
              <w:t>five</w:t>
            </w:r>
            <w:r w:rsidRPr="00817067">
              <w:t xml:space="preserve"> cause</w:t>
            </w:r>
            <w:r w:rsidR="008014E7">
              <w:t>s</w:t>
            </w:r>
            <w:r w:rsidRPr="00817067">
              <w:t xml:space="preserve"> of hospitalisation (by sociodemographic characteristics)</w:t>
            </w:r>
          </w:p>
        </w:tc>
        <w:tc>
          <w:tcPr>
            <w:tcW w:w="0" w:type="auto"/>
            <w:shd w:val="clear" w:color="auto" w:fill="F2F2F2" w:themeFill="background1" w:themeFillShade="F2"/>
          </w:tcPr>
          <w:p w14:paraId="09DDCBE1" w14:textId="700DC1A1" w:rsidR="00166BBE" w:rsidRPr="00817067" w:rsidRDefault="00166BBE" w:rsidP="003D0E72">
            <w:pPr>
              <w:pStyle w:val="Tabletext"/>
            </w:pPr>
            <w:r w:rsidRPr="00817067">
              <w:t>VISU/VAED</w:t>
            </w:r>
          </w:p>
        </w:tc>
        <w:tc>
          <w:tcPr>
            <w:tcW w:w="0" w:type="auto"/>
            <w:shd w:val="clear" w:color="auto" w:fill="F2F2F2" w:themeFill="background1" w:themeFillShade="F2"/>
          </w:tcPr>
          <w:p w14:paraId="1CE33681" w14:textId="2AC86F6A" w:rsidR="00166BBE" w:rsidRPr="00817067" w:rsidRDefault="00166BBE" w:rsidP="003D0E72">
            <w:pPr>
              <w:pStyle w:val="Tabletext"/>
              <w:rPr>
                <w:i/>
                <w:iCs/>
              </w:rPr>
            </w:pPr>
          </w:p>
        </w:tc>
        <w:tc>
          <w:tcPr>
            <w:tcW w:w="0" w:type="auto"/>
            <w:shd w:val="clear" w:color="auto" w:fill="F2F2F2" w:themeFill="background1" w:themeFillShade="F2"/>
          </w:tcPr>
          <w:p w14:paraId="53AEBC71" w14:textId="77777777" w:rsidR="00166BBE" w:rsidRPr="00817067" w:rsidRDefault="00166BBE" w:rsidP="003D0E72">
            <w:pPr>
              <w:pStyle w:val="Tabletext"/>
            </w:pPr>
            <w:r w:rsidRPr="00817067">
              <w:t>1.1.</w:t>
            </w:r>
            <w:r>
              <w:t xml:space="preserve">6.4 </w:t>
            </w:r>
            <w:r w:rsidRPr="007D3404">
              <w:rPr>
                <w:i/>
                <w:iCs/>
              </w:rPr>
              <w:t>a/b/c/d/e</w:t>
            </w:r>
          </w:p>
        </w:tc>
      </w:tr>
      <w:tr w:rsidR="006B70B0" w:rsidRPr="00817067" w14:paraId="49CD0164" w14:textId="77777777" w:rsidTr="00C50035">
        <w:tc>
          <w:tcPr>
            <w:tcW w:w="0" w:type="auto"/>
          </w:tcPr>
          <w:p w14:paraId="5BD067ED" w14:textId="77777777" w:rsidR="00166BBE" w:rsidRPr="00AE1A66" w:rsidRDefault="00166BBE" w:rsidP="003D0E72">
            <w:pPr>
              <w:pStyle w:val="Tabletext"/>
            </w:pPr>
            <w:r w:rsidRPr="00AE1A66">
              <w:rPr>
                <w:lang w:eastAsia="en-AU"/>
              </w:rPr>
              <w:t>Reduce preventable oral diseases</w:t>
            </w:r>
          </w:p>
        </w:tc>
        <w:tc>
          <w:tcPr>
            <w:tcW w:w="0" w:type="auto"/>
          </w:tcPr>
          <w:p w14:paraId="652FDF1D" w14:textId="77777777" w:rsidR="00166BBE" w:rsidRPr="00817067" w:rsidRDefault="00166BBE" w:rsidP="003D0E72">
            <w:pPr>
              <w:pStyle w:val="Tabletext"/>
            </w:pPr>
            <w:r w:rsidRPr="00817067">
              <w:rPr>
                <w:color w:val="000000"/>
                <w:lang w:eastAsia="en-AU"/>
              </w:rPr>
              <w:t>Rate of potentially preventable dental hospitalisations of children</w:t>
            </w:r>
          </w:p>
        </w:tc>
        <w:tc>
          <w:tcPr>
            <w:tcW w:w="0" w:type="auto"/>
          </w:tcPr>
          <w:p w14:paraId="788F4A93" w14:textId="77777777" w:rsidR="00166BBE" w:rsidRPr="00817067" w:rsidRDefault="00166BBE" w:rsidP="003D0E72">
            <w:pPr>
              <w:pStyle w:val="Tabletext"/>
            </w:pPr>
            <w:r w:rsidRPr="00817067">
              <w:rPr>
                <w:color w:val="000000"/>
                <w:lang w:eastAsia="en-AU"/>
              </w:rPr>
              <w:t>Rate of potentially preventable dental hospitalisations of children 0–9 years</w:t>
            </w:r>
          </w:p>
        </w:tc>
        <w:tc>
          <w:tcPr>
            <w:tcW w:w="0" w:type="auto"/>
          </w:tcPr>
          <w:p w14:paraId="2C2CF0F3" w14:textId="77777777" w:rsidR="00166BBE" w:rsidRPr="00817067" w:rsidRDefault="00166BBE" w:rsidP="003D0E72">
            <w:pPr>
              <w:pStyle w:val="Tabletext"/>
            </w:pPr>
            <w:r w:rsidRPr="00817067">
              <w:t>VAED</w:t>
            </w:r>
          </w:p>
        </w:tc>
        <w:tc>
          <w:tcPr>
            <w:tcW w:w="0" w:type="auto"/>
          </w:tcPr>
          <w:p w14:paraId="53246461" w14:textId="77777777" w:rsidR="00166BBE" w:rsidRPr="00817067" w:rsidRDefault="00166BBE" w:rsidP="003D0E72">
            <w:pPr>
              <w:pStyle w:val="Tabletext"/>
            </w:pPr>
          </w:p>
        </w:tc>
        <w:tc>
          <w:tcPr>
            <w:tcW w:w="0" w:type="auto"/>
          </w:tcPr>
          <w:p w14:paraId="362BCFBB" w14:textId="77777777" w:rsidR="00166BBE" w:rsidRPr="00817067" w:rsidRDefault="00166BBE" w:rsidP="003D0E72">
            <w:pPr>
              <w:pStyle w:val="Tabletext"/>
            </w:pPr>
            <w:r w:rsidRPr="00817067">
              <w:t>1.1.</w:t>
            </w:r>
            <w:r>
              <w:t>7.1</w:t>
            </w:r>
          </w:p>
        </w:tc>
      </w:tr>
      <w:tr w:rsidR="006B70B0" w:rsidRPr="00817067" w14:paraId="43591B7D" w14:textId="77777777" w:rsidTr="00C50035">
        <w:trPr>
          <w:trHeight w:val="538"/>
        </w:trPr>
        <w:tc>
          <w:tcPr>
            <w:tcW w:w="0" w:type="auto"/>
          </w:tcPr>
          <w:p w14:paraId="58BB259B" w14:textId="77777777" w:rsidR="00166BBE" w:rsidRPr="00AE1A66" w:rsidRDefault="00166BBE" w:rsidP="003D0E72">
            <w:pPr>
              <w:pStyle w:val="Tabletext"/>
            </w:pPr>
          </w:p>
        </w:tc>
        <w:tc>
          <w:tcPr>
            <w:tcW w:w="0" w:type="auto"/>
          </w:tcPr>
          <w:p w14:paraId="1E9E81B4" w14:textId="77777777" w:rsidR="00166BBE" w:rsidRPr="00817067" w:rsidRDefault="00166BBE" w:rsidP="003D0E72">
            <w:pPr>
              <w:pStyle w:val="Tabletext"/>
              <w:rPr>
                <w:lang w:eastAsia="en-AU"/>
              </w:rPr>
            </w:pPr>
            <w:r w:rsidRPr="00817067">
              <w:rPr>
                <w:kern w:val="24"/>
                <w:lang w:eastAsia="en-AU"/>
              </w:rPr>
              <w:t>Proportion of children entering primary school with dental decay</w:t>
            </w:r>
          </w:p>
        </w:tc>
        <w:tc>
          <w:tcPr>
            <w:tcW w:w="0" w:type="auto"/>
          </w:tcPr>
          <w:p w14:paraId="41E29A6D" w14:textId="77777777" w:rsidR="00166BBE" w:rsidRPr="00817067" w:rsidRDefault="00166BBE" w:rsidP="003D0E72">
            <w:pPr>
              <w:pStyle w:val="Tabletext"/>
            </w:pPr>
            <w:r w:rsidRPr="00933C73">
              <w:t>Proportion of children with at least one decayed, missing or filled primary (baby) or permanent (adult) tooth</w:t>
            </w:r>
          </w:p>
        </w:tc>
        <w:tc>
          <w:tcPr>
            <w:tcW w:w="0" w:type="auto"/>
          </w:tcPr>
          <w:p w14:paraId="2D4B1EBE" w14:textId="77777777" w:rsidR="00166BBE" w:rsidRPr="00817067" w:rsidRDefault="00166BBE" w:rsidP="003D0E72">
            <w:pPr>
              <w:pStyle w:val="Tabletext"/>
            </w:pPr>
            <w:r w:rsidRPr="00756527">
              <w:t>DHSV</w:t>
            </w:r>
          </w:p>
        </w:tc>
        <w:tc>
          <w:tcPr>
            <w:tcW w:w="0" w:type="auto"/>
          </w:tcPr>
          <w:p w14:paraId="35E71C04" w14:textId="77777777" w:rsidR="00166BBE" w:rsidRPr="00817067" w:rsidRDefault="00166BBE" w:rsidP="003D0E72">
            <w:pPr>
              <w:pStyle w:val="Tabletext"/>
            </w:pPr>
          </w:p>
        </w:tc>
        <w:tc>
          <w:tcPr>
            <w:tcW w:w="0" w:type="auto"/>
          </w:tcPr>
          <w:p w14:paraId="7E2A99BE" w14:textId="77777777" w:rsidR="00166BBE" w:rsidRPr="00817067" w:rsidRDefault="00166BBE" w:rsidP="003D0E72">
            <w:pPr>
              <w:pStyle w:val="Tabletext"/>
            </w:pPr>
            <w:r w:rsidRPr="00817067">
              <w:t>1.1.</w:t>
            </w:r>
            <w:r>
              <w:t>7.2</w:t>
            </w:r>
          </w:p>
        </w:tc>
      </w:tr>
      <w:tr w:rsidR="006B70B0" w:rsidRPr="00817067" w14:paraId="1A0B87A6" w14:textId="77777777" w:rsidTr="00C50035">
        <w:tc>
          <w:tcPr>
            <w:tcW w:w="0" w:type="auto"/>
          </w:tcPr>
          <w:p w14:paraId="4C8061DA" w14:textId="77777777" w:rsidR="00166BBE" w:rsidRPr="00AE1A66" w:rsidRDefault="00166BBE" w:rsidP="003D0E72">
            <w:pPr>
              <w:pStyle w:val="Tabletext"/>
            </w:pPr>
          </w:p>
        </w:tc>
        <w:tc>
          <w:tcPr>
            <w:tcW w:w="0" w:type="auto"/>
          </w:tcPr>
          <w:p w14:paraId="7436C10F" w14:textId="77777777" w:rsidR="00166BBE" w:rsidRPr="00817067" w:rsidRDefault="00166BBE" w:rsidP="003D0E72">
            <w:pPr>
              <w:pStyle w:val="Tabletext"/>
            </w:pPr>
            <w:r w:rsidRPr="00817067">
              <w:t>Self-reported dental health of adults</w:t>
            </w:r>
          </w:p>
        </w:tc>
        <w:tc>
          <w:tcPr>
            <w:tcW w:w="0" w:type="auto"/>
          </w:tcPr>
          <w:p w14:paraId="7399469F" w14:textId="77777777" w:rsidR="00166BBE" w:rsidRPr="00817067" w:rsidRDefault="00166BBE" w:rsidP="003D0E72">
            <w:pPr>
              <w:pStyle w:val="Tabletext"/>
            </w:pPr>
            <w:r w:rsidRPr="00817067">
              <w:t>Self-reported dental health of adults</w:t>
            </w:r>
          </w:p>
        </w:tc>
        <w:tc>
          <w:tcPr>
            <w:tcW w:w="0" w:type="auto"/>
          </w:tcPr>
          <w:p w14:paraId="5A372A6F" w14:textId="77777777" w:rsidR="00166BBE" w:rsidRPr="00817067" w:rsidRDefault="00166BBE" w:rsidP="003D0E72">
            <w:pPr>
              <w:pStyle w:val="Tabletext"/>
            </w:pPr>
            <w:r w:rsidRPr="00817067">
              <w:t>VPHS</w:t>
            </w:r>
          </w:p>
        </w:tc>
        <w:tc>
          <w:tcPr>
            <w:tcW w:w="0" w:type="auto"/>
          </w:tcPr>
          <w:p w14:paraId="1163DB17" w14:textId="77777777" w:rsidR="00166BBE" w:rsidRPr="00817067" w:rsidRDefault="00166BBE" w:rsidP="003D0E72">
            <w:pPr>
              <w:pStyle w:val="Tabletext"/>
            </w:pPr>
          </w:p>
        </w:tc>
        <w:tc>
          <w:tcPr>
            <w:tcW w:w="0" w:type="auto"/>
          </w:tcPr>
          <w:p w14:paraId="3ED8B103" w14:textId="77777777" w:rsidR="00166BBE" w:rsidRPr="00817067" w:rsidRDefault="00166BBE" w:rsidP="003D0E72">
            <w:pPr>
              <w:pStyle w:val="Tabletext"/>
            </w:pPr>
            <w:r w:rsidRPr="00817067">
              <w:t>1.1.</w:t>
            </w:r>
            <w:r>
              <w:t>7.3</w:t>
            </w:r>
          </w:p>
        </w:tc>
      </w:tr>
      <w:tr w:rsidR="000C6471" w:rsidRPr="00817067" w14:paraId="366A5C6F" w14:textId="77777777" w:rsidTr="00C50035">
        <w:tc>
          <w:tcPr>
            <w:tcW w:w="0" w:type="auto"/>
            <w:shd w:val="clear" w:color="auto" w:fill="F2F2F2" w:themeFill="background1" w:themeFillShade="F2"/>
          </w:tcPr>
          <w:p w14:paraId="475FB0B0" w14:textId="77777777" w:rsidR="00166BBE" w:rsidRPr="00AE1A66" w:rsidRDefault="00166BBE" w:rsidP="003D0E72">
            <w:pPr>
              <w:pStyle w:val="Tabletext"/>
            </w:pPr>
            <w:r w:rsidRPr="00AE1A66">
              <w:t>Antimicrobial resistance</w:t>
            </w:r>
          </w:p>
        </w:tc>
        <w:tc>
          <w:tcPr>
            <w:tcW w:w="0" w:type="auto"/>
            <w:shd w:val="clear" w:color="auto" w:fill="F2F2F2" w:themeFill="background1" w:themeFillShade="F2"/>
          </w:tcPr>
          <w:p w14:paraId="3D0A316B" w14:textId="77777777" w:rsidR="00166BBE" w:rsidRPr="00817067" w:rsidRDefault="00166BBE" w:rsidP="003D0E72">
            <w:pPr>
              <w:pStyle w:val="Tabletext"/>
            </w:pPr>
            <w:r>
              <w:t>Decrease antimicrobial resistance</w:t>
            </w:r>
          </w:p>
        </w:tc>
        <w:tc>
          <w:tcPr>
            <w:tcW w:w="0" w:type="auto"/>
            <w:shd w:val="clear" w:color="auto" w:fill="F2F2F2" w:themeFill="background1" w:themeFillShade="F2"/>
          </w:tcPr>
          <w:p w14:paraId="4B16BBC6" w14:textId="77777777" w:rsidR="00166BBE" w:rsidRPr="00817067" w:rsidRDefault="00166BBE" w:rsidP="003D0E72">
            <w:pPr>
              <w:pStyle w:val="Tabletext"/>
            </w:pPr>
            <w:r w:rsidRPr="00817067">
              <w:rPr>
                <w:rFonts w:eastAsia="Arial"/>
              </w:rPr>
              <w:t>Proportion of resistant gonorrhoea notifications</w:t>
            </w:r>
          </w:p>
        </w:tc>
        <w:tc>
          <w:tcPr>
            <w:tcW w:w="0" w:type="auto"/>
            <w:shd w:val="clear" w:color="auto" w:fill="F2F2F2" w:themeFill="background1" w:themeFillShade="F2"/>
          </w:tcPr>
          <w:p w14:paraId="422E75F8" w14:textId="77777777" w:rsidR="00166BBE" w:rsidRPr="00817067" w:rsidRDefault="00166BBE" w:rsidP="003D0E72">
            <w:pPr>
              <w:pStyle w:val="Tabletext"/>
            </w:pPr>
            <w:r w:rsidRPr="00933C73">
              <w:t>PHESS</w:t>
            </w:r>
          </w:p>
        </w:tc>
        <w:tc>
          <w:tcPr>
            <w:tcW w:w="0" w:type="auto"/>
            <w:shd w:val="clear" w:color="auto" w:fill="F2F2F2" w:themeFill="background1" w:themeFillShade="F2"/>
          </w:tcPr>
          <w:p w14:paraId="0B70792C" w14:textId="77777777" w:rsidR="00166BBE" w:rsidRPr="00817067" w:rsidRDefault="00166BBE" w:rsidP="003D0E72">
            <w:pPr>
              <w:pStyle w:val="Tabletext"/>
            </w:pPr>
          </w:p>
        </w:tc>
        <w:tc>
          <w:tcPr>
            <w:tcW w:w="0" w:type="auto"/>
            <w:shd w:val="clear" w:color="auto" w:fill="F2F2F2" w:themeFill="background1" w:themeFillShade="F2"/>
          </w:tcPr>
          <w:p w14:paraId="1B736EB2" w14:textId="74634B59" w:rsidR="00166BBE" w:rsidRPr="00660A5E" w:rsidRDefault="00166BBE" w:rsidP="003D0E72">
            <w:pPr>
              <w:pStyle w:val="Tabletext"/>
              <w:rPr>
                <w:i/>
              </w:rPr>
            </w:pPr>
            <w:r w:rsidRPr="00817067">
              <w:t>1.1.8</w:t>
            </w:r>
            <w:r>
              <w:t>.1</w:t>
            </w:r>
            <w:r w:rsidR="006B70B0">
              <w:rPr>
                <w:i/>
              </w:rPr>
              <w:t xml:space="preserve"> </w:t>
            </w:r>
          </w:p>
        </w:tc>
      </w:tr>
      <w:tr w:rsidR="006B70B0" w:rsidRPr="00817067" w14:paraId="186317E7" w14:textId="77777777" w:rsidTr="00C50035">
        <w:tc>
          <w:tcPr>
            <w:tcW w:w="0" w:type="auto"/>
          </w:tcPr>
          <w:p w14:paraId="2968E9E3" w14:textId="77777777" w:rsidR="00166BBE" w:rsidRPr="00AE1A66" w:rsidRDefault="00166BBE" w:rsidP="00810D01">
            <w:pPr>
              <w:pStyle w:val="Tabletext"/>
              <w:rPr>
                <w:color w:val="000000" w:themeColor="dark1"/>
                <w:kern w:val="24"/>
                <w:lang w:eastAsia="en-AU"/>
              </w:rPr>
            </w:pPr>
            <w:r w:rsidRPr="00AE1A66">
              <w:rPr>
                <w:color w:val="000000" w:themeColor="dark1"/>
                <w:kern w:val="24"/>
                <w:lang w:eastAsia="en-AU"/>
              </w:rPr>
              <w:t>Increase sexual and reproductive health</w:t>
            </w:r>
          </w:p>
        </w:tc>
        <w:tc>
          <w:tcPr>
            <w:tcW w:w="0" w:type="auto"/>
          </w:tcPr>
          <w:p w14:paraId="38E181F5" w14:textId="77777777" w:rsidR="00166BBE" w:rsidRPr="00817067" w:rsidRDefault="00166BBE" w:rsidP="00810D01">
            <w:pPr>
              <w:pStyle w:val="Tabletext"/>
            </w:pPr>
            <w:r w:rsidRPr="00817067">
              <w:rPr>
                <w:rFonts w:eastAsia="Arial"/>
              </w:rPr>
              <w:t xml:space="preserve">Notification rate of newly diagnosed HIV </w:t>
            </w:r>
          </w:p>
        </w:tc>
        <w:tc>
          <w:tcPr>
            <w:tcW w:w="0" w:type="auto"/>
          </w:tcPr>
          <w:p w14:paraId="3E435B56" w14:textId="77777777" w:rsidR="00166BBE" w:rsidRPr="00933C73" w:rsidRDefault="00166BBE" w:rsidP="00810D01">
            <w:pPr>
              <w:pStyle w:val="Tabletext"/>
            </w:pPr>
            <w:r w:rsidRPr="00933C73">
              <w:rPr>
                <w:rFonts w:eastAsia="Arial"/>
              </w:rPr>
              <w:t xml:space="preserve">Notification rate of newly diagnosed HIV </w:t>
            </w:r>
          </w:p>
        </w:tc>
        <w:tc>
          <w:tcPr>
            <w:tcW w:w="0" w:type="auto"/>
          </w:tcPr>
          <w:p w14:paraId="3913C916" w14:textId="77777777" w:rsidR="00166BBE" w:rsidRPr="00817067" w:rsidRDefault="00166BBE" w:rsidP="00810D01">
            <w:pPr>
              <w:pStyle w:val="Tabletext"/>
            </w:pPr>
            <w:r w:rsidRPr="00817067">
              <w:t>PHESS</w:t>
            </w:r>
          </w:p>
        </w:tc>
        <w:tc>
          <w:tcPr>
            <w:tcW w:w="0" w:type="auto"/>
          </w:tcPr>
          <w:p w14:paraId="47161879" w14:textId="77777777" w:rsidR="00166BBE" w:rsidRPr="00817067" w:rsidRDefault="00166BBE" w:rsidP="00810D01">
            <w:pPr>
              <w:pStyle w:val="Tabletext"/>
            </w:pPr>
            <w:r w:rsidRPr="00D70932">
              <w:t>Virtually eliminate HIV transmission by 2030</w:t>
            </w:r>
          </w:p>
        </w:tc>
        <w:tc>
          <w:tcPr>
            <w:tcW w:w="0" w:type="auto"/>
          </w:tcPr>
          <w:p w14:paraId="35B5BEBD" w14:textId="77777777" w:rsidR="00166BBE" w:rsidRPr="00817067" w:rsidRDefault="00166BBE" w:rsidP="00810D01">
            <w:pPr>
              <w:pStyle w:val="Tabletext"/>
            </w:pPr>
            <w:r w:rsidRPr="00817067">
              <w:t>1.1.9</w:t>
            </w:r>
            <w:r>
              <w:t>.1</w:t>
            </w:r>
          </w:p>
        </w:tc>
      </w:tr>
      <w:tr w:rsidR="006B70B0" w:rsidRPr="00817067" w14:paraId="23385669" w14:textId="77777777" w:rsidTr="00C50035">
        <w:tc>
          <w:tcPr>
            <w:tcW w:w="0" w:type="auto"/>
          </w:tcPr>
          <w:p w14:paraId="2C98B816" w14:textId="77777777" w:rsidR="00166BBE" w:rsidRPr="00817067" w:rsidRDefault="00166BBE" w:rsidP="00810D01">
            <w:pPr>
              <w:pStyle w:val="Tabletext"/>
            </w:pPr>
          </w:p>
        </w:tc>
        <w:tc>
          <w:tcPr>
            <w:tcW w:w="0" w:type="auto"/>
          </w:tcPr>
          <w:p w14:paraId="79DADC2F" w14:textId="77777777" w:rsidR="00166BBE" w:rsidRPr="00817067" w:rsidRDefault="00166BBE" w:rsidP="00810D01">
            <w:pPr>
              <w:pStyle w:val="Tabletext"/>
            </w:pPr>
            <w:r w:rsidRPr="00817067">
              <w:t xml:space="preserve">Notification rate of newly diagnosed hepatitis C </w:t>
            </w:r>
          </w:p>
        </w:tc>
        <w:tc>
          <w:tcPr>
            <w:tcW w:w="0" w:type="auto"/>
          </w:tcPr>
          <w:p w14:paraId="5C3E001E" w14:textId="77777777" w:rsidR="00166BBE" w:rsidRPr="00933C73" w:rsidRDefault="00166BBE" w:rsidP="00810D01">
            <w:pPr>
              <w:pStyle w:val="Tabletext"/>
            </w:pPr>
            <w:r w:rsidRPr="00933C73">
              <w:t xml:space="preserve">Notification rate of newly diagnosed hepatitis C </w:t>
            </w:r>
          </w:p>
        </w:tc>
        <w:tc>
          <w:tcPr>
            <w:tcW w:w="0" w:type="auto"/>
          </w:tcPr>
          <w:p w14:paraId="51976147" w14:textId="77777777" w:rsidR="00166BBE" w:rsidRPr="00817067" w:rsidRDefault="00166BBE" w:rsidP="00810D01">
            <w:pPr>
              <w:pStyle w:val="Tabletext"/>
            </w:pPr>
            <w:r w:rsidRPr="00817067">
              <w:t>PHESS</w:t>
            </w:r>
          </w:p>
        </w:tc>
        <w:tc>
          <w:tcPr>
            <w:tcW w:w="0" w:type="auto"/>
          </w:tcPr>
          <w:p w14:paraId="377BCD97" w14:textId="3208628E" w:rsidR="00166BBE" w:rsidRPr="00817067" w:rsidRDefault="00166BBE" w:rsidP="00810D01">
            <w:pPr>
              <w:pStyle w:val="Tabletext"/>
            </w:pPr>
            <w:r w:rsidRPr="00817067">
              <w:t>90</w:t>
            </w:r>
            <w:r w:rsidR="003A249A">
              <w:t xml:space="preserve"> percent</w:t>
            </w:r>
            <w:r w:rsidRPr="00817067">
              <w:t xml:space="preserve"> reduction in the number of new infections </w:t>
            </w:r>
            <w:r w:rsidRPr="00817067">
              <w:lastRenderedPageBreak/>
              <w:t>of hepatitis B and C by 2030</w:t>
            </w:r>
          </w:p>
        </w:tc>
        <w:tc>
          <w:tcPr>
            <w:tcW w:w="0" w:type="auto"/>
          </w:tcPr>
          <w:p w14:paraId="238AE9CE" w14:textId="77777777" w:rsidR="00166BBE" w:rsidRPr="00817067" w:rsidRDefault="00166BBE" w:rsidP="00810D01">
            <w:pPr>
              <w:pStyle w:val="Tabletext"/>
            </w:pPr>
            <w:r w:rsidRPr="00817067">
              <w:lastRenderedPageBreak/>
              <w:t>1.1.</w:t>
            </w:r>
            <w:r>
              <w:t>9.2</w:t>
            </w:r>
          </w:p>
        </w:tc>
      </w:tr>
      <w:tr w:rsidR="006B70B0" w:rsidRPr="00817067" w14:paraId="3D07BA0F" w14:textId="77777777" w:rsidTr="00C50035">
        <w:tc>
          <w:tcPr>
            <w:tcW w:w="0" w:type="auto"/>
          </w:tcPr>
          <w:p w14:paraId="4357B410" w14:textId="77777777" w:rsidR="00166BBE" w:rsidRPr="00817067" w:rsidRDefault="00166BBE" w:rsidP="00810D01">
            <w:pPr>
              <w:pStyle w:val="Tabletext"/>
            </w:pPr>
          </w:p>
        </w:tc>
        <w:tc>
          <w:tcPr>
            <w:tcW w:w="0" w:type="auto"/>
          </w:tcPr>
          <w:p w14:paraId="16A3B350" w14:textId="77777777" w:rsidR="00166BBE" w:rsidRPr="00817067" w:rsidRDefault="00166BBE" w:rsidP="00810D01">
            <w:pPr>
              <w:pStyle w:val="Tabletext"/>
            </w:pPr>
            <w:r w:rsidRPr="00817067">
              <w:t>Proportion of people testing positive for Chlamydia</w:t>
            </w:r>
          </w:p>
        </w:tc>
        <w:tc>
          <w:tcPr>
            <w:tcW w:w="0" w:type="auto"/>
          </w:tcPr>
          <w:p w14:paraId="2122D450" w14:textId="77777777" w:rsidR="00166BBE" w:rsidRPr="00817067" w:rsidRDefault="00166BBE" w:rsidP="00810D01">
            <w:pPr>
              <w:pStyle w:val="Tabletext"/>
            </w:pPr>
            <w:r w:rsidRPr="00817067">
              <w:t>Proportion of people testing positive for Chlamydia</w:t>
            </w:r>
          </w:p>
        </w:tc>
        <w:tc>
          <w:tcPr>
            <w:tcW w:w="0" w:type="auto"/>
          </w:tcPr>
          <w:p w14:paraId="5037C925" w14:textId="77777777" w:rsidR="00166BBE" w:rsidRPr="00817067" w:rsidRDefault="00166BBE" w:rsidP="00810D01">
            <w:pPr>
              <w:pStyle w:val="Tabletext"/>
            </w:pPr>
            <w:r w:rsidRPr="004B776E">
              <w:t>ACCESS</w:t>
            </w:r>
            <w:r>
              <w:t>/CD</w:t>
            </w:r>
          </w:p>
        </w:tc>
        <w:tc>
          <w:tcPr>
            <w:tcW w:w="0" w:type="auto"/>
          </w:tcPr>
          <w:p w14:paraId="072C603E" w14:textId="1816E273" w:rsidR="00166BBE" w:rsidRPr="00817067" w:rsidRDefault="00166BBE" w:rsidP="00810D01">
            <w:pPr>
              <w:pStyle w:val="Tabletext"/>
            </w:pPr>
            <w:r w:rsidRPr="00CC7095">
              <w:t>Reduce the prevalence of chlamydia, gonorrhoea and infectious syphilis by 2030</w:t>
            </w:r>
          </w:p>
        </w:tc>
        <w:tc>
          <w:tcPr>
            <w:tcW w:w="0" w:type="auto"/>
          </w:tcPr>
          <w:p w14:paraId="4C74EF28" w14:textId="77777777" w:rsidR="00166BBE" w:rsidRPr="00817067" w:rsidRDefault="00166BBE" w:rsidP="00810D01">
            <w:pPr>
              <w:pStyle w:val="Tabletext"/>
            </w:pPr>
            <w:r w:rsidRPr="00817067">
              <w:t>1.1.</w:t>
            </w:r>
            <w:r>
              <w:t>9.3</w:t>
            </w:r>
          </w:p>
        </w:tc>
      </w:tr>
      <w:tr w:rsidR="006B70B0" w:rsidRPr="00817067" w14:paraId="4D08A631" w14:textId="77777777" w:rsidTr="00C50035">
        <w:tc>
          <w:tcPr>
            <w:tcW w:w="0" w:type="auto"/>
          </w:tcPr>
          <w:p w14:paraId="6C7993D5" w14:textId="77777777" w:rsidR="00166BBE" w:rsidRPr="00817067" w:rsidRDefault="00166BBE" w:rsidP="00810D01">
            <w:pPr>
              <w:pStyle w:val="Tabletext"/>
            </w:pPr>
          </w:p>
        </w:tc>
        <w:tc>
          <w:tcPr>
            <w:tcW w:w="0" w:type="auto"/>
          </w:tcPr>
          <w:p w14:paraId="0F295009" w14:textId="77777777" w:rsidR="00166BBE" w:rsidRPr="00817067" w:rsidRDefault="00166BBE" w:rsidP="00810D01">
            <w:pPr>
              <w:pStyle w:val="Tabletext"/>
            </w:pPr>
            <w:r w:rsidRPr="00817067">
              <w:t>Notification rate for gonorrhoea</w:t>
            </w:r>
          </w:p>
        </w:tc>
        <w:tc>
          <w:tcPr>
            <w:tcW w:w="0" w:type="auto"/>
          </w:tcPr>
          <w:p w14:paraId="3EF03446" w14:textId="20E71164" w:rsidR="00166BBE" w:rsidRPr="00817067" w:rsidRDefault="00166BBE" w:rsidP="00810D01">
            <w:pPr>
              <w:pStyle w:val="Tabletext"/>
            </w:pPr>
            <w:r w:rsidRPr="00817067">
              <w:t xml:space="preserve">Notification rate </w:t>
            </w:r>
            <w:r w:rsidR="00C67454">
              <w:t>for</w:t>
            </w:r>
            <w:r w:rsidRPr="00817067">
              <w:t xml:space="preserve"> gonorrhoea</w:t>
            </w:r>
          </w:p>
        </w:tc>
        <w:tc>
          <w:tcPr>
            <w:tcW w:w="0" w:type="auto"/>
          </w:tcPr>
          <w:p w14:paraId="20123474" w14:textId="77777777" w:rsidR="00166BBE" w:rsidRPr="00817067" w:rsidRDefault="00166BBE" w:rsidP="00810D01">
            <w:pPr>
              <w:pStyle w:val="Tabletext"/>
            </w:pPr>
            <w:r w:rsidRPr="00817067">
              <w:t>PHESS</w:t>
            </w:r>
          </w:p>
        </w:tc>
        <w:tc>
          <w:tcPr>
            <w:tcW w:w="0" w:type="auto"/>
          </w:tcPr>
          <w:p w14:paraId="75730381" w14:textId="77777777" w:rsidR="00166BBE" w:rsidRPr="00817067" w:rsidRDefault="00166BBE" w:rsidP="00810D01">
            <w:pPr>
              <w:pStyle w:val="Tabletext"/>
            </w:pPr>
          </w:p>
        </w:tc>
        <w:tc>
          <w:tcPr>
            <w:tcW w:w="0" w:type="auto"/>
          </w:tcPr>
          <w:p w14:paraId="1E94C9A6" w14:textId="0C89244D" w:rsidR="00166BBE" w:rsidRPr="00660A5E" w:rsidRDefault="00166BBE" w:rsidP="00810D01">
            <w:pPr>
              <w:pStyle w:val="Tabletext"/>
              <w:rPr>
                <w:i/>
              </w:rPr>
            </w:pPr>
            <w:r w:rsidRPr="00817067">
              <w:t>1.1.</w:t>
            </w:r>
            <w:r>
              <w:t>9.4</w:t>
            </w:r>
            <w:r w:rsidR="006B70B0">
              <w:t xml:space="preserve"> </w:t>
            </w:r>
          </w:p>
        </w:tc>
      </w:tr>
      <w:tr w:rsidR="006B70B0" w:rsidRPr="00817067" w14:paraId="3AC0570C" w14:textId="77777777" w:rsidTr="00C50035">
        <w:tc>
          <w:tcPr>
            <w:tcW w:w="0" w:type="auto"/>
          </w:tcPr>
          <w:p w14:paraId="5FDC8B2D" w14:textId="77777777" w:rsidR="00166BBE" w:rsidRPr="00817067" w:rsidRDefault="00166BBE" w:rsidP="00810D01">
            <w:pPr>
              <w:pStyle w:val="Tabletext"/>
            </w:pPr>
          </w:p>
        </w:tc>
        <w:tc>
          <w:tcPr>
            <w:tcW w:w="0" w:type="auto"/>
          </w:tcPr>
          <w:p w14:paraId="2AD43456" w14:textId="77777777" w:rsidR="00166BBE" w:rsidRPr="00817067" w:rsidRDefault="00166BBE" w:rsidP="00810D01">
            <w:pPr>
              <w:pStyle w:val="Tabletext"/>
            </w:pPr>
            <w:r w:rsidRPr="00817067">
              <w:t>Syphilis cases pregnant at diagnosis</w:t>
            </w:r>
          </w:p>
        </w:tc>
        <w:tc>
          <w:tcPr>
            <w:tcW w:w="0" w:type="auto"/>
          </w:tcPr>
          <w:p w14:paraId="29E88BCE" w14:textId="77777777" w:rsidR="00166BBE" w:rsidRPr="00817067" w:rsidRDefault="00166BBE" w:rsidP="00810D01">
            <w:pPr>
              <w:pStyle w:val="Tabletext"/>
            </w:pPr>
            <w:r>
              <w:t>Notification rate of syphilis in pregnant women</w:t>
            </w:r>
          </w:p>
        </w:tc>
        <w:tc>
          <w:tcPr>
            <w:tcW w:w="0" w:type="auto"/>
          </w:tcPr>
          <w:p w14:paraId="59481907" w14:textId="77777777" w:rsidR="00166BBE" w:rsidRPr="00817067" w:rsidRDefault="00166BBE" w:rsidP="00810D01">
            <w:pPr>
              <w:pStyle w:val="Tabletext"/>
            </w:pPr>
            <w:r w:rsidRPr="00817067">
              <w:t>PHESS</w:t>
            </w:r>
          </w:p>
        </w:tc>
        <w:tc>
          <w:tcPr>
            <w:tcW w:w="0" w:type="auto"/>
          </w:tcPr>
          <w:p w14:paraId="3DF50E6A" w14:textId="77777777" w:rsidR="00166BBE" w:rsidRPr="00817067" w:rsidRDefault="00166BBE" w:rsidP="00810D01">
            <w:pPr>
              <w:pStyle w:val="Tabletext"/>
            </w:pPr>
            <w:r w:rsidRPr="00817067">
              <w:t>Eliminate congenital syphilis by 2030</w:t>
            </w:r>
          </w:p>
        </w:tc>
        <w:tc>
          <w:tcPr>
            <w:tcW w:w="0" w:type="auto"/>
          </w:tcPr>
          <w:p w14:paraId="7D36CF6C" w14:textId="77777777" w:rsidR="00166BBE" w:rsidRPr="00817067" w:rsidRDefault="00166BBE" w:rsidP="00810D01">
            <w:pPr>
              <w:pStyle w:val="Tabletext"/>
            </w:pPr>
            <w:r w:rsidRPr="00817067">
              <w:t>1.1.</w:t>
            </w:r>
            <w:r>
              <w:t>9.5</w:t>
            </w:r>
          </w:p>
        </w:tc>
      </w:tr>
      <w:tr w:rsidR="006B70B0" w:rsidRPr="00817067" w14:paraId="2920932D" w14:textId="77777777" w:rsidTr="00C50035">
        <w:tc>
          <w:tcPr>
            <w:tcW w:w="0" w:type="auto"/>
          </w:tcPr>
          <w:p w14:paraId="7FD84817" w14:textId="77777777" w:rsidR="00166BBE" w:rsidRPr="00817067" w:rsidRDefault="00166BBE" w:rsidP="00810D01">
            <w:pPr>
              <w:pStyle w:val="Tabletext"/>
            </w:pPr>
          </w:p>
        </w:tc>
        <w:tc>
          <w:tcPr>
            <w:tcW w:w="0" w:type="auto"/>
          </w:tcPr>
          <w:p w14:paraId="2752874E" w14:textId="77777777" w:rsidR="00166BBE" w:rsidRPr="00817067" w:rsidRDefault="00166BBE" w:rsidP="00810D01">
            <w:pPr>
              <w:pStyle w:val="Tabletext"/>
            </w:pPr>
            <w:r w:rsidRPr="00817067">
              <w:t>Cervical cancer incidence</w:t>
            </w:r>
          </w:p>
        </w:tc>
        <w:tc>
          <w:tcPr>
            <w:tcW w:w="0" w:type="auto"/>
          </w:tcPr>
          <w:p w14:paraId="241D7302" w14:textId="77777777" w:rsidR="00166BBE" w:rsidRPr="00817067" w:rsidRDefault="00166BBE" w:rsidP="00810D01">
            <w:pPr>
              <w:pStyle w:val="Tabletext"/>
            </w:pPr>
            <w:r>
              <w:t>Number and rate of invasive</w:t>
            </w:r>
            <w:r w:rsidRPr="00914D51">
              <w:t xml:space="preserve"> of cervical cancer </w:t>
            </w:r>
            <w:r>
              <w:t>diagnoses per year</w:t>
            </w:r>
          </w:p>
        </w:tc>
        <w:tc>
          <w:tcPr>
            <w:tcW w:w="0" w:type="auto"/>
          </w:tcPr>
          <w:p w14:paraId="18D1EBFF" w14:textId="77777777" w:rsidR="00166BBE" w:rsidRPr="00817067" w:rsidRDefault="00166BBE" w:rsidP="00810D01">
            <w:pPr>
              <w:pStyle w:val="Tabletext"/>
            </w:pPr>
            <w:r w:rsidRPr="00817067">
              <w:t>VCR</w:t>
            </w:r>
          </w:p>
        </w:tc>
        <w:tc>
          <w:tcPr>
            <w:tcW w:w="0" w:type="auto"/>
          </w:tcPr>
          <w:p w14:paraId="48574810" w14:textId="77777777" w:rsidR="00166BBE" w:rsidRPr="00817067" w:rsidRDefault="00166BBE" w:rsidP="00810D01">
            <w:pPr>
              <w:pStyle w:val="Tabletext"/>
            </w:pPr>
            <w:r w:rsidRPr="00817067">
              <w:t>Eliminate cervical cancer as a public health problem in Victoria (2035)</w:t>
            </w:r>
          </w:p>
        </w:tc>
        <w:tc>
          <w:tcPr>
            <w:tcW w:w="0" w:type="auto"/>
          </w:tcPr>
          <w:p w14:paraId="57747104" w14:textId="77777777" w:rsidR="00166BBE" w:rsidRPr="00817067" w:rsidRDefault="00166BBE" w:rsidP="00810D01">
            <w:pPr>
              <w:pStyle w:val="Tabletext"/>
            </w:pPr>
            <w:r w:rsidRPr="00817067">
              <w:t>1.1.</w:t>
            </w:r>
            <w:r>
              <w:t>9.6</w:t>
            </w:r>
          </w:p>
        </w:tc>
      </w:tr>
      <w:tr w:rsidR="006B70B0" w:rsidRPr="00817067" w14:paraId="4D20112E" w14:textId="77777777" w:rsidTr="00C50035">
        <w:tc>
          <w:tcPr>
            <w:tcW w:w="0" w:type="auto"/>
          </w:tcPr>
          <w:p w14:paraId="61BAEE53" w14:textId="77777777" w:rsidR="00166BBE" w:rsidRPr="00817067" w:rsidRDefault="00166BBE" w:rsidP="00810D01">
            <w:pPr>
              <w:pStyle w:val="Tabletext"/>
            </w:pPr>
          </w:p>
        </w:tc>
        <w:tc>
          <w:tcPr>
            <w:tcW w:w="0" w:type="auto"/>
          </w:tcPr>
          <w:p w14:paraId="5B55E335" w14:textId="146873C9" w:rsidR="00166BBE" w:rsidRPr="00817067" w:rsidRDefault="00166BBE" w:rsidP="00810D01">
            <w:pPr>
              <w:pStyle w:val="Tabletext"/>
            </w:pPr>
            <w:r w:rsidRPr="00817067">
              <w:t>HPV vaccination coverage for adolescents turning 15</w:t>
            </w:r>
            <w:r w:rsidR="000A06D8">
              <w:t xml:space="preserve"> </w:t>
            </w:r>
            <w:r w:rsidR="000A06D8" w:rsidRPr="4DF26571">
              <w:t>years of age</w:t>
            </w:r>
          </w:p>
        </w:tc>
        <w:tc>
          <w:tcPr>
            <w:tcW w:w="0" w:type="auto"/>
          </w:tcPr>
          <w:p w14:paraId="08FA482A" w14:textId="77777777" w:rsidR="00166BBE" w:rsidRPr="00817067" w:rsidRDefault="00166BBE" w:rsidP="00810D01">
            <w:pPr>
              <w:pStyle w:val="Tabletext"/>
            </w:pPr>
            <w:r w:rsidRPr="4DF26571">
              <w:t>HPV vaccination coverage for adolescents turning 15 years of age</w:t>
            </w:r>
          </w:p>
        </w:tc>
        <w:tc>
          <w:tcPr>
            <w:tcW w:w="0" w:type="auto"/>
          </w:tcPr>
          <w:p w14:paraId="04AF39EB" w14:textId="77777777" w:rsidR="00166BBE" w:rsidRPr="00817067" w:rsidRDefault="00166BBE" w:rsidP="00810D01">
            <w:pPr>
              <w:pStyle w:val="Tabletext"/>
              <w:rPr>
                <w:highlight w:val="yellow"/>
              </w:rPr>
            </w:pPr>
            <w:r w:rsidRPr="00933C73">
              <w:t>AIR</w:t>
            </w:r>
          </w:p>
        </w:tc>
        <w:tc>
          <w:tcPr>
            <w:tcW w:w="0" w:type="auto"/>
          </w:tcPr>
          <w:p w14:paraId="514DAADC" w14:textId="1A198728" w:rsidR="00166BBE" w:rsidRPr="00817067" w:rsidRDefault="00166BBE" w:rsidP="00810D01">
            <w:pPr>
              <w:pStyle w:val="Tabletext"/>
            </w:pPr>
            <w:r w:rsidRPr="00817067">
              <w:t xml:space="preserve">Achieve and maintain HPV adolescent vaccination coverage of </w:t>
            </w:r>
            <w:r>
              <w:t>8</w:t>
            </w:r>
            <w:r w:rsidRPr="00817067">
              <w:t>0</w:t>
            </w:r>
            <w:r w:rsidR="003A249A">
              <w:t xml:space="preserve"> percent</w:t>
            </w:r>
            <w:r w:rsidRPr="00817067">
              <w:t xml:space="preserve"> by 2030</w:t>
            </w:r>
          </w:p>
        </w:tc>
        <w:tc>
          <w:tcPr>
            <w:tcW w:w="0" w:type="auto"/>
          </w:tcPr>
          <w:p w14:paraId="2BA0A67F" w14:textId="77777777" w:rsidR="00166BBE" w:rsidRPr="00817067" w:rsidRDefault="00166BBE" w:rsidP="00810D01">
            <w:pPr>
              <w:pStyle w:val="Tabletext"/>
            </w:pPr>
            <w:r>
              <w:t>1.1.9.7</w:t>
            </w:r>
          </w:p>
        </w:tc>
      </w:tr>
    </w:tbl>
    <w:p w14:paraId="38F4F71A" w14:textId="3880EAD0" w:rsidR="0073562D" w:rsidRDefault="0073562D" w:rsidP="00810D01">
      <w:pPr>
        <w:pStyle w:val="Tablecaption"/>
      </w:pPr>
      <w:r>
        <w:t xml:space="preserve">Table </w:t>
      </w:r>
      <w:r>
        <w:fldChar w:fldCharType="begin"/>
      </w:r>
      <w:r>
        <w:instrText xml:space="preserve"> SEQ Table \* ARABIC </w:instrText>
      </w:r>
      <w:r>
        <w:fldChar w:fldCharType="separate"/>
      </w:r>
      <w:r w:rsidR="00B035D1">
        <w:rPr>
          <w:noProof/>
        </w:rPr>
        <w:t>5</w:t>
      </w:r>
      <w:r>
        <w:fldChar w:fldCharType="end"/>
      </w:r>
      <w:r>
        <w:t xml:space="preserve">. </w:t>
      </w:r>
      <w:r w:rsidRPr="00561CFE">
        <w:t>Outcome 1.2: Victorians enjoy high levels of mental health</w:t>
      </w:r>
    </w:p>
    <w:tbl>
      <w:tblPr>
        <w:tblStyle w:val="TableGridLight"/>
        <w:tblW w:w="0" w:type="auto"/>
        <w:tblLook w:val="04A0" w:firstRow="1" w:lastRow="0" w:firstColumn="1" w:lastColumn="0" w:noHBand="0" w:noVBand="1"/>
      </w:tblPr>
      <w:tblGrid>
        <w:gridCol w:w="2603"/>
        <w:gridCol w:w="3092"/>
        <w:gridCol w:w="3257"/>
        <w:gridCol w:w="1465"/>
        <w:gridCol w:w="2627"/>
        <w:gridCol w:w="1232"/>
      </w:tblGrid>
      <w:tr w:rsidR="005A3073" w:rsidRPr="005A3073" w14:paraId="6E88F1BE" w14:textId="77777777" w:rsidTr="00AC6525">
        <w:trPr>
          <w:trHeight w:val="300"/>
          <w:tblHeader/>
        </w:trPr>
        <w:tc>
          <w:tcPr>
            <w:tcW w:w="0" w:type="auto"/>
            <w:shd w:val="clear" w:color="auto" w:fill="4F81BD" w:themeFill="accent1"/>
            <w:vAlign w:val="center"/>
          </w:tcPr>
          <w:p w14:paraId="49FFC91A" w14:textId="77777777" w:rsidR="00166BBE" w:rsidRPr="00810D01" w:rsidRDefault="00166BBE" w:rsidP="00810D01">
            <w:pPr>
              <w:pStyle w:val="Tablecolhead"/>
              <w:rPr>
                <w:b w:val="0"/>
                <w:color w:val="FFFFFF" w:themeColor="background1"/>
              </w:rPr>
            </w:pPr>
            <w:r w:rsidRPr="00810D01">
              <w:rPr>
                <w:color w:val="FFFFFF" w:themeColor="background1"/>
              </w:rPr>
              <w:t>Indicator</w:t>
            </w:r>
          </w:p>
        </w:tc>
        <w:tc>
          <w:tcPr>
            <w:tcW w:w="0" w:type="auto"/>
            <w:shd w:val="clear" w:color="auto" w:fill="4F81BD" w:themeFill="accent1"/>
            <w:vAlign w:val="center"/>
          </w:tcPr>
          <w:p w14:paraId="74D2B825" w14:textId="77777777" w:rsidR="00166BBE" w:rsidRPr="00810D01" w:rsidRDefault="00166BBE" w:rsidP="00810D01">
            <w:pPr>
              <w:pStyle w:val="Tablecolhead"/>
              <w:rPr>
                <w:b w:val="0"/>
                <w:color w:val="FFFFFF" w:themeColor="background1"/>
              </w:rPr>
            </w:pPr>
            <w:r w:rsidRPr="00810D01">
              <w:rPr>
                <w:color w:val="FFFFFF" w:themeColor="background1"/>
              </w:rPr>
              <w:t>Measure</w:t>
            </w:r>
          </w:p>
        </w:tc>
        <w:tc>
          <w:tcPr>
            <w:tcW w:w="0" w:type="auto"/>
            <w:shd w:val="clear" w:color="auto" w:fill="4F81BD" w:themeFill="accent1"/>
            <w:vAlign w:val="center"/>
          </w:tcPr>
          <w:p w14:paraId="52EF4B24" w14:textId="77777777" w:rsidR="00166BBE" w:rsidRPr="00810D01" w:rsidRDefault="00166BBE" w:rsidP="00810D01">
            <w:pPr>
              <w:pStyle w:val="Tablecolhead"/>
              <w:rPr>
                <w:b w:val="0"/>
                <w:color w:val="FFFFFF" w:themeColor="background1"/>
              </w:rPr>
            </w:pPr>
            <w:r w:rsidRPr="00810D01">
              <w:rPr>
                <w:color w:val="FFFFFF" w:themeColor="background1"/>
              </w:rPr>
              <w:t>Measure detail</w:t>
            </w:r>
          </w:p>
        </w:tc>
        <w:tc>
          <w:tcPr>
            <w:tcW w:w="0" w:type="auto"/>
            <w:shd w:val="clear" w:color="auto" w:fill="4F81BD" w:themeFill="accent1"/>
            <w:vAlign w:val="center"/>
          </w:tcPr>
          <w:p w14:paraId="41228CE7" w14:textId="77777777" w:rsidR="00166BBE" w:rsidRPr="00810D01" w:rsidRDefault="00166BBE" w:rsidP="00810D01">
            <w:pPr>
              <w:pStyle w:val="Tablecolhead"/>
              <w:rPr>
                <w:b w:val="0"/>
                <w:color w:val="FFFFFF" w:themeColor="background1"/>
              </w:rPr>
            </w:pPr>
            <w:r w:rsidRPr="00810D01">
              <w:rPr>
                <w:color w:val="FFFFFF" w:themeColor="background1"/>
              </w:rPr>
              <w:t>Source</w:t>
            </w:r>
          </w:p>
        </w:tc>
        <w:tc>
          <w:tcPr>
            <w:tcW w:w="0" w:type="auto"/>
            <w:shd w:val="clear" w:color="auto" w:fill="4F81BD" w:themeFill="accent1"/>
            <w:vAlign w:val="center"/>
          </w:tcPr>
          <w:p w14:paraId="6584582D" w14:textId="77777777" w:rsidR="00166BBE" w:rsidRPr="00810D01" w:rsidRDefault="00166BBE" w:rsidP="00810D01">
            <w:pPr>
              <w:pStyle w:val="Tablecolhead"/>
              <w:rPr>
                <w:b w:val="0"/>
                <w:color w:val="FFFFFF" w:themeColor="background1"/>
              </w:rPr>
            </w:pPr>
            <w:r w:rsidRPr="00810D01">
              <w:rPr>
                <w:color w:val="FFFFFF" w:themeColor="background1"/>
              </w:rPr>
              <w:t>Target</w:t>
            </w:r>
          </w:p>
        </w:tc>
        <w:tc>
          <w:tcPr>
            <w:tcW w:w="0" w:type="auto"/>
            <w:shd w:val="clear" w:color="auto" w:fill="4F81BD" w:themeFill="accent1"/>
            <w:vAlign w:val="center"/>
          </w:tcPr>
          <w:p w14:paraId="2137A385" w14:textId="77777777" w:rsidR="00166BBE" w:rsidRPr="00810D01" w:rsidRDefault="00166BBE" w:rsidP="00810D01">
            <w:pPr>
              <w:pStyle w:val="Tablecolhead"/>
              <w:rPr>
                <w:b w:val="0"/>
                <w:color w:val="FFFFFF" w:themeColor="background1"/>
              </w:rPr>
            </w:pPr>
            <w:r w:rsidRPr="00810D01">
              <w:rPr>
                <w:color w:val="FFFFFF" w:themeColor="background1"/>
              </w:rPr>
              <w:t>Reference</w:t>
            </w:r>
          </w:p>
        </w:tc>
      </w:tr>
      <w:tr w:rsidR="005A3073" w:rsidRPr="00817067" w14:paraId="7A5AD8D2" w14:textId="77777777" w:rsidTr="00622B3D">
        <w:tc>
          <w:tcPr>
            <w:tcW w:w="0" w:type="auto"/>
          </w:tcPr>
          <w:p w14:paraId="16AEEA5B" w14:textId="3707D230" w:rsidR="00166BBE" w:rsidRPr="00AE1A66" w:rsidRDefault="00166BBE" w:rsidP="00810D01">
            <w:pPr>
              <w:pStyle w:val="Tabletext"/>
            </w:pPr>
            <w:r w:rsidRPr="00AE1A66">
              <w:t>Increase Victorians</w:t>
            </w:r>
            <w:r w:rsidR="00481D3C">
              <w:t>’</w:t>
            </w:r>
            <w:r w:rsidRPr="00AE1A66">
              <w:t xml:space="preserve"> experience of good mental health and wellbeing</w:t>
            </w:r>
          </w:p>
        </w:tc>
        <w:tc>
          <w:tcPr>
            <w:tcW w:w="0" w:type="auto"/>
          </w:tcPr>
          <w:p w14:paraId="4F6160ED" w14:textId="77777777" w:rsidR="00166BBE" w:rsidRPr="00817067" w:rsidRDefault="00166BBE" w:rsidP="00810D01">
            <w:pPr>
              <w:pStyle w:val="Tabletext"/>
            </w:pPr>
            <w:r w:rsidRPr="00817067">
              <w:t>Life satisfaction of adults</w:t>
            </w:r>
            <w:r>
              <w:t xml:space="preserve"> and adolescents</w:t>
            </w:r>
          </w:p>
        </w:tc>
        <w:tc>
          <w:tcPr>
            <w:tcW w:w="0" w:type="auto"/>
          </w:tcPr>
          <w:p w14:paraId="65D042F4" w14:textId="77777777" w:rsidR="00166BBE" w:rsidRPr="00817067" w:rsidRDefault="00166BBE" w:rsidP="00810D01">
            <w:pPr>
              <w:pStyle w:val="Tabletext"/>
            </w:pPr>
            <w:r w:rsidRPr="00817067">
              <w:t>Proportion of adults who reported high or very high satisfaction with their lives</w:t>
            </w:r>
          </w:p>
        </w:tc>
        <w:tc>
          <w:tcPr>
            <w:tcW w:w="0" w:type="auto"/>
          </w:tcPr>
          <w:p w14:paraId="01A58933" w14:textId="77777777" w:rsidR="00166BBE" w:rsidRPr="00817067" w:rsidRDefault="00166BBE" w:rsidP="00810D01">
            <w:pPr>
              <w:pStyle w:val="Tabletext"/>
            </w:pPr>
            <w:r w:rsidRPr="00817067">
              <w:t>VPHS</w:t>
            </w:r>
          </w:p>
        </w:tc>
        <w:tc>
          <w:tcPr>
            <w:tcW w:w="0" w:type="auto"/>
          </w:tcPr>
          <w:p w14:paraId="468D14FC" w14:textId="77777777" w:rsidR="00166BBE" w:rsidRPr="00817067" w:rsidRDefault="00166BBE" w:rsidP="00810D01">
            <w:pPr>
              <w:pStyle w:val="Tabletext"/>
            </w:pPr>
          </w:p>
        </w:tc>
        <w:tc>
          <w:tcPr>
            <w:tcW w:w="0" w:type="auto"/>
          </w:tcPr>
          <w:p w14:paraId="2D6AEEE0" w14:textId="77777777" w:rsidR="00166BBE" w:rsidRPr="00817067" w:rsidRDefault="00166BBE" w:rsidP="00810D01">
            <w:pPr>
              <w:pStyle w:val="Tabletext"/>
            </w:pPr>
            <w:r w:rsidRPr="00817067">
              <w:t>1.2.1</w:t>
            </w:r>
            <w:r>
              <w:t>.1 a</w:t>
            </w:r>
          </w:p>
        </w:tc>
      </w:tr>
      <w:tr w:rsidR="005A3073" w:rsidRPr="00817067" w14:paraId="019EC81C" w14:textId="77777777" w:rsidTr="00622B3D">
        <w:tc>
          <w:tcPr>
            <w:tcW w:w="0" w:type="auto"/>
          </w:tcPr>
          <w:p w14:paraId="0A3CDB24" w14:textId="77777777" w:rsidR="00166BBE" w:rsidRPr="00AE1A66" w:rsidRDefault="00166BBE" w:rsidP="009F4577">
            <w:pPr>
              <w:pStyle w:val="Tabletext"/>
            </w:pPr>
          </w:p>
        </w:tc>
        <w:tc>
          <w:tcPr>
            <w:tcW w:w="0" w:type="auto"/>
          </w:tcPr>
          <w:p w14:paraId="5BAFA874" w14:textId="77777777" w:rsidR="00166BBE" w:rsidRPr="00817067" w:rsidRDefault="00166BBE" w:rsidP="009F4577">
            <w:pPr>
              <w:pStyle w:val="Tabletext"/>
            </w:pPr>
          </w:p>
        </w:tc>
        <w:tc>
          <w:tcPr>
            <w:tcW w:w="0" w:type="auto"/>
          </w:tcPr>
          <w:p w14:paraId="7CDE42B4" w14:textId="77777777" w:rsidR="00166BBE" w:rsidRPr="00817067" w:rsidRDefault="00166BBE" w:rsidP="009F4577">
            <w:pPr>
              <w:pStyle w:val="Tabletext"/>
            </w:pPr>
            <w:r w:rsidRPr="00B52B0C">
              <w:t>Proportion of adolescents satisfied with their life</w:t>
            </w:r>
          </w:p>
        </w:tc>
        <w:tc>
          <w:tcPr>
            <w:tcW w:w="0" w:type="auto"/>
          </w:tcPr>
          <w:p w14:paraId="75B1E80D" w14:textId="77777777" w:rsidR="00166BBE" w:rsidRPr="00817067" w:rsidRDefault="00166BBE" w:rsidP="009F4577">
            <w:pPr>
              <w:pStyle w:val="Tabletext"/>
            </w:pPr>
            <w:r w:rsidRPr="00D81EC0">
              <w:t>HILDA</w:t>
            </w:r>
          </w:p>
        </w:tc>
        <w:tc>
          <w:tcPr>
            <w:tcW w:w="0" w:type="auto"/>
          </w:tcPr>
          <w:p w14:paraId="452033E2" w14:textId="77777777" w:rsidR="00166BBE" w:rsidRPr="00817067" w:rsidRDefault="00166BBE" w:rsidP="009F4577">
            <w:pPr>
              <w:pStyle w:val="Tabletext"/>
            </w:pPr>
          </w:p>
        </w:tc>
        <w:tc>
          <w:tcPr>
            <w:tcW w:w="0" w:type="auto"/>
          </w:tcPr>
          <w:p w14:paraId="7F7333FF" w14:textId="77777777" w:rsidR="00166BBE" w:rsidRPr="00817067" w:rsidRDefault="00166BBE" w:rsidP="009F4577">
            <w:pPr>
              <w:pStyle w:val="Tabletext"/>
            </w:pPr>
            <w:r>
              <w:t>1.2.1.1 b</w:t>
            </w:r>
          </w:p>
        </w:tc>
      </w:tr>
      <w:tr w:rsidR="005A3073" w:rsidRPr="00817067" w14:paraId="748F5AF6" w14:textId="77777777" w:rsidTr="00622B3D">
        <w:tc>
          <w:tcPr>
            <w:tcW w:w="0" w:type="auto"/>
          </w:tcPr>
          <w:p w14:paraId="436F810F" w14:textId="77777777" w:rsidR="00166BBE" w:rsidRPr="00AE1A66" w:rsidRDefault="00166BBE" w:rsidP="009F4577">
            <w:pPr>
              <w:pStyle w:val="Tabletext"/>
            </w:pPr>
          </w:p>
        </w:tc>
        <w:tc>
          <w:tcPr>
            <w:tcW w:w="0" w:type="auto"/>
          </w:tcPr>
          <w:p w14:paraId="27B700B5" w14:textId="60C91E07" w:rsidR="00166BBE" w:rsidRPr="00817067" w:rsidRDefault="00166BBE" w:rsidP="009F4577">
            <w:pPr>
              <w:pStyle w:val="Tabletext"/>
            </w:pPr>
            <w:r w:rsidRPr="00150404">
              <w:t>Proportion of adults who report low</w:t>
            </w:r>
            <w:r w:rsidR="006D347A">
              <w:t>-</w:t>
            </w:r>
            <w:r w:rsidRPr="00150404">
              <w:t>to</w:t>
            </w:r>
            <w:r w:rsidR="006D347A">
              <w:t>-</w:t>
            </w:r>
            <w:r w:rsidRPr="00150404">
              <w:t>medium levels of feeling that life is worthwhile</w:t>
            </w:r>
          </w:p>
        </w:tc>
        <w:tc>
          <w:tcPr>
            <w:tcW w:w="0" w:type="auto"/>
          </w:tcPr>
          <w:p w14:paraId="32A2E00B" w14:textId="64148EF8" w:rsidR="00166BBE" w:rsidRPr="00817067" w:rsidRDefault="00166BBE" w:rsidP="009F4577">
            <w:pPr>
              <w:pStyle w:val="Tabletext"/>
            </w:pPr>
            <w:r w:rsidRPr="00817067">
              <w:t>Proportion of adults who report low</w:t>
            </w:r>
            <w:r w:rsidR="005E2679">
              <w:t>-</w:t>
            </w:r>
            <w:r w:rsidRPr="00817067">
              <w:t>to</w:t>
            </w:r>
            <w:r w:rsidR="005E2679">
              <w:t>-</w:t>
            </w:r>
            <w:r w:rsidRPr="00817067">
              <w:t>medium levels of feeling that life is worthwhile</w:t>
            </w:r>
          </w:p>
        </w:tc>
        <w:tc>
          <w:tcPr>
            <w:tcW w:w="0" w:type="auto"/>
          </w:tcPr>
          <w:p w14:paraId="2D79D9FE" w14:textId="77777777" w:rsidR="00166BBE" w:rsidRPr="00817067" w:rsidRDefault="00166BBE" w:rsidP="009F4577">
            <w:pPr>
              <w:pStyle w:val="Tabletext"/>
            </w:pPr>
            <w:r w:rsidRPr="00817067">
              <w:t>VPHS</w:t>
            </w:r>
          </w:p>
        </w:tc>
        <w:tc>
          <w:tcPr>
            <w:tcW w:w="0" w:type="auto"/>
          </w:tcPr>
          <w:p w14:paraId="36ACB081" w14:textId="77777777" w:rsidR="00166BBE" w:rsidRPr="00817067" w:rsidRDefault="00166BBE" w:rsidP="009F4577">
            <w:pPr>
              <w:pStyle w:val="Tabletext"/>
            </w:pPr>
          </w:p>
        </w:tc>
        <w:tc>
          <w:tcPr>
            <w:tcW w:w="0" w:type="auto"/>
          </w:tcPr>
          <w:p w14:paraId="19FC066E" w14:textId="77777777" w:rsidR="00166BBE" w:rsidRPr="00817067" w:rsidRDefault="00166BBE" w:rsidP="009F4577">
            <w:pPr>
              <w:pStyle w:val="Tabletext"/>
            </w:pPr>
            <w:r>
              <w:t>1.2.1.2</w:t>
            </w:r>
          </w:p>
        </w:tc>
      </w:tr>
      <w:tr w:rsidR="005A3073" w:rsidRPr="00817067" w14:paraId="5932A9CC" w14:textId="77777777" w:rsidTr="00622B3D">
        <w:tc>
          <w:tcPr>
            <w:tcW w:w="0" w:type="auto"/>
          </w:tcPr>
          <w:p w14:paraId="3AA187A1" w14:textId="77777777" w:rsidR="00166BBE" w:rsidRPr="00AE1A66" w:rsidRDefault="00166BBE" w:rsidP="009F4577">
            <w:pPr>
              <w:pStyle w:val="Tabletext"/>
            </w:pPr>
          </w:p>
        </w:tc>
        <w:tc>
          <w:tcPr>
            <w:tcW w:w="0" w:type="auto"/>
          </w:tcPr>
          <w:p w14:paraId="61DCF37E" w14:textId="77777777" w:rsidR="00166BBE" w:rsidRPr="00817067" w:rsidRDefault="00166BBE" w:rsidP="009F4577">
            <w:pPr>
              <w:pStyle w:val="Tabletext"/>
            </w:pPr>
            <w:r w:rsidRPr="00817067">
              <w:t>Proportion of people who are lonely</w:t>
            </w:r>
          </w:p>
        </w:tc>
        <w:tc>
          <w:tcPr>
            <w:tcW w:w="0" w:type="auto"/>
          </w:tcPr>
          <w:p w14:paraId="747617F7" w14:textId="77777777" w:rsidR="00166BBE" w:rsidRPr="00817067" w:rsidRDefault="00166BBE" w:rsidP="009F4577">
            <w:pPr>
              <w:pStyle w:val="Tabletext"/>
            </w:pPr>
            <w:r w:rsidRPr="00817067">
              <w:t>Proportion of people who are lonely</w:t>
            </w:r>
          </w:p>
        </w:tc>
        <w:tc>
          <w:tcPr>
            <w:tcW w:w="0" w:type="auto"/>
          </w:tcPr>
          <w:p w14:paraId="71824DD9" w14:textId="77777777" w:rsidR="00166BBE" w:rsidRPr="00817067" w:rsidRDefault="00166BBE" w:rsidP="009F4577">
            <w:pPr>
              <w:pStyle w:val="Tabletext"/>
            </w:pPr>
            <w:r w:rsidRPr="00817067">
              <w:t>VPHS</w:t>
            </w:r>
          </w:p>
        </w:tc>
        <w:tc>
          <w:tcPr>
            <w:tcW w:w="0" w:type="auto"/>
          </w:tcPr>
          <w:p w14:paraId="2EF1660F" w14:textId="77777777" w:rsidR="00166BBE" w:rsidRPr="00817067" w:rsidRDefault="00166BBE" w:rsidP="009F4577">
            <w:pPr>
              <w:pStyle w:val="Tabletext"/>
            </w:pPr>
          </w:p>
        </w:tc>
        <w:tc>
          <w:tcPr>
            <w:tcW w:w="0" w:type="auto"/>
          </w:tcPr>
          <w:p w14:paraId="7DE51A66" w14:textId="77777777" w:rsidR="00166BBE" w:rsidRPr="00817067" w:rsidRDefault="00166BBE" w:rsidP="009F4577">
            <w:pPr>
              <w:pStyle w:val="Tabletext"/>
            </w:pPr>
            <w:r>
              <w:t>1.2.1.3</w:t>
            </w:r>
          </w:p>
        </w:tc>
      </w:tr>
      <w:tr w:rsidR="005A3073" w:rsidRPr="00817067" w14:paraId="3186CD8C" w14:textId="77777777" w:rsidTr="00622B3D">
        <w:tc>
          <w:tcPr>
            <w:tcW w:w="0" w:type="auto"/>
          </w:tcPr>
          <w:p w14:paraId="07A8E2EF" w14:textId="77777777" w:rsidR="00166BBE" w:rsidRPr="00AE1A66" w:rsidRDefault="00166BBE" w:rsidP="009F4577">
            <w:pPr>
              <w:pStyle w:val="Tabletext"/>
            </w:pPr>
          </w:p>
        </w:tc>
        <w:tc>
          <w:tcPr>
            <w:tcW w:w="0" w:type="auto"/>
          </w:tcPr>
          <w:p w14:paraId="7516ACE8" w14:textId="77777777" w:rsidR="00166BBE" w:rsidRPr="00817067" w:rsidRDefault="00166BBE" w:rsidP="009F4577">
            <w:pPr>
              <w:pStyle w:val="Tabletext"/>
            </w:pPr>
            <w:r w:rsidRPr="00817067">
              <w:t>Proportion of adults diagnosed with depression and/or anxiety</w:t>
            </w:r>
          </w:p>
        </w:tc>
        <w:tc>
          <w:tcPr>
            <w:tcW w:w="0" w:type="auto"/>
          </w:tcPr>
          <w:p w14:paraId="01F4486E" w14:textId="77777777" w:rsidR="00166BBE" w:rsidRPr="00817067" w:rsidRDefault="00166BBE" w:rsidP="009F4577">
            <w:pPr>
              <w:pStyle w:val="Tabletext"/>
            </w:pPr>
            <w:r w:rsidRPr="00817067">
              <w:t>Proportion of adults who were diagnosed by a doctor in the past year with depression and/or anxiety</w:t>
            </w:r>
          </w:p>
        </w:tc>
        <w:tc>
          <w:tcPr>
            <w:tcW w:w="0" w:type="auto"/>
          </w:tcPr>
          <w:p w14:paraId="138B5917" w14:textId="77777777" w:rsidR="00166BBE" w:rsidRPr="00817067" w:rsidRDefault="00166BBE" w:rsidP="009F4577">
            <w:pPr>
              <w:pStyle w:val="Tabletext"/>
            </w:pPr>
            <w:r w:rsidRPr="00817067">
              <w:t>VPHS</w:t>
            </w:r>
          </w:p>
        </w:tc>
        <w:tc>
          <w:tcPr>
            <w:tcW w:w="0" w:type="auto"/>
          </w:tcPr>
          <w:p w14:paraId="63E57284" w14:textId="77777777" w:rsidR="00166BBE" w:rsidRPr="00817067" w:rsidRDefault="00166BBE" w:rsidP="009F4577">
            <w:pPr>
              <w:pStyle w:val="Tabletext"/>
            </w:pPr>
          </w:p>
        </w:tc>
        <w:tc>
          <w:tcPr>
            <w:tcW w:w="0" w:type="auto"/>
          </w:tcPr>
          <w:p w14:paraId="74671468" w14:textId="77777777" w:rsidR="00166BBE" w:rsidRPr="00817067" w:rsidRDefault="00166BBE" w:rsidP="009F4577">
            <w:pPr>
              <w:pStyle w:val="Tabletext"/>
            </w:pPr>
            <w:r>
              <w:t>1.2.1.4</w:t>
            </w:r>
          </w:p>
        </w:tc>
      </w:tr>
      <w:tr w:rsidR="005A3073" w:rsidRPr="00817067" w14:paraId="0CBC45EF" w14:textId="77777777" w:rsidTr="00622B3D">
        <w:tc>
          <w:tcPr>
            <w:tcW w:w="0" w:type="auto"/>
            <w:shd w:val="clear" w:color="auto" w:fill="F2F2F2" w:themeFill="background1" w:themeFillShade="F2"/>
          </w:tcPr>
          <w:p w14:paraId="1B883FC4" w14:textId="77777777" w:rsidR="00166BBE" w:rsidRPr="00AE1A66" w:rsidRDefault="00166BBE" w:rsidP="009F4577">
            <w:pPr>
              <w:pStyle w:val="Tabletext"/>
            </w:pPr>
            <w:r w:rsidRPr="00AE1A66">
              <w:t>Decrease suicide and psychological distress</w:t>
            </w:r>
          </w:p>
        </w:tc>
        <w:tc>
          <w:tcPr>
            <w:tcW w:w="0" w:type="auto"/>
            <w:shd w:val="clear" w:color="auto" w:fill="F2F2F2" w:themeFill="background1" w:themeFillShade="F2"/>
          </w:tcPr>
          <w:p w14:paraId="5502F5C1" w14:textId="6C37F4AA" w:rsidR="00166BBE" w:rsidRPr="00817067" w:rsidRDefault="00166BBE" w:rsidP="009F4577">
            <w:pPr>
              <w:pStyle w:val="Tabletext"/>
            </w:pPr>
            <w:r w:rsidRPr="00817067">
              <w:rPr>
                <w:color w:val="000000"/>
                <w:lang w:eastAsia="en-AU"/>
              </w:rPr>
              <w:t xml:space="preserve">Proportion of adults </w:t>
            </w:r>
            <w:r w:rsidR="00FF7795">
              <w:t xml:space="preserve">and </w:t>
            </w:r>
            <w:r w:rsidR="00F6390B">
              <w:t>young people</w:t>
            </w:r>
            <w:r w:rsidR="00FF7795" w:rsidRPr="00817067">
              <w:rPr>
                <w:color w:val="000000"/>
                <w:lang w:eastAsia="en-AU"/>
              </w:rPr>
              <w:t xml:space="preserve"> </w:t>
            </w:r>
            <w:r w:rsidRPr="00817067">
              <w:rPr>
                <w:color w:val="000000"/>
                <w:lang w:eastAsia="en-AU"/>
              </w:rPr>
              <w:t>with psychological distress</w:t>
            </w:r>
          </w:p>
        </w:tc>
        <w:tc>
          <w:tcPr>
            <w:tcW w:w="0" w:type="auto"/>
            <w:shd w:val="clear" w:color="auto" w:fill="F2F2F2" w:themeFill="background1" w:themeFillShade="F2"/>
          </w:tcPr>
          <w:p w14:paraId="6D9AC5C0" w14:textId="77777777" w:rsidR="00166BBE" w:rsidRPr="00817067" w:rsidRDefault="00166BBE" w:rsidP="009F4577">
            <w:pPr>
              <w:pStyle w:val="Tabletext"/>
            </w:pPr>
            <w:r w:rsidRPr="00817067">
              <w:t>Proportion of adults who report high or very high psychological distress</w:t>
            </w:r>
          </w:p>
        </w:tc>
        <w:tc>
          <w:tcPr>
            <w:tcW w:w="0" w:type="auto"/>
            <w:shd w:val="clear" w:color="auto" w:fill="F2F2F2" w:themeFill="background1" w:themeFillShade="F2"/>
          </w:tcPr>
          <w:p w14:paraId="65A15261" w14:textId="77777777" w:rsidR="00166BBE" w:rsidRPr="00817067" w:rsidRDefault="00166BBE" w:rsidP="009F4577">
            <w:pPr>
              <w:pStyle w:val="Tabletext"/>
            </w:pPr>
            <w:r w:rsidRPr="00817067">
              <w:t>VPHS</w:t>
            </w:r>
          </w:p>
        </w:tc>
        <w:tc>
          <w:tcPr>
            <w:tcW w:w="0" w:type="auto"/>
            <w:shd w:val="clear" w:color="auto" w:fill="F2F2F2" w:themeFill="background1" w:themeFillShade="F2"/>
          </w:tcPr>
          <w:p w14:paraId="78E24859" w14:textId="77777777" w:rsidR="00166BBE" w:rsidRPr="00817067" w:rsidRDefault="00166BBE" w:rsidP="009F4577">
            <w:pPr>
              <w:pStyle w:val="Tabletext"/>
            </w:pPr>
          </w:p>
        </w:tc>
        <w:tc>
          <w:tcPr>
            <w:tcW w:w="0" w:type="auto"/>
            <w:shd w:val="clear" w:color="auto" w:fill="F2F2F2" w:themeFill="background1" w:themeFillShade="F2"/>
          </w:tcPr>
          <w:p w14:paraId="1BFE7ADE" w14:textId="16647117" w:rsidR="00166BBE" w:rsidRPr="00817067" w:rsidRDefault="00166BBE" w:rsidP="009F4577">
            <w:pPr>
              <w:pStyle w:val="Tabletext"/>
            </w:pPr>
            <w:r>
              <w:t>1.2.2.1</w:t>
            </w:r>
            <w:r w:rsidR="000338D1">
              <w:t xml:space="preserve"> a</w:t>
            </w:r>
          </w:p>
        </w:tc>
      </w:tr>
      <w:tr w:rsidR="00A31995" w:rsidRPr="00817067" w14:paraId="667021D9" w14:textId="77777777" w:rsidTr="00622B3D">
        <w:tc>
          <w:tcPr>
            <w:tcW w:w="0" w:type="auto"/>
            <w:shd w:val="clear" w:color="auto" w:fill="F2F2F2" w:themeFill="background1" w:themeFillShade="F2"/>
          </w:tcPr>
          <w:p w14:paraId="06EDEB71" w14:textId="77777777" w:rsidR="00A31995" w:rsidRPr="00AE1A66" w:rsidRDefault="00A31995" w:rsidP="009F4577">
            <w:pPr>
              <w:pStyle w:val="Tabletext"/>
            </w:pPr>
          </w:p>
        </w:tc>
        <w:tc>
          <w:tcPr>
            <w:tcW w:w="0" w:type="auto"/>
            <w:shd w:val="clear" w:color="auto" w:fill="F2F2F2" w:themeFill="background1" w:themeFillShade="F2"/>
          </w:tcPr>
          <w:p w14:paraId="706E0965" w14:textId="77777777" w:rsidR="00A31995" w:rsidRPr="00817067" w:rsidRDefault="00A31995" w:rsidP="009F4577">
            <w:pPr>
              <w:pStyle w:val="Tabletext"/>
              <w:rPr>
                <w:color w:val="000000"/>
                <w:lang w:eastAsia="en-AU"/>
              </w:rPr>
            </w:pPr>
          </w:p>
        </w:tc>
        <w:tc>
          <w:tcPr>
            <w:tcW w:w="0" w:type="auto"/>
            <w:shd w:val="clear" w:color="auto" w:fill="F2F2F2" w:themeFill="background1" w:themeFillShade="F2"/>
          </w:tcPr>
          <w:p w14:paraId="486B5321" w14:textId="7391AA74" w:rsidR="00A31995" w:rsidRPr="00817067" w:rsidRDefault="00FF7795" w:rsidP="009F4577">
            <w:pPr>
              <w:pStyle w:val="Tabletext"/>
            </w:pPr>
            <w:r w:rsidRPr="00817067">
              <w:t xml:space="preserve">Proportion of </w:t>
            </w:r>
            <w:r w:rsidR="002815B0">
              <w:t>young people</w:t>
            </w:r>
            <w:r w:rsidRPr="00817067">
              <w:t xml:space="preserve"> who report high or very high psychological distress</w:t>
            </w:r>
          </w:p>
        </w:tc>
        <w:tc>
          <w:tcPr>
            <w:tcW w:w="0" w:type="auto"/>
            <w:shd w:val="clear" w:color="auto" w:fill="F2F2F2" w:themeFill="background1" w:themeFillShade="F2"/>
          </w:tcPr>
          <w:p w14:paraId="5860F5D3" w14:textId="47E435A3" w:rsidR="00A31995" w:rsidRPr="00817067" w:rsidRDefault="002815B0" w:rsidP="009F4577">
            <w:pPr>
              <w:pStyle w:val="Tabletext"/>
            </w:pPr>
            <w:r>
              <w:t>VPHS/</w:t>
            </w:r>
            <w:r w:rsidR="000338D1">
              <w:t>HILDA</w:t>
            </w:r>
          </w:p>
        </w:tc>
        <w:tc>
          <w:tcPr>
            <w:tcW w:w="0" w:type="auto"/>
            <w:shd w:val="clear" w:color="auto" w:fill="F2F2F2" w:themeFill="background1" w:themeFillShade="F2"/>
          </w:tcPr>
          <w:p w14:paraId="1AC37B84" w14:textId="77777777" w:rsidR="00A31995" w:rsidRPr="00817067" w:rsidRDefault="00A31995" w:rsidP="009F4577">
            <w:pPr>
              <w:pStyle w:val="Tabletext"/>
            </w:pPr>
          </w:p>
        </w:tc>
        <w:tc>
          <w:tcPr>
            <w:tcW w:w="0" w:type="auto"/>
            <w:shd w:val="clear" w:color="auto" w:fill="F2F2F2" w:themeFill="background1" w:themeFillShade="F2"/>
          </w:tcPr>
          <w:p w14:paraId="586644F4" w14:textId="131A5A87" w:rsidR="00A31995" w:rsidRDefault="000338D1" w:rsidP="009F4577">
            <w:pPr>
              <w:pStyle w:val="Tabletext"/>
            </w:pPr>
            <w:r>
              <w:t>1.2.2.1 b</w:t>
            </w:r>
          </w:p>
        </w:tc>
      </w:tr>
      <w:tr w:rsidR="005A3073" w:rsidRPr="00817067" w14:paraId="44D44E56" w14:textId="77777777" w:rsidTr="00622B3D">
        <w:tc>
          <w:tcPr>
            <w:tcW w:w="0" w:type="auto"/>
            <w:shd w:val="clear" w:color="auto" w:fill="F2F2F2" w:themeFill="background1" w:themeFillShade="F2"/>
          </w:tcPr>
          <w:p w14:paraId="2DD3868A" w14:textId="77777777" w:rsidR="00166BBE" w:rsidRPr="00817067" w:rsidRDefault="00166BBE" w:rsidP="009F4577">
            <w:pPr>
              <w:pStyle w:val="Tabletext"/>
            </w:pPr>
          </w:p>
        </w:tc>
        <w:tc>
          <w:tcPr>
            <w:tcW w:w="0" w:type="auto"/>
            <w:shd w:val="clear" w:color="auto" w:fill="F2F2F2" w:themeFill="background1" w:themeFillShade="F2"/>
          </w:tcPr>
          <w:p w14:paraId="26DD3620" w14:textId="77777777" w:rsidR="00166BBE" w:rsidRPr="00817067" w:rsidRDefault="00166BBE" w:rsidP="009F4577">
            <w:pPr>
              <w:pStyle w:val="Tabletext"/>
            </w:pPr>
            <w:r w:rsidRPr="00817067">
              <w:t>Suicide rate</w:t>
            </w:r>
          </w:p>
        </w:tc>
        <w:tc>
          <w:tcPr>
            <w:tcW w:w="0" w:type="auto"/>
            <w:shd w:val="clear" w:color="auto" w:fill="F2F2F2" w:themeFill="background1" w:themeFillShade="F2"/>
          </w:tcPr>
          <w:p w14:paraId="0F7222E0" w14:textId="77777777" w:rsidR="00166BBE" w:rsidRPr="00817067" w:rsidRDefault="00166BBE" w:rsidP="009F4577">
            <w:pPr>
              <w:pStyle w:val="Tabletext"/>
            </w:pPr>
            <w:r w:rsidRPr="00817067">
              <w:t>Suicide rate</w:t>
            </w:r>
          </w:p>
        </w:tc>
        <w:tc>
          <w:tcPr>
            <w:tcW w:w="0" w:type="auto"/>
            <w:shd w:val="clear" w:color="auto" w:fill="F2F2F2" w:themeFill="background1" w:themeFillShade="F2"/>
          </w:tcPr>
          <w:p w14:paraId="28B09629" w14:textId="77777777" w:rsidR="00166BBE" w:rsidRPr="00817067" w:rsidRDefault="00166BBE" w:rsidP="009F4577">
            <w:pPr>
              <w:pStyle w:val="Tabletext"/>
            </w:pPr>
            <w:r w:rsidRPr="006F1DB8">
              <w:t>ABS</w:t>
            </w:r>
            <w:r>
              <w:t>/CCV</w:t>
            </w:r>
          </w:p>
        </w:tc>
        <w:tc>
          <w:tcPr>
            <w:tcW w:w="0" w:type="auto"/>
            <w:shd w:val="clear" w:color="auto" w:fill="F2F2F2" w:themeFill="background1" w:themeFillShade="F2"/>
          </w:tcPr>
          <w:p w14:paraId="197D71DF" w14:textId="77777777" w:rsidR="00166BBE" w:rsidRPr="00817067" w:rsidRDefault="00166BBE" w:rsidP="009F4577">
            <w:pPr>
              <w:pStyle w:val="Tabletext"/>
            </w:pPr>
            <w:r w:rsidRPr="009C26D0">
              <w:t>Suicide rates have reduced equitably across all groups and communities</w:t>
            </w:r>
          </w:p>
        </w:tc>
        <w:tc>
          <w:tcPr>
            <w:tcW w:w="0" w:type="auto"/>
            <w:shd w:val="clear" w:color="auto" w:fill="F2F2F2" w:themeFill="background1" w:themeFillShade="F2"/>
          </w:tcPr>
          <w:p w14:paraId="7C863CB8" w14:textId="77777777" w:rsidR="00166BBE" w:rsidRPr="00817067" w:rsidRDefault="00166BBE" w:rsidP="009F4577">
            <w:pPr>
              <w:pStyle w:val="Tabletext"/>
            </w:pPr>
            <w:r>
              <w:t>1.2.2.2</w:t>
            </w:r>
          </w:p>
        </w:tc>
      </w:tr>
      <w:tr w:rsidR="005A3073" w:rsidRPr="00817067" w14:paraId="18090B8A" w14:textId="77777777" w:rsidTr="00622B3D">
        <w:tc>
          <w:tcPr>
            <w:tcW w:w="0" w:type="auto"/>
            <w:shd w:val="clear" w:color="auto" w:fill="F2F2F2" w:themeFill="background1" w:themeFillShade="F2"/>
          </w:tcPr>
          <w:p w14:paraId="1FCE1DE0" w14:textId="77777777" w:rsidR="00166BBE" w:rsidRPr="00817067" w:rsidRDefault="00166BBE" w:rsidP="009F4577">
            <w:pPr>
              <w:pStyle w:val="Tabletext"/>
            </w:pPr>
          </w:p>
        </w:tc>
        <w:tc>
          <w:tcPr>
            <w:tcW w:w="0" w:type="auto"/>
            <w:shd w:val="clear" w:color="auto" w:fill="F2F2F2" w:themeFill="background1" w:themeFillShade="F2"/>
          </w:tcPr>
          <w:p w14:paraId="415CCBAE" w14:textId="77777777" w:rsidR="00166BBE" w:rsidRPr="00817067" w:rsidRDefault="00166BBE" w:rsidP="009F4577">
            <w:pPr>
              <w:pStyle w:val="Tabletext"/>
            </w:pPr>
            <w:r w:rsidRPr="00817067">
              <w:t>Hospitalisations due to self-harm</w:t>
            </w:r>
          </w:p>
        </w:tc>
        <w:tc>
          <w:tcPr>
            <w:tcW w:w="0" w:type="auto"/>
            <w:shd w:val="clear" w:color="auto" w:fill="F2F2F2" w:themeFill="background1" w:themeFillShade="F2"/>
          </w:tcPr>
          <w:p w14:paraId="1FFE999F" w14:textId="16543D55" w:rsidR="00166BBE" w:rsidRPr="00817067" w:rsidRDefault="002C077F" w:rsidP="009F4577">
            <w:pPr>
              <w:pStyle w:val="Tabletext"/>
            </w:pPr>
            <w:r w:rsidRPr="007B5453">
              <w:rPr>
                <w:lang w:eastAsia="en-AU"/>
              </w:rPr>
              <w:t>To be reviewed</w:t>
            </w:r>
          </w:p>
        </w:tc>
        <w:tc>
          <w:tcPr>
            <w:tcW w:w="0" w:type="auto"/>
            <w:shd w:val="clear" w:color="auto" w:fill="F2F2F2" w:themeFill="background1" w:themeFillShade="F2"/>
          </w:tcPr>
          <w:p w14:paraId="05582036" w14:textId="32F17665" w:rsidR="00166BBE" w:rsidRPr="00817067" w:rsidRDefault="002C077F" w:rsidP="009F4577">
            <w:pPr>
              <w:pStyle w:val="Tabletext"/>
            </w:pPr>
            <w:r>
              <w:t>VEMD/</w:t>
            </w:r>
            <w:r w:rsidR="00166BBE" w:rsidRPr="00D76CF3">
              <w:t>VAED</w:t>
            </w:r>
          </w:p>
        </w:tc>
        <w:tc>
          <w:tcPr>
            <w:tcW w:w="0" w:type="auto"/>
            <w:shd w:val="clear" w:color="auto" w:fill="F2F2F2" w:themeFill="background1" w:themeFillShade="F2"/>
          </w:tcPr>
          <w:p w14:paraId="20D87AFB" w14:textId="77777777" w:rsidR="00166BBE" w:rsidRPr="00817067" w:rsidRDefault="00166BBE" w:rsidP="009F4577">
            <w:pPr>
              <w:pStyle w:val="Tabletext"/>
            </w:pPr>
          </w:p>
        </w:tc>
        <w:tc>
          <w:tcPr>
            <w:tcW w:w="0" w:type="auto"/>
            <w:shd w:val="clear" w:color="auto" w:fill="F2F2F2" w:themeFill="background1" w:themeFillShade="F2"/>
          </w:tcPr>
          <w:p w14:paraId="2BF2ADFA" w14:textId="77777777" w:rsidR="00166BBE" w:rsidRPr="00817067" w:rsidRDefault="00166BBE" w:rsidP="009F4577">
            <w:pPr>
              <w:pStyle w:val="Tabletext"/>
            </w:pPr>
            <w:r>
              <w:t>1.2.2.3</w:t>
            </w:r>
          </w:p>
        </w:tc>
      </w:tr>
      <w:tr w:rsidR="005A3073" w:rsidRPr="00817067" w14:paraId="2D6E342F" w14:textId="77777777" w:rsidTr="00622B3D">
        <w:tc>
          <w:tcPr>
            <w:tcW w:w="0" w:type="auto"/>
            <w:shd w:val="clear" w:color="auto" w:fill="F2F2F2" w:themeFill="background1" w:themeFillShade="F2"/>
          </w:tcPr>
          <w:p w14:paraId="2E0C7E0F" w14:textId="77777777" w:rsidR="00166BBE" w:rsidRPr="00817067" w:rsidRDefault="00166BBE" w:rsidP="009F4577">
            <w:pPr>
              <w:pStyle w:val="Tabletext"/>
            </w:pPr>
          </w:p>
        </w:tc>
        <w:tc>
          <w:tcPr>
            <w:tcW w:w="0" w:type="auto"/>
            <w:shd w:val="clear" w:color="auto" w:fill="F2F2F2" w:themeFill="background1" w:themeFillShade="F2"/>
          </w:tcPr>
          <w:p w14:paraId="304CBF85" w14:textId="77777777" w:rsidR="00166BBE" w:rsidRPr="00817067" w:rsidRDefault="00166BBE" w:rsidP="009F4577">
            <w:pPr>
              <w:pStyle w:val="Tabletext"/>
            </w:pPr>
            <w:r w:rsidRPr="00817067">
              <w:t>Ambulance attendances for suicidal and self-harm behaviours</w:t>
            </w:r>
          </w:p>
        </w:tc>
        <w:tc>
          <w:tcPr>
            <w:tcW w:w="0" w:type="auto"/>
            <w:shd w:val="clear" w:color="auto" w:fill="F2F2F2" w:themeFill="background1" w:themeFillShade="F2"/>
          </w:tcPr>
          <w:p w14:paraId="0B5C2264" w14:textId="77777777" w:rsidR="00166BBE" w:rsidRPr="00817067" w:rsidRDefault="00166BBE" w:rsidP="009F4577">
            <w:pPr>
              <w:pStyle w:val="Tabletext"/>
            </w:pPr>
            <w:r w:rsidRPr="00817067">
              <w:t>Rate of ambulance attendances for suicidal and self-harm behaviours</w:t>
            </w:r>
          </w:p>
        </w:tc>
        <w:tc>
          <w:tcPr>
            <w:tcW w:w="0" w:type="auto"/>
            <w:shd w:val="clear" w:color="auto" w:fill="F2F2F2" w:themeFill="background1" w:themeFillShade="F2"/>
          </w:tcPr>
          <w:p w14:paraId="68A01E55" w14:textId="77777777" w:rsidR="00166BBE" w:rsidRPr="00817067" w:rsidRDefault="00166BBE" w:rsidP="009F4577">
            <w:pPr>
              <w:pStyle w:val="Tabletext"/>
            </w:pPr>
            <w:r>
              <w:t>VACIS</w:t>
            </w:r>
          </w:p>
        </w:tc>
        <w:tc>
          <w:tcPr>
            <w:tcW w:w="0" w:type="auto"/>
            <w:shd w:val="clear" w:color="auto" w:fill="F2F2F2" w:themeFill="background1" w:themeFillShade="F2"/>
          </w:tcPr>
          <w:p w14:paraId="61B89212" w14:textId="77777777" w:rsidR="00166BBE" w:rsidRPr="00817067" w:rsidRDefault="00166BBE" w:rsidP="009F4577">
            <w:pPr>
              <w:pStyle w:val="Tabletext"/>
            </w:pPr>
          </w:p>
        </w:tc>
        <w:tc>
          <w:tcPr>
            <w:tcW w:w="0" w:type="auto"/>
            <w:shd w:val="clear" w:color="auto" w:fill="F2F2F2" w:themeFill="background1" w:themeFillShade="F2"/>
          </w:tcPr>
          <w:p w14:paraId="00C8ABA9" w14:textId="77777777" w:rsidR="00166BBE" w:rsidRPr="00817067" w:rsidRDefault="00166BBE" w:rsidP="009F4577">
            <w:pPr>
              <w:pStyle w:val="Tabletext"/>
            </w:pPr>
            <w:r>
              <w:t>1.2.2.4</w:t>
            </w:r>
          </w:p>
        </w:tc>
      </w:tr>
    </w:tbl>
    <w:p w14:paraId="38C8CB32" w14:textId="76A3044C" w:rsidR="008A4037" w:rsidRDefault="008A4037" w:rsidP="009D6639">
      <w:pPr>
        <w:pStyle w:val="Tablecaption"/>
      </w:pPr>
      <w:r>
        <w:t xml:space="preserve">Table </w:t>
      </w:r>
      <w:r>
        <w:fldChar w:fldCharType="begin"/>
      </w:r>
      <w:r>
        <w:instrText xml:space="preserve"> SEQ Table \* ARABIC </w:instrText>
      </w:r>
      <w:r>
        <w:fldChar w:fldCharType="separate"/>
      </w:r>
      <w:r w:rsidR="00B035D1">
        <w:rPr>
          <w:noProof/>
        </w:rPr>
        <w:t>6</w:t>
      </w:r>
      <w:r>
        <w:fldChar w:fldCharType="end"/>
      </w:r>
      <w:r>
        <w:t xml:space="preserve">. </w:t>
      </w:r>
      <w:r w:rsidRPr="002136CE">
        <w:t>Outcome 1.3: Victorians are supported to protect and promote health</w:t>
      </w:r>
    </w:p>
    <w:tbl>
      <w:tblPr>
        <w:tblStyle w:val="TableGridLight"/>
        <w:tblW w:w="14668" w:type="dxa"/>
        <w:tblLook w:val="04A0" w:firstRow="1" w:lastRow="0" w:firstColumn="1" w:lastColumn="0" w:noHBand="0" w:noVBand="1"/>
      </w:tblPr>
      <w:tblGrid>
        <w:gridCol w:w="2309"/>
        <w:gridCol w:w="3367"/>
        <w:gridCol w:w="3618"/>
        <w:gridCol w:w="1722"/>
        <w:gridCol w:w="2407"/>
        <w:gridCol w:w="1245"/>
      </w:tblGrid>
      <w:tr w:rsidR="001B5348" w:rsidRPr="001B5348" w14:paraId="3A3F8A38" w14:textId="77777777" w:rsidTr="006E3EB6">
        <w:trPr>
          <w:tblHeader/>
        </w:trPr>
        <w:tc>
          <w:tcPr>
            <w:tcW w:w="2309" w:type="dxa"/>
            <w:shd w:val="clear" w:color="auto" w:fill="4F81BD" w:themeFill="accent1"/>
            <w:vAlign w:val="center"/>
          </w:tcPr>
          <w:p w14:paraId="362FF895" w14:textId="77777777" w:rsidR="00166BBE" w:rsidRPr="00DE2270" w:rsidRDefault="00166BBE" w:rsidP="00DE2270">
            <w:pPr>
              <w:pStyle w:val="Tablecolhead"/>
              <w:rPr>
                <w:b w:val="0"/>
                <w:color w:val="FFFFFF" w:themeColor="background1"/>
              </w:rPr>
            </w:pPr>
            <w:r w:rsidRPr="00DE2270">
              <w:rPr>
                <w:color w:val="FFFFFF" w:themeColor="background1"/>
              </w:rPr>
              <w:t>Indicator</w:t>
            </w:r>
          </w:p>
        </w:tc>
        <w:tc>
          <w:tcPr>
            <w:tcW w:w="3367" w:type="dxa"/>
            <w:shd w:val="clear" w:color="auto" w:fill="4F81BD" w:themeFill="accent1"/>
            <w:vAlign w:val="center"/>
          </w:tcPr>
          <w:p w14:paraId="696043DE" w14:textId="77777777" w:rsidR="00166BBE" w:rsidRPr="00DE2270" w:rsidRDefault="00166BBE" w:rsidP="00DE2270">
            <w:pPr>
              <w:pStyle w:val="Tablecolhead"/>
              <w:rPr>
                <w:b w:val="0"/>
                <w:color w:val="FFFFFF" w:themeColor="background1"/>
              </w:rPr>
            </w:pPr>
            <w:r w:rsidRPr="00DE2270">
              <w:rPr>
                <w:color w:val="FFFFFF" w:themeColor="background1"/>
              </w:rPr>
              <w:t>Measure</w:t>
            </w:r>
          </w:p>
        </w:tc>
        <w:tc>
          <w:tcPr>
            <w:tcW w:w="3618" w:type="dxa"/>
            <w:shd w:val="clear" w:color="auto" w:fill="4F81BD" w:themeFill="accent1"/>
            <w:vAlign w:val="center"/>
          </w:tcPr>
          <w:p w14:paraId="2D189063" w14:textId="77777777" w:rsidR="00166BBE" w:rsidRPr="00DE2270" w:rsidRDefault="00166BBE" w:rsidP="00DE2270">
            <w:pPr>
              <w:pStyle w:val="Tablecolhead"/>
              <w:rPr>
                <w:b w:val="0"/>
                <w:color w:val="FFFFFF" w:themeColor="background1"/>
              </w:rPr>
            </w:pPr>
            <w:r w:rsidRPr="00DE2270">
              <w:rPr>
                <w:color w:val="FFFFFF" w:themeColor="background1"/>
              </w:rPr>
              <w:t>Measure detail</w:t>
            </w:r>
          </w:p>
        </w:tc>
        <w:tc>
          <w:tcPr>
            <w:tcW w:w="1722" w:type="dxa"/>
            <w:shd w:val="clear" w:color="auto" w:fill="4F81BD" w:themeFill="accent1"/>
            <w:vAlign w:val="center"/>
          </w:tcPr>
          <w:p w14:paraId="2267FFA8" w14:textId="77777777" w:rsidR="00166BBE" w:rsidRPr="00DE2270" w:rsidRDefault="00166BBE" w:rsidP="00DE2270">
            <w:pPr>
              <w:pStyle w:val="Tablecolhead"/>
              <w:rPr>
                <w:b w:val="0"/>
                <w:color w:val="FFFFFF" w:themeColor="background1"/>
              </w:rPr>
            </w:pPr>
            <w:r w:rsidRPr="00DE2270">
              <w:rPr>
                <w:color w:val="FFFFFF" w:themeColor="background1"/>
              </w:rPr>
              <w:t>Source</w:t>
            </w:r>
          </w:p>
        </w:tc>
        <w:tc>
          <w:tcPr>
            <w:tcW w:w="2407" w:type="dxa"/>
            <w:shd w:val="clear" w:color="auto" w:fill="4F81BD" w:themeFill="accent1"/>
            <w:vAlign w:val="center"/>
          </w:tcPr>
          <w:p w14:paraId="0AC793C5" w14:textId="77777777" w:rsidR="00166BBE" w:rsidRPr="00DE2270" w:rsidRDefault="00166BBE" w:rsidP="00DE2270">
            <w:pPr>
              <w:pStyle w:val="Tablecolhead"/>
              <w:rPr>
                <w:b w:val="0"/>
                <w:color w:val="FFFFFF" w:themeColor="background1"/>
              </w:rPr>
            </w:pPr>
            <w:r w:rsidRPr="00DE2270">
              <w:rPr>
                <w:color w:val="FFFFFF" w:themeColor="background1"/>
              </w:rPr>
              <w:t>Target</w:t>
            </w:r>
          </w:p>
        </w:tc>
        <w:tc>
          <w:tcPr>
            <w:tcW w:w="1245" w:type="dxa"/>
            <w:shd w:val="clear" w:color="auto" w:fill="4F81BD" w:themeFill="accent1"/>
            <w:vAlign w:val="center"/>
          </w:tcPr>
          <w:p w14:paraId="257CA7D6" w14:textId="77777777" w:rsidR="00166BBE" w:rsidRPr="00DE2270" w:rsidRDefault="00166BBE" w:rsidP="00DE2270">
            <w:pPr>
              <w:pStyle w:val="Tablecolhead"/>
              <w:rPr>
                <w:b w:val="0"/>
                <w:color w:val="FFFFFF" w:themeColor="background1"/>
              </w:rPr>
            </w:pPr>
            <w:r w:rsidRPr="00DE2270">
              <w:rPr>
                <w:color w:val="FFFFFF" w:themeColor="background1"/>
              </w:rPr>
              <w:t>Reference</w:t>
            </w:r>
          </w:p>
        </w:tc>
      </w:tr>
      <w:tr w:rsidR="00166BBE" w:rsidRPr="008E3255" w14:paraId="07050E52" w14:textId="77777777" w:rsidTr="006E3EB6">
        <w:tc>
          <w:tcPr>
            <w:tcW w:w="2309" w:type="dxa"/>
          </w:tcPr>
          <w:p w14:paraId="32A65924" w14:textId="77777777" w:rsidR="00166BBE" w:rsidRPr="00C36FFF" w:rsidRDefault="00166BBE" w:rsidP="00DE2270">
            <w:pPr>
              <w:pStyle w:val="Tabletext"/>
            </w:pPr>
            <w:r w:rsidRPr="00C36FFF">
              <w:t xml:space="preserve">Increase healthier eating </w:t>
            </w:r>
          </w:p>
        </w:tc>
        <w:tc>
          <w:tcPr>
            <w:tcW w:w="3367" w:type="dxa"/>
          </w:tcPr>
          <w:p w14:paraId="32B688E7" w14:textId="77777777" w:rsidR="00166BBE" w:rsidRPr="00452C8D" w:rsidRDefault="00166BBE" w:rsidP="00DE2270">
            <w:pPr>
              <w:pStyle w:val="Tabletext"/>
            </w:pPr>
            <w:r w:rsidRPr="00452C8D">
              <w:rPr>
                <w:lang w:eastAsia="en-AU"/>
              </w:rPr>
              <w:t>Proportion of adults who consume sufficient fruit and vegetables</w:t>
            </w:r>
          </w:p>
        </w:tc>
        <w:tc>
          <w:tcPr>
            <w:tcW w:w="3618" w:type="dxa"/>
          </w:tcPr>
          <w:p w14:paraId="1FAEE30E" w14:textId="77777777" w:rsidR="00166BBE" w:rsidRPr="008E3255" w:rsidRDefault="00166BBE" w:rsidP="00DE2270">
            <w:pPr>
              <w:pStyle w:val="Tabletext"/>
              <w:rPr>
                <w:lang w:eastAsia="en-AU"/>
              </w:rPr>
            </w:pPr>
            <w:r w:rsidRPr="008E3255">
              <w:rPr>
                <w:lang w:eastAsia="en-AU"/>
              </w:rPr>
              <w:t>Proportion of adults who consume sufficient fruit and vegetables</w:t>
            </w:r>
          </w:p>
        </w:tc>
        <w:tc>
          <w:tcPr>
            <w:tcW w:w="1722" w:type="dxa"/>
          </w:tcPr>
          <w:p w14:paraId="13496176" w14:textId="77777777" w:rsidR="00166BBE" w:rsidRPr="008E3255" w:rsidRDefault="00166BBE" w:rsidP="00DE2270">
            <w:pPr>
              <w:pStyle w:val="Tabletext"/>
              <w:rPr>
                <w:lang w:eastAsia="en-AU"/>
              </w:rPr>
            </w:pPr>
            <w:r w:rsidRPr="008E3255">
              <w:rPr>
                <w:lang w:eastAsia="en-AU"/>
              </w:rPr>
              <w:t>VPHS</w:t>
            </w:r>
          </w:p>
        </w:tc>
        <w:tc>
          <w:tcPr>
            <w:tcW w:w="2407" w:type="dxa"/>
          </w:tcPr>
          <w:p w14:paraId="012CA963" w14:textId="0C3C5D8B" w:rsidR="00166BBE" w:rsidRPr="008E3255" w:rsidRDefault="00166BBE" w:rsidP="00DE2270">
            <w:pPr>
              <w:pStyle w:val="Tabletext"/>
              <w:rPr>
                <w:lang w:eastAsia="en-AU"/>
              </w:rPr>
            </w:pPr>
            <w:r w:rsidRPr="008E3255">
              <w:rPr>
                <w:lang w:eastAsia="en-AU"/>
              </w:rPr>
              <w:t xml:space="preserve">Adults and children (≥9 years) maintain or increase their fruit consumption to an average </w:t>
            </w:r>
            <w:r w:rsidR="003C5915">
              <w:rPr>
                <w:lang w:eastAsia="en-AU"/>
              </w:rPr>
              <w:t>two</w:t>
            </w:r>
            <w:r w:rsidRPr="008E3255">
              <w:rPr>
                <w:lang w:eastAsia="en-AU"/>
              </w:rPr>
              <w:t xml:space="preserve"> serves per day by 2030</w:t>
            </w:r>
          </w:p>
        </w:tc>
        <w:tc>
          <w:tcPr>
            <w:tcW w:w="1245" w:type="dxa"/>
          </w:tcPr>
          <w:p w14:paraId="296AF350" w14:textId="77777777" w:rsidR="00166BBE" w:rsidRPr="00452C8D" w:rsidRDefault="00166BBE" w:rsidP="00DE2270">
            <w:pPr>
              <w:pStyle w:val="Tabletext"/>
            </w:pPr>
            <w:r w:rsidRPr="00452C8D">
              <w:t>1.3.1.1 a/b/c</w:t>
            </w:r>
          </w:p>
        </w:tc>
      </w:tr>
      <w:tr w:rsidR="00166BBE" w:rsidRPr="008E3255" w14:paraId="479B0DD1" w14:textId="77777777" w:rsidTr="006E3EB6">
        <w:tc>
          <w:tcPr>
            <w:tcW w:w="2309" w:type="dxa"/>
          </w:tcPr>
          <w:p w14:paraId="68031EFD" w14:textId="77777777" w:rsidR="00166BBE" w:rsidRPr="00C36FFF" w:rsidRDefault="00166BBE" w:rsidP="009D6639">
            <w:pPr>
              <w:pStyle w:val="Tabletext"/>
            </w:pPr>
          </w:p>
        </w:tc>
        <w:tc>
          <w:tcPr>
            <w:tcW w:w="3367" w:type="dxa"/>
          </w:tcPr>
          <w:p w14:paraId="5AC8C522" w14:textId="77777777" w:rsidR="00166BBE" w:rsidRPr="00452C8D" w:rsidRDefault="00166BBE" w:rsidP="009D6639">
            <w:pPr>
              <w:pStyle w:val="Tabletext"/>
            </w:pPr>
            <w:r w:rsidRPr="00452C8D">
              <w:rPr>
                <w:lang w:eastAsia="en-AU"/>
              </w:rPr>
              <w:t>Proportion of children who consume sufficient fruit and vegetables</w:t>
            </w:r>
          </w:p>
        </w:tc>
        <w:tc>
          <w:tcPr>
            <w:tcW w:w="3618" w:type="dxa"/>
          </w:tcPr>
          <w:p w14:paraId="633F9D30" w14:textId="77777777" w:rsidR="00166BBE" w:rsidRPr="008E3255" w:rsidRDefault="00166BBE" w:rsidP="009D6639">
            <w:pPr>
              <w:pStyle w:val="Tabletext"/>
              <w:rPr>
                <w:lang w:eastAsia="en-AU"/>
              </w:rPr>
            </w:pPr>
            <w:r w:rsidRPr="008E3255">
              <w:rPr>
                <w:lang w:eastAsia="en-AU"/>
              </w:rPr>
              <w:t>Proportion of children 4–12 years who consume sufficient fruit and vegetables</w:t>
            </w:r>
          </w:p>
        </w:tc>
        <w:tc>
          <w:tcPr>
            <w:tcW w:w="1722" w:type="dxa"/>
          </w:tcPr>
          <w:p w14:paraId="1A7E3399" w14:textId="77777777" w:rsidR="00166BBE" w:rsidRPr="00452C8D" w:rsidRDefault="00166BBE" w:rsidP="009D6639">
            <w:pPr>
              <w:pStyle w:val="Tabletext"/>
              <w:rPr>
                <w:lang w:eastAsia="en-AU"/>
              </w:rPr>
            </w:pPr>
            <w:r w:rsidRPr="00D81EC0">
              <w:rPr>
                <w:lang w:eastAsia="en-AU"/>
              </w:rPr>
              <w:t>VCHWS</w:t>
            </w:r>
            <w:r>
              <w:rPr>
                <w:lang w:eastAsia="en-AU"/>
              </w:rPr>
              <w:t>/NHS</w:t>
            </w:r>
          </w:p>
        </w:tc>
        <w:tc>
          <w:tcPr>
            <w:tcW w:w="2407" w:type="dxa"/>
          </w:tcPr>
          <w:p w14:paraId="768E4367" w14:textId="74725AA4" w:rsidR="00166BBE" w:rsidRPr="008E3255" w:rsidRDefault="00166BBE" w:rsidP="009D6639">
            <w:pPr>
              <w:pStyle w:val="Tabletext"/>
              <w:rPr>
                <w:lang w:eastAsia="en-AU"/>
              </w:rPr>
            </w:pPr>
            <w:r w:rsidRPr="00F95A76">
              <w:rPr>
                <w:lang w:eastAsia="en-AU"/>
              </w:rPr>
              <w:t xml:space="preserve">Adults and children (≥9 years) increase their vegetable consumption to an average </w:t>
            </w:r>
            <w:r w:rsidR="003C5915">
              <w:rPr>
                <w:lang w:eastAsia="en-AU"/>
              </w:rPr>
              <w:t>five</w:t>
            </w:r>
            <w:r w:rsidRPr="00F95A76">
              <w:rPr>
                <w:lang w:eastAsia="en-AU"/>
              </w:rPr>
              <w:t xml:space="preserve"> serves per day by 2030</w:t>
            </w:r>
          </w:p>
        </w:tc>
        <w:tc>
          <w:tcPr>
            <w:tcW w:w="1245" w:type="dxa"/>
          </w:tcPr>
          <w:p w14:paraId="4ABCC9EB" w14:textId="77777777" w:rsidR="00166BBE" w:rsidRPr="00452C8D" w:rsidRDefault="00166BBE" w:rsidP="009D6639">
            <w:pPr>
              <w:pStyle w:val="Tabletext"/>
            </w:pPr>
            <w:r w:rsidRPr="00452C8D">
              <w:t>1.3.1.2 a/b/c</w:t>
            </w:r>
          </w:p>
        </w:tc>
      </w:tr>
      <w:tr w:rsidR="00166BBE" w:rsidRPr="008E3255" w14:paraId="7FA80272" w14:textId="77777777" w:rsidTr="006E3EB6">
        <w:tc>
          <w:tcPr>
            <w:tcW w:w="2309" w:type="dxa"/>
          </w:tcPr>
          <w:p w14:paraId="226DF5C7" w14:textId="77777777" w:rsidR="00166BBE" w:rsidRPr="00C36FFF" w:rsidRDefault="00166BBE" w:rsidP="009D6639">
            <w:pPr>
              <w:pStyle w:val="Tabletext"/>
            </w:pPr>
          </w:p>
        </w:tc>
        <w:tc>
          <w:tcPr>
            <w:tcW w:w="3367" w:type="dxa"/>
          </w:tcPr>
          <w:p w14:paraId="6F7A8784" w14:textId="77777777" w:rsidR="00166BBE" w:rsidRPr="008E3255" w:rsidRDefault="00166BBE" w:rsidP="009D6639">
            <w:pPr>
              <w:pStyle w:val="Tabletext"/>
            </w:pPr>
            <w:r w:rsidRPr="008E3255">
              <w:rPr>
                <w:color w:val="000000"/>
                <w:lang w:eastAsia="en-AU"/>
              </w:rPr>
              <w:t xml:space="preserve">Proportion of </w:t>
            </w:r>
            <w:r>
              <w:rPr>
                <w:color w:val="000000"/>
                <w:lang w:eastAsia="en-AU"/>
              </w:rPr>
              <w:t>adults</w:t>
            </w:r>
            <w:r w:rsidRPr="008E3255">
              <w:rPr>
                <w:color w:val="000000"/>
                <w:lang w:eastAsia="en-AU"/>
              </w:rPr>
              <w:t xml:space="preserve"> who consume sugar-sweetened beverages daily</w:t>
            </w:r>
          </w:p>
        </w:tc>
        <w:tc>
          <w:tcPr>
            <w:tcW w:w="3618" w:type="dxa"/>
          </w:tcPr>
          <w:p w14:paraId="4AADC3F2" w14:textId="77777777" w:rsidR="00166BBE" w:rsidRPr="008E3255" w:rsidRDefault="00166BBE" w:rsidP="009D6639">
            <w:pPr>
              <w:pStyle w:val="Tabletext"/>
              <w:rPr>
                <w:lang w:eastAsia="en-AU"/>
              </w:rPr>
            </w:pPr>
            <w:r w:rsidRPr="008E3255">
              <w:rPr>
                <w:lang w:eastAsia="en-AU"/>
              </w:rPr>
              <w:t>Proportion of adults who consume sugar-sweetened beverages daily</w:t>
            </w:r>
          </w:p>
        </w:tc>
        <w:tc>
          <w:tcPr>
            <w:tcW w:w="1722" w:type="dxa"/>
          </w:tcPr>
          <w:p w14:paraId="0742F176" w14:textId="77777777" w:rsidR="00166BBE" w:rsidRPr="00452C8D" w:rsidRDefault="00166BBE" w:rsidP="009D6639">
            <w:pPr>
              <w:pStyle w:val="Tabletext"/>
              <w:rPr>
                <w:lang w:eastAsia="en-AU"/>
              </w:rPr>
            </w:pPr>
            <w:r w:rsidRPr="00452C8D">
              <w:rPr>
                <w:lang w:eastAsia="en-AU"/>
              </w:rPr>
              <w:t>VPHS</w:t>
            </w:r>
          </w:p>
        </w:tc>
        <w:tc>
          <w:tcPr>
            <w:tcW w:w="2407" w:type="dxa"/>
          </w:tcPr>
          <w:p w14:paraId="2E35E77A" w14:textId="77777777" w:rsidR="00166BBE" w:rsidRPr="008E3255" w:rsidRDefault="00166BBE" w:rsidP="009D6639">
            <w:pPr>
              <w:pStyle w:val="Tabletext"/>
              <w:rPr>
                <w:lang w:eastAsia="en-AU"/>
              </w:rPr>
            </w:pPr>
          </w:p>
        </w:tc>
        <w:tc>
          <w:tcPr>
            <w:tcW w:w="1245" w:type="dxa"/>
          </w:tcPr>
          <w:p w14:paraId="64FE0238" w14:textId="77777777" w:rsidR="00166BBE" w:rsidRPr="008E3255" w:rsidRDefault="00166BBE" w:rsidP="009D6639">
            <w:pPr>
              <w:pStyle w:val="Tabletext"/>
            </w:pPr>
            <w:r>
              <w:t>1.3.1.3</w:t>
            </w:r>
          </w:p>
        </w:tc>
      </w:tr>
      <w:tr w:rsidR="00166BBE" w:rsidRPr="008E3255" w14:paraId="413B8EDF" w14:textId="77777777" w:rsidTr="006E3EB6">
        <w:tc>
          <w:tcPr>
            <w:tcW w:w="2309" w:type="dxa"/>
          </w:tcPr>
          <w:p w14:paraId="6B72C307" w14:textId="77777777" w:rsidR="00166BBE" w:rsidRPr="00C36FFF" w:rsidRDefault="00166BBE" w:rsidP="009D6639">
            <w:pPr>
              <w:pStyle w:val="Tabletext"/>
            </w:pPr>
          </w:p>
        </w:tc>
        <w:tc>
          <w:tcPr>
            <w:tcW w:w="3367" w:type="dxa"/>
          </w:tcPr>
          <w:p w14:paraId="2CB0C7E0" w14:textId="77777777" w:rsidR="00166BBE" w:rsidRPr="008E3255" w:rsidRDefault="00166BBE" w:rsidP="009D6639">
            <w:pPr>
              <w:pStyle w:val="Tabletext"/>
            </w:pPr>
            <w:r w:rsidRPr="008E3255">
              <w:rPr>
                <w:color w:val="000000"/>
                <w:lang w:eastAsia="en-AU"/>
              </w:rPr>
              <w:t xml:space="preserve">Proportion of </w:t>
            </w:r>
            <w:r>
              <w:rPr>
                <w:color w:val="000000"/>
                <w:lang w:eastAsia="en-AU"/>
              </w:rPr>
              <w:t>children</w:t>
            </w:r>
            <w:r w:rsidRPr="008E3255">
              <w:rPr>
                <w:color w:val="000000"/>
                <w:lang w:eastAsia="en-AU"/>
              </w:rPr>
              <w:t xml:space="preserve"> who consume sugar-sweetened beverages daily</w:t>
            </w:r>
          </w:p>
        </w:tc>
        <w:tc>
          <w:tcPr>
            <w:tcW w:w="3618" w:type="dxa"/>
          </w:tcPr>
          <w:p w14:paraId="14F0983F" w14:textId="77777777" w:rsidR="00166BBE" w:rsidRPr="008E3255" w:rsidRDefault="00166BBE" w:rsidP="009D6639">
            <w:pPr>
              <w:pStyle w:val="Tabletext"/>
              <w:rPr>
                <w:lang w:eastAsia="en-AU"/>
              </w:rPr>
            </w:pPr>
            <w:r w:rsidRPr="008E3255">
              <w:rPr>
                <w:lang w:eastAsia="en-AU"/>
              </w:rPr>
              <w:t>Proportion of children 5–12 years who consume sugar-sweetened beverages daily</w:t>
            </w:r>
          </w:p>
        </w:tc>
        <w:tc>
          <w:tcPr>
            <w:tcW w:w="1722" w:type="dxa"/>
          </w:tcPr>
          <w:p w14:paraId="6D0D6161" w14:textId="77777777" w:rsidR="00166BBE" w:rsidRPr="00452C8D" w:rsidRDefault="00166BBE" w:rsidP="009D6639">
            <w:pPr>
              <w:pStyle w:val="Tabletext"/>
              <w:rPr>
                <w:lang w:eastAsia="en-AU"/>
              </w:rPr>
            </w:pPr>
            <w:r w:rsidRPr="00D81EC0">
              <w:rPr>
                <w:lang w:eastAsia="en-AU"/>
              </w:rPr>
              <w:t>VCHWS</w:t>
            </w:r>
            <w:r>
              <w:rPr>
                <w:lang w:eastAsia="en-AU"/>
              </w:rPr>
              <w:t>/NHS</w:t>
            </w:r>
          </w:p>
        </w:tc>
        <w:tc>
          <w:tcPr>
            <w:tcW w:w="2407" w:type="dxa"/>
          </w:tcPr>
          <w:p w14:paraId="355DC4CB" w14:textId="77777777" w:rsidR="00166BBE" w:rsidRPr="008E3255" w:rsidRDefault="00166BBE" w:rsidP="009D6639">
            <w:pPr>
              <w:pStyle w:val="Tabletext"/>
              <w:rPr>
                <w:lang w:eastAsia="en-AU"/>
              </w:rPr>
            </w:pPr>
          </w:p>
        </w:tc>
        <w:tc>
          <w:tcPr>
            <w:tcW w:w="1245" w:type="dxa"/>
          </w:tcPr>
          <w:p w14:paraId="695371A4" w14:textId="77777777" w:rsidR="00166BBE" w:rsidRPr="008E3255" w:rsidRDefault="00166BBE" w:rsidP="009D6639">
            <w:pPr>
              <w:pStyle w:val="Tabletext"/>
            </w:pPr>
            <w:r>
              <w:t>1.3.1.4</w:t>
            </w:r>
          </w:p>
        </w:tc>
      </w:tr>
      <w:tr w:rsidR="00166BBE" w:rsidRPr="008E3255" w14:paraId="79914D8F" w14:textId="77777777" w:rsidTr="006E3EB6">
        <w:tc>
          <w:tcPr>
            <w:tcW w:w="2309" w:type="dxa"/>
          </w:tcPr>
          <w:p w14:paraId="24E4E93D" w14:textId="77777777" w:rsidR="00166BBE" w:rsidRPr="00C36FFF" w:rsidRDefault="00166BBE" w:rsidP="009D6639">
            <w:pPr>
              <w:pStyle w:val="Tabletext"/>
            </w:pPr>
          </w:p>
        </w:tc>
        <w:tc>
          <w:tcPr>
            <w:tcW w:w="3367" w:type="dxa"/>
          </w:tcPr>
          <w:p w14:paraId="7CD49608" w14:textId="77777777" w:rsidR="00166BBE" w:rsidRPr="008E3255" w:rsidRDefault="00166BBE" w:rsidP="009D6639">
            <w:pPr>
              <w:pStyle w:val="Tabletext"/>
            </w:pPr>
            <w:r w:rsidRPr="008E3255">
              <w:t xml:space="preserve">Discretionary food consumption </w:t>
            </w:r>
          </w:p>
        </w:tc>
        <w:tc>
          <w:tcPr>
            <w:tcW w:w="3618" w:type="dxa"/>
          </w:tcPr>
          <w:p w14:paraId="028CBF0D" w14:textId="77777777" w:rsidR="00166BBE" w:rsidRPr="00AC3394" w:rsidRDefault="00166BBE" w:rsidP="009D6639">
            <w:pPr>
              <w:pStyle w:val="Tabletext"/>
              <w:rPr>
                <w:color w:val="000000"/>
              </w:rPr>
            </w:pPr>
            <w:r>
              <w:rPr>
                <w:color w:val="000000"/>
              </w:rPr>
              <w:t>Proportion of total energy intake from discretionary foods (</w:t>
            </w:r>
            <w:r w:rsidRPr="0067176E">
              <w:rPr>
                <w:color w:val="000000"/>
              </w:rPr>
              <w:t>apparent consumption per capita per day</w:t>
            </w:r>
            <w:r>
              <w:rPr>
                <w:color w:val="000000"/>
              </w:rPr>
              <w:t xml:space="preserve"> and self-reported consumption)</w:t>
            </w:r>
          </w:p>
        </w:tc>
        <w:tc>
          <w:tcPr>
            <w:tcW w:w="1722" w:type="dxa"/>
          </w:tcPr>
          <w:p w14:paraId="6C89F8DD" w14:textId="77777777" w:rsidR="00166BBE" w:rsidRPr="008E3255" w:rsidRDefault="00166BBE" w:rsidP="009D6639">
            <w:pPr>
              <w:pStyle w:val="Tabletext"/>
              <w:rPr>
                <w:highlight w:val="yellow"/>
                <w:lang w:eastAsia="en-AU"/>
              </w:rPr>
            </w:pPr>
            <w:r w:rsidRPr="001812D6">
              <w:rPr>
                <w:lang w:eastAsia="en-AU"/>
              </w:rPr>
              <w:t>To be reviewed</w:t>
            </w:r>
          </w:p>
        </w:tc>
        <w:tc>
          <w:tcPr>
            <w:tcW w:w="2407" w:type="dxa"/>
          </w:tcPr>
          <w:p w14:paraId="041D1766" w14:textId="2709BA48" w:rsidR="00166BBE" w:rsidRPr="008E3255" w:rsidRDefault="00166BBE" w:rsidP="009D6639">
            <w:pPr>
              <w:pStyle w:val="Tabletext"/>
              <w:rPr>
                <w:lang w:eastAsia="en-AU"/>
              </w:rPr>
            </w:pPr>
            <w:r w:rsidRPr="001812D6">
              <w:t>Reduce the proportion of children and adults’ total energy intake from discretionary foods from &gt;30</w:t>
            </w:r>
            <w:r w:rsidR="003A249A">
              <w:t xml:space="preserve"> percent</w:t>
            </w:r>
            <w:r w:rsidRPr="001812D6">
              <w:t xml:space="preserve"> to &lt;20</w:t>
            </w:r>
            <w:r w:rsidR="003A249A">
              <w:t xml:space="preserve"> percent</w:t>
            </w:r>
            <w:r w:rsidRPr="001812D6">
              <w:t xml:space="preserve"> by 2030</w:t>
            </w:r>
          </w:p>
        </w:tc>
        <w:tc>
          <w:tcPr>
            <w:tcW w:w="1245" w:type="dxa"/>
          </w:tcPr>
          <w:p w14:paraId="6B1757D4" w14:textId="77777777" w:rsidR="00166BBE" w:rsidRPr="008E3255" w:rsidRDefault="00166BBE" w:rsidP="009D6639">
            <w:pPr>
              <w:pStyle w:val="Tabletext"/>
            </w:pPr>
            <w:r>
              <w:t>1.3.1.5 a/b</w:t>
            </w:r>
          </w:p>
        </w:tc>
      </w:tr>
      <w:tr w:rsidR="00166BBE" w:rsidRPr="008E3255" w14:paraId="7FDEEB6F" w14:textId="77777777" w:rsidTr="006E3EB6">
        <w:tc>
          <w:tcPr>
            <w:tcW w:w="2309" w:type="dxa"/>
            <w:shd w:val="clear" w:color="auto" w:fill="F2F2F2" w:themeFill="background1" w:themeFillShade="F2"/>
          </w:tcPr>
          <w:p w14:paraId="5659565E" w14:textId="77777777" w:rsidR="00166BBE" w:rsidRPr="00C36FFF" w:rsidRDefault="00166BBE" w:rsidP="000D24AC">
            <w:pPr>
              <w:pStyle w:val="Tabletext"/>
            </w:pPr>
            <w:r w:rsidRPr="00C36FFF">
              <w:t>Increase active living</w:t>
            </w:r>
          </w:p>
        </w:tc>
        <w:tc>
          <w:tcPr>
            <w:tcW w:w="3367" w:type="dxa"/>
            <w:shd w:val="clear" w:color="auto" w:fill="F2F2F2" w:themeFill="background1" w:themeFillShade="F2"/>
          </w:tcPr>
          <w:p w14:paraId="3C5331E2" w14:textId="77777777" w:rsidR="00166BBE" w:rsidRPr="008E3255" w:rsidRDefault="00166BBE" w:rsidP="000D24AC">
            <w:pPr>
              <w:pStyle w:val="Tabletext"/>
              <w:rPr>
                <w:lang w:eastAsia="en-AU"/>
              </w:rPr>
            </w:pPr>
            <w:r w:rsidRPr="008E3255">
              <w:rPr>
                <w:lang w:eastAsia="en-AU"/>
              </w:rPr>
              <w:t xml:space="preserve">Proportion of </w:t>
            </w:r>
            <w:r>
              <w:rPr>
                <w:lang w:eastAsia="en-AU"/>
              </w:rPr>
              <w:t>adults</w:t>
            </w:r>
            <w:r w:rsidRPr="008E3255">
              <w:rPr>
                <w:lang w:eastAsia="en-AU"/>
              </w:rPr>
              <w:t xml:space="preserve"> who are sufficiently physically active</w:t>
            </w:r>
          </w:p>
        </w:tc>
        <w:tc>
          <w:tcPr>
            <w:tcW w:w="3618" w:type="dxa"/>
            <w:shd w:val="clear" w:color="auto" w:fill="F2F2F2" w:themeFill="background1" w:themeFillShade="F2"/>
          </w:tcPr>
          <w:p w14:paraId="5EAD8DDB" w14:textId="77777777" w:rsidR="00166BBE" w:rsidRPr="008E3255" w:rsidRDefault="00166BBE" w:rsidP="000D24AC">
            <w:pPr>
              <w:pStyle w:val="Tabletext"/>
              <w:rPr>
                <w:lang w:eastAsia="en-AU"/>
              </w:rPr>
            </w:pPr>
            <w:r w:rsidRPr="008E3255">
              <w:rPr>
                <w:lang w:eastAsia="en-AU"/>
              </w:rPr>
              <w:t>Proportion of adults who are sufficiently physically active</w:t>
            </w:r>
          </w:p>
        </w:tc>
        <w:tc>
          <w:tcPr>
            <w:tcW w:w="1722" w:type="dxa"/>
            <w:shd w:val="clear" w:color="auto" w:fill="F2F2F2" w:themeFill="background1" w:themeFillShade="F2"/>
          </w:tcPr>
          <w:p w14:paraId="4327F3D5" w14:textId="77777777" w:rsidR="00166BBE" w:rsidRPr="008E3255" w:rsidRDefault="00166BBE" w:rsidP="000D24AC">
            <w:pPr>
              <w:pStyle w:val="Tabletext"/>
              <w:rPr>
                <w:lang w:eastAsia="en-AU"/>
              </w:rPr>
            </w:pPr>
            <w:r w:rsidRPr="008E3255">
              <w:rPr>
                <w:lang w:eastAsia="en-AU"/>
              </w:rPr>
              <w:t>VPHS</w:t>
            </w:r>
          </w:p>
        </w:tc>
        <w:tc>
          <w:tcPr>
            <w:tcW w:w="2407" w:type="dxa"/>
            <w:shd w:val="clear" w:color="auto" w:fill="F2F2F2" w:themeFill="background1" w:themeFillShade="F2"/>
          </w:tcPr>
          <w:p w14:paraId="6EC21415" w14:textId="0E5DDB6B" w:rsidR="00166BBE" w:rsidRPr="008E3255" w:rsidRDefault="00166BBE" w:rsidP="000D24AC">
            <w:pPr>
              <w:pStyle w:val="Tabletext"/>
              <w:rPr>
                <w:lang w:eastAsia="en-AU"/>
              </w:rPr>
            </w:pPr>
            <w:r w:rsidRPr="008E3255">
              <w:rPr>
                <w:lang w:eastAsia="en-AU"/>
              </w:rPr>
              <w:t>Reduce the prevalence of insufficient physical activity among children, adolescents and adults by at least 15</w:t>
            </w:r>
            <w:r w:rsidR="003A249A">
              <w:rPr>
                <w:lang w:eastAsia="en-AU"/>
              </w:rPr>
              <w:t xml:space="preserve"> percent</w:t>
            </w:r>
            <w:r w:rsidRPr="008E3255">
              <w:rPr>
                <w:lang w:eastAsia="en-AU"/>
              </w:rPr>
              <w:t xml:space="preserve"> by 2030</w:t>
            </w:r>
          </w:p>
        </w:tc>
        <w:tc>
          <w:tcPr>
            <w:tcW w:w="1245" w:type="dxa"/>
            <w:shd w:val="clear" w:color="auto" w:fill="F2F2F2" w:themeFill="background1" w:themeFillShade="F2"/>
          </w:tcPr>
          <w:p w14:paraId="26896470" w14:textId="77777777" w:rsidR="00166BBE" w:rsidRPr="008E3255" w:rsidRDefault="00166BBE" w:rsidP="000D24AC">
            <w:pPr>
              <w:pStyle w:val="Tabletext"/>
            </w:pPr>
            <w:r>
              <w:t>1.3.2.1</w:t>
            </w:r>
          </w:p>
        </w:tc>
      </w:tr>
      <w:tr w:rsidR="00166BBE" w:rsidRPr="008E3255" w14:paraId="338A9CC0" w14:textId="77777777" w:rsidTr="006E3EB6">
        <w:tc>
          <w:tcPr>
            <w:tcW w:w="2309" w:type="dxa"/>
            <w:shd w:val="clear" w:color="auto" w:fill="F2F2F2" w:themeFill="background1" w:themeFillShade="F2"/>
          </w:tcPr>
          <w:p w14:paraId="25FAFDDB" w14:textId="77777777" w:rsidR="00166BBE" w:rsidRPr="00C36FFF" w:rsidRDefault="00166BBE" w:rsidP="000D24AC">
            <w:pPr>
              <w:pStyle w:val="Tabletext"/>
            </w:pPr>
          </w:p>
        </w:tc>
        <w:tc>
          <w:tcPr>
            <w:tcW w:w="3367" w:type="dxa"/>
            <w:shd w:val="clear" w:color="auto" w:fill="F2F2F2" w:themeFill="background1" w:themeFillShade="F2"/>
          </w:tcPr>
          <w:p w14:paraId="28E99034" w14:textId="77777777" w:rsidR="00166BBE" w:rsidRPr="008E3255" w:rsidRDefault="00166BBE" w:rsidP="000D24AC">
            <w:pPr>
              <w:pStyle w:val="Tabletext"/>
              <w:rPr>
                <w:lang w:eastAsia="en-AU"/>
              </w:rPr>
            </w:pPr>
            <w:r w:rsidRPr="008E3255">
              <w:rPr>
                <w:lang w:eastAsia="en-AU"/>
              </w:rPr>
              <w:t xml:space="preserve">Proportion of </w:t>
            </w:r>
            <w:r>
              <w:rPr>
                <w:lang w:eastAsia="en-AU"/>
              </w:rPr>
              <w:t>children</w:t>
            </w:r>
            <w:r w:rsidRPr="008E3255">
              <w:rPr>
                <w:lang w:eastAsia="en-AU"/>
              </w:rPr>
              <w:t xml:space="preserve"> who are sufficiently physically active</w:t>
            </w:r>
          </w:p>
        </w:tc>
        <w:tc>
          <w:tcPr>
            <w:tcW w:w="3618" w:type="dxa"/>
            <w:shd w:val="clear" w:color="auto" w:fill="F2F2F2" w:themeFill="background1" w:themeFillShade="F2"/>
          </w:tcPr>
          <w:p w14:paraId="234DE5F9" w14:textId="474C79E7" w:rsidR="00166BBE" w:rsidRPr="008E3255" w:rsidRDefault="00166BBE" w:rsidP="000D24AC">
            <w:pPr>
              <w:pStyle w:val="Tabletext"/>
              <w:rPr>
                <w:lang w:eastAsia="en-AU"/>
              </w:rPr>
            </w:pPr>
            <w:r w:rsidRPr="008E3255">
              <w:rPr>
                <w:lang w:eastAsia="en-AU"/>
              </w:rPr>
              <w:t xml:space="preserve">Proportion of children </w:t>
            </w:r>
            <w:r>
              <w:rPr>
                <w:lang w:eastAsia="en-AU"/>
              </w:rPr>
              <w:t>5</w:t>
            </w:r>
            <w:r w:rsidR="004A66BC">
              <w:rPr>
                <w:lang w:eastAsia="en-AU"/>
              </w:rPr>
              <w:t>–</w:t>
            </w:r>
            <w:r w:rsidRPr="008E3255">
              <w:rPr>
                <w:lang w:eastAsia="en-AU"/>
              </w:rPr>
              <w:t>12 years who are sufficiently physically active</w:t>
            </w:r>
          </w:p>
        </w:tc>
        <w:tc>
          <w:tcPr>
            <w:tcW w:w="1722" w:type="dxa"/>
            <w:shd w:val="clear" w:color="auto" w:fill="F2F2F2" w:themeFill="background1" w:themeFillShade="F2"/>
          </w:tcPr>
          <w:p w14:paraId="7E7C3514" w14:textId="77777777" w:rsidR="00166BBE" w:rsidRPr="008E3255" w:rsidRDefault="00166BBE" w:rsidP="000D24AC">
            <w:pPr>
              <w:pStyle w:val="Tabletext"/>
              <w:rPr>
                <w:lang w:eastAsia="en-AU"/>
              </w:rPr>
            </w:pPr>
            <w:r w:rsidRPr="00D81EC0">
              <w:rPr>
                <w:lang w:eastAsia="en-AU"/>
              </w:rPr>
              <w:t>VCHWS</w:t>
            </w:r>
          </w:p>
        </w:tc>
        <w:tc>
          <w:tcPr>
            <w:tcW w:w="2407" w:type="dxa"/>
            <w:shd w:val="clear" w:color="auto" w:fill="F2F2F2" w:themeFill="background1" w:themeFillShade="F2"/>
          </w:tcPr>
          <w:p w14:paraId="7E0D463C" w14:textId="77777777" w:rsidR="00166BBE" w:rsidRPr="008E3255" w:rsidRDefault="00166BBE" w:rsidP="000D24AC">
            <w:pPr>
              <w:pStyle w:val="Tabletext"/>
              <w:rPr>
                <w:lang w:eastAsia="en-AU"/>
              </w:rPr>
            </w:pPr>
          </w:p>
        </w:tc>
        <w:tc>
          <w:tcPr>
            <w:tcW w:w="1245" w:type="dxa"/>
            <w:shd w:val="clear" w:color="auto" w:fill="F2F2F2" w:themeFill="background1" w:themeFillShade="F2"/>
          </w:tcPr>
          <w:p w14:paraId="5E4C634E" w14:textId="77777777" w:rsidR="00166BBE" w:rsidRPr="008E3255" w:rsidRDefault="00166BBE" w:rsidP="000D24AC">
            <w:pPr>
              <w:pStyle w:val="Tabletext"/>
            </w:pPr>
            <w:r>
              <w:t>1.3.2.2</w:t>
            </w:r>
          </w:p>
        </w:tc>
      </w:tr>
      <w:tr w:rsidR="00166BBE" w:rsidRPr="008E3255" w14:paraId="04323CCE" w14:textId="77777777" w:rsidTr="006E3EB6">
        <w:tc>
          <w:tcPr>
            <w:tcW w:w="2309" w:type="dxa"/>
            <w:shd w:val="clear" w:color="auto" w:fill="F2F2F2" w:themeFill="background1" w:themeFillShade="F2"/>
          </w:tcPr>
          <w:p w14:paraId="67AC3D6D" w14:textId="77777777" w:rsidR="00166BBE" w:rsidRPr="00C36FFF" w:rsidRDefault="00166BBE" w:rsidP="000D24AC">
            <w:pPr>
              <w:pStyle w:val="Tabletext"/>
            </w:pPr>
          </w:p>
        </w:tc>
        <w:tc>
          <w:tcPr>
            <w:tcW w:w="3367" w:type="dxa"/>
            <w:shd w:val="clear" w:color="auto" w:fill="F2F2F2" w:themeFill="background1" w:themeFillShade="F2"/>
          </w:tcPr>
          <w:p w14:paraId="55BD69F8" w14:textId="6972ED0A" w:rsidR="00166BBE" w:rsidRPr="008E3255" w:rsidRDefault="00166BBE" w:rsidP="000D24AC">
            <w:pPr>
              <w:pStyle w:val="Tabletext"/>
              <w:rPr>
                <w:lang w:eastAsia="en-AU"/>
              </w:rPr>
            </w:pPr>
            <w:r w:rsidRPr="002A7797">
              <w:rPr>
                <w:lang w:eastAsia="en-AU"/>
              </w:rPr>
              <w:t>Proportion of adults who meet muscle</w:t>
            </w:r>
            <w:r w:rsidR="00FA16D7">
              <w:rPr>
                <w:lang w:eastAsia="en-AU"/>
              </w:rPr>
              <w:t>-strengthening</w:t>
            </w:r>
            <w:r w:rsidRPr="002A7797">
              <w:rPr>
                <w:lang w:eastAsia="en-AU"/>
              </w:rPr>
              <w:t xml:space="preserve"> recommendations (tbc)</w:t>
            </w:r>
          </w:p>
        </w:tc>
        <w:tc>
          <w:tcPr>
            <w:tcW w:w="3618" w:type="dxa"/>
            <w:shd w:val="clear" w:color="auto" w:fill="F2F2F2" w:themeFill="background1" w:themeFillShade="F2"/>
          </w:tcPr>
          <w:p w14:paraId="5E973418" w14:textId="1121FF77" w:rsidR="00166BBE" w:rsidRPr="008E3255" w:rsidRDefault="00166BBE" w:rsidP="000D24AC">
            <w:pPr>
              <w:pStyle w:val="Tabletext"/>
              <w:rPr>
                <w:lang w:eastAsia="en-AU"/>
              </w:rPr>
            </w:pPr>
            <w:r w:rsidRPr="008E3255">
              <w:rPr>
                <w:lang w:eastAsia="en-AU"/>
              </w:rPr>
              <w:t xml:space="preserve">Proportion of adults who engage in muscle-strengthening activities on at least </w:t>
            </w:r>
            <w:r w:rsidR="004A66BC">
              <w:rPr>
                <w:lang w:eastAsia="en-AU"/>
              </w:rPr>
              <w:t>two</w:t>
            </w:r>
            <w:r w:rsidRPr="008E3255">
              <w:rPr>
                <w:lang w:eastAsia="en-AU"/>
              </w:rPr>
              <w:t xml:space="preserve"> days per week</w:t>
            </w:r>
          </w:p>
        </w:tc>
        <w:tc>
          <w:tcPr>
            <w:tcW w:w="1722" w:type="dxa"/>
            <w:shd w:val="clear" w:color="auto" w:fill="F2F2F2" w:themeFill="background1" w:themeFillShade="F2"/>
          </w:tcPr>
          <w:p w14:paraId="69B67739" w14:textId="77777777" w:rsidR="00166BBE" w:rsidRPr="008E3255" w:rsidRDefault="00166BBE" w:rsidP="000D24AC">
            <w:pPr>
              <w:pStyle w:val="Tabletext"/>
              <w:rPr>
                <w:lang w:eastAsia="en-AU"/>
              </w:rPr>
            </w:pPr>
            <w:r w:rsidRPr="008E3255">
              <w:rPr>
                <w:lang w:eastAsia="en-AU"/>
              </w:rPr>
              <w:t>VPHS</w:t>
            </w:r>
          </w:p>
        </w:tc>
        <w:tc>
          <w:tcPr>
            <w:tcW w:w="2407" w:type="dxa"/>
            <w:shd w:val="clear" w:color="auto" w:fill="F2F2F2" w:themeFill="background1" w:themeFillShade="F2"/>
          </w:tcPr>
          <w:p w14:paraId="1808C53D" w14:textId="2FFAA532" w:rsidR="00166BBE" w:rsidRPr="008E3255" w:rsidRDefault="00166BBE" w:rsidP="000D24AC">
            <w:pPr>
              <w:pStyle w:val="Tabletext"/>
              <w:rPr>
                <w:lang w:eastAsia="en-AU"/>
              </w:rPr>
            </w:pPr>
            <w:r w:rsidRPr="008E3255">
              <w:rPr>
                <w:lang w:eastAsia="en-AU"/>
              </w:rPr>
              <w:t xml:space="preserve">Increase the prevalence of </w:t>
            </w:r>
            <w:r>
              <w:rPr>
                <w:lang w:eastAsia="en-AU"/>
              </w:rPr>
              <w:t>Victor</w:t>
            </w:r>
            <w:r w:rsidRPr="008E3255">
              <w:rPr>
                <w:lang w:eastAsia="en-AU"/>
              </w:rPr>
              <w:t>ians (≥15 years) who are meeting the strengthening guidelines by at least 15</w:t>
            </w:r>
            <w:r w:rsidR="003A249A">
              <w:rPr>
                <w:lang w:eastAsia="en-AU"/>
              </w:rPr>
              <w:t xml:space="preserve"> percent</w:t>
            </w:r>
            <w:r w:rsidRPr="008E3255">
              <w:rPr>
                <w:lang w:eastAsia="en-AU"/>
              </w:rPr>
              <w:t xml:space="preserve"> by 2030</w:t>
            </w:r>
          </w:p>
        </w:tc>
        <w:tc>
          <w:tcPr>
            <w:tcW w:w="1245" w:type="dxa"/>
            <w:shd w:val="clear" w:color="auto" w:fill="F2F2F2" w:themeFill="background1" w:themeFillShade="F2"/>
          </w:tcPr>
          <w:p w14:paraId="23836E7B" w14:textId="77777777" w:rsidR="00166BBE" w:rsidRPr="008E3255" w:rsidRDefault="00166BBE" w:rsidP="000D24AC">
            <w:pPr>
              <w:pStyle w:val="Tabletext"/>
            </w:pPr>
            <w:r>
              <w:t>1.3.2.3</w:t>
            </w:r>
          </w:p>
        </w:tc>
      </w:tr>
      <w:tr w:rsidR="00166BBE" w:rsidRPr="008E3255" w14:paraId="2DF21F2B" w14:textId="77777777" w:rsidTr="006E3EB6">
        <w:tc>
          <w:tcPr>
            <w:tcW w:w="2309" w:type="dxa"/>
            <w:shd w:val="clear" w:color="auto" w:fill="F2F2F2" w:themeFill="background1" w:themeFillShade="F2"/>
          </w:tcPr>
          <w:p w14:paraId="16534F54" w14:textId="77777777" w:rsidR="00166BBE" w:rsidRPr="00C36FFF" w:rsidRDefault="00166BBE" w:rsidP="000D24AC">
            <w:pPr>
              <w:pStyle w:val="Tabletext"/>
            </w:pPr>
          </w:p>
        </w:tc>
        <w:tc>
          <w:tcPr>
            <w:tcW w:w="3367" w:type="dxa"/>
            <w:shd w:val="clear" w:color="auto" w:fill="F2F2F2" w:themeFill="background1" w:themeFillShade="F2"/>
          </w:tcPr>
          <w:p w14:paraId="15170E9A" w14:textId="77777777" w:rsidR="00166BBE" w:rsidRPr="008E3255" w:rsidRDefault="00166BBE" w:rsidP="000D24AC">
            <w:pPr>
              <w:pStyle w:val="Tabletext"/>
              <w:rPr>
                <w:lang w:eastAsia="en-AU"/>
              </w:rPr>
            </w:pPr>
            <w:r w:rsidRPr="008E3255">
              <w:rPr>
                <w:lang w:eastAsia="en-AU"/>
              </w:rPr>
              <w:t>Proportion of journeys that use active transport</w:t>
            </w:r>
          </w:p>
        </w:tc>
        <w:tc>
          <w:tcPr>
            <w:tcW w:w="3618" w:type="dxa"/>
            <w:shd w:val="clear" w:color="auto" w:fill="F2F2F2" w:themeFill="background1" w:themeFillShade="F2"/>
          </w:tcPr>
          <w:p w14:paraId="3097EF8E" w14:textId="77777777" w:rsidR="00166BBE" w:rsidRPr="00576166" w:rsidRDefault="00166BBE" w:rsidP="000D24AC">
            <w:pPr>
              <w:pStyle w:val="Tabletext"/>
              <w:rPr>
                <w:lang w:eastAsia="en-AU"/>
              </w:rPr>
            </w:pPr>
            <w:r w:rsidRPr="00576166">
              <w:rPr>
                <w:lang w:eastAsia="en-AU"/>
              </w:rPr>
              <w:t>To be reviewed</w:t>
            </w:r>
          </w:p>
        </w:tc>
        <w:tc>
          <w:tcPr>
            <w:tcW w:w="1722" w:type="dxa"/>
            <w:shd w:val="clear" w:color="auto" w:fill="F2F2F2" w:themeFill="background1" w:themeFillShade="F2"/>
          </w:tcPr>
          <w:p w14:paraId="4FCDEA9C" w14:textId="77777777" w:rsidR="00166BBE" w:rsidRPr="00576166" w:rsidRDefault="00166BBE" w:rsidP="000D24AC">
            <w:pPr>
              <w:pStyle w:val="Tabletext"/>
              <w:rPr>
                <w:lang w:eastAsia="en-AU"/>
              </w:rPr>
            </w:pPr>
            <w:r w:rsidRPr="00576166">
              <w:rPr>
                <w:lang w:eastAsia="en-AU"/>
              </w:rPr>
              <w:t>To be reviewed</w:t>
            </w:r>
          </w:p>
        </w:tc>
        <w:tc>
          <w:tcPr>
            <w:tcW w:w="2407" w:type="dxa"/>
            <w:shd w:val="clear" w:color="auto" w:fill="F2F2F2" w:themeFill="background1" w:themeFillShade="F2"/>
          </w:tcPr>
          <w:p w14:paraId="29AE3C36" w14:textId="77777777" w:rsidR="00166BBE" w:rsidRPr="00576166" w:rsidRDefault="00166BBE" w:rsidP="000D24AC">
            <w:pPr>
              <w:pStyle w:val="Tabletext"/>
              <w:rPr>
                <w:lang w:eastAsia="en-AU"/>
              </w:rPr>
            </w:pPr>
          </w:p>
        </w:tc>
        <w:tc>
          <w:tcPr>
            <w:tcW w:w="1245" w:type="dxa"/>
            <w:shd w:val="clear" w:color="auto" w:fill="F2F2F2" w:themeFill="background1" w:themeFillShade="F2"/>
          </w:tcPr>
          <w:p w14:paraId="1C48BFC8" w14:textId="77777777" w:rsidR="00166BBE" w:rsidRPr="008E3255" w:rsidRDefault="00166BBE" w:rsidP="000D24AC">
            <w:pPr>
              <w:pStyle w:val="Tabletext"/>
            </w:pPr>
            <w:r>
              <w:t>1.3.2.4</w:t>
            </w:r>
          </w:p>
        </w:tc>
      </w:tr>
      <w:tr w:rsidR="00166BBE" w:rsidRPr="008E3255" w14:paraId="139176BE" w14:textId="77777777" w:rsidTr="006E3EB6">
        <w:tc>
          <w:tcPr>
            <w:tcW w:w="2309" w:type="dxa"/>
            <w:shd w:val="clear" w:color="auto" w:fill="F2F2F2" w:themeFill="background1" w:themeFillShade="F2"/>
          </w:tcPr>
          <w:p w14:paraId="3CA28159" w14:textId="77777777" w:rsidR="00166BBE" w:rsidRPr="00C36FFF" w:rsidRDefault="00166BBE" w:rsidP="00D26641">
            <w:pPr>
              <w:pStyle w:val="Tabletext"/>
            </w:pPr>
          </w:p>
        </w:tc>
        <w:tc>
          <w:tcPr>
            <w:tcW w:w="3367" w:type="dxa"/>
            <w:shd w:val="clear" w:color="auto" w:fill="F2F2F2" w:themeFill="background1" w:themeFillShade="F2"/>
          </w:tcPr>
          <w:p w14:paraId="41490D2C" w14:textId="77777777" w:rsidR="00166BBE" w:rsidRPr="008E3255" w:rsidRDefault="00166BBE" w:rsidP="00D26641">
            <w:pPr>
              <w:pStyle w:val="Tabletext"/>
              <w:rPr>
                <w:lang w:eastAsia="en-AU"/>
              </w:rPr>
            </w:pPr>
            <w:r w:rsidRPr="008E3255">
              <w:rPr>
                <w:lang w:eastAsia="en-AU"/>
              </w:rPr>
              <w:t>Proportion of people participating in organised sport</w:t>
            </w:r>
          </w:p>
        </w:tc>
        <w:tc>
          <w:tcPr>
            <w:tcW w:w="3618" w:type="dxa"/>
            <w:shd w:val="clear" w:color="auto" w:fill="F2F2F2" w:themeFill="background1" w:themeFillShade="F2"/>
          </w:tcPr>
          <w:p w14:paraId="2A8B22A8" w14:textId="77777777" w:rsidR="00166BBE" w:rsidRPr="00576166" w:rsidRDefault="00166BBE" w:rsidP="00D26641">
            <w:pPr>
              <w:pStyle w:val="Tabletext"/>
              <w:rPr>
                <w:lang w:eastAsia="en-AU"/>
              </w:rPr>
            </w:pPr>
            <w:r w:rsidRPr="00576166">
              <w:rPr>
                <w:lang w:eastAsia="en-AU"/>
              </w:rPr>
              <w:t>To be reviewed</w:t>
            </w:r>
          </w:p>
        </w:tc>
        <w:tc>
          <w:tcPr>
            <w:tcW w:w="1722" w:type="dxa"/>
            <w:shd w:val="clear" w:color="auto" w:fill="F2F2F2" w:themeFill="background1" w:themeFillShade="F2"/>
          </w:tcPr>
          <w:p w14:paraId="36BD606C" w14:textId="77777777" w:rsidR="00166BBE" w:rsidRPr="00576166" w:rsidRDefault="00166BBE" w:rsidP="00D26641">
            <w:pPr>
              <w:pStyle w:val="Tabletext"/>
              <w:rPr>
                <w:lang w:eastAsia="en-AU"/>
              </w:rPr>
            </w:pPr>
            <w:r w:rsidRPr="00576166">
              <w:rPr>
                <w:lang w:eastAsia="en-AU"/>
              </w:rPr>
              <w:t>To be reviewed</w:t>
            </w:r>
          </w:p>
        </w:tc>
        <w:tc>
          <w:tcPr>
            <w:tcW w:w="2407" w:type="dxa"/>
            <w:shd w:val="clear" w:color="auto" w:fill="F2F2F2" w:themeFill="background1" w:themeFillShade="F2"/>
          </w:tcPr>
          <w:p w14:paraId="1A28DD76" w14:textId="77777777" w:rsidR="00166BBE" w:rsidRPr="00576166" w:rsidRDefault="00166BBE" w:rsidP="00D26641">
            <w:pPr>
              <w:pStyle w:val="Tabletext"/>
              <w:rPr>
                <w:lang w:eastAsia="en-AU"/>
              </w:rPr>
            </w:pPr>
          </w:p>
        </w:tc>
        <w:tc>
          <w:tcPr>
            <w:tcW w:w="1245" w:type="dxa"/>
            <w:shd w:val="clear" w:color="auto" w:fill="F2F2F2" w:themeFill="background1" w:themeFillShade="F2"/>
          </w:tcPr>
          <w:p w14:paraId="2CC4C39F" w14:textId="77777777" w:rsidR="00166BBE" w:rsidRPr="008E3255" w:rsidRDefault="00166BBE" w:rsidP="00D26641">
            <w:pPr>
              <w:pStyle w:val="Tabletext"/>
            </w:pPr>
            <w:r>
              <w:t>1.3.2.5</w:t>
            </w:r>
          </w:p>
        </w:tc>
      </w:tr>
      <w:tr w:rsidR="00166BBE" w:rsidRPr="008E3255" w14:paraId="15779D44" w14:textId="77777777" w:rsidTr="006E3EB6">
        <w:tc>
          <w:tcPr>
            <w:tcW w:w="2309" w:type="dxa"/>
            <w:shd w:val="clear" w:color="auto" w:fill="F2F2F2" w:themeFill="background1" w:themeFillShade="F2"/>
          </w:tcPr>
          <w:p w14:paraId="4E85118B" w14:textId="77777777" w:rsidR="00166BBE" w:rsidRPr="00C36FFF" w:rsidRDefault="00166BBE" w:rsidP="00D26641">
            <w:pPr>
              <w:pStyle w:val="Tabletext"/>
            </w:pPr>
          </w:p>
        </w:tc>
        <w:tc>
          <w:tcPr>
            <w:tcW w:w="3367" w:type="dxa"/>
            <w:shd w:val="clear" w:color="auto" w:fill="F2F2F2" w:themeFill="background1" w:themeFillShade="F2"/>
          </w:tcPr>
          <w:p w14:paraId="61FED603" w14:textId="77777777" w:rsidR="00166BBE" w:rsidRPr="008E3255" w:rsidRDefault="00166BBE" w:rsidP="00D26641">
            <w:pPr>
              <w:pStyle w:val="Tabletext"/>
              <w:rPr>
                <w:i/>
                <w:iCs/>
                <w:lang w:eastAsia="en-AU"/>
              </w:rPr>
            </w:pPr>
            <w:r w:rsidRPr="008E3255">
              <w:rPr>
                <w:lang w:eastAsia="en-AU"/>
              </w:rPr>
              <w:t>Proportion of adults sitting for seven or more hours on an average weekday</w:t>
            </w:r>
          </w:p>
        </w:tc>
        <w:tc>
          <w:tcPr>
            <w:tcW w:w="3618" w:type="dxa"/>
            <w:shd w:val="clear" w:color="auto" w:fill="F2F2F2" w:themeFill="background1" w:themeFillShade="F2"/>
          </w:tcPr>
          <w:p w14:paraId="08652D1A" w14:textId="77777777" w:rsidR="00166BBE" w:rsidRPr="008E3255" w:rsidRDefault="00166BBE" w:rsidP="00D26641">
            <w:pPr>
              <w:pStyle w:val="Tabletext"/>
              <w:rPr>
                <w:lang w:eastAsia="en-AU"/>
              </w:rPr>
            </w:pPr>
            <w:r w:rsidRPr="008E3255">
              <w:rPr>
                <w:lang w:eastAsia="en-AU"/>
              </w:rPr>
              <w:t>Proportion of adults sitting for seven or more hours on an average weekday</w:t>
            </w:r>
          </w:p>
        </w:tc>
        <w:tc>
          <w:tcPr>
            <w:tcW w:w="1722" w:type="dxa"/>
            <w:shd w:val="clear" w:color="auto" w:fill="F2F2F2" w:themeFill="background1" w:themeFillShade="F2"/>
          </w:tcPr>
          <w:p w14:paraId="2C7FE329" w14:textId="77777777" w:rsidR="00166BBE" w:rsidRPr="008E3255" w:rsidRDefault="00166BBE" w:rsidP="00D26641">
            <w:pPr>
              <w:pStyle w:val="Tabletext"/>
              <w:rPr>
                <w:lang w:eastAsia="en-AU"/>
              </w:rPr>
            </w:pPr>
            <w:r w:rsidRPr="008E3255">
              <w:rPr>
                <w:lang w:eastAsia="en-AU"/>
              </w:rPr>
              <w:t>VPHS</w:t>
            </w:r>
          </w:p>
        </w:tc>
        <w:tc>
          <w:tcPr>
            <w:tcW w:w="2407" w:type="dxa"/>
            <w:shd w:val="clear" w:color="auto" w:fill="F2F2F2" w:themeFill="background1" w:themeFillShade="F2"/>
          </w:tcPr>
          <w:p w14:paraId="413A75E2" w14:textId="77777777" w:rsidR="00166BBE" w:rsidRPr="008E3255" w:rsidRDefault="00166BBE" w:rsidP="00D26641">
            <w:pPr>
              <w:pStyle w:val="Tabletext"/>
              <w:rPr>
                <w:lang w:eastAsia="en-AU"/>
              </w:rPr>
            </w:pPr>
          </w:p>
        </w:tc>
        <w:tc>
          <w:tcPr>
            <w:tcW w:w="1245" w:type="dxa"/>
            <w:shd w:val="clear" w:color="auto" w:fill="F2F2F2" w:themeFill="background1" w:themeFillShade="F2"/>
          </w:tcPr>
          <w:p w14:paraId="7AC93EB5" w14:textId="77777777" w:rsidR="00166BBE" w:rsidRPr="008E3255" w:rsidRDefault="00166BBE" w:rsidP="00D26641">
            <w:pPr>
              <w:pStyle w:val="Tabletext"/>
            </w:pPr>
            <w:r>
              <w:t>1.3.2.6</w:t>
            </w:r>
          </w:p>
        </w:tc>
      </w:tr>
      <w:tr w:rsidR="00166BBE" w:rsidRPr="008E3255" w14:paraId="3874AA73" w14:textId="77777777" w:rsidTr="006E65C0">
        <w:tc>
          <w:tcPr>
            <w:tcW w:w="2309" w:type="dxa"/>
            <w:shd w:val="clear" w:color="auto" w:fill="F2F2F2" w:themeFill="background1" w:themeFillShade="F2"/>
          </w:tcPr>
          <w:p w14:paraId="28D908C1" w14:textId="77777777" w:rsidR="00166BBE" w:rsidRPr="00C36FFF" w:rsidRDefault="00166BBE" w:rsidP="00D26641">
            <w:pPr>
              <w:pStyle w:val="Tabletext"/>
            </w:pPr>
          </w:p>
        </w:tc>
        <w:tc>
          <w:tcPr>
            <w:tcW w:w="3367" w:type="dxa"/>
            <w:shd w:val="clear" w:color="auto" w:fill="F2F2F2" w:themeFill="background1" w:themeFillShade="F2"/>
          </w:tcPr>
          <w:p w14:paraId="29319FCB" w14:textId="77777777" w:rsidR="00166BBE" w:rsidRPr="008E3255" w:rsidRDefault="00166BBE" w:rsidP="00D26641">
            <w:pPr>
              <w:pStyle w:val="Tabletext"/>
              <w:rPr>
                <w:lang w:eastAsia="en-AU"/>
              </w:rPr>
            </w:pPr>
            <w:r w:rsidRPr="008E3255">
              <w:rPr>
                <w:lang w:eastAsia="en-AU"/>
              </w:rPr>
              <w:t>Proportion of children who use excess electronic media for recreation</w:t>
            </w:r>
          </w:p>
        </w:tc>
        <w:tc>
          <w:tcPr>
            <w:tcW w:w="3618" w:type="dxa"/>
            <w:shd w:val="clear" w:color="auto" w:fill="F2F2F2" w:themeFill="background1" w:themeFillShade="F2"/>
          </w:tcPr>
          <w:p w14:paraId="6FCBF3C1" w14:textId="77777777" w:rsidR="00166BBE" w:rsidRPr="008E3255" w:rsidRDefault="00166BBE" w:rsidP="00D26641">
            <w:pPr>
              <w:pStyle w:val="Tabletext"/>
              <w:rPr>
                <w:lang w:eastAsia="en-AU"/>
              </w:rPr>
            </w:pPr>
            <w:r w:rsidRPr="008E3255">
              <w:rPr>
                <w:lang w:eastAsia="en-AU"/>
              </w:rPr>
              <w:t>Proportion of children 5–12 years who use electronic media for recreation for more than two hours per day</w:t>
            </w:r>
          </w:p>
        </w:tc>
        <w:tc>
          <w:tcPr>
            <w:tcW w:w="1722" w:type="dxa"/>
            <w:shd w:val="clear" w:color="auto" w:fill="F2F2F2" w:themeFill="background1" w:themeFillShade="F2"/>
          </w:tcPr>
          <w:p w14:paraId="7E53181D" w14:textId="77777777" w:rsidR="00166BBE" w:rsidRPr="008E3255" w:rsidRDefault="00166BBE" w:rsidP="00D26641">
            <w:pPr>
              <w:pStyle w:val="Tabletext"/>
            </w:pPr>
            <w:r w:rsidRPr="00D81EC0">
              <w:t>VCHWS</w:t>
            </w:r>
          </w:p>
        </w:tc>
        <w:tc>
          <w:tcPr>
            <w:tcW w:w="2407" w:type="dxa"/>
            <w:shd w:val="clear" w:color="auto" w:fill="F2F2F2" w:themeFill="background1" w:themeFillShade="F2"/>
          </w:tcPr>
          <w:p w14:paraId="54D10B0B" w14:textId="77777777" w:rsidR="00166BBE" w:rsidRPr="008E3255" w:rsidRDefault="00166BBE" w:rsidP="00D26641">
            <w:pPr>
              <w:pStyle w:val="Tabletext"/>
              <w:rPr>
                <w:lang w:eastAsia="en-AU"/>
              </w:rPr>
            </w:pPr>
          </w:p>
        </w:tc>
        <w:tc>
          <w:tcPr>
            <w:tcW w:w="1245" w:type="dxa"/>
            <w:shd w:val="clear" w:color="auto" w:fill="F2F2F2" w:themeFill="background1" w:themeFillShade="F2"/>
          </w:tcPr>
          <w:p w14:paraId="72A17E3C" w14:textId="77777777" w:rsidR="00166BBE" w:rsidRPr="008E3255" w:rsidRDefault="00166BBE" w:rsidP="00D26641">
            <w:pPr>
              <w:pStyle w:val="Tabletext"/>
            </w:pPr>
            <w:r>
              <w:t>1.3.2.7</w:t>
            </w:r>
          </w:p>
        </w:tc>
      </w:tr>
      <w:tr w:rsidR="00166BBE" w:rsidRPr="008E3255" w14:paraId="0B8A19AE" w14:textId="77777777" w:rsidTr="006E3EB6">
        <w:tc>
          <w:tcPr>
            <w:tcW w:w="2309" w:type="dxa"/>
          </w:tcPr>
          <w:p w14:paraId="6EBBD1EB" w14:textId="77777777" w:rsidR="00166BBE" w:rsidRPr="00C36FFF" w:rsidRDefault="00166BBE" w:rsidP="00D26641">
            <w:pPr>
              <w:pStyle w:val="Tabletext"/>
            </w:pPr>
            <w:r w:rsidRPr="00C36FFF">
              <w:t>Reduce overweight and obesity</w:t>
            </w:r>
          </w:p>
        </w:tc>
        <w:tc>
          <w:tcPr>
            <w:tcW w:w="3367" w:type="dxa"/>
          </w:tcPr>
          <w:p w14:paraId="367123E6" w14:textId="77777777" w:rsidR="00166BBE" w:rsidRPr="008E3255" w:rsidRDefault="00166BBE" w:rsidP="00D26641">
            <w:pPr>
              <w:pStyle w:val="Tabletext"/>
              <w:rPr>
                <w:lang w:eastAsia="en-AU"/>
              </w:rPr>
            </w:pPr>
            <w:r w:rsidRPr="008E3255">
              <w:rPr>
                <w:lang w:eastAsia="en-AU"/>
              </w:rPr>
              <w:t xml:space="preserve">Proportion of </w:t>
            </w:r>
            <w:r>
              <w:rPr>
                <w:lang w:eastAsia="en-AU"/>
              </w:rPr>
              <w:t>adults</w:t>
            </w:r>
            <w:r w:rsidRPr="008E3255">
              <w:rPr>
                <w:lang w:eastAsia="en-AU"/>
              </w:rPr>
              <w:t xml:space="preserve"> who are overweight and obese</w:t>
            </w:r>
          </w:p>
        </w:tc>
        <w:tc>
          <w:tcPr>
            <w:tcW w:w="3618" w:type="dxa"/>
          </w:tcPr>
          <w:p w14:paraId="2D7B0E64" w14:textId="77777777" w:rsidR="00166BBE" w:rsidRPr="008E3255" w:rsidRDefault="00166BBE" w:rsidP="00D26641">
            <w:pPr>
              <w:pStyle w:val="Tabletext"/>
              <w:rPr>
                <w:lang w:eastAsia="en-AU"/>
              </w:rPr>
            </w:pPr>
            <w:r w:rsidRPr="008E3255">
              <w:rPr>
                <w:lang w:eastAsia="en-AU"/>
              </w:rPr>
              <w:t>Proportion of adults who are overweight or obese (self-report)</w:t>
            </w:r>
          </w:p>
        </w:tc>
        <w:tc>
          <w:tcPr>
            <w:tcW w:w="1722" w:type="dxa"/>
          </w:tcPr>
          <w:p w14:paraId="64E3D204" w14:textId="77777777" w:rsidR="00166BBE" w:rsidRPr="008E3255" w:rsidRDefault="00166BBE" w:rsidP="00D26641">
            <w:pPr>
              <w:pStyle w:val="Tabletext"/>
              <w:rPr>
                <w:lang w:eastAsia="en-AU"/>
              </w:rPr>
            </w:pPr>
            <w:r w:rsidRPr="008E3255">
              <w:rPr>
                <w:lang w:eastAsia="en-AU"/>
              </w:rPr>
              <w:t>VPHS</w:t>
            </w:r>
          </w:p>
        </w:tc>
        <w:tc>
          <w:tcPr>
            <w:tcW w:w="2407" w:type="dxa"/>
          </w:tcPr>
          <w:p w14:paraId="12FCCC6E" w14:textId="77777777" w:rsidR="00166BBE" w:rsidRPr="008E3255" w:rsidRDefault="00166BBE" w:rsidP="00D26641">
            <w:pPr>
              <w:pStyle w:val="Tabletext"/>
              <w:rPr>
                <w:lang w:eastAsia="en-AU"/>
              </w:rPr>
            </w:pPr>
          </w:p>
        </w:tc>
        <w:tc>
          <w:tcPr>
            <w:tcW w:w="1245" w:type="dxa"/>
          </w:tcPr>
          <w:p w14:paraId="073B5DCC" w14:textId="29960816" w:rsidR="00166BBE" w:rsidRPr="008E3255" w:rsidRDefault="00166BBE" w:rsidP="00D26641">
            <w:pPr>
              <w:pStyle w:val="Tabletext"/>
              <w:rPr>
                <w:i/>
                <w:iCs/>
              </w:rPr>
            </w:pPr>
            <w:r w:rsidRPr="00E60798">
              <w:t>1.3.3.1</w:t>
            </w:r>
            <w:r>
              <w:rPr>
                <w:i/>
                <w:iCs/>
              </w:rPr>
              <w:t xml:space="preserve"> </w:t>
            </w:r>
          </w:p>
        </w:tc>
      </w:tr>
      <w:tr w:rsidR="00166BBE" w:rsidRPr="008E3255" w14:paraId="1CD3A255" w14:textId="77777777" w:rsidTr="006E3EB6">
        <w:tc>
          <w:tcPr>
            <w:tcW w:w="2309" w:type="dxa"/>
          </w:tcPr>
          <w:p w14:paraId="4C07CF06" w14:textId="77777777" w:rsidR="00166BBE" w:rsidRPr="00C36FFF" w:rsidRDefault="00166BBE" w:rsidP="00D26641">
            <w:pPr>
              <w:pStyle w:val="Tabletext"/>
            </w:pPr>
          </w:p>
        </w:tc>
        <w:tc>
          <w:tcPr>
            <w:tcW w:w="3367" w:type="dxa"/>
          </w:tcPr>
          <w:p w14:paraId="629DF677" w14:textId="77777777" w:rsidR="00166BBE" w:rsidRPr="008E3255" w:rsidRDefault="00166BBE" w:rsidP="00D26641">
            <w:pPr>
              <w:pStyle w:val="Tabletext"/>
              <w:rPr>
                <w:lang w:eastAsia="en-AU"/>
              </w:rPr>
            </w:pPr>
          </w:p>
        </w:tc>
        <w:tc>
          <w:tcPr>
            <w:tcW w:w="3618" w:type="dxa"/>
          </w:tcPr>
          <w:p w14:paraId="6105128A" w14:textId="77777777" w:rsidR="00166BBE" w:rsidRPr="008E3255" w:rsidRDefault="00166BBE" w:rsidP="00D26641">
            <w:pPr>
              <w:pStyle w:val="Tabletext"/>
              <w:rPr>
                <w:lang w:eastAsia="en-AU"/>
              </w:rPr>
            </w:pPr>
            <w:r w:rsidRPr="008E3255">
              <w:rPr>
                <w:lang w:eastAsia="en-AU"/>
              </w:rPr>
              <w:t>Proportion of adults who are obese (self-report)</w:t>
            </w:r>
          </w:p>
        </w:tc>
        <w:tc>
          <w:tcPr>
            <w:tcW w:w="1722" w:type="dxa"/>
          </w:tcPr>
          <w:p w14:paraId="1AA513C6" w14:textId="77777777" w:rsidR="00166BBE" w:rsidRPr="008E3255" w:rsidRDefault="00166BBE" w:rsidP="00D26641">
            <w:pPr>
              <w:pStyle w:val="Tabletext"/>
              <w:rPr>
                <w:lang w:eastAsia="en-AU"/>
              </w:rPr>
            </w:pPr>
            <w:r w:rsidRPr="008E3255">
              <w:rPr>
                <w:lang w:eastAsia="en-AU"/>
              </w:rPr>
              <w:t>VPHS</w:t>
            </w:r>
          </w:p>
        </w:tc>
        <w:tc>
          <w:tcPr>
            <w:tcW w:w="2407" w:type="dxa"/>
          </w:tcPr>
          <w:p w14:paraId="49F44C06" w14:textId="77777777" w:rsidR="00166BBE" w:rsidRPr="008E3255" w:rsidRDefault="00166BBE" w:rsidP="00D26641">
            <w:pPr>
              <w:pStyle w:val="Tabletext"/>
              <w:rPr>
                <w:lang w:eastAsia="en-AU"/>
              </w:rPr>
            </w:pPr>
            <w:r w:rsidRPr="008E3255">
              <w:rPr>
                <w:lang w:eastAsia="en-AU"/>
              </w:rPr>
              <w:t>Halt the rise and reverse the trend in the prevalence of obesity in adults by 2030</w:t>
            </w:r>
          </w:p>
        </w:tc>
        <w:tc>
          <w:tcPr>
            <w:tcW w:w="1245" w:type="dxa"/>
          </w:tcPr>
          <w:p w14:paraId="3C156BC1" w14:textId="7BC106C9" w:rsidR="00166BBE" w:rsidRPr="008E3255" w:rsidRDefault="00166BBE" w:rsidP="00D26641">
            <w:pPr>
              <w:pStyle w:val="Tabletext"/>
              <w:rPr>
                <w:i/>
                <w:iCs/>
              </w:rPr>
            </w:pPr>
            <w:r w:rsidRPr="001D0F79">
              <w:t>1.3.3.2</w:t>
            </w:r>
            <w:r>
              <w:rPr>
                <w:i/>
                <w:iCs/>
              </w:rPr>
              <w:t xml:space="preserve"> </w:t>
            </w:r>
          </w:p>
        </w:tc>
      </w:tr>
      <w:tr w:rsidR="00166BBE" w:rsidRPr="008E3255" w14:paraId="629D5C0E" w14:textId="77777777" w:rsidTr="006E3EB6">
        <w:tc>
          <w:tcPr>
            <w:tcW w:w="2309" w:type="dxa"/>
            <w:shd w:val="clear" w:color="auto" w:fill="F2F2F2" w:themeFill="background1" w:themeFillShade="F2"/>
          </w:tcPr>
          <w:p w14:paraId="7E075AD6" w14:textId="77777777" w:rsidR="00166BBE" w:rsidRPr="00C36FFF" w:rsidRDefault="00166BBE" w:rsidP="00D26641">
            <w:pPr>
              <w:pStyle w:val="Tabletext"/>
            </w:pPr>
            <w:r w:rsidRPr="00C36FFF">
              <w:t xml:space="preserve">Reduce smoking and vaping </w:t>
            </w:r>
          </w:p>
        </w:tc>
        <w:tc>
          <w:tcPr>
            <w:tcW w:w="3367" w:type="dxa"/>
            <w:shd w:val="clear" w:color="auto" w:fill="F2F2F2" w:themeFill="background1" w:themeFillShade="F2"/>
          </w:tcPr>
          <w:p w14:paraId="7B34BA47" w14:textId="77777777" w:rsidR="00166BBE" w:rsidRPr="008E3255" w:rsidRDefault="00166BBE" w:rsidP="00D26641">
            <w:pPr>
              <w:pStyle w:val="Tabletext"/>
              <w:rPr>
                <w:lang w:eastAsia="en-AU"/>
              </w:rPr>
            </w:pPr>
            <w:r w:rsidRPr="008E3255">
              <w:rPr>
                <w:lang w:eastAsia="en-AU"/>
              </w:rPr>
              <w:t>Proportion of people who smoke</w:t>
            </w:r>
            <w:r>
              <w:rPr>
                <w:lang w:eastAsia="en-AU"/>
              </w:rPr>
              <w:t xml:space="preserve"> </w:t>
            </w:r>
          </w:p>
        </w:tc>
        <w:tc>
          <w:tcPr>
            <w:tcW w:w="3618" w:type="dxa"/>
            <w:shd w:val="clear" w:color="auto" w:fill="F2F2F2" w:themeFill="background1" w:themeFillShade="F2"/>
          </w:tcPr>
          <w:p w14:paraId="30DB1D6C" w14:textId="77777777" w:rsidR="00166BBE" w:rsidRPr="008E3255" w:rsidRDefault="00166BBE" w:rsidP="00D26641">
            <w:pPr>
              <w:pStyle w:val="Tabletext"/>
              <w:rPr>
                <w:lang w:eastAsia="en-AU"/>
              </w:rPr>
            </w:pPr>
            <w:r w:rsidRPr="008E3255">
              <w:rPr>
                <w:lang w:eastAsia="en-AU"/>
              </w:rPr>
              <w:t>Proportion of adults who smoke daily</w:t>
            </w:r>
          </w:p>
        </w:tc>
        <w:tc>
          <w:tcPr>
            <w:tcW w:w="1722" w:type="dxa"/>
            <w:shd w:val="clear" w:color="auto" w:fill="F2F2F2" w:themeFill="background1" w:themeFillShade="F2"/>
          </w:tcPr>
          <w:p w14:paraId="610473CD" w14:textId="77777777" w:rsidR="00166BBE" w:rsidRPr="008E3255" w:rsidRDefault="00166BBE" w:rsidP="00D26641">
            <w:pPr>
              <w:pStyle w:val="Tabletext"/>
              <w:rPr>
                <w:lang w:eastAsia="en-AU"/>
              </w:rPr>
            </w:pPr>
            <w:r w:rsidRPr="008E3255">
              <w:rPr>
                <w:lang w:eastAsia="en-AU"/>
              </w:rPr>
              <w:t>VPHS</w:t>
            </w:r>
          </w:p>
        </w:tc>
        <w:tc>
          <w:tcPr>
            <w:tcW w:w="2407" w:type="dxa"/>
            <w:shd w:val="clear" w:color="auto" w:fill="F2F2F2" w:themeFill="background1" w:themeFillShade="F2"/>
          </w:tcPr>
          <w:p w14:paraId="02DB68D3" w14:textId="1477BB18" w:rsidR="00166BBE" w:rsidRPr="008E3255" w:rsidRDefault="00166BBE" w:rsidP="00D26641">
            <w:pPr>
              <w:pStyle w:val="Tabletext"/>
              <w:rPr>
                <w:lang w:eastAsia="en-AU"/>
              </w:rPr>
            </w:pPr>
            <w:r w:rsidRPr="008E3255">
              <w:rPr>
                <w:lang w:eastAsia="en-AU"/>
              </w:rPr>
              <w:t>Achieve a daily smoking prevalence of less than 10</w:t>
            </w:r>
            <w:r w:rsidR="003A249A">
              <w:rPr>
                <w:lang w:eastAsia="en-AU"/>
              </w:rPr>
              <w:t xml:space="preserve"> percent</w:t>
            </w:r>
            <w:r w:rsidRPr="008E3255">
              <w:rPr>
                <w:lang w:eastAsia="en-AU"/>
              </w:rPr>
              <w:t xml:space="preserve"> by 2025 and 5</w:t>
            </w:r>
            <w:r w:rsidR="003A249A">
              <w:rPr>
                <w:lang w:eastAsia="en-AU"/>
              </w:rPr>
              <w:t xml:space="preserve"> percent</w:t>
            </w:r>
            <w:r w:rsidRPr="008E3255">
              <w:rPr>
                <w:lang w:eastAsia="en-AU"/>
              </w:rPr>
              <w:t xml:space="preserve"> or less for adults (≥18 years) by 2030</w:t>
            </w:r>
          </w:p>
        </w:tc>
        <w:tc>
          <w:tcPr>
            <w:tcW w:w="1245" w:type="dxa"/>
            <w:shd w:val="clear" w:color="auto" w:fill="F2F2F2" w:themeFill="background1" w:themeFillShade="F2"/>
          </w:tcPr>
          <w:p w14:paraId="365128F7" w14:textId="04AEC865" w:rsidR="00166BBE" w:rsidRPr="008E3255" w:rsidRDefault="00166BBE" w:rsidP="00D26641">
            <w:pPr>
              <w:pStyle w:val="Tabletext"/>
              <w:rPr>
                <w:i/>
                <w:iCs/>
              </w:rPr>
            </w:pPr>
            <w:r w:rsidRPr="003B2366">
              <w:t>1.3.4.1</w:t>
            </w:r>
          </w:p>
        </w:tc>
      </w:tr>
      <w:tr w:rsidR="00166BBE" w:rsidRPr="008E3255" w14:paraId="0B4D3692" w14:textId="77777777" w:rsidTr="006E3EB6">
        <w:tc>
          <w:tcPr>
            <w:tcW w:w="2309" w:type="dxa"/>
            <w:shd w:val="clear" w:color="auto" w:fill="F2F2F2" w:themeFill="background1" w:themeFillShade="F2"/>
          </w:tcPr>
          <w:p w14:paraId="49E16B23" w14:textId="77777777" w:rsidR="00166BBE" w:rsidRPr="00C36FFF" w:rsidRDefault="00166BBE" w:rsidP="00D26641">
            <w:pPr>
              <w:pStyle w:val="Tabletext"/>
            </w:pPr>
          </w:p>
        </w:tc>
        <w:tc>
          <w:tcPr>
            <w:tcW w:w="3367" w:type="dxa"/>
            <w:shd w:val="clear" w:color="auto" w:fill="F2F2F2" w:themeFill="background1" w:themeFillShade="F2"/>
          </w:tcPr>
          <w:p w14:paraId="67D806B0" w14:textId="77777777" w:rsidR="00166BBE" w:rsidRPr="008E3255" w:rsidRDefault="00166BBE" w:rsidP="00D26641">
            <w:pPr>
              <w:pStyle w:val="Tabletext"/>
            </w:pPr>
          </w:p>
        </w:tc>
        <w:tc>
          <w:tcPr>
            <w:tcW w:w="3618" w:type="dxa"/>
            <w:shd w:val="clear" w:color="auto" w:fill="F2F2F2" w:themeFill="background1" w:themeFillShade="F2"/>
          </w:tcPr>
          <w:p w14:paraId="65857A22" w14:textId="727A6F03" w:rsidR="00166BBE" w:rsidRPr="008E3255" w:rsidRDefault="00981F18" w:rsidP="00D26641">
            <w:pPr>
              <w:pStyle w:val="Tabletext"/>
              <w:rPr>
                <w:lang w:eastAsia="en-AU"/>
              </w:rPr>
            </w:pPr>
            <w:r>
              <w:rPr>
                <w:lang w:eastAsia="en-AU"/>
              </w:rPr>
              <w:t>Proportion of young people who smoke</w:t>
            </w:r>
          </w:p>
        </w:tc>
        <w:tc>
          <w:tcPr>
            <w:tcW w:w="1722" w:type="dxa"/>
            <w:shd w:val="clear" w:color="auto" w:fill="F2F2F2" w:themeFill="background1" w:themeFillShade="F2"/>
          </w:tcPr>
          <w:p w14:paraId="4CAB4F48" w14:textId="77777777" w:rsidR="00166BBE" w:rsidRPr="00576166" w:rsidRDefault="00166BBE" w:rsidP="00D26641">
            <w:pPr>
              <w:pStyle w:val="Tabletext"/>
              <w:rPr>
                <w:lang w:eastAsia="en-AU"/>
              </w:rPr>
            </w:pPr>
            <w:r w:rsidRPr="00576166">
              <w:rPr>
                <w:lang w:eastAsia="en-AU"/>
              </w:rPr>
              <w:t>NDSHS/ASSAD</w:t>
            </w:r>
          </w:p>
        </w:tc>
        <w:tc>
          <w:tcPr>
            <w:tcW w:w="2407" w:type="dxa"/>
            <w:shd w:val="clear" w:color="auto" w:fill="F2F2F2" w:themeFill="background1" w:themeFillShade="F2"/>
          </w:tcPr>
          <w:p w14:paraId="630D4A55" w14:textId="77777777" w:rsidR="00166BBE" w:rsidRPr="008E3255" w:rsidRDefault="00166BBE" w:rsidP="00D26641">
            <w:pPr>
              <w:pStyle w:val="Tabletext"/>
              <w:rPr>
                <w:lang w:eastAsia="en-AU"/>
              </w:rPr>
            </w:pPr>
          </w:p>
        </w:tc>
        <w:tc>
          <w:tcPr>
            <w:tcW w:w="1245" w:type="dxa"/>
            <w:shd w:val="clear" w:color="auto" w:fill="F2F2F2" w:themeFill="background1" w:themeFillShade="F2"/>
          </w:tcPr>
          <w:p w14:paraId="0FE97C2B" w14:textId="77777777" w:rsidR="00166BBE" w:rsidRPr="008E3255" w:rsidRDefault="00166BBE" w:rsidP="00D26641">
            <w:pPr>
              <w:pStyle w:val="Tabletext"/>
            </w:pPr>
            <w:r>
              <w:t>1.3.4.2</w:t>
            </w:r>
          </w:p>
        </w:tc>
      </w:tr>
      <w:tr w:rsidR="00166BBE" w:rsidRPr="008E3255" w14:paraId="0E643AD9" w14:textId="77777777" w:rsidTr="006E3EB6">
        <w:tc>
          <w:tcPr>
            <w:tcW w:w="2309" w:type="dxa"/>
            <w:shd w:val="clear" w:color="auto" w:fill="F2F2F2" w:themeFill="background1" w:themeFillShade="F2"/>
          </w:tcPr>
          <w:p w14:paraId="2C333451" w14:textId="77777777" w:rsidR="00166BBE" w:rsidRPr="00C36FFF" w:rsidRDefault="00166BBE" w:rsidP="00D26641">
            <w:pPr>
              <w:pStyle w:val="Tabletext"/>
            </w:pPr>
          </w:p>
        </w:tc>
        <w:tc>
          <w:tcPr>
            <w:tcW w:w="3367" w:type="dxa"/>
            <w:shd w:val="clear" w:color="auto" w:fill="F2F2F2" w:themeFill="background1" w:themeFillShade="F2"/>
          </w:tcPr>
          <w:p w14:paraId="436AC085" w14:textId="77777777" w:rsidR="00166BBE" w:rsidRPr="008E3255" w:rsidRDefault="00166BBE" w:rsidP="00D26641">
            <w:pPr>
              <w:pStyle w:val="Tabletext"/>
            </w:pPr>
            <w:r w:rsidRPr="008E3255">
              <w:rPr>
                <w:lang w:eastAsia="en-AU"/>
              </w:rPr>
              <w:t>Proportion of children who live with a smoker who smokes inside the home</w:t>
            </w:r>
          </w:p>
        </w:tc>
        <w:tc>
          <w:tcPr>
            <w:tcW w:w="3618" w:type="dxa"/>
            <w:shd w:val="clear" w:color="auto" w:fill="F2F2F2" w:themeFill="background1" w:themeFillShade="F2"/>
          </w:tcPr>
          <w:p w14:paraId="716897E3" w14:textId="77777777" w:rsidR="00166BBE" w:rsidRPr="008E3255" w:rsidRDefault="00166BBE" w:rsidP="00D26641">
            <w:pPr>
              <w:pStyle w:val="Tabletext"/>
              <w:rPr>
                <w:lang w:eastAsia="en-AU"/>
              </w:rPr>
            </w:pPr>
            <w:r w:rsidRPr="008E3255">
              <w:rPr>
                <w:lang w:eastAsia="en-AU"/>
              </w:rPr>
              <w:t>Proportion of children who live with a smoker who smokes inside the home</w:t>
            </w:r>
          </w:p>
        </w:tc>
        <w:tc>
          <w:tcPr>
            <w:tcW w:w="1722" w:type="dxa"/>
            <w:shd w:val="clear" w:color="auto" w:fill="F2F2F2" w:themeFill="background1" w:themeFillShade="F2"/>
          </w:tcPr>
          <w:p w14:paraId="5497DD0B" w14:textId="77777777" w:rsidR="00166BBE" w:rsidRPr="00576166" w:rsidRDefault="00166BBE" w:rsidP="00D26641">
            <w:pPr>
              <w:pStyle w:val="Tabletext"/>
              <w:rPr>
                <w:lang w:eastAsia="en-AU"/>
              </w:rPr>
            </w:pPr>
            <w:r w:rsidRPr="00D81EC0">
              <w:rPr>
                <w:lang w:eastAsia="en-AU"/>
              </w:rPr>
              <w:t>VCHWS</w:t>
            </w:r>
          </w:p>
        </w:tc>
        <w:tc>
          <w:tcPr>
            <w:tcW w:w="2407" w:type="dxa"/>
            <w:shd w:val="clear" w:color="auto" w:fill="F2F2F2" w:themeFill="background1" w:themeFillShade="F2"/>
          </w:tcPr>
          <w:p w14:paraId="6107D951" w14:textId="77777777" w:rsidR="00166BBE" w:rsidRPr="008E3255" w:rsidRDefault="00166BBE" w:rsidP="00D26641">
            <w:pPr>
              <w:pStyle w:val="Tabletext"/>
              <w:rPr>
                <w:lang w:eastAsia="en-AU"/>
              </w:rPr>
            </w:pPr>
          </w:p>
        </w:tc>
        <w:tc>
          <w:tcPr>
            <w:tcW w:w="1245" w:type="dxa"/>
            <w:shd w:val="clear" w:color="auto" w:fill="F2F2F2" w:themeFill="background1" w:themeFillShade="F2"/>
          </w:tcPr>
          <w:p w14:paraId="0528EEF7" w14:textId="77777777" w:rsidR="00166BBE" w:rsidRPr="008E3255" w:rsidRDefault="00166BBE" w:rsidP="00D26641">
            <w:pPr>
              <w:pStyle w:val="Tabletext"/>
            </w:pPr>
            <w:r>
              <w:t>1.3.4.3</w:t>
            </w:r>
          </w:p>
        </w:tc>
      </w:tr>
      <w:tr w:rsidR="00166BBE" w:rsidRPr="008E3255" w14:paraId="550697A6" w14:textId="77777777" w:rsidTr="006E3EB6">
        <w:tc>
          <w:tcPr>
            <w:tcW w:w="2309" w:type="dxa"/>
            <w:shd w:val="clear" w:color="auto" w:fill="F2F2F2" w:themeFill="background1" w:themeFillShade="F2"/>
          </w:tcPr>
          <w:p w14:paraId="36324464" w14:textId="77777777" w:rsidR="00166BBE" w:rsidRPr="00C36FFF" w:rsidRDefault="00166BBE" w:rsidP="00D26641">
            <w:pPr>
              <w:pStyle w:val="Tabletext"/>
            </w:pPr>
          </w:p>
        </w:tc>
        <w:tc>
          <w:tcPr>
            <w:tcW w:w="3367" w:type="dxa"/>
            <w:shd w:val="clear" w:color="auto" w:fill="F2F2F2" w:themeFill="background1" w:themeFillShade="F2"/>
          </w:tcPr>
          <w:p w14:paraId="41767497" w14:textId="77777777" w:rsidR="00166BBE" w:rsidRPr="008E3255" w:rsidRDefault="00166BBE" w:rsidP="00D26641">
            <w:pPr>
              <w:pStyle w:val="Tabletext"/>
            </w:pPr>
            <w:r w:rsidRPr="008E3255">
              <w:rPr>
                <w:lang w:eastAsia="en-AU"/>
              </w:rPr>
              <w:t xml:space="preserve">Proportion of people who </w:t>
            </w:r>
            <w:r>
              <w:rPr>
                <w:lang w:eastAsia="en-AU"/>
              </w:rPr>
              <w:t>vape</w:t>
            </w:r>
          </w:p>
        </w:tc>
        <w:tc>
          <w:tcPr>
            <w:tcW w:w="3618" w:type="dxa"/>
            <w:shd w:val="clear" w:color="auto" w:fill="F2F2F2" w:themeFill="background1" w:themeFillShade="F2"/>
          </w:tcPr>
          <w:p w14:paraId="78638A89" w14:textId="29EB796E" w:rsidR="00166BBE" w:rsidRPr="008E3255" w:rsidRDefault="0039356A" w:rsidP="00D26641">
            <w:pPr>
              <w:pStyle w:val="Tabletext"/>
              <w:rPr>
                <w:lang w:eastAsia="en-AU"/>
              </w:rPr>
            </w:pPr>
            <w:r>
              <w:rPr>
                <w:lang w:eastAsia="en-AU"/>
              </w:rPr>
              <w:t xml:space="preserve">Proportion of young people who </w:t>
            </w:r>
            <w:r w:rsidR="00932090">
              <w:rPr>
                <w:lang w:eastAsia="en-AU"/>
              </w:rPr>
              <w:t>v</w:t>
            </w:r>
            <w:r w:rsidR="00166BBE" w:rsidRPr="008E3255">
              <w:rPr>
                <w:lang w:eastAsia="en-AU"/>
              </w:rPr>
              <w:t>ap</w:t>
            </w:r>
            <w:r w:rsidR="00932090">
              <w:rPr>
                <w:lang w:eastAsia="en-AU"/>
              </w:rPr>
              <w:t>e</w:t>
            </w:r>
          </w:p>
        </w:tc>
        <w:tc>
          <w:tcPr>
            <w:tcW w:w="1722" w:type="dxa"/>
            <w:shd w:val="clear" w:color="auto" w:fill="F2F2F2" w:themeFill="background1" w:themeFillShade="F2"/>
          </w:tcPr>
          <w:p w14:paraId="1DC6A721" w14:textId="35530A48" w:rsidR="00166BBE" w:rsidRPr="00576166" w:rsidRDefault="00166BBE" w:rsidP="00D26641">
            <w:pPr>
              <w:pStyle w:val="Tabletext"/>
              <w:rPr>
                <w:lang w:eastAsia="en-AU"/>
              </w:rPr>
            </w:pPr>
            <w:r w:rsidRPr="00F07831">
              <w:rPr>
                <w:lang w:eastAsia="en-AU"/>
              </w:rPr>
              <w:t>NDSHS</w:t>
            </w:r>
            <w:r w:rsidR="00B248BF">
              <w:rPr>
                <w:lang w:eastAsia="en-AU"/>
              </w:rPr>
              <w:t>/ASSAD</w:t>
            </w:r>
          </w:p>
        </w:tc>
        <w:tc>
          <w:tcPr>
            <w:tcW w:w="2407" w:type="dxa"/>
            <w:shd w:val="clear" w:color="auto" w:fill="F2F2F2" w:themeFill="background1" w:themeFillShade="F2"/>
          </w:tcPr>
          <w:p w14:paraId="69064C1E" w14:textId="77777777" w:rsidR="00166BBE" w:rsidRPr="008E3255" w:rsidRDefault="00166BBE" w:rsidP="00D26641">
            <w:pPr>
              <w:pStyle w:val="Tabletext"/>
              <w:rPr>
                <w:lang w:eastAsia="en-AU"/>
              </w:rPr>
            </w:pPr>
          </w:p>
        </w:tc>
        <w:tc>
          <w:tcPr>
            <w:tcW w:w="1245" w:type="dxa"/>
            <w:shd w:val="clear" w:color="auto" w:fill="F2F2F2" w:themeFill="background1" w:themeFillShade="F2"/>
          </w:tcPr>
          <w:p w14:paraId="31A2FE68" w14:textId="77777777" w:rsidR="00166BBE" w:rsidRPr="008E3255" w:rsidRDefault="00166BBE" w:rsidP="00D26641">
            <w:pPr>
              <w:pStyle w:val="Tabletext"/>
            </w:pPr>
            <w:r>
              <w:t>1.3.4.4</w:t>
            </w:r>
          </w:p>
        </w:tc>
      </w:tr>
      <w:tr w:rsidR="00166BBE" w:rsidRPr="008E3255" w14:paraId="6A2BCA93" w14:textId="77777777" w:rsidTr="006E3EB6">
        <w:tc>
          <w:tcPr>
            <w:tcW w:w="2309" w:type="dxa"/>
            <w:shd w:val="clear" w:color="auto" w:fill="F2F2F2" w:themeFill="background1" w:themeFillShade="F2"/>
          </w:tcPr>
          <w:p w14:paraId="78F49A29" w14:textId="77777777" w:rsidR="00166BBE" w:rsidRPr="00C36FFF" w:rsidRDefault="00166BBE" w:rsidP="00D26641">
            <w:pPr>
              <w:pStyle w:val="Tabletext"/>
            </w:pPr>
          </w:p>
        </w:tc>
        <w:tc>
          <w:tcPr>
            <w:tcW w:w="3367" w:type="dxa"/>
            <w:shd w:val="clear" w:color="auto" w:fill="F2F2F2" w:themeFill="background1" w:themeFillShade="F2"/>
          </w:tcPr>
          <w:p w14:paraId="5ACB1572" w14:textId="77777777" w:rsidR="00166BBE" w:rsidRPr="008E3255" w:rsidRDefault="00166BBE" w:rsidP="00D26641">
            <w:pPr>
              <w:pStyle w:val="Tabletext"/>
            </w:pPr>
          </w:p>
        </w:tc>
        <w:tc>
          <w:tcPr>
            <w:tcW w:w="3618" w:type="dxa"/>
            <w:shd w:val="clear" w:color="auto" w:fill="F2F2F2" w:themeFill="background1" w:themeFillShade="F2"/>
          </w:tcPr>
          <w:p w14:paraId="3C02AEAD" w14:textId="50201C62" w:rsidR="00166BBE" w:rsidRPr="008E3255" w:rsidRDefault="00166BBE" w:rsidP="00D26641">
            <w:pPr>
              <w:pStyle w:val="Tabletext"/>
              <w:rPr>
                <w:lang w:eastAsia="en-AU"/>
              </w:rPr>
            </w:pPr>
            <w:r w:rsidRPr="008E3255">
              <w:rPr>
                <w:lang w:eastAsia="en-AU"/>
              </w:rPr>
              <w:t xml:space="preserve">Proportion of adults who </w:t>
            </w:r>
            <w:r w:rsidR="0039094F">
              <w:rPr>
                <w:lang w:eastAsia="en-AU"/>
              </w:rPr>
              <w:t xml:space="preserve">currently </w:t>
            </w:r>
            <w:r w:rsidRPr="008E3255">
              <w:rPr>
                <w:lang w:eastAsia="en-AU"/>
              </w:rPr>
              <w:t>vape</w:t>
            </w:r>
          </w:p>
        </w:tc>
        <w:tc>
          <w:tcPr>
            <w:tcW w:w="1722" w:type="dxa"/>
            <w:shd w:val="clear" w:color="auto" w:fill="F2F2F2" w:themeFill="background1" w:themeFillShade="F2"/>
          </w:tcPr>
          <w:p w14:paraId="4DF3EAC7" w14:textId="77777777" w:rsidR="00166BBE" w:rsidRPr="008E3255" w:rsidRDefault="00166BBE" w:rsidP="00D26641">
            <w:pPr>
              <w:pStyle w:val="Tabletext"/>
              <w:rPr>
                <w:lang w:eastAsia="en-AU"/>
              </w:rPr>
            </w:pPr>
            <w:r w:rsidRPr="008E3255">
              <w:rPr>
                <w:lang w:eastAsia="en-AU"/>
              </w:rPr>
              <w:t>VPHS</w:t>
            </w:r>
          </w:p>
        </w:tc>
        <w:tc>
          <w:tcPr>
            <w:tcW w:w="2407" w:type="dxa"/>
            <w:shd w:val="clear" w:color="auto" w:fill="F2F2F2" w:themeFill="background1" w:themeFillShade="F2"/>
          </w:tcPr>
          <w:p w14:paraId="2182BC85" w14:textId="77777777" w:rsidR="00166BBE" w:rsidRPr="008E3255" w:rsidRDefault="00166BBE" w:rsidP="00D26641">
            <w:pPr>
              <w:pStyle w:val="Tabletext"/>
              <w:rPr>
                <w:lang w:eastAsia="en-AU"/>
              </w:rPr>
            </w:pPr>
          </w:p>
        </w:tc>
        <w:tc>
          <w:tcPr>
            <w:tcW w:w="1245" w:type="dxa"/>
            <w:shd w:val="clear" w:color="auto" w:fill="F2F2F2" w:themeFill="background1" w:themeFillShade="F2"/>
          </w:tcPr>
          <w:p w14:paraId="2F870732" w14:textId="77777777" w:rsidR="00166BBE" w:rsidRPr="008E3255" w:rsidRDefault="00166BBE" w:rsidP="00D26641">
            <w:pPr>
              <w:pStyle w:val="Tabletext"/>
            </w:pPr>
            <w:r>
              <w:t>1.3.4.5</w:t>
            </w:r>
          </w:p>
        </w:tc>
      </w:tr>
      <w:tr w:rsidR="00166BBE" w:rsidRPr="008E3255" w14:paraId="2E20E68F" w14:textId="77777777" w:rsidTr="006E3EB6">
        <w:tc>
          <w:tcPr>
            <w:tcW w:w="2309" w:type="dxa"/>
          </w:tcPr>
          <w:p w14:paraId="2D075932" w14:textId="77777777" w:rsidR="00166BBE" w:rsidRPr="00C36FFF" w:rsidRDefault="00166BBE" w:rsidP="00D26641">
            <w:pPr>
              <w:pStyle w:val="Tabletext"/>
            </w:pPr>
            <w:r w:rsidRPr="00C36FFF">
              <w:t>Reduce harmful alcohol and drug use</w:t>
            </w:r>
          </w:p>
        </w:tc>
        <w:tc>
          <w:tcPr>
            <w:tcW w:w="3367" w:type="dxa"/>
          </w:tcPr>
          <w:p w14:paraId="0DF5AD4E" w14:textId="77777777" w:rsidR="00166BBE" w:rsidRPr="008E3255" w:rsidRDefault="00166BBE" w:rsidP="00D26641">
            <w:pPr>
              <w:pStyle w:val="Tabletext"/>
            </w:pPr>
            <w:r w:rsidRPr="00576166">
              <w:rPr>
                <w:lang w:eastAsia="en-AU"/>
              </w:rPr>
              <w:t>Proportion of adults who consume excess alcohol</w:t>
            </w:r>
          </w:p>
        </w:tc>
        <w:tc>
          <w:tcPr>
            <w:tcW w:w="3618" w:type="dxa"/>
          </w:tcPr>
          <w:p w14:paraId="25065085" w14:textId="77777777" w:rsidR="00166BBE" w:rsidRPr="00F07831" w:rsidRDefault="00166BBE" w:rsidP="00D26641">
            <w:pPr>
              <w:pStyle w:val="Tabletext"/>
              <w:rPr>
                <w:lang w:eastAsia="en-AU"/>
              </w:rPr>
            </w:pPr>
            <w:r w:rsidRPr="00F07831">
              <w:rPr>
                <w:lang w:eastAsia="en-AU"/>
              </w:rPr>
              <w:t>Proportion of adults who consume alcohol at increased risk of harm from alcohol-related disease and injury</w:t>
            </w:r>
          </w:p>
        </w:tc>
        <w:tc>
          <w:tcPr>
            <w:tcW w:w="1722" w:type="dxa"/>
          </w:tcPr>
          <w:p w14:paraId="7E4BC738" w14:textId="77777777" w:rsidR="00166BBE" w:rsidRPr="008E3255" w:rsidRDefault="00166BBE" w:rsidP="00D26641">
            <w:pPr>
              <w:pStyle w:val="Tabletext"/>
              <w:rPr>
                <w:lang w:eastAsia="en-AU"/>
              </w:rPr>
            </w:pPr>
            <w:r w:rsidRPr="008E3255">
              <w:rPr>
                <w:lang w:eastAsia="en-AU"/>
              </w:rPr>
              <w:t>VPHS</w:t>
            </w:r>
          </w:p>
        </w:tc>
        <w:tc>
          <w:tcPr>
            <w:tcW w:w="2407" w:type="dxa"/>
          </w:tcPr>
          <w:p w14:paraId="3C26A56E" w14:textId="1FF325CA" w:rsidR="00166BBE" w:rsidRPr="008E3255" w:rsidRDefault="00166BBE" w:rsidP="00D26641">
            <w:pPr>
              <w:pStyle w:val="Tabletext"/>
              <w:rPr>
                <w:lang w:eastAsia="en-AU"/>
              </w:rPr>
            </w:pPr>
            <w:r w:rsidRPr="008E3255">
              <w:rPr>
                <w:lang w:eastAsia="en-AU"/>
              </w:rPr>
              <w:t>At least a 10</w:t>
            </w:r>
            <w:r w:rsidR="003A249A">
              <w:rPr>
                <w:lang w:eastAsia="en-AU"/>
              </w:rPr>
              <w:t xml:space="preserve"> percent</w:t>
            </w:r>
            <w:r w:rsidRPr="008E3255">
              <w:rPr>
                <w:lang w:eastAsia="en-AU"/>
              </w:rPr>
              <w:t xml:space="preserve"> reduction in harmful alcohol consumption by </w:t>
            </w:r>
            <w:r>
              <w:rPr>
                <w:lang w:eastAsia="en-AU"/>
              </w:rPr>
              <w:t>Victori</w:t>
            </w:r>
            <w:r w:rsidRPr="008E3255">
              <w:rPr>
                <w:lang w:eastAsia="en-AU"/>
              </w:rPr>
              <w:t>ans (≥14 years) by 2025 and at least a 15</w:t>
            </w:r>
            <w:r w:rsidR="003A249A">
              <w:rPr>
                <w:lang w:eastAsia="en-AU"/>
              </w:rPr>
              <w:t xml:space="preserve"> percent</w:t>
            </w:r>
            <w:r w:rsidRPr="008E3255">
              <w:rPr>
                <w:lang w:eastAsia="en-AU"/>
              </w:rPr>
              <w:t xml:space="preserve"> reduction by 2030</w:t>
            </w:r>
          </w:p>
        </w:tc>
        <w:tc>
          <w:tcPr>
            <w:tcW w:w="1245" w:type="dxa"/>
          </w:tcPr>
          <w:p w14:paraId="31A550FE" w14:textId="57BB38DB" w:rsidR="00166BBE" w:rsidRPr="008E3255" w:rsidRDefault="00166BBE" w:rsidP="00D26641">
            <w:pPr>
              <w:pStyle w:val="Tabletext"/>
              <w:rPr>
                <w:i/>
                <w:iCs/>
              </w:rPr>
            </w:pPr>
            <w:r w:rsidRPr="00F941EF">
              <w:t>1.3.5.1</w:t>
            </w:r>
            <w:r>
              <w:t xml:space="preserve"> a</w:t>
            </w:r>
            <w:r>
              <w:rPr>
                <w:i/>
                <w:iCs/>
              </w:rPr>
              <w:t xml:space="preserve"> </w:t>
            </w:r>
          </w:p>
        </w:tc>
      </w:tr>
      <w:tr w:rsidR="00166BBE" w:rsidRPr="008E3255" w14:paraId="7C5857DA" w14:textId="77777777" w:rsidTr="006E3EB6">
        <w:tc>
          <w:tcPr>
            <w:tcW w:w="2309" w:type="dxa"/>
          </w:tcPr>
          <w:p w14:paraId="3F39BDF6" w14:textId="77777777" w:rsidR="00166BBE" w:rsidRPr="00C36FFF" w:rsidRDefault="00166BBE" w:rsidP="00D26641">
            <w:pPr>
              <w:pStyle w:val="Tabletext"/>
            </w:pPr>
          </w:p>
        </w:tc>
        <w:tc>
          <w:tcPr>
            <w:tcW w:w="3367" w:type="dxa"/>
          </w:tcPr>
          <w:p w14:paraId="2539612F" w14:textId="77777777" w:rsidR="00166BBE" w:rsidRPr="008E3255" w:rsidRDefault="00166BBE" w:rsidP="00D26641">
            <w:pPr>
              <w:pStyle w:val="Tabletext"/>
              <w:rPr>
                <w:lang w:eastAsia="en-AU"/>
              </w:rPr>
            </w:pPr>
          </w:p>
        </w:tc>
        <w:tc>
          <w:tcPr>
            <w:tcW w:w="3618" w:type="dxa"/>
          </w:tcPr>
          <w:p w14:paraId="2552013F" w14:textId="77777777" w:rsidR="00166BBE" w:rsidRPr="00F07831" w:rsidRDefault="00166BBE" w:rsidP="00D26641">
            <w:pPr>
              <w:pStyle w:val="Tabletext"/>
              <w:rPr>
                <w:lang w:eastAsia="en-AU"/>
              </w:rPr>
            </w:pPr>
            <w:r w:rsidRPr="00F07831">
              <w:rPr>
                <w:lang w:eastAsia="en-AU"/>
              </w:rPr>
              <w:t>Proportion of adults who consume alcohol at risk of alcohol-related injury on a single occasion</w:t>
            </w:r>
          </w:p>
        </w:tc>
        <w:tc>
          <w:tcPr>
            <w:tcW w:w="1722" w:type="dxa"/>
          </w:tcPr>
          <w:p w14:paraId="56069811" w14:textId="77777777" w:rsidR="00166BBE" w:rsidRPr="008E3255" w:rsidRDefault="00166BBE" w:rsidP="00D26641">
            <w:pPr>
              <w:pStyle w:val="Tabletext"/>
              <w:rPr>
                <w:lang w:eastAsia="en-AU"/>
              </w:rPr>
            </w:pPr>
            <w:r>
              <w:rPr>
                <w:lang w:eastAsia="en-AU"/>
              </w:rPr>
              <w:t>VPHS</w:t>
            </w:r>
          </w:p>
        </w:tc>
        <w:tc>
          <w:tcPr>
            <w:tcW w:w="2407" w:type="dxa"/>
          </w:tcPr>
          <w:p w14:paraId="56049745" w14:textId="77777777" w:rsidR="00166BBE" w:rsidRPr="008E3255" w:rsidRDefault="00166BBE" w:rsidP="00D26641">
            <w:pPr>
              <w:pStyle w:val="Tabletext"/>
              <w:rPr>
                <w:lang w:eastAsia="en-AU"/>
              </w:rPr>
            </w:pPr>
          </w:p>
        </w:tc>
        <w:tc>
          <w:tcPr>
            <w:tcW w:w="1245" w:type="dxa"/>
          </w:tcPr>
          <w:p w14:paraId="092C1CC5" w14:textId="4480FBD5" w:rsidR="00166BBE" w:rsidRPr="00F941EF" w:rsidRDefault="00166BBE" w:rsidP="00D26641">
            <w:pPr>
              <w:pStyle w:val="Tabletext"/>
            </w:pPr>
            <w:r w:rsidRPr="00F941EF">
              <w:t>1.3.5.1</w:t>
            </w:r>
            <w:r>
              <w:t xml:space="preserve"> b</w:t>
            </w:r>
            <w:r>
              <w:rPr>
                <w:i/>
                <w:iCs/>
              </w:rPr>
              <w:t xml:space="preserve"> </w:t>
            </w:r>
          </w:p>
        </w:tc>
      </w:tr>
      <w:tr w:rsidR="00166BBE" w:rsidRPr="008E3255" w14:paraId="12E47FA8" w14:textId="77777777" w:rsidTr="006E3EB6">
        <w:tc>
          <w:tcPr>
            <w:tcW w:w="2309" w:type="dxa"/>
          </w:tcPr>
          <w:p w14:paraId="642F3F6D" w14:textId="77777777" w:rsidR="00166BBE" w:rsidRPr="00C36FFF" w:rsidRDefault="00166BBE" w:rsidP="00D26641">
            <w:pPr>
              <w:pStyle w:val="Tabletext"/>
            </w:pPr>
          </w:p>
        </w:tc>
        <w:tc>
          <w:tcPr>
            <w:tcW w:w="3367" w:type="dxa"/>
          </w:tcPr>
          <w:p w14:paraId="03A134E8" w14:textId="77777777" w:rsidR="00166BBE" w:rsidRPr="008E3255" w:rsidRDefault="00166BBE" w:rsidP="00D26641">
            <w:pPr>
              <w:pStyle w:val="Tabletext"/>
            </w:pPr>
            <w:r w:rsidRPr="008E3255">
              <w:rPr>
                <w:lang w:eastAsia="en-AU"/>
              </w:rPr>
              <w:t>Proportion of adolescents</w:t>
            </w:r>
            <w:r>
              <w:rPr>
                <w:lang w:eastAsia="en-AU"/>
              </w:rPr>
              <w:t xml:space="preserve"> who consume alcohol</w:t>
            </w:r>
          </w:p>
        </w:tc>
        <w:tc>
          <w:tcPr>
            <w:tcW w:w="3618" w:type="dxa"/>
          </w:tcPr>
          <w:p w14:paraId="5A7768DE" w14:textId="77777777" w:rsidR="00166BBE" w:rsidRPr="008E3255" w:rsidRDefault="00166BBE" w:rsidP="00D26641">
            <w:pPr>
              <w:pStyle w:val="Tabletext"/>
              <w:rPr>
                <w:lang w:eastAsia="en-AU"/>
              </w:rPr>
            </w:pPr>
            <w:r w:rsidRPr="008E3255">
              <w:rPr>
                <w:lang w:eastAsia="en-AU"/>
              </w:rPr>
              <w:t>Proportion of adolescents 12–17 years who consume alcohol at least monthly</w:t>
            </w:r>
          </w:p>
        </w:tc>
        <w:tc>
          <w:tcPr>
            <w:tcW w:w="1722" w:type="dxa"/>
          </w:tcPr>
          <w:p w14:paraId="31FEFC84" w14:textId="77777777" w:rsidR="00166BBE" w:rsidRPr="00576166" w:rsidRDefault="00166BBE" w:rsidP="00D26641">
            <w:pPr>
              <w:pStyle w:val="Tabletext"/>
              <w:rPr>
                <w:lang w:eastAsia="en-AU"/>
              </w:rPr>
            </w:pPr>
            <w:r w:rsidRPr="00576166">
              <w:rPr>
                <w:lang w:eastAsia="en-AU"/>
              </w:rPr>
              <w:t>NDSHS/ASSAD</w:t>
            </w:r>
          </w:p>
        </w:tc>
        <w:tc>
          <w:tcPr>
            <w:tcW w:w="2407" w:type="dxa"/>
          </w:tcPr>
          <w:p w14:paraId="1E2A3510" w14:textId="12DAB4A9" w:rsidR="00166BBE" w:rsidRPr="008E3255" w:rsidRDefault="00166BBE" w:rsidP="00D26641">
            <w:pPr>
              <w:pStyle w:val="Tabletext"/>
              <w:rPr>
                <w:lang w:eastAsia="en-AU"/>
              </w:rPr>
            </w:pPr>
            <w:r w:rsidRPr="00A411B8">
              <w:rPr>
                <w:lang w:eastAsia="en-AU"/>
              </w:rPr>
              <w:t>Less than 10</w:t>
            </w:r>
            <w:r w:rsidR="003A249A">
              <w:rPr>
                <w:lang w:eastAsia="en-AU"/>
              </w:rPr>
              <w:t xml:space="preserve"> percent</w:t>
            </w:r>
            <w:r w:rsidRPr="00A411B8">
              <w:rPr>
                <w:lang w:eastAsia="en-AU"/>
              </w:rPr>
              <w:t xml:space="preserve"> of young people (14</w:t>
            </w:r>
            <w:r w:rsidR="001712EA">
              <w:rPr>
                <w:lang w:eastAsia="en-AU"/>
              </w:rPr>
              <w:t>–</w:t>
            </w:r>
            <w:r w:rsidRPr="00A411B8">
              <w:rPr>
                <w:lang w:eastAsia="en-AU"/>
              </w:rPr>
              <w:t>17</w:t>
            </w:r>
            <w:r w:rsidR="007C75DE">
              <w:rPr>
                <w:lang w:eastAsia="en-AU"/>
              </w:rPr>
              <w:t>-</w:t>
            </w:r>
            <w:r w:rsidRPr="00A411B8">
              <w:rPr>
                <w:lang w:eastAsia="en-AU"/>
              </w:rPr>
              <w:t>year</w:t>
            </w:r>
            <w:r w:rsidR="007C75DE">
              <w:rPr>
                <w:lang w:eastAsia="en-AU"/>
              </w:rPr>
              <w:t>-</w:t>
            </w:r>
            <w:r w:rsidRPr="00A411B8">
              <w:rPr>
                <w:lang w:eastAsia="en-AU"/>
              </w:rPr>
              <w:t>olds) are consuming alcohol by 2030</w:t>
            </w:r>
          </w:p>
        </w:tc>
        <w:tc>
          <w:tcPr>
            <w:tcW w:w="1245" w:type="dxa"/>
          </w:tcPr>
          <w:p w14:paraId="544269DF" w14:textId="77777777" w:rsidR="00166BBE" w:rsidRPr="008E3255" w:rsidRDefault="00166BBE" w:rsidP="00D26641">
            <w:pPr>
              <w:pStyle w:val="Tabletext"/>
            </w:pPr>
            <w:r>
              <w:t>1.3.5.2</w:t>
            </w:r>
          </w:p>
        </w:tc>
      </w:tr>
      <w:tr w:rsidR="00166BBE" w:rsidRPr="008E3255" w14:paraId="0D28B2EA" w14:textId="77777777" w:rsidTr="006E3EB6">
        <w:tc>
          <w:tcPr>
            <w:tcW w:w="2309" w:type="dxa"/>
          </w:tcPr>
          <w:p w14:paraId="63021C3B" w14:textId="77777777" w:rsidR="00166BBE" w:rsidRPr="00C36FFF" w:rsidRDefault="00166BBE" w:rsidP="00D26641">
            <w:pPr>
              <w:pStyle w:val="Tabletext"/>
            </w:pPr>
          </w:p>
        </w:tc>
        <w:tc>
          <w:tcPr>
            <w:tcW w:w="3367" w:type="dxa"/>
          </w:tcPr>
          <w:p w14:paraId="6301F938" w14:textId="77777777" w:rsidR="00166BBE" w:rsidRPr="008E3255" w:rsidRDefault="00166BBE" w:rsidP="00D26641">
            <w:pPr>
              <w:pStyle w:val="Tabletext"/>
              <w:rPr>
                <w:lang w:eastAsia="en-AU"/>
              </w:rPr>
            </w:pPr>
            <w:r w:rsidRPr="008E3255">
              <w:rPr>
                <w:lang w:eastAsia="en-AU"/>
              </w:rPr>
              <w:t>Proportion of people 14 years and older using an illicit drug in the past 12 months</w:t>
            </w:r>
          </w:p>
        </w:tc>
        <w:tc>
          <w:tcPr>
            <w:tcW w:w="3618" w:type="dxa"/>
          </w:tcPr>
          <w:p w14:paraId="5DC2C7DD" w14:textId="77777777" w:rsidR="00166BBE" w:rsidRPr="008E3255" w:rsidRDefault="00166BBE" w:rsidP="00D26641">
            <w:pPr>
              <w:pStyle w:val="Tabletext"/>
              <w:rPr>
                <w:lang w:eastAsia="en-AU"/>
              </w:rPr>
            </w:pPr>
            <w:r w:rsidRPr="008E3255">
              <w:rPr>
                <w:lang w:eastAsia="en-AU"/>
              </w:rPr>
              <w:t>Proportion of people 14 years and older using an illicit drug in the past 12 months</w:t>
            </w:r>
          </w:p>
        </w:tc>
        <w:tc>
          <w:tcPr>
            <w:tcW w:w="1722" w:type="dxa"/>
          </w:tcPr>
          <w:p w14:paraId="147A400E" w14:textId="77777777" w:rsidR="00166BBE" w:rsidRPr="00576166" w:rsidRDefault="00166BBE" w:rsidP="00D26641">
            <w:pPr>
              <w:pStyle w:val="Tabletext"/>
              <w:rPr>
                <w:lang w:eastAsia="en-AU"/>
              </w:rPr>
            </w:pPr>
            <w:r w:rsidRPr="00576166">
              <w:rPr>
                <w:lang w:eastAsia="en-AU"/>
              </w:rPr>
              <w:t>NDSHS</w:t>
            </w:r>
          </w:p>
        </w:tc>
        <w:tc>
          <w:tcPr>
            <w:tcW w:w="2407" w:type="dxa"/>
          </w:tcPr>
          <w:p w14:paraId="30F8199A" w14:textId="77777777" w:rsidR="00166BBE" w:rsidRPr="00E121D9" w:rsidRDefault="00166BBE" w:rsidP="00D26641">
            <w:pPr>
              <w:pStyle w:val="Tabletext"/>
              <w:rPr>
                <w:strike/>
                <w:lang w:eastAsia="en-AU"/>
              </w:rPr>
            </w:pPr>
          </w:p>
        </w:tc>
        <w:tc>
          <w:tcPr>
            <w:tcW w:w="1245" w:type="dxa"/>
          </w:tcPr>
          <w:p w14:paraId="38FAEB7B" w14:textId="77777777" w:rsidR="00166BBE" w:rsidRPr="008E3255" w:rsidRDefault="00166BBE" w:rsidP="00D26641">
            <w:pPr>
              <w:pStyle w:val="Tabletext"/>
            </w:pPr>
            <w:r>
              <w:t>1.3.5.3</w:t>
            </w:r>
          </w:p>
        </w:tc>
      </w:tr>
      <w:tr w:rsidR="00166BBE" w:rsidRPr="008E3255" w14:paraId="4AEAA8F3" w14:textId="77777777" w:rsidTr="006E3EB6">
        <w:tc>
          <w:tcPr>
            <w:tcW w:w="2309" w:type="dxa"/>
          </w:tcPr>
          <w:p w14:paraId="6D647DB1" w14:textId="77777777" w:rsidR="00166BBE" w:rsidRPr="00C36FFF" w:rsidRDefault="00166BBE" w:rsidP="00D26641">
            <w:pPr>
              <w:pStyle w:val="Tabletext"/>
            </w:pPr>
          </w:p>
        </w:tc>
        <w:tc>
          <w:tcPr>
            <w:tcW w:w="3367" w:type="dxa"/>
          </w:tcPr>
          <w:p w14:paraId="4336E277" w14:textId="663BA324" w:rsidR="00166BBE" w:rsidRPr="008E3255" w:rsidRDefault="00166BBE" w:rsidP="00D26641">
            <w:pPr>
              <w:pStyle w:val="Tabletext"/>
              <w:rPr>
                <w:lang w:eastAsia="en-AU"/>
              </w:rPr>
            </w:pPr>
            <w:r w:rsidRPr="008E3255">
              <w:rPr>
                <w:lang w:eastAsia="en-AU"/>
              </w:rPr>
              <w:t>Rate of alcohol, prescription drug or illicit drug</w:t>
            </w:r>
            <w:r w:rsidR="00FF2100">
              <w:rPr>
                <w:lang w:eastAsia="en-AU"/>
              </w:rPr>
              <w:t>-</w:t>
            </w:r>
            <w:r w:rsidRPr="008E3255">
              <w:rPr>
                <w:lang w:eastAsia="en-AU"/>
              </w:rPr>
              <w:t>related ambulance attendances</w:t>
            </w:r>
          </w:p>
        </w:tc>
        <w:tc>
          <w:tcPr>
            <w:tcW w:w="3618" w:type="dxa"/>
          </w:tcPr>
          <w:p w14:paraId="2B9AD01D" w14:textId="54127F2A" w:rsidR="00166BBE" w:rsidRPr="008E3255" w:rsidRDefault="00166BBE" w:rsidP="00D26641">
            <w:pPr>
              <w:pStyle w:val="Tabletext"/>
              <w:rPr>
                <w:lang w:eastAsia="en-AU"/>
              </w:rPr>
            </w:pPr>
            <w:r w:rsidRPr="008E3255">
              <w:rPr>
                <w:lang w:eastAsia="en-AU"/>
              </w:rPr>
              <w:t>Rate of alcohol</w:t>
            </w:r>
            <w:r w:rsidR="00FF2100">
              <w:rPr>
                <w:lang w:eastAsia="en-AU"/>
              </w:rPr>
              <w:t>-</w:t>
            </w:r>
            <w:r w:rsidRPr="008E3255">
              <w:rPr>
                <w:lang w:eastAsia="en-AU"/>
              </w:rPr>
              <w:t>related ambulance attendances</w:t>
            </w:r>
          </w:p>
        </w:tc>
        <w:tc>
          <w:tcPr>
            <w:tcW w:w="1722" w:type="dxa"/>
          </w:tcPr>
          <w:p w14:paraId="6D2EBD0D" w14:textId="77777777" w:rsidR="00166BBE" w:rsidRPr="00576166" w:rsidRDefault="00166BBE" w:rsidP="00D26641">
            <w:pPr>
              <w:pStyle w:val="Tabletext"/>
              <w:rPr>
                <w:lang w:eastAsia="en-AU"/>
              </w:rPr>
            </w:pPr>
            <w:r w:rsidRPr="00576166">
              <w:rPr>
                <w:lang w:eastAsia="en-AU"/>
              </w:rPr>
              <w:t>VACIS</w:t>
            </w:r>
          </w:p>
        </w:tc>
        <w:tc>
          <w:tcPr>
            <w:tcW w:w="2407" w:type="dxa"/>
          </w:tcPr>
          <w:p w14:paraId="351797BB" w14:textId="77777777" w:rsidR="00166BBE" w:rsidRPr="008E3255" w:rsidRDefault="00166BBE" w:rsidP="00D26641">
            <w:pPr>
              <w:pStyle w:val="Tabletext"/>
              <w:rPr>
                <w:lang w:eastAsia="en-AU"/>
              </w:rPr>
            </w:pPr>
          </w:p>
        </w:tc>
        <w:tc>
          <w:tcPr>
            <w:tcW w:w="1245" w:type="dxa"/>
          </w:tcPr>
          <w:p w14:paraId="6524AC16" w14:textId="77777777" w:rsidR="00166BBE" w:rsidRPr="008E3255" w:rsidRDefault="00166BBE" w:rsidP="00D26641">
            <w:pPr>
              <w:pStyle w:val="Tabletext"/>
            </w:pPr>
            <w:r>
              <w:t>1.3.5.4 a</w:t>
            </w:r>
          </w:p>
        </w:tc>
      </w:tr>
      <w:tr w:rsidR="00166BBE" w:rsidRPr="008E3255" w14:paraId="49715A93" w14:textId="77777777" w:rsidTr="006E3EB6">
        <w:tc>
          <w:tcPr>
            <w:tcW w:w="2309" w:type="dxa"/>
          </w:tcPr>
          <w:p w14:paraId="27604DC4" w14:textId="77777777" w:rsidR="00166BBE" w:rsidRPr="00C36FFF" w:rsidRDefault="00166BBE" w:rsidP="00A433D1">
            <w:pPr>
              <w:pStyle w:val="Tabletext"/>
            </w:pPr>
          </w:p>
        </w:tc>
        <w:tc>
          <w:tcPr>
            <w:tcW w:w="3367" w:type="dxa"/>
          </w:tcPr>
          <w:p w14:paraId="349429BA" w14:textId="77777777" w:rsidR="00166BBE" w:rsidRPr="008E3255" w:rsidRDefault="00166BBE" w:rsidP="00A433D1">
            <w:pPr>
              <w:pStyle w:val="Tabletext"/>
              <w:rPr>
                <w:lang w:eastAsia="en-AU"/>
              </w:rPr>
            </w:pPr>
          </w:p>
        </w:tc>
        <w:tc>
          <w:tcPr>
            <w:tcW w:w="3618" w:type="dxa"/>
          </w:tcPr>
          <w:p w14:paraId="33119006" w14:textId="0C6C5889" w:rsidR="00166BBE" w:rsidRPr="008E3255" w:rsidRDefault="00166BBE" w:rsidP="00A433D1">
            <w:pPr>
              <w:pStyle w:val="Tabletext"/>
              <w:rPr>
                <w:lang w:eastAsia="en-AU"/>
              </w:rPr>
            </w:pPr>
            <w:r w:rsidRPr="008E3255">
              <w:rPr>
                <w:lang w:eastAsia="en-AU"/>
              </w:rPr>
              <w:t>Rate of prescription drug</w:t>
            </w:r>
            <w:r w:rsidR="00FF2100">
              <w:rPr>
                <w:lang w:eastAsia="en-AU"/>
              </w:rPr>
              <w:t>-</w:t>
            </w:r>
            <w:r w:rsidRPr="008E3255">
              <w:rPr>
                <w:lang w:eastAsia="en-AU"/>
              </w:rPr>
              <w:t>related ambulance attendances</w:t>
            </w:r>
          </w:p>
        </w:tc>
        <w:tc>
          <w:tcPr>
            <w:tcW w:w="1722" w:type="dxa"/>
          </w:tcPr>
          <w:p w14:paraId="43CF0CA6" w14:textId="77777777" w:rsidR="00166BBE" w:rsidRPr="00576166" w:rsidRDefault="00166BBE" w:rsidP="00A433D1">
            <w:pPr>
              <w:pStyle w:val="Tabletext"/>
              <w:rPr>
                <w:lang w:eastAsia="en-AU"/>
              </w:rPr>
            </w:pPr>
            <w:r w:rsidRPr="00576166">
              <w:rPr>
                <w:lang w:eastAsia="en-AU"/>
              </w:rPr>
              <w:t>VACIS</w:t>
            </w:r>
          </w:p>
        </w:tc>
        <w:tc>
          <w:tcPr>
            <w:tcW w:w="2407" w:type="dxa"/>
          </w:tcPr>
          <w:p w14:paraId="7925074E" w14:textId="77777777" w:rsidR="00166BBE" w:rsidRPr="008E3255" w:rsidRDefault="00166BBE" w:rsidP="00A433D1">
            <w:pPr>
              <w:pStyle w:val="Tabletext"/>
              <w:rPr>
                <w:lang w:eastAsia="en-AU"/>
              </w:rPr>
            </w:pPr>
          </w:p>
        </w:tc>
        <w:tc>
          <w:tcPr>
            <w:tcW w:w="1245" w:type="dxa"/>
          </w:tcPr>
          <w:p w14:paraId="1C9634B9" w14:textId="77777777" w:rsidR="00166BBE" w:rsidRPr="008E3255" w:rsidRDefault="00166BBE" w:rsidP="00A433D1">
            <w:pPr>
              <w:pStyle w:val="Tabletext"/>
            </w:pPr>
            <w:r>
              <w:t>b</w:t>
            </w:r>
          </w:p>
        </w:tc>
      </w:tr>
      <w:tr w:rsidR="00166BBE" w:rsidRPr="008E3255" w14:paraId="6ABCB65A" w14:textId="77777777" w:rsidTr="006E3EB6">
        <w:tc>
          <w:tcPr>
            <w:tcW w:w="2309" w:type="dxa"/>
          </w:tcPr>
          <w:p w14:paraId="1CAC8A2D" w14:textId="77777777" w:rsidR="00166BBE" w:rsidRPr="00C36FFF" w:rsidRDefault="00166BBE" w:rsidP="00A433D1">
            <w:pPr>
              <w:pStyle w:val="Tabletext"/>
            </w:pPr>
          </w:p>
        </w:tc>
        <w:tc>
          <w:tcPr>
            <w:tcW w:w="3367" w:type="dxa"/>
          </w:tcPr>
          <w:p w14:paraId="223DB2D9" w14:textId="77777777" w:rsidR="00166BBE" w:rsidRPr="008E3255" w:rsidRDefault="00166BBE" w:rsidP="00A433D1">
            <w:pPr>
              <w:pStyle w:val="Tabletext"/>
              <w:rPr>
                <w:lang w:eastAsia="en-AU"/>
              </w:rPr>
            </w:pPr>
          </w:p>
        </w:tc>
        <w:tc>
          <w:tcPr>
            <w:tcW w:w="3618" w:type="dxa"/>
          </w:tcPr>
          <w:p w14:paraId="3402E1C9" w14:textId="2AE3BBCF" w:rsidR="00166BBE" w:rsidRPr="008E3255" w:rsidRDefault="00166BBE" w:rsidP="00A433D1">
            <w:pPr>
              <w:pStyle w:val="Tabletext"/>
              <w:rPr>
                <w:lang w:eastAsia="en-AU"/>
              </w:rPr>
            </w:pPr>
            <w:r w:rsidRPr="008E3255">
              <w:rPr>
                <w:lang w:eastAsia="en-AU"/>
              </w:rPr>
              <w:t>Rate of illicit drug</w:t>
            </w:r>
            <w:r w:rsidR="00FF2100">
              <w:rPr>
                <w:lang w:eastAsia="en-AU"/>
              </w:rPr>
              <w:t>-</w:t>
            </w:r>
            <w:r w:rsidRPr="008E3255">
              <w:rPr>
                <w:lang w:eastAsia="en-AU"/>
              </w:rPr>
              <w:t>related ambulance attendances</w:t>
            </w:r>
          </w:p>
        </w:tc>
        <w:tc>
          <w:tcPr>
            <w:tcW w:w="1722" w:type="dxa"/>
          </w:tcPr>
          <w:p w14:paraId="6D9CA346" w14:textId="77777777" w:rsidR="00166BBE" w:rsidRPr="00576166" w:rsidRDefault="00166BBE" w:rsidP="00A433D1">
            <w:pPr>
              <w:pStyle w:val="Tabletext"/>
              <w:rPr>
                <w:lang w:eastAsia="en-AU"/>
              </w:rPr>
            </w:pPr>
            <w:r w:rsidRPr="00576166">
              <w:rPr>
                <w:lang w:eastAsia="en-AU"/>
              </w:rPr>
              <w:t>VACIS</w:t>
            </w:r>
          </w:p>
        </w:tc>
        <w:tc>
          <w:tcPr>
            <w:tcW w:w="2407" w:type="dxa"/>
          </w:tcPr>
          <w:p w14:paraId="2D30AAAB" w14:textId="77777777" w:rsidR="00166BBE" w:rsidRPr="008E3255" w:rsidRDefault="00166BBE" w:rsidP="00A433D1">
            <w:pPr>
              <w:pStyle w:val="Tabletext"/>
              <w:rPr>
                <w:lang w:eastAsia="en-AU"/>
              </w:rPr>
            </w:pPr>
          </w:p>
        </w:tc>
        <w:tc>
          <w:tcPr>
            <w:tcW w:w="1245" w:type="dxa"/>
          </w:tcPr>
          <w:p w14:paraId="3F102DE0" w14:textId="77777777" w:rsidR="00166BBE" w:rsidRPr="008E3255" w:rsidRDefault="00166BBE" w:rsidP="00A433D1">
            <w:pPr>
              <w:pStyle w:val="Tabletext"/>
            </w:pPr>
            <w:r>
              <w:t>c</w:t>
            </w:r>
          </w:p>
        </w:tc>
      </w:tr>
      <w:tr w:rsidR="00166BBE" w:rsidRPr="008E3255" w14:paraId="08254826" w14:textId="77777777" w:rsidTr="006E3EB6">
        <w:tc>
          <w:tcPr>
            <w:tcW w:w="2309" w:type="dxa"/>
            <w:shd w:val="clear" w:color="auto" w:fill="F2F2F2" w:themeFill="background1" w:themeFillShade="F2"/>
          </w:tcPr>
          <w:p w14:paraId="64AC7B93" w14:textId="77777777" w:rsidR="00166BBE" w:rsidRPr="00C36FFF" w:rsidRDefault="00166BBE" w:rsidP="00A433D1">
            <w:pPr>
              <w:pStyle w:val="Tabletext"/>
            </w:pPr>
            <w:r w:rsidRPr="00C36FFF">
              <w:t>Increase immunisation</w:t>
            </w:r>
          </w:p>
        </w:tc>
        <w:tc>
          <w:tcPr>
            <w:tcW w:w="3367" w:type="dxa"/>
            <w:shd w:val="clear" w:color="auto" w:fill="F2F2F2" w:themeFill="background1" w:themeFillShade="F2"/>
          </w:tcPr>
          <w:p w14:paraId="480DB149" w14:textId="77777777" w:rsidR="00166BBE" w:rsidRPr="008E3255" w:rsidRDefault="00166BBE" w:rsidP="00A433D1">
            <w:pPr>
              <w:pStyle w:val="Tabletext"/>
              <w:rPr>
                <w:lang w:eastAsia="en-AU"/>
              </w:rPr>
            </w:pPr>
            <w:r w:rsidRPr="008E3255">
              <w:rPr>
                <w:lang w:eastAsia="en-AU"/>
              </w:rPr>
              <w:t>Notification rate for vaccine preventable diseases</w:t>
            </w:r>
          </w:p>
        </w:tc>
        <w:tc>
          <w:tcPr>
            <w:tcW w:w="3618" w:type="dxa"/>
            <w:shd w:val="clear" w:color="auto" w:fill="F2F2F2" w:themeFill="background1" w:themeFillShade="F2"/>
          </w:tcPr>
          <w:p w14:paraId="50571329" w14:textId="77777777" w:rsidR="00166BBE" w:rsidRPr="008E3255" w:rsidRDefault="00166BBE" w:rsidP="00A433D1">
            <w:pPr>
              <w:pStyle w:val="Tabletext"/>
              <w:rPr>
                <w:lang w:eastAsia="en-AU"/>
              </w:rPr>
            </w:pPr>
            <w:r w:rsidRPr="008E3255">
              <w:rPr>
                <w:lang w:eastAsia="en-AU"/>
              </w:rPr>
              <w:t>Notification rate for vaccine preventable diseases</w:t>
            </w:r>
          </w:p>
        </w:tc>
        <w:tc>
          <w:tcPr>
            <w:tcW w:w="1722" w:type="dxa"/>
            <w:shd w:val="clear" w:color="auto" w:fill="F2F2F2" w:themeFill="background1" w:themeFillShade="F2"/>
          </w:tcPr>
          <w:p w14:paraId="3786FD56" w14:textId="77777777" w:rsidR="00166BBE" w:rsidRPr="008E3255" w:rsidRDefault="00166BBE" w:rsidP="00A433D1">
            <w:pPr>
              <w:pStyle w:val="Tabletext"/>
              <w:rPr>
                <w:lang w:eastAsia="en-AU"/>
              </w:rPr>
            </w:pPr>
            <w:r w:rsidRPr="008E3255">
              <w:rPr>
                <w:lang w:eastAsia="en-AU"/>
              </w:rPr>
              <w:t>PHESS</w:t>
            </w:r>
          </w:p>
        </w:tc>
        <w:tc>
          <w:tcPr>
            <w:tcW w:w="2407" w:type="dxa"/>
            <w:shd w:val="clear" w:color="auto" w:fill="F2F2F2" w:themeFill="background1" w:themeFillShade="F2"/>
          </w:tcPr>
          <w:p w14:paraId="50B1A63B" w14:textId="77777777" w:rsidR="00166BBE" w:rsidRPr="008E3255" w:rsidRDefault="00166BBE" w:rsidP="00A433D1">
            <w:pPr>
              <w:pStyle w:val="Tabletext"/>
              <w:rPr>
                <w:lang w:eastAsia="en-AU"/>
              </w:rPr>
            </w:pPr>
          </w:p>
        </w:tc>
        <w:tc>
          <w:tcPr>
            <w:tcW w:w="1245" w:type="dxa"/>
            <w:shd w:val="clear" w:color="auto" w:fill="F2F2F2" w:themeFill="background1" w:themeFillShade="F2"/>
          </w:tcPr>
          <w:p w14:paraId="4A43050B" w14:textId="77777777" w:rsidR="00166BBE" w:rsidRPr="008E3255" w:rsidRDefault="00166BBE" w:rsidP="00A433D1">
            <w:pPr>
              <w:pStyle w:val="Tabletext"/>
            </w:pPr>
            <w:r>
              <w:t>1.3.6.1</w:t>
            </w:r>
          </w:p>
        </w:tc>
      </w:tr>
      <w:tr w:rsidR="00166BBE" w:rsidRPr="008E3255" w14:paraId="36D77DE2" w14:textId="77777777" w:rsidTr="006E3EB6">
        <w:tc>
          <w:tcPr>
            <w:tcW w:w="2309" w:type="dxa"/>
            <w:shd w:val="clear" w:color="auto" w:fill="F2F2F2" w:themeFill="background1" w:themeFillShade="F2"/>
          </w:tcPr>
          <w:p w14:paraId="194D826B" w14:textId="77777777" w:rsidR="00166BBE" w:rsidRPr="00C36FFF" w:rsidRDefault="00166BBE" w:rsidP="00A433D1">
            <w:pPr>
              <w:pStyle w:val="Tabletext"/>
            </w:pPr>
          </w:p>
        </w:tc>
        <w:tc>
          <w:tcPr>
            <w:tcW w:w="3367" w:type="dxa"/>
            <w:shd w:val="clear" w:color="auto" w:fill="F2F2F2" w:themeFill="background1" w:themeFillShade="F2"/>
          </w:tcPr>
          <w:p w14:paraId="4D910794" w14:textId="77777777" w:rsidR="00166BBE" w:rsidRPr="008E3255" w:rsidRDefault="00166BBE" w:rsidP="00A433D1">
            <w:pPr>
              <w:pStyle w:val="Tabletext"/>
              <w:rPr>
                <w:lang w:eastAsia="en-AU"/>
              </w:rPr>
            </w:pPr>
            <w:r w:rsidRPr="008E3255">
              <w:rPr>
                <w:lang w:eastAsia="en-AU"/>
              </w:rPr>
              <w:t>Immunisation coverage rate at school entry</w:t>
            </w:r>
          </w:p>
        </w:tc>
        <w:tc>
          <w:tcPr>
            <w:tcW w:w="3618" w:type="dxa"/>
            <w:shd w:val="clear" w:color="auto" w:fill="F2F2F2" w:themeFill="background1" w:themeFillShade="F2"/>
          </w:tcPr>
          <w:p w14:paraId="4FDCA842" w14:textId="77777777" w:rsidR="00166BBE" w:rsidRPr="008E3255" w:rsidRDefault="00166BBE" w:rsidP="00A433D1">
            <w:pPr>
              <w:pStyle w:val="Tabletext"/>
              <w:rPr>
                <w:lang w:eastAsia="en-AU"/>
              </w:rPr>
            </w:pPr>
            <w:r w:rsidRPr="008E3255">
              <w:rPr>
                <w:lang w:eastAsia="en-AU"/>
              </w:rPr>
              <w:t>Immunisation coverage rate at school entry</w:t>
            </w:r>
          </w:p>
        </w:tc>
        <w:tc>
          <w:tcPr>
            <w:tcW w:w="1722" w:type="dxa"/>
            <w:shd w:val="clear" w:color="auto" w:fill="F2F2F2" w:themeFill="background1" w:themeFillShade="F2"/>
          </w:tcPr>
          <w:p w14:paraId="5F2FD09B" w14:textId="77777777" w:rsidR="00166BBE" w:rsidRPr="008E3255" w:rsidRDefault="00166BBE" w:rsidP="00A433D1">
            <w:pPr>
              <w:pStyle w:val="Tabletext"/>
              <w:rPr>
                <w:lang w:eastAsia="en-AU"/>
              </w:rPr>
            </w:pPr>
            <w:r w:rsidRPr="008E3255">
              <w:rPr>
                <w:lang w:eastAsia="en-AU"/>
              </w:rPr>
              <w:t>ACIR</w:t>
            </w:r>
          </w:p>
        </w:tc>
        <w:tc>
          <w:tcPr>
            <w:tcW w:w="2407" w:type="dxa"/>
            <w:shd w:val="clear" w:color="auto" w:fill="F2F2F2" w:themeFill="background1" w:themeFillShade="F2"/>
          </w:tcPr>
          <w:p w14:paraId="4862A1F9" w14:textId="2D319BC3" w:rsidR="00166BBE" w:rsidRPr="008E3255" w:rsidRDefault="00166BBE" w:rsidP="00A433D1">
            <w:pPr>
              <w:pStyle w:val="Tabletext"/>
              <w:rPr>
                <w:lang w:eastAsia="en-AU"/>
              </w:rPr>
            </w:pPr>
            <w:r w:rsidRPr="008E3255">
              <w:rPr>
                <w:lang w:eastAsia="en-AU"/>
              </w:rPr>
              <w:t>Increase immunisation coverage rates to at least 95</w:t>
            </w:r>
            <w:r w:rsidR="003A249A">
              <w:rPr>
                <w:lang w:eastAsia="en-AU"/>
              </w:rPr>
              <w:t xml:space="preserve"> percent</w:t>
            </w:r>
            <w:r w:rsidRPr="008E3255">
              <w:rPr>
                <w:lang w:eastAsia="en-AU"/>
              </w:rPr>
              <w:t xml:space="preserve"> of children aged </w:t>
            </w:r>
            <w:r w:rsidR="00585645">
              <w:rPr>
                <w:lang w:eastAsia="en-AU"/>
              </w:rPr>
              <w:t>one</w:t>
            </w:r>
            <w:r w:rsidRPr="008E3255">
              <w:rPr>
                <w:lang w:eastAsia="en-AU"/>
              </w:rPr>
              <w:t xml:space="preserve"> and </w:t>
            </w:r>
            <w:r w:rsidR="00585645">
              <w:rPr>
                <w:lang w:eastAsia="en-AU"/>
              </w:rPr>
              <w:t>two</w:t>
            </w:r>
            <w:r w:rsidRPr="008E3255">
              <w:rPr>
                <w:lang w:eastAsia="en-AU"/>
              </w:rPr>
              <w:t xml:space="preserve"> years by 2030</w:t>
            </w:r>
            <w:r>
              <w:rPr>
                <w:lang w:eastAsia="en-AU"/>
              </w:rPr>
              <w:t xml:space="preserve">, </w:t>
            </w:r>
            <w:r>
              <w:t>and maintain a coverage rate of at least 95</w:t>
            </w:r>
            <w:r w:rsidR="003A249A">
              <w:t xml:space="preserve"> percent</w:t>
            </w:r>
            <w:r>
              <w:t xml:space="preserve"> for children aged </w:t>
            </w:r>
            <w:r w:rsidR="00585645">
              <w:t>five</w:t>
            </w:r>
            <w:r>
              <w:t xml:space="preserve"> years</w:t>
            </w:r>
          </w:p>
        </w:tc>
        <w:tc>
          <w:tcPr>
            <w:tcW w:w="1245" w:type="dxa"/>
            <w:shd w:val="clear" w:color="auto" w:fill="F2F2F2" w:themeFill="background1" w:themeFillShade="F2"/>
          </w:tcPr>
          <w:p w14:paraId="0AECBB3B" w14:textId="77777777" w:rsidR="00166BBE" w:rsidRPr="008E3255" w:rsidRDefault="00166BBE" w:rsidP="00A433D1">
            <w:pPr>
              <w:pStyle w:val="Tabletext"/>
            </w:pPr>
            <w:r>
              <w:t>1.3.6.2</w:t>
            </w:r>
          </w:p>
        </w:tc>
      </w:tr>
      <w:tr w:rsidR="00166BBE" w:rsidRPr="008E3255" w14:paraId="27FAECE9" w14:textId="77777777" w:rsidTr="006E3EB6">
        <w:tc>
          <w:tcPr>
            <w:tcW w:w="2309" w:type="dxa"/>
          </w:tcPr>
          <w:p w14:paraId="04050A77" w14:textId="77777777" w:rsidR="00166BBE" w:rsidRPr="00C36FFF" w:rsidRDefault="00166BBE" w:rsidP="00A433D1">
            <w:pPr>
              <w:pStyle w:val="Tabletext"/>
            </w:pPr>
            <w:r w:rsidRPr="00C36FFF">
              <w:t>Reduce harmful sun exposure</w:t>
            </w:r>
          </w:p>
        </w:tc>
        <w:tc>
          <w:tcPr>
            <w:tcW w:w="3367" w:type="dxa"/>
          </w:tcPr>
          <w:p w14:paraId="506F3605" w14:textId="77777777" w:rsidR="00166BBE" w:rsidRPr="008E3255" w:rsidRDefault="00166BBE" w:rsidP="00A433D1">
            <w:pPr>
              <w:pStyle w:val="Tabletext"/>
              <w:rPr>
                <w:lang w:eastAsia="en-AU"/>
              </w:rPr>
            </w:pPr>
            <w:r w:rsidRPr="008E3255">
              <w:rPr>
                <w:lang w:eastAsia="en-AU"/>
              </w:rPr>
              <w:t xml:space="preserve">Proportion of adults by reported sun protection behaviours </w:t>
            </w:r>
          </w:p>
        </w:tc>
        <w:tc>
          <w:tcPr>
            <w:tcW w:w="3618" w:type="dxa"/>
          </w:tcPr>
          <w:p w14:paraId="55783FE6" w14:textId="77777777" w:rsidR="00166BBE" w:rsidRPr="007B2A04" w:rsidRDefault="00166BBE" w:rsidP="00A433D1">
            <w:pPr>
              <w:pStyle w:val="Tabletext"/>
              <w:rPr>
                <w:lang w:eastAsia="en-AU"/>
              </w:rPr>
            </w:pPr>
            <w:r w:rsidRPr="007B2A04">
              <w:rPr>
                <w:lang w:eastAsia="en-AU"/>
              </w:rPr>
              <w:t>To be reviewed</w:t>
            </w:r>
          </w:p>
        </w:tc>
        <w:tc>
          <w:tcPr>
            <w:tcW w:w="1722" w:type="dxa"/>
          </w:tcPr>
          <w:p w14:paraId="01382B7B" w14:textId="77777777" w:rsidR="00166BBE" w:rsidRPr="008E3255" w:rsidRDefault="00166BBE" w:rsidP="00A433D1">
            <w:pPr>
              <w:pStyle w:val="Tabletext"/>
              <w:rPr>
                <w:lang w:eastAsia="en-AU"/>
              </w:rPr>
            </w:pPr>
            <w:r w:rsidRPr="008E3255">
              <w:rPr>
                <w:lang w:eastAsia="en-AU"/>
              </w:rPr>
              <w:t>VPHS</w:t>
            </w:r>
          </w:p>
        </w:tc>
        <w:tc>
          <w:tcPr>
            <w:tcW w:w="2407" w:type="dxa"/>
          </w:tcPr>
          <w:p w14:paraId="62E8C7C0" w14:textId="77777777" w:rsidR="00166BBE" w:rsidRPr="008E3255" w:rsidRDefault="00166BBE" w:rsidP="00A433D1">
            <w:pPr>
              <w:pStyle w:val="Tabletext"/>
            </w:pPr>
          </w:p>
        </w:tc>
        <w:tc>
          <w:tcPr>
            <w:tcW w:w="1245" w:type="dxa"/>
          </w:tcPr>
          <w:p w14:paraId="17440831" w14:textId="77777777" w:rsidR="00166BBE" w:rsidRPr="008E3255" w:rsidRDefault="00166BBE" w:rsidP="00A433D1">
            <w:pPr>
              <w:pStyle w:val="Tabletext"/>
            </w:pPr>
            <w:r>
              <w:t>1.3.7.1</w:t>
            </w:r>
          </w:p>
        </w:tc>
      </w:tr>
      <w:tr w:rsidR="00166BBE" w:rsidRPr="008E3255" w14:paraId="0571748E" w14:textId="77777777" w:rsidTr="006E3EB6">
        <w:tc>
          <w:tcPr>
            <w:tcW w:w="2309" w:type="dxa"/>
          </w:tcPr>
          <w:p w14:paraId="605F6775" w14:textId="77777777" w:rsidR="00166BBE" w:rsidRPr="008E3255" w:rsidRDefault="00166BBE" w:rsidP="00A433D1">
            <w:pPr>
              <w:pStyle w:val="Tabletext"/>
            </w:pPr>
          </w:p>
        </w:tc>
        <w:tc>
          <w:tcPr>
            <w:tcW w:w="3367" w:type="dxa"/>
          </w:tcPr>
          <w:p w14:paraId="4710D1EA" w14:textId="77777777" w:rsidR="00166BBE" w:rsidRPr="00E104A2" w:rsidRDefault="00166BBE" w:rsidP="00A433D1">
            <w:pPr>
              <w:pStyle w:val="Tabletext"/>
              <w:rPr>
                <w:lang w:eastAsia="en-AU"/>
              </w:rPr>
            </w:pPr>
            <w:r w:rsidRPr="00E104A2">
              <w:rPr>
                <w:lang w:eastAsia="en-AU"/>
              </w:rPr>
              <w:t>Proportion of adults by reported frequency of sunburn</w:t>
            </w:r>
          </w:p>
        </w:tc>
        <w:tc>
          <w:tcPr>
            <w:tcW w:w="3618" w:type="dxa"/>
          </w:tcPr>
          <w:p w14:paraId="6B51D2C0" w14:textId="77777777" w:rsidR="00166BBE" w:rsidRPr="007B2A04" w:rsidRDefault="00166BBE" w:rsidP="00A433D1">
            <w:pPr>
              <w:pStyle w:val="Tabletext"/>
              <w:rPr>
                <w:lang w:eastAsia="en-AU"/>
              </w:rPr>
            </w:pPr>
            <w:r w:rsidRPr="007B2A04">
              <w:rPr>
                <w:lang w:eastAsia="en-AU"/>
              </w:rPr>
              <w:t>To be reviewed</w:t>
            </w:r>
          </w:p>
        </w:tc>
        <w:tc>
          <w:tcPr>
            <w:tcW w:w="1722" w:type="dxa"/>
          </w:tcPr>
          <w:p w14:paraId="3D0EFA4C" w14:textId="77777777" w:rsidR="00166BBE" w:rsidRPr="008E3255" w:rsidRDefault="00166BBE" w:rsidP="00A433D1">
            <w:pPr>
              <w:pStyle w:val="Tabletext"/>
              <w:rPr>
                <w:lang w:eastAsia="en-AU"/>
              </w:rPr>
            </w:pPr>
            <w:r w:rsidRPr="008E3255">
              <w:rPr>
                <w:lang w:eastAsia="en-AU"/>
              </w:rPr>
              <w:t>VPHS</w:t>
            </w:r>
          </w:p>
        </w:tc>
        <w:tc>
          <w:tcPr>
            <w:tcW w:w="2407" w:type="dxa"/>
          </w:tcPr>
          <w:p w14:paraId="02A51AD7" w14:textId="77777777" w:rsidR="00166BBE" w:rsidRPr="008E3255" w:rsidRDefault="00166BBE" w:rsidP="00A433D1">
            <w:pPr>
              <w:pStyle w:val="Tabletext"/>
            </w:pPr>
          </w:p>
        </w:tc>
        <w:tc>
          <w:tcPr>
            <w:tcW w:w="1245" w:type="dxa"/>
          </w:tcPr>
          <w:p w14:paraId="13036CCB" w14:textId="77777777" w:rsidR="00166BBE" w:rsidRPr="008E3255" w:rsidRDefault="00166BBE" w:rsidP="00A433D1">
            <w:pPr>
              <w:pStyle w:val="Tabletext"/>
            </w:pPr>
            <w:r>
              <w:t>1.3.7.2</w:t>
            </w:r>
          </w:p>
        </w:tc>
      </w:tr>
    </w:tbl>
    <w:p w14:paraId="6C9116AB" w14:textId="77777777" w:rsidR="00166BBE" w:rsidRPr="00267ECC" w:rsidRDefault="00166BBE" w:rsidP="00166BBE">
      <w:pPr>
        <w:pStyle w:val="DHHSbody"/>
        <w:spacing w:after="0" w:line="0" w:lineRule="atLeast"/>
        <w:rPr>
          <w:i/>
          <w:sz w:val="16"/>
          <w:szCs w:val="16"/>
        </w:rPr>
      </w:pPr>
    </w:p>
    <w:p w14:paraId="151F88F9" w14:textId="77777777" w:rsidR="00166BBE" w:rsidRPr="00714824" w:rsidRDefault="00166BBE" w:rsidP="00A433D1">
      <w:pPr>
        <w:pStyle w:val="Heading2"/>
        <w:rPr>
          <w:b w:val="0"/>
          <w:bCs/>
        </w:rPr>
      </w:pPr>
      <w:bookmarkStart w:id="61" w:name="_Toc211959719"/>
      <w:r w:rsidRPr="00714824">
        <w:rPr>
          <w:b w:val="0"/>
          <w:bCs/>
        </w:rPr>
        <w:t>Domain 2: Victorians experience social connectedness and community wellbeing</w:t>
      </w:r>
      <w:bookmarkEnd w:id="61"/>
    </w:p>
    <w:p w14:paraId="0C58666D" w14:textId="4DB4B596" w:rsidR="003C69B2" w:rsidRDefault="003C69B2" w:rsidP="00A433D1">
      <w:pPr>
        <w:pStyle w:val="Tablecaption"/>
      </w:pPr>
      <w:r>
        <w:t xml:space="preserve">Table </w:t>
      </w:r>
      <w:r>
        <w:fldChar w:fldCharType="begin"/>
      </w:r>
      <w:r>
        <w:instrText xml:space="preserve"> SEQ Table \* ARABIC </w:instrText>
      </w:r>
      <w:r>
        <w:fldChar w:fldCharType="separate"/>
      </w:r>
      <w:r w:rsidR="00B035D1">
        <w:rPr>
          <w:noProof/>
        </w:rPr>
        <w:t>7</w:t>
      </w:r>
      <w:r>
        <w:fldChar w:fldCharType="end"/>
      </w:r>
      <w:r>
        <w:t xml:space="preserve">. </w:t>
      </w:r>
      <w:r w:rsidRPr="00CC53C9">
        <w:t>Outcome 2.1: Victorians are safe and treated with respect</w:t>
      </w:r>
    </w:p>
    <w:tbl>
      <w:tblPr>
        <w:tblStyle w:val="TableGridLight"/>
        <w:tblW w:w="0" w:type="auto"/>
        <w:tblLook w:val="04A0" w:firstRow="1" w:lastRow="0" w:firstColumn="1" w:lastColumn="0" w:noHBand="0" w:noVBand="1"/>
      </w:tblPr>
      <w:tblGrid>
        <w:gridCol w:w="2982"/>
        <w:gridCol w:w="3861"/>
        <w:gridCol w:w="4345"/>
        <w:gridCol w:w="998"/>
        <w:gridCol w:w="858"/>
        <w:gridCol w:w="1232"/>
      </w:tblGrid>
      <w:tr w:rsidR="001B5348" w:rsidRPr="001B5348" w14:paraId="7224D3CA" w14:textId="77777777" w:rsidTr="00014C91">
        <w:trPr>
          <w:trHeight w:val="323"/>
          <w:tblHeader/>
        </w:trPr>
        <w:tc>
          <w:tcPr>
            <w:tcW w:w="0" w:type="auto"/>
            <w:shd w:val="clear" w:color="auto" w:fill="E36C0A" w:themeFill="accent6" w:themeFillShade="BF"/>
            <w:vAlign w:val="center"/>
          </w:tcPr>
          <w:p w14:paraId="3E19FFF2" w14:textId="77777777" w:rsidR="00166BBE" w:rsidRPr="00014C91" w:rsidRDefault="00166BBE" w:rsidP="00014C91">
            <w:pPr>
              <w:pStyle w:val="Tablecolhead"/>
              <w:rPr>
                <w:b w:val="0"/>
                <w:color w:val="FFFFFF" w:themeColor="background1"/>
              </w:rPr>
            </w:pPr>
            <w:r w:rsidRPr="00A433D1">
              <w:rPr>
                <w:color w:val="FFFFFF" w:themeColor="background1"/>
              </w:rPr>
              <w:t>Indicator</w:t>
            </w:r>
          </w:p>
        </w:tc>
        <w:tc>
          <w:tcPr>
            <w:tcW w:w="0" w:type="auto"/>
            <w:shd w:val="clear" w:color="auto" w:fill="E36C0A" w:themeFill="accent6" w:themeFillShade="BF"/>
            <w:vAlign w:val="center"/>
          </w:tcPr>
          <w:p w14:paraId="067CB55E" w14:textId="77777777" w:rsidR="00166BBE" w:rsidRPr="00014C91" w:rsidRDefault="00166BBE" w:rsidP="00014C91">
            <w:pPr>
              <w:pStyle w:val="Tablecolhead"/>
              <w:rPr>
                <w:b w:val="0"/>
                <w:color w:val="FFFFFF" w:themeColor="background1"/>
              </w:rPr>
            </w:pPr>
            <w:r w:rsidRPr="00014C91">
              <w:rPr>
                <w:color w:val="FFFFFF" w:themeColor="background1"/>
              </w:rPr>
              <w:t>Measure</w:t>
            </w:r>
          </w:p>
        </w:tc>
        <w:tc>
          <w:tcPr>
            <w:tcW w:w="0" w:type="auto"/>
            <w:shd w:val="clear" w:color="auto" w:fill="E36C0A" w:themeFill="accent6" w:themeFillShade="BF"/>
            <w:vAlign w:val="center"/>
          </w:tcPr>
          <w:p w14:paraId="79469171" w14:textId="77777777" w:rsidR="00166BBE" w:rsidRPr="00014C91" w:rsidRDefault="00166BBE" w:rsidP="00014C91">
            <w:pPr>
              <w:pStyle w:val="Tablecolhead"/>
              <w:rPr>
                <w:b w:val="0"/>
                <w:color w:val="FFFFFF" w:themeColor="background1"/>
              </w:rPr>
            </w:pPr>
            <w:r w:rsidRPr="00014C91">
              <w:rPr>
                <w:color w:val="FFFFFF" w:themeColor="background1"/>
              </w:rPr>
              <w:t>Measure detail</w:t>
            </w:r>
          </w:p>
        </w:tc>
        <w:tc>
          <w:tcPr>
            <w:tcW w:w="0" w:type="auto"/>
            <w:shd w:val="clear" w:color="auto" w:fill="E36C0A" w:themeFill="accent6" w:themeFillShade="BF"/>
            <w:vAlign w:val="center"/>
          </w:tcPr>
          <w:p w14:paraId="23468208" w14:textId="77777777" w:rsidR="00166BBE" w:rsidRPr="00014C91" w:rsidRDefault="00166BBE" w:rsidP="00014C91">
            <w:pPr>
              <w:pStyle w:val="Tablecolhead"/>
              <w:rPr>
                <w:b w:val="0"/>
                <w:color w:val="FFFFFF" w:themeColor="background1"/>
              </w:rPr>
            </w:pPr>
            <w:r w:rsidRPr="00014C91">
              <w:rPr>
                <w:color w:val="FFFFFF" w:themeColor="background1"/>
              </w:rPr>
              <w:t>Source</w:t>
            </w:r>
          </w:p>
        </w:tc>
        <w:tc>
          <w:tcPr>
            <w:tcW w:w="0" w:type="auto"/>
            <w:shd w:val="clear" w:color="auto" w:fill="E36C0A" w:themeFill="accent6" w:themeFillShade="BF"/>
            <w:vAlign w:val="center"/>
          </w:tcPr>
          <w:p w14:paraId="62F7289F" w14:textId="77777777" w:rsidR="00166BBE" w:rsidRPr="00014C91" w:rsidRDefault="00166BBE" w:rsidP="00014C91">
            <w:pPr>
              <w:pStyle w:val="Tablecolhead"/>
              <w:rPr>
                <w:b w:val="0"/>
                <w:color w:val="FFFFFF" w:themeColor="background1"/>
              </w:rPr>
            </w:pPr>
            <w:r w:rsidRPr="00014C91">
              <w:rPr>
                <w:color w:val="FFFFFF" w:themeColor="background1"/>
              </w:rPr>
              <w:t>Target</w:t>
            </w:r>
          </w:p>
        </w:tc>
        <w:tc>
          <w:tcPr>
            <w:tcW w:w="0" w:type="auto"/>
            <w:shd w:val="clear" w:color="auto" w:fill="E36C0A" w:themeFill="accent6" w:themeFillShade="BF"/>
            <w:vAlign w:val="center"/>
          </w:tcPr>
          <w:p w14:paraId="3EDE530C" w14:textId="77777777" w:rsidR="00166BBE" w:rsidRPr="00014C91" w:rsidRDefault="00166BBE" w:rsidP="00014C91">
            <w:pPr>
              <w:pStyle w:val="Tablecolhead"/>
              <w:rPr>
                <w:b w:val="0"/>
                <w:color w:val="FFFFFF" w:themeColor="background1"/>
              </w:rPr>
            </w:pPr>
            <w:r w:rsidRPr="00014C91">
              <w:rPr>
                <w:color w:val="FFFFFF" w:themeColor="background1"/>
              </w:rPr>
              <w:t>Reference</w:t>
            </w:r>
          </w:p>
        </w:tc>
      </w:tr>
      <w:tr w:rsidR="007762E2" w:rsidRPr="000A250B" w14:paraId="233E2087" w14:textId="77777777" w:rsidTr="00DD533E">
        <w:tc>
          <w:tcPr>
            <w:tcW w:w="0" w:type="auto"/>
          </w:tcPr>
          <w:p w14:paraId="09DDE3D2" w14:textId="77777777" w:rsidR="00166BBE" w:rsidRPr="000A250B" w:rsidRDefault="00166BBE" w:rsidP="00014C91">
            <w:pPr>
              <w:pStyle w:val="Tabletext"/>
            </w:pPr>
            <w:r w:rsidRPr="000A250B">
              <w:t xml:space="preserve">Reduce prevalence and impact of abuse and neglect of children </w:t>
            </w:r>
          </w:p>
        </w:tc>
        <w:tc>
          <w:tcPr>
            <w:tcW w:w="0" w:type="auto"/>
          </w:tcPr>
          <w:p w14:paraId="2079B772" w14:textId="77777777" w:rsidR="00166BBE" w:rsidRPr="000A250B" w:rsidRDefault="00166BBE" w:rsidP="00014C91">
            <w:pPr>
              <w:pStyle w:val="Tabletext"/>
            </w:pPr>
            <w:r w:rsidRPr="000A250B">
              <w:rPr>
                <w:lang w:eastAsia="en-AU"/>
              </w:rPr>
              <w:t>Rate of children who were the subject of child abuse and neglect substantiation</w:t>
            </w:r>
          </w:p>
        </w:tc>
        <w:tc>
          <w:tcPr>
            <w:tcW w:w="0" w:type="auto"/>
          </w:tcPr>
          <w:p w14:paraId="787F672E" w14:textId="77777777" w:rsidR="00166BBE" w:rsidRPr="000A250B" w:rsidRDefault="00166BBE" w:rsidP="00014C91">
            <w:pPr>
              <w:pStyle w:val="Tabletext"/>
            </w:pPr>
            <w:r w:rsidRPr="000A250B">
              <w:rPr>
                <w:lang w:eastAsia="en-AU"/>
              </w:rPr>
              <w:t>Rate of children who were the subject of child abuse and neglect substantiation</w:t>
            </w:r>
          </w:p>
        </w:tc>
        <w:tc>
          <w:tcPr>
            <w:tcW w:w="0" w:type="auto"/>
          </w:tcPr>
          <w:p w14:paraId="4AA63696" w14:textId="77777777" w:rsidR="00166BBE" w:rsidRPr="000A250B" w:rsidRDefault="00166BBE" w:rsidP="00014C91">
            <w:pPr>
              <w:pStyle w:val="Tabletext"/>
            </w:pPr>
            <w:r w:rsidRPr="00125DE5">
              <w:t>DFFH</w:t>
            </w:r>
          </w:p>
        </w:tc>
        <w:tc>
          <w:tcPr>
            <w:tcW w:w="0" w:type="auto"/>
          </w:tcPr>
          <w:p w14:paraId="65890177" w14:textId="77777777" w:rsidR="00166BBE" w:rsidRPr="00E121D9" w:rsidRDefault="00166BBE" w:rsidP="00014C91">
            <w:pPr>
              <w:pStyle w:val="Tabletext"/>
              <w:rPr>
                <w:strike/>
              </w:rPr>
            </w:pPr>
          </w:p>
        </w:tc>
        <w:tc>
          <w:tcPr>
            <w:tcW w:w="0" w:type="auto"/>
          </w:tcPr>
          <w:p w14:paraId="540A1E6D" w14:textId="77777777" w:rsidR="00166BBE" w:rsidRPr="000A250B" w:rsidRDefault="00166BBE" w:rsidP="00014C91">
            <w:pPr>
              <w:pStyle w:val="Tabletext"/>
            </w:pPr>
            <w:r>
              <w:t>2.1.1.1</w:t>
            </w:r>
          </w:p>
        </w:tc>
      </w:tr>
      <w:tr w:rsidR="007762E2" w:rsidRPr="000A250B" w14:paraId="73B57849" w14:textId="77777777" w:rsidTr="00DD533E">
        <w:tc>
          <w:tcPr>
            <w:tcW w:w="0" w:type="auto"/>
          </w:tcPr>
          <w:p w14:paraId="2172A839" w14:textId="77777777" w:rsidR="00166BBE" w:rsidRPr="000A250B" w:rsidRDefault="00166BBE" w:rsidP="00F620D9">
            <w:pPr>
              <w:pStyle w:val="Tabletext"/>
            </w:pPr>
          </w:p>
        </w:tc>
        <w:tc>
          <w:tcPr>
            <w:tcW w:w="0" w:type="auto"/>
          </w:tcPr>
          <w:p w14:paraId="46AC49A1" w14:textId="77777777" w:rsidR="00166BBE" w:rsidRPr="000A250B" w:rsidRDefault="00166BBE" w:rsidP="00F620D9">
            <w:pPr>
              <w:pStyle w:val="Tabletext"/>
            </w:pPr>
            <w:r w:rsidRPr="000A250B">
              <w:t>Proportion of children living in families with unhealthy family functioning</w:t>
            </w:r>
          </w:p>
        </w:tc>
        <w:tc>
          <w:tcPr>
            <w:tcW w:w="0" w:type="auto"/>
          </w:tcPr>
          <w:p w14:paraId="5A9184CC" w14:textId="77777777" w:rsidR="00166BBE" w:rsidRPr="000A250B" w:rsidRDefault="00166BBE" w:rsidP="00F620D9">
            <w:pPr>
              <w:pStyle w:val="Tabletext"/>
            </w:pPr>
            <w:r w:rsidRPr="000A250B">
              <w:t>Proportion of children living in families with unhealthy family functioning</w:t>
            </w:r>
          </w:p>
        </w:tc>
        <w:tc>
          <w:tcPr>
            <w:tcW w:w="0" w:type="auto"/>
          </w:tcPr>
          <w:p w14:paraId="1BA061C0" w14:textId="77777777" w:rsidR="00166BBE" w:rsidRPr="001C54DB" w:rsidRDefault="00166BBE" w:rsidP="00F620D9">
            <w:pPr>
              <w:pStyle w:val="Tabletext"/>
              <w:rPr>
                <w:highlight w:val="yellow"/>
              </w:rPr>
            </w:pPr>
            <w:r w:rsidRPr="00D66B64">
              <w:t>VCHWS</w:t>
            </w:r>
          </w:p>
        </w:tc>
        <w:tc>
          <w:tcPr>
            <w:tcW w:w="0" w:type="auto"/>
          </w:tcPr>
          <w:p w14:paraId="72D2BBD8" w14:textId="77777777" w:rsidR="00166BBE" w:rsidRPr="000A250B" w:rsidRDefault="00166BBE" w:rsidP="00F620D9">
            <w:pPr>
              <w:pStyle w:val="Tabletext"/>
            </w:pPr>
          </w:p>
        </w:tc>
        <w:tc>
          <w:tcPr>
            <w:tcW w:w="0" w:type="auto"/>
          </w:tcPr>
          <w:p w14:paraId="197D370C" w14:textId="77777777" w:rsidR="00166BBE" w:rsidRPr="000A250B" w:rsidRDefault="00166BBE" w:rsidP="00F620D9">
            <w:pPr>
              <w:pStyle w:val="Tabletext"/>
            </w:pPr>
            <w:r>
              <w:t>2.1.1.2</w:t>
            </w:r>
          </w:p>
        </w:tc>
      </w:tr>
      <w:tr w:rsidR="001B5348" w:rsidRPr="000A250B" w14:paraId="11A653A7" w14:textId="77777777" w:rsidTr="00DD533E">
        <w:tc>
          <w:tcPr>
            <w:tcW w:w="0" w:type="auto"/>
            <w:shd w:val="clear" w:color="auto" w:fill="F2F2F2" w:themeFill="background1" w:themeFillShade="F2"/>
          </w:tcPr>
          <w:p w14:paraId="13D479D0" w14:textId="77777777" w:rsidR="00166BBE" w:rsidRPr="000A250B" w:rsidRDefault="00166BBE" w:rsidP="00F620D9">
            <w:pPr>
              <w:pStyle w:val="Tabletext"/>
            </w:pPr>
            <w:r w:rsidRPr="000A250B">
              <w:t>Reduce incidence of family violence</w:t>
            </w:r>
          </w:p>
        </w:tc>
        <w:tc>
          <w:tcPr>
            <w:tcW w:w="0" w:type="auto"/>
            <w:shd w:val="clear" w:color="auto" w:fill="F2F2F2" w:themeFill="background1" w:themeFillShade="F2"/>
          </w:tcPr>
          <w:p w14:paraId="5951EC9D" w14:textId="77777777" w:rsidR="00166BBE" w:rsidRPr="000A250B" w:rsidRDefault="00166BBE" w:rsidP="00F620D9">
            <w:pPr>
              <w:pStyle w:val="Tabletext"/>
            </w:pPr>
            <w:r w:rsidRPr="000A250B">
              <w:rPr>
                <w:lang w:eastAsia="en-AU"/>
              </w:rPr>
              <w:t xml:space="preserve">Rate of incidents of family violence </w:t>
            </w:r>
          </w:p>
        </w:tc>
        <w:tc>
          <w:tcPr>
            <w:tcW w:w="0" w:type="auto"/>
            <w:shd w:val="clear" w:color="auto" w:fill="F2F2F2" w:themeFill="background1" w:themeFillShade="F2"/>
          </w:tcPr>
          <w:p w14:paraId="36EF2AE3" w14:textId="77777777" w:rsidR="00166BBE" w:rsidRPr="000A250B" w:rsidRDefault="00166BBE" w:rsidP="00F620D9">
            <w:pPr>
              <w:pStyle w:val="Tabletext"/>
            </w:pPr>
            <w:r w:rsidRPr="000A250B">
              <w:rPr>
                <w:lang w:eastAsia="en-AU"/>
              </w:rPr>
              <w:t>Rate of incidents of family violence recorded by police</w:t>
            </w:r>
          </w:p>
        </w:tc>
        <w:tc>
          <w:tcPr>
            <w:tcW w:w="0" w:type="auto"/>
            <w:shd w:val="clear" w:color="auto" w:fill="F2F2F2" w:themeFill="background1" w:themeFillShade="F2"/>
          </w:tcPr>
          <w:p w14:paraId="104D16DE" w14:textId="77777777" w:rsidR="00166BBE" w:rsidRPr="000A250B" w:rsidRDefault="00166BBE" w:rsidP="00F620D9">
            <w:pPr>
              <w:pStyle w:val="Tabletext"/>
            </w:pPr>
            <w:r w:rsidRPr="000A250B">
              <w:t>LEAP</w:t>
            </w:r>
          </w:p>
        </w:tc>
        <w:tc>
          <w:tcPr>
            <w:tcW w:w="0" w:type="auto"/>
            <w:shd w:val="clear" w:color="auto" w:fill="F2F2F2" w:themeFill="background1" w:themeFillShade="F2"/>
          </w:tcPr>
          <w:p w14:paraId="7872F24D" w14:textId="77777777" w:rsidR="00166BBE" w:rsidRPr="000A250B" w:rsidRDefault="00166BBE" w:rsidP="00F620D9">
            <w:pPr>
              <w:pStyle w:val="Tabletext"/>
            </w:pPr>
          </w:p>
        </w:tc>
        <w:tc>
          <w:tcPr>
            <w:tcW w:w="0" w:type="auto"/>
            <w:shd w:val="clear" w:color="auto" w:fill="F2F2F2" w:themeFill="background1" w:themeFillShade="F2"/>
          </w:tcPr>
          <w:p w14:paraId="6CC661E4" w14:textId="77777777" w:rsidR="00166BBE" w:rsidRPr="000A250B" w:rsidRDefault="00166BBE" w:rsidP="00F620D9">
            <w:pPr>
              <w:pStyle w:val="Tabletext"/>
            </w:pPr>
            <w:r>
              <w:t>2.1.2.1</w:t>
            </w:r>
          </w:p>
        </w:tc>
      </w:tr>
      <w:tr w:rsidR="001B5348" w:rsidRPr="000A250B" w14:paraId="2D1E3322" w14:textId="77777777" w:rsidTr="00DD533E">
        <w:tc>
          <w:tcPr>
            <w:tcW w:w="0" w:type="auto"/>
            <w:shd w:val="clear" w:color="auto" w:fill="F2F2F2" w:themeFill="background1" w:themeFillShade="F2"/>
          </w:tcPr>
          <w:p w14:paraId="34E3EFD5" w14:textId="77777777" w:rsidR="00166BBE" w:rsidRPr="000A250B" w:rsidRDefault="00166BBE" w:rsidP="00F620D9">
            <w:pPr>
              <w:pStyle w:val="Tabletext"/>
            </w:pPr>
          </w:p>
        </w:tc>
        <w:tc>
          <w:tcPr>
            <w:tcW w:w="0" w:type="auto"/>
            <w:shd w:val="clear" w:color="auto" w:fill="F2F2F2" w:themeFill="background1" w:themeFillShade="F2"/>
          </w:tcPr>
          <w:p w14:paraId="277480C4" w14:textId="77777777" w:rsidR="00166BBE" w:rsidRPr="000A250B" w:rsidRDefault="00166BBE" w:rsidP="00F620D9">
            <w:pPr>
              <w:pStyle w:val="Tabletext"/>
            </w:pPr>
            <w:r w:rsidRPr="000A250B">
              <w:rPr>
                <w:rFonts w:eastAsia="Arial"/>
              </w:rPr>
              <w:t>Police attendance for family violence incidents where there are children present</w:t>
            </w:r>
          </w:p>
        </w:tc>
        <w:tc>
          <w:tcPr>
            <w:tcW w:w="0" w:type="auto"/>
            <w:shd w:val="clear" w:color="auto" w:fill="F2F2F2" w:themeFill="background1" w:themeFillShade="F2"/>
          </w:tcPr>
          <w:p w14:paraId="3B7CB67F" w14:textId="77777777" w:rsidR="00166BBE" w:rsidRPr="000A250B" w:rsidRDefault="00166BBE" w:rsidP="00F620D9">
            <w:pPr>
              <w:pStyle w:val="Tabletext"/>
            </w:pPr>
            <w:r w:rsidRPr="000A250B">
              <w:rPr>
                <w:rFonts w:eastAsia="Arial"/>
              </w:rPr>
              <w:t>Police attendance for family violence incidents where there are children present</w:t>
            </w:r>
          </w:p>
        </w:tc>
        <w:tc>
          <w:tcPr>
            <w:tcW w:w="0" w:type="auto"/>
            <w:shd w:val="clear" w:color="auto" w:fill="F2F2F2" w:themeFill="background1" w:themeFillShade="F2"/>
          </w:tcPr>
          <w:p w14:paraId="3A71F111" w14:textId="77777777" w:rsidR="00166BBE" w:rsidRPr="000A250B" w:rsidRDefault="00166BBE" w:rsidP="00F620D9">
            <w:pPr>
              <w:pStyle w:val="Tabletext"/>
            </w:pPr>
            <w:r w:rsidRPr="000A250B">
              <w:t>LEAP</w:t>
            </w:r>
          </w:p>
        </w:tc>
        <w:tc>
          <w:tcPr>
            <w:tcW w:w="0" w:type="auto"/>
            <w:shd w:val="clear" w:color="auto" w:fill="F2F2F2" w:themeFill="background1" w:themeFillShade="F2"/>
          </w:tcPr>
          <w:p w14:paraId="4039E53A" w14:textId="77777777" w:rsidR="00166BBE" w:rsidRPr="000A250B" w:rsidRDefault="00166BBE" w:rsidP="00F620D9">
            <w:pPr>
              <w:pStyle w:val="Tabletext"/>
            </w:pPr>
          </w:p>
        </w:tc>
        <w:tc>
          <w:tcPr>
            <w:tcW w:w="0" w:type="auto"/>
            <w:shd w:val="clear" w:color="auto" w:fill="F2F2F2" w:themeFill="background1" w:themeFillShade="F2"/>
          </w:tcPr>
          <w:p w14:paraId="081BC9ED" w14:textId="77777777" w:rsidR="00166BBE" w:rsidRPr="000A250B" w:rsidRDefault="00166BBE" w:rsidP="00F620D9">
            <w:pPr>
              <w:pStyle w:val="Tabletext"/>
            </w:pPr>
            <w:r>
              <w:t>2.1.2.2</w:t>
            </w:r>
          </w:p>
        </w:tc>
      </w:tr>
      <w:tr w:rsidR="007762E2" w:rsidRPr="000A250B" w14:paraId="669F4C0D" w14:textId="77777777" w:rsidTr="00DD533E">
        <w:tc>
          <w:tcPr>
            <w:tcW w:w="0" w:type="auto"/>
          </w:tcPr>
          <w:p w14:paraId="79AC4966" w14:textId="77777777" w:rsidR="00166BBE" w:rsidRPr="000A250B" w:rsidRDefault="00166BBE" w:rsidP="00F620D9">
            <w:pPr>
              <w:pStyle w:val="Tabletext"/>
            </w:pPr>
            <w:r w:rsidRPr="000A250B">
              <w:lastRenderedPageBreak/>
              <w:t>Increase community safety</w:t>
            </w:r>
          </w:p>
        </w:tc>
        <w:tc>
          <w:tcPr>
            <w:tcW w:w="0" w:type="auto"/>
          </w:tcPr>
          <w:p w14:paraId="6188CAE2" w14:textId="77777777" w:rsidR="00166BBE" w:rsidRPr="000A250B" w:rsidRDefault="00166BBE" w:rsidP="00F620D9">
            <w:pPr>
              <w:pStyle w:val="Tabletext"/>
            </w:pPr>
            <w:r w:rsidRPr="000A250B">
              <w:t>Hospitalisation rate due to assault</w:t>
            </w:r>
          </w:p>
        </w:tc>
        <w:tc>
          <w:tcPr>
            <w:tcW w:w="0" w:type="auto"/>
          </w:tcPr>
          <w:p w14:paraId="57DC319E" w14:textId="77777777" w:rsidR="00166BBE" w:rsidRPr="000A250B" w:rsidRDefault="00166BBE" w:rsidP="00F620D9">
            <w:pPr>
              <w:pStyle w:val="Tabletext"/>
            </w:pPr>
            <w:r w:rsidRPr="000A250B">
              <w:t>Hospitalisation rate due to assault</w:t>
            </w:r>
          </w:p>
        </w:tc>
        <w:tc>
          <w:tcPr>
            <w:tcW w:w="0" w:type="auto"/>
          </w:tcPr>
          <w:p w14:paraId="35685B5B" w14:textId="77777777" w:rsidR="00166BBE" w:rsidRPr="00E104A2" w:rsidRDefault="00166BBE" w:rsidP="00F620D9">
            <w:pPr>
              <w:pStyle w:val="Tabletext"/>
            </w:pPr>
            <w:r w:rsidRPr="00E104A2">
              <w:t>VAED</w:t>
            </w:r>
          </w:p>
        </w:tc>
        <w:tc>
          <w:tcPr>
            <w:tcW w:w="0" w:type="auto"/>
          </w:tcPr>
          <w:p w14:paraId="7F858D8B" w14:textId="77777777" w:rsidR="00166BBE" w:rsidRPr="000A250B" w:rsidRDefault="00166BBE" w:rsidP="00F620D9">
            <w:pPr>
              <w:pStyle w:val="Tabletext"/>
            </w:pPr>
          </w:p>
        </w:tc>
        <w:tc>
          <w:tcPr>
            <w:tcW w:w="0" w:type="auto"/>
          </w:tcPr>
          <w:p w14:paraId="41940562" w14:textId="77777777" w:rsidR="00166BBE" w:rsidRPr="000A250B" w:rsidRDefault="00166BBE" w:rsidP="00F620D9">
            <w:pPr>
              <w:pStyle w:val="Tabletext"/>
            </w:pPr>
            <w:r>
              <w:t>2.1.3.1</w:t>
            </w:r>
          </w:p>
        </w:tc>
      </w:tr>
      <w:tr w:rsidR="007762E2" w:rsidRPr="000A250B" w14:paraId="77A9C670" w14:textId="77777777" w:rsidTr="00DD533E">
        <w:tc>
          <w:tcPr>
            <w:tcW w:w="0" w:type="auto"/>
          </w:tcPr>
          <w:p w14:paraId="08358B8F" w14:textId="77777777" w:rsidR="00166BBE" w:rsidRPr="000A250B" w:rsidRDefault="00166BBE" w:rsidP="00CF3BFA">
            <w:pPr>
              <w:pStyle w:val="Tabletext"/>
            </w:pPr>
          </w:p>
        </w:tc>
        <w:tc>
          <w:tcPr>
            <w:tcW w:w="0" w:type="auto"/>
          </w:tcPr>
          <w:p w14:paraId="09379198" w14:textId="77777777" w:rsidR="00166BBE" w:rsidRPr="000A250B" w:rsidRDefault="00166BBE" w:rsidP="00CF3BFA">
            <w:pPr>
              <w:pStyle w:val="Tabletext"/>
            </w:pPr>
            <w:r w:rsidRPr="000A250B">
              <w:t>Proportion of adults feeling safe walking in their street at night</w:t>
            </w:r>
          </w:p>
        </w:tc>
        <w:tc>
          <w:tcPr>
            <w:tcW w:w="0" w:type="auto"/>
          </w:tcPr>
          <w:p w14:paraId="33D920E1" w14:textId="77777777" w:rsidR="00166BBE" w:rsidRPr="000A250B" w:rsidRDefault="00166BBE" w:rsidP="00CF3BFA">
            <w:pPr>
              <w:pStyle w:val="Tabletext"/>
            </w:pPr>
            <w:r w:rsidRPr="000A250B">
              <w:t>Proportion of adults feeling safe walking in their street at night</w:t>
            </w:r>
          </w:p>
        </w:tc>
        <w:tc>
          <w:tcPr>
            <w:tcW w:w="0" w:type="auto"/>
          </w:tcPr>
          <w:p w14:paraId="2BCF151B" w14:textId="77777777" w:rsidR="00166BBE" w:rsidRPr="00E104A2" w:rsidRDefault="00166BBE" w:rsidP="00CF3BFA">
            <w:pPr>
              <w:pStyle w:val="Tabletext"/>
            </w:pPr>
            <w:r w:rsidRPr="00E104A2">
              <w:t>VPHS</w:t>
            </w:r>
          </w:p>
        </w:tc>
        <w:tc>
          <w:tcPr>
            <w:tcW w:w="0" w:type="auto"/>
          </w:tcPr>
          <w:p w14:paraId="42697D95" w14:textId="77777777" w:rsidR="00166BBE" w:rsidRPr="000A250B" w:rsidRDefault="00166BBE" w:rsidP="00CF3BFA">
            <w:pPr>
              <w:pStyle w:val="Tabletext"/>
            </w:pPr>
          </w:p>
        </w:tc>
        <w:tc>
          <w:tcPr>
            <w:tcW w:w="0" w:type="auto"/>
          </w:tcPr>
          <w:p w14:paraId="64038FA0" w14:textId="77777777" w:rsidR="00166BBE" w:rsidRPr="000A250B" w:rsidRDefault="00166BBE" w:rsidP="00CF3BFA">
            <w:pPr>
              <w:pStyle w:val="Tabletext"/>
            </w:pPr>
            <w:r>
              <w:t>2.1.3.2</w:t>
            </w:r>
          </w:p>
        </w:tc>
      </w:tr>
      <w:tr w:rsidR="007762E2" w:rsidRPr="000A250B" w14:paraId="54BC411D" w14:textId="77777777" w:rsidTr="00DD533E">
        <w:tc>
          <w:tcPr>
            <w:tcW w:w="0" w:type="auto"/>
          </w:tcPr>
          <w:p w14:paraId="472EA44F" w14:textId="77777777" w:rsidR="00166BBE" w:rsidRPr="000A250B" w:rsidRDefault="00166BBE" w:rsidP="00CF3BFA">
            <w:pPr>
              <w:pStyle w:val="Tabletext"/>
            </w:pPr>
          </w:p>
        </w:tc>
        <w:tc>
          <w:tcPr>
            <w:tcW w:w="0" w:type="auto"/>
          </w:tcPr>
          <w:p w14:paraId="63623AA5" w14:textId="0BDEE1AB" w:rsidR="00166BBE" w:rsidRPr="000A250B" w:rsidRDefault="00166BBE" w:rsidP="00CF3BFA">
            <w:pPr>
              <w:pStyle w:val="Tabletext"/>
            </w:pPr>
            <w:r w:rsidRPr="000A250B">
              <w:t xml:space="preserve">Proportion of adults experiencing at least </w:t>
            </w:r>
            <w:r w:rsidR="007762E2">
              <w:t>one</w:t>
            </w:r>
            <w:r w:rsidRPr="000A250B">
              <w:t xml:space="preserve"> incident of crime in the last 12 months</w:t>
            </w:r>
          </w:p>
        </w:tc>
        <w:tc>
          <w:tcPr>
            <w:tcW w:w="0" w:type="auto"/>
          </w:tcPr>
          <w:p w14:paraId="4A70C4E0" w14:textId="01249BD6" w:rsidR="00166BBE" w:rsidRPr="000A250B" w:rsidRDefault="00166BBE" w:rsidP="00CF3BFA">
            <w:pPr>
              <w:pStyle w:val="Tabletext"/>
            </w:pPr>
            <w:r w:rsidRPr="000A250B">
              <w:t xml:space="preserve">Proportion of adults experiencing at least </w:t>
            </w:r>
            <w:r w:rsidR="007762E2">
              <w:t>one</w:t>
            </w:r>
            <w:r w:rsidRPr="000A250B">
              <w:t xml:space="preserve"> incident of crime in the last 12 months</w:t>
            </w:r>
          </w:p>
        </w:tc>
        <w:tc>
          <w:tcPr>
            <w:tcW w:w="0" w:type="auto"/>
          </w:tcPr>
          <w:p w14:paraId="633DA5A8" w14:textId="77777777" w:rsidR="00166BBE" w:rsidRPr="00E104A2" w:rsidRDefault="00166BBE" w:rsidP="00CF3BFA">
            <w:pPr>
              <w:pStyle w:val="Tabletext"/>
            </w:pPr>
            <w:r w:rsidRPr="00E104A2">
              <w:t>ABS</w:t>
            </w:r>
          </w:p>
        </w:tc>
        <w:tc>
          <w:tcPr>
            <w:tcW w:w="0" w:type="auto"/>
          </w:tcPr>
          <w:p w14:paraId="4F090788" w14:textId="77777777" w:rsidR="00166BBE" w:rsidRPr="000A250B" w:rsidRDefault="00166BBE" w:rsidP="00CF3BFA">
            <w:pPr>
              <w:pStyle w:val="Tabletext"/>
            </w:pPr>
          </w:p>
        </w:tc>
        <w:tc>
          <w:tcPr>
            <w:tcW w:w="0" w:type="auto"/>
          </w:tcPr>
          <w:p w14:paraId="2872BCA8" w14:textId="77777777" w:rsidR="00166BBE" w:rsidRPr="000A250B" w:rsidRDefault="00166BBE" w:rsidP="00CF3BFA">
            <w:pPr>
              <w:pStyle w:val="Tabletext"/>
            </w:pPr>
            <w:r>
              <w:t>2.1.3.3</w:t>
            </w:r>
          </w:p>
        </w:tc>
      </w:tr>
      <w:tr w:rsidR="007762E2" w:rsidRPr="000A250B" w14:paraId="173F0421" w14:textId="77777777" w:rsidTr="00DD533E">
        <w:tc>
          <w:tcPr>
            <w:tcW w:w="0" w:type="auto"/>
          </w:tcPr>
          <w:p w14:paraId="551AC555" w14:textId="77777777" w:rsidR="00166BBE" w:rsidRPr="000A250B" w:rsidRDefault="00166BBE" w:rsidP="00CF3BFA">
            <w:pPr>
              <w:pStyle w:val="Tabletext"/>
            </w:pPr>
          </w:p>
        </w:tc>
        <w:tc>
          <w:tcPr>
            <w:tcW w:w="0" w:type="auto"/>
          </w:tcPr>
          <w:p w14:paraId="7F1138DF" w14:textId="77777777" w:rsidR="00166BBE" w:rsidRPr="000A250B" w:rsidRDefault="00166BBE" w:rsidP="00CF3BFA">
            <w:pPr>
              <w:pStyle w:val="Tabletext"/>
            </w:pPr>
            <w:r w:rsidRPr="000A250B">
              <w:t>Rate of victimisation due to crimes recorded by police</w:t>
            </w:r>
          </w:p>
        </w:tc>
        <w:tc>
          <w:tcPr>
            <w:tcW w:w="0" w:type="auto"/>
          </w:tcPr>
          <w:p w14:paraId="52BFD1E6" w14:textId="77777777" w:rsidR="00166BBE" w:rsidRPr="000A250B" w:rsidRDefault="00166BBE" w:rsidP="00CF3BFA">
            <w:pPr>
              <w:pStyle w:val="Tabletext"/>
            </w:pPr>
            <w:r w:rsidRPr="000A250B">
              <w:t>Rate of victimisation due to crimes recorded by police</w:t>
            </w:r>
          </w:p>
        </w:tc>
        <w:tc>
          <w:tcPr>
            <w:tcW w:w="0" w:type="auto"/>
          </w:tcPr>
          <w:p w14:paraId="23E44D62" w14:textId="77777777" w:rsidR="00166BBE" w:rsidRPr="000A250B" w:rsidRDefault="00166BBE" w:rsidP="00CF3BFA">
            <w:pPr>
              <w:pStyle w:val="Tabletext"/>
            </w:pPr>
            <w:r>
              <w:t>LEAP</w:t>
            </w:r>
          </w:p>
        </w:tc>
        <w:tc>
          <w:tcPr>
            <w:tcW w:w="0" w:type="auto"/>
          </w:tcPr>
          <w:p w14:paraId="08796080" w14:textId="77777777" w:rsidR="00166BBE" w:rsidRPr="000A250B" w:rsidRDefault="00166BBE" w:rsidP="00CF3BFA">
            <w:pPr>
              <w:pStyle w:val="Tabletext"/>
            </w:pPr>
          </w:p>
        </w:tc>
        <w:tc>
          <w:tcPr>
            <w:tcW w:w="0" w:type="auto"/>
          </w:tcPr>
          <w:p w14:paraId="3377D54F" w14:textId="77777777" w:rsidR="00166BBE" w:rsidRPr="000A250B" w:rsidRDefault="00166BBE" w:rsidP="00CF3BFA">
            <w:pPr>
              <w:pStyle w:val="Tabletext"/>
            </w:pPr>
            <w:r>
              <w:t>2.1.3.4</w:t>
            </w:r>
          </w:p>
        </w:tc>
      </w:tr>
      <w:tr w:rsidR="00805999" w:rsidRPr="000A250B" w14:paraId="4F1154DB" w14:textId="77777777" w:rsidTr="00DD533E">
        <w:tc>
          <w:tcPr>
            <w:tcW w:w="0" w:type="auto"/>
          </w:tcPr>
          <w:p w14:paraId="68D4709A" w14:textId="77777777" w:rsidR="00805999" w:rsidRPr="000A250B" w:rsidRDefault="00805999" w:rsidP="00805999">
            <w:pPr>
              <w:pStyle w:val="Tabletext"/>
            </w:pPr>
          </w:p>
        </w:tc>
        <w:tc>
          <w:tcPr>
            <w:tcW w:w="0" w:type="auto"/>
          </w:tcPr>
          <w:p w14:paraId="38F0B131" w14:textId="7CA4DF1F" w:rsidR="00805999" w:rsidRPr="000A250B" w:rsidRDefault="00805999" w:rsidP="00805999">
            <w:pPr>
              <w:pStyle w:val="Tabletext"/>
            </w:pPr>
            <w:r>
              <w:t>C</w:t>
            </w:r>
            <w:r w:rsidRPr="000A250B">
              <w:t>riminal incidents involving sexual offences</w:t>
            </w:r>
          </w:p>
        </w:tc>
        <w:tc>
          <w:tcPr>
            <w:tcW w:w="0" w:type="auto"/>
          </w:tcPr>
          <w:p w14:paraId="04CA7833" w14:textId="5C10B247" w:rsidR="00805999" w:rsidRPr="000A250B" w:rsidRDefault="00805999" w:rsidP="00805999">
            <w:pPr>
              <w:pStyle w:val="Tabletext"/>
            </w:pPr>
            <w:r w:rsidRPr="000A250B">
              <w:t>Rate of criminal incidents involving sexual offences as the principal offence per 100,00</w:t>
            </w:r>
            <w:r>
              <w:t>0</w:t>
            </w:r>
            <w:r w:rsidRPr="000A250B">
              <w:t xml:space="preserve"> population</w:t>
            </w:r>
          </w:p>
        </w:tc>
        <w:tc>
          <w:tcPr>
            <w:tcW w:w="0" w:type="auto"/>
          </w:tcPr>
          <w:p w14:paraId="6671F65F" w14:textId="3A0510CD" w:rsidR="00805999" w:rsidRDefault="0010187E" w:rsidP="00805999">
            <w:pPr>
              <w:pStyle w:val="Tabletext"/>
            </w:pPr>
            <w:r>
              <w:t>LEAP</w:t>
            </w:r>
          </w:p>
        </w:tc>
        <w:tc>
          <w:tcPr>
            <w:tcW w:w="0" w:type="auto"/>
          </w:tcPr>
          <w:p w14:paraId="3D057D0B" w14:textId="77777777" w:rsidR="00805999" w:rsidRPr="000A250B" w:rsidRDefault="00805999" w:rsidP="00805999">
            <w:pPr>
              <w:pStyle w:val="Tabletext"/>
            </w:pPr>
          </w:p>
        </w:tc>
        <w:tc>
          <w:tcPr>
            <w:tcW w:w="0" w:type="auto"/>
          </w:tcPr>
          <w:p w14:paraId="169AE35E" w14:textId="3AAB5221" w:rsidR="00805999" w:rsidRDefault="00805999" w:rsidP="00805999">
            <w:pPr>
              <w:pStyle w:val="Tabletext"/>
            </w:pPr>
            <w:r>
              <w:t>2.1.3.5</w:t>
            </w:r>
          </w:p>
        </w:tc>
      </w:tr>
    </w:tbl>
    <w:p w14:paraId="530629CC" w14:textId="7ACD9A60" w:rsidR="00166BBE" w:rsidRPr="002B5E4B" w:rsidRDefault="00166BBE" w:rsidP="00166BBE">
      <w:pPr>
        <w:pStyle w:val="DHHSbody"/>
        <w:rPr>
          <w:rFonts w:cs="Arial"/>
          <w:b/>
          <w:bCs/>
          <w:sz w:val="21"/>
          <w:szCs w:val="21"/>
        </w:rPr>
      </w:pPr>
    </w:p>
    <w:p w14:paraId="46FA4A0D" w14:textId="3949668A" w:rsidR="00B63347" w:rsidRDefault="00B63347" w:rsidP="009869F9">
      <w:pPr>
        <w:pStyle w:val="Tablecaption"/>
      </w:pPr>
      <w:r>
        <w:t xml:space="preserve">Table </w:t>
      </w:r>
      <w:r>
        <w:fldChar w:fldCharType="begin"/>
      </w:r>
      <w:r>
        <w:instrText xml:space="preserve"> SEQ Table \* ARABIC </w:instrText>
      </w:r>
      <w:r>
        <w:fldChar w:fldCharType="separate"/>
      </w:r>
      <w:r w:rsidR="00B035D1">
        <w:rPr>
          <w:noProof/>
        </w:rPr>
        <w:t>8</w:t>
      </w:r>
      <w:r>
        <w:fldChar w:fldCharType="end"/>
      </w:r>
      <w:r>
        <w:t xml:space="preserve">. </w:t>
      </w:r>
      <w:r w:rsidRPr="005C0142">
        <w:t>Outcome 2.2: Victorian communities are fair and inclusive</w:t>
      </w:r>
    </w:p>
    <w:tbl>
      <w:tblPr>
        <w:tblStyle w:val="TableGridLight"/>
        <w:tblW w:w="0" w:type="auto"/>
        <w:tblLook w:val="04A0" w:firstRow="1" w:lastRow="0" w:firstColumn="1" w:lastColumn="0" w:noHBand="0" w:noVBand="1"/>
      </w:tblPr>
      <w:tblGrid>
        <w:gridCol w:w="2350"/>
        <w:gridCol w:w="3561"/>
        <w:gridCol w:w="3820"/>
        <w:gridCol w:w="1256"/>
        <w:gridCol w:w="2057"/>
        <w:gridCol w:w="1232"/>
      </w:tblGrid>
      <w:tr w:rsidR="001B5348" w:rsidRPr="001B5348" w14:paraId="0A11DBF7" w14:textId="77777777" w:rsidTr="00CF3BFA">
        <w:trPr>
          <w:trHeight w:val="276"/>
          <w:tblHeader/>
        </w:trPr>
        <w:tc>
          <w:tcPr>
            <w:tcW w:w="2350" w:type="dxa"/>
            <w:shd w:val="clear" w:color="auto" w:fill="E36C0A" w:themeFill="accent6" w:themeFillShade="BF"/>
            <w:vAlign w:val="center"/>
          </w:tcPr>
          <w:p w14:paraId="2E7E4F00" w14:textId="77777777" w:rsidR="00166BBE" w:rsidRPr="00CF3BFA" w:rsidRDefault="00166BBE" w:rsidP="00CF3BFA">
            <w:pPr>
              <w:pStyle w:val="Tablecolhead"/>
              <w:rPr>
                <w:b w:val="0"/>
                <w:color w:val="FFFFFF" w:themeColor="background1"/>
              </w:rPr>
            </w:pPr>
            <w:r w:rsidRPr="00CF3BFA">
              <w:rPr>
                <w:color w:val="FFFFFF" w:themeColor="background1"/>
              </w:rPr>
              <w:t>Indicator</w:t>
            </w:r>
          </w:p>
        </w:tc>
        <w:tc>
          <w:tcPr>
            <w:tcW w:w="3561" w:type="dxa"/>
            <w:shd w:val="clear" w:color="auto" w:fill="E36C0A" w:themeFill="accent6" w:themeFillShade="BF"/>
            <w:vAlign w:val="center"/>
          </w:tcPr>
          <w:p w14:paraId="3EA98F50" w14:textId="77777777" w:rsidR="00166BBE" w:rsidRPr="00CF3BFA" w:rsidRDefault="00166BBE" w:rsidP="00CF3BFA">
            <w:pPr>
              <w:pStyle w:val="Tablecolhead"/>
              <w:rPr>
                <w:b w:val="0"/>
                <w:color w:val="FFFFFF" w:themeColor="background1"/>
              </w:rPr>
            </w:pPr>
            <w:r w:rsidRPr="00CF3BFA">
              <w:rPr>
                <w:color w:val="FFFFFF" w:themeColor="background1"/>
              </w:rPr>
              <w:t>Measure</w:t>
            </w:r>
          </w:p>
        </w:tc>
        <w:tc>
          <w:tcPr>
            <w:tcW w:w="3820" w:type="dxa"/>
            <w:shd w:val="clear" w:color="auto" w:fill="E36C0A" w:themeFill="accent6" w:themeFillShade="BF"/>
            <w:vAlign w:val="center"/>
          </w:tcPr>
          <w:p w14:paraId="09EBC183" w14:textId="77777777" w:rsidR="00166BBE" w:rsidRPr="00CF3BFA" w:rsidRDefault="00166BBE" w:rsidP="00CF3BFA">
            <w:pPr>
              <w:pStyle w:val="Tablecolhead"/>
              <w:rPr>
                <w:b w:val="0"/>
                <w:color w:val="FFFFFF" w:themeColor="background1"/>
              </w:rPr>
            </w:pPr>
            <w:r w:rsidRPr="00CF3BFA">
              <w:rPr>
                <w:color w:val="FFFFFF" w:themeColor="background1"/>
              </w:rPr>
              <w:t>Measure detail</w:t>
            </w:r>
          </w:p>
        </w:tc>
        <w:tc>
          <w:tcPr>
            <w:tcW w:w="1256" w:type="dxa"/>
            <w:shd w:val="clear" w:color="auto" w:fill="E36C0A" w:themeFill="accent6" w:themeFillShade="BF"/>
            <w:vAlign w:val="center"/>
          </w:tcPr>
          <w:p w14:paraId="346B8313" w14:textId="77777777" w:rsidR="00166BBE" w:rsidRPr="00CF3BFA" w:rsidRDefault="00166BBE" w:rsidP="00CF3BFA">
            <w:pPr>
              <w:pStyle w:val="Tablecolhead"/>
              <w:rPr>
                <w:b w:val="0"/>
                <w:color w:val="FFFFFF" w:themeColor="background1"/>
              </w:rPr>
            </w:pPr>
            <w:r w:rsidRPr="00CF3BFA">
              <w:rPr>
                <w:color w:val="FFFFFF" w:themeColor="background1"/>
              </w:rPr>
              <w:t>Source</w:t>
            </w:r>
          </w:p>
        </w:tc>
        <w:tc>
          <w:tcPr>
            <w:tcW w:w="2057" w:type="dxa"/>
            <w:shd w:val="clear" w:color="auto" w:fill="E36C0A" w:themeFill="accent6" w:themeFillShade="BF"/>
            <w:vAlign w:val="center"/>
          </w:tcPr>
          <w:p w14:paraId="1B904A7E" w14:textId="77777777" w:rsidR="00166BBE" w:rsidRPr="00CF3BFA" w:rsidRDefault="00166BBE" w:rsidP="00CF3BFA">
            <w:pPr>
              <w:pStyle w:val="Tablecolhead"/>
              <w:rPr>
                <w:b w:val="0"/>
                <w:color w:val="FFFFFF" w:themeColor="background1"/>
              </w:rPr>
            </w:pPr>
            <w:r w:rsidRPr="00CF3BFA">
              <w:rPr>
                <w:color w:val="FFFFFF" w:themeColor="background1"/>
              </w:rPr>
              <w:t>Target</w:t>
            </w:r>
          </w:p>
        </w:tc>
        <w:tc>
          <w:tcPr>
            <w:tcW w:w="1232" w:type="dxa"/>
            <w:shd w:val="clear" w:color="auto" w:fill="E36C0A" w:themeFill="accent6" w:themeFillShade="BF"/>
            <w:vAlign w:val="center"/>
          </w:tcPr>
          <w:p w14:paraId="09868E68" w14:textId="77777777" w:rsidR="00166BBE" w:rsidRPr="00CF3BFA" w:rsidRDefault="00166BBE" w:rsidP="00CF3BFA">
            <w:pPr>
              <w:pStyle w:val="Tablecolhead"/>
              <w:rPr>
                <w:b w:val="0"/>
                <w:color w:val="FFFFFF" w:themeColor="background1"/>
              </w:rPr>
            </w:pPr>
            <w:r w:rsidRPr="00CF3BFA">
              <w:rPr>
                <w:color w:val="FFFFFF" w:themeColor="background1"/>
              </w:rPr>
              <w:t>Reference</w:t>
            </w:r>
          </w:p>
        </w:tc>
      </w:tr>
      <w:tr w:rsidR="00166BBE" w:rsidRPr="00A11F68" w14:paraId="46F6630F" w14:textId="77777777" w:rsidTr="00CF3BFA">
        <w:tc>
          <w:tcPr>
            <w:tcW w:w="2350" w:type="dxa"/>
          </w:tcPr>
          <w:p w14:paraId="093A5EF9" w14:textId="3A648FFE" w:rsidR="00166BBE" w:rsidRPr="00A11F68" w:rsidRDefault="00166BBE" w:rsidP="009869F9">
            <w:pPr>
              <w:pStyle w:val="Tabletext"/>
            </w:pPr>
            <w:r w:rsidRPr="00A11F68">
              <w:t xml:space="preserve">Increase connection to culture and communities </w:t>
            </w:r>
          </w:p>
        </w:tc>
        <w:tc>
          <w:tcPr>
            <w:tcW w:w="3561" w:type="dxa"/>
          </w:tcPr>
          <w:p w14:paraId="1F5A1D59" w14:textId="77777777" w:rsidR="00166BBE" w:rsidRPr="00E104A2" w:rsidRDefault="00166BBE" w:rsidP="009869F9">
            <w:pPr>
              <w:pStyle w:val="Tabletext"/>
            </w:pPr>
            <w:r w:rsidRPr="00E104A2">
              <w:t>Proportion of adults connected to culture and country</w:t>
            </w:r>
          </w:p>
        </w:tc>
        <w:tc>
          <w:tcPr>
            <w:tcW w:w="3820" w:type="dxa"/>
          </w:tcPr>
          <w:p w14:paraId="5F249D39" w14:textId="77777777" w:rsidR="00166BBE" w:rsidRPr="00E104A2" w:rsidRDefault="00166BBE" w:rsidP="009869F9">
            <w:pPr>
              <w:pStyle w:val="Tabletext"/>
              <w:rPr>
                <w:bCs/>
              </w:rPr>
            </w:pPr>
            <w:r w:rsidRPr="00576166">
              <w:rPr>
                <w:lang w:eastAsia="en-AU"/>
              </w:rPr>
              <w:t>To be reviewed</w:t>
            </w:r>
          </w:p>
        </w:tc>
        <w:tc>
          <w:tcPr>
            <w:tcW w:w="1256" w:type="dxa"/>
          </w:tcPr>
          <w:p w14:paraId="1AB06EE6" w14:textId="77777777" w:rsidR="00166BBE" w:rsidRPr="00410445" w:rsidRDefault="00166BBE" w:rsidP="009869F9">
            <w:pPr>
              <w:pStyle w:val="Tabletext"/>
              <w:rPr>
                <w:bCs/>
              </w:rPr>
            </w:pPr>
            <w:r w:rsidRPr="00410445">
              <w:rPr>
                <w:bCs/>
              </w:rPr>
              <w:t>VPHS</w:t>
            </w:r>
          </w:p>
        </w:tc>
        <w:tc>
          <w:tcPr>
            <w:tcW w:w="2057" w:type="dxa"/>
          </w:tcPr>
          <w:p w14:paraId="7D9B2333" w14:textId="77777777" w:rsidR="00166BBE" w:rsidRPr="00A11F68" w:rsidRDefault="00166BBE" w:rsidP="009869F9">
            <w:pPr>
              <w:pStyle w:val="Tabletext"/>
            </w:pPr>
          </w:p>
        </w:tc>
        <w:tc>
          <w:tcPr>
            <w:tcW w:w="1232" w:type="dxa"/>
          </w:tcPr>
          <w:p w14:paraId="43A25DD4" w14:textId="77777777" w:rsidR="00166BBE" w:rsidRPr="00D43F35" w:rsidRDefault="00166BBE" w:rsidP="009869F9">
            <w:pPr>
              <w:pStyle w:val="Tabletext"/>
              <w:rPr>
                <w:bCs/>
              </w:rPr>
            </w:pPr>
            <w:r w:rsidRPr="00D43F35">
              <w:rPr>
                <w:bCs/>
              </w:rPr>
              <w:t>2.2.1.1</w:t>
            </w:r>
          </w:p>
        </w:tc>
      </w:tr>
      <w:tr w:rsidR="00166BBE" w:rsidRPr="00A11F68" w14:paraId="796BC387" w14:textId="77777777" w:rsidTr="00CF3BFA">
        <w:tc>
          <w:tcPr>
            <w:tcW w:w="2350" w:type="dxa"/>
          </w:tcPr>
          <w:p w14:paraId="75431681" w14:textId="77777777" w:rsidR="00166BBE" w:rsidRPr="00A11F68" w:rsidRDefault="00166BBE" w:rsidP="009869F9">
            <w:pPr>
              <w:pStyle w:val="Tabletext"/>
            </w:pPr>
          </w:p>
        </w:tc>
        <w:tc>
          <w:tcPr>
            <w:tcW w:w="3561" w:type="dxa"/>
          </w:tcPr>
          <w:p w14:paraId="29C34DD3" w14:textId="77777777" w:rsidR="00166BBE" w:rsidRPr="00A11F68" w:rsidRDefault="00166BBE" w:rsidP="009869F9">
            <w:pPr>
              <w:pStyle w:val="Tabletext"/>
              <w:rPr>
                <w:bCs/>
              </w:rPr>
            </w:pPr>
            <w:r w:rsidRPr="00A11F68">
              <w:rPr>
                <w:bCs/>
              </w:rPr>
              <w:t>Proportion of adults who feel valued by society</w:t>
            </w:r>
          </w:p>
        </w:tc>
        <w:tc>
          <w:tcPr>
            <w:tcW w:w="3820" w:type="dxa"/>
          </w:tcPr>
          <w:p w14:paraId="448D4DFA" w14:textId="77777777" w:rsidR="00166BBE" w:rsidRPr="00A11F68" w:rsidRDefault="00166BBE" w:rsidP="009869F9">
            <w:pPr>
              <w:pStyle w:val="Tabletext"/>
            </w:pPr>
            <w:r w:rsidRPr="00A11F68">
              <w:rPr>
                <w:bCs/>
              </w:rPr>
              <w:t>Proportion of adults who feel valued by society</w:t>
            </w:r>
          </w:p>
        </w:tc>
        <w:tc>
          <w:tcPr>
            <w:tcW w:w="1256" w:type="dxa"/>
          </w:tcPr>
          <w:p w14:paraId="7BF53DBE" w14:textId="77777777" w:rsidR="00166BBE" w:rsidRPr="003119FC" w:rsidRDefault="00166BBE" w:rsidP="009869F9">
            <w:pPr>
              <w:pStyle w:val="Tabletext"/>
              <w:rPr>
                <w:bCs/>
              </w:rPr>
            </w:pPr>
            <w:r w:rsidRPr="003119FC">
              <w:rPr>
                <w:bCs/>
              </w:rPr>
              <w:t>VPHS</w:t>
            </w:r>
          </w:p>
        </w:tc>
        <w:tc>
          <w:tcPr>
            <w:tcW w:w="2057" w:type="dxa"/>
          </w:tcPr>
          <w:p w14:paraId="0A4E9EA2" w14:textId="77777777" w:rsidR="00166BBE" w:rsidRPr="00A11F68" w:rsidRDefault="00166BBE" w:rsidP="009869F9">
            <w:pPr>
              <w:pStyle w:val="Tabletext"/>
            </w:pPr>
          </w:p>
        </w:tc>
        <w:tc>
          <w:tcPr>
            <w:tcW w:w="1232" w:type="dxa"/>
          </w:tcPr>
          <w:p w14:paraId="05286307" w14:textId="77777777" w:rsidR="00166BBE" w:rsidRPr="00842000" w:rsidRDefault="00166BBE" w:rsidP="009869F9">
            <w:pPr>
              <w:pStyle w:val="Tabletext"/>
              <w:rPr>
                <w:bCs/>
              </w:rPr>
            </w:pPr>
            <w:r w:rsidRPr="00842000">
              <w:rPr>
                <w:bCs/>
              </w:rPr>
              <w:t>2.2.1.2</w:t>
            </w:r>
          </w:p>
        </w:tc>
      </w:tr>
      <w:tr w:rsidR="00166BBE" w:rsidRPr="00A11F68" w14:paraId="1C60CCE2" w14:textId="77777777" w:rsidTr="00CF3BFA">
        <w:tc>
          <w:tcPr>
            <w:tcW w:w="2350" w:type="dxa"/>
          </w:tcPr>
          <w:p w14:paraId="363916E4" w14:textId="77777777" w:rsidR="00166BBE" w:rsidRPr="00A11F68" w:rsidRDefault="00166BBE" w:rsidP="009869F9">
            <w:pPr>
              <w:pStyle w:val="Tabletext"/>
            </w:pPr>
          </w:p>
        </w:tc>
        <w:tc>
          <w:tcPr>
            <w:tcW w:w="3561" w:type="dxa"/>
          </w:tcPr>
          <w:p w14:paraId="4730049D" w14:textId="77777777" w:rsidR="00166BBE" w:rsidRPr="00E104A2" w:rsidRDefault="00166BBE" w:rsidP="009869F9">
            <w:pPr>
              <w:pStyle w:val="Tabletext"/>
              <w:rPr>
                <w:bCs/>
              </w:rPr>
            </w:pPr>
            <w:r w:rsidRPr="00E104A2">
              <w:rPr>
                <w:bCs/>
              </w:rPr>
              <w:t>Volunteering rates</w:t>
            </w:r>
          </w:p>
        </w:tc>
        <w:tc>
          <w:tcPr>
            <w:tcW w:w="3820" w:type="dxa"/>
          </w:tcPr>
          <w:p w14:paraId="182DE86F" w14:textId="77777777" w:rsidR="00166BBE" w:rsidRPr="007B2A04" w:rsidRDefault="00166BBE" w:rsidP="009869F9">
            <w:pPr>
              <w:pStyle w:val="Tabletext"/>
              <w:rPr>
                <w:bCs/>
              </w:rPr>
            </w:pPr>
            <w:r w:rsidRPr="007B2A04">
              <w:rPr>
                <w:lang w:eastAsia="en-AU"/>
              </w:rPr>
              <w:t>To be reviewed</w:t>
            </w:r>
          </w:p>
        </w:tc>
        <w:tc>
          <w:tcPr>
            <w:tcW w:w="1256" w:type="dxa"/>
          </w:tcPr>
          <w:p w14:paraId="343AA54B" w14:textId="77777777" w:rsidR="00166BBE" w:rsidRPr="00EF0670" w:rsidRDefault="00166BBE" w:rsidP="009869F9">
            <w:pPr>
              <w:pStyle w:val="Tabletext"/>
              <w:rPr>
                <w:bCs/>
              </w:rPr>
            </w:pPr>
            <w:r w:rsidRPr="00EF0670">
              <w:rPr>
                <w:bCs/>
              </w:rPr>
              <w:t>VPHS</w:t>
            </w:r>
          </w:p>
        </w:tc>
        <w:tc>
          <w:tcPr>
            <w:tcW w:w="2057" w:type="dxa"/>
          </w:tcPr>
          <w:p w14:paraId="48E40636" w14:textId="77777777" w:rsidR="00166BBE" w:rsidRPr="00A11F68" w:rsidRDefault="00166BBE" w:rsidP="009869F9">
            <w:pPr>
              <w:pStyle w:val="Tabletext"/>
            </w:pPr>
          </w:p>
        </w:tc>
        <w:tc>
          <w:tcPr>
            <w:tcW w:w="1232" w:type="dxa"/>
          </w:tcPr>
          <w:p w14:paraId="6ECF28E5" w14:textId="77777777" w:rsidR="00166BBE" w:rsidRPr="00842000" w:rsidRDefault="00166BBE" w:rsidP="009869F9">
            <w:pPr>
              <w:pStyle w:val="Tabletext"/>
              <w:rPr>
                <w:bCs/>
              </w:rPr>
            </w:pPr>
            <w:r w:rsidRPr="00842000">
              <w:rPr>
                <w:bCs/>
              </w:rPr>
              <w:t>2.2.1.3</w:t>
            </w:r>
          </w:p>
        </w:tc>
      </w:tr>
      <w:tr w:rsidR="00B63347" w:rsidRPr="00A11F68" w14:paraId="793E5FAE" w14:textId="77777777" w:rsidTr="00B63347">
        <w:tc>
          <w:tcPr>
            <w:tcW w:w="2350" w:type="dxa"/>
            <w:shd w:val="clear" w:color="auto" w:fill="F2F2F2" w:themeFill="background1" w:themeFillShade="F2"/>
          </w:tcPr>
          <w:p w14:paraId="48A0BEF6" w14:textId="77777777" w:rsidR="00166BBE" w:rsidRPr="00A11F68" w:rsidRDefault="00166BBE" w:rsidP="009869F9">
            <w:pPr>
              <w:pStyle w:val="Tabletext"/>
            </w:pPr>
            <w:r w:rsidRPr="00A11F68">
              <w:t>Increase access to social support</w:t>
            </w:r>
          </w:p>
        </w:tc>
        <w:tc>
          <w:tcPr>
            <w:tcW w:w="3561" w:type="dxa"/>
            <w:shd w:val="clear" w:color="auto" w:fill="F2F2F2" w:themeFill="background1" w:themeFillShade="F2"/>
          </w:tcPr>
          <w:p w14:paraId="59CABA6F" w14:textId="77777777" w:rsidR="00166BBE" w:rsidRPr="00A11F68" w:rsidRDefault="00166BBE" w:rsidP="009869F9">
            <w:pPr>
              <w:pStyle w:val="Tabletext"/>
            </w:pPr>
            <w:r w:rsidRPr="00A11F68">
              <w:t>Proportion of adults who have someone outside their household they can rely on to care for them or their children, in an emergency</w:t>
            </w:r>
          </w:p>
        </w:tc>
        <w:tc>
          <w:tcPr>
            <w:tcW w:w="3820" w:type="dxa"/>
            <w:shd w:val="clear" w:color="auto" w:fill="F2F2F2" w:themeFill="background1" w:themeFillShade="F2"/>
          </w:tcPr>
          <w:p w14:paraId="515F10B6" w14:textId="77777777" w:rsidR="00166BBE" w:rsidRPr="00A11F68" w:rsidRDefault="00166BBE" w:rsidP="009869F9">
            <w:pPr>
              <w:pStyle w:val="Tabletext"/>
            </w:pPr>
            <w:r w:rsidRPr="00A11F68">
              <w:t>Proportion of adults who have someone outside their household they can rely on to care for them or their children, in an emergency</w:t>
            </w:r>
          </w:p>
        </w:tc>
        <w:tc>
          <w:tcPr>
            <w:tcW w:w="1256" w:type="dxa"/>
            <w:shd w:val="clear" w:color="auto" w:fill="F2F2F2" w:themeFill="background1" w:themeFillShade="F2"/>
          </w:tcPr>
          <w:p w14:paraId="4710EE88" w14:textId="77777777" w:rsidR="00166BBE" w:rsidRPr="00846024" w:rsidRDefault="00166BBE" w:rsidP="009869F9">
            <w:pPr>
              <w:pStyle w:val="Tabletext"/>
              <w:rPr>
                <w:bCs/>
              </w:rPr>
            </w:pPr>
            <w:r w:rsidRPr="00846024">
              <w:rPr>
                <w:bCs/>
              </w:rPr>
              <w:t>VPHS</w:t>
            </w:r>
          </w:p>
        </w:tc>
        <w:tc>
          <w:tcPr>
            <w:tcW w:w="2057" w:type="dxa"/>
            <w:shd w:val="clear" w:color="auto" w:fill="F2F2F2" w:themeFill="background1" w:themeFillShade="F2"/>
          </w:tcPr>
          <w:p w14:paraId="6F9BBE21" w14:textId="77777777" w:rsidR="00166BBE" w:rsidRPr="00A11F68" w:rsidRDefault="00166BBE" w:rsidP="009869F9">
            <w:pPr>
              <w:pStyle w:val="Tabletext"/>
            </w:pPr>
          </w:p>
        </w:tc>
        <w:tc>
          <w:tcPr>
            <w:tcW w:w="1232" w:type="dxa"/>
            <w:shd w:val="clear" w:color="auto" w:fill="F2F2F2" w:themeFill="background1" w:themeFillShade="F2"/>
          </w:tcPr>
          <w:p w14:paraId="44D9F951" w14:textId="77777777" w:rsidR="00166BBE" w:rsidRPr="006E1B68" w:rsidRDefault="00166BBE" w:rsidP="009869F9">
            <w:pPr>
              <w:pStyle w:val="Tabletext"/>
              <w:rPr>
                <w:bCs/>
              </w:rPr>
            </w:pPr>
            <w:r w:rsidRPr="006E1B68">
              <w:rPr>
                <w:bCs/>
              </w:rPr>
              <w:t>2.2.2.1</w:t>
            </w:r>
          </w:p>
        </w:tc>
      </w:tr>
      <w:tr w:rsidR="00B63347" w:rsidRPr="00A11F68" w14:paraId="70EF89DD" w14:textId="77777777" w:rsidTr="00B63347">
        <w:tc>
          <w:tcPr>
            <w:tcW w:w="2350" w:type="dxa"/>
            <w:shd w:val="clear" w:color="auto" w:fill="F2F2F2" w:themeFill="background1" w:themeFillShade="F2"/>
          </w:tcPr>
          <w:p w14:paraId="68E98C72" w14:textId="77777777" w:rsidR="00166BBE" w:rsidRPr="00A11F68" w:rsidRDefault="00166BBE" w:rsidP="009869F9">
            <w:pPr>
              <w:pStyle w:val="Tabletext"/>
            </w:pPr>
          </w:p>
        </w:tc>
        <w:tc>
          <w:tcPr>
            <w:tcW w:w="3561" w:type="dxa"/>
            <w:shd w:val="clear" w:color="auto" w:fill="F2F2F2" w:themeFill="background1" w:themeFillShade="F2"/>
          </w:tcPr>
          <w:p w14:paraId="62BDE387" w14:textId="77777777" w:rsidR="00166BBE" w:rsidRPr="00A11F68" w:rsidRDefault="00166BBE" w:rsidP="009869F9">
            <w:pPr>
              <w:pStyle w:val="Tabletext"/>
            </w:pPr>
            <w:r w:rsidRPr="00A11F68">
              <w:t>Proportion of adults who feel most adults can be trusted</w:t>
            </w:r>
          </w:p>
        </w:tc>
        <w:tc>
          <w:tcPr>
            <w:tcW w:w="3820" w:type="dxa"/>
            <w:shd w:val="clear" w:color="auto" w:fill="F2F2F2" w:themeFill="background1" w:themeFillShade="F2"/>
          </w:tcPr>
          <w:p w14:paraId="29CEA463" w14:textId="77777777" w:rsidR="00166BBE" w:rsidRPr="00A11F68" w:rsidRDefault="00166BBE" w:rsidP="009869F9">
            <w:pPr>
              <w:pStyle w:val="Tabletext"/>
            </w:pPr>
            <w:r w:rsidRPr="00A11F68">
              <w:t>Proportion of adults who feel most adults can be trusted</w:t>
            </w:r>
          </w:p>
        </w:tc>
        <w:tc>
          <w:tcPr>
            <w:tcW w:w="1256" w:type="dxa"/>
            <w:shd w:val="clear" w:color="auto" w:fill="F2F2F2" w:themeFill="background1" w:themeFillShade="F2"/>
          </w:tcPr>
          <w:p w14:paraId="7785247B" w14:textId="77777777" w:rsidR="00166BBE" w:rsidRPr="00846024" w:rsidRDefault="00166BBE" w:rsidP="009869F9">
            <w:pPr>
              <w:pStyle w:val="Tabletext"/>
              <w:rPr>
                <w:bCs/>
              </w:rPr>
            </w:pPr>
            <w:r w:rsidRPr="00846024">
              <w:rPr>
                <w:bCs/>
              </w:rPr>
              <w:t>VPHS</w:t>
            </w:r>
          </w:p>
        </w:tc>
        <w:tc>
          <w:tcPr>
            <w:tcW w:w="2057" w:type="dxa"/>
            <w:shd w:val="clear" w:color="auto" w:fill="F2F2F2" w:themeFill="background1" w:themeFillShade="F2"/>
          </w:tcPr>
          <w:p w14:paraId="49D57D91" w14:textId="77777777" w:rsidR="00166BBE" w:rsidRPr="00A11F68" w:rsidRDefault="00166BBE" w:rsidP="009869F9">
            <w:pPr>
              <w:pStyle w:val="Tabletext"/>
            </w:pPr>
          </w:p>
        </w:tc>
        <w:tc>
          <w:tcPr>
            <w:tcW w:w="1232" w:type="dxa"/>
            <w:shd w:val="clear" w:color="auto" w:fill="F2F2F2" w:themeFill="background1" w:themeFillShade="F2"/>
          </w:tcPr>
          <w:p w14:paraId="1E3EF952" w14:textId="77777777" w:rsidR="00166BBE" w:rsidRPr="006E1B68" w:rsidRDefault="00166BBE" w:rsidP="009869F9">
            <w:pPr>
              <w:pStyle w:val="Tabletext"/>
              <w:rPr>
                <w:bCs/>
              </w:rPr>
            </w:pPr>
            <w:r w:rsidRPr="006E1B68">
              <w:rPr>
                <w:bCs/>
              </w:rPr>
              <w:t>2.2.2.2</w:t>
            </w:r>
          </w:p>
        </w:tc>
      </w:tr>
    </w:tbl>
    <w:p w14:paraId="3088E3A3" w14:textId="72D24BA7" w:rsidR="00166BBE" w:rsidRDefault="00166BBE" w:rsidP="00166BBE">
      <w:pPr>
        <w:pStyle w:val="DHHSbody"/>
        <w:spacing w:before="120"/>
        <w:rPr>
          <w:rFonts w:ascii="VIC" w:hAnsi="VIC"/>
          <w:b/>
          <w:bCs/>
          <w:sz w:val="21"/>
          <w:szCs w:val="21"/>
        </w:rPr>
      </w:pPr>
    </w:p>
    <w:p w14:paraId="776C6C8A" w14:textId="38902060" w:rsidR="00B1723B" w:rsidRDefault="00B1723B" w:rsidP="000E1695">
      <w:pPr>
        <w:pStyle w:val="Tablecaption"/>
      </w:pPr>
      <w:r>
        <w:lastRenderedPageBreak/>
        <w:t xml:space="preserve">Table </w:t>
      </w:r>
      <w:r>
        <w:fldChar w:fldCharType="begin"/>
      </w:r>
      <w:r>
        <w:instrText xml:space="preserve"> SEQ Table \* ARABIC </w:instrText>
      </w:r>
      <w:r>
        <w:fldChar w:fldCharType="separate"/>
      </w:r>
      <w:r w:rsidR="00B035D1">
        <w:rPr>
          <w:noProof/>
        </w:rPr>
        <w:t>9</w:t>
      </w:r>
      <w:r>
        <w:fldChar w:fldCharType="end"/>
      </w:r>
      <w:r>
        <w:t xml:space="preserve">. </w:t>
      </w:r>
      <w:r w:rsidRPr="00141316">
        <w:t>Outcome 2.3: Victorians are free from racism and discrimination</w:t>
      </w:r>
    </w:p>
    <w:tbl>
      <w:tblPr>
        <w:tblStyle w:val="TableGridLight"/>
        <w:tblW w:w="0" w:type="auto"/>
        <w:tblLook w:val="04A0" w:firstRow="1" w:lastRow="0" w:firstColumn="1" w:lastColumn="0" w:noHBand="0" w:noVBand="1"/>
      </w:tblPr>
      <w:tblGrid>
        <w:gridCol w:w="2353"/>
        <w:gridCol w:w="3561"/>
        <w:gridCol w:w="3827"/>
        <w:gridCol w:w="1254"/>
        <w:gridCol w:w="2049"/>
        <w:gridCol w:w="1232"/>
      </w:tblGrid>
      <w:tr w:rsidR="001B5348" w:rsidRPr="001B5348" w14:paraId="681283A9" w14:textId="77777777" w:rsidTr="000E1695">
        <w:trPr>
          <w:trHeight w:val="294"/>
          <w:tblHeader/>
        </w:trPr>
        <w:tc>
          <w:tcPr>
            <w:tcW w:w="2353" w:type="dxa"/>
            <w:shd w:val="clear" w:color="auto" w:fill="E36C0A" w:themeFill="accent6" w:themeFillShade="BF"/>
            <w:vAlign w:val="center"/>
          </w:tcPr>
          <w:p w14:paraId="0E91C3E7" w14:textId="77777777" w:rsidR="00166BBE" w:rsidRPr="000E1695" w:rsidRDefault="00166BBE" w:rsidP="000E1695">
            <w:pPr>
              <w:pStyle w:val="Tablecolhead"/>
              <w:rPr>
                <w:b w:val="0"/>
                <w:color w:val="FFFFFF" w:themeColor="background1"/>
              </w:rPr>
            </w:pPr>
            <w:r w:rsidRPr="009869F9">
              <w:rPr>
                <w:color w:val="FFFFFF" w:themeColor="background1"/>
              </w:rPr>
              <w:t>Indicator</w:t>
            </w:r>
          </w:p>
        </w:tc>
        <w:tc>
          <w:tcPr>
            <w:tcW w:w="3561" w:type="dxa"/>
            <w:shd w:val="clear" w:color="auto" w:fill="E36C0A" w:themeFill="accent6" w:themeFillShade="BF"/>
            <w:vAlign w:val="center"/>
          </w:tcPr>
          <w:p w14:paraId="091526AD" w14:textId="77777777" w:rsidR="00166BBE" w:rsidRPr="000E1695" w:rsidRDefault="00166BBE" w:rsidP="000E1695">
            <w:pPr>
              <w:pStyle w:val="Tablecolhead"/>
              <w:rPr>
                <w:b w:val="0"/>
                <w:color w:val="FFFFFF" w:themeColor="background1"/>
              </w:rPr>
            </w:pPr>
            <w:r w:rsidRPr="000E1695">
              <w:rPr>
                <w:color w:val="FFFFFF" w:themeColor="background1"/>
              </w:rPr>
              <w:t>Measure</w:t>
            </w:r>
          </w:p>
        </w:tc>
        <w:tc>
          <w:tcPr>
            <w:tcW w:w="3827" w:type="dxa"/>
            <w:shd w:val="clear" w:color="auto" w:fill="E36C0A" w:themeFill="accent6" w:themeFillShade="BF"/>
            <w:vAlign w:val="center"/>
          </w:tcPr>
          <w:p w14:paraId="0B795F57" w14:textId="77777777" w:rsidR="00166BBE" w:rsidRPr="000E1695" w:rsidRDefault="00166BBE" w:rsidP="000E1695">
            <w:pPr>
              <w:pStyle w:val="Tablecolhead"/>
              <w:rPr>
                <w:b w:val="0"/>
                <w:color w:val="FFFFFF" w:themeColor="background1"/>
              </w:rPr>
            </w:pPr>
            <w:r w:rsidRPr="000E1695">
              <w:rPr>
                <w:color w:val="FFFFFF" w:themeColor="background1"/>
              </w:rPr>
              <w:t>Measure detail</w:t>
            </w:r>
          </w:p>
        </w:tc>
        <w:tc>
          <w:tcPr>
            <w:tcW w:w="1254" w:type="dxa"/>
            <w:shd w:val="clear" w:color="auto" w:fill="E36C0A" w:themeFill="accent6" w:themeFillShade="BF"/>
            <w:vAlign w:val="center"/>
          </w:tcPr>
          <w:p w14:paraId="4A4B51B0" w14:textId="77777777" w:rsidR="00166BBE" w:rsidRPr="000E1695" w:rsidRDefault="00166BBE" w:rsidP="000E1695">
            <w:pPr>
              <w:pStyle w:val="Tablecolhead"/>
              <w:rPr>
                <w:b w:val="0"/>
                <w:color w:val="FFFFFF" w:themeColor="background1"/>
              </w:rPr>
            </w:pPr>
            <w:r w:rsidRPr="000E1695">
              <w:rPr>
                <w:color w:val="FFFFFF" w:themeColor="background1"/>
              </w:rPr>
              <w:t>Source</w:t>
            </w:r>
          </w:p>
        </w:tc>
        <w:tc>
          <w:tcPr>
            <w:tcW w:w="2049" w:type="dxa"/>
            <w:shd w:val="clear" w:color="auto" w:fill="E36C0A" w:themeFill="accent6" w:themeFillShade="BF"/>
            <w:vAlign w:val="center"/>
          </w:tcPr>
          <w:p w14:paraId="4689B8E9" w14:textId="77777777" w:rsidR="00166BBE" w:rsidRPr="000E1695" w:rsidRDefault="00166BBE" w:rsidP="000E1695">
            <w:pPr>
              <w:pStyle w:val="Tablecolhead"/>
              <w:rPr>
                <w:b w:val="0"/>
                <w:color w:val="FFFFFF" w:themeColor="background1"/>
              </w:rPr>
            </w:pPr>
            <w:r w:rsidRPr="000E1695">
              <w:rPr>
                <w:color w:val="FFFFFF" w:themeColor="background1"/>
              </w:rPr>
              <w:t>Target</w:t>
            </w:r>
          </w:p>
        </w:tc>
        <w:tc>
          <w:tcPr>
            <w:tcW w:w="1232" w:type="dxa"/>
            <w:shd w:val="clear" w:color="auto" w:fill="E36C0A" w:themeFill="accent6" w:themeFillShade="BF"/>
            <w:vAlign w:val="center"/>
          </w:tcPr>
          <w:p w14:paraId="2C8792AB" w14:textId="77777777" w:rsidR="00166BBE" w:rsidRPr="00722291" w:rsidRDefault="00166BBE" w:rsidP="000E1695">
            <w:pPr>
              <w:pStyle w:val="Tablecolhead"/>
              <w:rPr>
                <w:b w:val="0"/>
                <w:color w:val="FFFFFF" w:themeColor="background1"/>
              </w:rPr>
            </w:pPr>
            <w:r w:rsidRPr="000E1695">
              <w:rPr>
                <w:color w:val="FFFFFF" w:themeColor="background1"/>
              </w:rPr>
              <w:t>Reference</w:t>
            </w:r>
          </w:p>
        </w:tc>
      </w:tr>
      <w:tr w:rsidR="00166BBE" w:rsidRPr="00455724" w14:paraId="4EF4F6A2" w14:textId="77777777" w:rsidTr="000E1695">
        <w:tc>
          <w:tcPr>
            <w:tcW w:w="2353" w:type="dxa"/>
          </w:tcPr>
          <w:p w14:paraId="2951C68F" w14:textId="77777777" w:rsidR="00166BBE" w:rsidRPr="00455724" w:rsidRDefault="00166BBE" w:rsidP="00722291">
            <w:pPr>
              <w:pStyle w:val="Tabletext"/>
            </w:pPr>
            <w:r w:rsidRPr="00455724">
              <w:t>Reduce all forms of racism and discrimination </w:t>
            </w:r>
          </w:p>
        </w:tc>
        <w:tc>
          <w:tcPr>
            <w:tcW w:w="3561" w:type="dxa"/>
          </w:tcPr>
          <w:p w14:paraId="413B1F76" w14:textId="7D80C7FB" w:rsidR="00166BBE" w:rsidRPr="00455724" w:rsidRDefault="00166BBE" w:rsidP="00722291">
            <w:pPr>
              <w:pStyle w:val="Tabletext"/>
              <w:rPr>
                <w:bCs/>
              </w:rPr>
            </w:pPr>
            <w:r w:rsidRPr="00455724">
              <w:rPr>
                <w:bCs/>
              </w:rPr>
              <w:t>Proportion of adults who experienced discrimination or felt they had been treated unfairly in the last 12</w:t>
            </w:r>
            <w:r w:rsidR="00112D4C">
              <w:rPr>
                <w:bCs/>
              </w:rPr>
              <w:t xml:space="preserve"> </w:t>
            </w:r>
            <w:r w:rsidRPr="00455724">
              <w:rPr>
                <w:bCs/>
              </w:rPr>
              <w:t>months </w:t>
            </w:r>
          </w:p>
        </w:tc>
        <w:tc>
          <w:tcPr>
            <w:tcW w:w="3827" w:type="dxa"/>
          </w:tcPr>
          <w:p w14:paraId="1432BE99" w14:textId="7BA57AE2" w:rsidR="00166BBE" w:rsidRPr="00455724" w:rsidRDefault="00166BBE" w:rsidP="00722291">
            <w:pPr>
              <w:pStyle w:val="Tabletext"/>
              <w:rPr>
                <w:bCs/>
              </w:rPr>
            </w:pPr>
            <w:r w:rsidRPr="00455724">
              <w:rPr>
                <w:bCs/>
              </w:rPr>
              <w:t>Proportion of adults who experienced discrimination or felt they had been treated unfairly in the last 12</w:t>
            </w:r>
            <w:r w:rsidR="00112D4C">
              <w:rPr>
                <w:bCs/>
              </w:rPr>
              <w:t xml:space="preserve"> </w:t>
            </w:r>
            <w:r w:rsidRPr="00455724">
              <w:rPr>
                <w:bCs/>
              </w:rPr>
              <w:t>months </w:t>
            </w:r>
          </w:p>
        </w:tc>
        <w:tc>
          <w:tcPr>
            <w:tcW w:w="1254" w:type="dxa"/>
          </w:tcPr>
          <w:p w14:paraId="79C6A70E" w14:textId="77777777" w:rsidR="00166BBE" w:rsidRPr="00455724" w:rsidRDefault="00166BBE" w:rsidP="00722291">
            <w:pPr>
              <w:pStyle w:val="Tabletext"/>
              <w:rPr>
                <w:bCs/>
              </w:rPr>
            </w:pPr>
            <w:r>
              <w:rPr>
                <w:bCs/>
              </w:rPr>
              <w:t>VPHS</w:t>
            </w:r>
          </w:p>
        </w:tc>
        <w:tc>
          <w:tcPr>
            <w:tcW w:w="2049" w:type="dxa"/>
          </w:tcPr>
          <w:p w14:paraId="5503BC1F" w14:textId="77777777" w:rsidR="00166BBE" w:rsidRPr="00455724" w:rsidRDefault="00166BBE" w:rsidP="00722291">
            <w:pPr>
              <w:pStyle w:val="Tabletext"/>
              <w:rPr>
                <w:bCs/>
              </w:rPr>
            </w:pPr>
          </w:p>
        </w:tc>
        <w:tc>
          <w:tcPr>
            <w:tcW w:w="1232" w:type="dxa"/>
          </w:tcPr>
          <w:p w14:paraId="0B54CACE" w14:textId="77777777" w:rsidR="00166BBE" w:rsidRPr="00455724" w:rsidRDefault="00166BBE" w:rsidP="00722291">
            <w:pPr>
              <w:pStyle w:val="Tabletext"/>
              <w:rPr>
                <w:bCs/>
              </w:rPr>
            </w:pPr>
            <w:r>
              <w:rPr>
                <w:bCs/>
              </w:rPr>
              <w:t>2.3.1.1</w:t>
            </w:r>
          </w:p>
        </w:tc>
      </w:tr>
      <w:tr w:rsidR="00166BBE" w:rsidRPr="00455724" w14:paraId="7A52D895" w14:textId="77777777" w:rsidTr="000E1695">
        <w:tc>
          <w:tcPr>
            <w:tcW w:w="2353" w:type="dxa"/>
          </w:tcPr>
          <w:p w14:paraId="26A68EBA" w14:textId="77777777" w:rsidR="00166BBE" w:rsidRPr="00455724" w:rsidRDefault="00166BBE" w:rsidP="00722291">
            <w:pPr>
              <w:pStyle w:val="Tabletext"/>
              <w:rPr>
                <w:bCs/>
              </w:rPr>
            </w:pPr>
          </w:p>
        </w:tc>
        <w:tc>
          <w:tcPr>
            <w:tcW w:w="3561" w:type="dxa"/>
          </w:tcPr>
          <w:p w14:paraId="5EBE424C" w14:textId="77777777" w:rsidR="00166BBE" w:rsidRPr="00455724" w:rsidRDefault="00166BBE" w:rsidP="00722291">
            <w:pPr>
              <w:pStyle w:val="Tabletext"/>
              <w:rPr>
                <w:bCs/>
              </w:rPr>
            </w:pPr>
            <w:r w:rsidRPr="00455724">
              <w:rPr>
                <w:rFonts w:eastAsia="Arial"/>
                <w:bCs/>
              </w:rPr>
              <w:t xml:space="preserve">Proportion of adults who thought multiculturalism </w:t>
            </w:r>
            <w:proofErr w:type="gramStart"/>
            <w:r w:rsidRPr="00455724">
              <w:rPr>
                <w:rFonts w:eastAsia="Arial"/>
                <w:bCs/>
              </w:rPr>
              <w:t>definitely made</w:t>
            </w:r>
            <w:proofErr w:type="gramEnd"/>
            <w:r w:rsidRPr="00455724">
              <w:rPr>
                <w:rFonts w:eastAsia="Arial"/>
                <w:bCs/>
              </w:rPr>
              <w:t xml:space="preserve"> life in their area better</w:t>
            </w:r>
          </w:p>
        </w:tc>
        <w:tc>
          <w:tcPr>
            <w:tcW w:w="3827" w:type="dxa"/>
          </w:tcPr>
          <w:p w14:paraId="44023773" w14:textId="77777777" w:rsidR="00166BBE" w:rsidRPr="00455724" w:rsidRDefault="00166BBE" w:rsidP="00722291">
            <w:pPr>
              <w:pStyle w:val="Tabletext"/>
              <w:rPr>
                <w:bCs/>
              </w:rPr>
            </w:pPr>
            <w:r w:rsidRPr="00455724">
              <w:rPr>
                <w:rFonts w:eastAsia="Arial"/>
                <w:bCs/>
              </w:rPr>
              <w:t xml:space="preserve">Proportion of adults who thought multiculturalism </w:t>
            </w:r>
            <w:proofErr w:type="gramStart"/>
            <w:r w:rsidRPr="00455724">
              <w:rPr>
                <w:rFonts w:eastAsia="Arial"/>
                <w:bCs/>
              </w:rPr>
              <w:t>definitely made</w:t>
            </w:r>
            <w:proofErr w:type="gramEnd"/>
            <w:r w:rsidRPr="00455724">
              <w:rPr>
                <w:rFonts w:eastAsia="Arial"/>
                <w:bCs/>
              </w:rPr>
              <w:t xml:space="preserve"> life in their area better</w:t>
            </w:r>
          </w:p>
        </w:tc>
        <w:tc>
          <w:tcPr>
            <w:tcW w:w="1254" w:type="dxa"/>
          </w:tcPr>
          <w:p w14:paraId="24160874" w14:textId="77777777" w:rsidR="00166BBE" w:rsidRPr="00455724" w:rsidRDefault="00166BBE" w:rsidP="00722291">
            <w:pPr>
              <w:pStyle w:val="Tabletext"/>
              <w:rPr>
                <w:bCs/>
              </w:rPr>
            </w:pPr>
            <w:r>
              <w:rPr>
                <w:bCs/>
              </w:rPr>
              <w:t>VPHS</w:t>
            </w:r>
          </w:p>
        </w:tc>
        <w:tc>
          <w:tcPr>
            <w:tcW w:w="2049" w:type="dxa"/>
          </w:tcPr>
          <w:p w14:paraId="7C4EFD2A" w14:textId="77777777" w:rsidR="00166BBE" w:rsidRPr="00455724" w:rsidRDefault="00166BBE" w:rsidP="00722291">
            <w:pPr>
              <w:pStyle w:val="Tabletext"/>
              <w:rPr>
                <w:bCs/>
              </w:rPr>
            </w:pPr>
          </w:p>
        </w:tc>
        <w:tc>
          <w:tcPr>
            <w:tcW w:w="1232" w:type="dxa"/>
          </w:tcPr>
          <w:p w14:paraId="7D5328D8" w14:textId="77777777" w:rsidR="00166BBE" w:rsidRPr="00455724" w:rsidRDefault="00166BBE" w:rsidP="00722291">
            <w:pPr>
              <w:pStyle w:val="Tabletext"/>
              <w:rPr>
                <w:bCs/>
              </w:rPr>
            </w:pPr>
            <w:r>
              <w:rPr>
                <w:bCs/>
              </w:rPr>
              <w:t>2.3.1.2</w:t>
            </w:r>
          </w:p>
        </w:tc>
      </w:tr>
    </w:tbl>
    <w:p w14:paraId="0FD9C26D" w14:textId="77777777" w:rsidR="00166BBE" w:rsidRPr="00714824" w:rsidRDefault="00166BBE" w:rsidP="00722291">
      <w:pPr>
        <w:pStyle w:val="Heading2"/>
        <w:rPr>
          <w:rFonts w:eastAsia="VIC"/>
          <w:b w:val="0"/>
          <w:bCs/>
        </w:rPr>
      </w:pPr>
      <w:bookmarkStart w:id="62" w:name="_Toc211959720"/>
      <w:r w:rsidRPr="00714824">
        <w:rPr>
          <w:rFonts w:eastAsia="VIC"/>
          <w:b w:val="0"/>
          <w:bCs/>
        </w:rPr>
        <w:t>Domain 3: Victorians have access to learning and development opportunities</w:t>
      </w:r>
      <w:bookmarkEnd w:id="62"/>
    </w:p>
    <w:p w14:paraId="1563557F" w14:textId="1A03CDB9" w:rsidR="003E14E5" w:rsidRDefault="003E14E5" w:rsidP="00B27AB4">
      <w:pPr>
        <w:pStyle w:val="Tablecaption"/>
      </w:pPr>
      <w:r>
        <w:t xml:space="preserve">Table </w:t>
      </w:r>
      <w:r>
        <w:fldChar w:fldCharType="begin"/>
      </w:r>
      <w:r>
        <w:instrText xml:space="preserve"> SEQ Table \* ARABIC </w:instrText>
      </w:r>
      <w:r>
        <w:fldChar w:fldCharType="separate"/>
      </w:r>
      <w:r w:rsidR="00B035D1">
        <w:rPr>
          <w:noProof/>
        </w:rPr>
        <w:t>10</w:t>
      </w:r>
      <w:r>
        <w:fldChar w:fldCharType="end"/>
      </w:r>
      <w:r>
        <w:t xml:space="preserve">. </w:t>
      </w:r>
      <w:r w:rsidRPr="00026674">
        <w:t>Outcome 3.1: Victorians have access to education, skills development and learning throughout life</w:t>
      </w:r>
    </w:p>
    <w:tbl>
      <w:tblPr>
        <w:tblStyle w:val="TableGridLight"/>
        <w:tblW w:w="0" w:type="auto"/>
        <w:tblLook w:val="04A0" w:firstRow="1" w:lastRow="0" w:firstColumn="1" w:lastColumn="0" w:noHBand="0" w:noVBand="1"/>
      </w:tblPr>
      <w:tblGrid>
        <w:gridCol w:w="2029"/>
        <w:gridCol w:w="3329"/>
        <w:gridCol w:w="3083"/>
        <w:gridCol w:w="1057"/>
        <w:gridCol w:w="3546"/>
        <w:gridCol w:w="1232"/>
      </w:tblGrid>
      <w:tr w:rsidR="00E45167" w:rsidRPr="001B5348" w14:paraId="163F6060" w14:textId="77777777" w:rsidTr="00B27AB4">
        <w:trPr>
          <w:trHeight w:val="355"/>
          <w:tblHeader/>
        </w:trPr>
        <w:tc>
          <w:tcPr>
            <w:tcW w:w="0" w:type="auto"/>
            <w:shd w:val="clear" w:color="auto" w:fill="7030A0"/>
            <w:vAlign w:val="center"/>
          </w:tcPr>
          <w:p w14:paraId="37C665D8" w14:textId="77777777" w:rsidR="00166BBE" w:rsidRPr="00722291" w:rsidRDefault="00166BBE" w:rsidP="00722291">
            <w:pPr>
              <w:pStyle w:val="Tablecolhead"/>
              <w:rPr>
                <w:b w:val="0"/>
                <w:color w:val="FFFFFF" w:themeColor="background1"/>
              </w:rPr>
            </w:pPr>
            <w:r w:rsidRPr="00722291">
              <w:rPr>
                <w:color w:val="FFFFFF" w:themeColor="background1"/>
              </w:rPr>
              <w:t>Indicator</w:t>
            </w:r>
          </w:p>
        </w:tc>
        <w:tc>
          <w:tcPr>
            <w:tcW w:w="0" w:type="auto"/>
            <w:shd w:val="clear" w:color="auto" w:fill="7030A0"/>
            <w:vAlign w:val="center"/>
          </w:tcPr>
          <w:p w14:paraId="513DD766" w14:textId="77777777" w:rsidR="00166BBE" w:rsidRPr="00722291" w:rsidRDefault="00166BBE" w:rsidP="00722291">
            <w:pPr>
              <w:pStyle w:val="Tablecolhead"/>
              <w:rPr>
                <w:b w:val="0"/>
                <w:color w:val="FFFFFF" w:themeColor="background1"/>
              </w:rPr>
            </w:pPr>
            <w:r w:rsidRPr="00722291">
              <w:rPr>
                <w:color w:val="FFFFFF" w:themeColor="background1"/>
              </w:rPr>
              <w:t>Measure</w:t>
            </w:r>
          </w:p>
        </w:tc>
        <w:tc>
          <w:tcPr>
            <w:tcW w:w="0" w:type="auto"/>
            <w:shd w:val="clear" w:color="auto" w:fill="7030A0"/>
            <w:vAlign w:val="center"/>
          </w:tcPr>
          <w:p w14:paraId="4C7D4C48" w14:textId="77777777" w:rsidR="00166BBE" w:rsidRPr="00722291" w:rsidRDefault="00166BBE" w:rsidP="00722291">
            <w:pPr>
              <w:pStyle w:val="Tablecolhead"/>
              <w:rPr>
                <w:b w:val="0"/>
                <w:color w:val="FFFFFF" w:themeColor="background1"/>
              </w:rPr>
            </w:pPr>
            <w:r w:rsidRPr="00722291">
              <w:rPr>
                <w:color w:val="FFFFFF" w:themeColor="background1"/>
              </w:rPr>
              <w:t>Measure detail</w:t>
            </w:r>
          </w:p>
        </w:tc>
        <w:tc>
          <w:tcPr>
            <w:tcW w:w="0" w:type="auto"/>
            <w:shd w:val="clear" w:color="auto" w:fill="7030A0"/>
            <w:vAlign w:val="center"/>
          </w:tcPr>
          <w:p w14:paraId="7DE43307" w14:textId="77777777" w:rsidR="00166BBE" w:rsidRPr="00722291" w:rsidRDefault="00166BBE" w:rsidP="00722291">
            <w:pPr>
              <w:pStyle w:val="Tablecolhead"/>
              <w:rPr>
                <w:b w:val="0"/>
                <w:color w:val="FFFFFF" w:themeColor="background1"/>
              </w:rPr>
            </w:pPr>
            <w:r w:rsidRPr="00722291">
              <w:rPr>
                <w:color w:val="FFFFFF" w:themeColor="background1"/>
              </w:rPr>
              <w:t>Source</w:t>
            </w:r>
          </w:p>
        </w:tc>
        <w:tc>
          <w:tcPr>
            <w:tcW w:w="0" w:type="auto"/>
            <w:shd w:val="clear" w:color="auto" w:fill="7030A0"/>
            <w:vAlign w:val="center"/>
          </w:tcPr>
          <w:p w14:paraId="3686A1AF" w14:textId="77777777" w:rsidR="00166BBE" w:rsidRPr="00722291" w:rsidRDefault="00166BBE" w:rsidP="00722291">
            <w:pPr>
              <w:pStyle w:val="Tablecolhead"/>
              <w:rPr>
                <w:b w:val="0"/>
                <w:color w:val="FFFFFF" w:themeColor="background1"/>
              </w:rPr>
            </w:pPr>
            <w:r w:rsidRPr="00722291">
              <w:rPr>
                <w:color w:val="FFFFFF" w:themeColor="background1"/>
              </w:rPr>
              <w:t>Target</w:t>
            </w:r>
          </w:p>
        </w:tc>
        <w:tc>
          <w:tcPr>
            <w:tcW w:w="0" w:type="auto"/>
            <w:shd w:val="clear" w:color="auto" w:fill="7030A0"/>
            <w:vAlign w:val="center"/>
          </w:tcPr>
          <w:p w14:paraId="65F58014" w14:textId="77777777" w:rsidR="00166BBE" w:rsidRPr="00722291" w:rsidRDefault="00166BBE" w:rsidP="00722291">
            <w:pPr>
              <w:pStyle w:val="Tablecolhead"/>
              <w:rPr>
                <w:b w:val="0"/>
                <w:color w:val="FFFFFF" w:themeColor="background1"/>
              </w:rPr>
            </w:pPr>
            <w:r w:rsidRPr="00722291">
              <w:rPr>
                <w:color w:val="FFFFFF" w:themeColor="background1"/>
              </w:rPr>
              <w:t>Reference</w:t>
            </w:r>
          </w:p>
        </w:tc>
      </w:tr>
      <w:tr w:rsidR="00E45167" w:rsidRPr="00EE3118" w14:paraId="0B126E2B" w14:textId="77777777" w:rsidTr="00DD533E">
        <w:tc>
          <w:tcPr>
            <w:tcW w:w="0" w:type="auto"/>
          </w:tcPr>
          <w:p w14:paraId="186105F0" w14:textId="77777777" w:rsidR="00166BBE" w:rsidRPr="00EE3118" w:rsidRDefault="00166BBE" w:rsidP="00722291">
            <w:pPr>
              <w:pStyle w:val="Tabletext"/>
            </w:pPr>
            <w:r w:rsidRPr="00EE3118">
              <w:t xml:space="preserve">Decrease developmental vulnerability </w:t>
            </w:r>
          </w:p>
        </w:tc>
        <w:tc>
          <w:tcPr>
            <w:tcW w:w="0" w:type="auto"/>
          </w:tcPr>
          <w:p w14:paraId="5D2D9177" w14:textId="77777777" w:rsidR="00166BBE" w:rsidRPr="00EE3118" w:rsidRDefault="00166BBE" w:rsidP="00722291">
            <w:pPr>
              <w:pStyle w:val="Tabletext"/>
            </w:pPr>
            <w:r w:rsidRPr="00EE3118">
              <w:t>Proportion of children at school entry who are developmentally on track</w:t>
            </w:r>
          </w:p>
        </w:tc>
        <w:tc>
          <w:tcPr>
            <w:tcW w:w="0" w:type="auto"/>
          </w:tcPr>
          <w:p w14:paraId="383274CC" w14:textId="77777777" w:rsidR="00166BBE" w:rsidRPr="00EE3118" w:rsidRDefault="00166BBE" w:rsidP="00722291">
            <w:pPr>
              <w:pStyle w:val="Tabletext"/>
            </w:pPr>
            <w:r w:rsidRPr="00EE3118">
              <w:t>Proportion of children at school entry who are developmentally on track</w:t>
            </w:r>
          </w:p>
        </w:tc>
        <w:tc>
          <w:tcPr>
            <w:tcW w:w="0" w:type="auto"/>
          </w:tcPr>
          <w:p w14:paraId="02B7858A" w14:textId="77777777" w:rsidR="00166BBE" w:rsidRPr="00DB0C2F" w:rsidRDefault="00166BBE" w:rsidP="00722291">
            <w:pPr>
              <w:pStyle w:val="Tabletext"/>
            </w:pPr>
            <w:r w:rsidRPr="00DB0C2F">
              <w:t>AEDC</w:t>
            </w:r>
          </w:p>
        </w:tc>
        <w:tc>
          <w:tcPr>
            <w:tcW w:w="0" w:type="auto"/>
          </w:tcPr>
          <w:p w14:paraId="558AA0ED" w14:textId="77777777" w:rsidR="00166BBE" w:rsidRPr="00EE3118" w:rsidRDefault="00166BBE" w:rsidP="00722291">
            <w:pPr>
              <w:pStyle w:val="Tabletext"/>
            </w:pPr>
          </w:p>
        </w:tc>
        <w:tc>
          <w:tcPr>
            <w:tcW w:w="0" w:type="auto"/>
          </w:tcPr>
          <w:p w14:paraId="424C7ADE" w14:textId="77777777" w:rsidR="00166BBE" w:rsidRPr="001F28A7" w:rsidRDefault="00166BBE" w:rsidP="00722291">
            <w:pPr>
              <w:pStyle w:val="Tabletext"/>
            </w:pPr>
            <w:r w:rsidRPr="001F28A7">
              <w:t>3.1.1.1</w:t>
            </w:r>
          </w:p>
        </w:tc>
      </w:tr>
      <w:tr w:rsidR="00E45167" w:rsidRPr="00EE3118" w14:paraId="1FC40A0C" w14:textId="77777777" w:rsidTr="00DD533E">
        <w:tc>
          <w:tcPr>
            <w:tcW w:w="0" w:type="auto"/>
          </w:tcPr>
          <w:p w14:paraId="5D192117" w14:textId="77777777" w:rsidR="00166BBE" w:rsidRPr="00EE3118" w:rsidRDefault="00166BBE" w:rsidP="00722291">
            <w:pPr>
              <w:pStyle w:val="Tabletext"/>
            </w:pPr>
            <w:r w:rsidRPr="00EE3118">
              <w:t>Increase educational attainment</w:t>
            </w:r>
          </w:p>
        </w:tc>
        <w:tc>
          <w:tcPr>
            <w:tcW w:w="0" w:type="auto"/>
          </w:tcPr>
          <w:p w14:paraId="28175569" w14:textId="3E69A975" w:rsidR="00166BBE" w:rsidRPr="00EE3118" w:rsidRDefault="00166BBE" w:rsidP="00722291">
            <w:pPr>
              <w:pStyle w:val="Tabletext"/>
            </w:pPr>
            <w:r w:rsidRPr="00EE3118">
              <w:t xml:space="preserve">Proportion of </w:t>
            </w:r>
            <w:r w:rsidR="00960209">
              <w:t>Y</w:t>
            </w:r>
            <w:r w:rsidRPr="00EE3118">
              <w:t xml:space="preserve">ear </w:t>
            </w:r>
            <w:r w:rsidR="008A1681">
              <w:t xml:space="preserve">3, 5, 7 and </w:t>
            </w:r>
            <w:r w:rsidRPr="00EE3118">
              <w:t>9 students at highest level of achievement in numeracy</w:t>
            </w:r>
            <w:r>
              <w:t xml:space="preserve"> and reading</w:t>
            </w:r>
          </w:p>
        </w:tc>
        <w:tc>
          <w:tcPr>
            <w:tcW w:w="0" w:type="auto"/>
          </w:tcPr>
          <w:p w14:paraId="22345FC2" w14:textId="2ED8879C" w:rsidR="00166BBE" w:rsidRPr="00EE3118" w:rsidRDefault="00166BBE" w:rsidP="00722291">
            <w:pPr>
              <w:pStyle w:val="Tabletext"/>
            </w:pPr>
            <w:r w:rsidRPr="001F1C76">
              <w:t xml:space="preserve">Proportion of </w:t>
            </w:r>
            <w:r w:rsidR="00EB6A2F">
              <w:t>Y</w:t>
            </w:r>
            <w:r w:rsidRPr="001F1C76">
              <w:t xml:space="preserve">ear </w:t>
            </w:r>
            <w:r w:rsidR="00E45167">
              <w:t xml:space="preserve">3, 5, 7 and </w:t>
            </w:r>
            <w:r w:rsidRPr="001F1C76">
              <w:t xml:space="preserve">9 </w:t>
            </w:r>
            <w:r w:rsidRPr="00EE3118">
              <w:t>students at highest level of achievement in numeracy</w:t>
            </w:r>
          </w:p>
        </w:tc>
        <w:tc>
          <w:tcPr>
            <w:tcW w:w="0" w:type="auto"/>
          </w:tcPr>
          <w:p w14:paraId="4E4A5B4F" w14:textId="77777777" w:rsidR="00166BBE" w:rsidRPr="00761AB4" w:rsidRDefault="00166BBE" w:rsidP="00722291">
            <w:pPr>
              <w:pStyle w:val="Tabletext"/>
            </w:pPr>
            <w:r w:rsidRPr="00761AB4">
              <w:t>NAPLAN</w:t>
            </w:r>
          </w:p>
        </w:tc>
        <w:tc>
          <w:tcPr>
            <w:tcW w:w="0" w:type="auto"/>
            <w:vMerge w:val="restart"/>
          </w:tcPr>
          <w:p w14:paraId="067B9D20" w14:textId="58DCB83E" w:rsidR="008D4B7E" w:rsidRDefault="00166BBE" w:rsidP="008D608E">
            <w:pPr>
              <w:pStyle w:val="Tabletext"/>
            </w:pPr>
            <w:r w:rsidRPr="0024525E">
              <w:t>By 2030, in the NAPLAN Reading and Numeracy:</w:t>
            </w:r>
          </w:p>
          <w:p w14:paraId="623761EA" w14:textId="78D35E00" w:rsidR="00C82218" w:rsidRDefault="00166BBE" w:rsidP="00B27AB4">
            <w:pPr>
              <w:pStyle w:val="Tablebullet1"/>
            </w:pPr>
            <w:r w:rsidRPr="0024525E">
              <w:t>re</w:t>
            </w:r>
            <w:r>
              <w:t>d</w:t>
            </w:r>
            <w:r w:rsidRPr="0024525E">
              <w:t>uce the proportion of all Year</w:t>
            </w:r>
            <w:r>
              <w:t xml:space="preserve"> </w:t>
            </w:r>
            <w:r w:rsidR="007D36EF">
              <w:t>3,</w:t>
            </w:r>
            <w:r w:rsidR="003774D7">
              <w:t xml:space="preserve"> 5, 7 and </w:t>
            </w:r>
            <w:r w:rsidRPr="0024525E">
              <w:t>9</w:t>
            </w:r>
            <w:r>
              <w:t xml:space="preserve"> </w:t>
            </w:r>
            <w:r w:rsidRPr="0024525E">
              <w:t>students in the Needs Additional Support proficiency level by 10</w:t>
            </w:r>
            <w:r w:rsidR="003A249A">
              <w:t xml:space="preserve"> percent</w:t>
            </w:r>
          </w:p>
          <w:p w14:paraId="4F4FCFA5" w14:textId="67CF7A28" w:rsidR="00C82218" w:rsidRDefault="00166BBE" w:rsidP="00B27AB4">
            <w:pPr>
              <w:pStyle w:val="Tablebullet1"/>
            </w:pPr>
            <w:r w:rsidRPr="0024525E">
              <w:t xml:space="preserve">increase the proportion of all </w:t>
            </w:r>
            <w:r>
              <w:t xml:space="preserve">Year </w:t>
            </w:r>
            <w:r w:rsidR="00F036DE">
              <w:t xml:space="preserve">3, 5, 7 and </w:t>
            </w:r>
            <w:r>
              <w:t xml:space="preserve">9 </w:t>
            </w:r>
            <w:r w:rsidRPr="0024525E">
              <w:t>students in the Strong and Exceeding proficiency levels by 10</w:t>
            </w:r>
            <w:r w:rsidR="003A249A">
              <w:t xml:space="preserve"> percent</w:t>
            </w:r>
          </w:p>
          <w:p w14:paraId="159DCAA1" w14:textId="5B3D2B71" w:rsidR="00166BBE" w:rsidRPr="00EE3118" w:rsidRDefault="00166BBE" w:rsidP="00C54692">
            <w:pPr>
              <w:pStyle w:val="Tablebullet1"/>
            </w:pPr>
            <w:r w:rsidRPr="0024525E">
              <w:t>trend upwards in the proportion of priority equity cohort students in the Strong and Exceeding proficiency levels</w:t>
            </w:r>
          </w:p>
        </w:tc>
        <w:tc>
          <w:tcPr>
            <w:tcW w:w="0" w:type="auto"/>
          </w:tcPr>
          <w:p w14:paraId="61734FAA" w14:textId="77777777" w:rsidR="00166BBE" w:rsidRPr="001F28A7" w:rsidRDefault="00166BBE" w:rsidP="00C54692">
            <w:pPr>
              <w:pStyle w:val="Tabletext"/>
            </w:pPr>
            <w:r w:rsidRPr="001F28A7">
              <w:t>3.1.2.1</w:t>
            </w:r>
          </w:p>
        </w:tc>
      </w:tr>
      <w:tr w:rsidR="00E45167" w:rsidRPr="00EE3118" w14:paraId="3D5F016B" w14:textId="77777777" w:rsidTr="00DD533E">
        <w:tc>
          <w:tcPr>
            <w:tcW w:w="0" w:type="auto"/>
          </w:tcPr>
          <w:p w14:paraId="3EC2274E" w14:textId="77777777" w:rsidR="00166BBE" w:rsidRPr="00EE3118" w:rsidRDefault="00166BBE" w:rsidP="00B7433E">
            <w:pPr>
              <w:pStyle w:val="Tabletext"/>
            </w:pPr>
          </w:p>
        </w:tc>
        <w:tc>
          <w:tcPr>
            <w:tcW w:w="0" w:type="auto"/>
          </w:tcPr>
          <w:p w14:paraId="396AB6F9" w14:textId="77777777" w:rsidR="00166BBE" w:rsidRPr="00EE3118" w:rsidRDefault="00166BBE" w:rsidP="00B7433E">
            <w:pPr>
              <w:pStyle w:val="Tabletext"/>
            </w:pPr>
          </w:p>
        </w:tc>
        <w:tc>
          <w:tcPr>
            <w:tcW w:w="0" w:type="auto"/>
          </w:tcPr>
          <w:p w14:paraId="4DFA4DEA" w14:textId="1F961E48" w:rsidR="00166BBE" w:rsidRPr="00EE3118" w:rsidRDefault="00166BBE" w:rsidP="00B7433E">
            <w:pPr>
              <w:pStyle w:val="Tabletext"/>
            </w:pPr>
            <w:r w:rsidRPr="00EE3118">
              <w:t xml:space="preserve">Proportion of </w:t>
            </w:r>
            <w:r w:rsidR="00EB6A2F">
              <w:t>Y</w:t>
            </w:r>
            <w:r w:rsidRPr="00EE3118">
              <w:t xml:space="preserve">ear </w:t>
            </w:r>
            <w:r w:rsidR="00E45167">
              <w:t>3,</w:t>
            </w:r>
            <w:r w:rsidR="008263EA">
              <w:t xml:space="preserve"> </w:t>
            </w:r>
            <w:r w:rsidR="00E45167">
              <w:t xml:space="preserve">5, </w:t>
            </w:r>
            <w:r w:rsidR="008263EA">
              <w:t xml:space="preserve">7 and </w:t>
            </w:r>
            <w:r w:rsidRPr="00EE3118">
              <w:t>9 students at highest level of achievement in reading</w:t>
            </w:r>
          </w:p>
        </w:tc>
        <w:tc>
          <w:tcPr>
            <w:tcW w:w="0" w:type="auto"/>
          </w:tcPr>
          <w:p w14:paraId="168BF396" w14:textId="77777777" w:rsidR="00166BBE" w:rsidRPr="00761AB4" w:rsidRDefault="00166BBE" w:rsidP="00B7433E">
            <w:pPr>
              <w:pStyle w:val="Tabletext"/>
            </w:pPr>
            <w:r w:rsidRPr="00761AB4">
              <w:t>NAPLAN</w:t>
            </w:r>
          </w:p>
        </w:tc>
        <w:tc>
          <w:tcPr>
            <w:tcW w:w="0" w:type="auto"/>
            <w:vMerge/>
          </w:tcPr>
          <w:p w14:paraId="120C7259" w14:textId="77777777" w:rsidR="00166BBE" w:rsidRPr="00EE3118" w:rsidRDefault="00166BBE" w:rsidP="00B7433E">
            <w:pPr>
              <w:pStyle w:val="Tabletext"/>
            </w:pPr>
          </w:p>
        </w:tc>
        <w:tc>
          <w:tcPr>
            <w:tcW w:w="0" w:type="auto"/>
          </w:tcPr>
          <w:p w14:paraId="028B844C" w14:textId="77777777" w:rsidR="00166BBE" w:rsidRPr="001F28A7" w:rsidRDefault="00166BBE" w:rsidP="00B7433E">
            <w:pPr>
              <w:pStyle w:val="Tabletext"/>
            </w:pPr>
            <w:r w:rsidRPr="001F28A7">
              <w:t>3.1.2.2</w:t>
            </w:r>
          </w:p>
        </w:tc>
      </w:tr>
      <w:tr w:rsidR="00E45167" w:rsidRPr="00EE3118" w14:paraId="407FE86E" w14:textId="77777777" w:rsidTr="00DD533E">
        <w:tc>
          <w:tcPr>
            <w:tcW w:w="0" w:type="auto"/>
          </w:tcPr>
          <w:p w14:paraId="00C64D5B" w14:textId="77777777" w:rsidR="00166BBE" w:rsidRPr="00EE3118" w:rsidRDefault="00166BBE" w:rsidP="00B7433E">
            <w:pPr>
              <w:pStyle w:val="Tabletext"/>
            </w:pPr>
          </w:p>
        </w:tc>
        <w:tc>
          <w:tcPr>
            <w:tcW w:w="0" w:type="auto"/>
          </w:tcPr>
          <w:p w14:paraId="52923A41" w14:textId="77777777" w:rsidR="00166BBE" w:rsidRPr="00EE3118" w:rsidRDefault="00166BBE" w:rsidP="00B7433E">
            <w:pPr>
              <w:pStyle w:val="Tabletext"/>
            </w:pPr>
            <w:r w:rsidRPr="00EE3118">
              <w:t>Adults with post-secondary education qualifications</w:t>
            </w:r>
          </w:p>
        </w:tc>
        <w:tc>
          <w:tcPr>
            <w:tcW w:w="0" w:type="auto"/>
          </w:tcPr>
          <w:p w14:paraId="4ED1B12C" w14:textId="77777777" w:rsidR="00166BBE" w:rsidRPr="00BD087A" w:rsidRDefault="00166BBE" w:rsidP="00B7433E">
            <w:pPr>
              <w:pStyle w:val="Tabletext"/>
              <w:rPr>
                <w:highlight w:val="yellow"/>
              </w:rPr>
            </w:pPr>
            <w:r w:rsidRPr="00FE6D7C">
              <w:t>Proportion of adults with post-secondary education qualifications</w:t>
            </w:r>
          </w:p>
        </w:tc>
        <w:tc>
          <w:tcPr>
            <w:tcW w:w="0" w:type="auto"/>
          </w:tcPr>
          <w:p w14:paraId="5D86B6F4" w14:textId="77777777" w:rsidR="00166BBE" w:rsidRPr="002068CF" w:rsidRDefault="00166BBE" w:rsidP="00B7433E">
            <w:pPr>
              <w:pStyle w:val="Tabletext"/>
            </w:pPr>
            <w:r w:rsidRPr="002068CF">
              <w:t>VPHS</w:t>
            </w:r>
          </w:p>
        </w:tc>
        <w:tc>
          <w:tcPr>
            <w:tcW w:w="0" w:type="auto"/>
          </w:tcPr>
          <w:p w14:paraId="1425A3E8" w14:textId="77777777" w:rsidR="00166BBE" w:rsidRPr="00EE3118" w:rsidRDefault="00166BBE" w:rsidP="00B7433E">
            <w:pPr>
              <w:pStyle w:val="Tabletext"/>
            </w:pPr>
          </w:p>
        </w:tc>
        <w:tc>
          <w:tcPr>
            <w:tcW w:w="0" w:type="auto"/>
          </w:tcPr>
          <w:p w14:paraId="030DB907" w14:textId="77777777" w:rsidR="00166BBE" w:rsidRPr="001F28A7" w:rsidRDefault="00166BBE" w:rsidP="00B7433E">
            <w:pPr>
              <w:pStyle w:val="Tabletext"/>
            </w:pPr>
            <w:r w:rsidRPr="001F28A7">
              <w:t>3.1.2.3</w:t>
            </w:r>
          </w:p>
        </w:tc>
      </w:tr>
      <w:tr w:rsidR="00E45167" w:rsidRPr="00EE3118" w14:paraId="0430E338" w14:textId="77777777" w:rsidTr="00DD533E">
        <w:tc>
          <w:tcPr>
            <w:tcW w:w="0" w:type="auto"/>
          </w:tcPr>
          <w:p w14:paraId="0604A839" w14:textId="77777777" w:rsidR="00166BBE" w:rsidRPr="00EE3118" w:rsidRDefault="00166BBE" w:rsidP="00B7433E">
            <w:pPr>
              <w:pStyle w:val="Tabletext"/>
            </w:pPr>
            <w:r w:rsidRPr="00EE3118">
              <w:t>Increase Victoria’s digital inclusion</w:t>
            </w:r>
          </w:p>
        </w:tc>
        <w:tc>
          <w:tcPr>
            <w:tcW w:w="0" w:type="auto"/>
          </w:tcPr>
          <w:p w14:paraId="7BB6382B" w14:textId="203F74DE" w:rsidR="00166BBE" w:rsidRPr="00EE3118" w:rsidRDefault="00166BBE" w:rsidP="00B7433E">
            <w:pPr>
              <w:pStyle w:val="Tabletext"/>
            </w:pPr>
            <w:r w:rsidRPr="00EE3118">
              <w:t>Victoria’s score on the Australian Digital Inclusion Index</w:t>
            </w:r>
            <w:r w:rsidR="003E1E1E">
              <w:t xml:space="preserve"> (ADII)</w:t>
            </w:r>
          </w:p>
        </w:tc>
        <w:tc>
          <w:tcPr>
            <w:tcW w:w="0" w:type="auto"/>
          </w:tcPr>
          <w:p w14:paraId="1895C2EF" w14:textId="34845F7D" w:rsidR="00166BBE" w:rsidRPr="00BD087A" w:rsidRDefault="00166BBE" w:rsidP="00B7433E">
            <w:pPr>
              <w:pStyle w:val="Tabletext"/>
              <w:rPr>
                <w:highlight w:val="yellow"/>
              </w:rPr>
            </w:pPr>
            <w:r w:rsidRPr="00E104A2">
              <w:t xml:space="preserve">Victoria’s score on the </w:t>
            </w:r>
            <w:r w:rsidR="003E1E1E">
              <w:t>ADII</w:t>
            </w:r>
          </w:p>
        </w:tc>
        <w:tc>
          <w:tcPr>
            <w:tcW w:w="0" w:type="auto"/>
          </w:tcPr>
          <w:p w14:paraId="4464014C" w14:textId="77777777" w:rsidR="00166BBE" w:rsidRPr="0065576F" w:rsidRDefault="00166BBE" w:rsidP="00B7433E">
            <w:pPr>
              <w:pStyle w:val="Tabletext"/>
            </w:pPr>
            <w:r w:rsidRPr="0065576F">
              <w:t>ADII</w:t>
            </w:r>
          </w:p>
        </w:tc>
        <w:tc>
          <w:tcPr>
            <w:tcW w:w="0" w:type="auto"/>
          </w:tcPr>
          <w:p w14:paraId="4B929C79" w14:textId="77777777" w:rsidR="00166BBE" w:rsidRPr="00EE3118" w:rsidRDefault="00166BBE" w:rsidP="00B7433E">
            <w:pPr>
              <w:pStyle w:val="Tabletext"/>
            </w:pPr>
          </w:p>
        </w:tc>
        <w:tc>
          <w:tcPr>
            <w:tcW w:w="0" w:type="auto"/>
          </w:tcPr>
          <w:p w14:paraId="52899BF5" w14:textId="77777777" w:rsidR="00166BBE" w:rsidRPr="001F28A7" w:rsidRDefault="00166BBE" w:rsidP="00B7433E">
            <w:pPr>
              <w:pStyle w:val="Tabletext"/>
            </w:pPr>
            <w:r w:rsidRPr="001F28A7">
              <w:t>3.1.3.1</w:t>
            </w:r>
          </w:p>
        </w:tc>
      </w:tr>
    </w:tbl>
    <w:p w14:paraId="51FF628C" w14:textId="77777777" w:rsidR="00166BBE" w:rsidRPr="00714824" w:rsidRDefault="00166BBE" w:rsidP="000A0400">
      <w:pPr>
        <w:pStyle w:val="Heading2"/>
        <w:rPr>
          <w:rFonts w:eastAsia="VIC"/>
          <w:b w:val="0"/>
          <w:bCs/>
        </w:rPr>
      </w:pPr>
      <w:bookmarkStart w:id="63" w:name="_Toc211959721"/>
      <w:r w:rsidRPr="00714824">
        <w:rPr>
          <w:rFonts w:eastAsia="VIC"/>
          <w:b w:val="0"/>
          <w:bCs/>
        </w:rPr>
        <w:t>Domain 4: Strong economic participation and stability in Victoria</w:t>
      </w:r>
      <w:bookmarkEnd w:id="63"/>
    </w:p>
    <w:p w14:paraId="4D9AE1DA" w14:textId="323BE16C" w:rsidR="003943DE" w:rsidRDefault="003943DE" w:rsidP="00482D98">
      <w:pPr>
        <w:pStyle w:val="Tablecaption"/>
      </w:pPr>
      <w:r>
        <w:t xml:space="preserve">Table </w:t>
      </w:r>
      <w:r>
        <w:fldChar w:fldCharType="begin"/>
      </w:r>
      <w:r>
        <w:instrText xml:space="preserve"> SEQ Table \* ARABIC </w:instrText>
      </w:r>
      <w:r>
        <w:fldChar w:fldCharType="separate"/>
      </w:r>
      <w:r w:rsidR="00B035D1">
        <w:rPr>
          <w:noProof/>
        </w:rPr>
        <w:t>11</w:t>
      </w:r>
      <w:r>
        <w:fldChar w:fldCharType="end"/>
      </w:r>
      <w:r>
        <w:t xml:space="preserve">. </w:t>
      </w:r>
      <w:r w:rsidRPr="00312831">
        <w:t>Outcome 4.1: Victorians participate in the economy</w:t>
      </w:r>
    </w:p>
    <w:tbl>
      <w:tblPr>
        <w:tblStyle w:val="TableGridLight"/>
        <w:tblW w:w="0" w:type="auto"/>
        <w:tblLook w:val="04A0" w:firstRow="1" w:lastRow="0" w:firstColumn="1" w:lastColumn="0" w:noHBand="0" w:noVBand="1"/>
      </w:tblPr>
      <w:tblGrid>
        <w:gridCol w:w="2382"/>
        <w:gridCol w:w="2993"/>
        <w:gridCol w:w="4363"/>
        <w:gridCol w:w="1388"/>
        <w:gridCol w:w="1918"/>
        <w:gridCol w:w="1232"/>
      </w:tblGrid>
      <w:tr w:rsidR="001B5348" w:rsidRPr="001B5348" w14:paraId="2D6FC7B5" w14:textId="77777777" w:rsidTr="00482D98">
        <w:trPr>
          <w:trHeight w:val="297"/>
          <w:tblHeader/>
        </w:trPr>
        <w:tc>
          <w:tcPr>
            <w:tcW w:w="2382" w:type="dxa"/>
            <w:shd w:val="clear" w:color="auto" w:fill="C00000"/>
            <w:vAlign w:val="center"/>
          </w:tcPr>
          <w:p w14:paraId="0790D1A6" w14:textId="77777777" w:rsidR="00166BBE" w:rsidRPr="000A0400" w:rsidRDefault="00166BBE" w:rsidP="000A0400">
            <w:pPr>
              <w:pStyle w:val="Tablecolhead"/>
              <w:rPr>
                <w:b w:val="0"/>
                <w:color w:val="FFFFFF" w:themeColor="background1"/>
              </w:rPr>
            </w:pPr>
            <w:r w:rsidRPr="000A0400">
              <w:rPr>
                <w:color w:val="FFFFFF" w:themeColor="background1"/>
              </w:rPr>
              <w:t>Indicator</w:t>
            </w:r>
          </w:p>
        </w:tc>
        <w:tc>
          <w:tcPr>
            <w:tcW w:w="2993" w:type="dxa"/>
            <w:shd w:val="clear" w:color="auto" w:fill="C00000"/>
            <w:vAlign w:val="center"/>
          </w:tcPr>
          <w:p w14:paraId="59C792C3" w14:textId="77777777" w:rsidR="00166BBE" w:rsidRPr="000A0400" w:rsidRDefault="00166BBE" w:rsidP="000A0400">
            <w:pPr>
              <w:pStyle w:val="Tablecolhead"/>
              <w:rPr>
                <w:b w:val="0"/>
                <w:color w:val="FFFFFF" w:themeColor="background1"/>
              </w:rPr>
            </w:pPr>
            <w:r w:rsidRPr="000A0400">
              <w:rPr>
                <w:color w:val="FFFFFF" w:themeColor="background1"/>
              </w:rPr>
              <w:t>Measure</w:t>
            </w:r>
          </w:p>
        </w:tc>
        <w:tc>
          <w:tcPr>
            <w:tcW w:w="4363" w:type="dxa"/>
            <w:shd w:val="clear" w:color="auto" w:fill="C00000"/>
            <w:vAlign w:val="center"/>
          </w:tcPr>
          <w:p w14:paraId="58562B4A" w14:textId="77777777" w:rsidR="00166BBE" w:rsidRPr="000A0400" w:rsidRDefault="00166BBE" w:rsidP="000A0400">
            <w:pPr>
              <w:pStyle w:val="Tablecolhead"/>
              <w:rPr>
                <w:b w:val="0"/>
                <w:color w:val="FFFFFF" w:themeColor="background1"/>
              </w:rPr>
            </w:pPr>
            <w:r w:rsidRPr="000A0400">
              <w:rPr>
                <w:color w:val="FFFFFF" w:themeColor="background1"/>
              </w:rPr>
              <w:t>Measure detail</w:t>
            </w:r>
          </w:p>
        </w:tc>
        <w:tc>
          <w:tcPr>
            <w:tcW w:w="1388" w:type="dxa"/>
            <w:shd w:val="clear" w:color="auto" w:fill="C00000"/>
            <w:vAlign w:val="center"/>
          </w:tcPr>
          <w:p w14:paraId="7CC797A9" w14:textId="77777777" w:rsidR="00166BBE" w:rsidRPr="000A0400" w:rsidRDefault="00166BBE" w:rsidP="000A0400">
            <w:pPr>
              <w:pStyle w:val="Tablecolhead"/>
              <w:rPr>
                <w:b w:val="0"/>
                <w:color w:val="FFFFFF" w:themeColor="background1"/>
              </w:rPr>
            </w:pPr>
            <w:r w:rsidRPr="000A0400">
              <w:rPr>
                <w:color w:val="FFFFFF" w:themeColor="background1"/>
              </w:rPr>
              <w:t>Source</w:t>
            </w:r>
          </w:p>
        </w:tc>
        <w:tc>
          <w:tcPr>
            <w:tcW w:w="1918" w:type="dxa"/>
            <w:shd w:val="clear" w:color="auto" w:fill="C00000"/>
            <w:vAlign w:val="center"/>
          </w:tcPr>
          <w:p w14:paraId="1012302C" w14:textId="77777777" w:rsidR="00166BBE" w:rsidRPr="000A0400" w:rsidRDefault="00166BBE" w:rsidP="000A0400">
            <w:pPr>
              <w:pStyle w:val="Tablecolhead"/>
              <w:rPr>
                <w:b w:val="0"/>
                <w:color w:val="FFFFFF" w:themeColor="background1"/>
              </w:rPr>
            </w:pPr>
            <w:r w:rsidRPr="000A0400">
              <w:rPr>
                <w:color w:val="FFFFFF" w:themeColor="background1"/>
              </w:rPr>
              <w:t>Target</w:t>
            </w:r>
          </w:p>
        </w:tc>
        <w:tc>
          <w:tcPr>
            <w:tcW w:w="1232" w:type="dxa"/>
            <w:shd w:val="clear" w:color="auto" w:fill="C00000"/>
            <w:vAlign w:val="center"/>
          </w:tcPr>
          <w:p w14:paraId="24CED28A" w14:textId="77777777" w:rsidR="00166BBE" w:rsidRPr="00B57DF2" w:rsidRDefault="00166BBE" w:rsidP="000A0400">
            <w:pPr>
              <w:pStyle w:val="Tablecolhead"/>
              <w:rPr>
                <w:b w:val="0"/>
                <w:color w:val="FFFFFF" w:themeColor="background1"/>
              </w:rPr>
            </w:pPr>
            <w:r w:rsidRPr="00B57DF2">
              <w:rPr>
                <w:color w:val="FFFFFF" w:themeColor="background1"/>
              </w:rPr>
              <w:t>Reference</w:t>
            </w:r>
          </w:p>
        </w:tc>
      </w:tr>
      <w:tr w:rsidR="00A63397" w:rsidRPr="00A63397" w14:paraId="4804B35E" w14:textId="77777777" w:rsidTr="003943DE">
        <w:tc>
          <w:tcPr>
            <w:tcW w:w="2382" w:type="dxa"/>
          </w:tcPr>
          <w:p w14:paraId="344D40D9" w14:textId="77777777" w:rsidR="00166BBE" w:rsidRPr="00B57DF2" w:rsidRDefault="00166BBE" w:rsidP="00B57DF2">
            <w:pPr>
              <w:pStyle w:val="Tabletext"/>
            </w:pPr>
            <w:r w:rsidRPr="00A63397">
              <w:t>Increase labour market participation </w:t>
            </w:r>
          </w:p>
        </w:tc>
        <w:tc>
          <w:tcPr>
            <w:tcW w:w="2993" w:type="dxa"/>
          </w:tcPr>
          <w:p w14:paraId="12BD935C" w14:textId="77777777" w:rsidR="00166BBE" w:rsidRPr="00B57DF2" w:rsidRDefault="00166BBE" w:rsidP="00B57DF2">
            <w:pPr>
              <w:pStyle w:val="Tabletext"/>
            </w:pPr>
            <w:r w:rsidRPr="00B57DF2">
              <w:t>Unemployment rate</w:t>
            </w:r>
          </w:p>
        </w:tc>
        <w:tc>
          <w:tcPr>
            <w:tcW w:w="4363" w:type="dxa"/>
          </w:tcPr>
          <w:p w14:paraId="0DCAF1B0" w14:textId="77777777" w:rsidR="00166BBE" w:rsidRPr="00B57DF2" w:rsidRDefault="00166BBE" w:rsidP="00B57DF2">
            <w:pPr>
              <w:pStyle w:val="Tabletext"/>
            </w:pPr>
            <w:r w:rsidRPr="00B57DF2">
              <w:t>Unemployment rate</w:t>
            </w:r>
          </w:p>
        </w:tc>
        <w:tc>
          <w:tcPr>
            <w:tcW w:w="1388" w:type="dxa"/>
          </w:tcPr>
          <w:p w14:paraId="3DA6A86E" w14:textId="77777777" w:rsidR="00166BBE" w:rsidRPr="00A63397" w:rsidRDefault="00166BBE" w:rsidP="00B57DF2">
            <w:pPr>
              <w:pStyle w:val="Tabletext"/>
            </w:pPr>
            <w:r w:rsidRPr="00A63397">
              <w:t>ABS</w:t>
            </w:r>
          </w:p>
        </w:tc>
        <w:tc>
          <w:tcPr>
            <w:tcW w:w="1918" w:type="dxa"/>
          </w:tcPr>
          <w:p w14:paraId="3D986658" w14:textId="77777777" w:rsidR="00166BBE" w:rsidRPr="00B57DF2" w:rsidRDefault="00166BBE" w:rsidP="00B57DF2">
            <w:pPr>
              <w:pStyle w:val="Tabletext"/>
            </w:pPr>
          </w:p>
        </w:tc>
        <w:tc>
          <w:tcPr>
            <w:tcW w:w="1232" w:type="dxa"/>
          </w:tcPr>
          <w:p w14:paraId="1A9B0467" w14:textId="77777777" w:rsidR="00166BBE" w:rsidRPr="00A63397" w:rsidRDefault="00166BBE" w:rsidP="00B57DF2">
            <w:pPr>
              <w:pStyle w:val="Tabletext"/>
            </w:pPr>
            <w:r w:rsidRPr="00A63397">
              <w:t>4.1.1.1</w:t>
            </w:r>
          </w:p>
        </w:tc>
      </w:tr>
      <w:tr w:rsidR="00A63397" w:rsidRPr="00A63397" w14:paraId="7CB7BBC6" w14:textId="77777777" w:rsidTr="003943DE">
        <w:tc>
          <w:tcPr>
            <w:tcW w:w="2382" w:type="dxa"/>
          </w:tcPr>
          <w:p w14:paraId="7761EFB7" w14:textId="77777777" w:rsidR="00166BBE" w:rsidRPr="00B57DF2" w:rsidRDefault="00166BBE" w:rsidP="00B57DF2">
            <w:pPr>
              <w:pStyle w:val="Tabletext"/>
            </w:pPr>
          </w:p>
        </w:tc>
        <w:tc>
          <w:tcPr>
            <w:tcW w:w="2993" w:type="dxa"/>
          </w:tcPr>
          <w:p w14:paraId="03364621" w14:textId="77777777" w:rsidR="00166BBE" w:rsidRPr="00B57DF2" w:rsidRDefault="00166BBE" w:rsidP="00B57DF2">
            <w:pPr>
              <w:pStyle w:val="Tabletext"/>
            </w:pPr>
            <w:r w:rsidRPr="00B57DF2">
              <w:t>Long-term unemployment rate</w:t>
            </w:r>
          </w:p>
        </w:tc>
        <w:tc>
          <w:tcPr>
            <w:tcW w:w="4363" w:type="dxa"/>
          </w:tcPr>
          <w:p w14:paraId="542D2333" w14:textId="77777777" w:rsidR="00166BBE" w:rsidRPr="00B57DF2" w:rsidRDefault="00166BBE" w:rsidP="00B57DF2">
            <w:pPr>
              <w:pStyle w:val="Tabletext"/>
            </w:pPr>
            <w:r w:rsidRPr="00B57DF2">
              <w:t xml:space="preserve">Long-term unemployment rate </w:t>
            </w:r>
          </w:p>
        </w:tc>
        <w:tc>
          <w:tcPr>
            <w:tcW w:w="1388" w:type="dxa"/>
          </w:tcPr>
          <w:p w14:paraId="62AC32BF" w14:textId="77777777" w:rsidR="00166BBE" w:rsidRPr="00A63397" w:rsidRDefault="00166BBE" w:rsidP="00B57DF2">
            <w:pPr>
              <w:pStyle w:val="Tabletext"/>
            </w:pPr>
            <w:r w:rsidRPr="00A63397">
              <w:t>ABS</w:t>
            </w:r>
          </w:p>
        </w:tc>
        <w:tc>
          <w:tcPr>
            <w:tcW w:w="1918" w:type="dxa"/>
          </w:tcPr>
          <w:p w14:paraId="0323A45B" w14:textId="77777777" w:rsidR="00166BBE" w:rsidRPr="00B57DF2" w:rsidRDefault="00166BBE" w:rsidP="00B57DF2">
            <w:pPr>
              <w:pStyle w:val="Tabletext"/>
            </w:pPr>
          </w:p>
        </w:tc>
        <w:tc>
          <w:tcPr>
            <w:tcW w:w="1232" w:type="dxa"/>
          </w:tcPr>
          <w:p w14:paraId="0964D7CE" w14:textId="77777777" w:rsidR="00166BBE" w:rsidRPr="00A63397" w:rsidRDefault="00166BBE" w:rsidP="00B57DF2">
            <w:pPr>
              <w:pStyle w:val="Tabletext"/>
            </w:pPr>
            <w:r w:rsidRPr="00A63397">
              <w:t>4.1.1.2</w:t>
            </w:r>
          </w:p>
        </w:tc>
      </w:tr>
      <w:tr w:rsidR="00A63397" w:rsidRPr="00A63397" w14:paraId="327482C0" w14:textId="77777777" w:rsidTr="003943DE">
        <w:tc>
          <w:tcPr>
            <w:tcW w:w="2382" w:type="dxa"/>
          </w:tcPr>
          <w:p w14:paraId="2FAB85C5" w14:textId="77777777" w:rsidR="00166BBE" w:rsidRPr="00B57DF2" w:rsidRDefault="00166BBE" w:rsidP="00B57DF2">
            <w:pPr>
              <w:pStyle w:val="Tabletext"/>
            </w:pPr>
          </w:p>
        </w:tc>
        <w:tc>
          <w:tcPr>
            <w:tcW w:w="2993" w:type="dxa"/>
          </w:tcPr>
          <w:p w14:paraId="6237A204" w14:textId="11CD1529" w:rsidR="00166BBE" w:rsidRPr="00B57DF2" w:rsidRDefault="00166BBE" w:rsidP="00B57DF2">
            <w:pPr>
              <w:pStyle w:val="Tabletext"/>
            </w:pPr>
            <w:r w:rsidRPr="00B57DF2">
              <w:t>Proportion of young people engaged in full</w:t>
            </w:r>
            <w:r w:rsidR="00C237F4">
              <w:t>-</w:t>
            </w:r>
            <w:r w:rsidRPr="00B57DF2">
              <w:t>time education and/or work</w:t>
            </w:r>
          </w:p>
        </w:tc>
        <w:tc>
          <w:tcPr>
            <w:tcW w:w="4363" w:type="dxa"/>
          </w:tcPr>
          <w:p w14:paraId="0B4F704A" w14:textId="1794EA30" w:rsidR="00166BBE" w:rsidRPr="00B57DF2" w:rsidRDefault="00166BBE" w:rsidP="00B57DF2">
            <w:pPr>
              <w:pStyle w:val="Tabletext"/>
            </w:pPr>
            <w:r w:rsidRPr="00B57DF2">
              <w:t>Proportion of young people 17–24 years who are engaged in full</w:t>
            </w:r>
            <w:r w:rsidR="00C237F4">
              <w:t>-</w:t>
            </w:r>
            <w:r w:rsidRPr="00B57DF2">
              <w:t>time education and/or work</w:t>
            </w:r>
          </w:p>
        </w:tc>
        <w:tc>
          <w:tcPr>
            <w:tcW w:w="1388" w:type="dxa"/>
          </w:tcPr>
          <w:p w14:paraId="01936B87" w14:textId="77777777" w:rsidR="00166BBE" w:rsidRPr="00A63397" w:rsidRDefault="00166BBE" w:rsidP="00B57DF2">
            <w:pPr>
              <w:pStyle w:val="Tabletext"/>
            </w:pPr>
            <w:r w:rsidRPr="00A63397">
              <w:t>ABS</w:t>
            </w:r>
          </w:p>
        </w:tc>
        <w:tc>
          <w:tcPr>
            <w:tcW w:w="1918" w:type="dxa"/>
          </w:tcPr>
          <w:p w14:paraId="0F90C6B4" w14:textId="77777777" w:rsidR="00166BBE" w:rsidRPr="00B57DF2" w:rsidRDefault="00166BBE" w:rsidP="00B57DF2">
            <w:pPr>
              <w:pStyle w:val="Tabletext"/>
            </w:pPr>
          </w:p>
        </w:tc>
        <w:tc>
          <w:tcPr>
            <w:tcW w:w="1232" w:type="dxa"/>
          </w:tcPr>
          <w:p w14:paraId="4023A4C2" w14:textId="77777777" w:rsidR="00166BBE" w:rsidRPr="00A63397" w:rsidRDefault="00166BBE" w:rsidP="00B57DF2">
            <w:pPr>
              <w:pStyle w:val="Tabletext"/>
            </w:pPr>
            <w:r w:rsidRPr="00A63397">
              <w:t>4.1.1.3</w:t>
            </w:r>
          </w:p>
        </w:tc>
      </w:tr>
    </w:tbl>
    <w:p w14:paraId="3AC8E0DC" w14:textId="066A569E" w:rsidR="00166BBE" w:rsidRPr="002B5E4B" w:rsidRDefault="00166BBE" w:rsidP="00166BBE">
      <w:pPr>
        <w:spacing w:before="120"/>
        <w:rPr>
          <w:rFonts w:cs="Arial"/>
          <w:b/>
          <w:bCs/>
          <w:szCs w:val="21"/>
        </w:rPr>
      </w:pPr>
    </w:p>
    <w:p w14:paraId="4C17BA5B" w14:textId="263E634D" w:rsidR="004709A9" w:rsidRDefault="004709A9" w:rsidP="00482D98">
      <w:pPr>
        <w:pStyle w:val="Tablecaption"/>
      </w:pPr>
      <w:r>
        <w:t xml:space="preserve">Table </w:t>
      </w:r>
      <w:r>
        <w:fldChar w:fldCharType="begin"/>
      </w:r>
      <w:r>
        <w:instrText xml:space="preserve"> SEQ Table \* ARABIC </w:instrText>
      </w:r>
      <w:r>
        <w:fldChar w:fldCharType="separate"/>
      </w:r>
      <w:r w:rsidR="00B035D1">
        <w:rPr>
          <w:noProof/>
        </w:rPr>
        <w:t>12</w:t>
      </w:r>
      <w:r>
        <w:fldChar w:fldCharType="end"/>
      </w:r>
      <w:r>
        <w:t xml:space="preserve">. </w:t>
      </w:r>
      <w:r w:rsidRPr="004E3C2A">
        <w:t>Outcome 4.2: Victorians have financial security</w:t>
      </w:r>
    </w:p>
    <w:tbl>
      <w:tblPr>
        <w:tblStyle w:val="TableGridLight"/>
        <w:tblW w:w="0" w:type="auto"/>
        <w:tblLook w:val="04A0" w:firstRow="1" w:lastRow="0" w:firstColumn="1" w:lastColumn="0" w:noHBand="0" w:noVBand="1"/>
      </w:tblPr>
      <w:tblGrid>
        <w:gridCol w:w="2373"/>
        <w:gridCol w:w="2986"/>
        <w:gridCol w:w="4365"/>
        <w:gridCol w:w="1395"/>
        <w:gridCol w:w="1925"/>
        <w:gridCol w:w="1232"/>
      </w:tblGrid>
      <w:tr w:rsidR="001B5348" w:rsidRPr="001B5348" w14:paraId="1300257D" w14:textId="77777777" w:rsidTr="003F37DD">
        <w:trPr>
          <w:trHeight w:val="336"/>
          <w:tblHeader/>
        </w:trPr>
        <w:tc>
          <w:tcPr>
            <w:tcW w:w="2373" w:type="dxa"/>
            <w:shd w:val="clear" w:color="auto" w:fill="C00000"/>
            <w:vAlign w:val="center"/>
          </w:tcPr>
          <w:p w14:paraId="47671AFC" w14:textId="77777777" w:rsidR="00166BBE" w:rsidRPr="003F37DD" w:rsidRDefault="00166BBE" w:rsidP="003F37DD">
            <w:pPr>
              <w:pStyle w:val="Tablecolhead"/>
              <w:rPr>
                <w:b w:val="0"/>
                <w:color w:val="FFFFFF" w:themeColor="background1"/>
              </w:rPr>
            </w:pPr>
            <w:r w:rsidRPr="00B57DF2">
              <w:rPr>
                <w:color w:val="FFFFFF" w:themeColor="background1"/>
              </w:rPr>
              <w:t>Indicator</w:t>
            </w:r>
          </w:p>
        </w:tc>
        <w:tc>
          <w:tcPr>
            <w:tcW w:w="2986" w:type="dxa"/>
            <w:shd w:val="clear" w:color="auto" w:fill="C00000"/>
            <w:vAlign w:val="center"/>
          </w:tcPr>
          <w:p w14:paraId="5982FED3" w14:textId="77777777" w:rsidR="00166BBE" w:rsidRPr="003F37DD" w:rsidRDefault="00166BBE" w:rsidP="003F37DD">
            <w:pPr>
              <w:pStyle w:val="Tablecolhead"/>
              <w:rPr>
                <w:b w:val="0"/>
                <w:color w:val="FFFFFF" w:themeColor="background1"/>
              </w:rPr>
            </w:pPr>
            <w:r w:rsidRPr="003F37DD">
              <w:rPr>
                <w:color w:val="FFFFFF" w:themeColor="background1"/>
              </w:rPr>
              <w:t>Measure</w:t>
            </w:r>
          </w:p>
        </w:tc>
        <w:tc>
          <w:tcPr>
            <w:tcW w:w="4365" w:type="dxa"/>
            <w:shd w:val="clear" w:color="auto" w:fill="C00000"/>
            <w:vAlign w:val="center"/>
          </w:tcPr>
          <w:p w14:paraId="1176D739" w14:textId="77777777" w:rsidR="00166BBE" w:rsidRPr="003F37DD" w:rsidRDefault="00166BBE" w:rsidP="003F37DD">
            <w:pPr>
              <w:pStyle w:val="Tablecolhead"/>
              <w:rPr>
                <w:b w:val="0"/>
                <w:color w:val="FFFFFF" w:themeColor="background1"/>
              </w:rPr>
            </w:pPr>
            <w:r w:rsidRPr="003F37DD">
              <w:rPr>
                <w:color w:val="FFFFFF" w:themeColor="background1"/>
              </w:rPr>
              <w:t>Measure detail</w:t>
            </w:r>
          </w:p>
        </w:tc>
        <w:tc>
          <w:tcPr>
            <w:tcW w:w="1395" w:type="dxa"/>
            <w:shd w:val="clear" w:color="auto" w:fill="C00000"/>
            <w:vAlign w:val="center"/>
          </w:tcPr>
          <w:p w14:paraId="172B4EC5" w14:textId="77777777" w:rsidR="00166BBE" w:rsidRPr="000806C7" w:rsidRDefault="00166BBE" w:rsidP="003F37DD">
            <w:pPr>
              <w:pStyle w:val="Tablecolhead"/>
              <w:rPr>
                <w:b w:val="0"/>
                <w:color w:val="FFFFFF" w:themeColor="background1"/>
              </w:rPr>
            </w:pPr>
            <w:r w:rsidRPr="000806C7">
              <w:rPr>
                <w:color w:val="FFFFFF" w:themeColor="background1"/>
              </w:rPr>
              <w:t>Source</w:t>
            </w:r>
          </w:p>
        </w:tc>
        <w:tc>
          <w:tcPr>
            <w:tcW w:w="1925" w:type="dxa"/>
            <w:shd w:val="clear" w:color="auto" w:fill="C00000"/>
            <w:vAlign w:val="center"/>
          </w:tcPr>
          <w:p w14:paraId="7379A3B8" w14:textId="77777777" w:rsidR="00166BBE" w:rsidRPr="000806C7" w:rsidRDefault="00166BBE" w:rsidP="003F37DD">
            <w:pPr>
              <w:pStyle w:val="Tablecolhead"/>
              <w:rPr>
                <w:b w:val="0"/>
                <w:color w:val="FFFFFF" w:themeColor="background1"/>
              </w:rPr>
            </w:pPr>
            <w:r w:rsidRPr="000806C7">
              <w:rPr>
                <w:color w:val="FFFFFF" w:themeColor="background1"/>
              </w:rPr>
              <w:t>Target</w:t>
            </w:r>
          </w:p>
        </w:tc>
        <w:tc>
          <w:tcPr>
            <w:tcW w:w="1232" w:type="dxa"/>
            <w:shd w:val="clear" w:color="auto" w:fill="C00000"/>
            <w:vAlign w:val="center"/>
          </w:tcPr>
          <w:p w14:paraId="1C8AC6FA" w14:textId="77777777" w:rsidR="00166BBE" w:rsidRPr="000806C7" w:rsidRDefault="00166BBE" w:rsidP="003F37DD">
            <w:pPr>
              <w:pStyle w:val="Tablecolhead"/>
              <w:rPr>
                <w:b w:val="0"/>
                <w:color w:val="FFFFFF" w:themeColor="background1"/>
              </w:rPr>
            </w:pPr>
            <w:r w:rsidRPr="000806C7">
              <w:rPr>
                <w:color w:val="FFFFFF" w:themeColor="background1"/>
              </w:rPr>
              <w:t>Reference</w:t>
            </w:r>
          </w:p>
        </w:tc>
      </w:tr>
      <w:tr w:rsidR="00166BBE" w:rsidRPr="00CC0FEC" w14:paraId="5BE428A3" w14:textId="77777777" w:rsidTr="003F37DD">
        <w:tc>
          <w:tcPr>
            <w:tcW w:w="2373" w:type="dxa"/>
          </w:tcPr>
          <w:p w14:paraId="07AAD686" w14:textId="77777777" w:rsidR="00166BBE" w:rsidRPr="00CC0FEC" w:rsidRDefault="00166BBE" w:rsidP="000806C7">
            <w:pPr>
              <w:pStyle w:val="Tabletext"/>
            </w:pPr>
            <w:r w:rsidRPr="00CC0FEC">
              <w:t>Decrease financial stress</w:t>
            </w:r>
          </w:p>
        </w:tc>
        <w:tc>
          <w:tcPr>
            <w:tcW w:w="2986" w:type="dxa"/>
          </w:tcPr>
          <w:p w14:paraId="3FF4894E" w14:textId="77777777" w:rsidR="00166BBE" w:rsidRPr="00CC0FEC" w:rsidRDefault="00166BBE" w:rsidP="000806C7">
            <w:pPr>
              <w:pStyle w:val="Tabletext"/>
              <w:rPr>
                <w:bCs/>
              </w:rPr>
            </w:pPr>
            <w:r w:rsidRPr="00CC0FEC">
              <w:rPr>
                <w:bCs/>
              </w:rPr>
              <w:t>Proportion of adults and children who ran out of food and could not afford to buy more</w:t>
            </w:r>
          </w:p>
        </w:tc>
        <w:tc>
          <w:tcPr>
            <w:tcW w:w="4365" w:type="dxa"/>
          </w:tcPr>
          <w:p w14:paraId="0B42C9B1" w14:textId="51F7D3DA" w:rsidR="00166BBE" w:rsidRPr="00CC0FEC" w:rsidRDefault="00166BBE" w:rsidP="000806C7">
            <w:pPr>
              <w:pStyle w:val="Tabletext"/>
              <w:rPr>
                <w:bCs/>
              </w:rPr>
            </w:pPr>
            <w:r w:rsidRPr="00CC0FEC">
              <w:rPr>
                <w:bCs/>
              </w:rPr>
              <w:t>Proportion of adults who ran out of food and could not afford to buy more</w:t>
            </w:r>
          </w:p>
        </w:tc>
        <w:tc>
          <w:tcPr>
            <w:tcW w:w="1395" w:type="dxa"/>
          </w:tcPr>
          <w:p w14:paraId="1C4042E6" w14:textId="77777777" w:rsidR="00166BBE" w:rsidRPr="00CC0FEC" w:rsidRDefault="00166BBE" w:rsidP="000806C7">
            <w:pPr>
              <w:pStyle w:val="Tabletext"/>
              <w:rPr>
                <w:bCs/>
              </w:rPr>
            </w:pPr>
            <w:r>
              <w:rPr>
                <w:bCs/>
              </w:rPr>
              <w:t>VPHS</w:t>
            </w:r>
          </w:p>
        </w:tc>
        <w:tc>
          <w:tcPr>
            <w:tcW w:w="1925" w:type="dxa"/>
          </w:tcPr>
          <w:p w14:paraId="685342DA" w14:textId="77777777" w:rsidR="00166BBE" w:rsidRPr="00CC0FEC" w:rsidRDefault="00166BBE" w:rsidP="000806C7">
            <w:pPr>
              <w:pStyle w:val="Tabletext"/>
              <w:rPr>
                <w:bCs/>
              </w:rPr>
            </w:pPr>
          </w:p>
        </w:tc>
        <w:tc>
          <w:tcPr>
            <w:tcW w:w="1232" w:type="dxa"/>
          </w:tcPr>
          <w:p w14:paraId="5D38821B" w14:textId="77777777" w:rsidR="00166BBE" w:rsidRPr="00CC0FEC" w:rsidRDefault="00166BBE" w:rsidP="000806C7">
            <w:pPr>
              <w:pStyle w:val="Tabletext"/>
              <w:rPr>
                <w:bCs/>
              </w:rPr>
            </w:pPr>
            <w:r>
              <w:rPr>
                <w:bCs/>
              </w:rPr>
              <w:t>4.2.1.1</w:t>
            </w:r>
          </w:p>
        </w:tc>
      </w:tr>
      <w:tr w:rsidR="00166BBE" w:rsidRPr="00CC0FEC" w14:paraId="61C40ECB" w14:textId="77777777" w:rsidTr="003F37DD">
        <w:tc>
          <w:tcPr>
            <w:tcW w:w="2373" w:type="dxa"/>
          </w:tcPr>
          <w:p w14:paraId="5AF7E575" w14:textId="77777777" w:rsidR="00166BBE" w:rsidRPr="00CC0FEC" w:rsidRDefault="00166BBE" w:rsidP="00482D98">
            <w:pPr>
              <w:pStyle w:val="Tabletext"/>
              <w:rPr>
                <w:bCs/>
              </w:rPr>
            </w:pPr>
          </w:p>
        </w:tc>
        <w:tc>
          <w:tcPr>
            <w:tcW w:w="2986" w:type="dxa"/>
          </w:tcPr>
          <w:p w14:paraId="732A9716" w14:textId="77777777" w:rsidR="00166BBE" w:rsidRPr="000E2FB0" w:rsidRDefault="00166BBE" w:rsidP="00482D98">
            <w:pPr>
              <w:pStyle w:val="Tabletext"/>
              <w:rPr>
                <w:bCs/>
              </w:rPr>
            </w:pPr>
          </w:p>
        </w:tc>
        <w:tc>
          <w:tcPr>
            <w:tcW w:w="4365" w:type="dxa"/>
          </w:tcPr>
          <w:p w14:paraId="43F3222D" w14:textId="77777777" w:rsidR="00166BBE" w:rsidRPr="000E2FB0" w:rsidRDefault="00166BBE" w:rsidP="00482D98">
            <w:pPr>
              <w:pStyle w:val="Tabletext"/>
              <w:rPr>
                <w:bCs/>
              </w:rPr>
            </w:pPr>
            <w:r w:rsidRPr="000E2FB0">
              <w:rPr>
                <w:bCs/>
              </w:rPr>
              <w:t>Proportion of children 0–12 years living in households that ran out of food and could not afford to buy more</w:t>
            </w:r>
          </w:p>
        </w:tc>
        <w:tc>
          <w:tcPr>
            <w:tcW w:w="1395" w:type="dxa"/>
          </w:tcPr>
          <w:p w14:paraId="6172E380" w14:textId="77777777" w:rsidR="00166BBE" w:rsidRPr="000E2FB0" w:rsidRDefault="00166BBE" w:rsidP="00482D98">
            <w:pPr>
              <w:pStyle w:val="Tabletext"/>
              <w:rPr>
                <w:bCs/>
              </w:rPr>
            </w:pPr>
            <w:r w:rsidRPr="000E2FB0">
              <w:rPr>
                <w:bCs/>
              </w:rPr>
              <w:t>VCHWS</w:t>
            </w:r>
          </w:p>
        </w:tc>
        <w:tc>
          <w:tcPr>
            <w:tcW w:w="1925" w:type="dxa"/>
          </w:tcPr>
          <w:p w14:paraId="0F8E8676" w14:textId="77777777" w:rsidR="00166BBE" w:rsidRPr="00CC0FEC" w:rsidRDefault="00166BBE" w:rsidP="00482D98">
            <w:pPr>
              <w:pStyle w:val="Tabletext"/>
              <w:rPr>
                <w:bCs/>
              </w:rPr>
            </w:pPr>
          </w:p>
        </w:tc>
        <w:tc>
          <w:tcPr>
            <w:tcW w:w="1232" w:type="dxa"/>
          </w:tcPr>
          <w:p w14:paraId="69C911FD" w14:textId="77777777" w:rsidR="00166BBE" w:rsidRPr="00CC0FEC" w:rsidRDefault="00166BBE" w:rsidP="00482D98">
            <w:pPr>
              <w:pStyle w:val="Tabletext"/>
              <w:rPr>
                <w:bCs/>
              </w:rPr>
            </w:pPr>
            <w:r>
              <w:rPr>
                <w:bCs/>
              </w:rPr>
              <w:t>4.2.1.2</w:t>
            </w:r>
          </w:p>
        </w:tc>
      </w:tr>
      <w:tr w:rsidR="00166BBE" w:rsidRPr="00CC0FEC" w14:paraId="09DC0B53" w14:textId="77777777" w:rsidTr="003F37DD">
        <w:tc>
          <w:tcPr>
            <w:tcW w:w="2373" w:type="dxa"/>
          </w:tcPr>
          <w:p w14:paraId="39787390" w14:textId="77777777" w:rsidR="00166BBE" w:rsidRPr="00CC0FEC" w:rsidRDefault="00166BBE" w:rsidP="00482D98">
            <w:pPr>
              <w:pStyle w:val="Tabletext"/>
              <w:rPr>
                <w:bCs/>
              </w:rPr>
            </w:pPr>
          </w:p>
        </w:tc>
        <w:tc>
          <w:tcPr>
            <w:tcW w:w="2986" w:type="dxa"/>
          </w:tcPr>
          <w:p w14:paraId="5CF631C7" w14:textId="77777777" w:rsidR="00166BBE" w:rsidRPr="000E2FB0" w:rsidRDefault="00166BBE" w:rsidP="00482D98">
            <w:pPr>
              <w:pStyle w:val="Tabletext"/>
              <w:rPr>
                <w:bCs/>
              </w:rPr>
            </w:pPr>
            <w:r w:rsidRPr="000E2FB0">
              <w:rPr>
                <w:rFonts w:eastAsia="Arial"/>
              </w:rPr>
              <w:t>Percentage of the population in relative income poverty</w:t>
            </w:r>
          </w:p>
        </w:tc>
        <w:tc>
          <w:tcPr>
            <w:tcW w:w="4365" w:type="dxa"/>
          </w:tcPr>
          <w:p w14:paraId="6BE090A8" w14:textId="72556C2C" w:rsidR="00166BBE" w:rsidRPr="000E2FB0" w:rsidRDefault="00166BBE" w:rsidP="00482D98">
            <w:pPr>
              <w:pStyle w:val="Tabletext"/>
              <w:rPr>
                <w:bCs/>
              </w:rPr>
            </w:pPr>
            <w:r w:rsidRPr="000E2FB0">
              <w:rPr>
                <w:bCs/>
              </w:rPr>
              <w:t>Proportion of people living in households below the 50</w:t>
            </w:r>
            <w:r w:rsidR="003A249A">
              <w:rPr>
                <w:bCs/>
              </w:rPr>
              <w:t xml:space="preserve"> percent</w:t>
            </w:r>
            <w:r w:rsidRPr="000E2FB0">
              <w:rPr>
                <w:bCs/>
              </w:rPr>
              <w:t xml:space="preserve"> poverty line</w:t>
            </w:r>
          </w:p>
        </w:tc>
        <w:tc>
          <w:tcPr>
            <w:tcW w:w="1395" w:type="dxa"/>
          </w:tcPr>
          <w:p w14:paraId="211A766B" w14:textId="77777777" w:rsidR="00166BBE" w:rsidRPr="000E2FB0" w:rsidRDefault="00166BBE" w:rsidP="00482D98">
            <w:pPr>
              <w:pStyle w:val="Tabletext"/>
              <w:rPr>
                <w:bCs/>
              </w:rPr>
            </w:pPr>
            <w:r w:rsidRPr="000E2FB0">
              <w:rPr>
                <w:bCs/>
              </w:rPr>
              <w:t>HILDA</w:t>
            </w:r>
          </w:p>
        </w:tc>
        <w:tc>
          <w:tcPr>
            <w:tcW w:w="1925" w:type="dxa"/>
          </w:tcPr>
          <w:p w14:paraId="0F3DA43E" w14:textId="77777777" w:rsidR="00166BBE" w:rsidRPr="00CC0FEC" w:rsidRDefault="00166BBE" w:rsidP="00482D98">
            <w:pPr>
              <w:pStyle w:val="Tabletext"/>
              <w:rPr>
                <w:bCs/>
              </w:rPr>
            </w:pPr>
          </w:p>
        </w:tc>
        <w:tc>
          <w:tcPr>
            <w:tcW w:w="1232" w:type="dxa"/>
          </w:tcPr>
          <w:p w14:paraId="4AD288EF" w14:textId="77777777" w:rsidR="00166BBE" w:rsidRPr="00CC0FEC" w:rsidRDefault="00166BBE" w:rsidP="00482D98">
            <w:pPr>
              <w:pStyle w:val="Tabletext"/>
              <w:rPr>
                <w:bCs/>
              </w:rPr>
            </w:pPr>
            <w:r>
              <w:rPr>
                <w:bCs/>
              </w:rPr>
              <w:t>4.2.1.3</w:t>
            </w:r>
          </w:p>
        </w:tc>
      </w:tr>
      <w:tr w:rsidR="00166BBE" w:rsidRPr="00CC0FEC" w14:paraId="65BFF8E3" w14:textId="77777777" w:rsidTr="003F37DD">
        <w:tc>
          <w:tcPr>
            <w:tcW w:w="2373" w:type="dxa"/>
          </w:tcPr>
          <w:p w14:paraId="59AB221A" w14:textId="77777777" w:rsidR="00166BBE" w:rsidRPr="00CC0FEC" w:rsidRDefault="00166BBE" w:rsidP="00482D98">
            <w:pPr>
              <w:pStyle w:val="Tabletext"/>
              <w:rPr>
                <w:bCs/>
              </w:rPr>
            </w:pPr>
          </w:p>
        </w:tc>
        <w:tc>
          <w:tcPr>
            <w:tcW w:w="2986" w:type="dxa"/>
          </w:tcPr>
          <w:p w14:paraId="15482D11" w14:textId="77777777" w:rsidR="00166BBE" w:rsidRPr="00CC0FEC" w:rsidRDefault="00166BBE" w:rsidP="00482D98">
            <w:pPr>
              <w:pStyle w:val="Tabletext"/>
              <w:rPr>
                <w:bCs/>
              </w:rPr>
            </w:pPr>
            <w:r w:rsidRPr="007C5BA6">
              <w:rPr>
                <w:rFonts w:eastAsia="Arial"/>
              </w:rPr>
              <w:t>Housing purchase or rental affordability</w:t>
            </w:r>
          </w:p>
        </w:tc>
        <w:tc>
          <w:tcPr>
            <w:tcW w:w="4365" w:type="dxa"/>
          </w:tcPr>
          <w:p w14:paraId="0CF5B50E" w14:textId="4198FDBE" w:rsidR="00166BBE" w:rsidRPr="00CC0FEC" w:rsidRDefault="00166BBE" w:rsidP="00482D98">
            <w:pPr>
              <w:pStyle w:val="Tabletext"/>
              <w:rPr>
                <w:bCs/>
              </w:rPr>
            </w:pPr>
            <w:r w:rsidRPr="00CC0FEC">
              <w:rPr>
                <w:bCs/>
              </w:rPr>
              <w:t>Proportion of households with housing costs that represent 30</w:t>
            </w:r>
            <w:r w:rsidR="003A249A">
              <w:rPr>
                <w:bCs/>
              </w:rPr>
              <w:t xml:space="preserve"> percent</w:t>
            </w:r>
            <w:r w:rsidRPr="00CC0FEC">
              <w:rPr>
                <w:bCs/>
              </w:rPr>
              <w:t xml:space="preserve"> or more of household gross income</w:t>
            </w:r>
          </w:p>
        </w:tc>
        <w:tc>
          <w:tcPr>
            <w:tcW w:w="1395" w:type="dxa"/>
          </w:tcPr>
          <w:p w14:paraId="492F7F53" w14:textId="77777777" w:rsidR="00166BBE" w:rsidRPr="00CC0FEC" w:rsidRDefault="00166BBE" w:rsidP="00482D98">
            <w:pPr>
              <w:pStyle w:val="Tabletext"/>
              <w:rPr>
                <w:bCs/>
              </w:rPr>
            </w:pPr>
            <w:r>
              <w:rPr>
                <w:bCs/>
              </w:rPr>
              <w:t>ABS</w:t>
            </w:r>
          </w:p>
        </w:tc>
        <w:tc>
          <w:tcPr>
            <w:tcW w:w="1925" w:type="dxa"/>
          </w:tcPr>
          <w:p w14:paraId="3E34778F" w14:textId="77777777" w:rsidR="00166BBE" w:rsidRPr="00CC0FEC" w:rsidRDefault="00166BBE" w:rsidP="00482D98">
            <w:pPr>
              <w:pStyle w:val="Tabletext"/>
              <w:rPr>
                <w:bCs/>
              </w:rPr>
            </w:pPr>
          </w:p>
        </w:tc>
        <w:tc>
          <w:tcPr>
            <w:tcW w:w="1232" w:type="dxa"/>
          </w:tcPr>
          <w:p w14:paraId="7DDB6BB5" w14:textId="77777777" w:rsidR="00166BBE" w:rsidRPr="00CC0FEC" w:rsidRDefault="00166BBE" w:rsidP="00482D98">
            <w:pPr>
              <w:pStyle w:val="Tabletext"/>
              <w:rPr>
                <w:bCs/>
              </w:rPr>
            </w:pPr>
            <w:r>
              <w:rPr>
                <w:bCs/>
              </w:rPr>
              <w:t>4.2.1.4</w:t>
            </w:r>
          </w:p>
        </w:tc>
      </w:tr>
      <w:tr w:rsidR="00166BBE" w:rsidRPr="00CC0FEC" w14:paraId="19D078CE" w14:textId="77777777" w:rsidTr="003F37DD">
        <w:tc>
          <w:tcPr>
            <w:tcW w:w="2373" w:type="dxa"/>
          </w:tcPr>
          <w:p w14:paraId="10BBF94E" w14:textId="77777777" w:rsidR="00166BBE" w:rsidRPr="00CC0FEC" w:rsidRDefault="00166BBE" w:rsidP="00482D98">
            <w:pPr>
              <w:pStyle w:val="Tabletext"/>
              <w:rPr>
                <w:bCs/>
              </w:rPr>
            </w:pPr>
          </w:p>
        </w:tc>
        <w:tc>
          <w:tcPr>
            <w:tcW w:w="2986" w:type="dxa"/>
          </w:tcPr>
          <w:p w14:paraId="1657DAD6" w14:textId="77777777" w:rsidR="00166BBE" w:rsidRPr="007C5BA6" w:rsidRDefault="00166BBE" w:rsidP="00482D98">
            <w:pPr>
              <w:pStyle w:val="Tabletext"/>
              <w:rPr>
                <w:bCs/>
              </w:rPr>
            </w:pPr>
          </w:p>
        </w:tc>
        <w:tc>
          <w:tcPr>
            <w:tcW w:w="4365" w:type="dxa"/>
          </w:tcPr>
          <w:p w14:paraId="437311BE" w14:textId="6A60E82F" w:rsidR="00166BBE" w:rsidRPr="00A3393D" w:rsidRDefault="00166BBE" w:rsidP="00482D98">
            <w:pPr>
              <w:pStyle w:val="Tabletext"/>
              <w:rPr>
                <w:rFonts w:ascii="VIC" w:eastAsia="VIC" w:hAnsi="VIC" w:cs="VIC"/>
                <w:color w:val="000000" w:themeColor="text1"/>
              </w:rPr>
            </w:pPr>
            <w:r w:rsidRPr="00A3393D">
              <w:rPr>
                <w:rFonts w:eastAsia="Arial"/>
              </w:rPr>
              <w:t xml:space="preserve">Proportion of rental homes affordable to low income and </w:t>
            </w:r>
            <w:proofErr w:type="gramStart"/>
            <w:r w:rsidRPr="00A3393D">
              <w:rPr>
                <w:rFonts w:eastAsia="Arial"/>
              </w:rPr>
              <w:t>moderate income</w:t>
            </w:r>
            <w:proofErr w:type="gramEnd"/>
            <w:r w:rsidRPr="00A3393D">
              <w:rPr>
                <w:rFonts w:eastAsia="Arial"/>
              </w:rPr>
              <w:t xml:space="preserve"> Victorians (</w:t>
            </w:r>
            <w:r w:rsidR="007A482C">
              <w:rPr>
                <w:rFonts w:eastAsia="Arial"/>
              </w:rPr>
              <w:t>to be determined</w:t>
            </w:r>
            <w:r w:rsidRPr="00A3393D">
              <w:rPr>
                <w:rFonts w:eastAsia="Arial"/>
              </w:rPr>
              <w:t>)</w:t>
            </w:r>
          </w:p>
        </w:tc>
        <w:tc>
          <w:tcPr>
            <w:tcW w:w="1395" w:type="dxa"/>
          </w:tcPr>
          <w:p w14:paraId="307C833C" w14:textId="77777777" w:rsidR="00166BBE" w:rsidRPr="00CC0FEC" w:rsidRDefault="00166BBE" w:rsidP="00482D98">
            <w:pPr>
              <w:pStyle w:val="Tabletext"/>
              <w:rPr>
                <w:bCs/>
              </w:rPr>
            </w:pPr>
            <w:r>
              <w:rPr>
                <w:bCs/>
              </w:rPr>
              <w:t>tbc</w:t>
            </w:r>
          </w:p>
        </w:tc>
        <w:tc>
          <w:tcPr>
            <w:tcW w:w="1925" w:type="dxa"/>
          </w:tcPr>
          <w:p w14:paraId="33C36D23" w14:textId="77777777" w:rsidR="00166BBE" w:rsidRPr="00CC0FEC" w:rsidRDefault="00166BBE" w:rsidP="00482D98">
            <w:pPr>
              <w:pStyle w:val="Tabletext"/>
              <w:rPr>
                <w:bCs/>
              </w:rPr>
            </w:pPr>
          </w:p>
        </w:tc>
        <w:tc>
          <w:tcPr>
            <w:tcW w:w="1232" w:type="dxa"/>
          </w:tcPr>
          <w:p w14:paraId="6B3EB779" w14:textId="77777777" w:rsidR="00166BBE" w:rsidRDefault="00166BBE" w:rsidP="00482D98">
            <w:pPr>
              <w:pStyle w:val="Tabletext"/>
              <w:rPr>
                <w:bCs/>
              </w:rPr>
            </w:pPr>
            <w:r>
              <w:rPr>
                <w:bCs/>
              </w:rPr>
              <w:t>4.2.1.5</w:t>
            </w:r>
          </w:p>
          <w:p w14:paraId="60117C0A" w14:textId="715B078D" w:rsidR="00166BBE" w:rsidRPr="00555D9E" w:rsidRDefault="00166BBE" w:rsidP="00482D98">
            <w:pPr>
              <w:pStyle w:val="Tabletext"/>
              <w:rPr>
                <w:bCs/>
                <w:i/>
                <w:iCs/>
              </w:rPr>
            </w:pPr>
          </w:p>
        </w:tc>
      </w:tr>
      <w:tr w:rsidR="00166BBE" w:rsidRPr="00CC0FEC" w14:paraId="1148D4BC" w14:textId="77777777" w:rsidTr="003F37DD">
        <w:tc>
          <w:tcPr>
            <w:tcW w:w="2373" w:type="dxa"/>
          </w:tcPr>
          <w:p w14:paraId="6DB74343" w14:textId="77777777" w:rsidR="00166BBE" w:rsidRPr="00CC0FEC" w:rsidRDefault="00166BBE" w:rsidP="00482D98">
            <w:pPr>
              <w:pStyle w:val="Tabletext"/>
              <w:rPr>
                <w:bCs/>
              </w:rPr>
            </w:pPr>
          </w:p>
        </w:tc>
        <w:tc>
          <w:tcPr>
            <w:tcW w:w="2986" w:type="dxa"/>
          </w:tcPr>
          <w:p w14:paraId="2A9C45AC" w14:textId="77777777" w:rsidR="00166BBE" w:rsidRPr="00CC0FEC" w:rsidRDefault="00166BBE" w:rsidP="00482D98">
            <w:pPr>
              <w:pStyle w:val="Tabletext"/>
              <w:rPr>
                <w:bCs/>
              </w:rPr>
            </w:pPr>
            <w:r w:rsidRPr="00CC3DBF">
              <w:rPr>
                <w:rFonts w:eastAsia="Arial"/>
              </w:rPr>
              <w:t>Proportion of adults who participated in gambling activities in the last 12 months</w:t>
            </w:r>
          </w:p>
        </w:tc>
        <w:tc>
          <w:tcPr>
            <w:tcW w:w="4365" w:type="dxa"/>
          </w:tcPr>
          <w:p w14:paraId="4829935A" w14:textId="77777777" w:rsidR="00166BBE" w:rsidRPr="00CC3DBF" w:rsidRDefault="00166BBE" w:rsidP="00482D98">
            <w:pPr>
              <w:pStyle w:val="Tabletext"/>
              <w:rPr>
                <w:bCs/>
              </w:rPr>
            </w:pPr>
            <w:r w:rsidRPr="00CC3DBF">
              <w:rPr>
                <w:rFonts w:eastAsia="Arial"/>
              </w:rPr>
              <w:t>Proportion of adults who participated in gambling activities in the last 12 months</w:t>
            </w:r>
          </w:p>
        </w:tc>
        <w:tc>
          <w:tcPr>
            <w:tcW w:w="1395" w:type="dxa"/>
          </w:tcPr>
          <w:p w14:paraId="7E06C28D" w14:textId="77777777" w:rsidR="00166BBE" w:rsidRPr="00CC0FEC" w:rsidRDefault="00166BBE" w:rsidP="00482D98">
            <w:pPr>
              <w:pStyle w:val="Tabletext"/>
              <w:rPr>
                <w:bCs/>
              </w:rPr>
            </w:pPr>
            <w:r>
              <w:rPr>
                <w:bCs/>
              </w:rPr>
              <w:t>VPHS</w:t>
            </w:r>
          </w:p>
        </w:tc>
        <w:tc>
          <w:tcPr>
            <w:tcW w:w="1925" w:type="dxa"/>
          </w:tcPr>
          <w:p w14:paraId="646299C6" w14:textId="77777777" w:rsidR="00166BBE" w:rsidRPr="00CC0FEC" w:rsidRDefault="00166BBE" w:rsidP="00482D98">
            <w:pPr>
              <w:pStyle w:val="Tabletext"/>
              <w:rPr>
                <w:bCs/>
              </w:rPr>
            </w:pPr>
          </w:p>
        </w:tc>
        <w:tc>
          <w:tcPr>
            <w:tcW w:w="1232" w:type="dxa"/>
          </w:tcPr>
          <w:p w14:paraId="35B23931" w14:textId="77777777" w:rsidR="00166BBE" w:rsidRPr="00CC0FEC" w:rsidRDefault="00166BBE" w:rsidP="00482D98">
            <w:pPr>
              <w:pStyle w:val="Tabletext"/>
              <w:rPr>
                <w:bCs/>
              </w:rPr>
            </w:pPr>
            <w:r>
              <w:rPr>
                <w:bCs/>
              </w:rPr>
              <w:t>4.2.1.6</w:t>
            </w:r>
          </w:p>
        </w:tc>
      </w:tr>
    </w:tbl>
    <w:p w14:paraId="3215F229" w14:textId="30F5BBED" w:rsidR="00166BBE" w:rsidRPr="002B5E4B" w:rsidRDefault="00166BBE" w:rsidP="00166BBE">
      <w:pPr>
        <w:spacing w:before="120"/>
        <w:rPr>
          <w:rFonts w:eastAsia="VIC" w:cs="Arial"/>
          <w:b/>
          <w:bCs/>
          <w:szCs w:val="21"/>
        </w:rPr>
      </w:pPr>
    </w:p>
    <w:p w14:paraId="4E891A47" w14:textId="305D33CE" w:rsidR="00C4431B" w:rsidRDefault="00C4431B" w:rsidP="0022354B">
      <w:pPr>
        <w:pStyle w:val="Tablecaption"/>
      </w:pPr>
      <w:r>
        <w:t xml:space="preserve">Table </w:t>
      </w:r>
      <w:r>
        <w:fldChar w:fldCharType="begin"/>
      </w:r>
      <w:r>
        <w:instrText xml:space="preserve"> SEQ Table \* ARABIC </w:instrText>
      </w:r>
      <w:r>
        <w:fldChar w:fldCharType="separate"/>
      </w:r>
      <w:r w:rsidR="00B035D1">
        <w:rPr>
          <w:noProof/>
        </w:rPr>
        <w:t>13</w:t>
      </w:r>
      <w:r>
        <w:fldChar w:fldCharType="end"/>
      </w:r>
      <w:r>
        <w:t xml:space="preserve">. </w:t>
      </w:r>
      <w:r w:rsidRPr="00F03975">
        <w:t>Outcome 4.3: Victorians have suitable and stable housing</w:t>
      </w:r>
    </w:p>
    <w:tbl>
      <w:tblPr>
        <w:tblStyle w:val="TableGridLight"/>
        <w:tblW w:w="0" w:type="auto"/>
        <w:tblLook w:val="04A0" w:firstRow="1" w:lastRow="0" w:firstColumn="1" w:lastColumn="0" w:noHBand="0" w:noVBand="1"/>
      </w:tblPr>
      <w:tblGrid>
        <w:gridCol w:w="2047"/>
        <w:gridCol w:w="4940"/>
        <w:gridCol w:w="4271"/>
        <w:gridCol w:w="928"/>
        <w:gridCol w:w="858"/>
        <w:gridCol w:w="1232"/>
      </w:tblGrid>
      <w:tr w:rsidR="00956D41" w:rsidRPr="001B5348" w14:paraId="1BC7A7E3" w14:textId="77777777" w:rsidTr="00F82F6E">
        <w:trPr>
          <w:trHeight w:val="315"/>
          <w:tblHeader/>
        </w:trPr>
        <w:tc>
          <w:tcPr>
            <w:tcW w:w="0" w:type="auto"/>
            <w:shd w:val="clear" w:color="auto" w:fill="C00000"/>
            <w:vAlign w:val="center"/>
          </w:tcPr>
          <w:p w14:paraId="0EF7DBC6" w14:textId="77777777" w:rsidR="00166BBE" w:rsidRPr="00F82F6E" w:rsidRDefault="00166BBE" w:rsidP="00F82F6E">
            <w:pPr>
              <w:pStyle w:val="Tablecolhead"/>
              <w:rPr>
                <w:b w:val="0"/>
                <w:color w:val="FFFFFF" w:themeColor="background1"/>
              </w:rPr>
            </w:pPr>
            <w:r w:rsidRPr="009626EF">
              <w:rPr>
                <w:color w:val="FFFFFF" w:themeColor="background1"/>
              </w:rPr>
              <w:t>Indicator</w:t>
            </w:r>
          </w:p>
        </w:tc>
        <w:tc>
          <w:tcPr>
            <w:tcW w:w="0" w:type="auto"/>
            <w:shd w:val="clear" w:color="auto" w:fill="C00000"/>
            <w:vAlign w:val="center"/>
          </w:tcPr>
          <w:p w14:paraId="55B6FC57" w14:textId="77777777" w:rsidR="00166BBE" w:rsidRPr="0022354B" w:rsidRDefault="00166BBE" w:rsidP="00F82F6E">
            <w:pPr>
              <w:pStyle w:val="Tablecolhead"/>
              <w:rPr>
                <w:b w:val="0"/>
                <w:color w:val="FFFFFF" w:themeColor="background1"/>
              </w:rPr>
            </w:pPr>
            <w:r w:rsidRPr="0022354B">
              <w:rPr>
                <w:color w:val="FFFFFF" w:themeColor="background1"/>
              </w:rPr>
              <w:t>Measure</w:t>
            </w:r>
          </w:p>
        </w:tc>
        <w:tc>
          <w:tcPr>
            <w:tcW w:w="0" w:type="auto"/>
            <w:shd w:val="clear" w:color="auto" w:fill="C00000"/>
            <w:vAlign w:val="center"/>
          </w:tcPr>
          <w:p w14:paraId="67FB8565" w14:textId="77777777" w:rsidR="00166BBE" w:rsidRPr="0022354B" w:rsidRDefault="00166BBE" w:rsidP="00F82F6E">
            <w:pPr>
              <w:pStyle w:val="Tablecolhead"/>
              <w:rPr>
                <w:b w:val="0"/>
                <w:color w:val="FFFFFF" w:themeColor="background1"/>
              </w:rPr>
            </w:pPr>
            <w:r w:rsidRPr="0022354B">
              <w:rPr>
                <w:color w:val="FFFFFF" w:themeColor="background1"/>
              </w:rPr>
              <w:t>Measure detail</w:t>
            </w:r>
          </w:p>
        </w:tc>
        <w:tc>
          <w:tcPr>
            <w:tcW w:w="0" w:type="auto"/>
            <w:shd w:val="clear" w:color="auto" w:fill="C00000"/>
            <w:vAlign w:val="center"/>
          </w:tcPr>
          <w:p w14:paraId="37397432" w14:textId="77777777" w:rsidR="00166BBE" w:rsidRPr="0022354B" w:rsidRDefault="00166BBE" w:rsidP="00F82F6E">
            <w:pPr>
              <w:pStyle w:val="Tablecolhead"/>
              <w:rPr>
                <w:b w:val="0"/>
                <w:color w:val="FFFFFF" w:themeColor="background1"/>
              </w:rPr>
            </w:pPr>
            <w:r w:rsidRPr="0022354B">
              <w:rPr>
                <w:color w:val="FFFFFF" w:themeColor="background1"/>
              </w:rPr>
              <w:t>Source</w:t>
            </w:r>
          </w:p>
        </w:tc>
        <w:tc>
          <w:tcPr>
            <w:tcW w:w="0" w:type="auto"/>
            <w:shd w:val="clear" w:color="auto" w:fill="C00000"/>
            <w:vAlign w:val="center"/>
          </w:tcPr>
          <w:p w14:paraId="322B6959" w14:textId="77777777" w:rsidR="00166BBE" w:rsidRPr="0022354B" w:rsidRDefault="00166BBE" w:rsidP="00F82F6E">
            <w:pPr>
              <w:pStyle w:val="Tablecolhead"/>
              <w:rPr>
                <w:b w:val="0"/>
                <w:color w:val="FFFFFF" w:themeColor="background1"/>
              </w:rPr>
            </w:pPr>
            <w:r w:rsidRPr="0022354B">
              <w:rPr>
                <w:color w:val="FFFFFF" w:themeColor="background1"/>
              </w:rPr>
              <w:t>Target</w:t>
            </w:r>
          </w:p>
        </w:tc>
        <w:tc>
          <w:tcPr>
            <w:tcW w:w="0" w:type="auto"/>
            <w:shd w:val="clear" w:color="auto" w:fill="C00000"/>
            <w:vAlign w:val="center"/>
          </w:tcPr>
          <w:p w14:paraId="4675443D" w14:textId="77777777" w:rsidR="00166BBE" w:rsidRPr="0022354B" w:rsidRDefault="00166BBE" w:rsidP="00F82F6E">
            <w:pPr>
              <w:pStyle w:val="Tablecolhead"/>
              <w:rPr>
                <w:b w:val="0"/>
                <w:color w:val="FFFFFF" w:themeColor="background1"/>
              </w:rPr>
            </w:pPr>
            <w:r w:rsidRPr="0022354B">
              <w:rPr>
                <w:color w:val="FFFFFF" w:themeColor="background1"/>
              </w:rPr>
              <w:t>Reference</w:t>
            </w:r>
          </w:p>
        </w:tc>
      </w:tr>
      <w:tr w:rsidR="00777378" w:rsidRPr="00D46F16" w14:paraId="2BFB96CA" w14:textId="77777777" w:rsidTr="00F82F6E">
        <w:tc>
          <w:tcPr>
            <w:tcW w:w="0" w:type="auto"/>
          </w:tcPr>
          <w:p w14:paraId="55806D21" w14:textId="310DD0BE" w:rsidR="00166BBE" w:rsidRPr="00D46F16" w:rsidRDefault="00777378" w:rsidP="0022354B">
            <w:pPr>
              <w:pStyle w:val="Tabletext"/>
            </w:pPr>
            <w:r>
              <w:t>De</w:t>
            </w:r>
            <w:r w:rsidR="00166BBE" w:rsidRPr="00D46F16">
              <w:t xml:space="preserve">crease homelessness </w:t>
            </w:r>
          </w:p>
        </w:tc>
        <w:tc>
          <w:tcPr>
            <w:tcW w:w="0" w:type="auto"/>
          </w:tcPr>
          <w:p w14:paraId="3AE777A3" w14:textId="77777777" w:rsidR="00166BBE" w:rsidRPr="007B591E" w:rsidRDefault="00166BBE" w:rsidP="0022354B">
            <w:pPr>
              <w:pStyle w:val="Tabletext"/>
              <w:rPr>
                <w:bCs/>
              </w:rPr>
            </w:pPr>
            <w:r w:rsidRPr="007B591E">
              <w:rPr>
                <w:rFonts w:cs="Arial"/>
                <w:bCs/>
                <w:lang w:eastAsia="en-AU"/>
              </w:rPr>
              <w:t>Proportion of people who are homeless</w:t>
            </w:r>
          </w:p>
        </w:tc>
        <w:tc>
          <w:tcPr>
            <w:tcW w:w="0" w:type="auto"/>
          </w:tcPr>
          <w:p w14:paraId="5CE56A3A" w14:textId="77777777" w:rsidR="00166BBE" w:rsidRPr="00D46F16" w:rsidRDefault="00166BBE" w:rsidP="0022354B">
            <w:pPr>
              <w:pStyle w:val="Tabletext"/>
              <w:rPr>
                <w:bCs/>
              </w:rPr>
            </w:pPr>
            <w:r w:rsidRPr="00D46F16">
              <w:rPr>
                <w:rFonts w:cs="Arial"/>
                <w:bCs/>
                <w:lang w:eastAsia="en-AU"/>
              </w:rPr>
              <w:t>Proportion of people who meet the statistical definition of homelessness</w:t>
            </w:r>
          </w:p>
        </w:tc>
        <w:tc>
          <w:tcPr>
            <w:tcW w:w="0" w:type="auto"/>
          </w:tcPr>
          <w:p w14:paraId="68290DE2" w14:textId="77777777" w:rsidR="00166BBE" w:rsidRPr="00D46F16" w:rsidRDefault="00166BBE" w:rsidP="0022354B">
            <w:pPr>
              <w:pStyle w:val="Tabletext"/>
              <w:rPr>
                <w:bCs/>
              </w:rPr>
            </w:pPr>
            <w:r>
              <w:rPr>
                <w:bCs/>
              </w:rPr>
              <w:t>ABS</w:t>
            </w:r>
          </w:p>
        </w:tc>
        <w:tc>
          <w:tcPr>
            <w:tcW w:w="0" w:type="auto"/>
          </w:tcPr>
          <w:p w14:paraId="0A0676A4" w14:textId="77777777" w:rsidR="00166BBE" w:rsidRPr="00D46F16" w:rsidRDefault="00166BBE" w:rsidP="0022354B">
            <w:pPr>
              <w:pStyle w:val="Tabletext"/>
              <w:rPr>
                <w:bCs/>
              </w:rPr>
            </w:pPr>
          </w:p>
        </w:tc>
        <w:tc>
          <w:tcPr>
            <w:tcW w:w="0" w:type="auto"/>
          </w:tcPr>
          <w:p w14:paraId="35021565" w14:textId="77777777" w:rsidR="00166BBE" w:rsidRPr="00D46F16" w:rsidRDefault="00166BBE" w:rsidP="0022354B">
            <w:pPr>
              <w:pStyle w:val="Tabletext"/>
              <w:rPr>
                <w:bCs/>
              </w:rPr>
            </w:pPr>
            <w:r>
              <w:rPr>
                <w:bCs/>
              </w:rPr>
              <w:t>4.3.1.1</w:t>
            </w:r>
          </w:p>
        </w:tc>
      </w:tr>
      <w:tr w:rsidR="00777378" w:rsidRPr="00D46F16" w14:paraId="4A4F1DDA" w14:textId="77777777" w:rsidTr="00F82F6E">
        <w:tc>
          <w:tcPr>
            <w:tcW w:w="0" w:type="auto"/>
          </w:tcPr>
          <w:p w14:paraId="6DD487B7" w14:textId="77777777" w:rsidR="00166BBE" w:rsidRPr="00D46F16" w:rsidRDefault="00166BBE" w:rsidP="0022354B">
            <w:pPr>
              <w:pStyle w:val="Tabletext"/>
              <w:rPr>
                <w:bCs/>
              </w:rPr>
            </w:pPr>
          </w:p>
        </w:tc>
        <w:tc>
          <w:tcPr>
            <w:tcW w:w="0" w:type="auto"/>
          </w:tcPr>
          <w:p w14:paraId="0D676A80" w14:textId="1BEC28BB" w:rsidR="00166BBE" w:rsidRPr="007B591E" w:rsidRDefault="005D46BB" w:rsidP="0022354B">
            <w:pPr>
              <w:pStyle w:val="Tabletext"/>
              <w:rPr>
                <w:bCs/>
              </w:rPr>
            </w:pPr>
            <w:r w:rsidRPr="005D46BB">
              <w:rPr>
                <w:bCs/>
              </w:rPr>
              <w:t>Proportion of specialist homelessness services clients provided with accommodation</w:t>
            </w:r>
          </w:p>
        </w:tc>
        <w:tc>
          <w:tcPr>
            <w:tcW w:w="0" w:type="auto"/>
          </w:tcPr>
          <w:p w14:paraId="536D5D15" w14:textId="4DE35DCE" w:rsidR="00166BBE" w:rsidRPr="00D46F16" w:rsidRDefault="00CC0B7D" w:rsidP="0022354B">
            <w:pPr>
              <w:pStyle w:val="Tabletext"/>
              <w:rPr>
                <w:bCs/>
              </w:rPr>
            </w:pPr>
            <w:r>
              <w:rPr>
                <w:bCs/>
              </w:rPr>
              <w:t>To be reviewed</w:t>
            </w:r>
          </w:p>
        </w:tc>
        <w:tc>
          <w:tcPr>
            <w:tcW w:w="0" w:type="auto"/>
          </w:tcPr>
          <w:p w14:paraId="2598CB64" w14:textId="77777777" w:rsidR="00166BBE" w:rsidRPr="00D46F16" w:rsidRDefault="00166BBE" w:rsidP="0022354B">
            <w:pPr>
              <w:pStyle w:val="Tabletext"/>
              <w:rPr>
                <w:bCs/>
              </w:rPr>
            </w:pPr>
            <w:r w:rsidRPr="00980C50">
              <w:rPr>
                <w:bCs/>
              </w:rPr>
              <w:t>AIHW</w:t>
            </w:r>
          </w:p>
        </w:tc>
        <w:tc>
          <w:tcPr>
            <w:tcW w:w="0" w:type="auto"/>
          </w:tcPr>
          <w:p w14:paraId="71BF9038" w14:textId="77777777" w:rsidR="00166BBE" w:rsidRPr="00D46F16" w:rsidRDefault="00166BBE" w:rsidP="0022354B">
            <w:pPr>
              <w:pStyle w:val="Tabletext"/>
              <w:rPr>
                <w:bCs/>
              </w:rPr>
            </w:pPr>
          </w:p>
        </w:tc>
        <w:tc>
          <w:tcPr>
            <w:tcW w:w="0" w:type="auto"/>
          </w:tcPr>
          <w:p w14:paraId="5D0CACD4" w14:textId="77777777" w:rsidR="00166BBE" w:rsidRPr="00D46F16" w:rsidRDefault="00166BBE" w:rsidP="0022354B">
            <w:pPr>
              <w:pStyle w:val="Tabletext"/>
              <w:rPr>
                <w:bCs/>
              </w:rPr>
            </w:pPr>
            <w:r>
              <w:rPr>
                <w:bCs/>
              </w:rPr>
              <w:t>4.3.1.2</w:t>
            </w:r>
          </w:p>
        </w:tc>
      </w:tr>
      <w:tr w:rsidR="00777378" w:rsidRPr="00D46F16" w14:paraId="6878EB19" w14:textId="77777777" w:rsidTr="00F82F6E">
        <w:tc>
          <w:tcPr>
            <w:tcW w:w="0" w:type="auto"/>
          </w:tcPr>
          <w:p w14:paraId="5839100E" w14:textId="77777777" w:rsidR="00166BBE" w:rsidRPr="00D46F16" w:rsidRDefault="00166BBE" w:rsidP="0022354B">
            <w:pPr>
              <w:pStyle w:val="Tabletext"/>
              <w:rPr>
                <w:bCs/>
              </w:rPr>
            </w:pPr>
          </w:p>
        </w:tc>
        <w:tc>
          <w:tcPr>
            <w:tcW w:w="0" w:type="auto"/>
          </w:tcPr>
          <w:p w14:paraId="2029DD74" w14:textId="77777777" w:rsidR="00166BBE" w:rsidRPr="007B591E" w:rsidRDefault="00166BBE" w:rsidP="0022354B">
            <w:pPr>
              <w:pStyle w:val="Tabletext"/>
              <w:rPr>
                <w:rFonts w:cs="Arial"/>
                <w:bCs/>
              </w:rPr>
            </w:pPr>
            <w:r w:rsidRPr="007B591E">
              <w:rPr>
                <w:bCs/>
              </w:rPr>
              <w:t>Social housing availability</w:t>
            </w:r>
          </w:p>
        </w:tc>
        <w:tc>
          <w:tcPr>
            <w:tcW w:w="0" w:type="auto"/>
          </w:tcPr>
          <w:p w14:paraId="012161FE" w14:textId="77777777" w:rsidR="00166BBE" w:rsidRPr="00D46F16" w:rsidRDefault="00166BBE" w:rsidP="0022354B">
            <w:pPr>
              <w:pStyle w:val="Tabletext"/>
              <w:rPr>
                <w:bCs/>
              </w:rPr>
            </w:pPr>
            <w:r w:rsidRPr="00005F5A">
              <w:rPr>
                <w:bCs/>
              </w:rPr>
              <w:t>Number of social housing dwellings per 1,000 population</w:t>
            </w:r>
          </w:p>
        </w:tc>
        <w:tc>
          <w:tcPr>
            <w:tcW w:w="0" w:type="auto"/>
          </w:tcPr>
          <w:p w14:paraId="78B8FF3F" w14:textId="77777777" w:rsidR="00166BBE" w:rsidRPr="00D46F16" w:rsidRDefault="00166BBE" w:rsidP="0022354B">
            <w:pPr>
              <w:pStyle w:val="Tabletext"/>
              <w:rPr>
                <w:bCs/>
              </w:rPr>
            </w:pPr>
            <w:r>
              <w:rPr>
                <w:bCs/>
              </w:rPr>
              <w:t>DFFH</w:t>
            </w:r>
          </w:p>
        </w:tc>
        <w:tc>
          <w:tcPr>
            <w:tcW w:w="0" w:type="auto"/>
          </w:tcPr>
          <w:p w14:paraId="6C251A02" w14:textId="77777777" w:rsidR="00166BBE" w:rsidRPr="00D46F16" w:rsidRDefault="00166BBE" w:rsidP="0022354B">
            <w:pPr>
              <w:pStyle w:val="Tabletext"/>
              <w:rPr>
                <w:bCs/>
              </w:rPr>
            </w:pPr>
          </w:p>
        </w:tc>
        <w:tc>
          <w:tcPr>
            <w:tcW w:w="0" w:type="auto"/>
          </w:tcPr>
          <w:p w14:paraId="6663A959" w14:textId="77777777" w:rsidR="00166BBE" w:rsidRDefault="00166BBE" w:rsidP="0022354B">
            <w:pPr>
              <w:pStyle w:val="Tabletext"/>
            </w:pPr>
            <w:r>
              <w:t>4.3.1.3</w:t>
            </w:r>
          </w:p>
          <w:p w14:paraId="1864A775" w14:textId="4C3DA1EF" w:rsidR="00166BBE" w:rsidRPr="00555D9E" w:rsidRDefault="00166BBE" w:rsidP="0022354B">
            <w:pPr>
              <w:pStyle w:val="Tabletext"/>
              <w:rPr>
                <w:bCs/>
                <w:i/>
                <w:iCs/>
              </w:rPr>
            </w:pPr>
          </w:p>
        </w:tc>
      </w:tr>
    </w:tbl>
    <w:p w14:paraId="01E015BF" w14:textId="77777777" w:rsidR="00166BBE" w:rsidRDefault="00166BBE" w:rsidP="0022354B">
      <w:pPr>
        <w:pStyle w:val="Tabletext"/>
        <w:rPr>
          <w:color w:val="D50032"/>
        </w:rPr>
      </w:pPr>
    </w:p>
    <w:p w14:paraId="0CAEF6F0" w14:textId="77777777" w:rsidR="00166BBE" w:rsidRPr="00714824" w:rsidRDefault="00166BBE" w:rsidP="0022354B">
      <w:pPr>
        <w:pStyle w:val="Heading2"/>
        <w:rPr>
          <w:rFonts w:eastAsia="VIC"/>
          <w:b w:val="0"/>
          <w:bCs/>
        </w:rPr>
      </w:pPr>
      <w:bookmarkStart w:id="64" w:name="_Toc211959722"/>
      <w:r w:rsidRPr="00714824">
        <w:rPr>
          <w:rFonts w:eastAsia="VIC"/>
          <w:b w:val="0"/>
          <w:bCs/>
        </w:rPr>
        <w:lastRenderedPageBreak/>
        <w:t>Domain 5: Victorians have health-sustaining natural and built environments</w:t>
      </w:r>
      <w:bookmarkEnd w:id="64"/>
      <w:r w:rsidRPr="00714824">
        <w:rPr>
          <w:rFonts w:eastAsia="VIC"/>
          <w:b w:val="0"/>
          <w:bCs/>
        </w:rPr>
        <w:t xml:space="preserve"> </w:t>
      </w:r>
    </w:p>
    <w:p w14:paraId="650CFF3B" w14:textId="4E9A7406" w:rsidR="00B300C6" w:rsidRDefault="00B300C6" w:rsidP="0022354B">
      <w:pPr>
        <w:pStyle w:val="Tablecaption"/>
      </w:pPr>
      <w:r>
        <w:t xml:space="preserve">Table </w:t>
      </w:r>
      <w:r>
        <w:fldChar w:fldCharType="begin"/>
      </w:r>
      <w:r>
        <w:instrText xml:space="preserve"> SEQ Table \* ARABIC </w:instrText>
      </w:r>
      <w:r>
        <w:fldChar w:fldCharType="separate"/>
      </w:r>
      <w:r w:rsidR="00B035D1">
        <w:rPr>
          <w:noProof/>
        </w:rPr>
        <w:t>14</w:t>
      </w:r>
      <w:r>
        <w:fldChar w:fldCharType="end"/>
      </w:r>
      <w:r>
        <w:t xml:space="preserve">. </w:t>
      </w:r>
      <w:r w:rsidRPr="006F49F3">
        <w:t>Outcome 5.1: Victorians belong to resilient and liveable communities</w:t>
      </w:r>
    </w:p>
    <w:tbl>
      <w:tblPr>
        <w:tblStyle w:val="TableGridLight"/>
        <w:tblW w:w="14454" w:type="dxa"/>
        <w:tblLook w:val="04A0" w:firstRow="1" w:lastRow="0" w:firstColumn="1" w:lastColumn="0" w:noHBand="0" w:noVBand="1"/>
      </w:tblPr>
      <w:tblGrid>
        <w:gridCol w:w="3926"/>
        <w:gridCol w:w="4301"/>
        <w:gridCol w:w="2418"/>
        <w:gridCol w:w="1453"/>
        <w:gridCol w:w="858"/>
        <w:gridCol w:w="1498"/>
      </w:tblGrid>
      <w:tr w:rsidR="008D608E" w:rsidRPr="008D608E" w14:paraId="6E677391" w14:textId="77777777" w:rsidTr="00BF008A">
        <w:trPr>
          <w:trHeight w:val="197"/>
          <w:tblHeader/>
        </w:trPr>
        <w:tc>
          <w:tcPr>
            <w:tcW w:w="4106" w:type="dxa"/>
            <w:shd w:val="clear" w:color="auto" w:fill="C0504D" w:themeFill="accent2"/>
            <w:vAlign w:val="center"/>
          </w:tcPr>
          <w:p w14:paraId="61663AE7" w14:textId="77777777" w:rsidR="00166BBE" w:rsidRPr="0022354B" w:rsidRDefault="00166BBE" w:rsidP="0022354B">
            <w:pPr>
              <w:pStyle w:val="Tablecolhead"/>
              <w:rPr>
                <w:b w:val="0"/>
                <w:color w:val="FFFFFF" w:themeColor="background1"/>
              </w:rPr>
            </w:pPr>
            <w:r w:rsidRPr="0022354B">
              <w:rPr>
                <w:color w:val="FFFFFF" w:themeColor="background1"/>
              </w:rPr>
              <w:t>Indicator</w:t>
            </w:r>
          </w:p>
        </w:tc>
        <w:tc>
          <w:tcPr>
            <w:tcW w:w="4536" w:type="dxa"/>
            <w:shd w:val="clear" w:color="auto" w:fill="C0504D" w:themeFill="accent2"/>
            <w:vAlign w:val="center"/>
          </w:tcPr>
          <w:p w14:paraId="29EE9B8E" w14:textId="77777777" w:rsidR="00166BBE" w:rsidRPr="0022354B" w:rsidRDefault="00166BBE" w:rsidP="0022354B">
            <w:pPr>
              <w:pStyle w:val="Tablecolhead"/>
              <w:rPr>
                <w:b w:val="0"/>
                <w:color w:val="FFFFFF" w:themeColor="background1"/>
              </w:rPr>
            </w:pPr>
            <w:r w:rsidRPr="0022354B">
              <w:rPr>
                <w:color w:val="FFFFFF" w:themeColor="background1"/>
              </w:rPr>
              <w:t>Measure</w:t>
            </w:r>
          </w:p>
        </w:tc>
        <w:tc>
          <w:tcPr>
            <w:tcW w:w="2507" w:type="dxa"/>
            <w:shd w:val="clear" w:color="auto" w:fill="C0504D" w:themeFill="accent2"/>
            <w:vAlign w:val="center"/>
          </w:tcPr>
          <w:p w14:paraId="41D25A79" w14:textId="77777777" w:rsidR="00166BBE" w:rsidRPr="0022354B" w:rsidRDefault="00166BBE" w:rsidP="0022354B">
            <w:pPr>
              <w:pStyle w:val="Tablecolhead"/>
              <w:rPr>
                <w:b w:val="0"/>
                <w:color w:val="FFFFFF" w:themeColor="background1"/>
              </w:rPr>
            </w:pPr>
            <w:r w:rsidRPr="0022354B">
              <w:rPr>
                <w:color w:val="FFFFFF" w:themeColor="background1"/>
              </w:rPr>
              <w:t>Measure detail</w:t>
            </w:r>
          </w:p>
        </w:tc>
        <w:tc>
          <w:tcPr>
            <w:tcW w:w="0" w:type="auto"/>
            <w:shd w:val="clear" w:color="auto" w:fill="C0504D" w:themeFill="accent2"/>
            <w:vAlign w:val="center"/>
          </w:tcPr>
          <w:p w14:paraId="3DE59D2A" w14:textId="77777777" w:rsidR="00166BBE" w:rsidRPr="0022354B" w:rsidRDefault="00166BBE" w:rsidP="0022354B">
            <w:pPr>
              <w:pStyle w:val="Tablecolhead"/>
              <w:rPr>
                <w:b w:val="0"/>
                <w:color w:val="FFFFFF" w:themeColor="background1"/>
              </w:rPr>
            </w:pPr>
            <w:r w:rsidRPr="0022354B">
              <w:rPr>
                <w:color w:val="FFFFFF" w:themeColor="background1"/>
              </w:rPr>
              <w:t>Source</w:t>
            </w:r>
          </w:p>
        </w:tc>
        <w:tc>
          <w:tcPr>
            <w:tcW w:w="0" w:type="auto"/>
            <w:shd w:val="clear" w:color="auto" w:fill="C0504D" w:themeFill="accent2"/>
            <w:vAlign w:val="center"/>
          </w:tcPr>
          <w:p w14:paraId="2CCB197E" w14:textId="77777777" w:rsidR="00166BBE" w:rsidRPr="0022354B" w:rsidRDefault="00166BBE" w:rsidP="0022354B">
            <w:pPr>
              <w:pStyle w:val="Tablecolhead"/>
              <w:rPr>
                <w:b w:val="0"/>
                <w:color w:val="FFFFFF" w:themeColor="background1"/>
              </w:rPr>
            </w:pPr>
            <w:r w:rsidRPr="0022354B">
              <w:rPr>
                <w:color w:val="FFFFFF" w:themeColor="background1"/>
              </w:rPr>
              <w:t>Target</w:t>
            </w:r>
          </w:p>
        </w:tc>
        <w:tc>
          <w:tcPr>
            <w:tcW w:w="1519" w:type="dxa"/>
            <w:shd w:val="clear" w:color="auto" w:fill="C0504D" w:themeFill="accent2"/>
            <w:vAlign w:val="center"/>
          </w:tcPr>
          <w:p w14:paraId="069DCA53" w14:textId="77777777" w:rsidR="00166BBE" w:rsidRPr="0022354B" w:rsidRDefault="00166BBE" w:rsidP="0022354B">
            <w:pPr>
              <w:pStyle w:val="Tablecolhead"/>
              <w:rPr>
                <w:b w:val="0"/>
                <w:color w:val="FFFFFF" w:themeColor="background1"/>
              </w:rPr>
            </w:pPr>
            <w:r w:rsidRPr="0022354B">
              <w:rPr>
                <w:color w:val="FFFFFF" w:themeColor="background1"/>
              </w:rPr>
              <w:t>Reference</w:t>
            </w:r>
          </w:p>
        </w:tc>
      </w:tr>
      <w:tr w:rsidR="00BC7794" w:rsidRPr="00135AC4" w14:paraId="0115B4F2" w14:textId="77777777" w:rsidTr="00BC7794">
        <w:tc>
          <w:tcPr>
            <w:tcW w:w="4106" w:type="dxa"/>
          </w:tcPr>
          <w:p w14:paraId="11C98255" w14:textId="77777777" w:rsidR="00166BBE" w:rsidRPr="00135AC4" w:rsidRDefault="00166BBE" w:rsidP="0022354B">
            <w:pPr>
              <w:pStyle w:val="Tabletext"/>
            </w:pPr>
            <w:r w:rsidRPr="00135AC4">
              <w:rPr>
                <w:rStyle w:val="normaltextrun"/>
                <w:rFonts w:eastAsiaTheme="majorEastAsia" w:cs="Arial"/>
                <w:b/>
                <w:bCs/>
                <w:color w:val="000000"/>
                <w:sz w:val="19"/>
                <w:szCs w:val="19"/>
              </w:rPr>
              <w:t>Increase neighbourhood liveability</w:t>
            </w:r>
            <w:r w:rsidRPr="00135AC4">
              <w:rPr>
                <w:rStyle w:val="eop"/>
                <w:rFonts w:eastAsiaTheme="majorEastAsia" w:cs="Arial"/>
                <w:b/>
                <w:bCs/>
                <w:color w:val="000000"/>
                <w:sz w:val="19"/>
                <w:szCs w:val="19"/>
              </w:rPr>
              <w:t> </w:t>
            </w:r>
          </w:p>
        </w:tc>
        <w:tc>
          <w:tcPr>
            <w:tcW w:w="4536" w:type="dxa"/>
          </w:tcPr>
          <w:p w14:paraId="7A99A5B5" w14:textId="77777777" w:rsidR="00166BBE" w:rsidRPr="00A36B53" w:rsidRDefault="00166BBE" w:rsidP="0022354B">
            <w:pPr>
              <w:pStyle w:val="Tabletext"/>
            </w:pPr>
            <w:r w:rsidRPr="00A36B53">
              <w:t>Liveability</w:t>
            </w:r>
          </w:p>
        </w:tc>
        <w:tc>
          <w:tcPr>
            <w:tcW w:w="2507" w:type="dxa"/>
          </w:tcPr>
          <w:p w14:paraId="7376FEBF" w14:textId="77777777" w:rsidR="00166BBE" w:rsidRPr="002365BE" w:rsidRDefault="00166BBE" w:rsidP="0022354B">
            <w:pPr>
              <w:pStyle w:val="Tabletext"/>
              <w:rPr>
                <w:lang w:eastAsia="en-AU"/>
              </w:rPr>
            </w:pPr>
            <w:r w:rsidRPr="002365BE">
              <w:rPr>
                <w:lang w:eastAsia="en-AU"/>
              </w:rPr>
              <w:t>To be reviewed</w:t>
            </w:r>
          </w:p>
        </w:tc>
        <w:tc>
          <w:tcPr>
            <w:tcW w:w="0" w:type="auto"/>
          </w:tcPr>
          <w:p w14:paraId="3717D81A" w14:textId="26B488A6" w:rsidR="00166BBE" w:rsidRPr="002365BE" w:rsidRDefault="00FA5FC4" w:rsidP="0022354B">
            <w:pPr>
              <w:pStyle w:val="Tabletext"/>
            </w:pPr>
            <w:r w:rsidRPr="002365BE">
              <w:rPr>
                <w:lang w:eastAsia="en-AU"/>
              </w:rPr>
              <w:t>To be reviewed</w:t>
            </w:r>
          </w:p>
        </w:tc>
        <w:tc>
          <w:tcPr>
            <w:tcW w:w="0" w:type="auto"/>
          </w:tcPr>
          <w:p w14:paraId="28CA3AE2" w14:textId="77777777" w:rsidR="00166BBE" w:rsidRPr="00135AC4" w:rsidRDefault="00166BBE" w:rsidP="0022354B">
            <w:pPr>
              <w:pStyle w:val="Tabletext"/>
            </w:pPr>
          </w:p>
        </w:tc>
        <w:tc>
          <w:tcPr>
            <w:tcW w:w="1519" w:type="dxa"/>
          </w:tcPr>
          <w:p w14:paraId="7141B6FB" w14:textId="77777777" w:rsidR="00166BBE" w:rsidRPr="00AF7EC4" w:rsidRDefault="00166BBE" w:rsidP="0022354B">
            <w:pPr>
              <w:pStyle w:val="Tabletext"/>
            </w:pPr>
            <w:r w:rsidRPr="00AF7EC4">
              <w:t>5.1.1.1</w:t>
            </w:r>
          </w:p>
        </w:tc>
      </w:tr>
      <w:tr w:rsidR="00BC7794" w:rsidRPr="00135AC4" w14:paraId="6C033991" w14:textId="77777777" w:rsidTr="00BC7794">
        <w:tc>
          <w:tcPr>
            <w:tcW w:w="4106" w:type="dxa"/>
          </w:tcPr>
          <w:p w14:paraId="38CB61D6" w14:textId="77777777" w:rsidR="00166BBE" w:rsidRPr="00135AC4" w:rsidRDefault="00166BBE" w:rsidP="0022354B">
            <w:pPr>
              <w:pStyle w:val="Tabletext"/>
            </w:pPr>
            <w:r w:rsidRPr="00135AC4">
              <w:rPr>
                <w:rStyle w:val="normaltextrun"/>
                <w:rFonts w:eastAsiaTheme="majorEastAsia" w:cs="Arial"/>
                <w:b/>
                <w:bCs/>
                <w:color w:val="000000"/>
                <w:sz w:val="19"/>
                <w:szCs w:val="19"/>
              </w:rPr>
              <w:t>Increase adaptation to the impacts of climate change</w:t>
            </w:r>
            <w:r w:rsidRPr="00135AC4">
              <w:rPr>
                <w:rStyle w:val="eop"/>
                <w:rFonts w:eastAsiaTheme="majorEastAsia" w:cs="Arial"/>
                <w:b/>
                <w:bCs/>
                <w:color w:val="000000"/>
                <w:sz w:val="19"/>
                <w:szCs w:val="19"/>
              </w:rPr>
              <w:t> </w:t>
            </w:r>
          </w:p>
        </w:tc>
        <w:tc>
          <w:tcPr>
            <w:tcW w:w="4536" w:type="dxa"/>
          </w:tcPr>
          <w:p w14:paraId="6D7511E0" w14:textId="77777777" w:rsidR="00166BBE" w:rsidRPr="00A36B53" w:rsidRDefault="00166BBE" w:rsidP="0022354B">
            <w:pPr>
              <w:pStyle w:val="Tabletext"/>
            </w:pPr>
            <w:r w:rsidRPr="00A36B53">
              <w:rPr>
                <w:rFonts w:eastAsia="Arial"/>
              </w:rPr>
              <w:t>Heat-related health events during heatwaves</w:t>
            </w:r>
          </w:p>
        </w:tc>
        <w:tc>
          <w:tcPr>
            <w:tcW w:w="2507" w:type="dxa"/>
          </w:tcPr>
          <w:p w14:paraId="3F3BC073" w14:textId="418167F5" w:rsidR="00166BBE" w:rsidRPr="00A36B53" w:rsidRDefault="00745936" w:rsidP="0022354B">
            <w:pPr>
              <w:pStyle w:val="Tabletext"/>
            </w:pPr>
            <w:r w:rsidRPr="00A36B53">
              <w:rPr>
                <w:rFonts w:eastAsia="Arial"/>
              </w:rPr>
              <w:t>Heat-related health events during heatwaves</w:t>
            </w:r>
          </w:p>
        </w:tc>
        <w:tc>
          <w:tcPr>
            <w:tcW w:w="0" w:type="auto"/>
          </w:tcPr>
          <w:p w14:paraId="7252E234" w14:textId="43BC3A00" w:rsidR="00166BBE" w:rsidRPr="00135AC4" w:rsidRDefault="001A1305" w:rsidP="0022354B">
            <w:pPr>
              <w:pStyle w:val="Tabletext"/>
            </w:pPr>
            <w:r w:rsidRPr="00A36B53">
              <w:t>VAED/VEMD (</w:t>
            </w:r>
            <w:r>
              <w:t>to be determined</w:t>
            </w:r>
            <w:r w:rsidRPr="00A36B53">
              <w:t>)</w:t>
            </w:r>
          </w:p>
        </w:tc>
        <w:tc>
          <w:tcPr>
            <w:tcW w:w="0" w:type="auto"/>
          </w:tcPr>
          <w:p w14:paraId="70BCCA57" w14:textId="77777777" w:rsidR="00166BBE" w:rsidRPr="00135AC4" w:rsidRDefault="00166BBE" w:rsidP="0022354B">
            <w:pPr>
              <w:pStyle w:val="Tabletext"/>
            </w:pPr>
          </w:p>
        </w:tc>
        <w:tc>
          <w:tcPr>
            <w:tcW w:w="1519" w:type="dxa"/>
          </w:tcPr>
          <w:p w14:paraId="15AB69B6" w14:textId="77777777" w:rsidR="00166BBE" w:rsidRPr="00AF7EC4" w:rsidRDefault="00166BBE" w:rsidP="0022354B">
            <w:pPr>
              <w:pStyle w:val="Tabletext"/>
            </w:pPr>
            <w:r w:rsidRPr="00AF7EC4">
              <w:t>5.1.2.1</w:t>
            </w:r>
          </w:p>
        </w:tc>
      </w:tr>
      <w:tr w:rsidR="00BC7794" w:rsidRPr="00135AC4" w14:paraId="6F7A4A01" w14:textId="77777777" w:rsidTr="00BC7794">
        <w:tc>
          <w:tcPr>
            <w:tcW w:w="4106" w:type="dxa"/>
          </w:tcPr>
          <w:p w14:paraId="52C45055" w14:textId="77777777" w:rsidR="00166BBE" w:rsidRPr="00135AC4" w:rsidRDefault="00166BBE" w:rsidP="005212F6">
            <w:pPr>
              <w:pStyle w:val="Tabletext"/>
            </w:pPr>
          </w:p>
        </w:tc>
        <w:tc>
          <w:tcPr>
            <w:tcW w:w="4536" w:type="dxa"/>
          </w:tcPr>
          <w:p w14:paraId="504AB301" w14:textId="77777777" w:rsidR="00166BBE" w:rsidRPr="00D021B2" w:rsidRDefault="00166BBE" w:rsidP="005212F6">
            <w:pPr>
              <w:pStyle w:val="Tabletext"/>
            </w:pPr>
            <w:r w:rsidRPr="3885A6BA">
              <w:t>Community resilience to natural hazards</w:t>
            </w:r>
          </w:p>
        </w:tc>
        <w:tc>
          <w:tcPr>
            <w:tcW w:w="2507" w:type="dxa"/>
          </w:tcPr>
          <w:p w14:paraId="5CC21D4E" w14:textId="66438EF0" w:rsidR="00166BBE" w:rsidRPr="00E85989" w:rsidRDefault="00745936" w:rsidP="005212F6">
            <w:pPr>
              <w:pStyle w:val="Tabletext"/>
            </w:pPr>
            <w:r w:rsidRPr="3885A6BA">
              <w:t>Community resilience to natural hazards</w:t>
            </w:r>
          </w:p>
        </w:tc>
        <w:tc>
          <w:tcPr>
            <w:tcW w:w="0" w:type="auto"/>
          </w:tcPr>
          <w:p w14:paraId="1DEB216A" w14:textId="7805B11D" w:rsidR="00166BBE" w:rsidRPr="00135AC4" w:rsidRDefault="001A1305" w:rsidP="005212F6">
            <w:pPr>
              <w:pStyle w:val="Tabletext"/>
            </w:pPr>
            <w:r w:rsidRPr="3885A6BA">
              <w:t>ADRI</w:t>
            </w:r>
          </w:p>
        </w:tc>
        <w:tc>
          <w:tcPr>
            <w:tcW w:w="0" w:type="auto"/>
          </w:tcPr>
          <w:p w14:paraId="606D9E72" w14:textId="77777777" w:rsidR="00166BBE" w:rsidRPr="00135AC4" w:rsidRDefault="00166BBE" w:rsidP="005212F6">
            <w:pPr>
              <w:pStyle w:val="Tabletext"/>
            </w:pPr>
          </w:p>
        </w:tc>
        <w:tc>
          <w:tcPr>
            <w:tcW w:w="1519" w:type="dxa"/>
          </w:tcPr>
          <w:p w14:paraId="68646B6E" w14:textId="77777777" w:rsidR="00166BBE" w:rsidRPr="00AF7EC4" w:rsidRDefault="00166BBE" w:rsidP="005212F6">
            <w:pPr>
              <w:pStyle w:val="Tabletext"/>
            </w:pPr>
            <w:r w:rsidRPr="00AF7EC4">
              <w:t>5.1.2.2</w:t>
            </w:r>
          </w:p>
        </w:tc>
      </w:tr>
    </w:tbl>
    <w:p w14:paraId="601AD278" w14:textId="7EE30918" w:rsidR="00B035D1" w:rsidRDefault="00B035D1" w:rsidP="00963071">
      <w:pPr>
        <w:pStyle w:val="Tablecaption"/>
      </w:pPr>
      <w:r>
        <w:t xml:space="preserve">Table </w:t>
      </w:r>
      <w:r>
        <w:fldChar w:fldCharType="begin"/>
      </w:r>
      <w:r>
        <w:instrText xml:space="preserve"> SEQ Table \* ARABIC </w:instrText>
      </w:r>
      <w:r>
        <w:fldChar w:fldCharType="separate"/>
      </w:r>
      <w:r>
        <w:rPr>
          <w:noProof/>
        </w:rPr>
        <w:t>15</w:t>
      </w:r>
      <w:r>
        <w:fldChar w:fldCharType="end"/>
      </w:r>
      <w:r>
        <w:t xml:space="preserve">. </w:t>
      </w:r>
      <w:r w:rsidRPr="00921F90">
        <w:t>Outcome 5.2: Victorians have access to sustainable and safe built and natural environments</w:t>
      </w:r>
    </w:p>
    <w:tbl>
      <w:tblPr>
        <w:tblStyle w:val="TableGridLight"/>
        <w:tblW w:w="14467" w:type="dxa"/>
        <w:tblLook w:val="04A0" w:firstRow="1" w:lastRow="0" w:firstColumn="1" w:lastColumn="0" w:noHBand="0" w:noVBand="1"/>
      </w:tblPr>
      <w:tblGrid>
        <w:gridCol w:w="1838"/>
        <w:gridCol w:w="2227"/>
        <w:gridCol w:w="4017"/>
        <w:gridCol w:w="940"/>
        <w:gridCol w:w="4213"/>
        <w:gridCol w:w="1232"/>
      </w:tblGrid>
      <w:tr w:rsidR="008D608E" w:rsidRPr="008D608E" w14:paraId="3E7EBA4A" w14:textId="77777777" w:rsidTr="005212F6">
        <w:trPr>
          <w:trHeight w:val="357"/>
          <w:tblHeader/>
        </w:trPr>
        <w:tc>
          <w:tcPr>
            <w:tcW w:w="1838" w:type="dxa"/>
            <w:shd w:val="clear" w:color="auto" w:fill="C0504D" w:themeFill="accent2"/>
            <w:vAlign w:val="center"/>
          </w:tcPr>
          <w:p w14:paraId="638D69F6" w14:textId="77777777" w:rsidR="00166BBE" w:rsidRPr="005212F6" w:rsidRDefault="00166BBE" w:rsidP="005212F6">
            <w:pPr>
              <w:pStyle w:val="Tablecolhead"/>
              <w:rPr>
                <w:b w:val="0"/>
                <w:color w:val="FFFFFF" w:themeColor="background1"/>
              </w:rPr>
            </w:pPr>
            <w:r w:rsidRPr="005212F6">
              <w:rPr>
                <w:color w:val="FFFFFF" w:themeColor="background1"/>
              </w:rPr>
              <w:t>Indicator</w:t>
            </w:r>
          </w:p>
        </w:tc>
        <w:tc>
          <w:tcPr>
            <w:tcW w:w="0" w:type="auto"/>
            <w:shd w:val="clear" w:color="auto" w:fill="C0504D" w:themeFill="accent2"/>
            <w:vAlign w:val="center"/>
          </w:tcPr>
          <w:p w14:paraId="4326F4DC" w14:textId="77777777" w:rsidR="00166BBE" w:rsidRPr="005212F6" w:rsidRDefault="00166BBE" w:rsidP="005212F6">
            <w:pPr>
              <w:pStyle w:val="Tablecolhead"/>
              <w:rPr>
                <w:b w:val="0"/>
                <w:color w:val="FFFFFF" w:themeColor="background1"/>
              </w:rPr>
            </w:pPr>
            <w:r w:rsidRPr="005212F6">
              <w:rPr>
                <w:color w:val="FFFFFF" w:themeColor="background1"/>
              </w:rPr>
              <w:t>Measure</w:t>
            </w:r>
          </w:p>
        </w:tc>
        <w:tc>
          <w:tcPr>
            <w:tcW w:w="4017" w:type="dxa"/>
            <w:shd w:val="clear" w:color="auto" w:fill="C0504D" w:themeFill="accent2"/>
            <w:vAlign w:val="center"/>
          </w:tcPr>
          <w:p w14:paraId="488C6461" w14:textId="77777777" w:rsidR="00166BBE" w:rsidRPr="005212F6" w:rsidRDefault="00166BBE" w:rsidP="005212F6">
            <w:pPr>
              <w:pStyle w:val="Tablecolhead"/>
              <w:rPr>
                <w:b w:val="0"/>
                <w:color w:val="FFFFFF" w:themeColor="background1"/>
              </w:rPr>
            </w:pPr>
            <w:r w:rsidRPr="005212F6">
              <w:rPr>
                <w:color w:val="FFFFFF" w:themeColor="background1"/>
              </w:rPr>
              <w:t>Measure detail</w:t>
            </w:r>
          </w:p>
        </w:tc>
        <w:tc>
          <w:tcPr>
            <w:tcW w:w="0" w:type="auto"/>
            <w:shd w:val="clear" w:color="auto" w:fill="C0504D" w:themeFill="accent2"/>
            <w:vAlign w:val="center"/>
          </w:tcPr>
          <w:p w14:paraId="4CF3A984" w14:textId="77777777" w:rsidR="00166BBE" w:rsidRPr="005212F6" w:rsidRDefault="00166BBE" w:rsidP="005212F6">
            <w:pPr>
              <w:pStyle w:val="Tablecolhead"/>
              <w:rPr>
                <w:b w:val="0"/>
                <w:color w:val="FFFFFF" w:themeColor="background1"/>
              </w:rPr>
            </w:pPr>
            <w:r w:rsidRPr="005212F6">
              <w:rPr>
                <w:color w:val="FFFFFF" w:themeColor="background1"/>
              </w:rPr>
              <w:t>Source</w:t>
            </w:r>
          </w:p>
        </w:tc>
        <w:tc>
          <w:tcPr>
            <w:tcW w:w="0" w:type="auto"/>
            <w:shd w:val="clear" w:color="auto" w:fill="C0504D" w:themeFill="accent2"/>
            <w:vAlign w:val="center"/>
          </w:tcPr>
          <w:p w14:paraId="3ABB0359" w14:textId="77777777" w:rsidR="00166BBE" w:rsidRPr="005212F6" w:rsidRDefault="00166BBE" w:rsidP="005212F6">
            <w:pPr>
              <w:pStyle w:val="Tablecolhead"/>
              <w:rPr>
                <w:b w:val="0"/>
                <w:color w:val="FFFFFF" w:themeColor="background1"/>
              </w:rPr>
            </w:pPr>
            <w:r w:rsidRPr="005212F6">
              <w:rPr>
                <w:color w:val="FFFFFF" w:themeColor="background1"/>
              </w:rPr>
              <w:t>Target</w:t>
            </w:r>
          </w:p>
        </w:tc>
        <w:tc>
          <w:tcPr>
            <w:tcW w:w="0" w:type="auto"/>
            <w:shd w:val="clear" w:color="auto" w:fill="C0504D" w:themeFill="accent2"/>
            <w:vAlign w:val="center"/>
          </w:tcPr>
          <w:p w14:paraId="337C315E" w14:textId="77777777" w:rsidR="00166BBE" w:rsidRPr="00BF008A" w:rsidRDefault="00166BBE" w:rsidP="005212F6">
            <w:pPr>
              <w:pStyle w:val="Tablecolhead"/>
              <w:rPr>
                <w:b w:val="0"/>
                <w:color w:val="FFFFFF" w:themeColor="background1"/>
              </w:rPr>
            </w:pPr>
            <w:r w:rsidRPr="005212F6">
              <w:rPr>
                <w:color w:val="FFFFFF" w:themeColor="background1"/>
              </w:rPr>
              <w:t>Reference</w:t>
            </w:r>
          </w:p>
        </w:tc>
      </w:tr>
      <w:tr w:rsidR="00BD427A" w:rsidRPr="00B1297E" w14:paraId="0BF36FEE" w14:textId="77777777" w:rsidTr="005212F6">
        <w:tc>
          <w:tcPr>
            <w:tcW w:w="1838" w:type="dxa"/>
          </w:tcPr>
          <w:p w14:paraId="1EBD8C3D" w14:textId="78F02B2D" w:rsidR="00166BBE" w:rsidRPr="00915E4F" w:rsidRDefault="00166BBE" w:rsidP="00BF008A">
            <w:pPr>
              <w:pStyle w:val="Tabletext"/>
            </w:pPr>
            <w:r w:rsidRPr="00915E4F">
              <w:rPr>
                <w:rStyle w:val="normaltextrun"/>
                <w:rFonts w:eastAsiaTheme="majorEastAsia" w:cs="Arial"/>
                <w:b/>
                <w:bCs/>
                <w:sz w:val="19"/>
                <w:szCs w:val="19"/>
              </w:rPr>
              <w:t>Increase environmental sustainability</w:t>
            </w:r>
          </w:p>
        </w:tc>
        <w:tc>
          <w:tcPr>
            <w:tcW w:w="0" w:type="auto"/>
          </w:tcPr>
          <w:p w14:paraId="68B9D474" w14:textId="4011CBAB" w:rsidR="00166BBE" w:rsidRPr="00915E4F" w:rsidRDefault="00166BBE" w:rsidP="00BF008A">
            <w:pPr>
              <w:pStyle w:val="Tabletext"/>
            </w:pPr>
            <w:r w:rsidRPr="00915E4F">
              <w:t xml:space="preserve">Renewable </w:t>
            </w:r>
            <w:r w:rsidR="00690BC8">
              <w:t>electricity</w:t>
            </w:r>
            <w:r w:rsidR="008260C1">
              <w:t xml:space="preserve"> generation</w:t>
            </w:r>
            <w:r w:rsidRPr="00915E4F">
              <w:t xml:space="preserve"> as a proportion of total electricity generation</w:t>
            </w:r>
          </w:p>
        </w:tc>
        <w:tc>
          <w:tcPr>
            <w:tcW w:w="4017" w:type="dxa"/>
          </w:tcPr>
          <w:p w14:paraId="3C184D3E" w14:textId="5D817862" w:rsidR="00166BBE" w:rsidRPr="003A68A9" w:rsidRDefault="00166BBE" w:rsidP="00BF008A">
            <w:pPr>
              <w:pStyle w:val="Tabletext"/>
            </w:pPr>
            <w:r w:rsidRPr="003A68A9">
              <w:rPr>
                <w:color w:val="000000"/>
                <w:lang w:eastAsia="en-AU"/>
              </w:rPr>
              <w:t>Renewable e</w:t>
            </w:r>
            <w:r w:rsidR="00690BC8">
              <w:rPr>
                <w:color w:val="000000"/>
                <w:lang w:eastAsia="en-AU"/>
              </w:rPr>
              <w:t>lectricity</w:t>
            </w:r>
            <w:r w:rsidRPr="003A68A9">
              <w:rPr>
                <w:color w:val="000000"/>
                <w:lang w:eastAsia="en-AU"/>
              </w:rPr>
              <w:t xml:space="preserve"> generation as a proportion of total electricity generation</w:t>
            </w:r>
          </w:p>
        </w:tc>
        <w:tc>
          <w:tcPr>
            <w:tcW w:w="0" w:type="auto"/>
          </w:tcPr>
          <w:p w14:paraId="0B581AF8" w14:textId="77777777" w:rsidR="00166BBE" w:rsidRPr="007C48E2" w:rsidRDefault="00166BBE" w:rsidP="00BF008A">
            <w:pPr>
              <w:pStyle w:val="Tabletext"/>
            </w:pPr>
            <w:r w:rsidRPr="007C48E2">
              <w:t>DEECA</w:t>
            </w:r>
          </w:p>
        </w:tc>
        <w:tc>
          <w:tcPr>
            <w:tcW w:w="0" w:type="auto"/>
          </w:tcPr>
          <w:p w14:paraId="4E0F4E98" w14:textId="1DA42FCD" w:rsidR="00166BBE" w:rsidRPr="00B1297E" w:rsidRDefault="00166BBE" w:rsidP="00BF008A">
            <w:pPr>
              <w:pStyle w:val="Tabletext"/>
            </w:pPr>
            <w:r w:rsidRPr="002A0AF7">
              <w:t>40</w:t>
            </w:r>
            <w:r w:rsidR="003A249A">
              <w:t xml:space="preserve"> percent</w:t>
            </w:r>
            <w:r w:rsidRPr="002A0AF7">
              <w:t xml:space="preserve"> of the state’s electricity </w:t>
            </w:r>
            <w:r>
              <w:t xml:space="preserve">sourced </w:t>
            </w:r>
            <w:r w:rsidRPr="002A0AF7">
              <w:t>from renewable generation by 2025</w:t>
            </w:r>
            <w:r w:rsidR="0000597A">
              <w:t>,</w:t>
            </w:r>
            <w:r w:rsidRPr="002A0AF7">
              <w:t xml:space="preserve"> 65</w:t>
            </w:r>
            <w:r w:rsidR="003A249A">
              <w:t xml:space="preserve"> percent</w:t>
            </w:r>
            <w:r w:rsidRPr="002A0AF7">
              <w:t xml:space="preserve"> by 2030</w:t>
            </w:r>
            <w:r w:rsidR="0000597A">
              <w:t>, and 95</w:t>
            </w:r>
            <w:r w:rsidR="003A249A">
              <w:t xml:space="preserve"> percent</w:t>
            </w:r>
            <w:r w:rsidR="008B25D0">
              <w:t xml:space="preserve"> by 2035</w:t>
            </w:r>
            <w:r w:rsidRPr="002A0AF7">
              <w:t xml:space="preserve"> </w:t>
            </w:r>
          </w:p>
        </w:tc>
        <w:tc>
          <w:tcPr>
            <w:tcW w:w="0" w:type="auto"/>
          </w:tcPr>
          <w:p w14:paraId="3C470765" w14:textId="77777777" w:rsidR="00166BBE" w:rsidRPr="001D3EBF" w:rsidRDefault="00166BBE" w:rsidP="00BF008A">
            <w:pPr>
              <w:pStyle w:val="Tabletext"/>
            </w:pPr>
            <w:r w:rsidRPr="001D3EBF">
              <w:t>5.2.1.1</w:t>
            </w:r>
          </w:p>
        </w:tc>
      </w:tr>
      <w:tr w:rsidR="00BD427A" w:rsidRPr="00B1297E" w14:paraId="2B737CC9" w14:textId="77777777" w:rsidTr="005212F6">
        <w:tc>
          <w:tcPr>
            <w:tcW w:w="1838" w:type="dxa"/>
          </w:tcPr>
          <w:p w14:paraId="1519C6D2" w14:textId="77777777" w:rsidR="00166BBE" w:rsidRPr="00915E4F" w:rsidRDefault="00166BBE" w:rsidP="00BF008A">
            <w:pPr>
              <w:pStyle w:val="Tabletext"/>
            </w:pPr>
          </w:p>
        </w:tc>
        <w:tc>
          <w:tcPr>
            <w:tcW w:w="0" w:type="auto"/>
          </w:tcPr>
          <w:p w14:paraId="18ED1319" w14:textId="77777777" w:rsidR="00166BBE" w:rsidRPr="00915E4F" w:rsidRDefault="00166BBE" w:rsidP="00BF008A">
            <w:pPr>
              <w:pStyle w:val="Tabletext"/>
            </w:pPr>
            <w:r w:rsidRPr="00915E4F">
              <w:rPr>
                <w:color w:val="000000"/>
                <w:lang w:eastAsia="en-AU"/>
              </w:rPr>
              <w:t>Net greenhouse gas emissions</w:t>
            </w:r>
          </w:p>
        </w:tc>
        <w:tc>
          <w:tcPr>
            <w:tcW w:w="4017" w:type="dxa"/>
          </w:tcPr>
          <w:p w14:paraId="5A027162" w14:textId="77777777" w:rsidR="00166BBE" w:rsidRPr="00915E4F" w:rsidRDefault="00166BBE" w:rsidP="00BF008A">
            <w:pPr>
              <w:pStyle w:val="Tabletext"/>
            </w:pPr>
            <w:r w:rsidRPr="00915E4F">
              <w:rPr>
                <w:color w:val="000000"/>
                <w:lang w:eastAsia="en-AU"/>
              </w:rPr>
              <w:t>Net greenhouse gas emissions</w:t>
            </w:r>
          </w:p>
        </w:tc>
        <w:tc>
          <w:tcPr>
            <w:tcW w:w="0" w:type="auto"/>
          </w:tcPr>
          <w:p w14:paraId="2AC4AB7F" w14:textId="77777777" w:rsidR="00166BBE" w:rsidRPr="007C48E2" w:rsidRDefault="00166BBE" w:rsidP="00BF008A">
            <w:pPr>
              <w:pStyle w:val="Tabletext"/>
            </w:pPr>
            <w:r w:rsidRPr="007C48E2">
              <w:t>DEECA</w:t>
            </w:r>
          </w:p>
        </w:tc>
        <w:tc>
          <w:tcPr>
            <w:tcW w:w="0" w:type="auto"/>
          </w:tcPr>
          <w:p w14:paraId="55F3FA62" w14:textId="44EE05A4" w:rsidR="00166BBE" w:rsidRPr="00B55B86" w:rsidRDefault="00166BBE" w:rsidP="00BF008A">
            <w:pPr>
              <w:pStyle w:val="Tabletext"/>
            </w:pPr>
            <w:r w:rsidRPr="002A0AF7">
              <w:t xml:space="preserve">Greenhouse gas emissions reduction of </w:t>
            </w:r>
            <w:r w:rsidR="00962DA6" w:rsidRPr="00962DA6">
              <w:t>28–33</w:t>
            </w:r>
            <w:r w:rsidR="003A249A">
              <w:t xml:space="preserve"> percent</w:t>
            </w:r>
            <w:r w:rsidR="00962DA6" w:rsidRPr="00962DA6">
              <w:t xml:space="preserve"> on 2005 levels by 2025</w:t>
            </w:r>
            <w:r w:rsidR="00962DA6">
              <w:t xml:space="preserve">, </w:t>
            </w:r>
            <w:r w:rsidR="003E7DEC">
              <w:t>45-</w:t>
            </w:r>
            <w:r>
              <w:t>50</w:t>
            </w:r>
            <w:r w:rsidR="003A249A">
              <w:t xml:space="preserve"> percent</w:t>
            </w:r>
            <w:r>
              <w:t xml:space="preserve"> </w:t>
            </w:r>
            <w:r w:rsidRPr="002A0AF7">
              <w:t>below 2005 levels</w:t>
            </w:r>
            <w:r>
              <w:t xml:space="preserve"> by 2030,</w:t>
            </w:r>
            <w:r w:rsidRPr="002A0AF7">
              <w:t xml:space="preserve"> 75</w:t>
            </w:r>
            <w:r w:rsidR="00FF447E">
              <w:t>–</w:t>
            </w:r>
            <w:r w:rsidRPr="002A0AF7">
              <w:t>80</w:t>
            </w:r>
            <w:r w:rsidR="003A249A">
              <w:t xml:space="preserve"> percent</w:t>
            </w:r>
            <w:r w:rsidRPr="002A0AF7">
              <w:t xml:space="preserve"> by 2035</w:t>
            </w:r>
            <w:r w:rsidR="00EC1A31">
              <w:t xml:space="preserve"> and</w:t>
            </w:r>
            <w:r w:rsidRPr="002A0AF7">
              <w:t xml:space="preserve"> net zero emissions by 2045</w:t>
            </w:r>
            <w:r>
              <w:t xml:space="preserve"> </w:t>
            </w:r>
            <w:r w:rsidRPr="00B55B86">
              <w:t>(</w:t>
            </w:r>
            <w:r w:rsidRPr="005A6D26">
              <w:t xml:space="preserve">legislated </w:t>
            </w:r>
            <w:r w:rsidR="00E3538D">
              <w:t>emissions reduction</w:t>
            </w:r>
            <w:r w:rsidRPr="005A6D26">
              <w:t xml:space="preserve"> targets</w:t>
            </w:r>
            <w:r w:rsidRPr="00B55B86">
              <w:t>)</w:t>
            </w:r>
          </w:p>
        </w:tc>
        <w:tc>
          <w:tcPr>
            <w:tcW w:w="0" w:type="auto"/>
          </w:tcPr>
          <w:p w14:paraId="0BD953E0" w14:textId="77777777" w:rsidR="00166BBE" w:rsidRPr="001D3EBF" w:rsidRDefault="00166BBE" w:rsidP="00BF008A">
            <w:pPr>
              <w:pStyle w:val="Tabletext"/>
            </w:pPr>
            <w:r w:rsidRPr="001D3EBF">
              <w:t>5.2.1.2</w:t>
            </w:r>
          </w:p>
        </w:tc>
      </w:tr>
      <w:tr w:rsidR="008D608E" w:rsidRPr="00B1297E" w14:paraId="2386F4FD" w14:textId="77777777" w:rsidTr="005212F6">
        <w:tc>
          <w:tcPr>
            <w:tcW w:w="1838" w:type="dxa"/>
            <w:shd w:val="clear" w:color="auto" w:fill="F2F2F2" w:themeFill="background1" w:themeFillShade="F2"/>
          </w:tcPr>
          <w:p w14:paraId="0886FEA5" w14:textId="77777777" w:rsidR="00166BBE" w:rsidRPr="00915E4F" w:rsidRDefault="00166BBE" w:rsidP="00BF008A">
            <w:pPr>
              <w:pStyle w:val="Tabletext"/>
            </w:pPr>
            <w:r w:rsidRPr="00915E4F">
              <w:rPr>
                <w:rStyle w:val="normaltextrun"/>
                <w:rFonts w:eastAsiaTheme="majorEastAsia" w:cs="Arial"/>
                <w:b/>
                <w:bCs/>
                <w:sz w:val="19"/>
                <w:szCs w:val="19"/>
              </w:rPr>
              <w:t>Increase environmental quality</w:t>
            </w:r>
            <w:r w:rsidRPr="00915E4F">
              <w:rPr>
                <w:rStyle w:val="eop"/>
                <w:rFonts w:eastAsiaTheme="majorEastAsia" w:cs="Arial"/>
                <w:b/>
                <w:bCs/>
                <w:sz w:val="19"/>
                <w:szCs w:val="19"/>
              </w:rPr>
              <w:t> </w:t>
            </w:r>
          </w:p>
        </w:tc>
        <w:tc>
          <w:tcPr>
            <w:tcW w:w="0" w:type="auto"/>
            <w:shd w:val="clear" w:color="auto" w:fill="F2F2F2" w:themeFill="background1" w:themeFillShade="F2"/>
          </w:tcPr>
          <w:p w14:paraId="3DE3A854" w14:textId="77777777" w:rsidR="00166BBE" w:rsidRPr="00915E4F" w:rsidRDefault="00166BBE" w:rsidP="00BF008A">
            <w:pPr>
              <w:pStyle w:val="Tabletext"/>
            </w:pPr>
            <w:r>
              <w:t>Air quality</w:t>
            </w:r>
          </w:p>
        </w:tc>
        <w:tc>
          <w:tcPr>
            <w:tcW w:w="4017" w:type="dxa"/>
            <w:shd w:val="clear" w:color="auto" w:fill="F2F2F2" w:themeFill="background1" w:themeFillShade="F2"/>
          </w:tcPr>
          <w:p w14:paraId="61BD74AE" w14:textId="77777777" w:rsidR="00166BBE" w:rsidRPr="00915E4F" w:rsidRDefault="00166BBE" w:rsidP="00BF008A">
            <w:pPr>
              <w:pStyle w:val="Tabletext"/>
            </w:pPr>
            <w:r w:rsidRPr="00915E4F">
              <w:t>Number of days where the national objective of PM</w:t>
            </w:r>
            <w:r w:rsidRPr="00915E4F">
              <w:rPr>
                <w:vertAlign w:val="superscript"/>
              </w:rPr>
              <w:t>10</w:t>
            </w:r>
            <w:r w:rsidRPr="00915E4F">
              <w:t xml:space="preserve"> was not met</w:t>
            </w:r>
          </w:p>
        </w:tc>
        <w:tc>
          <w:tcPr>
            <w:tcW w:w="0" w:type="auto"/>
            <w:shd w:val="clear" w:color="auto" w:fill="F2F2F2" w:themeFill="background1" w:themeFillShade="F2"/>
          </w:tcPr>
          <w:p w14:paraId="3C323311" w14:textId="77777777" w:rsidR="00166BBE" w:rsidRPr="00A36B53" w:rsidRDefault="00166BBE" w:rsidP="00BF008A">
            <w:pPr>
              <w:pStyle w:val="Tabletext"/>
            </w:pPr>
            <w:r w:rsidRPr="00A36B53">
              <w:t>EPA</w:t>
            </w:r>
          </w:p>
        </w:tc>
        <w:tc>
          <w:tcPr>
            <w:tcW w:w="0" w:type="auto"/>
            <w:shd w:val="clear" w:color="auto" w:fill="F2F2F2" w:themeFill="background1" w:themeFillShade="F2"/>
          </w:tcPr>
          <w:p w14:paraId="6CDDF6AE" w14:textId="77777777" w:rsidR="00166BBE" w:rsidRPr="00B1297E" w:rsidRDefault="00166BBE" w:rsidP="00BF008A">
            <w:pPr>
              <w:pStyle w:val="Tabletext"/>
            </w:pPr>
          </w:p>
        </w:tc>
        <w:tc>
          <w:tcPr>
            <w:tcW w:w="0" w:type="auto"/>
            <w:shd w:val="clear" w:color="auto" w:fill="F2F2F2" w:themeFill="background1" w:themeFillShade="F2"/>
          </w:tcPr>
          <w:p w14:paraId="1A4D5372" w14:textId="77777777" w:rsidR="00166BBE" w:rsidRPr="001D3EBF" w:rsidRDefault="00166BBE" w:rsidP="00BF008A">
            <w:pPr>
              <w:pStyle w:val="Tabletext"/>
            </w:pPr>
            <w:r w:rsidRPr="001D3EBF">
              <w:t>5.2.2.1</w:t>
            </w:r>
            <w:r>
              <w:t xml:space="preserve"> a</w:t>
            </w:r>
          </w:p>
        </w:tc>
      </w:tr>
      <w:tr w:rsidR="008D608E" w:rsidRPr="00B1297E" w14:paraId="4E38E59F" w14:textId="77777777" w:rsidTr="005212F6">
        <w:tc>
          <w:tcPr>
            <w:tcW w:w="1838" w:type="dxa"/>
            <w:shd w:val="clear" w:color="auto" w:fill="F2F2F2" w:themeFill="background1" w:themeFillShade="F2"/>
          </w:tcPr>
          <w:p w14:paraId="0B7146B6" w14:textId="77777777" w:rsidR="00166BBE" w:rsidRPr="00915E4F" w:rsidRDefault="00166BBE" w:rsidP="00BF008A">
            <w:pPr>
              <w:pStyle w:val="Tabletext"/>
              <w:rPr>
                <w:rStyle w:val="normaltextrun"/>
                <w:rFonts w:eastAsiaTheme="majorEastAsia" w:cs="Arial"/>
                <w:b/>
                <w:bCs/>
                <w:sz w:val="19"/>
                <w:szCs w:val="19"/>
              </w:rPr>
            </w:pPr>
          </w:p>
        </w:tc>
        <w:tc>
          <w:tcPr>
            <w:tcW w:w="0" w:type="auto"/>
            <w:shd w:val="clear" w:color="auto" w:fill="F2F2F2" w:themeFill="background1" w:themeFillShade="F2"/>
          </w:tcPr>
          <w:p w14:paraId="13B25B75" w14:textId="77777777" w:rsidR="00166BBE" w:rsidRPr="00915E4F" w:rsidRDefault="00166BBE" w:rsidP="00BF008A">
            <w:pPr>
              <w:pStyle w:val="Tabletext"/>
            </w:pPr>
          </w:p>
        </w:tc>
        <w:tc>
          <w:tcPr>
            <w:tcW w:w="4017" w:type="dxa"/>
            <w:shd w:val="clear" w:color="auto" w:fill="F2F2F2" w:themeFill="background1" w:themeFillShade="F2"/>
          </w:tcPr>
          <w:p w14:paraId="3C6B58D8" w14:textId="77777777" w:rsidR="00166BBE" w:rsidRPr="00915E4F" w:rsidRDefault="00166BBE" w:rsidP="00BF008A">
            <w:pPr>
              <w:pStyle w:val="Tabletext"/>
            </w:pPr>
            <w:r w:rsidRPr="00915E4F">
              <w:t>Number of days where the national objective of PM</w:t>
            </w:r>
            <w:r w:rsidRPr="003D078A">
              <w:rPr>
                <w:vertAlign w:val="superscript"/>
              </w:rPr>
              <w:t>2.5</w:t>
            </w:r>
            <w:r w:rsidRPr="00915E4F">
              <w:t xml:space="preserve"> was not met</w:t>
            </w:r>
          </w:p>
        </w:tc>
        <w:tc>
          <w:tcPr>
            <w:tcW w:w="0" w:type="auto"/>
            <w:shd w:val="clear" w:color="auto" w:fill="F2F2F2" w:themeFill="background1" w:themeFillShade="F2"/>
          </w:tcPr>
          <w:p w14:paraId="7D3C18ED" w14:textId="77777777" w:rsidR="00166BBE" w:rsidRPr="00A36B53" w:rsidRDefault="00166BBE" w:rsidP="00BF008A">
            <w:pPr>
              <w:pStyle w:val="Tabletext"/>
            </w:pPr>
            <w:r w:rsidRPr="00A36B53">
              <w:t>EPA</w:t>
            </w:r>
          </w:p>
        </w:tc>
        <w:tc>
          <w:tcPr>
            <w:tcW w:w="0" w:type="auto"/>
            <w:shd w:val="clear" w:color="auto" w:fill="F2F2F2" w:themeFill="background1" w:themeFillShade="F2"/>
          </w:tcPr>
          <w:p w14:paraId="059540BA" w14:textId="77777777" w:rsidR="00166BBE" w:rsidRPr="00B1297E" w:rsidRDefault="00166BBE" w:rsidP="00BF008A">
            <w:pPr>
              <w:pStyle w:val="Tabletext"/>
            </w:pPr>
          </w:p>
        </w:tc>
        <w:tc>
          <w:tcPr>
            <w:tcW w:w="0" w:type="auto"/>
            <w:shd w:val="clear" w:color="auto" w:fill="F2F2F2" w:themeFill="background1" w:themeFillShade="F2"/>
          </w:tcPr>
          <w:p w14:paraId="49E0C02A" w14:textId="77777777" w:rsidR="00166BBE" w:rsidRPr="001D3EBF" w:rsidRDefault="00166BBE" w:rsidP="00BF008A">
            <w:pPr>
              <w:pStyle w:val="Tabletext"/>
            </w:pPr>
            <w:r w:rsidRPr="001D3EBF">
              <w:t>5.2.2.1</w:t>
            </w:r>
            <w:r>
              <w:t xml:space="preserve"> b</w:t>
            </w:r>
          </w:p>
        </w:tc>
      </w:tr>
      <w:tr w:rsidR="008D608E" w:rsidRPr="00B1297E" w14:paraId="6E3B69EA" w14:textId="77777777" w:rsidTr="005212F6">
        <w:tc>
          <w:tcPr>
            <w:tcW w:w="1838" w:type="dxa"/>
            <w:shd w:val="clear" w:color="auto" w:fill="F2F2F2" w:themeFill="background1" w:themeFillShade="F2"/>
          </w:tcPr>
          <w:p w14:paraId="77CDE0D8" w14:textId="77777777" w:rsidR="00166BBE" w:rsidRPr="00915E4F" w:rsidRDefault="00166BBE" w:rsidP="00BF008A">
            <w:pPr>
              <w:pStyle w:val="Tabletext"/>
            </w:pPr>
          </w:p>
        </w:tc>
        <w:tc>
          <w:tcPr>
            <w:tcW w:w="0" w:type="auto"/>
            <w:shd w:val="clear" w:color="auto" w:fill="F2F2F2" w:themeFill="background1" w:themeFillShade="F2"/>
          </w:tcPr>
          <w:p w14:paraId="3037C7BD" w14:textId="77777777" w:rsidR="00166BBE" w:rsidRPr="00915E4F" w:rsidRDefault="00166BBE" w:rsidP="00BF008A">
            <w:pPr>
              <w:pStyle w:val="Tabletext"/>
            </w:pPr>
            <w:r w:rsidRPr="00915E4F">
              <w:t>Biodiversity</w:t>
            </w:r>
          </w:p>
        </w:tc>
        <w:tc>
          <w:tcPr>
            <w:tcW w:w="4017" w:type="dxa"/>
            <w:shd w:val="clear" w:color="auto" w:fill="F2F2F2" w:themeFill="background1" w:themeFillShade="F2"/>
          </w:tcPr>
          <w:p w14:paraId="66F66E81" w14:textId="77777777" w:rsidR="00166BBE" w:rsidRPr="00915E4F" w:rsidRDefault="00166BBE" w:rsidP="00BF008A">
            <w:pPr>
              <w:pStyle w:val="Tabletext"/>
            </w:pPr>
            <w:r w:rsidRPr="00915E4F">
              <w:t>Increased percentage of environmental indicators for biodiversity in the State of our Environment reports assessed as improving</w:t>
            </w:r>
          </w:p>
        </w:tc>
        <w:tc>
          <w:tcPr>
            <w:tcW w:w="0" w:type="auto"/>
            <w:shd w:val="clear" w:color="auto" w:fill="F2F2F2" w:themeFill="background1" w:themeFillShade="F2"/>
          </w:tcPr>
          <w:p w14:paraId="16FA4AB2" w14:textId="77777777" w:rsidR="00166BBE" w:rsidRPr="00A36B53" w:rsidRDefault="00166BBE" w:rsidP="00BF008A">
            <w:pPr>
              <w:pStyle w:val="Tabletext"/>
            </w:pPr>
            <w:r w:rsidRPr="00A36B53">
              <w:t>DEECA</w:t>
            </w:r>
          </w:p>
        </w:tc>
        <w:tc>
          <w:tcPr>
            <w:tcW w:w="0" w:type="auto"/>
            <w:shd w:val="clear" w:color="auto" w:fill="F2F2F2" w:themeFill="background1" w:themeFillShade="F2"/>
          </w:tcPr>
          <w:p w14:paraId="1B103D7F" w14:textId="77777777" w:rsidR="00166BBE" w:rsidRPr="00B1297E" w:rsidRDefault="00166BBE" w:rsidP="00BF008A">
            <w:pPr>
              <w:pStyle w:val="Tabletext"/>
            </w:pPr>
          </w:p>
        </w:tc>
        <w:tc>
          <w:tcPr>
            <w:tcW w:w="0" w:type="auto"/>
            <w:shd w:val="clear" w:color="auto" w:fill="F2F2F2" w:themeFill="background1" w:themeFillShade="F2"/>
          </w:tcPr>
          <w:p w14:paraId="5913F8C4" w14:textId="77777777" w:rsidR="00166BBE" w:rsidRPr="001D3EBF" w:rsidRDefault="00166BBE" w:rsidP="00BF008A">
            <w:pPr>
              <w:pStyle w:val="Tabletext"/>
            </w:pPr>
            <w:r w:rsidRPr="001D3EBF">
              <w:t>5.2.2.2</w:t>
            </w:r>
          </w:p>
        </w:tc>
      </w:tr>
    </w:tbl>
    <w:p w14:paraId="66D0D271" w14:textId="77777777" w:rsidR="00B140E3" w:rsidRDefault="00B140E3" w:rsidP="00E87FCD">
      <w:pPr>
        <w:pStyle w:val="Body"/>
      </w:pPr>
    </w:p>
    <w:p w14:paraId="17756F95" w14:textId="099E494C" w:rsidR="00FD186C" w:rsidRDefault="00FD186C" w:rsidP="00E87FCD">
      <w:pPr>
        <w:pStyle w:val="Body"/>
        <w:sectPr w:rsidR="00FD186C" w:rsidSect="00FD3631">
          <w:pgSz w:w="16838" w:h="11906" w:orient="landscape" w:code="9"/>
          <w:pgMar w:top="1304" w:right="1418" w:bottom="1304" w:left="1134" w:header="680" w:footer="851" w:gutter="0"/>
          <w:cols w:space="340"/>
          <w:titlePg/>
          <w:docGrid w:linePitch="360"/>
        </w:sectPr>
      </w:pPr>
    </w:p>
    <w:p w14:paraId="0BB92D62" w14:textId="4ACED9B3" w:rsidR="00A92052" w:rsidRDefault="00A92052" w:rsidP="00BC73F0">
      <w:pPr>
        <w:pStyle w:val="Heading1"/>
      </w:pPr>
      <w:bookmarkStart w:id="65" w:name="_Toc195193923"/>
      <w:bookmarkStart w:id="66" w:name="_Toc195614880"/>
      <w:bookmarkStart w:id="67" w:name="_Toc195778195"/>
      <w:bookmarkStart w:id="68" w:name="_Toc211959723"/>
      <w:r>
        <w:lastRenderedPageBreak/>
        <w:t>Implementing the framework</w:t>
      </w:r>
      <w:bookmarkEnd w:id="65"/>
      <w:bookmarkEnd w:id="66"/>
      <w:bookmarkEnd w:id="67"/>
      <w:bookmarkEnd w:id="68"/>
    </w:p>
    <w:p w14:paraId="5A0ECF55" w14:textId="52B4C9E2" w:rsidR="00A92052" w:rsidRDefault="00A92052" w:rsidP="00BA5FA5">
      <w:pPr>
        <w:pStyle w:val="Body"/>
      </w:pPr>
      <w:r w:rsidRPr="00F43487">
        <w:t>The outcomes framework brings together a comprehensive set of indicators and measures drawn from multiple data sources</w:t>
      </w:r>
      <w:r w:rsidR="00807FDA">
        <w:t>, which</w:t>
      </w:r>
      <w:r w:rsidRPr="00F43487">
        <w:t xml:space="preserve"> are used to track whether our combined efforts are improving the health and wellbeing of Victorians. </w:t>
      </w:r>
    </w:p>
    <w:p w14:paraId="0534DBB4" w14:textId="25FBF22B" w:rsidR="00A92052" w:rsidRDefault="00A92052" w:rsidP="00BA5FA5">
      <w:pPr>
        <w:pStyle w:val="Body"/>
      </w:pPr>
      <w:r>
        <w:t>E</w:t>
      </w:r>
      <w:r w:rsidRPr="00A90BE7">
        <w:t xml:space="preserve">xisting data sources </w:t>
      </w:r>
      <w:r>
        <w:t xml:space="preserve">are used </w:t>
      </w:r>
      <w:r w:rsidRPr="00A90BE7">
        <w:t>to provide a consistent and stable monitoring mechanism</w:t>
      </w:r>
      <w:r>
        <w:t xml:space="preserve"> that will inform new plans, policies and strategies</w:t>
      </w:r>
      <w:r w:rsidR="004825B1">
        <w:t>,</w:t>
      </w:r>
      <w:r>
        <w:t xml:space="preserve"> and guide performance management, particularly where evidence of inequalities persists. The outcomes framework can be used and adapted at the regional level and by the non-government sector.</w:t>
      </w:r>
    </w:p>
    <w:p w14:paraId="57DD4A7A" w14:textId="77777777" w:rsidR="00A92052" w:rsidRPr="00714824" w:rsidRDefault="00A92052" w:rsidP="00B37596">
      <w:pPr>
        <w:pStyle w:val="Heading2"/>
        <w:rPr>
          <w:rFonts w:eastAsia="MS Gothic"/>
          <w:b w:val="0"/>
          <w:bCs/>
        </w:rPr>
      </w:pPr>
      <w:bookmarkStart w:id="69" w:name="_Toc195193924"/>
      <w:bookmarkStart w:id="70" w:name="_Toc195614881"/>
      <w:bookmarkStart w:id="71" w:name="_Toc195778196"/>
      <w:bookmarkStart w:id="72" w:name="_Toc211959724"/>
      <w:r w:rsidRPr="00714824">
        <w:rPr>
          <w:rFonts w:eastAsia="MS Gothic"/>
          <w:b w:val="0"/>
          <w:bCs/>
        </w:rPr>
        <w:t>Governance</w:t>
      </w:r>
      <w:bookmarkEnd w:id="69"/>
      <w:bookmarkEnd w:id="70"/>
      <w:bookmarkEnd w:id="71"/>
      <w:bookmarkEnd w:id="72"/>
    </w:p>
    <w:p w14:paraId="5F7F0C1A" w14:textId="5E7700B4" w:rsidR="00A92052" w:rsidRDefault="00A92052" w:rsidP="00BA5FA5">
      <w:pPr>
        <w:pStyle w:val="Body"/>
      </w:pPr>
      <w:r w:rsidRPr="000E1049">
        <w:t xml:space="preserve">The </w:t>
      </w:r>
      <w:r w:rsidRPr="00963071">
        <w:t>Public Health and Wellbeing Act</w:t>
      </w:r>
      <w:r w:rsidRPr="000E1049">
        <w:t xml:space="preserve"> aims to achieve the highest attainable standard of public health and wellbeing</w:t>
      </w:r>
      <w:r>
        <w:t xml:space="preserve"> for all Victorians. </w:t>
      </w:r>
      <w:r w:rsidRPr="0080354A">
        <w:t xml:space="preserve">The Act requires </w:t>
      </w:r>
      <w:r>
        <w:t>the</w:t>
      </w:r>
      <w:r w:rsidRPr="0080354A">
        <w:t xml:space="preserve"> </w:t>
      </w:r>
      <w:r w:rsidR="00955CA3">
        <w:t>Victorian</w:t>
      </w:r>
      <w:r w:rsidR="00955CA3" w:rsidRPr="0080354A">
        <w:t xml:space="preserve"> </w:t>
      </w:r>
      <w:r w:rsidRPr="0080354A">
        <w:t>public health and wellbeing plan to be prepared every four years</w:t>
      </w:r>
      <w:r>
        <w:t>, with the first plan released in September 2011. Section 17(e)</w:t>
      </w:r>
      <w:r w:rsidR="00BD1615">
        <w:t xml:space="preserve"> </w:t>
      </w:r>
      <w:r>
        <w:t xml:space="preserve">of the Act requires the Secretary </w:t>
      </w:r>
      <w:r w:rsidR="00B23A28">
        <w:t xml:space="preserve">of the department </w:t>
      </w:r>
      <w:r w:rsidRPr="005E1F02">
        <w:t>to establish and maintain a comprehensive</w:t>
      </w:r>
      <w:r w:rsidR="00BD1615">
        <w:t xml:space="preserve"> </w:t>
      </w:r>
      <w:hyperlink r:id="rId25" w:anchor="information" w:history="1">
        <w:r w:rsidRPr="00591D65">
          <w:t>information</w:t>
        </w:r>
      </w:hyperlink>
      <w:r w:rsidR="00BD1615">
        <w:t xml:space="preserve"> </w:t>
      </w:r>
      <w:r w:rsidRPr="005E1F02">
        <w:t xml:space="preserve">system </w:t>
      </w:r>
      <w:r>
        <w:t xml:space="preserve">on the health status and determinants of health for Victorians. </w:t>
      </w:r>
    </w:p>
    <w:p w14:paraId="28001CDC" w14:textId="47C37B8D" w:rsidR="00A92052" w:rsidRPr="00807E02" w:rsidRDefault="00A92052" w:rsidP="00BA5FA5">
      <w:pPr>
        <w:pStyle w:val="Body"/>
      </w:pPr>
      <w:r w:rsidRPr="00807E02">
        <w:t xml:space="preserve">A </w:t>
      </w:r>
      <w:r w:rsidR="00C72B68">
        <w:t>W</w:t>
      </w:r>
      <w:r w:rsidR="00C72B68" w:rsidRPr="00807E02">
        <w:t>hole</w:t>
      </w:r>
      <w:r w:rsidR="00C72B68">
        <w:t xml:space="preserve"> </w:t>
      </w:r>
      <w:r w:rsidR="00C72B68" w:rsidRPr="00807E02">
        <w:t>of</w:t>
      </w:r>
      <w:r w:rsidR="00C72B68">
        <w:t xml:space="preserve"> </w:t>
      </w:r>
      <w:r w:rsidR="00C72B68" w:rsidRPr="00807E02">
        <w:t xml:space="preserve">Victorian </w:t>
      </w:r>
      <w:r w:rsidR="00C72B68">
        <w:t>G</w:t>
      </w:r>
      <w:r w:rsidR="00C72B68" w:rsidRPr="00807E02">
        <w:t xml:space="preserve">overnment </w:t>
      </w:r>
      <w:r w:rsidR="00D73A4E">
        <w:t>P</w:t>
      </w:r>
      <w:r w:rsidRPr="00807E02">
        <w:t xml:space="preserve">ublic </w:t>
      </w:r>
      <w:r w:rsidR="00922868">
        <w:t>H</w:t>
      </w:r>
      <w:r w:rsidRPr="00807E02">
        <w:t xml:space="preserve">ealth and </w:t>
      </w:r>
      <w:r w:rsidR="00922868">
        <w:t>W</w:t>
      </w:r>
      <w:r w:rsidRPr="00807E02">
        <w:t xml:space="preserve">ellbeing </w:t>
      </w:r>
      <w:r w:rsidR="00922868">
        <w:t>I</w:t>
      </w:r>
      <w:r w:rsidRPr="00DD4D0F">
        <w:t xml:space="preserve">nterdepartmental </w:t>
      </w:r>
      <w:r w:rsidR="00922868">
        <w:t>C</w:t>
      </w:r>
      <w:r w:rsidRPr="00DD4D0F">
        <w:t>ommittee</w:t>
      </w:r>
      <w:r>
        <w:t xml:space="preserve"> provides </w:t>
      </w:r>
      <w:r w:rsidRPr="00427C87">
        <w:t xml:space="preserve">governance </w:t>
      </w:r>
      <w:r>
        <w:t xml:space="preserve">and </w:t>
      </w:r>
      <w:r w:rsidRPr="00427C87">
        <w:t xml:space="preserve">oversight of the </w:t>
      </w:r>
      <w:r w:rsidRPr="00EE7588">
        <w:t xml:space="preserve">Victorian public </w:t>
      </w:r>
      <w:r w:rsidR="00861D7C">
        <w:t>h</w:t>
      </w:r>
      <w:r w:rsidRPr="00EE7588">
        <w:t>ealth and well</w:t>
      </w:r>
      <w:r w:rsidR="00861D7C">
        <w:t>be</w:t>
      </w:r>
      <w:r w:rsidRPr="00EE7588">
        <w:t>ing plan</w:t>
      </w:r>
      <w:r>
        <w:t xml:space="preserve">, the outcomes </w:t>
      </w:r>
      <w:r w:rsidRPr="00427C87">
        <w:t>framework and reporting mechanisms</w:t>
      </w:r>
      <w:r>
        <w:t xml:space="preserve">. The </w:t>
      </w:r>
      <w:r w:rsidRPr="00807E02">
        <w:t>Department of Health and Department of Premier and Cabinet</w:t>
      </w:r>
      <w:r>
        <w:t xml:space="preserve"> co-chair this committee.</w:t>
      </w:r>
    </w:p>
    <w:p w14:paraId="275FEE7A" w14:textId="0687D862" w:rsidR="00A92052" w:rsidRDefault="00A92052" w:rsidP="00BA5FA5">
      <w:pPr>
        <w:pStyle w:val="Body"/>
      </w:pPr>
      <w:r w:rsidRPr="00807E02">
        <w:t xml:space="preserve">An </w:t>
      </w:r>
      <w:r>
        <w:t>e</w:t>
      </w:r>
      <w:r w:rsidRPr="00807E02">
        <w:t>xternal advisory group of sector and consumer representatives provide</w:t>
      </w:r>
      <w:r>
        <w:t>s</w:t>
      </w:r>
      <w:r w:rsidRPr="00807E02">
        <w:t xml:space="preserve"> advice </w:t>
      </w:r>
      <w:r>
        <w:t xml:space="preserve">to the </w:t>
      </w:r>
      <w:r w:rsidR="00102210">
        <w:t xml:space="preserve">committee </w:t>
      </w:r>
      <w:r w:rsidRPr="00807E02">
        <w:t>on implementation of cross-government public health and wellbeing priorities.</w:t>
      </w:r>
    </w:p>
    <w:p w14:paraId="264C8DE5" w14:textId="49AC1077" w:rsidR="00A92052" w:rsidRPr="00F94022" w:rsidRDefault="00A92052" w:rsidP="00BA5FA5">
      <w:pPr>
        <w:pStyle w:val="Body"/>
      </w:pPr>
      <w:r>
        <w:t xml:space="preserve">Under the Act, local councils are required to prepare a municipal public health and wellbeing plan that has regard for the </w:t>
      </w:r>
      <w:r w:rsidR="006B6A7F">
        <w:t xml:space="preserve">Victorian </w:t>
      </w:r>
      <w:r>
        <w:t>public health and wellbeing plan and outcomes framework.</w:t>
      </w:r>
    </w:p>
    <w:p w14:paraId="61EC6048" w14:textId="77777777" w:rsidR="00A92052" w:rsidRPr="00714824" w:rsidRDefault="00A92052" w:rsidP="00B37596">
      <w:pPr>
        <w:pStyle w:val="Heading2"/>
        <w:rPr>
          <w:rFonts w:eastAsia="MS Gothic"/>
          <w:b w:val="0"/>
          <w:bCs/>
        </w:rPr>
      </w:pPr>
      <w:bookmarkStart w:id="73" w:name="_Toc195193925"/>
      <w:bookmarkStart w:id="74" w:name="_Toc195614882"/>
      <w:bookmarkStart w:id="75" w:name="_Toc195778197"/>
      <w:bookmarkStart w:id="76" w:name="_Toc211959725"/>
      <w:r w:rsidRPr="00714824">
        <w:rPr>
          <w:rFonts w:eastAsia="MS Gothic"/>
          <w:b w:val="0"/>
          <w:bCs/>
        </w:rPr>
        <w:t>Defining success and measuring progress</w:t>
      </w:r>
      <w:bookmarkEnd w:id="73"/>
      <w:bookmarkEnd w:id="74"/>
      <w:bookmarkEnd w:id="75"/>
      <w:bookmarkEnd w:id="76"/>
    </w:p>
    <w:p w14:paraId="44369F0B" w14:textId="7430DE0C" w:rsidR="00A92052" w:rsidRDefault="00A92052" w:rsidP="00BA5FA5">
      <w:pPr>
        <w:pStyle w:val="Body"/>
      </w:pPr>
      <w:r>
        <w:t xml:space="preserve">The outcomes framework sets a vision of success and is focused </w:t>
      </w:r>
      <w:proofErr w:type="gramStart"/>
      <w:r>
        <w:t>at</w:t>
      </w:r>
      <w:proofErr w:type="gramEnd"/>
      <w:r>
        <w:t xml:space="preserve"> the population level</w:t>
      </w:r>
      <w:r w:rsidR="006C1994">
        <w:t>,</w:t>
      </w:r>
      <w:r w:rsidRPr="008F17F9">
        <w:t xml:space="preserve"> </w:t>
      </w:r>
      <w:r>
        <w:t xml:space="preserve">to </w:t>
      </w:r>
      <w:r w:rsidRPr="001462EA">
        <w:t>provide an overview of the collective impact of our efforts over time.</w:t>
      </w:r>
      <w:r>
        <w:t xml:space="preserve"> It is a tool to ensure transparency in what we aim to achieve and whether we are achieving it.</w:t>
      </w:r>
    </w:p>
    <w:p w14:paraId="57C27072" w14:textId="77777777" w:rsidR="00672417" w:rsidRDefault="00A92052" w:rsidP="00BA5FA5">
      <w:pPr>
        <w:pStyle w:val="Body"/>
      </w:pPr>
      <w:r>
        <w:t xml:space="preserve">However, an outcomes approach does not replace the essential work of measuring inputs, activities and outputs. These allow us to show we have delivered on time and on </w:t>
      </w:r>
      <w:proofErr w:type="gramStart"/>
      <w:r>
        <w:t>budget</w:t>
      </w:r>
      <w:r w:rsidR="00EF5C90">
        <w:t>,</w:t>
      </w:r>
      <w:r>
        <w:t xml:space="preserve"> and</w:t>
      </w:r>
      <w:proofErr w:type="gramEnd"/>
      <w:r>
        <w:t xml:space="preserve"> are essential for meaningful accountability.</w:t>
      </w:r>
    </w:p>
    <w:p w14:paraId="7E80509E" w14:textId="6488BD5F" w:rsidR="00A92052" w:rsidRDefault="00A92052" w:rsidP="00BA5FA5">
      <w:pPr>
        <w:pStyle w:val="Body"/>
      </w:pPr>
      <w:r>
        <w:t>System, program and client</w:t>
      </w:r>
      <w:r w:rsidR="00EF5C90">
        <w:t>-</w:t>
      </w:r>
      <w:r>
        <w:t>level outcomes, such as service access and utilisation</w:t>
      </w:r>
      <w:r w:rsidR="00EF5C90">
        <w:t>,</w:t>
      </w:r>
      <w:r>
        <w:t xml:space="preserve"> or individual client outcomes, are measures of shorter-term impacts and are important to establish a clear line of sight between inputs, outputs and longer-term outcomes.</w:t>
      </w:r>
    </w:p>
    <w:p w14:paraId="46A120BC" w14:textId="1755287D" w:rsidR="00F9454E" w:rsidRDefault="00A92052" w:rsidP="00BA5FA5">
      <w:pPr>
        <w:pStyle w:val="Body"/>
      </w:pPr>
      <w:r w:rsidRPr="001462EA">
        <w:t xml:space="preserve">To enable a comprehensive assessment of the relationship between what we do, the resources we invest and the longer-term results, reports based on the outcomes framework must be complemented by </w:t>
      </w:r>
      <w:r>
        <w:t xml:space="preserve">other information </w:t>
      </w:r>
      <w:r w:rsidRPr="001462EA">
        <w:t>to understand what works in different contexts</w:t>
      </w:r>
      <w:r w:rsidR="00F9454E">
        <w:t>.</w:t>
      </w:r>
    </w:p>
    <w:p w14:paraId="1BA1C59F" w14:textId="4E18CB9B" w:rsidR="00A92052" w:rsidRPr="001462EA" w:rsidRDefault="00F9454E" w:rsidP="00BA5FA5">
      <w:pPr>
        <w:pStyle w:val="Body"/>
      </w:pPr>
      <w:r>
        <w:t>T</w:t>
      </w:r>
      <w:r w:rsidR="00A92052">
        <w:t>his includes:</w:t>
      </w:r>
      <w:r w:rsidR="00A92052" w:rsidRPr="001462EA">
        <w:t xml:space="preserve"> </w:t>
      </w:r>
    </w:p>
    <w:p w14:paraId="282720EE" w14:textId="14CF773D" w:rsidR="00A92052" w:rsidRDefault="00A92052" w:rsidP="00BA5FA5">
      <w:pPr>
        <w:pStyle w:val="Bullet1"/>
      </w:pPr>
      <w:r w:rsidRPr="001462EA">
        <w:lastRenderedPageBreak/>
        <w:t>performance management frameworks and service utilisation reporting</w:t>
      </w:r>
      <w:r w:rsidRPr="00243151">
        <w:t xml:space="preserve"> </w:t>
      </w:r>
      <w:r>
        <w:t>to</w:t>
      </w:r>
      <w:r w:rsidRPr="001462EA">
        <w:t xml:space="preserve"> understand inputs</w:t>
      </w:r>
      <w:r>
        <w:t>, activities and outputs (as defined by the Productivity Commission</w:t>
      </w:r>
      <w:r>
        <w:rPr>
          <w:rStyle w:val="FootnoteReference"/>
        </w:rPr>
        <w:footnoteReference w:id="11"/>
      </w:r>
      <w:r>
        <w:t>)</w:t>
      </w:r>
    </w:p>
    <w:p w14:paraId="00271ED6" w14:textId="5FDBAE82" w:rsidR="00A92052" w:rsidRPr="001462EA" w:rsidRDefault="00A92052" w:rsidP="00BA5FA5">
      <w:pPr>
        <w:pStyle w:val="Bullet1"/>
      </w:pPr>
      <w:r>
        <w:t>qualitative data that includes voices from diverse backgrounds to understand the lived experience</w:t>
      </w:r>
    </w:p>
    <w:p w14:paraId="77D69915" w14:textId="77777777" w:rsidR="00A92052" w:rsidRDefault="00A92052" w:rsidP="00BA5FA5">
      <w:pPr>
        <w:pStyle w:val="Bullet1"/>
      </w:pPr>
      <w:r w:rsidRPr="001462EA">
        <w:t xml:space="preserve">rigorous evaluation of programs and continuous </w:t>
      </w:r>
      <w:r>
        <w:t xml:space="preserve">improvement </w:t>
      </w:r>
      <w:r w:rsidRPr="001462EA">
        <w:t>efforts</w:t>
      </w:r>
      <w:r>
        <w:t>.</w:t>
      </w:r>
    </w:p>
    <w:p w14:paraId="7EBBB44F" w14:textId="27BF3774" w:rsidR="00A92052" w:rsidRPr="001665F7" w:rsidRDefault="00A92052" w:rsidP="00E35D97">
      <w:pPr>
        <w:pStyle w:val="Bodyafterbullets"/>
      </w:pPr>
      <w:r w:rsidRPr="001665F7">
        <w:t>The outcomes framework is broad because it reflects the wider determinants of health and wellbeing. Portfolio</w:t>
      </w:r>
      <w:r w:rsidR="007D3725">
        <w:t>-</w:t>
      </w:r>
      <w:r w:rsidRPr="001665F7">
        <w:t xml:space="preserve">based outcomes frameworks play an important role </w:t>
      </w:r>
      <w:r w:rsidRPr="00E40D35">
        <w:t>in amplifying our understanding of outcomes in different portfolio areas</w:t>
      </w:r>
      <w:r>
        <w:t xml:space="preserve"> and connecting our vision with work underway in other government sectors</w:t>
      </w:r>
      <w:r w:rsidRPr="00E40D35">
        <w:t>.</w:t>
      </w:r>
    </w:p>
    <w:p w14:paraId="020148B1" w14:textId="77777777" w:rsidR="00A92052" w:rsidRPr="00714824" w:rsidRDefault="00A92052" w:rsidP="00CF1A2A">
      <w:pPr>
        <w:pStyle w:val="Heading2"/>
        <w:rPr>
          <w:b w:val="0"/>
          <w:bCs/>
        </w:rPr>
      </w:pPr>
      <w:bookmarkStart w:id="77" w:name="_Toc195614883"/>
      <w:bookmarkStart w:id="78" w:name="_Toc195778198"/>
      <w:bookmarkStart w:id="79" w:name="_Toc211959726"/>
      <w:bookmarkStart w:id="80" w:name="_Toc195193926"/>
      <w:r w:rsidRPr="00714824">
        <w:rPr>
          <w:b w:val="0"/>
          <w:bCs/>
        </w:rPr>
        <w:t xml:space="preserve">Reporting against the </w:t>
      </w:r>
      <w:proofErr w:type="gramStart"/>
      <w:r w:rsidRPr="00714824">
        <w:rPr>
          <w:b w:val="0"/>
          <w:bCs/>
        </w:rPr>
        <w:t>outcomes</w:t>
      </w:r>
      <w:proofErr w:type="gramEnd"/>
      <w:r w:rsidRPr="00714824">
        <w:rPr>
          <w:b w:val="0"/>
          <w:bCs/>
        </w:rPr>
        <w:t xml:space="preserve"> framework</w:t>
      </w:r>
      <w:bookmarkEnd w:id="77"/>
      <w:bookmarkEnd w:id="78"/>
      <w:bookmarkEnd w:id="79"/>
    </w:p>
    <w:bookmarkEnd w:id="80"/>
    <w:p w14:paraId="064E69DF" w14:textId="370103D3" w:rsidR="00A92052" w:rsidRPr="00006B5B" w:rsidRDefault="00A92052" w:rsidP="00BA5FA5">
      <w:pPr>
        <w:pStyle w:val="Body"/>
      </w:pPr>
      <w:r w:rsidRPr="00006B5B">
        <w:t xml:space="preserve">Reporting against the </w:t>
      </w:r>
      <w:proofErr w:type="gramStart"/>
      <w:r w:rsidRPr="00006B5B">
        <w:t>outcomes</w:t>
      </w:r>
      <w:proofErr w:type="gramEnd"/>
      <w:r w:rsidRPr="00006B5B">
        <w:t xml:space="preserve"> framework includes assessment of progress towards identified targets and selected measures. The outcomes framework </w:t>
      </w:r>
      <w:r>
        <w:t>will be used to monitor the progress of longer-range outcomes, so it spans a longer timeframe than the current Victorian public health and wellbeing plan. It can take years, and sometimes decades, to see real improvements in many health outcomes at the population level</w:t>
      </w:r>
      <w:r w:rsidRPr="00006B5B">
        <w:t>.</w:t>
      </w:r>
    </w:p>
    <w:p w14:paraId="09405301" w14:textId="77777777" w:rsidR="00A92052" w:rsidRPr="002A7BB1" w:rsidRDefault="00A92052" w:rsidP="002A7BB1">
      <w:pPr>
        <w:pStyle w:val="Heading3"/>
      </w:pPr>
      <w:bookmarkStart w:id="81" w:name="_Toc195778199"/>
      <w:r w:rsidRPr="002A7BB1">
        <w:t xml:space="preserve">Progress reports and the </w:t>
      </w:r>
      <w:r w:rsidRPr="001D7CD0">
        <w:t>outcomes dashboard</w:t>
      </w:r>
      <w:bookmarkEnd w:id="81"/>
    </w:p>
    <w:p w14:paraId="03BD004F" w14:textId="1A405425" w:rsidR="00A92052" w:rsidRDefault="00A92052" w:rsidP="00BA5FA5">
      <w:pPr>
        <w:pStyle w:val="Body"/>
      </w:pPr>
      <w:r>
        <w:t xml:space="preserve">The </w:t>
      </w:r>
      <w:r w:rsidR="00BF5DDB">
        <w:t>d</w:t>
      </w:r>
      <w:r>
        <w:t xml:space="preserve">epartment reports on progress towards state targets identified in the </w:t>
      </w:r>
      <w:proofErr w:type="gramStart"/>
      <w:r>
        <w:t>outcomes</w:t>
      </w:r>
      <w:proofErr w:type="gramEnd"/>
      <w:r>
        <w:t xml:space="preserve"> framework once in every four-year planning cycle. Where targets are not identified, the direction of change for selected measures is monitored. </w:t>
      </w:r>
    </w:p>
    <w:p w14:paraId="63DAEA8F" w14:textId="4C241214" w:rsidR="00425B38" w:rsidRDefault="00A92052" w:rsidP="00BA5FA5">
      <w:pPr>
        <w:pStyle w:val="Body"/>
      </w:pPr>
      <w:r>
        <w:t>The progress reports provide a point</w:t>
      </w:r>
      <w:r w:rsidR="002A2098">
        <w:t>-</w:t>
      </w:r>
      <w:r>
        <w:t>in</w:t>
      </w:r>
      <w:r w:rsidR="002A2098">
        <w:t>-</w:t>
      </w:r>
      <w:r>
        <w:t>time summary of the state of health and wellbeing in Victoria</w:t>
      </w:r>
      <w:r w:rsidR="00E6068F">
        <w:t>. They</w:t>
      </w:r>
      <w:r>
        <w:t xml:space="preserve"> explore how trends in health and wellbeing outcomes have been tracking over the longer </w:t>
      </w:r>
      <w:proofErr w:type="gramStart"/>
      <w:r>
        <w:t>term, and</w:t>
      </w:r>
      <w:proofErr w:type="gramEnd"/>
      <w:r>
        <w:t xml:space="preserve"> </w:t>
      </w:r>
      <w:r w:rsidR="00E6068F">
        <w:t xml:space="preserve">provide </w:t>
      </w:r>
      <w:r>
        <w:t>an assessment of whether we are on track to meet targets.</w:t>
      </w:r>
    </w:p>
    <w:p w14:paraId="04C18EB4" w14:textId="3EF1D0A1" w:rsidR="00A92052" w:rsidRPr="00923D35" w:rsidRDefault="00A92052" w:rsidP="00BA5FA5">
      <w:pPr>
        <w:pStyle w:val="Body"/>
        <w:rPr>
          <w:rStyle w:val="Heading3Char"/>
        </w:rPr>
      </w:pPr>
      <w:r>
        <w:t>The progress report</w:t>
      </w:r>
      <w:r w:rsidR="00425B38">
        <w:t>s</w:t>
      </w:r>
      <w:r>
        <w:t xml:space="preserve"> </w:t>
      </w:r>
      <w:r w:rsidR="00425B38">
        <w:t xml:space="preserve">are </w:t>
      </w:r>
      <w:r>
        <w:t>used to inform the development of the next four-year statewide public health and wellbeing plan. F</w:t>
      </w:r>
      <w:r w:rsidRPr="002E633D">
        <w:t xml:space="preserve">rameworks like intersectionality and lived experience will </w:t>
      </w:r>
      <w:r>
        <w:t xml:space="preserve">be </w:t>
      </w:r>
      <w:r w:rsidR="00425B38">
        <w:t xml:space="preserve">used </w:t>
      </w:r>
      <w:r>
        <w:t xml:space="preserve">to </w:t>
      </w:r>
      <w:r w:rsidRPr="002E633D">
        <w:t xml:space="preserve">support reporting and analysis of </w:t>
      </w:r>
      <w:r>
        <w:t>public health and wellbeing measures.</w:t>
      </w:r>
    </w:p>
    <w:p w14:paraId="108C3E37" w14:textId="0194B30B" w:rsidR="00A92052" w:rsidRPr="001A4769" w:rsidRDefault="00A92052" w:rsidP="00BA5FA5">
      <w:pPr>
        <w:pStyle w:val="Body"/>
      </w:pPr>
      <w:r>
        <w:t>A</w:t>
      </w:r>
      <w:r w:rsidRPr="0023035A">
        <w:rPr>
          <w:rFonts w:hint="eastAsia"/>
        </w:rPr>
        <w:t xml:space="preserve"> dashboard provides a single point of access to a wide range of contemporary population health data, as documented </w:t>
      </w:r>
      <w:r>
        <w:t xml:space="preserve">in the </w:t>
      </w:r>
      <w:proofErr w:type="gramStart"/>
      <w:r>
        <w:t>outcomes</w:t>
      </w:r>
      <w:proofErr w:type="gramEnd"/>
      <w:r>
        <w:t xml:space="preserve"> framework. </w:t>
      </w:r>
      <w:r w:rsidRPr="0023035A">
        <w:rPr>
          <w:rFonts w:hint="eastAsia"/>
        </w:rPr>
        <w:t xml:space="preserve">The dashboard </w:t>
      </w:r>
      <w:r>
        <w:t>is</w:t>
      </w:r>
      <w:r w:rsidRPr="0023035A">
        <w:rPr>
          <w:rFonts w:hint="eastAsia"/>
        </w:rPr>
        <w:t xml:space="preserve"> maintained and updated as data becomes available each year.</w:t>
      </w:r>
      <w:r>
        <w:t xml:space="preserve"> </w:t>
      </w:r>
      <w:r w:rsidRPr="0023035A">
        <w:rPr>
          <w:rFonts w:hint="eastAsia"/>
        </w:rPr>
        <w:t>The visualisations illustrate changes in outcomes and inequalities over time</w:t>
      </w:r>
      <w:r w:rsidR="00363AAB">
        <w:t>,</w:t>
      </w:r>
      <w:r w:rsidRPr="0023035A">
        <w:rPr>
          <w:rFonts w:hint="eastAsia"/>
        </w:rPr>
        <w:t xml:space="preserve"> and by different demographic breakdowns of inequality. </w:t>
      </w:r>
    </w:p>
    <w:p w14:paraId="6F3B7C5A" w14:textId="77777777" w:rsidR="00A92052" w:rsidRPr="00AA3033" w:rsidRDefault="00A92052" w:rsidP="00AA3033">
      <w:pPr>
        <w:pStyle w:val="Heading3"/>
      </w:pPr>
      <w:bookmarkStart w:id="82" w:name="_Toc195193927"/>
      <w:bookmarkStart w:id="83" w:name="_Toc195778200"/>
      <w:r w:rsidRPr="00AA3033">
        <w:t>Data sources and definitions</w:t>
      </w:r>
      <w:bookmarkEnd w:id="82"/>
      <w:bookmarkEnd w:id="83"/>
    </w:p>
    <w:p w14:paraId="581E80BB" w14:textId="77777777" w:rsidR="00A92052" w:rsidRDefault="00A92052" w:rsidP="00BA5FA5">
      <w:pPr>
        <w:pStyle w:val="Body"/>
      </w:pPr>
      <w:r>
        <w:t xml:space="preserve">The datasets used to inform the measures in the </w:t>
      </w:r>
      <w:proofErr w:type="gramStart"/>
      <w:r>
        <w:t>outcomes</w:t>
      </w:r>
      <w:proofErr w:type="gramEnd"/>
      <w:r>
        <w:t xml:space="preserve"> framework are all existing administrative data collections or population health surveys from a range of data custodians. </w:t>
      </w:r>
    </w:p>
    <w:p w14:paraId="253D5F7A" w14:textId="313911F4" w:rsidR="00A92052" w:rsidRDefault="00A92052" w:rsidP="00BA5FA5">
      <w:pPr>
        <w:pStyle w:val="Body"/>
      </w:pPr>
      <w:r>
        <w:t>S</w:t>
      </w:r>
      <w:r w:rsidRPr="00385A3B">
        <w:t xml:space="preserve">upporting </w:t>
      </w:r>
      <w:r>
        <w:t xml:space="preserve">the </w:t>
      </w:r>
      <w:r w:rsidRPr="00385A3B">
        <w:t>outcomes framework</w:t>
      </w:r>
      <w:r>
        <w:t xml:space="preserve">, the </w:t>
      </w:r>
      <w:r w:rsidRPr="00385A3B">
        <w:t xml:space="preserve">data dictionary provides detailed technical specifications for every measure identified in the </w:t>
      </w:r>
      <w:proofErr w:type="gramStart"/>
      <w:r w:rsidR="00CA0F89">
        <w:t>outcomes</w:t>
      </w:r>
      <w:proofErr w:type="gramEnd"/>
      <w:r w:rsidR="00CA0F89">
        <w:t xml:space="preserve"> </w:t>
      </w:r>
      <w:r w:rsidRPr="00385A3B">
        <w:t>framework.</w:t>
      </w:r>
    </w:p>
    <w:p w14:paraId="3E84811F" w14:textId="028F545F" w:rsidR="00A92052" w:rsidRDefault="00A92052" w:rsidP="00BA5FA5">
      <w:pPr>
        <w:pStyle w:val="Body"/>
      </w:pPr>
      <w:r>
        <w:t xml:space="preserve">More than </w:t>
      </w:r>
      <w:r w:rsidRPr="00311F24">
        <w:t>40</w:t>
      </w:r>
      <w:r>
        <w:t xml:space="preserve"> Victorian or Australian data collections are drawn on to monitor health and wellbeing changes over time. For </w:t>
      </w:r>
      <w:r w:rsidR="005D7DAF">
        <w:t xml:space="preserve">more </w:t>
      </w:r>
      <w:r>
        <w:t>information about each of the datasets, visit the website</w:t>
      </w:r>
      <w:r w:rsidR="005D7DAF">
        <w:t>s</w:t>
      </w:r>
      <w:r>
        <w:t xml:space="preserve"> of the custodian</w:t>
      </w:r>
      <w:r w:rsidR="005D7DAF">
        <w:t>s</w:t>
      </w:r>
      <w:r>
        <w:t xml:space="preserve"> provided in </w:t>
      </w:r>
      <w:hyperlink w:anchor="_Appendix_1" w:history="1">
        <w:r w:rsidRPr="0045601D">
          <w:rPr>
            <w:rStyle w:val="Hyperlink"/>
          </w:rPr>
          <w:t xml:space="preserve">Appendix </w:t>
        </w:r>
        <w:r w:rsidR="007675DF" w:rsidRPr="007675DF">
          <w:rPr>
            <w:rStyle w:val="Hyperlink"/>
          </w:rPr>
          <w:t>1</w:t>
        </w:r>
      </w:hyperlink>
      <w:r>
        <w:t xml:space="preserve">. </w:t>
      </w:r>
    </w:p>
    <w:p w14:paraId="7C5A45C5" w14:textId="77777777" w:rsidR="00A92052" w:rsidRPr="00714824" w:rsidRDefault="00A92052" w:rsidP="00BA5FA5">
      <w:pPr>
        <w:pStyle w:val="Heading2"/>
        <w:rPr>
          <w:b w:val="0"/>
          <w:bCs/>
        </w:rPr>
      </w:pPr>
      <w:bookmarkStart w:id="84" w:name="_Toc195193928"/>
      <w:bookmarkStart w:id="85" w:name="_Toc195614884"/>
      <w:bookmarkStart w:id="86" w:name="_Toc195778201"/>
      <w:bookmarkStart w:id="87" w:name="_Toc211959727"/>
      <w:r w:rsidRPr="00714824">
        <w:rPr>
          <w:b w:val="0"/>
          <w:bCs/>
        </w:rPr>
        <w:lastRenderedPageBreak/>
        <w:t>Future directions and data gaps</w:t>
      </w:r>
      <w:bookmarkEnd w:id="84"/>
      <w:bookmarkEnd w:id="85"/>
      <w:bookmarkEnd w:id="86"/>
      <w:bookmarkEnd w:id="87"/>
    </w:p>
    <w:p w14:paraId="2E3389A8" w14:textId="77777777" w:rsidR="00A92052" w:rsidRDefault="00A92052" w:rsidP="00BA5FA5">
      <w:pPr>
        <w:pStyle w:val="Body"/>
      </w:pPr>
      <w:r>
        <w:t xml:space="preserve">Although the outcomes in the framework have been chosen for long-term relevance, it may be necessary to update measures and targets as the public health system evolves and changes. It is therefore important that the outcomes framework is flexible enough to adapt to these changes. </w:t>
      </w:r>
    </w:p>
    <w:p w14:paraId="0A34CBE0" w14:textId="77777777" w:rsidR="00A92052" w:rsidRPr="00FA439F" w:rsidRDefault="00A92052" w:rsidP="00BA5FA5">
      <w:pPr>
        <w:pStyle w:val="Heading3"/>
      </w:pPr>
      <w:bookmarkStart w:id="88" w:name="_Toc195778202"/>
      <w:r>
        <w:t>I</w:t>
      </w:r>
      <w:r w:rsidRPr="00FA439F">
        <w:t>dentifying data gaps</w:t>
      </w:r>
      <w:bookmarkEnd w:id="88"/>
      <w:r w:rsidRPr="00FA439F">
        <w:t xml:space="preserve"> </w:t>
      </w:r>
    </w:p>
    <w:p w14:paraId="267DFBAF" w14:textId="08FB6E07" w:rsidR="00A92052" w:rsidRDefault="00A92052" w:rsidP="00BA5FA5">
      <w:pPr>
        <w:pStyle w:val="Body"/>
      </w:pPr>
      <w:r>
        <w:t xml:space="preserve">The refresh of the </w:t>
      </w:r>
      <w:proofErr w:type="gramStart"/>
      <w:r>
        <w:t>outcomes</w:t>
      </w:r>
      <w:proofErr w:type="gramEnd"/>
      <w:r>
        <w:t xml:space="preserve"> framework identified some gaps that were unable to be fully addressed as part of the refresh project. These areas are highlighted below and will be explored further over time</w:t>
      </w:r>
      <w:r w:rsidR="004F6FC4">
        <w:t>.</w:t>
      </w:r>
      <w:r>
        <w:t xml:space="preserve"> </w:t>
      </w:r>
      <w:r w:rsidR="004F6FC4">
        <w:t>U</w:t>
      </w:r>
      <w:r>
        <w:t xml:space="preserve">pdates will be made to the </w:t>
      </w:r>
      <w:proofErr w:type="gramStart"/>
      <w:r>
        <w:t>outcomes</w:t>
      </w:r>
      <w:proofErr w:type="gramEnd"/>
      <w:r>
        <w:t xml:space="preserve"> framework as necessary.</w:t>
      </w:r>
    </w:p>
    <w:p w14:paraId="4A2D41F7" w14:textId="77777777" w:rsidR="00A92052" w:rsidRDefault="00A92052" w:rsidP="00BA5FA5">
      <w:pPr>
        <w:pStyle w:val="Body"/>
      </w:pPr>
      <w:r>
        <w:t>Key gaps include:</w:t>
      </w:r>
    </w:p>
    <w:p w14:paraId="45486EF5" w14:textId="22BFB0BF" w:rsidR="00A92052" w:rsidRDefault="004F6FC4" w:rsidP="00BA5FA5">
      <w:pPr>
        <w:pStyle w:val="Bullet1"/>
      </w:pPr>
      <w:r>
        <w:rPr>
          <w:b/>
          <w:bCs/>
        </w:rPr>
        <w:t>p</w:t>
      </w:r>
      <w:r w:rsidR="00A92052" w:rsidRPr="0039728E">
        <w:rPr>
          <w:b/>
          <w:bCs/>
        </w:rPr>
        <w:t>articipation in sport and active living</w:t>
      </w:r>
      <w:r w:rsidR="00A92052" w:rsidRPr="00E50ACD">
        <w:t xml:space="preserve"> </w:t>
      </w:r>
      <w:r w:rsidR="00A92052">
        <w:t>–</w:t>
      </w:r>
      <w:r w:rsidR="00E00DEA">
        <w:t xml:space="preserve"> which</w:t>
      </w:r>
      <w:r w:rsidR="00A92052">
        <w:t xml:space="preserve"> </w:t>
      </w:r>
      <w:r w:rsidR="00A92052" w:rsidRPr="00E50ACD">
        <w:t>is partly addressed by existing measures</w:t>
      </w:r>
      <w:r w:rsidR="00A92052">
        <w:t xml:space="preserve">. Data on active transport use </w:t>
      </w:r>
      <w:r w:rsidR="42DB7EAD">
        <w:t>is</w:t>
      </w:r>
      <w:r w:rsidR="00A92052">
        <w:t xml:space="preserve"> not currently available at a </w:t>
      </w:r>
      <w:r w:rsidR="00F00477">
        <w:t>whole-of-</w:t>
      </w:r>
      <w:r w:rsidR="00A92052">
        <w:t>population level</w:t>
      </w:r>
      <w:r w:rsidR="331D4F57">
        <w:t>.</w:t>
      </w:r>
    </w:p>
    <w:p w14:paraId="06D578C3" w14:textId="500EBA40" w:rsidR="00A92052" w:rsidRDefault="004F6FC4" w:rsidP="00BA5FA5">
      <w:pPr>
        <w:pStyle w:val="Bullet1"/>
      </w:pPr>
      <w:r>
        <w:rPr>
          <w:b/>
          <w:bCs/>
        </w:rPr>
        <w:t>f</w:t>
      </w:r>
      <w:r w:rsidR="00A92052" w:rsidRPr="001930AF">
        <w:rPr>
          <w:b/>
          <w:bCs/>
        </w:rPr>
        <w:t>ood insecurity</w:t>
      </w:r>
      <w:r w:rsidR="00A92052">
        <w:t xml:space="preserve"> – there is an opportunity to collect and use more granular data to explore this issue and the impact on children, acknowledging that food insecurity exists on a continuum</w:t>
      </w:r>
    </w:p>
    <w:p w14:paraId="46867674" w14:textId="6B6A8511" w:rsidR="00A92052" w:rsidRPr="00CD4DA0" w:rsidRDefault="004F6FC4" w:rsidP="00BA5FA5">
      <w:pPr>
        <w:pStyle w:val="Bullet1"/>
      </w:pPr>
      <w:r>
        <w:rPr>
          <w:b/>
          <w:bCs/>
        </w:rPr>
        <w:t>f</w:t>
      </w:r>
      <w:r w:rsidR="00A92052">
        <w:rPr>
          <w:b/>
          <w:bCs/>
        </w:rPr>
        <w:t>ood system</w:t>
      </w:r>
      <w:r w:rsidR="00A92052" w:rsidRPr="002D0324">
        <w:t xml:space="preserve"> </w:t>
      </w:r>
      <w:r w:rsidR="00A92052">
        <w:t xml:space="preserve">– </w:t>
      </w:r>
      <w:r w:rsidR="00486BC0">
        <w:t>v</w:t>
      </w:r>
      <w:r w:rsidR="00A92052" w:rsidRPr="2BFC43B7">
        <w:t xml:space="preserve">alidated tools for discretionary food consumption or </w:t>
      </w:r>
      <w:r w:rsidR="00A92052">
        <w:t xml:space="preserve">consistent </w:t>
      </w:r>
      <w:r w:rsidR="00A92052" w:rsidRPr="2BFC43B7">
        <w:t>ways of capturing data relating to more detailed food consumption</w:t>
      </w:r>
      <w:r w:rsidR="00A92052">
        <w:t xml:space="preserve"> at a population level are needed</w:t>
      </w:r>
    </w:p>
    <w:p w14:paraId="2F7B2106" w14:textId="6F0967F2" w:rsidR="00A92052" w:rsidRDefault="00194FB0" w:rsidP="00BA5FA5">
      <w:pPr>
        <w:pStyle w:val="Bullet1"/>
      </w:pPr>
      <w:r>
        <w:rPr>
          <w:b/>
          <w:bCs/>
        </w:rPr>
        <w:t>c</w:t>
      </w:r>
      <w:r w:rsidR="00A92052">
        <w:rPr>
          <w:b/>
          <w:bCs/>
        </w:rPr>
        <w:t xml:space="preserve">ultural determinants of health </w:t>
      </w:r>
      <w:r w:rsidR="00A92052">
        <w:t>– Aboriginal peoples’ connection to Country, Community, Kin and Self-determination, as strength-based protective factors, are not currently supported with reliable measures across health datasets. These measures will require engagement with Aboriginal communities to develop and include in the government’s accountability mechanisms</w:t>
      </w:r>
    </w:p>
    <w:p w14:paraId="21AEB7B3" w14:textId="7016AE94" w:rsidR="00A92052" w:rsidRDefault="00194FB0" w:rsidP="00BA5FA5">
      <w:pPr>
        <w:pStyle w:val="Bullet1"/>
      </w:pPr>
      <w:r>
        <w:rPr>
          <w:b/>
          <w:bCs/>
        </w:rPr>
        <w:t>c</w:t>
      </w:r>
      <w:r w:rsidR="00A92052" w:rsidRPr="001930AF">
        <w:rPr>
          <w:b/>
          <w:bCs/>
        </w:rPr>
        <w:t>ommercial determinants of health</w:t>
      </w:r>
      <w:r w:rsidR="00A92052">
        <w:t xml:space="preserve"> – the impact of c</w:t>
      </w:r>
      <w:r w:rsidR="00A92052" w:rsidRPr="00881F42">
        <w:t>ommercial determinants a</w:t>
      </w:r>
      <w:r w:rsidR="00A92052">
        <w:t xml:space="preserve">re </w:t>
      </w:r>
      <w:r w:rsidR="00A92052" w:rsidRPr="00881F42">
        <w:t xml:space="preserve">partly addressed by existing measures </w:t>
      </w:r>
      <w:r w:rsidR="00A92052">
        <w:t xml:space="preserve">relating to gambling loss, smoking and harmful alcohol consumption. Indicators of exposure to </w:t>
      </w:r>
      <w:r w:rsidR="00A92052" w:rsidRPr="00772EBB">
        <w:t>profit-driven factors that influence health</w:t>
      </w:r>
      <w:r w:rsidR="00A92052">
        <w:t xml:space="preserve"> are challenging to assess at a sub</w:t>
      </w:r>
      <w:r w:rsidR="00287F93">
        <w:t>population</w:t>
      </w:r>
      <w:r w:rsidR="00A92052">
        <w:t xml:space="preserve"> level and require further exploration</w:t>
      </w:r>
    </w:p>
    <w:p w14:paraId="46CA23AC" w14:textId="5CCE07FE" w:rsidR="00A92052" w:rsidRDefault="00194FB0" w:rsidP="00BA5FA5">
      <w:pPr>
        <w:pStyle w:val="Bullet1"/>
      </w:pPr>
      <w:r>
        <w:rPr>
          <w:b/>
          <w:bCs/>
        </w:rPr>
        <w:t>a</w:t>
      </w:r>
      <w:r w:rsidR="00A92052" w:rsidRPr="00F7406A">
        <w:rPr>
          <w:b/>
          <w:bCs/>
        </w:rPr>
        <w:t>ntimicrobial resistance</w:t>
      </w:r>
      <w:r w:rsidR="00A92052">
        <w:t xml:space="preserve"> – a</w:t>
      </w:r>
      <w:r w:rsidR="00A92052" w:rsidRPr="00865F71">
        <w:t xml:space="preserve">ntimicrobial resistance in gonorrhoea </w:t>
      </w:r>
      <w:r w:rsidR="00A92052">
        <w:t xml:space="preserve">is added to the framework as it </w:t>
      </w:r>
      <w:r w:rsidR="00A92052" w:rsidRPr="00865F71">
        <w:t xml:space="preserve">has </w:t>
      </w:r>
      <w:r w:rsidR="00A92052" w:rsidRPr="003A48EE">
        <w:t>increased rapidly in recent years</w:t>
      </w:r>
      <w:r w:rsidR="00A92052" w:rsidRPr="00865F71">
        <w:t xml:space="preserve"> and has reduced options for treatment</w:t>
      </w:r>
      <w:r w:rsidR="00A92052">
        <w:t>, with</w:t>
      </w:r>
      <w:r w:rsidR="00A92052" w:rsidRPr="00166581">
        <w:t xml:space="preserve"> critical implications </w:t>
      </w:r>
      <w:r w:rsidR="00A92052">
        <w:t>for</w:t>
      </w:r>
      <w:r w:rsidR="00A92052" w:rsidRPr="00166581">
        <w:t xml:space="preserve"> reproductive, maternal and newborn health</w:t>
      </w:r>
      <w:r w:rsidR="00A92052">
        <w:t xml:space="preserve">. Other measures of </w:t>
      </w:r>
      <w:r w:rsidR="007F128C">
        <w:t>a</w:t>
      </w:r>
      <w:r w:rsidR="007F128C" w:rsidRPr="00865F71">
        <w:t xml:space="preserve">ntimicrobial resistance </w:t>
      </w:r>
      <w:r w:rsidR="00A92052">
        <w:t>will be added over</w:t>
      </w:r>
      <w:r w:rsidR="00B4613E">
        <w:t xml:space="preserve"> </w:t>
      </w:r>
      <w:r w:rsidR="00A92052">
        <w:t>time</w:t>
      </w:r>
    </w:p>
    <w:p w14:paraId="53C74890" w14:textId="214E70E2" w:rsidR="00A92052" w:rsidRDefault="00D95C71" w:rsidP="00BA5FA5">
      <w:pPr>
        <w:pStyle w:val="Bullet1"/>
      </w:pPr>
      <w:r>
        <w:rPr>
          <w:b/>
          <w:bCs/>
        </w:rPr>
        <w:t>e</w:t>
      </w:r>
      <w:r w:rsidR="00A92052" w:rsidRPr="00F7406A">
        <w:rPr>
          <w:b/>
          <w:bCs/>
        </w:rPr>
        <w:t>lder abuse</w:t>
      </w:r>
      <w:r w:rsidR="00A92052">
        <w:t xml:space="preserve"> – a reliable data source</w:t>
      </w:r>
      <w:r w:rsidR="00A92052" w:rsidRPr="004A5FF1">
        <w:t xml:space="preserve"> at a statewide population level</w:t>
      </w:r>
      <w:r w:rsidR="00A92052">
        <w:t xml:space="preserve"> has not yet been identified</w:t>
      </w:r>
    </w:p>
    <w:p w14:paraId="1F37964E" w14:textId="3F0E6E1C" w:rsidR="00A92052" w:rsidRDefault="00194FB0" w:rsidP="00BA5FA5">
      <w:pPr>
        <w:pStyle w:val="Bullet1"/>
      </w:pPr>
      <w:r>
        <w:rPr>
          <w:b/>
          <w:bCs/>
        </w:rPr>
        <w:t>s</w:t>
      </w:r>
      <w:r w:rsidR="00A92052" w:rsidRPr="00F7406A">
        <w:rPr>
          <w:b/>
          <w:bCs/>
        </w:rPr>
        <w:t>ocial connection</w:t>
      </w:r>
      <w:r w:rsidR="00A92052">
        <w:t xml:space="preserve"> – </w:t>
      </w:r>
      <w:r w:rsidR="00A92052" w:rsidRPr="007669C9">
        <w:t>is partly addressed</w:t>
      </w:r>
      <w:r w:rsidR="00A92052">
        <w:t xml:space="preserve"> by existing measures and has been strengthened with the introduction of measures relating to loneliness and volunteering rates</w:t>
      </w:r>
      <w:r w:rsidR="0081527A">
        <w:t>.</w:t>
      </w:r>
      <w:r w:rsidR="00A92052">
        <w:t xml:space="preserve"> </w:t>
      </w:r>
      <w:r w:rsidR="0081527A">
        <w:t>H</w:t>
      </w:r>
      <w:r w:rsidR="00A92052">
        <w:t>owever</w:t>
      </w:r>
      <w:r w:rsidR="0081527A">
        <w:t>,</w:t>
      </w:r>
      <w:r w:rsidR="00A92052">
        <w:t xml:space="preserve"> participation in community events and activities is a gap</w:t>
      </w:r>
    </w:p>
    <w:p w14:paraId="328DE795" w14:textId="1A47A03E" w:rsidR="00A92052" w:rsidRDefault="00D95C71" w:rsidP="00BA5FA5">
      <w:pPr>
        <w:pStyle w:val="Bullet1"/>
      </w:pPr>
      <w:r>
        <w:rPr>
          <w:b/>
          <w:bCs/>
        </w:rPr>
        <w:t>l</w:t>
      </w:r>
      <w:r w:rsidR="00A92052" w:rsidRPr="0039728E">
        <w:rPr>
          <w:b/>
          <w:bCs/>
        </w:rPr>
        <w:t>iveability</w:t>
      </w:r>
      <w:r w:rsidR="00A92052">
        <w:rPr>
          <w:b/>
          <w:bCs/>
        </w:rPr>
        <w:t xml:space="preserve">, built and natural environment </w:t>
      </w:r>
      <w:r w:rsidR="00A92052" w:rsidRPr="0039728E">
        <w:rPr>
          <w:b/>
          <w:bCs/>
        </w:rPr>
        <w:t>indicators</w:t>
      </w:r>
      <w:r w:rsidR="00A92052">
        <w:t xml:space="preserve"> – d</w:t>
      </w:r>
      <w:r w:rsidR="00A92052" w:rsidRPr="009D293A">
        <w:t xml:space="preserve">ata on </w:t>
      </w:r>
      <w:r w:rsidR="00A92052">
        <w:t xml:space="preserve">liveability, </w:t>
      </w:r>
      <w:r w:rsidR="00A92052" w:rsidRPr="009D293A">
        <w:t xml:space="preserve">tree canopy and access to 20-minute neighbourhoods </w:t>
      </w:r>
      <w:r w:rsidR="00A92052">
        <w:t>is frequently used to inform policy setting</w:t>
      </w:r>
      <w:r w:rsidR="009A0116">
        <w:t>.</w:t>
      </w:r>
      <w:r w:rsidR="00A92052">
        <w:t xml:space="preserve"> </w:t>
      </w:r>
      <w:r w:rsidR="009A0116">
        <w:t>H</w:t>
      </w:r>
      <w:r w:rsidR="00A92052">
        <w:t>owever</w:t>
      </w:r>
      <w:r w:rsidR="009A0116">
        <w:t>,</w:t>
      </w:r>
      <w:r w:rsidR="00A92052">
        <w:t xml:space="preserve"> data is </w:t>
      </w:r>
      <w:r w:rsidR="00A92052" w:rsidRPr="009D293A">
        <w:t xml:space="preserve">not </w:t>
      </w:r>
      <w:r w:rsidR="00A92052">
        <w:t xml:space="preserve">currently </w:t>
      </w:r>
      <w:r w:rsidR="00A92052" w:rsidRPr="009D293A">
        <w:t xml:space="preserve">available </w:t>
      </w:r>
      <w:r w:rsidR="00A92052">
        <w:t xml:space="preserve">at a </w:t>
      </w:r>
      <w:r w:rsidR="00F00477">
        <w:t>whole-of-</w:t>
      </w:r>
      <w:r w:rsidR="00A92052">
        <w:t xml:space="preserve">population level. </w:t>
      </w:r>
    </w:p>
    <w:p w14:paraId="08FA1048" w14:textId="06322182" w:rsidR="00A92052" w:rsidRDefault="00A92052" w:rsidP="00E35D97">
      <w:pPr>
        <w:pStyle w:val="Bodyafterbullets"/>
      </w:pPr>
      <w:r>
        <w:t xml:space="preserve">A small number of measures included in the </w:t>
      </w:r>
      <w:proofErr w:type="gramStart"/>
      <w:r>
        <w:t>outcomes</w:t>
      </w:r>
      <w:proofErr w:type="gramEnd"/>
      <w:r>
        <w:t xml:space="preserve"> framework do not have reliable data sources. These measures have been retained because it is anticipated that further development of these measures will occur in the next </w:t>
      </w:r>
      <w:r w:rsidR="009C074D">
        <w:t xml:space="preserve">six to </w:t>
      </w:r>
      <w:r>
        <w:t xml:space="preserve">12 months. Measures </w:t>
      </w:r>
      <w:r w:rsidR="009C074D">
        <w:t xml:space="preserve">that </w:t>
      </w:r>
      <w:r>
        <w:t xml:space="preserve">may be affected by these developments have been identified in the framework with the annotation </w:t>
      </w:r>
      <w:r w:rsidR="009C074D">
        <w:t>‘</w:t>
      </w:r>
      <w:r w:rsidRPr="00E65DD4">
        <w:t>To be reviewed</w:t>
      </w:r>
      <w:r w:rsidR="009C074D">
        <w:t>’</w:t>
      </w:r>
      <w:r>
        <w:t>.</w:t>
      </w:r>
    </w:p>
    <w:p w14:paraId="7C4F42C4" w14:textId="12254C27" w:rsidR="00A92052" w:rsidRDefault="00A92052" w:rsidP="00BA5FA5">
      <w:pPr>
        <w:pStyle w:val="Body"/>
      </w:pPr>
      <w:r w:rsidRPr="002F2FE8">
        <w:t>The outcomes framework will be regularly reviewed to inc</w:t>
      </w:r>
      <w:r w:rsidR="00EB0083">
        <w:t>orporate</w:t>
      </w:r>
      <w:r w:rsidRPr="002F2FE8">
        <w:t xml:space="preserve"> new </w:t>
      </w:r>
      <w:r>
        <w:t xml:space="preserve">measures and </w:t>
      </w:r>
      <w:r w:rsidRPr="002F2FE8">
        <w:t>targets as the government makes commitments</w:t>
      </w:r>
      <w:r w:rsidR="002548F6">
        <w:t>,</w:t>
      </w:r>
      <w:r w:rsidRPr="002F2FE8">
        <w:t xml:space="preserve"> </w:t>
      </w:r>
      <w:r w:rsidR="002A1C18">
        <w:t xml:space="preserve">updates other outcomes frameworks, </w:t>
      </w:r>
      <w:r w:rsidR="00EB0083">
        <w:t>or</w:t>
      </w:r>
      <w:r w:rsidRPr="002F2FE8">
        <w:t xml:space="preserve"> new population health and wellbeing data sources</w:t>
      </w:r>
      <w:r>
        <w:t xml:space="preserve"> </w:t>
      </w:r>
      <w:r w:rsidRPr="002F2FE8">
        <w:t>become available.</w:t>
      </w:r>
      <w:r>
        <w:t xml:space="preserve"> While </w:t>
      </w:r>
      <w:r w:rsidRPr="00AB058D">
        <w:t>no changes</w:t>
      </w:r>
      <w:r>
        <w:t xml:space="preserve"> or additional </w:t>
      </w:r>
      <w:r w:rsidRPr="00AB058D">
        <w:t xml:space="preserve">inclusions </w:t>
      </w:r>
      <w:r>
        <w:t>will be made to the framework until the next formal review in 20</w:t>
      </w:r>
      <w:r w:rsidR="001012CC">
        <w:t>30</w:t>
      </w:r>
      <w:r>
        <w:t xml:space="preserve">, </w:t>
      </w:r>
      <w:r w:rsidRPr="00AB058D">
        <w:t xml:space="preserve">new </w:t>
      </w:r>
      <w:r>
        <w:t xml:space="preserve">population health and wellbeing </w:t>
      </w:r>
      <w:r w:rsidRPr="00AB058D">
        <w:t>data sources and</w:t>
      </w:r>
      <w:r>
        <w:t xml:space="preserve"> targets</w:t>
      </w:r>
      <w:r w:rsidRPr="00AB058D">
        <w:t xml:space="preserve"> can be considered in reporting against the refreshed framework.</w:t>
      </w:r>
    </w:p>
    <w:p w14:paraId="07C14448" w14:textId="77777777" w:rsidR="00A92052" w:rsidRDefault="00A92052" w:rsidP="00BA5FA5">
      <w:pPr>
        <w:pStyle w:val="Heading3"/>
      </w:pPr>
      <w:bookmarkStart w:id="89" w:name="_Toc195778203"/>
      <w:r>
        <w:lastRenderedPageBreak/>
        <w:t>Data development</w:t>
      </w:r>
      <w:bookmarkEnd w:id="89"/>
    </w:p>
    <w:p w14:paraId="1C652100" w14:textId="69443C9B" w:rsidR="00A92052" w:rsidRDefault="00A92052" w:rsidP="00BA5FA5">
      <w:pPr>
        <w:pStyle w:val="Body"/>
      </w:pPr>
      <w:r>
        <w:t xml:space="preserve">The </w:t>
      </w:r>
      <w:r w:rsidR="002548F6">
        <w:t>d</w:t>
      </w:r>
      <w:r>
        <w:t xml:space="preserve">epartment will work with data custodians to advocate and support the ongoing development of data sources where </w:t>
      </w:r>
      <w:proofErr w:type="gramStart"/>
      <w:r>
        <w:t>possible, in particular</w:t>
      </w:r>
      <w:proofErr w:type="gramEnd"/>
      <w:r>
        <w:t>:</w:t>
      </w:r>
    </w:p>
    <w:p w14:paraId="6EAFC23B" w14:textId="2C19A4AC" w:rsidR="00A92052" w:rsidRDefault="00FE41DF" w:rsidP="00125E30">
      <w:pPr>
        <w:pStyle w:val="Body"/>
        <w:numPr>
          <w:ilvl w:val="0"/>
          <w:numId w:val="18"/>
        </w:numPr>
      </w:pPr>
      <w:r>
        <w:t>i</w:t>
      </w:r>
      <w:r w:rsidR="00A92052">
        <w:t xml:space="preserve">dentifying data sources to fill gaps identified by the </w:t>
      </w:r>
      <w:proofErr w:type="gramStart"/>
      <w:r w:rsidR="00A92052">
        <w:t>outcomes</w:t>
      </w:r>
      <w:proofErr w:type="gramEnd"/>
      <w:r w:rsidR="00A92052">
        <w:t xml:space="preserve"> framework refresh</w:t>
      </w:r>
    </w:p>
    <w:p w14:paraId="67BB4B57" w14:textId="204F33A6" w:rsidR="00A92052" w:rsidRDefault="00FE41DF" w:rsidP="00125E30">
      <w:pPr>
        <w:pStyle w:val="Body"/>
        <w:numPr>
          <w:ilvl w:val="0"/>
          <w:numId w:val="18"/>
        </w:numPr>
      </w:pPr>
      <w:r>
        <w:t>d</w:t>
      </w:r>
      <w:r w:rsidR="00A92052">
        <w:t>ata on early years, child and youth health and wellbeing to strengthen a life</w:t>
      </w:r>
      <w:r w:rsidR="00382421">
        <w:t>-</w:t>
      </w:r>
      <w:r w:rsidR="00A92052">
        <w:t>course approach</w:t>
      </w:r>
    </w:p>
    <w:p w14:paraId="174636D4" w14:textId="199347B6" w:rsidR="00A92052" w:rsidRDefault="00FE41DF" w:rsidP="00125E30">
      <w:pPr>
        <w:pStyle w:val="Body"/>
        <w:numPr>
          <w:ilvl w:val="0"/>
          <w:numId w:val="18"/>
        </w:numPr>
      </w:pPr>
      <w:r>
        <w:t>r</w:t>
      </w:r>
      <w:r w:rsidR="00A92052" w:rsidRPr="00C61C59">
        <w:t>epresentation of migrant and refugee communities</w:t>
      </w:r>
      <w:r w:rsidR="00382421">
        <w:t>,</w:t>
      </w:r>
      <w:r w:rsidR="00A92052" w:rsidRPr="00C61C59">
        <w:t xml:space="preserve"> </w:t>
      </w:r>
      <w:r w:rsidR="00A92052">
        <w:t xml:space="preserve">as many </w:t>
      </w:r>
      <w:r w:rsidR="00A92052" w:rsidRPr="00C61C59">
        <w:t>of the data sources fall short in terms of intersectionality and disaggregated data</w:t>
      </w:r>
    </w:p>
    <w:p w14:paraId="7BB21DE8" w14:textId="557A11D0" w:rsidR="00A92052" w:rsidRDefault="00382421" w:rsidP="00125E30">
      <w:pPr>
        <w:pStyle w:val="Body"/>
        <w:numPr>
          <w:ilvl w:val="0"/>
          <w:numId w:val="18"/>
        </w:numPr>
      </w:pPr>
      <w:r>
        <w:t>s</w:t>
      </w:r>
      <w:r w:rsidR="00A92052">
        <w:t>patial disparities in a range of outcomes would allow for a more comprehensive understanding</w:t>
      </w:r>
      <w:r w:rsidR="005E249D">
        <w:t>.</w:t>
      </w:r>
    </w:p>
    <w:p w14:paraId="7B3244A4" w14:textId="046D9E20" w:rsidR="00A92052" w:rsidRPr="007A4111" w:rsidRDefault="00A92052" w:rsidP="007A4111">
      <w:pPr>
        <w:pStyle w:val="Bodyafterbullets"/>
      </w:pPr>
      <w:r w:rsidRPr="007A4111">
        <w:t>The outcomes framework contains a comprehensive range of interlinked determinants of health and health outcomes. While the framework itself cannot describe all the relevant links between measures, reporting will draw out the links between related issues</w:t>
      </w:r>
      <w:r w:rsidR="005E249D">
        <w:t xml:space="preserve"> and </w:t>
      </w:r>
      <w:r w:rsidRPr="007A4111">
        <w:t>concepts</w:t>
      </w:r>
      <w:r w:rsidR="005E249D">
        <w:t>,</w:t>
      </w:r>
      <w:r w:rsidRPr="007A4111">
        <w:t xml:space="preserve"> such as the relationship between healthy eating and climate change.</w:t>
      </w:r>
    </w:p>
    <w:p w14:paraId="4C06CF69" w14:textId="7F3245D2" w:rsidR="005E249D" w:rsidRDefault="00A92052" w:rsidP="00BA5FA5">
      <w:pPr>
        <w:pStyle w:val="Body"/>
      </w:pPr>
      <w:r w:rsidRPr="00006C36">
        <w:t>There will be a stronger focus on tracking shorter</w:t>
      </w:r>
      <w:r w:rsidR="005E249D">
        <w:t>-</w:t>
      </w:r>
      <w:r w:rsidRPr="00006C36">
        <w:t>term progress toward outcomes during 2023</w:t>
      </w:r>
      <w:r w:rsidR="005E249D">
        <w:t>–</w:t>
      </w:r>
      <w:r w:rsidRPr="00006C36">
        <w:t xml:space="preserve">2027 under the </w:t>
      </w:r>
      <w:proofErr w:type="gramStart"/>
      <w:r w:rsidRPr="00006C36">
        <w:t>outcomes</w:t>
      </w:r>
      <w:proofErr w:type="gramEnd"/>
      <w:r w:rsidRPr="00006C36">
        <w:t xml:space="preserve"> framework. </w:t>
      </w:r>
      <w:r w:rsidR="005E249D">
        <w:t>More</w:t>
      </w:r>
      <w:r w:rsidR="005E249D" w:rsidRPr="00006C36">
        <w:t xml:space="preserve"> </w:t>
      </w:r>
      <w:r w:rsidRPr="00006C36">
        <w:t xml:space="preserve">work is needed to determine a set of short-to-medium term progress measures to guide investments and actions across </w:t>
      </w:r>
      <w:proofErr w:type="gramStart"/>
      <w:r w:rsidRPr="00006C36">
        <w:t>government</w:t>
      </w:r>
      <w:r w:rsidR="005E249D">
        <w:t>,</w:t>
      </w:r>
      <w:r w:rsidRPr="00006C36">
        <w:t xml:space="preserve"> and</w:t>
      </w:r>
      <w:proofErr w:type="gramEnd"/>
      <w:r w:rsidRPr="00006C36">
        <w:t xml:space="preserve"> ensure a coordinated and effective approach to improving public health and wellbeing outcomes.</w:t>
      </w:r>
    </w:p>
    <w:p w14:paraId="3471E22F" w14:textId="22CD0B24" w:rsidR="00317418" w:rsidRDefault="00A92052" w:rsidP="00BA5FA5">
      <w:pPr>
        <w:pStyle w:val="Body"/>
        <w:rPr>
          <w:rFonts w:eastAsia="Times New Roman"/>
        </w:rPr>
      </w:pPr>
      <w:r w:rsidRPr="00006C36">
        <w:t xml:space="preserve">For the next formal review of the </w:t>
      </w:r>
      <w:proofErr w:type="gramStart"/>
      <w:r w:rsidRPr="00006C36">
        <w:t>outcomes</w:t>
      </w:r>
      <w:proofErr w:type="gramEnd"/>
      <w:r w:rsidRPr="00006C36">
        <w:t xml:space="preserve"> framework</w:t>
      </w:r>
      <w:r w:rsidR="005E249D">
        <w:t>,</w:t>
      </w:r>
      <w:r w:rsidRPr="00006C36">
        <w:t xml:space="preserve"> </w:t>
      </w:r>
      <w:r w:rsidR="005E249D">
        <w:t>more</w:t>
      </w:r>
      <w:r w:rsidR="005E249D" w:rsidRPr="00006C36">
        <w:t xml:space="preserve"> </w:t>
      </w:r>
      <w:r w:rsidRPr="00006C36">
        <w:t>work is needed to t</w:t>
      </w:r>
      <w:r w:rsidRPr="00006C36">
        <w:rPr>
          <w:rFonts w:eastAsia="Times New Roman"/>
        </w:rPr>
        <w:t>est that the outcomes represent what matters to community.</w:t>
      </w:r>
    </w:p>
    <w:p w14:paraId="43F0AF68" w14:textId="77777777" w:rsidR="00317418" w:rsidRDefault="00317418">
      <w:pPr>
        <w:spacing w:after="0" w:line="240" w:lineRule="auto"/>
      </w:pPr>
      <w:r>
        <w:br w:type="page"/>
      </w:r>
    </w:p>
    <w:p w14:paraId="5A0A59D8" w14:textId="4DA8B868" w:rsidR="00DF1983" w:rsidRDefault="0009685A" w:rsidP="003671E6">
      <w:pPr>
        <w:pStyle w:val="Heading1"/>
      </w:pPr>
      <w:bookmarkStart w:id="90" w:name="_Glossary"/>
      <w:bookmarkStart w:id="91" w:name="_Toc211959728"/>
      <w:bookmarkEnd w:id="90"/>
      <w:r>
        <w:lastRenderedPageBreak/>
        <w:t>Glossary</w:t>
      </w:r>
      <w:bookmarkEnd w:id="91"/>
    </w:p>
    <w:tbl>
      <w:tblPr>
        <w:tblStyle w:val="TableGrid"/>
        <w:tblW w:w="9351" w:type="dxa"/>
        <w:tblLook w:val="04A0" w:firstRow="1" w:lastRow="0" w:firstColumn="1" w:lastColumn="0" w:noHBand="0" w:noVBand="1"/>
      </w:tblPr>
      <w:tblGrid>
        <w:gridCol w:w="2547"/>
        <w:gridCol w:w="6804"/>
      </w:tblGrid>
      <w:tr w:rsidR="00CD1F3F" w:rsidRPr="00CD1F3F" w14:paraId="7A969FCF" w14:textId="77777777" w:rsidTr="003671E6">
        <w:tc>
          <w:tcPr>
            <w:tcW w:w="2547" w:type="dxa"/>
          </w:tcPr>
          <w:p w14:paraId="72C82227" w14:textId="49ACB345" w:rsidR="00CD1F3F" w:rsidRPr="00CD1F3F" w:rsidRDefault="00CD1F3F" w:rsidP="00CD1F3F">
            <w:pPr>
              <w:pStyle w:val="Tablecolhead"/>
            </w:pPr>
            <w:r>
              <w:t>Acronym</w:t>
            </w:r>
          </w:p>
        </w:tc>
        <w:tc>
          <w:tcPr>
            <w:tcW w:w="6804" w:type="dxa"/>
          </w:tcPr>
          <w:p w14:paraId="02D32DF4" w14:textId="62C1DE0D" w:rsidR="00CD1F3F" w:rsidRPr="00CD1F3F" w:rsidRDefault="00CD1F3F" w:rsidP="00CD1F3F">
            <w:pPr>
              <w:pStyle w:val="Tablecolhead"/>
            </w:pPr>
            <w:r>
              <w:t>Definition</w:t>
            </w:r>
          </w:p>
        </w:tc>
      </w:tr>
      <w:tr w:rsidR="00CD1F3F" w14:paraId="157E6F70" w14:textId="77777777" w:rsidTr="003671E6">
        <w:tc>
          <w:tcPr>
            <w:tcW w:w="2547" w:type="dxa"/>
          </w:tcPr>
          <w:p w14:paraId="5CFD9EE5" w14:textId="228A82BC" w:rsidR="001451AD" w:rsidRDefault="002854D1" w:rsidP="003671E6">
            <w:pPr>
              <w:pStyle w:val="Tabletext"/>
            </w:pPr>
            <w:r>
              <w:t>ABS</w:t>
            </w:r>
          </w:p>
        </w:tc>
        <w:tc>
          <w:tcPr>
            <w:tcW w:w="6804" w:type="dxa"/>
          </w:tcPr>
          <w:p w14:paraId="08C58F29" w14:textId="3F12C799" w:rsidR="001451AD" w:rsidRDefault="00295F8C" w:rsidP="003671E6">
            <w:pPr>
              <w:pStyle w:val="Tabletext"/>
            </w:pPr>
            <w:r>
              <w:t>Australian Bureau of Statistics</w:t>
            </w:r>
          </w:p>
        </w:tc>
      </w:tr>
      <w:tr w:rsidR="00536F97" w14:paraId="5E4CFF95" w14:textId="77777777" w:rsidTr="003671E6">
        <w:tc>
          <w:tcPr>
            <w:tcW w:w="2547" w:type="dxa"/>
          </w:tcPr>
          <w:p w14:paraId="5B1C1573" w14:textId="609B610B" w:rsidR="00536F97" w:rsidRDefault="00536F97" w:rsidP="001451AD">
            <w:pPr>
              <w:pStyle w:val="Tabletext"/>
            </w:pPr>
            <w:r>
              <w:t>ACCESS</w:t>
            </w:r>
          </w:p>
        </w:tc>
        <w:tc>
          <w:tcPr>
            <w:tcW w:w="6804" w:type="dxa"/>
          </w:tcPr>
          <w:p w14:paraId="5F6FC7B3" w14:textId="520179BB" w:rsidR="00536F97" w:rsidRDefault="00C25105" w:rsidP="001451AD">
            <w:pPr>
              <w:pStyle w:val="Tabletext"/>
            </w:pPr>
            <w:r w:rsidRPr="00E67B48">
              <w:t>Australian Collaboration for Coordinated Enhanced Sentinel Surveillance of Sexually Transmitted Infections and Blood Borne Viruses</w:t>
            </w:r>
          </w:p>
        </w:tc>
      </w:tr>
      <w:tr w:rsidR="00F65106" w14:paraId="0644E602" w14:textId="77777777" w:rsidTr="00F65106">
        <w:tc>
          <w:tcPr>
            <w:tcW w:w="2547" w:type="dxa"/>
          </w:tcPr>
          <w:p w14:paraId="2D1DFCE4" w14:textId="2DE77590" w:rsidR="001451AD" w:rsidRDefault="002854D1" w:rsidP="00E928D8">
            <w:pPr>
              <w:pStyle w:val="Tabletext"/>
            </w:pPr>
            <w:r>
              <w:t>ACIR</w:t>
            </w:r>
          </w:p>
        </w:tc>
        <w:tc>
          <w:tcPr>
            <w:tcW w:w="6804" w:type="dxa"/>
          </w:tcPr>
          <w:p w14:paraId="727B7BAF" w14:textId="643A5AEA" w:rsidR="001451AD" w:rsidRDefault="009948E8" w:rsidP="00E928D8">
            <w:pPr>
              <w:pStyle w:val="Tabletext"/>
            </w:pPr>
            <w:r w:rsidRPr="009948E8">
              <w:t xml:space="preserve">Australian </w:t>
            </w:r>
            <w:r w:rsidR="009C423E" w:rsidRPr="009C423E">
              <w:t xml:space="preserve">Childhood Immunisation </w:t>
            </w:r>
            <w:r w:rsidRPr="009948E8">
              <w:t>Register</w:t>
            </w:r>
          </w:p>
        </w:tc>
      </w:tr>
      <w:tr w:rsidR="002E337B" w14:paraId="0C851ACD" w14:textId="77777777" w:rsidTr="00EE6AF1">
        <w:tc>
          <w:tcPr>
            <w:tcW w:w="2547" w:type="dxa"/>
          </w:tcPr>
          <w:p w14:paraId="4006BB6D" w14:textId="17C07A26" w:rsidR="002E337B" w:rsidRDefault="002E337B" w:rsidP="001451AD">
            <w:pPr>
              <w:pStyle w:val="Tabletext"/>
            </w:pPr>
            <w:r>
              <w:t>ADII</w:t>
            </w:r>
          </w:p>
        </w:tc>
        <w:tc>
          <w:tcPr>
            <w:tcW w:w="6804" w:type="dxa"/>
          </w:tcPr>
          <w:p w14:paraId="5D5121A8" w14:textId="060AF15A" w:rsidR="002E337B" w:rsidRDefault="0088439D" w:rsidP="001451AD">
            <w:pPr>
              <w:pStyle w:val="Tabletext"/>
            </w:pPr>
            <w:r w:rsidRPr="00EE3118">
              <w:t>Australian Digital Inclusion Index</w:t>
            </w:r>
          </w:p>
        </w:tc>
      </w:tr>
      <w:tr w:rsidR="00E472F5" w14:paraId="5BFEB80C" w14:textId="77777777" w:rsidTr="00EE6AF1">
        <w:tc>
          <w:tcPr>
            <w:tcW w:w="2547" w:type="dxa"/>
          </w:tcPr>
          <w:p w14:paraId="32955828" w14:textId="25AFEB8B" w:rsidR="00E472F5" w:rsidRDefault="00E472F5" w:rsidP="001451AD">
            <w:pPr>
              <w:pStyle w:val="Tabletext"/>
            </w:pPr>
            <w:r>
              <w:t>ADRI</w:t>
            </w:r>
          </w:p>
        </w:tc>
        <w:tc>
          <w:tcPr>
            <w:tcW w:w="6804" w:type="dxa"/>
          </w:tcPr>
          <w:p w14:paraId="2663C163" w14:textId="0378BA52" w:rsidR="00E472F5" w:rsidRDefault="00436460" w:rsidP="001451AD">
            <w:pPr>
              <w:pStyle w:val="Tabletext"/>
            </w:pPr>
            <w:r w:rsidRPr="00436460">
              <w:t>Australasian Digital Recordkeeping Initiative</w:t>
            </w:r>
          </w:p>
        </w:tc>
      </w:tr>
      <w:tr w:rsidR="00D83987" w14:paraId="3D9F5523" w14:textId="77777777" w:rsidTr="00F65106">
        <w:tc>
          <w:tcPr>
            <w:tcW w:w="2547" w:type="dxa"/>
          </w:tcPr>
          <w:p w14:paraId="75526973" w14:textId="7952B91C" w:rsidR="00D83987" w:rsidRDefault="00D83987" w:rsidP="001451AD">
            <w:pPr>
              <w:pStyle w:val="Tabletext"/>
            </w:pPr>
            <w:r>
              <w:t>AHWP</w:t>
            </w:r>
          </w:p>
        </w:tc>
        <w:tc>
          <w:tcPr>
            <w:tcW w:w="6804" w:type="dxa"/>
          </w:tcPr>
          <w:p w14:paraId="75A45D61" w14:textId="4007A02E" w:rsidR="00D83987" w:rsidRDefault="00D83987" w:rsidP="001451AD">
            <w:pPr>
              <w:pStyle w:val="Tabletext"/>
            </w:pPr>
            <w:r>
              <w:t>Aboriginal Health and Wellbeing Partnership</w:t>
            </w:r>
          </w:p>
        </w:tc>
      </w:tr>
      <w:tr w:rsidR="00F65106" w14:paraId="5DEB7BC4" w14:textId="77777777" w:rsidTr="00F65106">
        <w:tc>
          <w:tcPr>
            <w:tcW w:w="2547" w:type="dxa"/>
          </w:tcPr>
          <w:p w14:paraId="1C3890E7" w14:textId="3CD9EB1E" w:rsidR="001451AD" w:rsidRDefault="006C5747" w:rsidP="00EE6AF1">
            <w:pPr>
              <w:pStyle w:val="Tabletext"/>
            </w:pPr>
            <w:r>
              <w:t>AIHW</w:t>
            </w:r>
          </w:p>
        </w:tc>
        <w:tc>
          <w:tcPr>
            <w:tcW w:w="6804" w:type="dxa"/>
          </w:tcPr>
          <w:p w14:paraId="411BADE8" w14:textId="0400A611" w:rsidR="001451AD" w:rsidRDefault="007B53DA" w:rsidP="00EE6AF1">
            <w:pPr>
              <w:pStyle w:val="Tabletext"/>
            </w:pPr>
            <w:r w:rsidRPr="007B53DA">
              <w:t>Australian Institute of Health and Welfare</w:t>
            </w:r>
          </w:p>
        </w:tc>
      </w:tr>
      <w:tr w:rsidR="00F65106" w14:paraId="0FDF33C8" w14:textId="77777777" w:rsidTr="00F65106">
        <w:tc>
          <w:tcPr>
            <w:tcW w:w="2547" w:type="dxa"/>
          </w:tcPr>
          <w:p w14:paraId="2DF7E9EB" w14:textId="3EA9A76C" w:rsidR="001451AD" w:rsidRDefault="006C5747" w:rsidP="001F3775">
            <w:pPr>
              <w:pStyle w:val="Tabletext"/>
            </w:pPr>
            <w:r>
              <w:t>AIR</w:t>
            </w:r>
          </w:p>
        </w:tc>
        <w:tc>
          <w:tcPr>
            <w:tcW w:w="6804" w:type="dxa"/>
          </w:tcPr>
          <w:p w14:paraId="1AD59C70" w14:textId="67909562" w:rsidR="001451AD" w:rsidRDefault="00D037E4" w:rsidP="001F3775">
            <w:pPr>
              <w:pStyle w:val="Tabletext"/>
            </w:pPr>
            <w:r w:rsidRPr="00D037E4">
              <w:t>Australian Immunisation Register</w:t>
            </w:r>
          </w:p>
        </w:tc>
      </w:tr>
      <w:tr w:rsidR="0081680A" w14:paraId="083C806A" w14:textId="77777777" w:rsidTr="001F3775">
        <w:tc>
          <w:tcPr>
            <w:tcW w:w="2547" w:type="dxa"/>
          </w:tcPr>
          <w:p w14:paraId="712B31EF" w14:textId="509B5BFC" w:rsidR="0081680A" w:rsidRDefault="0081680A" w:rsidP="001451AD">
            <w:pPr>
              <w:pStyle w:val="Tabletext"/>
            </w:pPr>
            <w:r>
              <w:t>ASSAD</w:t>
            </w:r>
            <w:r w:rsidR="00A81A29">
              <w:t xml:space="preserve"> survey</w:t>
            </w:r>
          </w:p>
        </w:tc>
        <w:tc>
          <w:tcPr>
            <w:tcW w:w="6804" w:type="dxa"/>
          </w:tcPr>
          <w:p w14:paraId="2127A047" w14:textId="5D0E34BD" w:rsidR="0081680A" w:rsidRDefault="00A81A29" w:rsidP="001451AD">
            <w:pPr>
              <w:pStyle w:val="Tabletext"/>
            </w:pPr>
            <w:r w:rsidRPr="00A81A29">
              <w:t xml:space="preserve">Australian secondary school </w:t>
            </w:r>
            <w:proofErr w:type="gramStart"/>
            <w:r w:rsidRPr="00A81A29">
              <w:t>students</w:t>
            </w:r>
            <w:proofErr w:type="gramEnd"/>
            <w:r w:rsidRPr="00A81A29">
              <w:t xml:space="preserve"> alcohol and drug survey</w:t>
            </w:r>
          </w:p>
        </w:tc>
      </w:tr>
      <w:tr w:rsidR="00F65106" w14:paraId="0EBC63DB" w14:textId="77777777" w:rsidTr="00F65106">
        <w:tc>
          <w:tcPr>
            <w:tcW w:w="2547" w:type="dxa"/>
          </w:tcPr>
          <w:p w14:paraId="00D230E3" w14:textId="1855F1F3" w:rsidR="001451AD" w:rsidRDefault="002E337B" w:rsidP="001F3775">
            <w:pPr>
              <w:pStyle w:val="Tabletext"/>
            </w:pPr>
            <w:r>
              <w:t>CCV</w:t>
            </w:r>
          </w:p>
        </w:tc>
        <w:tc>
          <w:tcPr>
            <w:tcW w:w="6804" w:type="dxa"/>
          </w:tcPr>
          <w:p w14:paraId="1AAA34E8" w14:textId="78F006A5" w:rsidR="001451AD" w:rsidRDefault="009F7920" w:rsidP="001F3775">
            <w:pPr>
              <w:pStyle w:val="Tabletext"/>
            </w:pPr>
            <w:r>
              <w:t>Cancer Council Victoria</w:t>
            </w:r>
          </w:p>
        </w:tc>
      </w:tr>
      <w:tr w:rsidR="004A60D4" w14:paraId="13B7CF69" w14:textId="77777777" w:rsidTr="001F3775">
        <w:tc>
          <w:tcPr>
            <w:tcW w:w="2547" w:type="dxa"/>
          </w:tcPr>
          <w:p w14:paraId="0D1D2D26" w14:textId="55FCD114" w:rsidR="004A60D4" w:rsidRDefault="004A60D4" w:rsidP="001451AD">
            <w:pPr>
              <w:pStyle w:val="Tabletext"/>
            </w:pPr>
            <w:r>
              <w:t>DEECA</w:t>
            </w:r>
          </w:p>
        </w:tc>
        <w:tc>
          <w:tcPr>
            <w:tcW w:w="6804" w:type="dxa"/>
          </w:tcPr>
          <w:p w14:paraId="3359B66A" w14:textId="6850761F" w:rsidR="004A60D4" w:rsidRDefault="000F06E3" w:rsidP="001451AD">
            <w:pPr>
              <w:pStyle w:val="Tabletext"/>
            </w:pPr>
            <w:r w:rsidRPr="000F06E3">
              <w:t>Department of Energy, Environment and Climate Action</w:t>
            </w:r>
          </w:p>
        </w:tc>
      </w:tr>
      <w:tr w:rsidR="00F65106" w14:paraId="1379AEE3" w14:textId="77777777" w:rsidTr="00F65106">
        <w:tc>
          <w:tcPr>
            <w:tcW w:w="2547" w:type="dxa"/>
          </w:tcPr>
          <w:p w14:paraId="5AE1E3A7" w14:textId="73454F49" w:rsidR="001451AD" w:rsidRDefault="00A11C5F" w:rsidP="001F3775">
            <w:pPr>
              <w:pStyle w:val="Tabletext"/>
            </w:pPr>
            <w:r>
              <w:t>DFFH</w:t>
            </w:r>
          </w:p>
        </w:tc>
        <w:tc>
          <w:tcPr>
            <w:tcW w:w="6804" w:type="dxa"/>
          </w:tcPr>
          <w:p w14:paraId="26E75376" w14:textId="3B6458F5" w:rsidR="001451AD" w:rsidRDefault="008E375C" w:rsidP="001F3775">
            <w:pPr>
              <w:pStyle w:val="Tabletext"/>
            </w:pPr>
            <w:r w:rsidRPr="002773C7">
              <w:t>Department of Families, Fairness and Housing</w:t>
            </w:r>
          </w:p>
        </w:tc>
      </w:tr>
      <w:tr w:rsidR="00F65106" w14:paraId="72BA9FE7" w14:textId="77777777" w:rsidTr="00F65106">
        <w:tc>
          <w:tcPr>
            <w:tcW w:w="2547" w:type="dxa"/>
          </w:tcPr>
          <w:p w14:paraId="3E36E5D9" w14:textId="295CFBB8" w:rsidR="001451AD" w:rsidRDefault="003F4C1D" w:rsidP="001F3775">
            <w:pPr>
              <w:pStyle w:val="Tabletext"/>
            </w:pPr>
            <w:r>
              <w:t>O</w:t>
            </w:r>
            <w:r w:rsidR="00A11C5F">
              <w:t>HV</w:t>
            </w:r>
          </w:p>
        </w:tc>
        <w:tc>
          <w:tcPr>
            <w:tcW w:w="6804" w:type="dxa"/>
          </w:tcPr>
          <w:p w14:paraId="5B1C9630" w14:textId="288B82D9" w:rsidR="001451AD" w:rsidRDefault="0046155F" w:rsidP="001F3775">
            <w:pPr>
              <w:pStyle w:val="Tabletext"/>
            </w:pPr>
            <w:r>
              <w:t>Oral</w:t>
            </w:r>
            <w:r w:rsidR="000F06E3" w:rsidRPr="000F06E3">
              <w:t xml:space="preserve"> Health Victoria</w:t>
            </w:r>
            <w:r w:rsidR="00D17D72">
              <w:t xml:space="preserve"> (formerly Dental Health Services Victoria – DHSV)</w:t>
            </w:r>
          </w:p>
        </w:tc>
      </w:tr>
      <w:tr w:rsidR="00F65106" w14:paraId="2C9CFF4C" w14:textId="77777777" w:rsidTr="00F65106">
        <w:tc>
          <w:tcPr>
            <w:tcW w:w="2547" w:type="dxa"/>
          </w:tcPr>
          <w:p w14:paraId="7C955368" w14:textId="2868FC05" w:rsidR="001451AD" w:rsidRDefault="004A60D4" w:rsidP="001F3775">
            <w:pPr>
              <w:pStyle w:val="Tabletext"/>
            </w:pPr>
            <w:r>
              <w:t>DTP</w:t>
            </w:r>
          </w:p>
        </w:tc>
        <w:tc>
          <w:tcPr>
            <w:tcW w:w="6804" w:type="dxa"/>
          </w:tcPr>
          <w:p w14:paraId="07ADAB9B" w14:textId="6B4C6296" w:rsidR="001451AD" w:rsidRDefault="006E6DB8" w:rsidP="001F3775">
            <w:pPr>
              <w:pStyle w:val="Tabletext"/>
            </w:pPr>
            <w:r w:rsidRPr="006E6DB8">
              <w:t>Department of Transport and Planning</w:t>
            </w:r>
          </w:p>
        </w:tc>
      </w:tr>
      <w:tr w:rsidR="00F65106" w14:paraId="0B3E1F08" w14:textId="77777777" w:rsidTr="00F65106">
        <w:tc>
          <w:tcPr>
            <w:tcW w:w="2547" w:type="dxa"/>
          </w:tcPr>
          <w:p w14:paraId="1DFAE3F9" w14:textId="01B13385" w:rsidR="001451AD" w:rsidRDefault="003B4DFB" w:rsidP="001F3775">
            <w:pPr>
              <w:pStyle w:val="Tabletext"/>
            </w:pPr>
            <w:r>
              <w:t>EPA</w:t>
            </w:r>
          </w:p>
        </w:tc>
        <w:tc>
          <w:tcPr>
            <w:tcW w:w="6804" w:type="dxa"/>
          </w:tcPr>
          <w:p w14:paraId="3D08875F" w14:textId="525082C2" w:rsidR="001451AD" w:rsidRDefault="00FD2266" w:rsidP="001F3775">
            <w:pPr>
              <w:pStyle w:val="Tabletext"/>
            </w:pPr>
            <w:r w:rsidRPr="00FD2266">
              <w:t>Environment Protection Authority</w:t>
            </w:r>
          </w:p>
        </w:tc>
      </w:tr>
      <w:tr w:rsidR="00F65106" w14:paraId="203AFC16" w14:textId="77777777" w:rsidTr="00F65106">
        <w:tc>
          <w:tcPr>
            <w:tcW w:w="2547" w:type="dxa"/>
          </w:tcPr>
          <w:p w14:paraId="32B3DA19" w14:textId="61D99C16" w:rsidR="001451AD" w:rsidRDefault="00646B38" w:rsidP="00922837">
            <w:pPr>
              <w:pStyle w:val="Tabletext"/>
            </w:pPr>
            <w:r>
              <w:t>HILDA</w:t>
            </w:r>
          </w:p>
        </w:tc>
        <w:tc>
          <w:tcPr>
            <w:tcW w:w="6804" w:type="dxa"/>
          </w:tcPr>
          <w:p w14:paraId="38C2B232" w14:textId="1D4CC9D1" w:rsidR="001451AD" w:rsidRDefault="0014568A" w:rsidP="00922837">
            <w:pPr>
              <w:pStyle w:val="Tabletext"/>
            </w:pPr>
            <w:r w:rsidRPr="0014568A">
              <w:t>Household, Income and Labour Dynamics in Australia (HILDA)</w:t>
            </w:r>
          </w:p>
        </w:tc>
      </w:tr>
      <w:tr w:rsidR="009B6B82" w14:paraId="2D2F6189" w14:textId="77777777" w:rsidTr="00F65106">
        <w:tc>
          <w:tcPr>
            <w:tcW w:w="2547" w:type="dxa"/>
          </w:tcPr>
          <w:p w14:paraId="3A5D7963" w14:textId="2F501276" w:rsidR="009B6B82" w:rsidRDefault="009B6B82" w:rsidP="001451AD">
            <w:pPr>
              <w:pStyle w:val="Tabletext"/>
            </w:pPr>
            <w:r>
              <w:t>HIV</w:t>
            </w:r>
          </w:p>
        </w:tc>
        <w:tc>
          <w:tcPr>
            <w:tcW w:w="6804" w:type="dxa"/>
          </w:tcPr>
          <w:p w14:paraId="2F06A687" w14:textId="065EC27D" w:rsidR="009B6B82" w:rsidRPr="0014568A" w:rsidRDefault="00523771" w:rsidP="001451AD">
            <w:pPr>
              <w:pStyle w:val="Tabletext"/>
            </w:pPr>
            <w:r>
              <w:t>h</w:t>
            </w:r>
            <w:r w:rsidRPr="002D5960">
              <w:t xml:space="preserve">uman immunodeficiency </w:t>
            </w:r>
            <w:r w:rsidRPr="00563BC5">
              <w:t>virus</w:t>
            </w:r>
          </w:p>
        </w:tc>
      </w:tr>
      <w:tr w:rsidR="00523771" w14:paraId="6F983BAB" w14:textId="77777777" w:rsidTr="00F65106">
        <w:tc>
          <w:tcPr>
            <w:tcW w:w="2547" w:type="dxa"/>
          </w:tcPr>
          <w:p w14:paraId="253CE2EC" w14:textId="2655445C" w:rsidR="00523771" w:rsidRDefault="00523771" w:rsidP="001451AD">
            <w:pPr>
              <w:pStyle w:val="Tabletext"/>
            </w:pPr>
            <w:r>
              <w:t>HPV</w:t>
            </w:r>
          </w:p>
        </w:tc>
        <w:tc>
          <w:tcPr>
            <w:tcW w:w="6804" w:type="dxa"/>
          </w:tcPr>
          <w:p w14:paraId="2BDA4510" w14:textId="483ED4D0" w:rsidR="00523771" w:rsidRDefault="00132240" w:rsidP="001451AD">
            <w:pPr>
              <w:pStyle w:val="Tabletext"/>
            </w:pPr>
            <w:r>
              <w:t xml:space="preserve">human </w:t>
            </w:r>
            <w:r w:rsidRPr="008C372C">
              <w:t>papillomavirus</w:t>
            </w:r>
          </w:p>
        </w:tc>
      </w:tr>
      <w:tr w:rsidR="00F65106" w14:paraId="3F2B4D9A" w14:textId="77777777" w:rsidTr="00F65106">
        <w:tc>
          <w:tcPr>
            <w:tcW w:w="2547" w:type="dxa"/>
          </w:tcPr>
          <w:p w14:paraId="11E59C41" w14:textId="55EF4807" w:rsidR="001451AD" w:rsidRDefault="00C65760" w:rsidP="00922837">
            <w:pPr>
              <w:pStyle w:val="Tabletext"/>
            </w:pPr>
            <w:r>
              <w:t>LEAP</w:t>
            </w:r>
          </w:p>
        </w:tc>
        <w:tc>
          <w:tcPr>
            <w:tcW w:w="6804" w:type="dxa"/>
          </w:tcPr>
          <w:p w14:paraId="30A82F4C" w14:textId="4C256D95" w:rsidR="001451AD" w:rsidRDefault="0056221A" w:rsidP="00922837">
            <w:pPr>
              <w:pStyle w:val="Tabletext"/>
            </w:pPr>
            <w:r w:rsidRPr="00AA4FA6">
              <w:t>Law Enforcement Assistance Program</w:t>
            </w:r>
          </w:p>
        </w:tc>
      </w:tr>
      <w:tr w:rsidR="00F65106" w14:paraId="1E54BE38" w14:textId="77777777" w:rsidTr="00F65106">
        <w:tc>
          <w:tcPr>
            <w:tcW w:w="2547" w:type="dxa"/>
          </w:tcPr>
          <w:p w14:paraId="7B4CE25C" w14:textId="3BBB3466" w:rsidR="001451AD" w:rsidRDefault="00B20048" w:rsidP="005052F5">
            <w:pPr>
              <w:pStyle w:val="Tabletext"/>
            </w:pPr>
            <w:r>
              <w:t>MCHC</w:t>
            </w:r>
          </w:p>
        </w:tc>
        <w:tc>
          <w:tcPr>
            <w:tcW w:w="6804" w:type="dxa"/>
          </w:tcPr>
          <w:p w14:paraId="4F94E652" w14:textId="16C00769" w:rsidR="001451AD" w:rsidRDefault="00496CA6" w:rsidP="005052F5">
            <w:pPr>
              <w:pStyle w:val="Tabletext"/>
            </w:pPr>
            <w:r>
              <w:t>Maternal and Child Health C</w:t>
            </w:r>
            <w:r w:rsidR="005052F5">
              <w:t>ollection</w:t>
            </w:r>
          </w:p>
        </w:tc>
      </w:tr>
      <w:tr w:rsidR="00B20048" w14:paraId="61908BC4" w14:textId="77777777" w:rsidTr="00922837">
        <w:tc>
          <w:tcPr>
            <w:tcW w:w="2547" w:type="dxa"/>
          </w:tcPr>
          <w:p w14:paraId="65C337C7" w14:textId="1FB1C571" w:rsidR="00B20048" w:rsidRDefault="00B20048" w:rsidP="001451AD">
            <w:pPr>
              <w:pStyle w:val="Tabletext"/>
            </w:pPr>
            <w:r>
              <w:t>NAPLAN</w:t>
            </w:r>
          </w:p>
        </w:tc>
        <w:tc>
          <w:tcPr>
            <w:tcW w:w="6804" w:type="dxa"/>
          </w:tcPr>
          <w:p w14:paraId="0D3FBF0A" w14:textId="47BDD39A" w:rsidR="00B20048" w:rsidRDefault="00B66707" w:rsidP="001451AD">
            <w:pPr>
              <w:pStyle w:val="Tabletext"/>
            </w:pPr>
            <w:r w:rsidRPr="00D14159">
              <w:t>National Assessment Program – Literacy and Numeracy</w:t>
            </w:r>
          </w:p>
        </w:tc>
      </w:tr>
      <w:tr w:rsidR="00B20048" w14:paraId="4B4AF8A2" w14:textId="77777777" w:rsidTr="00922837">
        <w:tc>
          <w:tcPr>
            <w:tcW w:w="2547" w:type="dxa"/>
          </w:tcPr>
          <w:p w14:paraId="64E6ED81" w14:textId="3F595AFF" w:rsidR="00B20048" w:rsidRDefault="00B20048" w:rsidP="001451AD">
            <w:pPr>
              <w:pStyle w:val="Tabletext"/>
            </w:pPr>
            <w:r>
              <w:t>NDSHS</w:t>
            </w:r>
          </w:p>
        </w:tc>
        <w:tc>
          <w:tcPr>
            <w:tcW w:w="6804" w:type="dxa"/>
          </w:tcPr>
          <w:p w14:paraId="0A326B4C" w14:textId="62ABBE0F" w:rsidR="00B20048" w:rsidRDefault="00747CD7" w:rsidP="001451AD">
            <w:pPr>
              <w:pStyle w:val="Tabletext"/>
            </w:pPr>
            <w:r w:rsidRPr="00747CD7">
              <w:t xml:space="preserve">National Drug Strategy Household </w:t>
            </w:r>
            <w:r>
              <w:t>S</w:t>
            </w:r>
            <w:r w:rsidRPr="00747CD7">
              <w:t>urvey</w:t>
            </w:r>
          </w:p>
        </w:tc>
      </w:tr>
      <w:tr w:rsidR="00F65106" w14:paraId="36621DCF" w14:textId="77777777" w:rsidTr="00F65106">
        <w:tc>
          <w:tcPr>
            <w:tcW w:w="2547" w:type="dxa"/>
          </w:tcPr>
          <w:p w14:paraId="3412296F" w14:textId="603E5C76" w:rsidR="001451AD" w:rsidRDefault="00B20048" w:rsidP="00922837">
            <w:pPr>
              <w:pStyle w:val="Tabletext"/>
            </w:pPr>
            <w:r>
              <w:t>NHS</w:t>
            </w:r>
          </w:p>
        </w:tc>
        <w:tc>
          <w:tcPr>
            <w:tcW w:w="6804" w:type="dxa"/>
          </w:tcPr>
          <w:p w14:paraId="37CC5EEB" w14:textId="778E6FAC" w:rsidR="001451AD" w:rsidRDefault="00DF3E8A" w:rsidP="00922837">
            <w:pPr>
              <w:pStyle w:val="Tabletext"/>
            </w:pPr>
            <w:r w:rsidRPr="00DF3E8A">
              <w:t>National Health Survey</w:t>
            </w:r>
          </w:p>
        </w:tc>
      </w:tr>
      <w:tr w:rsidR="008E375C" w14:paraId="77604BF6" w14:textId="77777777" w:rsidTr="00F65106">
        <w:tc>
          <w:tcPr>
            <w:tcW w:w="2547" w:type="dxa"/>
          </w:tcPr>
          <w:p w14:paraId="7F466DAC" w14:textId="130A8006" w:rsidR="008E375C" w:rsidRDefault="00C63EC2" w:rsidP="001451AD">
            <w:pPr>
              <w:pStyle w:val="Tabletext"/>
            </w:pPr>
            <w:r w:rsidRPr="00CA09DD">
              <w:t xml:space="preserve">outcomes </w:t>
            </w:r>
            <w:r w:rsidRPr="00CA09DD">
              <w:rPr>
                <w:rFonts w:hint="eastAsia"/>
              </w:rPr>
              <w:t>framework</w:t>
            </w:r>
          </w:p>
        </w:tc>
        <w:tc>
          <w:tcPr>
            <w:tcW w:w="6804" w:type="dxa"/>
          </w:tcPr>
          <w:p w14:paraId="4BEA5233" w14:textId="14C58F1E" w:rsidR="008E375C" w:rsidRPr="00F0475C" w:rsidRDefault="009E40E3" w:rsidP="001451AD">
            <w:pPr>
              <w:pStyle w:val="Tabletext"/>
            </w:pPr>
            <w:r w:rsidRPr="00CA09DD">
              <w:rPr>
                <w:rFonts w:hint="eastAsia"/>
              </w:rPr>
              <w:t>Victorian public health and wellbeing outcomes framework</w:t>
            </w:r>
          </w:p>
        </w:tc>
      </w:tr>
      <w:tr w:rsidR="00CD1F3F" w14:paraId="1B13EE6A" w14:textId="77777777" w:rsidTr="00922837">
        <w:tc>
          <w:tcPr>
            <w:tcW w:w="2547" w:type="dxa"/>
          </w:tcPr>
          <w:p w14:paraId="04AC8C92" w14:textId="3BAB312D" w:rsidR="00CD1F3F" w:rsidRDefault="00CD1F3F" w:rsidP="001451AD">
            <w:pPr>
              <w:pStyle w:val="Tabletext"/>
            </w:pPr>
            <w:r>
              <w:t>PHESS</w:t>
            </w:r>
          </w:p>
        </w:tc>
        <w:tc>
          <w:tcPr>
            <w:tcW w:w="6804" w:type="dxa"/>
          </w:tcPr>
          <w:p w14:paraId="6A996DBD" w14:textId="68C16C9D" w:rsidR="00CD1F3F" w:rsidRDefault="00F0475C" w:rsidP="001451AD">
            <w:pPr>
              <w:pStyle w:val="Tabletext"/>
            </w:pPr>
            <w:r w:rsidRPr="00F0475C">
              <w:t>Public Health Events Surveillance System</w:t>
            </w:r>
          </w:p>
        </w:tc>
      </w:tr>
      <w:tr w:rsidR="00F65106" w14:paraId="4CAE4B11" w14:textId="77777777" w:rsidTr="00922837">
        <w:tc>
          <w:tcPr>
            <w:tcW w:w="2547" w:type="dxa"/>
            <w:tcBorders>
              <w:bottom w:val="single" w:sz="4" w:space="0" w:color="auto"/>
            </w:tcBorders>
          </w:tcPr>
          <w:p w14:paraId="6D1E7021" w14:textId="73AF41CB" w:rsidR="001451AD" w:rsidRDefault="000C4C7C" w:rsidP="00406822">
            <w:pPr>
              <w:pStyle w:val="Tabletext"/>
            </w:pPr>
            <w:r>
              <w:t>TAC</w:t>
            </w:r>
          </w:p>
        </w:tc>
        <w:tc>
          <w:tcPr>
            <w:tcW w:w="6804" w:type="dxa"/>
            <w:tcBorders>
              <w:bottom w:val="single" w:sz="4" w:space="0" w:color="auto"/>
            </w:tcBorders>
          </w:tcPr>
          <w:p w14:paraId="43C08B56" w14:textId="75277074" w:rsidR="001451AD" w:rsidRDefault="00A059D0" w:rsidP="00406822">
            <w:pPr>
              <w:pStyle w:val="Tabletext"/>
            </w:pPr>
            <w:r w:rsidRPr="00A059D0">
              <w:t>Transport Accident Commission</w:t>
            </w:r>
          </w:p>
        </w:tc>
      </w:tr>
      <w:tr w:rsidR="008E375C" w14:paraId="1AD84659" w14:textId="77777777" w:rsidTr="00922837">
        <w:tc>
          <w:tcPr>
            <w:tcW w:w="2547" w:type="dxa"/>
            <w:tcBorders>
              <w:top w:val="single" w:sz="4" w:space="0" w:color="auto"/>
              <w:left w:val="single" w:sz="4" w:space="0" w:color="auto"/>
              <w:bottom w:val="single" w:sz="4" w:space="0" w:color="auto"/>
              <w:right w:val="single" w:sz="4" w:space="0" w:color="auto"/>
            </w:tcBorders>
          </w:tcPr>
          <w:p w14:paraId="697B48D1" w14:textId="309F91DE" w:rsidR="008E375C" w:rsidRDefault="008E375C" w:rsidP="001451AD">
            <w:pPr>
              <w:pStyle w:val="Tabletext"/>
            </w:pPr>
            <w:r>
              <w:t>the department</w:t>
            </w:r>
          </w:p>
        </w:tc>
        <w:tc>
          <w:tcPr>
            <w:tcW w:w="6804" w:type="dxa"/>
            <w:tcBorders>
              <w:top w:val="single" w:sz="4" w:space="0" w:color="auto"/>
              <w:left w:val="single" w:sz="4" w:space="0" w:color="auto"/>
              <w:bottom w:val="single" w:sz="4" w:space="0" w:color="auto"/>
              <w:right w:val="single" w:sz="4" w:space="0" w:color="auto"/>
            </w:tcBorders>
          </w:tcPr>
          <w:p w14:paraId="39A57077" w14:textId="7C3C1E6B" w:rsidR="008E375C" w:rsidRDefault="008E375C" w:rsidP="001451AD">
            <w:pPr>
              <w:pStyle w:val="Tabletext"/>
            </w:pPr>
            <w:r>
              <w:t>Department of Health</w:t>
            </w:r>
          </w:p>
        </w:tc>
      </w:tr>
      <w:tr w:rsidR="00A54C90" w14:paraId="1A1F884D" w14:textId="77777777" w:rsidTr="008E375C">
        <w:tc>
          <w:tcPr>
            <w:tcW w:w="2547" w:type="dxa"/>
            <w:tcBorders>
              <w:top w:val="single" w:sz="4" w:space="0" w:color="auto"/>
            </w:tcBorders>
          </w:tcPr>
          <w:p w14:paraId="0C0482E0" w14:textId="12400B77" w:rsidR="00A54C90" w:rsidRDefault="00A54C90" w:rsidP="001451AD">
            <w:pPr>
              <w:pStyle w:val="Tabletext"/>
            </w:pPr>
            <w:r>
              <w:t>VAAF</w:t>
            </w:r>
          </w:p>
        </w:tc>
        <w:tc>
          <w:tcPr>
            <w:tcW w:w="6804" w:type="dxa"/>
            <w:tcBorders>
              <w:top w:val="single" w:sz="4" w:space="0" w:color="auto"/>
            </w:tcBorders>
          </w:tcPr>
          <w:p w14:paraId="241D7BB5" w14:textId="61433E69" w:rsidR="00A54C90" w:rsidRDefault="009B6B82" w:rsidP="001451AD">
            <w:pPr>
              <w:pStyle w:val="Tabletext"/>
            </w:pPr>
            <w:r w:rsidRPr="000E54D3">
              <w:rPr>
                <w:i/>
                <w:iCs/>
              </w:rPr>
              <w:t>Victorian Aboriginal Affairs Framework</w:t>
            </w:r>
          </w:p>
        </w:tc>
      </w:tr>
      <w:tr w:rsidR="00A404E5" w14:paraId="59D9E41B" w14:textId="77777777" w:rsidTr="00406822">
        <w:tc>
          <w:tcPr>
            <w:tcW w:w="2547" w:type="dxa"/>
            <w:tcBorders>
              <w:top w:val="single" w:sz="4" w:space="0" w:color="auto"/>
            </w:tcBorders>
          </w:tcPr>
          <w:p w14:paraId="13A6E692" w14:textId="4F1ED8C5" w:rsidR="00A404E5" w:rsidRDefault="009E5020" w:rsidP="00406822">
            <w:pPr>
              <w:pStyle w:val="Tabletext"/>
            </w:pPr>
            <w:r>
              <w:t>VACIS</w:t>
            </w:r>
          </w:p>
        </w:tc>
        <w:tc>
          <w:tcPr>
            <w:tcW w:w="6804" w:type="dxa"/>
            <w:tcBorders>
              <w:top w:val="single" w:sz="4" w:space="0" w:color="auto"/>
            </w:tcBorders>
          </w:tcPr>
          <w:p w14:paraId="04E82B83" w14:textId="2425A076" w:rsidR="00A404E5" w:rsidRDefault="00C56198" w:rsidP="00406822">
            <w:pPr>
              <w:pStyle w:val="Tabletext"/>
            </w:pPr>
            <w:r>
              <w:t xml:space="preserve">Victorian Ambulance </w:t>
            </w:r>
            <w:r w:rsidR="00411F4E" w:rsidRPr="00411F4E">
              <w:t>Clinical Information System</w:t>
            </w:r>
          </w:p>
        </w:tc>
      </w:tr>
      <w:tr w:rsidR="00A404E5" w14:paraId="15A08CBF" w14:textId="77777777" w:rsidTr="00406822">
        <w:tc>
          <w:tcPr>
            <w:tcW w:w="2547" w:type="dxa"/>
          </w:tcPr>
          <w:p w14:paraId="1710BD66" w14:textId="04C339E6" w:rsidR="00A404E5" w:rsidRDefault="009E5020" w:rsidP="00406822">
            <w:pPr>
              <w:pStyle w:val="Tabletext"/>
            </w:pPr>
            <w:r>
              <w:t>VCR</w:t>
            </w:r>
          </w:p>
        </w:tc>
        <w:tc>
          <w:tcPr>
            <w:tcW w:w="6804" w:type="dxa"/>
          </w:tcPr>
          <w:p w14:paraId="783EA082" w14:textId="2D84FE7F" w:rsidR="00A404E5" w:rsidRDefault="00FB4A01" w:rsidP="00406822">
            <w:pPr>
              <w:pStyle w:val="Tabletext"/>
            </w:pPr>
            <w:r w:rsidRPr="00FB4A01">
              <w:t>Victorian Cancer Registry</w:t>
            </w:r>
          </w:p>
        </w:tc>
      </w:tr>
      <w:tr w:rsidR="00A404E5" w14:paraId="674136E5" w14:textId="77777777" w:rsidTr="00406822">
        <w:tc>
          <w:tcPr>
            <w:tcW w:w="2547" w:type="dxa"/>
          </w:tcPr>
          <w:p w14:paraId="4B44360E" w14:textId="59871773" w:rsidR="00A404E5" w:rsidRDefault="009E5020" w:rsidP="00406822">
            <w:pPr>
              <w:pStyle w:val="Tabletext"/>
            </w:pPr>
            <w:r>
              <w:t>VAED</w:t>
            </w:r>
          </w:p>
        </w:tc>
        <w:tc>
          <w:tcPr>
            <w:tcW w:w="6804" w:type="dxa"/>
          </w:tcPr>
          <w:p w14:paraId="12DA998B" w14:textId="692EABA5" w:rsidR="00A404E5" w:rsidRDefault="00231EE8" w:rsidP="00406822">
            <w:pPr>
              <w:pStyle w:val="Tabletext"/>
            </w:pPr>
            <w:r w:rsidRPr="00231EE8">
              <w:t>Victorian Admitted Episodes Dataset</w:t>
            </w:r>
          </w:p>
        </w:tc>
      </w:tr>
      <w:tr w:rsidR="00C43CE3" w14:paraId="15881E96" w14:textId="77777777" w:rsidTr="00406822">
        <w:tc>
          <w:tcPr>
            <w:tcW w:w="2547" w:type="dxa"/>
          </w:tcPr>
          <w:p w14:paraId="7214B93B" w14:textId="1DFD05D5" w:rsidR="00C43CE3" w:rsidRDefault="00C43CE3" w:rsidP="001451AD">
            <w:pPr>
              <w:pStyle w:val="Tabletext"/>
            </w:pPr>
            <w:r>
              <w:t>VCHWS</w:t>
            </w:r>
          </w:p>
        </w:tc>
        <w:tc>
          <w:tcPr>
            <w:tcW w:w="6804" w:type="dxa"/>
          </w:tcPr>
          <w:p w14:paraId="20130A8A" w14:textId="4F1A2EEA" w:rsidR="00C43CE3" w:rsidRDefault="00106170" w:rsidP="001451AD">
            <w:pPr>
              <w:pStyle w:val="Tabletext"/>
            </w:pPr>
            <w:r w:rsidRPr="00106170">
              <w:t>Victorian child health and wellbeing survey</w:t>
            </w:r>
          </w:p>
        </w:tc>
      </w:tr>
      <w:tr w:rsidR="00A404E5" w14:paraId="3B74BA9F" w14:textId="77777777" w:rsidTr="00406822">
        <w:tc>
          <w:tcPr>
            <w:tcW w:w="2547" w:type="dxa"/>
          </w:tcPr>
          <w:p w14:paraId="4BE3E162" w14:textId="5908FDA2" w:rsidR="00A404E5" w:rsidRDefault="00C43CE3" w:rsidP="00406822">
            <w:pPr>
              <w:pStyle w:val="Tabletext"/>
            </w:pPr>
            <w:r>
              <w:lastRenderedPageBreak/>
              <w:t>VISU</w:t>
            </w:r>
          </w:p>
        </w:tc>
        <w:tc>
          <w:tcPr>
            <w:tcW w:w="6804" w:type="dxa"/>
          </w:tcPr>
          <w:p w14:paraId="004A3F8D" w14:textId="2E940AF9" w:rsidR="00A404E5" w:rsidRDefault="006A5C27" w:rsidP="00406822">
            <w:pPr>
              <w:pStyle w:val="Tabletext"/>
            </w:pPr>
            <w:r w:rsidRPr="006A5C27">
              <w:t>Victorian Injury Surveillance Unit</w:t>
            </w:r>
          </w:p>
        </w:tc>
      </w:tr>
      <w:tr w:rsidR="00F65106" w14:paraId="4A680DD8" w14:textId="77777777" w:rsidTr="00F65106">
        <w:tc>
          <w:tcPr>
            <w:tcW w:w="2547" w:type="dxa"/>
          </w:tcPr>
          <w:p w14:paraId="4C13572E" w14:textId="050843E8" w:rsidR="00C43CE3" w:rsidRDefault="00470D54">
            <w:pPr>
              <w:pStyle w:val="Tabletext"/>
            </w:pPr>
            <w:r>
              <w:t>VPDC</w:t>
            </w:r>
          </w:p>
        </w:tc>
        <w:tc>
          <w:tcPr>
            <w:tcW w:w="6804" w:type="dxa"/>
          </w:tcPr>
          <w:p w14:paraId="1D04561B" w14:textId="586C22D8" w:rsidR="00C43CE3" w:rsidRDefault="002B307B">
            <w:pPr>
              <w:pStyle w:val="Tabletext"/>
            </w:pPr>
            <w:r w:rsidRPr="002B307B">
              <w:t>Victorian Perinatal Data Collection</w:t>
            </w:r>
          </w:p>
        </w:tc>
      </w:tr>
      <w:tr w:rsidR="00F65106" w14:paraId="102272D7" w14:textId="77777777" w:rsidTr="00F65106">
        <w:tc>
          <w:tcPr>
            <w:tcW w:w="2547" w:type="dxa"/>
          </w:tcPr>
          <w:p w14:paraId="14E7EE9D" w14:textId="43220579" w:rsidR="00C43CE3" w:rsidRDefault="00470D54">
            <w:pPr>
              <w:pStyle w:val="Tabletext"/>
            </w:pPr>
            <w:r>
              <w:t>VPHS</w:t>
            </w:r>
          </w:p>
        </w:tc>
        <w:tc>
          <w:tcPr>
            <w:tcW w:w="6804" w:type="dxa"/>
          </w:tcPr>
          <w:p w14:paraId="20B9BA07" w14:textId="490ADBD5" w:rsidR="00C43CE3" w:rsidRDefault="002B307B">
            <w:pPr>
              <w:pStyle w:val="Tabletext"/>
            </w:pPr>
            <w:r w:rsidRPr="002B307B">
              <w:t>Victorian Population Health Survey</w:t>
            </w:r>
          </w:p>
        </w:tc>
      </w:tr>
      <w:tr w:rsidR="00D83987" w14:paraId="2EF467BF" w14:textId="77777777" w:rsidTr="00F65106">
        <w:tc>
          <w:tcPr>
            <w:tcW w:w="2547" w:type="dxa"/>
          </w:tcPr>
          <w:p w14:paraId="5F08E17C" w14:textId="44820761" w:rsidR="00D83987" w:rsidRDefault="00D83987">
            <w:pPr>
              <w:pStyle w:val="Tabletext"/>
            </w:pPr>
            <w:r>
              <w:t>WHO</w:t>
            </w:r>
          </w:p>
        </w:tc>
        <w:tc>
          <w:tcPr>
            <w:tcW w:w="6804" w:type="dxa"/>
          </w:tcPr>
          <w:p w14:paraId="72BF462F" w14:textId="3F153272" w:rsidR="00D83987" w:rsidRDefault="00A54C90">
            <w:pPr>
              <w:pStyle w:val="Tabletext"/>
            </w:pPr>
            <w:r w:rsidRPr="0081683F">
              <w:t>World Health Organization</w:t>
            </w:r>
          </w:p>
        </w:tc>
      </w:tr>
    </w:tbl>
    <w:p w14:paraId="152EB7BA" w14:textId="77777777" w:rsidR="0051584E" w:rsidRDefault="0051584E" w:rsidP="00BA5FA5">
      <w:pPr>
        <w:pStyle w:val="Body"/>
      </w:pPr>
    </w:p>
    <w:p w14:paraId="6E051AB6" w14:textId="77777777" w:rsidR="00317418" w:rsidRDefault="00317418" w:rsidP="00BA5FA5">
      <w:pPr>
        <w:pStyle w:val="Body"/>
        <w:sectPr w:rsidR="00317418" w:rsidSect="00BC73F0">
          <w:pgSz w:w="11906" w:h="16838" w:code="9"/>
          <w:pgMar w:top="1134" w:right="1304" w:bottom="1418" w:left="1304" w:header="680" w:footer="851" w:gutter="0"/>
          <w:cols w:space="340"/>
          <w:titlePg/>
          <w:docGrid w:linePitch="360"/>
        </w:sectPr>
      </w:pPr>
    </w:p>
    <w:p w14:paraId="2101F0DC" w14:textId="647A21D2" w:rsidR="00A92052" w:rsidRPr="0009685A" w:rsidRDefault="00A92052" w:rsidP="009113A9">
      <w:pPr>
        <w:pStyle w:val="Heading1"/>
      </w:pPr>
      <w:bookmarkStart w:id="92" w:name="_Appendix_1"/>
      <w:bookmarkStart w:id="93" w:name="_Toc195193929"/>
      <w:bookmarkStart w:id="94" w:name="_Toc195614885"/>
      <w:bookmarkStart w:id="95" w:name="_Toc195778204"/>
      <w:bookmarkStart w:id="96" w:name="_Toc211959729"/>
      <w:bookmarkEnd w:id="92"/>
      <w:r w:rsidRPr="0009685A">
        <w:lastRenderedPageBreak/>
        <w:t>Appendix</w:t>
      </w:r>
      <w:bookmarkStart w:id="97" w:name="_Toc151976161"/>
      <w:bookmarkEnd w:id="93"/>
      <w:bookmarkEnd w:id="94"/>
      <w:bookmarkEnd w:id="95"/>
      <w:r w:rsidRPr="0009685A">
        <w:t xml:space="preserve"> </w:t>
      </w:r>
      <w:r w:rsidR="00B55E06" w:rsidRPr="0009685A">
        <w:t>1</w:t>
      </w:r>
      <w:r w:rsidR="007108F6" w:rsidRPr="0009685A">
        <w:t>. Summary of datasets</w:t>
      </w:r>
      <w:bookmarkEnd w:id="96"/>
    </w:p>
    <w:tbl>
      <w:tblPr>
        <w:tblStyle w:val="GridTable4-Accent2"/>
        <w:tblpPr w:leftFromText="180" w:rightFromText="180" w:vertAnchor="text" w:tblpY="1"/>
        <w:tblW w:w="13887" w:type="dxa"/>
        <w:tblLayout w:type="fixed"/>
        <w:tblLook w:val="04A0" w:firstRow="1" w:lastRow="0" w:firstColumn="1" w:lastColumn="0" w:noHBand="0" w:noVBand="1"/>
      </w:tblPr>
      <w:tblGrid>
        <w:gridCol w:w="3539"/>
        <w:gridCol w:w="3260"/>
        <w:gridCol w:w="1559"/>
        <w:gridCol w:w="5529"/>
      </w:tblGrid>
      <w:tr w:rsidR="00C308F4" w14:paraId="597CA057" w14:textId="77777777" w:rsidTr="004068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39" w:type="dxa"/>
            <w:hideMark/>
          </w:tcPr>
          <w:bookmarkEnd w:id="97"/>
          <w:p w14:paraId="6281E97B" w14:textId="77777777" w:rsidR="00A92052" w:rsidRPr="00406822" w:rsidRDefault="00A92052" w:rsidP="0013092F">
            <w:pPr>
              <w:pStyle w:val="Tablecolhead"/>
              <w:rPr>
                <w:b/>
                <w:bCs w:val="0"/>
                <w:color w:val="auto"/>
              </w:rPr>
            </w:pPr>
            <w:r w:rsidRPr="00406822">
              <w:rPr>
                <w:color w:val="auto"/>
              </w:rPr>
              <w:t>Data set</w:t>
            </w:r>
          </w:p>
        </w:tc>
        <w:tc>
          <w:tcPr>
            <w:tcW w:w="3260" w:type="dxa"/>
            <w:hideMark/>
          </w:tcPr>
          <w:p w14:paraId="2CE7116A" w14:textId="77777777" w:rsidR="00A92052" w:rsidRPr="00406822" w:rsidRDefault="00A92052" w:rsidP="0013092F">
            <w:pPr>
              <w:pStyle w:val="Tablecolhead"/>
              <w:cnfStyle w:val="100000000000" w:firstRow="1" w:lastRow="0" w:firstColumn="0" w:lastColumn="0" w:oddVBand="0" w:evenVBand="0" w:oddHBand="0" w:evenHBand="0" w:firstRowFirstColumn="0" w:firstRowLastColumn="0" w:lastRowFirstColumn="0" w:lastRowLastColumn="0"/>
              <w:rPr>
                <w:b/>
                <w:bCs w:val="0"/>
                <w:color w:val="auto"/>
              </w:rPr>
            </w:pPr>
            <w:r w:rsidRPr="00406822">
              <w:rPr>
                <w:color w:val="auto"/>
              </w:rPr>
              <w:t>Custodian</w:t>
            </w:r>
          </w:p>
        </w:tc>
        <w:tc>
          <w:tcPr>
            <w:tcW w:w="1559" w:type="dxa"/>
            <w:hideMark/>
          </w:tcPr>
          <w:p w14:paraId="3793E168" w14:textId="77777777" w:rsidR="00A92052" w:rsidRPr="00406822" w:rsidRDefault="00A92052" w:rsidP="0013092F">
            <w:pPr>
              <w:pStyle w:val="Tablecolhead"/>
              <w:cnfStyle w:val="100000000000" w:firstRow="1" w:lastRow="0" w:firstColumn="0" w:lastColumn="0" w:oddVBand="0" w:evenVBand="0" w:oddHBand="0" w:evenHBand="0" w:firstRowFirstColumn="0" w:firstRowLastColumn="0" w:lastRowFirstColumn="0" w:lastRowLastColumn="0"/>
              <w:rPr>
                <w:b/>
                <w:bCs w:val="0"/>
                <w:color w:val="auto"/>
              </w:rPr>
            </w:pPr>
            <w:r w:rsidRPr="00406822">
              <w:rPr>
                <w:color w:val="auto"/>
              </w:rPr>
              <w:t>Frequency of collection</w:t>
            </w:r>
          </w:p>
        </w:tc>
        <w:tc>
          <w:tcPr>
            <w:tcW w:w="5529" w:type="dxa"/>
          </w:tcPr>
          <w:p w14:paraId="3F3B1AB6" w14:textId="77777777" w:rsidR="00A92052" w:rsidRPr="00406822" w:rsidRDefault="00A92052" w:rsidP="0013092F">
            <w:pPr>
              <w:pStyle w:val="Tablecolhead"/>
              <w:cnfStyle w:val="100000000000" w:firstRow="1" w:lastRow="0" w:firstColumn="0" w:lastColumn="0" w:oddVBand="0" w:evenVBand="0" w:oddHBand="0" w:evenHBand="0" w:firstRowFirstColumn="0" w:firstRowLastColumn="0" w:lastRowFirstColumn="0" w:lastRowLastColumn="0"/>
              <w:rPr>
                <w:b/>
                <w:bCs w:val="0"/>
                <w:color w:val="auto"/>
              </w:rPr>
            </w:pPr>
            <w:r w:rsidRPr="00406822">
              <w:rPr>
                <w:color w:val="auto"/>
              </w:rPr>
              <w:t>Reference</w:t>
            </w:r>
          </w:p>
        </w:tc>
      </w:tr>
      <w:tr w:rsidR="004C2691" w14:paraId="67172EDB"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D201CD9" w14:textId="3134571C" w:rsidR="00A92052" w:rsidRPr="00731B6E" w:rsidRDefault="00A92052" w:rsidP="00670C9B">
            <w:pPr>
              <w:pStyle w:val="Tabletext"/>
            </w:pPr>
            <w:hyperlink r:id="rId26" w:history="1">
              <w:r w:rsidRPr="0041412A">
                <w:rPr>
                  <w:rStyle w:val="Hyperlink"/>
                  <w:b w:val="0"/>
                  <w:bCs w:val="0"/>
                </w:rPr>
                <w:t>Air monitoring network</w:t>
              </w:r>
            </w:hyperlink>
          </w:p>
        </w:tc>
        <w:tc>
          <w:tcPr>
            <w:tcW w:w="3260" w:type="dxa"/>
          </w:tcPr>
          <w:p w14:paraId="73FF723E"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rsidRPr="00695A43">
              <w:t>Environment Protection Authority Victoria</w:t>
            </w:r>
          </w:p>
        </w:tc>
        <w:tc>
          <w:tcPr>
            <w:tcW w:w="1559" w:type="dxa"/>
          </w:tcPr>
          <w:p w14:paraId="29CEA451"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Yearly</w:t>
            </w:r>
          </w:p>
        </w:tc>
        <w:tc>
          <w:tcPr>
            <w:tcW w:w="5529" w:type="dxa"/>
          </w:tcPr>
          <w:p w14:paraId="77829190" w14:textId="7B612577" w:rsidR="00A92052" w:rsidRPr="002A2630" w:rsidRDefault="00997BD8" w:rsidP="00670C9B">
            <w:pPr>
              <w:pStyle w:val="Tabletext"/>
              <w:cnfStyle w:val="000000100000" w:firstRow="0" w:lastRow="0" w:firstColumn="0" w:lastColumn="0" w:oddVBand="0" w:evenVBand="0" w:oddHBand="1" w:evenHBand="0" w:firstRowFirstColumn="0" w:firstRowLastColumn="0" w:lastRowFirstColumn="0" w:lastRowLastColumn="0"/>
            </w:pPr>
            <w:r>
              <w:t>&lt;</w:t>
            </w:r>
            <w:r w:rsidR="00A92052" w:rsidRPr="00A5426B">
              <w:t>www.epa.vic.gov.au</w:t>
            </w:r>
            <w:r>
              <w:t>&gt;</w:t>
            </w:r>
          </w:p>
        </w:tc>
      </w:tr>
      <w:tr w:rsidR="004C2691" w14:paraId="6C0FFB05" w14:textId="77777777" w:rsidTr="00406822">
        <w:tc>
          <w:tcPr>
            <w:cnfStyle w:val="001000000000" w:firstRow="0" w:lastRow="0" w:firstColumn="1" w:lastColumn="0" w:oddVBand="0" w:evenVBand="0" w:oddHBand="0" w:evenHBand="0" w:firstRowFirstColumn="0" w:firstRowLastColumn="0" w:lastRowFirstColumn="0" w:lastRowLastColumn="0"/>
            <w:tcW w:w="3539" w:type="dxa"/>
          </w:tcPr>
          <w:p w14:paraId="7F6D76F9" w14:textId="7CF6907E" w:rsidR="00A92052" w:rsidRPr="00A92655" w:rsidRDefault="00A92052" w:rsidP="00670C9B">
            <w:pPr>
              <w:pStyle w:val="Tabletext"/>
            </w:pPr>
            <w:hyperlink r:id="rId27" w:history="1">
              <w:r w:rsidRPr="00AE2571">
                <w:rPr>
                  <w:rStyle w:val="Hyperlink"/>
                  <w:b w:val="0"/>
                  <w:bCs w:val="0"/>
                </w:rPr>
                <w:t>Australian Collaboration for Coordinated Enhanced Sentinel Surveillance of Sexually Transmitted Infections and Blood Borne Viruse</w:t>
              </w:r>
              <w:r w:rsidR="008320A9">
                <w:rPr>
                  <w:rStyle w:val="Hyperlink"/>
                  <w:b w:val="0"/>
                  <w:bCs w:val="0"/>
                </w:rPr>
                <w:t>s (ACCESS)</w:t>
              </w:r>
            </w:hyperlink>
            <w:r w:rsidR="00C04FFF">
              <w:t xml:space="preserve"> </w:t>
            </w:r>
          </w:p>
        </w:tc>
        <w:tc>
          <w:tcPr>
            <w:tcW w:w="3260" w:type="dxa"/>
          </w:tcPr>
          <w:p w14:paraId="257A327C" w14:textId="77777777" w:rsidR="00A92052" w:rsidRPr="00A92655" w:rsidRDefault="00A92052" w:rsidP="00670C9B">
            <w:pPr>
              <w:pStyle w:val="Tabletext"/>
              <w:cnfStyle w:val="000000000000" w:firstRow="0" w:lastRow="0" w:firstColumn="0" w:lastColumn="0" w:oddVBand="0" w:evenVBand="0" w:oddHBand="0" w:evenHBand="0" w:firstRowFirstColumn="0" w:firstRowLastColumn="0" w:lastRowFirstColumn="0" w:lastRowLastColumn="0"/>
            </w:pPr>
            <w:r w:rsidRPr="00A92655">
              <w:t>ACCESS</w:t>
            </w:r>
          </w:p>
        </w:tc>
        <w:tc>
          <w:tcPr>
            <w:tcW w:w="0" w:type="dxa"/>
          </w:tcPr>
          <w:p w14:paraId="5BEF749F"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Yearly</w:t>
            </w:r>
          </w:p>
        </w:tc>
        <w:tc>
          <w:tcPr>
            <w:tcW w:w="5529" w:type="dxa"/>
          </w:tcPr>
          <w:p w14:paraId="0C59CCBC" w14:textId="44940E3E" w:rsidR="00A92052" w:rsidRPr="000D69FD" w:rsidRDefault="00FC739A" w:rsidP="00670C9B">
            <w:pPr>
              <w:pStyle w:val="Tabletext"/>
              <w:cnfStyle w:val="000000000000" w:firstRow="0" w:lastRow="0" w:firstColumn="0" w:lastColumn="0" w:oddVBand="0" w:evenVBand="0" w:oddHBand="0" w:evenHBand="0" w:firstRowFirstColumn="0" w:firstRowLastColumn="0" w:lastRowFirstColumn="0" w:lastRowLastColumn="0"/>
            </w:pPr>
            <w:r>
              <w:t>&lt;</w:t>
            </w:r>
            <w:r w:rsidR="00A92052" w:rsidRPr="000D69FD">
              <w:t>https://accessproject.org.au</w:t>
            </w:r>
            <w:r>
              <w:t>&gt;</w:t>
            </w:r>
          </w:p>
        </w:tc>
      </w:tr>
      <w:tr w:rsidR="004C2691" w14:paraId="37A2D63F"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C1DEDE5" w14:textId="3AB348AD" w:rsidR="00A92052" w:rsidRPr="00A92655" w:rsidRDefault="00A92052" w:rsidP="00670C9B">
            <w:pPr>
              <w:pStyle w:val="Tabletext"/>
            </w:pPr>
            <w:hyperlink r:id="rId28" w:history="1">
              <w:r w:rsidRPr="00A65344">
                <w:rPr>
                  <w:rStyle w:val="Hyperlink"/>
                  <w:b w:val="0"/>
                  <w:bCs w:val="0"/>
                </w:rPr>
                <w:t>Australian Digital Inclusion Index</w:t>
              </w:r>
            </w:hyperlink>
          </w:p>
        </w:tc>
        <w:tc>
          <w:tcPr>
            <w:tcW w:w="3260" w:type="dxa"/>
          </w:tcPr>
          <w:p w14:paraId="633C466D" w14:textId="0B5A6195" w:rsidR="00A92052" w:rsidRPr="00A92655" w:rsidRDefault="00A92052" w:rsidP="00670C9B">
            <w:pPr>
              <w:pStyle w:val="Tabletext"/>
              <w:cnfStyle w:val="000000100000" w:firstRow="0" w:lastRow="0" w:firstColumn="0" w:lastColumn="0" w:oddVBand="0" w:evenVBand="0" w:oddHBand="1" w:evenHBand="0" w:firstRowFirstColumn="0" w:firstRowLastColumn="0" w:lastRowFirstColumn="0" w:lastRowLastColumn="0"/>
            </w:pPr>
            <w:r w:rsidRPr="006C3D58">
              <w:t>RMIT, Swinburne University of Technology and Telstra</w:t>
            </w:r>
          </w:p>
        </w:tc>
        <w:tc>
          <w:tcPr>
            <w:tcW w:w="1559" w:type="dxa"/>
          </w:tcPr>
          <w:p w14:paraId="1A66B471"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Yearly</w:t>
            </w:r>
          </w:p>
        </w:tc>
        <w:tc>
          <w:tcPr>
            <w:tcW w:w="5529" w:type="dxa"/>
          </w:tcPr>
          <w:p w14:paraId="71251BA7" w14:textId="034EEDEB" w:rsidR="00A92052" w:rsidRPr="000D69FD" w:rsidRDefault="00EF60AE" w:rsidP="00670C9B">
            <w:pPr>
              <w:pStyle w:val="Tabletext"/>
              <w:cnfStyle w:val="000000100000" w:firstRow="0" w:lastRow="0" w:firstColumn="0" w:lastColumn="0" w:oddVBand="0" w:evenVBand="0" w:oddHBand="1" w:evenHBand="0" w:firstRowFirstColumn="0" w:firstRowLastColumn="0" w:lastRowFirstColumn="0" w:lastRowLastColumn="0"/>
            </w:pPr>
            <w:r>
              <w:t>&lt;</w:t>
            </w:r>
            <w:r w:rsidR="00A92052" w:rsidRPr="006C3D58">
              <w:t>www.digitalinclusionindex.org.au</w:t>
            </w:r>
            <w:r>
              <w:t>&gt;</w:t>
            </w:r>
          </w:p>
        </w:tc>
      </w:tr>
      <w:tr w:rsidR="004C2691" w14:paraId="3749DAEB" w14:textId="77777777" w:rsidTr="00406822">
        <w:tc>
          <w:tcPr>
            <w:cnfStyle w:val="001000000000" w:firstRow="0" w:lastRow="0" w:firstColumn="1" w:lastColumn="0" w:oddVBand="0" w:evenVBand="0" w:oddHBand="0" w:evenHBand="0" w:firstRowFirstColumn="0" w:firstRowLastColumn="0" w:lastRowFirstColumn="0" w:lastRowLastColumn="0"/>
            <w:tcW w:w="3539" w:type="dxa"/>
          </w:tcPr>
          <w:p w14:paraId="7D01FD09" w14:textId="76519B05" w:rsidR="00A92052" w:rsidRPr="008A4851" w:rsidRDefault="00A92052" w:rsidP="00670C9B">
            <w:pPr>
              <w:pStyle w:val="Tabletext"/>
            </w:pPr>
            <w:hyperlink r:id="rId29" w:anchor="!/" w:history="1">
              <w:r w:rsidRPr="00044869">
                <w:rPr>
                  <w:rStyle w:val="Hyperlink"/>
                  <w:b w:val="0"/>
                  <w:bCs w:val="0"/>
                </w:rPr>
                <w:t>Australian Disaster Resilience Index</w:t>
              </w:r>
            </w:hyperlink>
          </w:p>
        </w:tc>
        <w:tc>
          <w:tcPr>
            <w:tcW w:w="3260" w:type="dxa"/>
          </w:tcPr>
          <w:p w14:paraId="50552D6B" w14:textId="77777777" w:rsidR="00A92052" w:rsidRPr="00A92655" w:rsidRDefault="00A92052" w:rsidP="00670C9B">
            <w:pPr>
              <w:pStyle w:val="Tabletext"/>
              <w:cnfStyle w:val="000000000000" w:firstRow="0" w:lastRow="0" w:firstColumn="0" w:lastColumn="0" w:oddVBand="0" w:evenVBand="0" w:oddHBand="0" w:evenHBand="0" w:firstRowFirstColumn="0" w:firstRowLastColumn="0" w:lastRowFirstColumn="0" w:lastRowLastColumn="0"/>
            </w:pPr>
            <w:r w:rsidRPr="006E5923">
              <w:t>National Emergency Management Agency</w:t>
            </w:r>
          </w:p>
        </w:tc>
        <w:tc>
          <w:tcPr>
            <w:tcW w:w="0" w:type="dxa"/>
          </w:tcPr>
          <w:p w14:paraId="6EBC321E"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Not stated</w:t>
            </w:r>
          </w:p>
        </w:tc>
        <w:tc>
          <w:tcPr>
            <w:tcW w:w="5529" w:type="dxa"/>
          </w:tcPr>
          <w:p w14:paraId="44DB9758" w14:textId="0284552D" w:rsidR="00A92052" w:rsidRPr="000D69FD" w:rsidRDefault="00044869" w:rsidP="00670C9B">
            <w:pPr>
              <w:pStyle w:val="Tabletext"/>
              <w:cnfStyle w:val="000000000000" w:firstRow="0" w:lastRow="0" w:firstColumn="0" w:lastColumn="0" w:oddVBand="0" w:evenVBand="0" w:oddHBand="0" w:evenHBand="0" w:firstRowFirstColumn="0" w:firstRowLastColumn="0" w:lastRowFirstColumn="0" w:lastRowLastColumn="0"/>
            </w:pPr>
            <w:r>
              <w:t>&lt;</w:t>
            </w:r>
            <w:r w:rsidR="00A92052" w:rsidRPr="00136BC5">
              <w:t>https://adri.naturalhazards.com.au/#!/</w:t>
            </w:r>
            <w:r>
              <w:t>&gt;</w:t>
            </w:r>
          </w:p>
        </w:tc>
      </w:tr>
      <w:tr w:rsidR="004C2691" w14:paraId="0FC44CFF"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7603BF2" w14:textId="66767F1D" w:rsidR="00A92052" w:rsidRPr="00A92655" w:rsidRDefault="00A92052" w:rsidP="00670C9B">
            <w:pPr>
              <w:pStyle w:val="Tabletext"/>
            </w:pPr>
            <w:hyperlink r:id="rId30" w:history="1">
              <w:r w:rsidRPr="00F37515">
                <w:rPr>
                  <w:rStyle w:val="Hyperlink"/>
                  <w:b w:val="0"/>
                  <w:bCs w:val="0"/>
                </w:rPr>
                <w:t>Australian Early Development Census</w:t>
              </w:r>
            </w:hyperlink>
          </w:p>
        </w:tc>
        <w:tc>
          <w:tcPr>
            <w:tcW w:w="3260" w:type="dxa"/>
          </w:tcPr>
          <w:p w14:paraId="31E86CD6" w14:textId="77777777" w:rsidR="00A92052" w:rsidRPr="00A92655"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Australian Government Department of Education</w:t>
            </w:r>
          </w:p>
        </w:tc>
        <w:tc>
          <w:tcPr>
            <w:tcW w:w="1559" w:type="dxa"/>
          </w:tcPr>
          <w:p w14:paraId="3CA410E1"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Yearly</w:t>
            </w:r>
          </w:p>
        </w:tc>
        <w:tc>
          <w:tcPr>
            <w:tcW w:w="5529" w:type="dxa"/>
          </w:tcPr>
          <w:p w14:paraId="7D2857FC" w14:textId="620F7F1C" w:rsidR="00A92052" w:rsidRPr="000D69FD" w:rsidRDefault="004009E7" w:rsidP="00670C9B">
            <w:pPr>
              <w:pStyle w:val="Tabletext"/>
              <w:cnfStyle w:val="000000100000" w:firstRow="0" w:lastRow="0" w:firstColumn="0" w:lastColumn="0" w:oddVBand="0" w:evenVBand="0" w:oddHBand="1" w:evenHBand="0" w:firstRowFirstColumn="0" w:firstRowLastColumn="0" w:lastRowFirstColumn="0" w:lastRowLastColumn="0"/>
            </w:pPr>
            <w:r>
              <w:t>&lt;</w:t>
            </w:r>
            <w:r w:rsidR="00A92052" w:rsidRPr="0001243F">
              <w:t>www.education.gov.au/early-childhood/about/data-and-reports/australian-early-development-census</w:t>
            </w:r>
            <w:r w:rsidR="003B5ED3">
              <w:t>&gt;</w:t>
            </w:r>
          </w:p>
        </w:tc>
      </w:tr>
      <w:tr w:rsidR="004C2691" w14:paraId="355F3E99" w14:textId="77777777" w:rsidTr="00406822">
        <w:tc>
          <w:tcPr>
            <w:cnfStyle w:val="001000000000" w:firstRow="0" w:lastRow="0" w:firstColumn="1" w:lastColumn="0" w:oddVBand="0" w:evenVBand="0" w:oddHBand="0" w:evenHBand="0" w:firstRowFirstColumn="0" w:firstRowLastColumn="0" w:lastRowFirstColumn="0" w:lastRowLastColumn="0"/>
            <w:tcW w:w="3539" w:type="dxa"/>
          </w:tcPr>
          <w:p w14:paraId="78CA7C38" w14:textId="4B2FB5DB" w:rsidR="00A92052" w:rsidRPr="00731B6E" w:rsidRDefault="00A92052" w:rsidP="00670C9B">
            <w:pPr>
              <w:pStyle w:val="Tabletext"/>
            </w:pPr>
            <w:hyperlink r:id="rId31" w:history="1">
              <w:r w:rsidRPr="00F263B7">
                <w:rPr>
                  <w:rStyle w:val="Hyperlink"/>
                  <w:b w:val="0"/>
                  <w:bCs w:val="0"/>
                </w:rPr>
                <w:t>Australian Energy Statistics</w:t>
              </w:r>
            </w:hyperlink>
          </w:p>
        </w:tc>
        <w:tc>
          <w:tcPr>
            <w:tcW w:w="3260" w:type="dxa"/>
          </w:tcPr>
          <w:p w14:paraId="0B0C6948" w14:textId="04529565"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Australian Government Department of Climate Change, Energy, the Environment and Water</w:t>
            </w:r>
          </w:p>
        </w:tc>
        <w:tc>
          <w:tcPr>
            <w:tcW w:w="0" w:type="dxa"/>
          </w:tcPr>
          <w:p w14:paraId="762FA939"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Yearly</w:t>
            </w:r>
          </w:p>
        </w:tc>
        <w:tc>
          <w:tcPr>
            <w:tcW w:w="5529" w:type="dxa"/>
          </w:tcPr>
          <w:p w14:paraId="1D7BE725" w14:textId="4B4F2BE0" w:rsidR="00A92052" w:rsidRPr="003E5875" w:rsidRDefault="004009E7" w:rsidP="00670C9B">
            <w:pPr>
              <w:pStyle w:val="Tabletext"/>
              <w:cnfStyle w:val="000000000000" w:firstRow="0" w:lastRow="0" w:firstColumn="0" w:lastColumn="0" w:oddVBand="0" w:evenVBand="0" w:oddHBand="0" w:evenHBand="0" w:firstRowFirstColumn="0" w:firstRowLastColumn="0" w:lastRowFirstColumn="0" w:lastRowLastColumn="0"/>
            </w:pPr>
            <w:r>
              <w:t>&lt;</w:t>
            </w:r>
            <w:r w:rsidR="00A92052" w:rsidRPr="002A2630">
              <w:t>www.energy.gov.au/government-priorities/energy-data/australian-energy-statistics</w:t>
            </w:r>
            <w:r w:rsidR="003B5ED3">
              <w:t>&gt;</w:t>
            </w:r>
          </w:p>
        </w:tc>
      </w:tr>
      <w:tr w:rsidR="004C2691" w14:paraId="603879BD"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1F14A5A" w14:textId="6BB89C9A" w:rsidR="00A92052" w:rsidRPr="00731B6E" w:rsidRDefault="00A92052" w:rsidP="00670C9B">
            <w:pPr>
              <w:pStyle w:val="Tabletext"/>
            </w:pPr>
            <w:hyperlink r:id="rId32" w:history="1">
              <w:r w:rsidRPr="00F263B7">
                <w:rPr>
                  <w:rStyle w:val="Hyperlink"/>
                  <w:b w:val="0"/>
                  <w:bCs w:val="0"/>
                </w:rPr>
                <w:t>Australian Immunisation Register</w:t>
              </w:r>
            </w:hyperlink>
          </w:p>
        </w:tc>
        <w:tc>
          <w:tcPr>
            <w:tcW w:w="3260" w:type="dxa"/>
          </w:tcPr>
          <w:p w14:paraId="40BE1F35" w14:textId="669EAB26"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Australian Government Department of Health</w:t>
            </w:r>
            <w:r w:rsidR="00C43497">
              <w:t>, Disability</w:t>
            </w:r>
            <w:r>
              <w:t xml:space="preserve"> and Age</w:t>
            </w:r>
            <w:r w:rsidR="001532A5">
              <w:t>ing</w:t>
            </w:r>
          </w:p>
        </w:tc>
        <w:tc>
          <w:tcPr>
            <w:tcW w:w="1559" w:type="dxa"/>
          </w:tcPr>
          <w:p w14:paraId="58C01D27"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5529" w:type="dxa"/>
          </w:tcPr>
          <w:p w14:paraId="5D2B4665" w14:textId="0D22D50F" w:rsidR="00A92052" w:rsidRPr="003E5875" w:rsidRDefault="004009E7" w:rsidP="00670C9B">
            <w:pPr>
              <w:pStyle w:val="Tabletext"/>
              <w:cnfStyle w:val="000000100000" w:firstRow="0" w:lastRow="0" w:firstColumn="0" w:lastColumn="0" w:oddVBand="0" w:evenVBand="0" w:oddHBand="1" w:evenHBand="0" w:firstRowFirstColumn="0" w:firstRowLastColumn="0" w:lastRowFirstColumn="0" w:lastRowLastColumn="0"/>
            </w:pPr>
            <w:r>
              <w:t>&lt;</w:t>
            </w:r>
            <w:r w:rsidR="00A92052" w:rsidRPr="00E7571C">
              <w:t>www.servicesaustralia.gov.au/australian-immunisation-register</w:t>
            </w:r>
            <w:r w:rsidR="003B5ED3">
              <w:t>&gt;</w:t>
            </w:r>
          </w:p>
        </w:tc>
      </w:tr>
      <w:tr w:rsidR="004C2691" w14:paraId="395982EB" w14:textId="77777777" w:rsidTr="00406822">
        <w:tc>
          <w:tcPr>
            <w:cnfStyle w:val="001000000000" w:firstRow="0" w:lastRow="0" w:firstColumn="1" w:lastColumn="0" w:oddVBand="0" w:evenVBand="0" w:oddHBand="0" w:evenHBand="0" w:firstRowFirstColumn="0" w:firstRowLastColumn="0" w:lastRowFirstColumn="0" w:lastRowLastColumn="0"/>
            <w:tcW w:w="3539" w:type="dxa"/>
          </w:tcPr>
          <w:p w14:paraId="71A33AD2" w14:textId="4243193F" w:rsidR="00A92052" w:rsidRPr="00731B6E" w:rsidRDefault="00A92052" w:rsidP="00670C9B">
            <w:pPr>
              <w:pStyle w:val="Tabletext"/>
            </w:pPr>
            <w:hyperlink r:id="rId33" w:history="1">
              <w:r w:rsidRPr="00FB1A9C">
                <w:rPr>
                  <w:rStyle w:val="Hyperlink"/>
                  <w:b w:val="0"/>
                  <w:bCs w:val="0"/>
                </w:rPr>
                <w:t xml:space="preserve">Australian secondary school </w:t>
              </w:r>
              <w:proofErr w:type="gramStart"/>
              <w:r w:rsidRPr="00FB1A9C">
                <w:rPr>
                  <w:rStyle w:val="Hyperlink"/>
                  <w:b w:val="0"/>
                  <w:bCs w:val="0"/>
                </w:rPr>
                <w:t>students</w:t>
              </w:r>
              <w:proofErr w:type="gramEnd"/>
              <w:r w:rsidRPr="00FB1A9C">
                <w:rPr>
                  <w:rStyle w:val="Hyperlink"/>
                  <w:b w:val="0"/>
                  <w:bCs w:val="0"/>
                </w:rPr>
                <w:t xml:space="preserve"> alcohol and drug survey</w:t>
              </w:r>
            </w:hyperlink>
          </w:p>
        </w:tc>
        <w:tc>
          <w:tcPr>
            <w:tcW w:w="3260" w:type="dxa"/>
          </w:tcPr>
          <w:p w14:paraId="1E149176"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Cancer Council Victoria</w:t>
            </w:r>
          </w:p>
        </w:tc>
        <w:tc>
          <w:tcPr>
            <w:tcW w:w="0" w:type="dxa"/>
          </w:tcPr>
          <w:p w14:paraId="161D296C"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Triennial</w:t>
            </w:r>
          </w:p>
        </w:tc>
        <w:tc>
          <w:tcPr>
            <w:tcW w:w="5529" w:type="dxa"/>
          </w:tcPr>
          <w:p w14:paraId="77CAC7A2" w14:textId="20E920F9" w:rsidR="00A92052" w:rsidRPr="003E5875" w:rsidRDefault="004009E7" w:rsidP="00670C9B">
            <w:pPr>
              <w:pStyle w:val="Tabletext"/>
              <w:cnfStyle w:val="000000000000" w:firstRow="0" w:lastRow="0" w:firstColumn="0" w:lastColumn="0" w:oddVBand="0" w:evenVBand="0" w:oddHBand="0" w:evenHBand="0" w:firstRowFirstColumn="0" w:firstRowLastColumn="0" w:lastRowFirstColumn="0" w:lastRowLastColumn="0"/>
            </w:pPr>
            <w:r>
              <w:t>&lt;</w:t>
            </w:r>
            <w:r w:rsidR="00A92052" w:rsidRPr="00801A63">
              <w:t>www.health.gov.au/resources/collections/australian-secondary-school-students-alcohol-and-drug-survey</w:t>
            </w:r>
            <w:r w:rsidR="003B5ED3">
              <w:t>&gt;</w:t>
            </w:r>
          </w:p>
        </w:tc>
      </w:tr>
      <w:tr w:rsidR="004C2691" w14:paraId="75FE803B"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A004EF5" w14:textId="147A5FF4" w:rsidR="00A92052" w:rsidRPr="00035431" w:rsidRDefault="00A92052" w:rsidP="00670C9B">
            <w:pPr>
              <w:pStyle w:val="Tabletext"/>
            </w:pPr>
            <w:hyperlink r:id="rId34" w:history="1">
              <w:r w:rsidRPr="0043422F">
                <w:rPr>
                  <w:rStyle w:val="Hyperlink"/>
                  <w:b w:val="0"/>
                  <w:bCs w:val="0"/>
                </w:rPr>
                <w:t>Census of Population and Housing</w:t>
              </w:r>
            </w:hyperlink>
          </w:p>
        </w:tc>
        <w:tc>
          <w:tcPr>
            <w:tcW w:w="3260" w:type="dxa"/>
          </w:tcPr>
          <w:p w14:paraId="38E1E1D3" w14:textId="09025F9B" w:rsidR="00A92052" w:rsidRDefault="00313C08" w:rsidP="00670C9B">
            <w:pPr>
              <w:pStyle w:val="Tabletext"/>
              <w:cnfStyle w:val="000000100000" w:firstRow="0" w:lastRow="0" w:firstColumn="0" w:lastColumn="0" w:oddVBand="0" w:evenVBand="0" w:oddHBand="1" w:evenHBand="0" w:firstRowFirstColumn="0" w:firstRowLastColumn="0" w:lastRowFirstColumn="0" w:lastRowLastColumn="0"/>
            </w:pPr>
            <w:r>
              <w:t>Australian Bureau of Statistics</w:t>
            </w:r>
          </w:p>
        </w:tc>
        <w:tc>
          <w:tcPr>
            <w:tcW w:w="1559" w:type="dxa"/>
          </w:tcPr>
          <w:p w14:paraId="4CA126CE" w14:textId="11EF4455"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 xml:space="preserve">Every </w:t>
            </w:r>
            <w:r w:rsidR="0043422F">
              <w:t>five</w:t>
            </w:r>
            <w:r>
              <w:t xml:space="preserve"> years</w:t>
            </w:r>
          </w:p>
        </w:tc>
        <w:tc>
          <w:tcPr>
            <w:tcW w:w="5529" w:type="dxa"/>
          </w:tcPr>
          <w:p w14:paraId="5D5A8DCB" w14:textId="18C40364" w:rsidR="00A92052" w:rsidRDefault="004009E7" w:rsidP="00670C9B">
            <w:pPr>
              <w:pStyle w:val="Tabletext"/>
              <w:cnfStyle w:val="000000100000" w:firstRow="0" w:lastRow="0" w:firstColumn="0" w:lastColumn="0" w:oddVBand="0" w:evenVBand="0" w:oddHBand="1" w:evenHBand="0" w:firstRowFirstColumn="0" w:firstRowLastColumn="0" w:lastRowFirstColumn="0" w:lastRowLastColumn="0"/>
            </w:pPr>
            <w:r>
              <w:t>&lt;</w:t>
            </w:r>
            <w:r w:rsidR="00A92052" w:rsidRPr="008958CA">
              <w:t>www.abs.gov.au/census</w:t>
            </w:r>
            <w:r w:rsidR="003B5ED3">
              <w:t>&gt;</w:t>
            </w:r>
          </w:p>
        </w:tc>
      </w:tr>
      <w:tr w:rsidR="004C2691" w14:paraId="57AB0DD0" w14:textId="77777777" w:rsidTr="00406822">
        <w:tc>
          <w:tcPr>
            <w:cnfStyle w:val="001000000000" w:firstRow="0" w:lastRow="0" w:firstColumn="1" w:lastColumn="0" w:oddVBand="0" w:evenVBand="0" w:oddHBand="0" w:evenHBand="0" w:firstRowFirstColumn="0" w:firstRowLastColumn="0" w:lastRowFirstColumn="0" w:lastRowLastColumn="0"/>
            <w:tcW w:w="3539" w:type="dxa"/>
          </w:tcPr>
          <w:p w14:paraId="3F8A4F52" w14:textId="2A3C56E8" w:rsidR="00A92052" w:rsidRPr="00731B6E" w:rsidRDefault="00A92052" w:rsidP="00670C9B">
            <w:pPr>
              <w:pStyle w:val="Tabletext"/>
            </w:pPr>
            <w:hyperlink r:id="rId35" w:history="1">
              <w:r w:rsidRPr="00B4263B">
                <w:rPr>
                  <w:rStyle w:val="Hyperlink"/>
                  <w:b w:val="0"/>
                  <w:bCs w:val="0"/>
                </w:rPr>
                <w:t>Client Relationship Information System</w:t>
              </w:r>
            </w:hyperlink>
          </w:p>
        </w:tc>
        <w:tc>
          <w:tcPr>
            <w:tcW w:w="3260" w:type="dxa"/>
          </w:tcPr>
          <w:p w14:paraId="3811C83E" w14:textId="704BAB80" w:rsidR="00A92052" w:rsidRDefault="002773C7" w:rsidP="00670C9B">
            <w:pPr>
              <w:pStyle w:val="Tabletext"/>
              <w:cnfStyle w:val="000000000000" w:firstRow="0" w:lastRow="0" w:firstColumn="0" w:lastColumn="0" w:oddVBand="0" w:evenVBand="0" w:oddHBand="0" w:evenHBand="0" w:firstRowFirstColumn="0" w:firstRowLastColumn="0" w:lastRowFirstColumn="0" w:lastRowLastColumn="0"/>
            </w:pPr>
            <w:r w:rsidRPr="002773C7">
              <w:t>Department of Families, Fairness and Housing</w:t>
            </w:r>
          </w:p>
        </w:tc>
        <w:tc>
          <w:tcPr>
            <w:tcW w:w="0" w:type="dxa"/>
          </w:tcPr>
          <w:p w14:paraId="1D3BC8FE"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Ongoing</w:t>
            </w:r>
          </w:p>
        </w:tc>
        <w:tc>
          <w:tcPr>
            <w:tcW w:w="5529" w:type="dxa"/>
          </w:tcPr>
          <w:p w14:paraId="199A8348" w14:textId="4FA4E54D" w:rsidR="00A92052" w:rsidRPr="008958CA" w:rsidRDefault="004009E7" w:rsidP="00670C9B">
            <w:pPr>
              <w:pStyle w:val="Tabletext"/>
              <w:cnfStyle w:val="000000000000" w:firstRow="0" w:lastRow="0" w:firstColumn="0" w:lastColumn="0" w:oddVBand="0" w:evenVBand="0" w:oddHBand="0" w:evenHBand="0" w:firstRowFirstColumn="0" w:firstRowLastColumn="0" w:lastRowFirstColumn="0" w:lastRowLastColumn="0"/>
            </w:pPr>
            <w:r>
              <w:t>&lt;</w:t>
            </w:r>
            <w:r w:rsidR="00B4263B" w:rsidRPr="00B4263B">
              <w:t>https://providers.dffh.vic.gov.au/client-relationship-management</w:t>
            </w:r>
            <w:r w:rsidR="00B4263B">
              <w:t>&gt;</w:t>
            </w:r>
          </w:p>
        </w:tc>
      </w:tr>
      <w:tr w:rsidR="004C2691" w14:paraId="4C155E03"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539B605" w14:textId="2A8B185B" w:rsidR="00A92052" w:rsidRPr="00773005" w:rsidRDefault="00A92052" w:rsidP="00C10AA6">
            <w:pPr>
              <w:pStyle w:val="Tabletext"/>
              <w:rPr>
                <w:b w:val="0"/>
              </w:rPr>
            </w:pPr>
            <w:hyperlink r:id="rId36" w:history="1">
              <w:r w:rsidRPr="007B4EFB">
                <w:rPr>
                  <w:rStyle w:val="Hyperlink"/>
                  <w:b w:val="0"/>
                  <w:bCs w:val="0"/>
                </w:rPr>
                <w:t>Crime Victimisation Survey</w:t>
              </w:r>
            </w:hyperlink>
            <w:r w:rsidRPr="008517C4">
              <w:t xml:space="preserve"> </w:t>
            </w:r>
          </w:p>
        </w:tc>
        <w:tc>
          <w:tcPr>
            <w:tcW w:w="3260" w:type="dxa"/>
          </w:tcPr>
          <w:p w14:paraId="2208B051" w14:textId="2F423C0F" w:rsidR="00A92052" w:rsidRDefault="00313C08" w:rsidP="00670C9B">
            <w:pPr>
              <w:pStyle w:val="Tabletext"/>
              <w:cnfStyle w:val="000000100000" w:firstRow="0" w:lastRow="0" w:firstColumn="0" w:lastColumn="0" w:oddVBand="0" w:evenVBand="0" w:oddHBand="1" w:evenHBand="0" w:firstRowFirstColumn="0" w:firstRowLastColumn="0" w:lastRowFirstColumn="0" w:lastRowLastColumn="0"/>
            </w:pPr>
            <w:r>
              <w:t>Australian Bureau of Statistics</w:t>
            </w:r>
          </w:p>
        </w:tc>
        <w:tc>
          <w:tcPr>
            <w:tcW w:w="1559" w:type="dxa"/>
          </w:tcPr>
          <w:p w14:paraId="4260C661"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Yearly</w:t>
            </w:r>
          </w:p>
        </w:tc>
        <w:tc>
          <w:tcPr>
            <w:tcW w:w="5529" w:type="dxa"/>
          </w:tcPr>
          <w:p w14:paraId="15A73E7F" w14:textId="2A96E88F" w:rsidR="00A92052" w:rsidRDefault="004009E7" w:rsidP="00670C9B">
            <w:pPr>
              <w:pStyle w:val="Tabletext"/>
              <w:cnfStyle w:val="000000100000" w:firstRow="0" w:lastRow="0" w:firstColumn="0" w:lastColumn="0" w:oddVBand="0" w:evenVBand="0" w:oddHBand="1" w:evenHBand="0" w:firstRowFirstColumn="0" w:firstRowLastColumn="0" w:lastRowFirstColumn="0" w:lastRowLastColumn="0"/>
            </w:pPr>
            <w:r>
              <w:t>&lt;</w:t>
            </w:r>
            <w:r w:rsidR="00A92052" w:rsidRPr="00066127">
              <w:t>www.abs.gov.au/statistics/people/crime-and-justice/crime-victimisation</w:t>
            </w:r>
            <w:r w:rsidR="003B5ED3">
              <w:t>&gt;</w:t>
            </w:r>
          </w:p>
        </w:tc>
      </w:tr>
      <w:tr w:rsidR="004C2691" w14:paraId="0E540CE6" w14:textId="77777777" w:rsidTr="00406822">
        <w:tc>
          <w:tcPr>
            <w:cnfStyle w:val="001000000000" w:firstRow="0" w:lastRow="0" w:firstColumn="1" w:lastColumn="0" w:oddVBand="0" w:evenVBand="0" w:oddHBand="0" w:evenHBand="0" w:firstRowFirstColumn="0" w:firstRowLastColumn="0" w:lastRowFirstColumn="0" w:lastRowLastColumn="0"/>
            <w:tcW w:w="3539" w:type="dxa"/>
          </w:tcPr>
          <w:p w14:paraId="6AC464B1" w14:textId="63E96A63" w:rsidR="00A92052" w:rsidRPr="008517C4" w:rsidRDefault="00A92052" w:rsidP="00670C9B">
            <w:pPr>
              <w:pStyle w:val="Tabletext"/>
            </w:pPr>
            <w:hyperlink r:id="rId37" w:history="1">
              <w:r w:rsidRPr="003B5069">
                <w:rPr>
                  <w:rStyle w:val="Hyperlink"/>
                  <w:b w:val="0"/>
                  <w:bCs w:val="0"/>
                </w:rPr>
                <w:t>Public dental dataset</w:t>
              </w:r>
            </w:hyperlink>
          </w:p>
        </w:tc>
        <w:tc>
          <w:tcPr>
            <w:tcW w:w="3260" w:type="dxa"/>
          </w:tcPr>
          <w:p w14:paraId="0B57BEB5" w14:textId="7132A1A2" w:rsidR="00A92052" w:rsidRDefault="00BC548D" w:rsidP="00670C9B">
            <w:pPr>
              <w:pStyle w:val="Tabletext"/>
              <w:cnfStyle w:val="000000000000" w:firstRow="0" w:lastRow="0" w:firstColumn="0" w:lastColumn="0" w:oddVBand="0" w:evenVBand="0" w:oddHBand="0" w:evenHBand="0" w:firstRowFirstColumn="0" w:firstRowLastColumn="0" w:lastRowFirstColumn="0" w:lastRowLastColumn="0"/>
            </w:pPr>
            <w:r>
              <w:t>Oral</w:t>
            </w:r>
            <w:r w:rsidR="00A92052">
              <w:t xml:space="preserve"> Health Victoria</w:t>
            </w:r>
          </w:p>
        </w:tc>
        <w:tc>
          <w:tcPr>
            <w:tcW w:w="0" w:type="dxa"/>
          </w:tcPr>
          <w:p w14:paraId="403BE884"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Not stated</w:t>
            </w:r>
          </w:p>
        </w:tc>
        <w:tc>
          <w:tcPr>
            <w:tcW w:w="5529" w:type="dxa"/>
          </w:tcPr>
          <w:p w14:paraId="5553E3B9" w14:textId="3ECF4A0E" w:rsidR="00A92052" w:rsidRDefault="004009E7" w:rsidP="00670C9B">
            <w:pPr>
              <w:pStyle w:val="Tabletext"/>
              <w:cnfStyle w:val="000000000000" w:firstRow="0" w:lastRow="0" w:firstColumn="0" w:lastColumn="0" w:oddVBand="0" w:evenVBand="0" w:oddHBand="0" w:evenHBand="0" w:firstRowFirstColumn="0" w:firstRowLastColumn="0" w:lastRowFirstColumn="0" w:lastRowLastColumn="0"/>
            </w:pPr>
            <w:r>
              <w:t>&lt;</w:t>
            </w:r>
            <w:r w:rsidR="00A92052" w:rsidRPr="00E22440">
              <w:t>www.dhsv.org.au/</w:t>
            </w:r>
            <w:r w:rsidR="003B5ED3">
              <w:t>&gt;</w:t>
            </w:r>
          </w:p>
        </w:tc>
      </w:tr>
      <w:tr w:rsidR="004C2691" w14:paraId="77E0008E"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97F7B1E" w14:textId="5BBAD23C" w:rsidR="00A92052" w:rsidRPr="008517C4" w:rsidRDefault="00A92052" w:rsidP="00670C9B">
            <w:pPr>
              <w:pStyle w:val="Tabletext"/>
            </w:pPr>
            <w:hyperlink r:id="rId38" w:history="1">
              <w:r w:rsidRPr="00FE6D19">
                <w:rPr>
                  <w:rStyle w:val="Hyperlink"/>
                  <w:b w:val="0"/>
                  <w:bCs w:val="0"/>
                </w:rPr>
                <w:t>Education and Work</w:t>
              </w:r>
            </w:hyperlink>
          </w:p>
        </w:tc>
        <w:tc>
          <w:tcPr>
            <w:tcW w:w="3260" w:type="dxa"/>
          </w:tcPr>
          <w:p w14:paraId="3AA30424" w14:textId="0D1BBB9B" w:rsidR="00A92052" w:rsidRDefault="00313C08" w:rsidP="00670C9B">
            <w:pPr>
              <w:pStyle w:val="Tabletext"/>
              <w:cnfStyle w:val="000000100000" w:firstRow="0" w:lastRow="0" w:firstColumn="0" w:lastColumn="0" w:oddVBand="0" w:evenVBand="0" w:oddHBand="1" w:evenHBand="0" w:firstRowFirstColumn="0" w:firstRowLastColumn="0" w:lastRowFirstColumn="0" w:lastRowLastColumn="0"/>
            </w:pPr>
            <w:r>
              <w:t>Australian Bureau of Statistics</w:t>
            </w:r>
          </w:p>
        </w:tc>
        <w:tc>
          <w:tcPr>
            <w:tcW w:w="1559" w:type="dxa"/>
          </w:tcPr>
          <w:p w14:paraId="1AE2B58B"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Yearly</w:t>
            </w:r>
          </w:p>
        </w:tc>
        <w:tc>
          <w:tcPr>
            <w:tcW w:w="5529" w:type="dxa"/>
          </w:tcPr>
          <w:p w14:paraId="065B4E85" w14:textId="3B721B5D" w:rsidR="00A92052" w:rsidRDefault="004009E7" w:rsidP="00670C9B">
            <w:pPr>
              <w:pStyle w:val="Tabletext"/>
              <w:cnfStyle w:val="000000100000" w:firstRow="0" w:lastRow="0" w:firstColumn="0" w:lastColumn="0" w:oddVBand="0" w:evenVBand="0" w:oddHBand="1" w:evenHBand="0" w:firstRowFirstColumn="0" w:firstRowLastColumn="0" w:lastRowFirstColumn="0" w:lastRowLastColumn="0"/>
            </w:pPr>
            <w:r>
              <w:t>&lt;</w:t>
            </w:r>
            <w:r w:rsidR="00A92052" w:rsidRPr="00176BF5">
              <w:t>www.abs.gov.au/statistics/people/education/education-and-work-australia</w:t>
            </w:r>
            <w:r w:rsidR="003B5ED3">
              <w:t>&gt;</w:t>
            </w:r>
          </w:p>
        </w:tc>
      </w:tr>
      <w:tr w:rsidR="004C2691" w14:paraId="62B05431" w14:textId="77777777" w:rsidTr="00406822">
        <w:tc>
          <w:tcPr>
            <w:cnfStyle w:val="001000000000" w:firstRow="0" w:lastRow="0" w:firstColumn="1" w:lastColumn="0" w:oddVBand="0" w:evenVBand="0" w:oddHBand="0" w:evenHBand="0" w:firstRowFirstColumn="0" w:firstRowLastColumn="0" w:lastRowFirstColumn="0" w:lastRowLastColumn="0"/>
            <w:tcW w:w="3539" w:type="dxa"/>
          </w:tcPr>
          <w:p w14:paraId="67824949" w14:textId="51F05192" w:rsidR="00A92052" w:rsidRPr="008517C4" w:rsidRDefault="00A92052" w:rsidP="00670C9B">
            <w:pPr>
              <w:pStyle w:val="Tabletext"/>
            </w:pPr>
            <w:hyperlink r:id="rId39" w:history="1">
              <w:r w:rsidRPr="00470503">
                <w:rPr>
                  <w:rStyle w:val="Hyperlink"/>
                  <w:b w:val="0"/>
                  <w:bCs w:val="0"/>
                </w:rPr>
                <w:t>General Social Survey</w:t>
              </w:r>
            </w:hyperlink>
          </w:p>
        </w:tc>
        <w:tc>
          <w:tcPr>
            <w:tcW w:w="3260" w:type="dxa"/>
          </w:tcPr>
          <w:p w14:paraId="0C425F8C" w14:textId="274A7ECB" w:rsidR="00A92052" w:rsidRDefault="00313C08" w:rsidP="00670C9B">
            <w:pPr>
              <w:pStyle w:val="Tabletext"/>
              <w:cnfStyle w:val="000000000000" w:firstRow="0" w:lastRow="0" w:firstColumn="0" w:lastColumn="0" w:oddVBand="0" w:evenVBand="0" w:oddHBand="0" w:evenHBand="0" w:firstRowFirstColumn="0" w:firstRowLastColumn="0" w:lastRowFirstColumn="0" w:lastRowLastColumn="0"/>
            </w:pPr>
            <w:r>
              <w:t>Australian Bureau of Statistics</w:t>
            </w:r>
          </w:p>
        </w:tc>
        <w:tc>
          <w:tcPr>
            <w:tcW w:w="0" w:type="dxa"/>
          </w:tcPr>
          <w:p w14:paraId="69583228"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Periodically</w:t>
            </w:r>
          </w:p>
        </w:tc>
        <w:tc>
          <w:tcPr>
            <w:tcW w:w="5529" w:type="dxa"/>
          </w:tcPr>
          <w:p w14:paraId="7789207D" w14:textId="65500068" w:rsidR="00A92052" w:rsidRDefault="004009E7" w:rsidP="00670C9B">
            <w:pPr>
              <w:pStyle w:val="Tabletext"/>
              <w:cnfStyle w:val="000000000000" w:firstRow="0" w:lastRow="0" w:firstColumn="0" w:lastColumn="0" w:oddVBand="0" w:evenVBand="0" w:oddHBand="0" w:evenHBand="0" w:firstRowFirstColumn="0" w:firstRowLastColumn="0" w:lastRowFirstColumn="0" w:lastRowLastColumn="0"/>
            </w:pPr>
            <w:r>
              <w:t>&lt;</w:t>
            </w:r>
            <w:r w:rsidR="00A92052" w:rsidRPr="00B54CB7">
              <w:t>www.abs.gov.au/statistics/people/people-and-communities/general-social-survey-summary-results-australia/latest-release</w:t>
            </w:r>
            <w:r w:rsidR="003B5ED3">
              <w:t>&gt;</w:t>
            </w:r>
          </w:p>
        </w:tc>
      </w:tr>
      <w:tr w:rsidR="004C2691" w14:paraId="6012319D"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19AD483" w14:textId="6CC0ADC0" w:rsidR="00A92052" w:rsidRPr="008517C4" w:rsidRDefault="00A92052" w:rsidP="00670C9B">
            <w:pPr>
              <w:pStyle w:val="Tabletext"/>
            </w:pPr>
            <w:hyperlink r:id="rId40" w:history="1">
              <w:r w:rsidRPr="009E0291">
                <w:rPr>
                  <w:rStyle w:val="Hyperlink"/>
                  <w:b w:val="0"/>
                  <w:bCs w:val="0"/>
                </w:rPr>
                <w:t>HILDA Survey</w:t>
              </w:r>
            </w:hyperlink>
          </w:p>
        </w:tc>
        <w:tc>
          <w:tcPr>
            <w:tcW w:w="3260" w:type="dxa"/>
          </w:tcPr>
          <w:p w14:paraId="4BD770F8"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Melbourne Institute</w:t>
            </w:r>
          </w:p>
        </w:tc>
        <w:tc>
          <w:tcPr>
            <w:tcW w:w="1559" w:type="dxa"/>
          </w:tcPr>
          <w:p w14:paraId="2315A998"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Yearly</w:t>
            </w:r>
          </w:p>
        </w:tc>
        <w:tc>
          <w:tcPr>
            <w:tcW w:w="5529" w:type="dxa"/>
          </w:tcPr>
          <w:p w14:paraId="1117FB59" w14:textId="76C4578A" w:rsidR="00A92052" w:rsidRDefault="004009E7" w:rsidP="00670C9B">
            <w:pPr>
              <w:pStyle w:val="Tabletext"/>
              <w:cnfStyle w:val="000000100000" w:firstRow="0" w:lastRow="0" w:firstColumn="0" w:lastColumn="0" w:oddVBand="0" w:evenVBand="0" w:oddHBand="1" w:evenHBand="0" w:firstRowFirstColumn="0" w:firstRowLastColumn="0" w:lastRowFirstColumn="0" w:lastRowLastColumn="0"/>
            </w:pPr>
            <w:r>
              <w:t>&lt;</w:t>
            </w:r>
            <w:r w:rsidR="00A92052" w:rsidRPr="00F067B9">
              <w:t>https://melbourneinstitute.unimelb.edu.au/hilda</w:t>
            </w:r>
            <w:r w:rsidR="003B5ED3">
              <w:t>&gt;</w:t>
            </w:r>
          </w:p>
        </w:tc>
      </w:tr>
      <w:tr w:rsidR="004C2691" w14:paraId="354B79A0" w14:textId="77777777" w:rsidTr="00406822">
        <w:tc>
          <w:tcPr>
            <w:cnfStyle w:val="001000000000" w:firstRow="0" w:lastRow="0" w:firstColumn="1" w:lastColumn="0" w:oddVBand="0" w:evenVBand="0" w:oddHBand="0" w:evenHBand="0" w:firstRowFirstColumn="0" w:firstRowLastColumn="0" w:lastRowFirstColumn="0" w:lastRowLastColumn="0"/>
            <w:tcW w:w="3539" w:type="dxa"/>
          </w:tcPr>
          <w:p w14:paraId="35063B4A" w14:textId="71FFFD21" w:rsidR="00A92052" w:rsidRPr="00773005" w:rsidRDefault="00A92052" w:rsidP="00670C9B">
            <w:pPr>
              <w:pStyle w:val="Tabletext"/>
              <w:rPr>
                <w:b w:val="0"/>
              </w:rPr>
            </w:pPr>
            <w:hyperlink r:id="rId41" w:history="1">
              <w:r w:rsidRPr="0015018F">
                <w:rPr>
                  <w:rStyle w:val="Hyperlink"/>
                  <w:b w:val="0"/>
                  <w:bCs w:val="0"/>
                </w:rPr>
                <w:t>Labour Force Survey</w:t>
              </w:r>
            </w:hyperlink>
          </w:p>
        </w:tc>
        <w:tc>
          <w:tcPr>
            <w:tcW w:w="3260" w:type="dxa"/>
          </w:tcPr>
          <w:p w14:paraId="4B1D44E6" w14:textId="3FCE54E5" w:rsidR="00A92052" w:rsidRDefault="00313C08" w:rsidP="00670C9B">
            <w:pPr>
              <w:pStyle w:val="Tabletext"/>
              <w:cnfStyle w:val="000000000000" w:firstRow="0" w:lastRow="0" w:firstColumn="0" w:lastColumn="0" w:oddVBand="0" w:evenVBand="0" w:oddHBand="0" w:evenHBand="0" w:firstRowFirstColumn="0" w:firstRowLastColumn="0" w:lastRowFirstColumn="0" w:lastRowLastColumn="0"/>
            </w:pPr>
            <w:r>
              <w:t>Australian Bureau of Statistics</w:t>
            </w:r>
          </w:p>
        </w:tc>
        <w:tc>
          <w:tcPr>
            <w:tcW w:w="0" w:type="dxa"/>
          </w:tcPr>
          <w:p w14:paraId="3CE8FC2E"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Monthly</w:t>
            </w:r>
          </w:p>
        </w:tc>
        <w:tc>
          <w:tcPr>
            <w:tcW w:w="5529" w:type="dxa"/>
          </w:tcPr>
          <w:p w14:paraId="511F3545" w14:textId="7653E68A" w:rsidR="00A92052" w:rsidRDefault="004009E7" w:rsidP="00670C9B">
            <w:pPr>
              <w:pStyle w:val="Tabletext"/>
              <w:cnfStyle w:val="000000000000" w:firstRow="0" w:lastRow="0" w:firstColumn="0" w:lastColumn="0" w:oddVBand="0" w:evenVBand="0" w:oddHBand="0" w:evenHBand="0" w:firstRowFirstColumn="0" w:firstRowLastColumn="0" w:lastRowFirstColumn="0" w:lastRowLastColumn="0"/>
            </w:pPr>
            <w:r>
              <w:t>&lt;</w:t>
            </w:r>
            <w:r w:rsidR="00A92052" w:rsidRPr="00F807AC">
              <w:t>www.abs.gov.au/statistics/labour/employment-and-unemployment/labour-force-australia/latest-release</w:t>
            </w:r>
            <w:r w:rsidR="003B5ED3">
              <w:t>&gt;</w:t>
            </w:r>
          </w:p>
        </w:tc>
      </w:tr>
      <w:tr w:rsidR="004C2691" w14:paraId="10AFB427"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B85B5A2" w14:textId="25EED907" w:rsidR="00A92052" w:rsidRPr="008A4851" w:rsidRDefault="00A92052" w:rsidP="00670C9B">
            <w:pPr>
              <w:pStyle w:val="Tabletext"/>
            </w:pPr>
            <w:hyperlink r:id="rId42" w:history="1">
              <w:r w:rsidRPr="0015018F">
                <w:rPr>
                  <w:rStyle w:val="Hyperlink"/>
                  <w:b w:val="0"/>
                  <w:bCs w:val="0"/>
                </w:rPr>
                <w:t>Law Enforcement Assistance Program</w:t>
              </w:r>
            </w:hyperlink>
          </w:p>
        </w:tc>
        <w:tc>
          <w:tcPr>
            <w:tcW w:w="3260" w:type="dxa"/>
          </w:tcPr>
          <w:p w14:paraId="4395DEC5"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Victoria Police</w:t>
            </w:r>
          </w:p>
        </w:tc>
        <w:tc>
          <w:tcPr>
            <w:tcW w:w="1559" w:type="dxa"/>
          </w:tcPr>
          <w:p w14:paraId="678FFA04"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Yearly</w:t>
            </w:r>
          </w:p>
        </w:tc>
        <w:tc>
          <w:tcPr>
            <w:tcW w:w="5529" w:type="dxa"/>
          </w:tcPr>
          <w:p w14:paraId="19774C1D" w14:textId="7E6962C4" w:rsidR="00A92052" w:rsidRDefault="004009E7" w:rsidP="00670C9B">
            <w:pPr>
              <w:pStyle w:val="Tabletext"/>
              <w:cnfStyle w:val="000000100000" w:firstRow="0" w:lastRow="0" w:firstColumn="0" w:lastColumn="0" w:oddVBand="0" w:evenVBand="0" w:oddHBand="1" w:evenHBand="0" w:firstRowFirstColumn="0" w:firstRowLastColumn="0" w:lastRowFirstColumn="0" w:lastRowLastColumn="0"/>
            </w:pPr>
            <w:r>
              <w:t>&lt;</w:t>
            </w:r>
            <w:r w:rsidR="001161AC" w:rsidRPr="001161AC">
              <w:t>https://www.crimestatistics.vic.gov.au/</w:t>
            </w:r>
            <w:r w:rsidR="003B5ED3">
              <w:t>&gt;</w:t>
            </w:r>
          </w:p>
        </w:tc>
      </w:tr>
      <w:tr w:rsidR="004C2691" w14:paraId="151D0AA1" w14:textId="77777777" w:rsidTr="00406822">
        <w:trPr>
          <w:trHeight w:val="587"/>
        </w:trPr>
        <w:tc>
          <w:tcPr>
            <w:cnfStyle w:val="001000000000" w:firstRow="0" w:lastRow="0" w:firstColumn="1" w:lastColumn="0" w:oddVBand="0" w:evenVBand="0" w:oddHBand="0" w:evenHBand="0" w:firstRowFirstColumn="0" w:firstRowLastColumn="0" w:lastRowFirstColumn="0" w:lastRowLastColumn="0"/>
            <w:tcW w:w="3539" w:type="dxa"/>
          </w:tcPr>
          <w:p w14:paraId="3F9EF7D0" w14:textId="58BBE08B" w:rsidR="00A92052" w:rsidRPr="00773005" w:rsidRDefault="00A92052" w:rsidP="00670C9B">
            <w:pPr>
              <w:pStyle w:val="Tabletext"/>
              <w:rPr>
                <w:b w:val="0"/>
              </w:rPr>
            </w:pPr>
            <w:hyperlink r:id="rId43" w:history="1">
              <w:r w:rsidRPr="00B80863">
                <w:rPr>
                  <w:rStyle w:val="Hyperlink"/>
                  <w:b w:val="0"/>
                  <w:bCs w:val="0"/>
                </w:rPr>
                <w:t>Maternal and Child Health Collection</w:t>
              </w:r>
            </w:hyperlink>
          </w:p>
        </w:tc>
        <w:tc>
          <w:tcPr>
            <w:tcW w:w="3260" w:type="dxa"/>
          </w:tcPr>
          <w:p w14:paraId="5095B084" w14:textId="5FB3DA7C"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Department of Health</w:t>
            </w:r>
          </w:p>
        </w:tc>
        <w:tc>
          <w:tcPr>
            <w:tcW w:w="0" w:type="dxa"/>
          </w:tcPr>
          <w:p w14:paraId="19A19C82"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Yearly</w:t>
            </w:r>
          </w:p>
        </w:tc>
        <w:tc>
          <w:tcPr>
            <w:tcW w:w="5529" w:type="dxa"/>
          </w:tcPr>
          <w:p w14:paraId="67FDF7EC" w14:textId="377CD2C8" w:rsidR="00A92052" w:rsidRDefault="004009E7" w:rsidP="00670C9B">
            <w:pPr>
              <w:pStyle w:val="Tabletext"/>
              <w:cnfStyle w:val="000000000000" w:firstRow="0" w:lastRow="0" w:firstColumn="0" w:lastColumn="0" w:oddVBand="0" w:evenVBand="0" w:oddHBand="0" w:evenHBand="0" w:firstRowFirstColumn="0" w:firstRowLastColumn="0" w:lastRowFirstColumn="0" w:lastRowLastColumn="0"/>
            </w:pPr>
            <w:r>
              <w:t>&lt;</w:t>
            </w:r>
            <w:r w:rsidR="00A92052" w:rsidRPr="00420DEE">
              <w:t>www.health.vic.gov.au/maternal-child-health/maternal-child-and-health-reporting-and-data</w:t>
            </w:r>
            <w:r w:rsidR="003B5ED3">
              <w:t>&gt;</w:t>
            </w:r>
          </w:p>
        </w:tc>
      </w:tr>
      <w:tr w:rsidR="004C2691" w14:paraId="26706010"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62D7990" w14:textId="46874534" w:rsidR="00A92052" w:rsidRPr="00773005" w:rsidRDefault="00A92052" w:rsidP="00670C9B">
            <w:pPr>
              <w:pStyle w:val="Tabletext"/>
              <w:rPr>
                <w:b w:val="0"/>
              </w:rPr>
            </w:pPr>
            <w:hyperlink r:id="rId44" w:history="1">
              <w:r w:rsidRPr="00086A6A">
                <w:rPr>
                  <w:rStyle w:val="Hyperlink"/>
                  <w:b w:val="0"/>
                  <w:bCs w:val="0"/>
                </w:rPr>
                <w:t>National Aboriginal and Torres Strait Islander Health Survey</w:t>
              </w:r>
            </w:hyperlink>
          </w:p>
        </w:tc>
        <w:tc>
          <w:tcPr>
            <w:tcW w:w="3260" w:type="dxa"/>
          </w:tcPr>
          <w:p w14:paraId="699D5031" w14:textId="0485A88B" w:rsidR="00A92052" w:rsidRDefault="00313C08" w:rsidP="00670C9B">
            <w:pPr>
              <w:pStyle w:val="Tabletext"/>
              <w:cnfStyle w:val="000000100000" w:firstRow="0" w:lastRow="0" w:firstColumn="0" w:lastColumn="0" w:oddVBand="0" w:evenVBand="0" w:oddHBand="1" w:evenHBand="0" w:firstRowFirstColumn="0" w:firstRowLastColumn="0" w:lastRowFirstColumn="0" w:lastRowLastColumn="0"/>
            </w:pPr>
            <w:r>
              <w:t>Australian Bureau of Statistics</w:t>
            </w:r>
          </w:p>
        </w:tc>
        <w:tc>
          <w:tcPr>
            <w:tcW w:w="1559" w:type="dxa"/>
          </w:tcPr>
          <w:p w14:paraId="531A618F"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Periodically</w:t>
            </w:r>
          </w:p>
        </w:tc>
        <w:tc>
          <w:tcPr>
            <w:tcW w:w="5529" w:type="dxa"/>
          </w:tcPr>
          <w:p w14:paraId="361D8B28" w14:textId="3974EB4D" w:rsidR="00A92052" w:rsidRPr="008958CA" w:rsidRDefault="004009E7" w:rsidP="00670C9B">
            <w:pPr>
              <w:pStyle w:val="Tabletext"/>
              <w:cnfStyle w:val="000000100000" w:firstRow="0" w:lastRow="0" w:firstColumn="0" w:lastColumn="0" w:oddVBand="0" w:evenVBand="0" w:oddHBand="1" w:evenHBand="0" w:firstRowFirstColumn="0" w:firstRowLastColumn="0" w:lastRowFirstColumn="0" w:lastRowLastColumn="0"/>
            </w:pPr>
            <w:r>
              <w:t>&lt;</w:t>
            </w:r>
            <w:r w:rsidR="00A92052" w:rsidRPr="000D69FD">
              <w:t>www.abs.gov.au/statistics/people/aboriginal-and-torres-strait-islander-peoples/national-aboriginal-and-torres-strait-islander-health-survey/2022-23</w:t>
            </w:r>
            <w:r w:rsidR="003B5ED3">
              <w:t>&gt;</w:t>
            </w:r>
          </w:p>
        </w:tc>
      </w:tr>
      <w:tr w:rsidR="004C2691" w14:paraId="436EED1A" w14:textId="77777777" w:rsidTr="00406822">
        <w:tc>
          <w:tcPr>
            <w:cnfStyle w:val="001000000000" w:firstRow="0" w:lastRow="0" w:firstColumn="1" w:lastColumn="0" w:oddVBand="0" w:evenVBand="0" w:oddHBand="0" w:evenHBand="0" w:firstRowFirstColumn="0" w:firstRowLastColumn="0" w:lastRowFirstColumn="0" w:lastRowLastColumn="0"/>
            <w:tcW w:w="3539" w:type="dxa"/>
          </w:tcPr>
          <w:p w14:paraId="40221A2F" w14:textId="0C06B9F1" w:rsidR="00A92052" w:rsidRPr="000D69FD" w:rsidRDefault="00A92052" w:rsidP="00670C9B">
            <w:pPr>
              <w:pStyle w:val="Tabletext"/>
            </w:pPr>
            <w:hyperlink r:id="rId45" w:history="1">
              <w:r w:rsidRPr="00495F7A">
                <w:rPr>
                  <w:rStyle w:val="Hyperlink"/>
                  <w:b w:val="0"/>
                  <w:bCs w:val="0"/>
                </w:rPr>
                <w:t>National Assessment Program – Literacy and Numeracy</w:t>
              </w:r>
            </w:hyperlink>
          </w:p>
        </w:tc>
        <w:tc>
          <w:tcPr>
            <w:tcW w:w="3260" w:type="dxa"/>
          </w:tcPr>
          <w:p w14:paraId="775344C7" w14:textId="32719BC3"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rsidRPr="00DC4B31">
              <w:t>Australian Curriculum, Assessment and Reporting Authority</w:t>
            </w:r>
          </w:p>
        </w:tc>
        <w:tc>
          <w:tcPr>
            <w:tcW w:w="0" w:type="dxa"/>
          </w:tcPr>
          <w:p w14:paraId="50827FFA"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Yearly</w:t>
            </w:r>
          </w:p>
        </w:tc>
        <w:tc>
          <w:tcPr>
            <w:tcW w:w="5529" w:type="dxa"/>
          </w:tcPr>
          <w:p w14:paraId="39747310" w14:textId="2C57E38B" w:rsidR="00A92052" w:rsidRPr="000D69FD" w:rsidRDefault="004009E7" w:rsidP="00670C9B">
            <w:pPr>
              <w:pStyle w:val="Tabletext"/>
              <w:cnfStyle w:val="000000000000" w:firstRow="0" w:lastRow="0" w:firstColumn="0" w:lastColumn="0" w:oddVBand="0" w:evenVBand="0" w:oddHBand="0" w:evenHBand="0" w:firstRowFirstColumn="0" w:firstRowLastColumn="0" w:lastRowFirstColumn="0" w:lastRowLastColumn="0"/>
            </w:pPr>
            <w:r>
              <w:t>&lt;</w:t>
            </w:r>
            <w:r w:rsidR="00A92052" w:rsidRPr="004E3171">
              <w:t>www.nap.edu.au/naplan</w:t>
            </w:r>
            <w:r w:rsidR="003B5ED3">
              <w:t>&gt;</w:t>
            </w:r>
          </w:p>
        </w:tc>
      </w:tr>
      <w:tr w:rsidR="004C2691" w14:paraId="5052A283"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18AD271" w14:textId="79994817" w:rsidR="00A92052" w:rsidRPr="00731B6E" w:rsidRDefault="00A92052" w:rsidP="00670C9B">
            <w:pPr>
              <w:pStyle w:val="Tabletext"/>
            </w:pPr>
            <w:hyperlink r:id="rId46" w:history="1">
              <w:r w:rsidRPr="00E75003">
                <w:rPr>
                  <w:rStyle w:val="Hyperlink"/>
                  <w:b w:val="0"/>
                  <w:bCs w:val="0"/>
                </w:rPr>
                <w:t>National Causes of Death</w:t>
              </w:r>
            </w:hyperlink>
          </w:p>
        </w:tc>
        <w:tc>
          <w:tcPr>
            <w:tcW w:w="3260" w:type="dxa"/>
          </w:tcPr>
          <w:p w14:paraId="15B80448" w14:textId="7435D1E9" w:rsidR="00A92052" w:rsidRDefault="00313C08" w:rsidP="00670C9B">
            <w:pPr>
              <w:pStyle w:val="Tabletext"/>
              <w:cnfStyle w:val="000000100000" w:firstRow="0" w:lastRow="0" w:firstColumn="0" w:lastColumn="0" w:oddVBand="0" w:evenVBand="0" w:oddHBand="1" w:evenHBand="0" w:firstRowFirstColumn="0" w:firstRowLastColumn="0" w:lastRowFirstColumn="0" w:lastRowLastColumn="0"/>
            </w:pPr>
            <w:r>
              <w:t>Australian Bureau of Statistics</w:t>
            </w:r>
          </w:p>
        </w:tc>
        <w:tc>
          <w:tcPr>
            <w:tcW w:w="1559" w:type="dxa"/>
          </w:tcPr>
          <w:p w14:paraId="4F88FFB8"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Yearly</w:t>
            </w:r>
          </w:p>
        </w:tc>
        <w:tc>
          <w:tcPr>
            <w:tcW w:w="5529" w:type="dxa"/>
          </w:tcPr>
          <w:p w14:paraId="55C70D36" w14:textId="72CBF8DF" w:rsidR="00A92052" w:rsidRPr="00FD4B0E" w:rsidRDefault="004009E7" w:rsidP="00670C9B">
            <w:pPr>
              <w:pStyle w:val="Tabletext"/>
              <w:cnfStyle w:val="000000100000" w:firstRow="0" w:lastRow="0" w:firstColumn="0" w:lastColumn="0" w:oddVBand="0" w:evenVBand="0" w:oddHBand="1" w:evenHBand="0" w:firstRowFirstColumn="0" w:firstRowLastColumn="0" w:lastRowFirstColumn="0" w:lastRowLastColumn="0"/>
            </w:pPr>
            <w:r>
              <w:t>&lt;</w:t>
            </w:r>
            <w:r w:rsidR="00A92052" w:rsidRPr="007D6566">
              <w:t>www.aihw.gov.au/about-our-data/our-data-collections/national-mortality-database/deaths-data</w:t>
            </w:r>
            <w:r w:rsidR="003B5ED3">
              <w:t>&gt;</w:t>
            </w:r>
          </w:p>
        </w:tc>
      </w:tr>
      <w:tr w:rsidR="004C2691" w14:paraId="053FFB3E" w14:textId="77777777" w:rsidTr="00406822">
        <w:tc>
          <w:tcPr>
            <w:cnfStyle w:val="001000000000" w:firstRow="0" w:lastRow="0" w:firstColumn="1" w:lastColumn="0" w:oddVBand="0" w:evenVBand="0" w:oddHBand="0" w:evenHBand="0" w:firstRowFirstColumn="0" w:firstRowLastColumn="0" w:lastRowFirstColumn="0" w:lastRowLastColumn="0"/>
            <w:tcW w:w="3539" w:type="dxa"/>
          </w:tcPr>
          <w:p w14:paraId="0D3169E3" w14:textId="05907D11" w:rsidR="00A92052" w:rsidRPr="00731B6E" w:rsidRDefault="00A92052" w:rsidP="00670C9B">
            <w:pPr>
              <w:pStyle w:val="Tabletext"/>
            </w:pPr>
            <w:hyperlink r:id="rId47" w:history="1">
              <w:r w:rsidRPr="008D78B5">
                <w:rPr>
                  <w:rStyle w:val="Hyperlink"/>
                  <w:b w:val="0"/>
                  <w:bCs w:val="0"/>
                </w:rPr>
                <w:t xml:space="preserve">National Drug Strategy Household </w:t>
              </w:r>
              <w:r w:rsidR="00A6612C">
                <w:rPr>
                  <w:rStyle w:val="Hyperlink"/>
                  <w:b w:val="0"/>
                  <w:bCs w:val="0"/>
                </w:rPr>
                <w:t>S</w:t>
              </w:r>
              <w:r w:rsidRPr="008D78B5">
                <w:rPr>
                  <w:rStyle w:val="Hyperlink"/>
                  <w:b w:val="0"/>
                  <w:bCs w:val="0"/>
                </w:rPr>
                <w:t>urvey</w:t>
              </w:r>
            </w:hyperlink>
          </w:p>
        </w:tc>
        <w:tc>
          <w:tcPr>
            <w:tcW w:w="3260" w:type="dxa"/>
          </w:tcPr>
          <w:p w14:paraId="3BB7EB54" w14:textId="0EBC8A73" w:rsidR="00A92052" w:rsidRDefault="00FA26F3" w:rsidP="00670C9B">
            <w:pPr>
              <w:pStyle w:val="Tabletext"/>
              <w:cnfStyle w:val="000000000000" w:firstRow="0" w:lastRow="0" w:firstColumn="0" w:lastColumn="0" w:oddVBand="0" w:evenVBand="0" w:oddHBand="0" w:evenHBand="0" w:firstRowFirstColumn="0" w:firstRowLastColumn="0" w:lastRowFirstColumn="0" w:lastRowLastColumn="0"/>
            </w:pPr>
            <w:r w:rsidRPr="00FA26F3">
              <w:t>Australian Institute of Health and Welfare</w:t>
            </w:r>
          </w:p>
        </w:tc>
        <w:tc>
          <w:tcPr>
            <w:tcW w:w="0" w:type="dxa"/>
          </w:tcPr>
          <w:p w14:paraId="19CBC265"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Triennial</w:t>
            </w:r>
          </w:p>
        </w:tc>
        <w:tc>
          <w:tcPr>
            <w:tcW w:w="5529" w:type="dxa"/>
          </w:tcPr>
          <w:p w14:paraId="38ED5E1B" w14:textId="473A52CF" w:rsidR="00A92052" w:rsidRPr="007D6566" w:rsidRDefault="004009E7" w:rsidP="00670C9B">
            <w:pPr>
              <w:pStyle w:val="Tabletext"/>
              <w:cnfStyle w:val="000000000000" w:firstRow="0" w:lastRow="0" w:firstColumn="0" w:lastColumn="0" w:oddVBand="0" w:evenVBand="0" w:oddHBand="0" w:evenHBand="0" w:firstRowFirstColumn="0" w:firstRowLastColumn="0" w:lastRowFirstColumn="0" w:lastRowLastColumn="0"/>
            </w:pPr>
            <w:r>
              <w:t>&lt;</w:t>
            </w:r>
            <w:r w:rsidR="00A92052" w:rsidRPr="002418CE">
              <w:t>www.aihw.gov.au/about-our-data/our-data-collections/national-drug-strategy-household-survey</w:t>
            </w:r>
            <w:r w:rsidR="003B5ED3">
              <w:t>&gt;</w:t>
            </w:r>
          </w:p>
        </w:tc>
      </w:tr>
      <w:tr w:rsidR="004C2691" w14:paraId="66FFE178"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2962D4E" w14:textId="1B90D461" w:rsidR="00A92052" w:rsidRPr="00773005" w:rsidRDefault="00A92052" w:rsidP="00670C9B">
            <w:pPr>
              <w:pStyle w:val="Tabletext"/>
              <w:rPr>
                <w:b w:val="0"/>
              </w:rPr>
            </w:pPr>
            <w:hyperlink r:id="rId48" w:history="1">
              <w:r w:rsidRPr="008D78B5">
                <w:rPr>
                  <w:rStyle w:val="Hyperlink"/>
                  <w:b w:val="0"/>
                  <w:bCs w:val="0"/>
                </w:rPr>
                <w:t>National Greenhouse Gas Inventory</w:t>
              </w:r>
            </w:hyperlink>
          </w:p>
        </w:tc>
        <w:tc>
          <w:tcPr>
            <w:tcW w:w="3260" w:type="dxa"/>
          </w:tcPr>
          <w:p w14:paraId="5654AA27"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Australian Government Department of Climate Change, Energy, the Environment, and Water</w:t>
            </w:r>
          </w:p>
        </w:tc>
        <w:tc>
          <w:tcPr>
            <w:tcW w:w="1559" w:type="dxa"/>
          </w:tcPr>
          <w:p w14:paraId="09108971" w14:textId="2BFEF8F5" w:rsidR="00A92052" w:rsidRDefault="0052033A" w:rsidP="00670C9B">
            <w:pPr>
              <w:pStyle w:val="Tabletext"/>
              <w:cnfStyle w:val="000000100000" w:firstRow="0" w:lastRow="0" w:firstColumn="0" w:lastColumn="0" w:oddVBand="0" w:evenVBand="0" w:oddHBand="1" w:evenHBand="0" w:firstRowFirstColumn="0" w:firstRowLastColumn="0" w:lastRowFirstColumn="0" w:lastRowLastColumn="0"/>
            </w:pPr>
            <w:r>
              <w:t>Annually</w:t>
            </w:r>
          </w:p>
        </w:tc>
        <w:tc>
          <w:tcPr>
            <w:tcW w:w="5529" w:type="dxa"/>
          </w:tcPr>
          <w:p w14:paraId="5A75746A" w14:textId="79F9E4FC" w:rsidR="00A92052" w:rsidRPr="008958CA" w:rsidRDefault="004009E7" w:rsidP="00670C9B">
            <w:pPr>
              <w:pStyle w:val="Tabletext"/>
              <w:cnfStyle w:val="000000100000" w:firstRow="0" w:lastRow="0" w:firstColumn="0" w:lastColumn="0" w:oddVBand="0" w:evenVBand="0" w:oddHBand="1" w:evenHBand="0" w:firstRowFirstColumn="0" w:firstRowLastColumn="0" w:lastRowFirstColumn="0" w:lastRowLastColumn="0"/>
            </w:pPr>
            <w:r>
              <w:t>&lt;</w:t>
            </w:r>
            <w:r w:rsidR="00A92052" w:rsidRPr="00FD4B0E">
              <w:t>www.dcceew.gov.au/climate-change/publications/national-greenhouse-accounts-2020/state-and-territory-greenhouse-gas-inventories-emissions-metrics</w:t>
            </w:r>
            <w:r w:rsidR="003B5ED3">
              <w:t>&gt;</w:t>
            </w:r>
          </w:p>
        </w:tc>
      </w:tr>
      <w:tr w:rsidR="004C2691" w14:paraId="76352B24" w14:textId="77777777" w:rsidTr="00406822">
        <w:tc>
          <w:tcPr>
            <w:cnfStyle w:val="001000000000" w:firstRow="0" w:lastRow="0" w:firstColumn="1" w:lastColumn="0" w:oddVBand="0" w:evenVBand="0" w:oddHBand="0" w:evenHBand="0" w:firstRowFirstColumn="0" w:firstRowLastColumn="0" w:lastRowFirstColumn="0" w:lastRowLastColumn="0"/>
            <w:tcW w:w="3539" w:type="dxa"/>
          </w:tcPr>
          <w:p w14:paraId="0179A611" w14:textId="20DB69D5" w:rsidR="00A92052" w:rsidRPr="000D69FD" w:rsidRDefault="00A92052" w:rsidP="00670C9B">
            <w:pPr>
              <w:pStyle w:val="Tabletext"/>
            </w:pPr>
            <w:hyperlink r:id="rId49" w:history="1">
              <w:r w:rsidRPr="00BE2168">
                <w:rPr>
                  <w:rStyle w:val="Hyperlink"/>
                  <w:b w:val="0"/>
                  <w:bCs w:val="0"/>
                </w:rPr>
                <w:t>National Health Survey</w:t>
              </w:r>
            </w:hyperlink>
          </w:p>
        </w:tc>
        <w:tc>
          <w:tcPr>
            <w:tcW w:w="3260" w:type="dxa"/>
          </w:tcPr>
          <w:p w14:paraId="32E49C1D" w14:textId="243FC94B"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A</w:t>
            </w:r>
            <w:r w:rsidR="00257420">
              <w:t xml:space="preserve">ustralian </w:t>
            </w:r>
            <w:r>
              <w:t>B</w:t>
            </w:r>
            <w:r w:rsidR="00257420">
              <w:t xml:space="preserve">ureau of </w:t>
            </w:r>
            <w:r>
              <w:t>S</w:t>
            </w:r>
            <w:r w:rsidR="00257420">
              <w:t>tatistics</w:t>
            </w:r>
          </w:p>
        </w:tc>
        <w:tc>
          <w:tcPr>
            <w:tcW w:w="0" w:type="dxa"/>
          </w:tcPr>
          <w:p w14:paraId="0745D863"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Triennial</w:t>
            </w:r>
          </w:p>
        </w:tc>
        <w:tc>
          <w:tcPr>
            <w:tcW w:w="5529" w:type="dxa"/>
          </w:tcPr>
          <w:p w14:paraId="1D8AF066" w14:textId="13615C7C" w:rsidR="00A92052" w:rsidRDefault="004009E7" w:rsidP="00670C9B">
            <w:pPr>
              <w:pStyle w:val="Tabletext"/>
              <w:cnfStyle w:val="000000000000" w:firstRow="0" w:lastRow="0" w:firstColumn="0" w:lastColumn="0" w:oddVBand="0" w:evenVBand="0" w:oddHBand="0" w:evenHBand="0" w:firstRowFirstColumn="0" w:firstRowLastColumn="0" w:lastRowFirstColumn="0" w:lastRowLastColumn="0"/>
            </w:pPr>
            <w:r>
              <w:t>&lt;</w:t>
            </w:r>
            <w:r w:rsidR="00B84788" w:rsidRPr="00B84788">
              <w:t>https://www.abs.gov.au/statistics/health/health-conditions-and-risks/national-health-survey/2022</w:t>
            </w:r>
            <w:r w:rsidR="003B5ED3">
              <w:t>&gt;</w:t>
            </w:r>
          </w:p>
        </w:tc>
      </w:tr>
      <w:tr w:rsidR="004C2691" w14:paraId="1A42CB23"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0C50178" w14:textId="46EA1EFE" w:rsidR="00A92052" w:rsidRPr="00731B6E" w:rsidRDefault="00A92052" w:rsidP="00670C9B">
            <w:pPr>
              <w:pStyle w:val="Tabletext"/>
            </w:pPr>
            <w:hyperlink r:id="rId50" w:anchor="about-the-national-nutrition-and-physical-activity-survey" w:history="1">
              <w:r w:rsidRPr="00BE2168">
                <w:rPr>
                  <w:rStyle w:val="Hyperlink"/>
                  <w:b w:val="0"/>
                  <w:bCs w:val="0"/>
                </w:rPr>
                <w:t>National Nutrition and Physical Activity Survey</w:t>
              </w:r>
            </w:hyperlink>
          </w:p>
        </w:tc>
        <w:tc>
          <w:tcPr>
            <w:tcW w:w="3260" w:type="dxa"/>
          </w:tcPr>
          <w:p w14:paraId="50D644B7" w14:textId="4C2216D2" w:rsidR="00A92052" w:rsidRDefault="00313C08" w:rsidP="00670C9B">
            <w:pPr>
              <w:pStyle w:val="Tabletext"/>
              <w:cnfStyle w:val="000000100000" w:firstRow="0" w:lastRow="0" w:firstColumn="0" w:lastColumn="0" w:oddVBand="0" w:evenVBand="0" w:oddHBand="1" w:evenHBand="0" w:firstRowFirstColumn="0" w:firstRowLastColumn="0" w:lastRowFirstColumn="0" w:lastRowLastColumn="0"/>
            </w:pPr>
            <w:r>
              <w:t>Australian Bureau of Statistics</w:t>
            </w:r>
          </w:p>
        </w:tc>
        <w:tc>
          <w:tcPr>
            <w:tcW w:w="1559" w:type="dxa"/>
          </w:tcPr>
          <w:p w14:paraId="4716FE84"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Periodically</w:t>
            </w:r>
          </w:p>
        </w:tc>
        <w:tc>
          <w:tcPr>
            <w:tcW w:w="5529" w:type="dxa"/>
          </w:tcPr>
          <w:p w14:paraId="582EE638" w14:textId="75C0925F" w:rsidR="00A92052" w:rsidRPr="00BA58B6" w:rsidRDefault="004009E7" w:rsidP="00670C9B">
            <w:pPr>
              <w:pStyle w:val="Tabletext"/>
              <w:cnfStyle w:val="000000100000" w:firstRow="0" w:lastRow="0" w:firstColumn="0" w:lastColumn="0" w:oddVBand="0" w:evenVBand="0" w:oddHBand="1" w:evenHBand="0" w:firstRowFirstColumn="0" w:firstRowLastColumn="0" w:lastRowFirstColumn="0" w:lastRowLastColumn="0"/>
            </w:pPr>
            <w:r>
              <w:t>&lt;</w:t>
            </w:r>
            <w:r w:rsidR="00A92052" w:rsidRPr="00A475DB">
              <w:t>www.abs.gov.au/statistics/health/health-conditions-and-risks/food-and-nutrients/latest-release#about-the-national-nutrition-and-physical-activity-survey</w:t>
            </w:r>
            <w:r w:rsidR="003B5ED3">
              <w:t>&gt;</w:t>
            </w:r>
          </w:p>
        </w:tc>
      </w:tr>
      <w:tr w:rsidR="004C2691" w14:paraId="7C859790" w14:textId="77777777" w:rsidTr="00406822">
        <w:tc>
          <w:tcPr>
            <w:cnfStyle w:val="001000000000" w:firstRow="0" w:lastRow="0" w:firstColumn="1" w:lastColumn="0" w:oddVBand="0" w:evenVBand="0" w:oddHBand="0" w:evenHBand="0" w:firstRowFirstColumn="0" w:firstRowLastColumn="0" w:lastRowFirstColumn="0" w:lastRowLastColumn="0"/>
            <w:tcW w:w="3539" w:type="dxa"/>
          </w:tcPr>
          <w:p w14:paraId="0F77BA8F" w14:textId="6D98BA89" w:rsidR="00A92052" w:rsidRPr="00731B6E" w:rsidRDefault="00A92052" w:rsidP="00670C9B">
            <w:pPr>
              <w:pStyle w:val="Tabletext"/>
            </w:pPr>
            <w:hyperlink r:id="rId51" w:history="1">
              <w:r w:rsidRPr="00D42C9B">
                <w:rPr>
                  <w:rStyle w:val="Hyperlink"/>
                  <w:b w:val="0"/>
                  <w:bCs w:val="0"/>
                </w:rPr>
                <w:t>Public Health Events Surveillance System</w:t>
              </w:r>
            </w:hyperlink>
          </w:p>
        </w:tc>
        <w:tc>
          <w:tcPr>
            <w:tcW w:w="3260" w:type="dxa"/>
          </w:tcPr>
          <w:p w14:paraId="7F3CC64E" w14:textId="0C20EB2E"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Department of Health</w:t>
            </w:r>
          </w:p>
        </w:tc>
        <w:tc>
          <w:tcPr>
            <w:tcW w:w="0" w:type="dxa"/>
          </w:tcPr>
          <w:p w14:paraId="59908DAE"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Yearly</w:t>
            </w:r>
          </w:p>
        </w:tc>
        <w:tc>
          <w:tcPr>
            <w:tcW w:w="5529" w:type="dxa"/>
          </w:tcPr>
          <w:p w14:paraId="1998230E" w14:textId="691A6CBB" w:rsidR="00A92052" w:rsidRPr="00BA58B6" w:rsidRDefault="004009E7" w:rsidP="00670C9B">
            <w:pPr>
              <w:pStyle w:val="Tabletext"/>
              <w:cnfStyle w:val="000000000000" w:firstRow="0" w:lastRow="0" w:firstColumn="0" w:lastColumn="0" w:oddVBand="0" w:evenVBand="0" w:oddHBand="0" w:evenHBand="0" w:firstRowFirstColumn="0" w:firstRowLastColumn="0" w:lastRowFirstColumn="0" w:lastRowLastColumn="0"/>
            </w:pPr>
            <w:r>
              <w:t>&lt;</w:t>
            </w:r>
            <w:r w:rsidR="00D42C9B" w:rsidRPr="00D42C9B">
              <w:t>https://www.health.vic.gov.au/infectious-diseases/infectious-diseases-surveillance-in-victoria</w:t>
            </w:r>
            <w:r w:rsidR="003B5ED3">
              <w:t>&gt;</w:t>
            </w:r>
          </w:p>
        </w:tc>
      </w:tr>
      <w:tr w:rsidR="004C2691" w14:paraId="3368998A"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C147A75" w14:textId="6CD3650D" w:rsidR="00A92052" w:rsidRPr="00731B6E" w:rsidRDefault="00A92052" w:rsidP="00670C9B">
            <w:pPr>
              <w:pStyle w:val="Tabletext"/>
            </w:pPr>
            <w:hyperlink r:id="rId52" w:history="1">
              <w:r w:rsidRPr="005372D7">
                <w:rPr>
                  <w:rStyle w:val="Hyperlink"/>
                  <w:b w:val="0"/>
                  <w:bCs w:val="0"/>
                </w:rPr>
                <w:t>Road Crash Information System</w:t>
              </w:r>
            </w:hyperlink>
          </w:p>
        </w:tc>
        <w:tc>
          <w:tcPr>
            <w:tcW w:w="3260" w:type="dxa"/>
          </w:tcPr>
          <w:p w14:paraId="28AA99D2"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Department of Transport and Planning</w:t>
            </w:r>
          </w:p>
        </w:tc>
        <w:tc>
          <w:tcPr>
            <w:tcW w:w="1559" w:type="dxa"/>
          </w:tcPr>
          <w:p w14:paraId="33DBD36C"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Yearly</w:t>
            </w:r>
          </w:p>
        </w:tc>
        <w:tc>
          <w:tcPr>
            <w:tcW w:w="5529" w:type="dxa"/>
          </w:tcPr>
          <w:p w14:paraId="134AB0AD" w14:textId="34899491" w:rsidR="00A92052" w:rsidRPr="00420DEE" w:rsidRDefault="004009E7" w:rsidP="00670C9B">
            <w:pPr>
              <w:pStyle w:val="Tabletext"/>
              <w:cnfStyle w:val="000000100000" w:firstRow="0" w:lastRow="0" w:firstColumn="0" w:lastColumn="0" w:oddVBand="0" w:evenVBand="0" w:oddHBand="1" w:evenHBand="0" w:firstRowFirstColumn="0" w:firstRowLastColumn="0" w:lastRowFirstColumn="0" w:lastRowLastColumn="0"/>
            </w:pPr>
            <w:r>
              <w:t>&lt;</w:t>
            </w:r>
            <w:r w:rsidR="00A92052" w:rsidRPr="00B37391">
              <w:t>www.vic.gov.au/road-crash-statistics</w:t>
            </w:r>
            <w:r w:rsidR="003B5ED3">
              <w:t>&gt;</w:t>
            </w:r>
          </w:p>
        </w:tc>
      </w:tr>
      <w:tr w:rsidR="004C2691" w14:paraId="33B2AB7D" w14:textId="77777777" w:rsidTr="00406822">
        <w:tc>
          <w:tcPr>
            <w:cnfStyle w:val="001000000000" w:firstRow="0" w:lastRow="0" w:firstColumn="1" w:lastColumn="0" w:oddVBand="0" w:evenVBand="0" w:oddHBand="0" w:evenHBand="0" w:firstRowFirstColumn="0" w:firstRowLastColumn="0" w:lastRowFirstColumn="0" w:lastRowLastColumn="0"/>
            <w:tcW w:w="3539" w:type="dxa"/>
          </w:tcPr>
          <w:p w14:paraId="4ED721EB" w14:textId="499E9126" w:rsidR="00A92052" w:rsidRPr="00035431" w:rsidRDefault="00A92052" w:rsidP="00670C9B">
            <w:pPr>
              <w:pStyle w:val="Tabletext"/>
            </w:pPr>
            <w:hyperlink r:id="rId53" w:history="1">
              <w:r w:rsidRPr="001515F8">
                <w:rPr>
                  <w:rStyle w:val="Hyperlink"/>
                  <w:b w:val="0"/>
                  <w:bCs w:val="0"/>
                </w:rPr>
                <w:t>Victorian Ambulance Clinical Information System</w:t>
              </w:r>
            </w:hyperlink>
          </w:p>
        </w:tc>
        <w:tc>
          <w:tcPr>
            <w:tcW w:w="3260" w:type="dxa"/>
          </w:tcPr>
          <w:p w14:paraId="2E3D0598"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Ambulance Victoria</w:t>
            </w:r>
          </w:p>
        </w:tc>
        <w:tc>
          <w:tcPr>
            <w:tcW w:w="0" w:type="dxa"/>
          </w:tcPr>
          <w:p w14:paraId="760C6E29"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Not stated</w:t>
            </w:r>
          </w:p>
        </w:tc>
        <w:tc>
          <w:tcPr>
            <w:tcW w:w="5529" w:type="dxa"/>
          </w:tcPr>
          <w:p w14:paraId="55EB01D8" w14:textId="7AF70C4E" w:rsidR="00A92052" w:rsidRPr="00420DEE" w:rsidRDefault="004009E7" w:rsidP="00670C9B">
            <w:pPr>
              <w:pStyle w:val="Tabletext"/>
              <w:cnfStyle w:val="000000000000" w:firstRow="0" w:lastRow="0" w:firstColumn="0" w:lastColumn="0" w:oddVBand="0" w:evenVBand="0" w:oddHBand="0" w:evenHBand="0" w:firstRowFirstColumn="0" w:firstRowLastColumn="0" w:lastRowFirstColumn="0" w:lastRowLastColumn="0"/>
            </w:pPr>
            <w:r>
              <w:t>&lt;</w:t>
            </w:r>
            <w:r w:rsidR="00A92052" w:rsidRPr="0001243F">
              <w:t>www.ambulance.vic.gov.au/</w:t>
            </w:r>
            <w:r w:rsidR="003B5ED3">
              <w:t>&gt;</w:t>
            </w:r>
          </w:p>
        </w:tc>
      </w:tr>
      <w:tr w:rsidR="004C2691" w14:paraId="20458F86"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869A317" w14:textId="6286FE9D" w:rsidR="00A92052" w:rsidRPr="00731B6E" w:rsidRDefault="00A92052" w:rsidP="00670C9B">
            <w:pPr>
              <w:pStyle w:val="Tabletext"/>
            </w:pPr>
            <w:hyperlink r:id="rId54" w:history="1">
              <w:r w:rsidRPr="00955E31">
                <w:rPr>
                  <w:rStyle w:val="Hyperlink"/>
                  <w:b w:val="0"/>
                  <w:bCs w:val="0"/>
                </w:rPr>
                <w:t>Victorian Admitted Episodes Dataset</w:t>
              </w:r>
            </w:hyperlink>
          </w:p>
        </w:tc>
        <w:tc>
          <w:tcPr>
            <w:tcW w:w="3260" w:type="dxa"/>
          </w:tcPr>
          <w:p w14:paraId="37A28A8A" w14:textId="4DDB3A1D"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Department of Health</w:t>
            </w:r>
          </w:p>
        </w:tc>
        <w:tc>
          <w:tcPr>
            <w:tcW w:w="1559" w:type="dxa"/>
          </w:tcPr>
          <w:p w14:paraId="71A99A29"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5529" w:type="dxa"/>
          </w:tcPr>
          <w:p w14:paraId="128C026B" w14:textId="4CFDFD19" w:rsidR="00A92052" w:rsidRPr="00BA58B6" w:rsidRDefault="004009E7" w:rsidP="00670C9B">
            <w:pPr>
              <w:pStyle w:val="Tabletext"/>
              <w:cnfStyle w:val="000000100000" w:firstRow="0" w:lastRow="0" w:firstColumn="0" w:lastColumn="0" w:oddVBand="0" w:evenVBand="0" w:oddHBand="1" w:evenHBand="0" w:firstRowFirstColumn="0" w:firstRowLastColumn="0" w:lastRowFirstColumn="0" w:lastRowLastColumn="0"/>
            </w:pPr>
            <w:r>
              <w:t>&lt;</w:t>
            </w:r>
            <w:r w:rsidR="000D35B1">
              <w:t>www</w:t>
            </w:r>
            <w:r w:rsidR="00A92052" w:rsidRPr="009F7A7D">
              <w:t>.health.vic.gov.au/data-reporting/victorian-admitted-episodes-dataset</w:t>
            </w:r>
            <w:r w:rsidR="003B5ED3">
              <w:t>&gt;</w:t>
            </w:r>
          </w:p>
        </w:tc>
      </w:tr>
      <w:tr w:rsidR="004C2691" w14:paraId="5049B1F6" w14:textId="77777777" w:rsidTr="00406822">
        <w:tc>
          <w:tcPr>
            <w:cnfStyle w:val="001000000000" w:firstRow="0" w:lastRow="0" w:firstColumn="1" w:lastColumn="0" w:oddVBand="0" w:evenVBand="0" w:oddHBand="0" w:evenHBand="0" w:firstRowFirstColumn="0" w:firstRowLastColumn="0" w:lastRowFirstColumn="0" w:lastRowLastColumn="0"/>
            <w:tcW w:w="3539" w:type="dxa"/>
          </w:tcPr>
          <w:p w14:paraId="279FDA8D" w14:textId="22A2899F" w:rsidR="00A92052" w:rsidRPr="00731B6E" w:rsidRDefault="00A92052" w:rsidP="00670C9B">
            <w:pPr>
              <w:pStyle w:val="Tabletext"/>
            </w:pPr>
            <w:hyperlink r:id="rId55" w:history="1">
              <w:r w:rsidRPr="00AD02F9">
                <w:rPr>
                  <w:rStyle w:val="Hyperlink"/>
                  <w:b w:val="0"/>
                  <w:bCs w:val="0"/>
                </w:rPr>
                <w:t>Victorian Cancer Registry</w:t>
              </w:r>
            </w:hyperlink>
          </w:p>
        </w:tc>
        <w:tc>
          <w:tcPr>
            <w:tcW w:w="3260" w:type="dxa"/>
          </w:tcPr>
          <w:p w14:paraId="3A902904"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Cancer Council Victoria</w:t>
            </w:r>
          </w:p>
        </w:tc>
        <w:tc>
          <w:tcPr>
            <w:tcW w:w="0" w:type="dxa"/>
          </w:tcPr>
          <w:p w14:paraId="47825778"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Ongoing</w:t>
            </w:r>
          </w:p>
        </w:tc>
        <w:tc>
          <w:tcPr>
            <w:tcW w:w="5529" w:type="dxa"/>
          </w:tcPr>
          <w:p w14:paraId="6E626857" w14:textId="3830ECA6" w:rsidR="00A92052" w:rsidRPr="009F7A7D" w:rsidRDefault="004009E7" w:rsidP="00670C9B">
            <w:pPr>
              <w:pStyle w:val="Tabletext"/>
              <w:cnfStyle w:val="000000000000" w:firstRow="0" w:lastRow="0" w:firstColumn="0" w:lastColumn="0" w:oddVBand="0" w:evenVBand="0" w:oddHBand="0" w:evenHBand="0" w:firstRowFirstColumn="0" w:firstRowLastColumn="0" w:lastRowFirstColumn="0" w:lastRowLastColumn="0"/>
            </w:pPr>
            <w:r>
              <w:t>&lt;</w:t>
            </w:r>
            <w:r w:rsidR="00AD02F9" w:rsidRPr="00AD02F9">
              <w:t>https://www.cancervic.org.au/research/vcr/fact-sheets-and-annual-reports</w:t>
            </w:r>
            <w:r w:rsidR="003B5ED3">
              <w:t>&gt;</w:t>
            </w:r>
          </w:p>
        </w:tc>
      </w:tr>
      <w:tr w:rsidR="004C2691" w14:paraId="6CF5D124"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63D1AFC" w14:textId="51422DB9" w:rsidR="00A92052" w:rsidRPr="00731B6E" w:rsidRDefault="00A92052" w:rsidP="00670C9B">
            <w:pPr>
              <w:pStyle w:val="Tabletext"/>
            </w:pPr>
            <w:hyperlink r:id="rId56" w:history="1">
              <w:r w:rsidRPr="00C106ED">
                <w:rPr>
                  <w:rStyle w:val="Hyperlink"/>
                  <w:b w:val="0"/>
                  <w:bCs w:val="0"/>
                </w:rPr>
                <w:t>Victorian child health and wellbeing survey</w:t>
              </w:r>
            </w:hyperlink>
          </w:p>
        </w:tc>
        <w:tc>
          <w:tcPr>
            <w:tcW w:w="3260" w:type="dxa"/>
          </w:tcPr>
          <w:p w14:paraId="61410F9C" w14:textId="2A5BDF09"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Department of Education</w:t>
            </w:r>
          </w:p>
        </w:tc>
        <w:tc>
          <w:tcPr>
            <w:tcW w:w="1559" w:type="dxa"/>
          </w:tcPr>
          <w:p w14:paraId="1800BA40"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Triennial</w:t>
            </w:r>
          </w:p>
        </w:tc>
        <w:tc>
          <w:tcPr>
            <w:tcW w:w="5529" w:type="dxa"/>
          </w:tcPr>
          <w:p w14:paraId="6EF5F646" w14:textId="52C8F234" w:rsidR="00A92052" w:rsidRPr="009F7A7D" w:rsidRDefault="004009E7" w:rsidP="00670C9B">
            <w:pPr>
              <w:pStyle w:val="Tabletext"/>
              <w:cnfStyle w:val="000000100000" w:firstRow="0" w:lastRow="0" w:firstColumn="0" w:lastColumn="0" w:oddVBand="0" w:evenVBand="0" w:oddHBand="1" w:evenHBand="0" w:firstRowFirstColumn="0" w:firstRowLastColumn="0" w:lastRowFirstColumn="0" w:lastRowLastColumn="0"/>
            </w:pPr>
            <w:r>
              <w:t>&lt;</w:t>
            </w:r>
            <w:r w:rsidR="000D35B1">
              <w:t>www</w:t>
            </w:r>
            <w:r w:rsidR="00A92052" w:rsidRPr="00035431">
              <w:t>.vic.gov.au/victorian-child-health-and-wellbeing-survey</w:t>
            </w:r>
            <w:r w:rsidR="003B5ED3">
              <w:t>&gt;</w:t>
            </w:r>
          </w:p>
        </w:tc>
      </w:tr>
      <w:tr w:rsidR="004C2691" w14:paraId="265FD2A7" w14:textId="77777777" w:rsidTr="00406822">
        <w:tc>
          <w:tcPr>
            <w:cnfStyle w:val="001000000000" w:firstRow="0" w:lastRow="0" w:firstColumn="1" w:lastColumn="0" w:oddVBand="0" w:evenVBand="0" w:oddHBand="0" w:evenHBand="0" w:firstRowFirstColumn="0" w:firstRowLastColumn="0" w:lastRowFirstColumn="0" w:lastRowLastColumn="0"/>
            <w:tcW w:w="3539" w:type="dxa"/>
          </w:tcPr>
          <w:p w14:paraId="2D6539B5" w14:textId="2F9919A3" w:rsidR="00A92052" w:rsidRPr="00035431" w:rsidRDefault="00A92052" w:rsidP="00670C9B">
            <w:pPr>
              <w:pStyle w:val="Tabletext"/>
            </w:pPr>
            <w:hyperlink r:id="rId57" w:history="1">
              <w:r w:rsidRPr="00C106ED">
                <w:rPr>
                  <w:rStyle w:val="Hyperlink"/>
                  <w:b w:val="0"/>
                  <w:bCs w:val="0"/>
                </w:rPr>
                <w:t>Victorian Emergency Minimum Dataset</w:t>
              </w:r>
            </w:hyperlink>
          </w:p>
        </w:tc>
        <w:tc>
          <w:tcPr>
            <w:tcW w:w="3260" w:type="dxa"/>
          </w:tcPr>
          <w:p w14:paraId="1F639053" w14:textId="4E33D602"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Department of Health</w:t>
            </w:r>
          </w:p>
        </w:tc>
        <w:tc>
          <w:tcPr>
            <w:tcW w:w="0" w:type="dxa"/>
          </w:tcPr>
          <w:p w14:paraId="49A48323"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5529" w:type="dxa"/>
          </w:tcPr>
          <w:p w14:paraId="4747BE64" w14:textId="372351BF" w:rsidR="00A92052" w:rsidRPr="00035431" w:rsidRDefault="004009E7" w:rsidP="00670C9B">
            <w:pPr>
              <w:pStyle w:val="Tabletext"/>
              <w:cnfStyle w:val="000000000000" w:firstRow="0" w:lastRow="0" w:firstColumn="0" w:lastColumn="0" w:oddVBand="0" w:evenVBand="0" w:oddHBand="0" w:evenHBand="0" w:firstRowFirstColumn="0" w:firstRowLastColumn="0" w:lastRowFirstColumn="0" w:lastRowLastColumn="0"/>
            </w:pPr>
            <w:r>
              <w:t>&lt;</w:t>
            </w:r>
            <w:r w:rsidR="000D35B1">
              <w:t>www</w:t>
            </w:r>
            <w:r w:rsidR="00A92052" w:rsidRPr="006B0E31">
              <w:t>.health.vic.gov.au/data-reporting/victorian-emergency-minimum-dataset-vemd</w:t>
            </w:r>
            <w:r w:rsidR="003B5ED3">
              <w:t>&gt;</w:t>
            </w:r>
          </w:p>
        </w:tc>
      </w:tr>
      <w:tr w:rsidR="004C2691" w14:paraId="6F492BB1"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5211FB8" w14:textId="7CAFC3F0" w:rsidR="00A92052" w:rsidRPr="00035431" w:rsidRDefault="00A92052" w:rsidP="00670C9B">
            <w:pPr>
              <w:pStyle w:val="Tabletext"/>
            </w:pPr>
            <w:hyperlink r:id="rId58" w:history="1">
              <w:r w:rsidRPr="005364D6">
                <w:rPr>
                  <w:rStyle w:val="Hyperlink"/>
                  <w:b w:val="0"/>
                  <w:bCs w:val="0"/>
                </w:rPr>
                <w:t>Victorian Injury Surveillance Unit</w:t>
              </w:r>
            </w:hyperlink>
          </w:p>
        </w:tc>
        <w:tc>
          <w:tcPr>
            <w:tcW w:w="3260" w:type="dxa"/>
          </w:tcPr>
          <w:p w14:paraId="22CAA186"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Monash University</w:t>
            </w:r>
          </w:p>
        </w:tc>
        <w:tc>
          <w:tcPr>
            <w:tcW w:w="1559" w:type="dxa"/>
          </w:tcPr>
          <w:p w14:paraId="52A356B0" w14:textId="77777777"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Yearly</w:t>
            </w:r>
          </w:p>
        </w:tc>
        <w:tc>
          <w:tcPr>
            <w:tcW w:w="5529" w:type="dxa"/>
          </w:tcPr>
          <w:p w14:paraId="5F4182F0" w14:textId="768CBAB4" w:rsidR="00A92052" w:rsidRPr="00035431" w:rsidRDefault="004009E7" w:rsidP="00670C9B">
            <w:pPr>
              <w:pStyle w:val="Tabletext"/>
              <w:cnfStyle w:val="000000100000" w:firstRow="0" w:lastRow="0" w:firstColumn="0" w:lastColumn="0" w:oddVBand="0" w:evenVBand="0" w:oddHBand="1" w:evenHBand="0" w:firstRowFirstColumn="0" w:firstRowLastColumn="0" w:lastRowFirstColumn="0" w:lastRowLastColumn="0"/>
            </w:pPr>
            <w:r>
              <w:t>&lt;</w:t>
            </w:r>
            <w:r w:rsidR="000D35B1">
              <w:t>www</w:t>
            </w:r>
            <w:r w:rsidR="00A92052" w:rsidRPr="00FF7B93">
              <w:t>.monash.edu/muarc/research/research-areas/home-and-community/visu</w:t>
            </w:r>
            <w:r w:rsidR="003B5ED3">
              <w:t>&gt;</w:t>
            </w:r>
          </w:p>
        </w:tc>
      </w:tr>
      <w:tr w:rsidR="004C2691" w14:paraId="2298E21A" w14:textId="77777777" w:rsidTr="00406822">
        <w:tc>
          <w:tcPr>
            <w:cnfStyle w:val="001000000000" w:firstRow="0" w:lastRow="0" w:firstColumn="1" w:lastColumn="0" w:oddVBand="0" w:evenVBand="0" w:oddHBand="0" w:evenHBand="0" w:firstRowFirstColumn="0" w:firstRowLastColumn="0" w:lastRowFirstColumn="0" w:lastRowLastColumn="0"/>
            <w:tcW w:w="3539" w:type="dxa"/>
          </w:tcPr>
          <w:p w14:paraId="651E24D4" w14:textId="6C99A0E7" w:rsidR="00A92052" w:rsidRPr="00731B6E" w:rsidRDefault="00A92052" w:rsidP="00670C9B">
            <w:pPr>
              <w:pStyle w:val="Tabletext"/>
            </w:pPr>
            <w:hyperlink r:id="rId59" w:history="1">
              <w:r w:rsidRPr="008B189E">
                <w:rPr>
                  <w:rStyle w:val="Hyperlink"/>
                  <w:b w:val="0"/>
                  <w:bCs w:val="0"/>
                </w:rPr>
                <w:t>Victorian Perinatal Data Collection</w:t>
              </w:r>
            </w:hyperlink>
          </w:p>
        </w:tc>
        <w:tc>
          <w:tcPr>
            <w:tcW w:w="3260" w:type="dxa"/>
          </w:tcPr>
          <w:p w14:paraId="5077B8D9"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Safer Care Victoria</w:t>
            </w:r>
          </w:p>
        </w:tc>
        <w:tc>
          <w:tcPr>
            <w:tcW w:w="0" w:type="dxa"/>
          </w:tcPr>
          <w:p w14:paraId="1BFB42E3" w14:textId="77777777" w:rsidR="00A92052" w:rsidRDefault="00A92052" w:rsidP="00670C9B">
            <w:pPr>
              <w:pStyle w:val="Tabletext"/>
              <w:cnfStyle w:val="000000000000" w:firstRow="0" w:lastRow="0" w:firstColumn="0" w:lastColumn="0" w:oddVBand="0" w:evenVBand="0" w:oddHBand="0" w:evenHBand="0" w:firstRowFirstColumn="0" w:firstRowLastColumn="0" w:lastRowFirstColumn="0" w:lastRowLastColumn="0"/>
            </w:pPr>
            <w:r>
              <w:t>Yearly</w:t>
            </w:r>
          </w:p>
        </w:tc>
        <w:tc>
          <w:tcPr>
            <w:tcW w:w="5529" w:type="dxa"/>
          </w:tcPr>
          <w:p w14:paraId="1141C114" w14:textId="41A7CE92" w:rsidR="00A92052" w:rsidRPr="00BA58B6" w:rsidRDefault="004009E7" w:rsidP="00670C9B">
            <w:pPr>
              <w:pStyle w:val="Tabletext"/>
              <w:cnfStyle w:val="000000000000" w:firstRow="0" w:lastRow="0" w:firstColumn="0" w:lastColumn="0" w:oddVBand="0" w:evenVBand="0" w:oddHBand="0" w:evenHBand="0" w:firstRowFirstColumn="0" w:firstRowLastColumn="0" w:lastRowFirstColumn="0" w:lastRowLastColumn="0"/>
            </w:pPr>
            <w:r>
              <w:t>&lt;</w:t>
            </w:r>
            <w:r w:rsidR="000D35B1">
              <w:t>www</w:t>
            </w:r>
            <w:r w:rsidR="00A92052" w:rsidRPr="0052020E">
              <w:t>.health.vic.gov.au/quality-safety-service/victorian-perinatal-data-collection</w:t>
            </w:r>
            <w:r w:rsidR="003B5ED3">
              <w:t>&gt;</w:t>
            </w:r>
          </w:p>
        </w:tc>
      </w:tr>
      <w:tr w:rsidR="004C2691" w14:paraId="5865D7FB" w14:textId="77777777" w:rsidTr="00406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E26BE02" w14:textId="701C2365" w:rsidR="00A92052" w:rsidRPr="00731B6E" w:rsidRDefault="00A92052" w:rsidP="00670C9B">
            <w:pPr>
              <w:pStyle w:val="Tabletext"/>
            </w:pPr>
            <w:hyperlink r:id="rId60" w:history="1">
              <w:r w:rsidRPr="00FD59C7">
                <w:rPr>
                  <w:rStyle w:val="Hyperlink"/>
                  <w:b w:val="0"/>
                  <w:bCs w:val="0"/>
                </w:rPr>
                <w:t>Victorian Population Health Survey</w:t>
              </w:r>
            </w:hyperlink>
          </w:p>
        </w:tc>
        <w:tc>
          <w:tcPr>
            <w:tcW w:w="3260" w:type="dxa"/>
          </w:tcPr>
          <w:p w14:paraId="0F544645" w14:textId="61A5187D"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Department of Health</w:t>
            </w:r>
          </w:p>
        </w:tc>
        <w:tc>
          <w:tcPr>
            <w:tcW w:w="1559" w:type="dxa"/>
          </w:tcPr>
          <w:p w14:paraId="2F187BFD" w14:textId="651EC16D" w:rsidR="00A92052" w:rsidRDefault="00A92052" w:rsidP="00670C9B">
            <w:pPr>
              <w:pStyle w:val="Tabletext"/>
              <w:cnfStyle w:val="000000100000" w:firstRow="0" w:lastRow="0" w:firstColumn="0" w:lastColumn="0" w:oddVBand="0" w:evenVBand="0" w:oddHBand="1" w:evenHBand="0" w:firstRowFirstColumn="0" w:firstRowLastColumn="0" w:lastRowFirstColumn="0" w:lastRowLastColumn="0"/>
            </w:pPr>
            <w:r>
              <w:t xml:space="preserve">Yearly, </w:t>
            </w:r>
            <w:r w:rsidR="004F1ED1">
              <w:t>Local Government Area</w:t>
            </w:r>
            <w:r w:rsidR="00DA4965">
              <w:t>-</w:t>
            </w:r>
            <w:r>
              <w:t>level every three years</w:t>
            </w:r>
          </w:p>
        </w:tc>
        <w:tc>
          <w:tcPr>
            <w:tcW w:w="5529" w:type="dxa"/>
          </w:tcPr>
          <w:p w14:paraId="59597838" w14:textId="2F316A2F" w:rsidR="00A92052" w:rsidRPr="00BA58B6" w:rsidRDefault="004009E7" w:rsidP="00670C9B">
            <w:pPr>
              <w:pStyle w:val="Tabletext"/>
              <w:cnfStyle w:val="000000100000" w:firstRow="0" w:lastRow="0" w:firstColumn="0" w:lastColumn="0" w:oddVBand="0" w:evenVBand="0" w:oddHBand="1" w:evenHBand="0" w:firstRowFirstColumn="0" w:firstRowLastColumn="0" w:lastRowFirstColumn="0" w:lastRowLastColumn="0"/>
            </w:pPr>
            <w:r>
              <w:t>&lt;</w:t>
            </w:r>
            <w:r w:rsidR="00A92052" w:rsidRPr="003E5875">
              <w:t>https://vahi.vic.gov.au/reports/population-health</w:t>
            </w:r>
            <w:r w:rsidR="003B5ED3">
              <w:t>&gt;</w:t>
            </w:r>
          </w:p>
        </w:tc>
      </w:tr>
    </w:tbl>
    <w:p w14:paraId="17AC9091" w14:textId="77777777" w:rsidR="00076D4D" w:rsidRDefault="00076D4D" w:rsidP="00BA5FA5">
      <w:pPr>
        <w:pStyle w:val="Body"/>
      </w:pPr>
    </w:p>
    <w:sectPr w:rsidR="00076D4D" w:rsidSect="00406822">
      <w:pgSz w:w="16838" w:h="11906" w:orient="landscape" w:code="9"/>
      <w:pgMar w:top="1304" w:right="1134" w:bottom="1304" w:left="1418"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04EA0" w14:textId="77777777" w:rsidR="00E97B91" w:rsidRDefault="00E97B91">
      <w:r>
        <w:separator/>
      </w:r>
    </w:p>
    <w:p w14:paraId="2D85368E" w14:textId="77777777" w:rsidR="00E97B91" w:rsidRDefault="00E97B91"/>
  </w:endnote>
  <w:endnote w:type="continuationSeparator" w:id="0">
    <w:p w14:paraId="63DC5870" w14:textId="77777777" w:rsidR="00E97B91" w:rsidRDefault="00E97B91">
      <w:r>
        <w:continuationSeparator/>
      </w:r>
    </w:p>
    <w:p w14:paraId="1739A77E" w14:textId="77777777" w:rsidR="00E97B91" w:rsidRDefault="00E97B91"/>
  </w:endnote>
  <w:endnote w:type="continuationNotice" w:id="1">
    <w:p w14:paraId="0C731AF5" w14:textId="77777777" w:rsidR="00E97B91" w:rsidRDefault="00E97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IC">
    <w:altName w:val="Calibri"/>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12CC" w14:textId="3A8CE376" w:rsidR="00C2282F" w:rsidRDefault="000147A7">
    <w:pPr>
      <w:pStyle w:val="Footer"/>
    </w:pPr>
    <w:r>
      <w:rPr>
        <w:noProof/>
      </w:rPr>
      <mc:AlternateContent>
        <mc:Choice Requires="wps">
          <w:drawing>
            <wp:anchor distT="0" distB="0" distL="0" distR="0" simplePos="0" relativeHeight="251659264" behindDoc="0" locked="0" layoutInCell="1" allowOverlap="1" wp14:anchorId="49FEEC86" wp14:editId="505CD980">
              <wp:simplePos x="635" y="635"/>
              <wp:positionH relativeFrom="page">
                <wp:align>center</wp:align>
              </wp:positionH>
              <wp:positionV relativeFrom="page">
                <wp:align>bottom</wp:align>
              </wp:positionV>
              <wp:extent cx="656590" cy="369570"/>
              <wp:effectExtent l="0" t="0" r="10160" b="0"/>
              <wp:wrapNone/>
              <wp:docPr id="104893587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C750EFA" w14:textId="71CC6E39" w:rsidR="000147A7" w:rsidRPr="000147A7" w:rsidRDefault="000147A7" w:rsidP="000147A7">
                          <w:pPr>
                            <w:spacing w:after="0"/>
                            <w:rPr>
                              <w:rFonts w:ascii="Arial Black" w:eastAsia="Arial Black" w:hAnsi="Arial Black" w:cs="Arial Black"/>
                              <w:noProof/>
                              <w:color w:val="000000"/>
                              <w:sz w:val="20"/>
                            </w:rPr>
                          </w:pPr>
                          <w:r w:rsidRPr="000147A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FEEC86"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3C750EFA" w14:textId="71CC6E39" w:rsidR="000147A7" w:rsidRPr="000147A7" w:rsidRDefault="000147A7" w:rsidP="000147A7">
                    <w:pPr>
                      <w:spacing w:after="0"/>
                      <w:rPr>
                        <w:rFonts w:ascii="Arial Black" w:eastAsia="Arial Black" w:hAnsi="Arial Black" w:cs="Arial Black"/>
                        <w:noProof/>
                        <w:color w:val="000000"/>
                        <w:sz w:val="20"/>
                      </w:rPr>
                    </w:pPr>
                    <w:r w:rsidRPr="000147A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38C2" w14:textId="42F4052F" w:rsidR="00C2282F" w:rsidRDefault="000147A7">
    <w:pPr>
      <w:pStyle w:val="Footer"/>
    </w:pPr>
    <w:r>
      <w:rPr>
        <w:noProof/>
      </w:rPr>
      <mc:AlternateContent>
        <mc:Choice Requires="wps">
          <w:drawing>
            <wp:anchor distT="0" distB="0" distL="0" distR="0" simplePos="0" relativeHeight="251660288" behindDoc="0" locked="0" layoutInCell="1" allowOverlap="1" wp14:anchorId="2677ABF3" wp14:editId="0C581F9D">
              <wp:simplePos x="635" y="635"/>
              <wp:positionH relativeFrom="page">
                <wp:align>center</wp:align>
              </wp:positionH>
              <wp:positionV relativeFrom="page">
                <wp:align>bottom</wp:align>
              </wp:positionV>
              <wp:extent cx="656590" cy="369570"/>
              <wp:effectExtent l="0" t="0" r="10160" b="0"/>
              <wp:wrapNone/>
              <wp:docPr id="77301972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C212024" w14:textId="4DDAEE34" w:rsidR="000147A7" w:rsidRPr="000147A7" w:rsidRDefault="000147A7" w:rsidP="000147A7">
                          <w:pPr>
                            <w:spacing w:after="0"/>
                            <w:rPr>
                              <w:rFonts w:ascii="Arial Black" w:eastAsia="Arial Black" w:hAnsi="Arial Black" w:cs="Arial Black"/>
                              <w:noProof/>
                              <w:color w:val="000000"/>
                              <w:sz w:val="20"/>
                            </w:rPr>
                          </w:pPr>
                          <w:r w:rsidRPr="000147A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77ABF3"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6C212024" w14:textId="4DDAEE34" w:rsidR="000147A7" w:rsidRPr="000147A7" w:rsidRDefault="000147A7" w:rsidP="000147A7">
                    <w:pPr>
                      <w:spacing w:after="0"/>
                      <w:rPr>
                        <w:rFonts w:ascii="Arial Black" w:eastAsia="Arial Black" w:hAnsi="Arial Black" w:cs="Arial Black"/>
                        <w:noProof/>
                        <w:color w:val="000000"/>
                        <w:sz w:val="20"/>
                      </w:rPr>
                    </w:pPr>
                    <w:r w:rsidRPr="000147A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B4D6" w14:textId="74950AA5" w:rsidR="00C2282F" w:rsidRDefault="000147A7">
    <w:pPr>
      <w:pStyle w:val="Footer"/>
    </w:pPr>
    <w:r>
      <w:rPr>
        <w:noProof/>
      </w:rPr>
      <mc:AlternateContent>
        <mc:Choice Requires="wps">
          <w:drawing>
            <wp:anchor distT="0" distB="0" distL="0" distR="0" simplePos="0" relativeHeight="251658240" behindDoc="0" locked="0" layoutInCell="1" allowOverlap="1" wp14:anchorId="14C6539B" wp14:editId="50E86540">
              <wp:simplePos x="635" y="635"/>
              <wp:positionH relativeFrom="page">
                <wp:align>center</wp:align>
              </wp:positionH>
              <wp:positionV relativeFrom="page">
                <wp:align>bottom</wp:align>
              </wp:positionV>
              <wp:extent cx="656590" cy="369570"/>
              <wp:effectExtent l="0" t="0" r="10160" b="0"/>
              <wp:wrapNone/>
              <wp:docPr id="39318847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4DCEF42" w14:textId="5AD3A319" w:rsidR="000147A7" w:rsidRPr="000147A7" w:rsidRDefault="000147A7" w:rsidP="000147A7">
                          <w:pPr>
                            <w:spacing w:after="0"/>
                            <w:rPr>
                              <w:rFonts w:ascii="Arial Black" w:eastAsia="Arial Black" w:hAnsi="Arial Black" w:cs="Arial Black"/>
                              <w:noProof/>
                              <w:color w:val="000000"/>
                              <w:sz w:val="20"/>
                            </w:rPr>
                          </w:pPr>
                          <w:r w:rsidRPr="000147A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C6539B"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4DCEF42" w14:textId="5AD3A319" w:rsidR="000147A7" w:rsidRPr="000147A7" w:rsidRDefault="000147A7" w:rsidP="000147A7">
                    <w:pPr>
                      <w:spacing w:after="0"/>
                      <w:rPr>
                        <w:rFonts w:ascii="Arial Black" w:eastAsia="Arial Black" w:hAnsi="Arial Black" w:cs="Arial Black"/>
                        <w:noProof/>
                        <w:color w:val="000000"/>
                        <w:sz w:val="20"/>
                      </w:rPr>
                    </w:pPr>
                    <w:r w:rsidRPr="000147A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8361" w14:textId="3A9109E6" w:rsidR="00D63636" w:rsidRDefault="000147A7">
    <w:pPr>
      <w:pStyle w:val="Footer"/>
    </w:pPr>
    <w:r>
      <w:rPr>
        <w:noProof/>
      </w:rPr>
      <mc:AlternateContent>
        <mc:Choice Requires="wps">
          <w:drawing>
            <wp:anchor distT="0" distB="0" distL="0" distR="0" simplePos="0" relativeHeight="251661312" behindDoc="0" locked="0" layoutInCell="1" allowOverlap="1" wp14:anchorId="69358C34" wp14:editId="10E71B57">
              <wp:simplePos x="635" y="635"/>
              <wp:positionH relativeFrom="page">
                <wp:align>center</wp:align>
              </wp:positionH>
              <wp:positionV relativeFrom="page">
                <wp:align>bottom</wp:align>
              </wp:positionV>
              <wp:extent cx="656590" cy="369570"/>
              <wp:effectExtent l="0" t="0" r="10160" b="0"/>
              <wp:wrapNone/>
              <wp:docPr id="18300512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9E2F20C" w14:textId="326C77FF" w:rsidR="000147A7" w:rsidRPr="000147A7" w:rsidRDefault="000147A7" w:rsidP="000147A7">
                          <w:pPr>
                            <w:spacing w:after="0"/>
                            <w:rPr>
                              <w:rFonts w:ascii="Arial Black" w:eastAsia="Arial Black" w:hAnsi="Arial Black" w:cs="Arial Black"/>
                              <w:noProof/>
                              <w:color w:val="000000"/>
                              <w:sz w:val="20"/>
                            </w:rPr>
                          </w:pPr>
                          <w:r w:rsidRPr="000147A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58C34" id="_x0000_t202" coordsize="21600,21600" o:spt="202" path="m,l,21600r21600,l21600,xe">
              <v:stroke joinstyle="miter"/>
              <v:path gradientshapeok="t" o:connecttype="rect"/>
            </v:shapetype>
            <v:shape id="Text Box 4" o:spid="_x0000_s1029"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9E2F20C" w14:textId="326C77FF" w:rsidR="000147A7" w:rsidRPr="000147A7" w:rsidRDefault="000147A7" w:rsidP="000147A7">
                    <w:pPr>
                      <w:spacing w:after="0"/>
                      <w:rPr>
                        <w:rFonts w:ascii="Arial Black" w:eastAsia="Arial Black" w:hAnsi="Arial Black" w:cs="Arial Black"/>
                        <w:noProof/>
                        <w:color w:val="000000"/>
                        <w:sz w:val="20"/>
                      </w:rPr>
                    </w:pPr>
                    <w:r w:rsidRPr="000147A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4BFF" w14:textId="4F818BCD" w:rsidR="00431A70" w:rsidRDefault="000147A7">
    <w:pPr>
      <w:pStyle w:val="Footer"/>
    </w:pPr>
    <w:r>
      <w:rPr>
        <w:noProof/>
      </w:rPr>
      <mc:AlternateContent>
        <mc:Choice Requires="wps">
          <w:drawing>
            <wp:anchor distT="0" distB="0" distL="0" distR="0" simplePos="0" relativeHeight="251662336" behindDoc="0" locked="0" layoutInCell="1" allowOverlap="1" wp14:anchorId="37DD0805" wp14:editId="5196A7AD">
              <wp:simplePos x="899770" y="6686093"/>
              <wp:positionH relativeFrom="page">
                <wp:align>center</wp:align>
              </wp:positionH>
              <wp:positionV relativeFrom="page">
                <wp:align>bottom</wp:align>
              </wp:positionV>
              <wp:extent cx="656590" cy="369570"/>
              <wp:effectExtent l="0" t="0" r="10160" b="0"/>
              <wp:wrapNone/>
              <wp:docPr id="13490595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8C3EA3E" w14:textId="0EFE3906" w:rsidR="000147A7" w:rsidRPr="000147A7" w:rsidRDefault="000147A7" w:rsidP="000147A7">
                          <w:pPr>
                            <w:spacing w:after="0"/>
                            <w:rPr>
                              <w:rFonts w:ascii="Arial Black" w:eastAsia="Arial Black" w:hAnsi="Arial Black" w:cs="Arial Black"/>
                              <w:noProof/>
                              <w:color w:val="000000"/>
                              <w:sz w:val="20"/>
                            </w:rPr>
                          </w:pPr>
                          <w:r w:rsidRPr="000147A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D0805" id="_x0000_t202" coordsize="21600,21600" o:spt="202" path="m,l,21600r21600,l21600,xe">
              <v:stroke joinstyle="miter"/>
              <v:path gradientshapeok="t" o:connecttype="rect"/>
            </v:shapetype>
            <v:shape id="Text Box 5" o:spid="_x0000_s1030"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78C3EA3E" w14:textId="0EFE3906" w:rsidR="000147A7" w:rsidRPr="000147A7" w:rsidRDefault="000147A7" w:rsidP="000147A7">
                    <w:pPr>
                      <w:spacing w:after="0"/>
                      <w:rPr>
                        <w:rFonts w:ascii="Arial Black" w:eastAsia="Arial Black" w:hAnsi="Arial Black" w:cs="Arial Black"/>
                        <w:noProof/>
                        <w:color w:val="000000"/>
                        <w:sz w:val="20"/>
                      </w:rPr>
                    </w:pPr>
                    <w:r w:rsidRPr="000147A7">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A510" w14:textId="77777777" w:rsidR="00E97B91" w:rsidRDefault="00E97B91" w:rsidP="00207717">
      <w:pPr>
        <w:spacing w:before="120"/>
      </w:pPr>
      <w:r>
        <w:separator/>
      </w:r>
    </w:p>
  </w:footnote>
  <w:footnote w:type="continuationSeparator" w:id="0">
    <w:p w14:paraId="71C5836C" w14:textId="77777777" w:rsidR="00E97B91" w:rsidRDefault="00E97B91">
      <w:r>
        <w:continuationSeparator/>
      </w:r>
    </w:p>
    <w:p w14:paraId="414FC2D7" w14:textId="77777777" w:rsidR="00E97B91" w:rsidRDefault="00E97B91"/>
  </w:footnote>
  <w:footnote w:type="continuationNotice" w:id="1">
    <w:p w14:paraId="13570FEF" w14:textId="77777777" w:rsidR="00E97B91" w:rsidRDefault="00E97B91">
      <w:pPr>
        <w:spacing w:after="0" w:line="240" w:lineRule="auto"/>
      </w:pPr>
    </w:p>
  </w:footnote>
  <w:footnote w:id="2">
    <w:p w14:paraId="654572E2" w14:textId="59DC8819" w:rsidR="00A92052" w:rsidRDefault="00A92052" w:rsidP="00A92052">
      <w:pPr>
        <w:pStyle w:val="FootnoteText"/>
      </w:pPr>
      <w:r>
        <w:rPr>
          <w:rStyle w:val="FootnoteReference"/>
        </w:rPr>
        <w:footnoteRef/>
      </w:r>
      <w:r>
        <w:t xml:space="preserve"> </w:t>
      </w:r>
      <w:hyperlink r:id="rId1" w:history="1">
        <w:r w:rsidRPr="00C123ED">
          <w:rPr>
            <w:rStyle w:val="Hyperlink"/>
          </w:rPr>
          <w:t>Aboriginal Community</w:t>
        </w:r>
        <w:r w:rsidR="00F6681E">
          <w:rPr>
            <w:rStyle w:val="Hyperlink"/>
          </w:rPr>
          <w:t xml:space="preserve"> </w:t>
        </w:r>
        <w:r w:rsidRPr="00C123ED">
          <w:rPr>
            <w:rStyle w:val="Hyperlink"/>
          </w:rPr>
          <w:t>Controlled Health Organisations</w:t>
        </w:r>
      </w:hyperlink>
      <w:r w:rsidR="00DB549B">
        <w:t xml:space="preserve"> &lt;</w:t>
      </w:r>
      <w:r w:rsidR="00DB549B" w:rsidRPr="00DB549B">
        <w:t>https://www.naccho.org.au/aboriginal-community-controlled-health</w:t>
      </w:r>
      <w:r w:rsidR="00DB549B">
        <w:t>&gt;.</w:t>
      </w:r>
    </w:p>
  </w:footnote>
  <w:footnote w:id="3">
    <w:p w14:paraId="34552A55" w14:textId="56B6B870" w:rsidR="00A92052" w:rsidRDefault="00A92052" w:rsidP="00A92052">
      <w:pPr>
        <w:pStyle w:val="FootnoteText"/>
      </w:pPr>
      <w:r>
        <w:rPr>
          <w:rStyle w:val="FootnoteReference"/>
        </w:rPr>
        <w:footnoteRef/>
      </w:r>
      <w:r>
        <w:t xml:space="preserve"> </w:t>
      </w:r>
      <w:hyperlink r:id="rId2" w:history="1">
        <w:r w:rsidR="003819C0" w:rsidRPr="003819C0">
          <w:rPr>
            <w:rStyle w:val="Hyperlink"/>
          </w:rPr>
          <w:t>Indigenous Data Sovereignty and Data Governance</w:t>
        </w:r>
      </w:hyperlink>
      <w:r>
        <w:t xml:space="preserve"> </w:t>
      </w:r>
      <w:r w:rsidR="002F4A10">
        <w:t>&lt;</w:t>
      </w:r>
      <w:r w:rsidR="002F4A10" w:rsidRPr="002F4A10">
        <w:t>https://yoorrookjusticecommission.org.au/key-documents/</w:t>
      </w:r>
      <w:r w:rsidR="002F4A10">
        <w:t>&gt;.</w:t>
      </w:r>
    </w:p>
  </w:footnote>
  <w:footnote w:id="4">
    <w:p w14:paraId="4245DDBD" w14:textId="6A4770BA" w:rsidR="00A92052" w:rsidRDefault="00A92052" w:rsidP="00A92052">
      <w:pPr>
        <w:pStyle w:val="FootnoteText"/>
      </w:pPr>
      <w:r>
        <w:rPr>
          <w:rStyle w:val="FootnoteReference"/>
        </w:rPr>
        <w:footnoteRef/>
      </w:r>
      <w:r>
        <w:t xml:space="preserve"> Vision of the </w:t>
      </w:r>
      <w:hyperlink r:id="rId3" w:history="1">
        <w:r w:rsidR="00CF6F38" w:rsidRPr="00CF6F38">
          <w:rPr>
            <w:rStyle w:val="Hyperlink"/>
          </w:rPr>
          <w:t>AHWP Agreement 2023–33</w:t>
        </w:r>
      </w:hyperlink>
      <w:r w:rsidR="00304EEB">
        <w:t xml:space="preserve"> &lt;</w:t>
      </w:r>
      <w:r w:rsidR="00304EEB" w:rsidRPr="00304EEB">
        <w:t>https://www.vaccho.org.au/ahwpf/</w:t>
      </w:r>
      <w:r w:rsidR="00304EEB">
        <w:t>&gt;.</w:t>
      </w:r>
    </w:p>
  </w:footnote>
  <w:footnote w:id="5">
    <w:p w14:paraId="0D5873DB" w14:textId="1580434D" w:rsidR="00A92052" w:rsidRDefault="00A92052" w:rsidP="00A92052">
      <w:pPr>
        <w:pStyle w:val="FootnoteText"/>
      </w:pPr>
      <w:r>
        <w:rPr>
          <w:rStyle w:val="FootnoteReference"/>
        </w:rPr>
        <w:footnoteRef/>
      </w:r>
      <w:r>
        <w:t xml:space="preserve"> </w:t>
      </w:r>
      <w:hyperlink r:id="rId4" w:history="1">
        <w:r w:rsidR="000A7A0F" w:rsidRPr="000A7A0F">
          <w:rPr>
            <w:rStyle w:val="Hyperlink"/>
          </w:rPr>
          <w:t>National Agreement on Closing the Gap</w:t>
        </w:r>
      </w:hyperlink>
      <w:r w:rsidR="000A7A0F" w:rsidRPr="000A7A0F">
        <w:t xml:space="preserve"> </w:t>
      </w:r>
      <w:r w:rsidR="00E934E2">
        <w:t>&lt;</w:t>
      </w:r>
      <w:r w:rsidR="00E934E2" w:rsidRPr="00E934E2">
        <w:t>https://www.closingthegap.gov.au/national-agreement</w:t>
      </w:r>
      <w:r w:rsidR="00E934E2">
        <w:t>&gt;.</w:t>
      </w:r>
    </w:p>
  </w:footnote>
  <w:footnote w:id="6">
    <w:p w14:paraId="15614405" w14:textId="77777777" w:rsidR="00A92052" w:rsidRDefault="00A92052" w:rsidP="00A92052">
      <w:pPr>
        <w:pStyle w:val="FootnoteText"/>
      </w:pPr>
      <w:r>
        <w:rPr>
          <w:rStyle w:val="FootnoteReference"/>
        </w:rPr>
        <w:footnoteRef/>
      </w:r>
      <w:r>
        <w:t xml:space="preserve"> </w:t>
      </w:r>
      <w:r w:rsidRPr="007C2D63">
        <w:t xml:space="preserve">Department of Premier and Cabinet, </w:t>
      </w:r>
      <w:r w:rsidRPr="00644BB0">
        <w:rPr>
          <w:i/>
          <w:iCs/>
        </w:rPr>
        <w:t>Outcomes Reform in Victoria</w:t>
      </w:r>
      <w:r w:rsidRPr="007C2D63">
        <w:t>, 2019</w:t>
      </w:r>
      <w:r>
        <w:t>.</w:t>
      </w:r>
    </w:p>
  </w:footnote>
  <w:footnote w:id="7">
    <w:p w14:paraId="4F7B34C7" w14:textId="4C0166FB" w:rsidR="00A92052" w:rsidRDefault="00A92052" w:rsidP="00A92052">
      <w:pPr>
        <w:pStyle w:val="FootnoteText"/>
      </w:pPr>
      <w:r>
        <w:rPr>
          <w:rStyle w:val="FootnoteReference"/>
        </w:rPr>
        <w:footnoteRef/>
      </w:r>
      <w:r>
        <w:t xml:space="preserve"> </w:t>
      </w:r>
      <w:r w:rsidR="00D561ED">
        <w:rPr>
          <w:szCs w:val="18"/>
        </w:rPr>
        <w:t>WHO</w:t>
      </w:r>
      <w:r w:rsidRPr="007E1A68">
        <w:rPr>
          <w:szCs w:val="18"/>
        </w:rPr>
        <w:t xml:space="preserve">, </w:t>
      </w:r>
      <w:hyperlink r:id="rId5" w:tgtFrame="_blank" w:history="1">
        <w:r w:rsidRPr="007E1A68">
          <w:rPr>
            <w:rStyle w:val="Hyperlink"/>
            <w:i/>
            <w:iCs/>
            <w:szCs w:val="18"/>
          </w:rPr>
          <w:t>Health promotion glossary of terms 2021</w:t>
        </w:r>
      </w:hyperlink>
      <w:r w:rsidRPr="007E1A68">
        <w:rPr>
          <w:szCs w:val="18"/>
        </w:rPr>
        <w:t xml:space="preserve">, </w:t>
      </w:r>
      <w:r w:rsidR="006E6D63">
        <w:rPr>
          <w:szCs w:val="18"/>
        </w:rPr>
        <w:t>&lt;</w:t>
      </w:r>
      <w:r w:rsidR="00C043C3">
        <w:t>h</w:t>
      </w:r>
      <w:r w:rsidR="00007C72" w:rsidRPr="00007C72">
        <w:rPr>
          <w:szCs w:val="18"/>
        </w:rPr>
        <w:t>ttps://www.who.int/publications/i/item/9789240038349</w:t>
      </w:r>
      <w:r w:rsidR="006E6D63">
        <w:rPr>
          <w:szCs w:val="18"/>
        </w:rPr>
        <w:t>&gt;</w:t>
      </w:r>
      <w:r w:rsidR="00007C72">
        <w:rPr>
          <w:szCs w:val="18"/>
        </w:rPr>
        <w:t xml:space="preserve">, </w:t>
      </w:r>
      <w:r w:rsidRPr="007E1A68">
        <w:rPr>
          <w:szCs w:val="18"/>
        </w:rPr>
        <w:t xml:space="preserve">accessed </w:t>
      </w:r>
      <w:r>
        <w:rPr>
          <w:szCs w:val="18"/>
        </w:rPr>
        <w:t>23</w:t>
      </w:r>
      <w:r w:rsidRPr="007E1A68">
        <w:rPr>
          <w:szCs w:val="18"/>
        </w:rPr>
        <w:t xml:space="preserve"> </w:t>
      </w:r>
      <w:r>
        <w:rPr>
          <w:szCs w:val="18"/>
        </w:rPr>
        <w:t>April 2025</w:t>
      </w:r>
      <w:r w:rsidRPr="007E1A68">
        <w:rPr>
          <w:szCs w:val="18"/>
        </w:rPr>
        <w:t>.</w:t>
      </w:r>
    </w:p>
  </w:footnote>
  <w:footnote w:id="8">
    <w:p w14:paraId="44A4A2A4" w14:textId="77777777" w:rsidR="00A92052" w:rsidRDefault="00A92052" w:rsidP="00A92052">
      <w:pPr>
        <w:pStyle w:val="FootnoteText"/>
      </w:pPr>
      <w:r>
        <w:rPr>
          <w:rStyle w:val="FootnoteReference"/>
        </w:rPr>
        <w:footnoteRef/>
      </w:r>
      <w:r>
        <w:t xml:space="preserve"> </w:t>
      </w:r>
      <w:r w:rsidRPr="007C2D63">
        <w:t xml:space="preserve">Department of Premier and Cabinet, </w:t>
      </w:r>
      <w:r w:rsidRPr="004C6A83">
        <w:rPr>
          <w:i/>
          <w:iCs/>
        </w:rPr>
        <w:t>Outcomes Reform in Victoria</w:t>
      </w:r>
      <w:r w:rsidRPr="007C2D63">
        <w:t>, 2019</w:t>
      </w:r>
      <w:r>
        <w:t>.</w:t>
      </w:r>
    </w:p>
  </w:footnote>
  <w:footnote w:id="9">
    <w:p w14:paraId="7B003A14" w14:textId="5B6611DF" w:rsidR="00A92052" w:rsidRDefault="00A92052" w:rsidP="00A92052">
      <w:pPr>
        <w:pStyle w:val="FootnoteText"/>
      </w:pPr>
      <w:r>
        <w:rPr>
          <w:rStyle w:val="FootnoteReference"/>
        </w:rPr>
        <w:footnoteRef/>
      </w:r>
      <w:r>
        <w:t xml:space="preserve"> </w:t>
      </w:r>
      <w:r w:rsidR="00774464">
        <w:t xml:space="preserve">WHO, </w:t>
      </w:r>
      <w:r w:rsidRPr="004C6A83">
        <w:rPr>
          <w:i/>
          <w:iCs/>
        </w:rPr>
        <w:t>Operational framework for monitoring social determinants of health equity</w:t>
      </w:r>
      <w:r w:rsidR="00774464">
        <w:t>, 2024,</w:t>
      </w:r>
      <w:r w:rsidRPr="00726C43">
        <w:t xml:space="preserve"> Geneva</w:t>
      </w:r>
      <w:r>
        <w:t>.</w:t>
      </w:r>
    </w:p>
  </w:footnote>
  <w:footnote w:id="10">
    <w:p w14:paraId="52C0FC90" w14:textId="38DD0FFC" w:rsidR="00A92052" w:rsidRDefault="00A92052" w:rsidP="00A92052">
      <w:pPr>
        <w:pStyle w:val="FootnoteText"/>
      </w:pPr>
      <w:r>
        <w:rPr>
          <w:rStyle w:val="FootnoteReference"/>
        </w:rPr>
        <w:footnoteRef/>
      </w:r>
      <w:r>
        <w:t xml:space="preserve"> Department of Health </w:t>
      </w:r>
      <w:hyperlink r:id="rId6" w:history="1">
        <w:r w:rsidRPr="004328D0">
          <w:rPr>
            <w:rStyle w:val="Hyperlink"/>
            <w:i/>
            <w:iCs/>
          </w:rPr>
          <w:t>Priority Outcomes Framework</w:t>
        </w:r>
      </w:hyperlink>
      <w:r>
        <w:t xml:space="preserve"> </w:t>
      </w:r>
      <w:r w:rsidR="002400B5">
        <w:t>&lt;</w:t>
      </w:r>
      <w:r w:rsidR="002400B5" w:rsidRPr="004328D0">
        <w:t>https://www.health.vic.gov.au/our-strategic-plan-2023-27/our-outcomes-framework</w:t>
      </w:r>
      <w:r w:rsidR="009E64C2">
        <w:t>&gt;.</w:t>
      </w:r>
      <w:r>
        <w:t xml:space="preserve"> </w:t>
      </w:r>
    </w:p>
  </w:footnote>
  <w:footnote w:id="11">
    <w:p w14:paraId="50A5FE59" w14:textId="77777777" w:rsidR="00A92052" w:rsidRDefault="00A92052" w:rsidP="00A92052">
      <w:pPr>
        <w:pStyle w:val="FootnoteText"/>
      </w:pPr>
      <w:r>
        <w:rPr>
          <w:rStyle w:val="FootnoteReference"/>
        </w:rPr>
        <w:footnoteRef/>
      </w:r>
      <w:r>
        <w:t xml:space="preserve"> Steering Committee for the Review of Government Service Provision, </w:t>
      </w:r>
      <w:r w:rsidRPr="0045601D">
        <w:rPr>
          <w:i/>
          <w:iCs/>
        </w:rPr>
        <w:t>Report on Government Services 2025</w:t>
      </w:r>
      <w:r>
        <w:t>.</w:t>
      </w:r>
      <w: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04E7"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71C5" w14:textId="1BF67F88" w:rsidR="00562811" w:rsidRPr="00C2282F" w:rsidRDefault="00562811" w:rsidP="00C22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6E7"/>
    <w:multiLevelType w:val="hybridMultilevel"/>
    <w:tmpl w:val="E6A2670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D412482"/>
    <w:multiLevelType w:val="hybridMultilevel"/>
    <w:tmpl w:val="96A01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7B773E"/>
    <w:multiLevelType w:val="hybridMultilevel"/>
    <w:tmpl w:val="A62A0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B77578"/>
    <w:multiLevelType w:val="multilevel"/>
    <w:tmpl w:val="ADB8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10693D"/>
    <w:multiLevelType w:val="hybridMultilevel"/>
    <w:tmpl w:val="07CC7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6D5BDA"/>
    <w:multiLevelType w:val="multilevel"/>
    <w:tmpl w:val="1B0C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AC063E"/>
    <w:multiLevelType w:val="hybridMultilevel"/>
    <w:tmpl w:val="5B903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957963"/>
    <w:multiLevelType w:val="hybridMultilevel"/>
    <w:tmpl w:val="31A02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5214AA"/>
    <w:multiLevelType w:val="multilevel"/>
    <w:tmpl w:val="EDE6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BE4B89"/>
    <w:multiLevelType w:val="hybridMultilevel"/>
    <w:tmpl w:val="30660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E12FB6"/>
    <w:multiLevelType w:val="multilevel"/>
    <w:tmpl w:val="2CB2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5F16DF"/>
    <w:multiLevelType w:val="hybridMultilevel"/>
    <w:tmpl w:val="47E6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4E712CA"/>
    <w:multiLevelType w:val="hybridMultilevel"/>
    <w:tmpl w:val="F704F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F20629"/>
    <w:multiLevelType w:val="multilevel"/>
    <w:tmpl w:val="184E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2656C8"/>
    <w:multiLevelType w:val="hybridMultilevel"/>
    <w:tmpl w:val="FE801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AE2C0E"/>
    <w:multiLevelType w:val="multilevel"/>
    <w:tmpl w:val="BF00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54E6238"/>
    <w:multiLevelType w:val="hybridMultilevel"/>
    <w:tmpl w:val="9C948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CD6BB9"/>
    <w:multiLevelType w:val="multilevel"/>
    <w:tmpl w:val="B54A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A43EA5"/>
    <w:multiLevelType w:val="hybridMultilevel"/>
    <w:tmpl w:val="E62E1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1B49A6"/>
    <w:multiLevelType w:val="multilevel"/>
    <w:tmpl w:val="6AEC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644DDE"/>
    <w:multiLevelType w:val="hybridMultilevel"/>
    <w:tmpl w:val="25BCE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174AB2"/>
    <w:multiLevelType w:val="multilevel"/>
    <w:tmpl w:val="97D4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A080A9A"/>
    <w:multiLevelType w:val="multilevel"/>
    <w:tmpl w:val="CBAE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933A8E"/>
    <w:multiLevelType w:val="hybridMultilevel"/>
    <w:tmpl w:val="8E2CCCEC"/>
    <w:lvl w:ilvl="0" w:tplc="0C09000F">
      <w:start w:val="1"/>
      <w:numFmt w:val="decimal"/>
      <w:lvlText w:val="%1."/>
      <w:lvlJc w:val="left"/>
      <w:pPr>
        <w:tabs>
          <w:tab w:val="num" w:pos="536"/>
        </w:tabs>
        <w:ind w:left="536" w:hanging="360"/>
      </w:pPr>
    </w:lvl>
    <w:lvl w:ilvl="1" w:tplc="0C090019">
      <w:start w:val="1"/>
      <w:numFmt w:val="lowerLetter"/>
      <w:lvlText w:val="%2."/>
      <w:lvlJc w:val="left"/>
      <w:pPr>
        <w:tabs>
          <w:tab w:val="num" w:pos="1256"/>
        </w:tabs>
        <w:ind w:left="1256" w:hanging="360"/>
      </w:pPr>
    </w:lvl>
    <w:lvl w:ilvl="2" w:tplc="0C09001B" w:tentative="1">
      <w:start w:val="1"/>
      <w:numFmt w:val="lowerRoman"/>
      <w:lvlText w:val="%3."/>
      <w:lvlJc w:val="right"/>
      <w:pPr>
        <w:tabs>
          <w:tab w:val="num" w:pos="1976"/>
        </w:tabs>
        <w:ind w:left="1976" w:hanging="180"/>
      </w:pPr>
    </w:lvl>
    <w:lvl w:ilvl="3" w:tplc="0C09000F" w:tentative="1">
      <w:start w:val="1"/>
      <w:numFmt w:val="decimal"/>
      <w:lvlText w:val="%4."/>
      <w:lvlJc w:val="left"/>
      <w:pPr>
        <w:tabs>
          <w:tab w:val="num" w:pos="2696"/>
        </w:tabs>
        <w:ind w:left="2696" w:hanging="360"/>
      </w:pPr>
    </w:lvl>
    <w:lvl w:ilvl="4" w:tplc="0C090019" w:tentative="1">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30" w15:restartNumberingAfterBreak="0">
    <w:nsid w:val="6F7B22E9"/>
    <w:multiLevelType w:val="multilevel"/>
    <w:tmpl w:val="ED16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F30568"/>
    <w:multiLevelType w:val="hybridMultilevel"/>
    <w:tmpl w:val="37E60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BB086B"/>
    <w:multiLevelType w:val="hybridMultilevel"/>
    <w:tmpl w:val="59F22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E8270A"/>
    <w:multiLevelType w:val="hybridMultilevel"/>
    <w:tmpl w:val="4B0218C0"/>
    <w:lvl w:ilvl="0" w:tplc="F732C952">
      <w:start w:val="1"/>
      <w:numFmt w:val="bullet"/>
      <w:lvlText w:val=""/>
      <w:lvlJc w:val="left"/>
      <w:pPr>
        <w:ind w:left="720" w:hanging="360"/>
      </w:pPr>
      <w:rPr>
        <w:rFonts w:ascii="Symbol" w:hAnsi="Symbol" w:hint="default"/>
      </w:rPr>
    </w:lvl>
    <w:lvl w:ilvl="1" w:tplc="021E9534">
      <w:start w:val="1"/>
      <w:numFmt w:val="bullet"/>
      <w:lvlText w:val="o"/>
      <w:lvlJc w:val="left"/>
      <w:pPr>
        <w:ind w:left="1440" w:hanging="360"/>
      </w:pPr>
      <w:rPr>
        <w:rFonts w:ascii="Courier New" w:hAnsi="Courier New" w:hint="default"/>
      </w:rPr>
    </w:lvl>
    <w:lvl w:ilvl="2" w:tplc="96F00A6A">
      <w:start w:val="1"/>
      <w:numFmt w:val="bullet"/>
      <w:lvlText w:val=""/>
      <w:lvlJc w:val="left"/>
      <w:pPr>
        <w:ind w:left="2160" w:hanging="360"/>
      </w:pPr>
      <w:rPr>
        <w:rFonts w:ascii="Wingdings" w:hAnsi="Wingdings" w:hint="default"/>
      </w:rPr>
    </w:lvl>
    <w:lvl w:ilvl="3" w:tplc="E8280C08">
      <w:start w:val="1"/>
      <w:numFmt w:val="bullet"/>
      <w:lvlText w:val=""/>
      <w:lvlJc w:val="left"/>
      <w:pPr>
        <w:ind w:left="2880" w:hanging="360"/>
      </w:pPr>
      <w:rPr>
        <w:rFonts w:ascii="Symbol" w:hAnsi="Symbol" w:hint="default"/>
      </w:rPr>
    </w:lvl>
    <w:lvl w:ilvl="4" w:tplc="E83E0FB2">
      <w:start w:val="1"/>
      <w:numFmt w:val="bullet"/>
      <w:lvlText w:val="o"/>
      <w:lvlJc w:val="left"/>
      <w:pPr>
        <w:ind w:left="3600" w:hanging="360"/>
      </w:pPr>
      <w:rPr>
        <w:rFonts w:ascii="Courier New" w:hAnsi="Courier New" w:hint="default"/>
      </w:rPr>
    </w:lvl>
    <w:lvl w:ilvl="5" w:tplc="A468C6A0">
      <w:start w:val="1"/>
      <w:numFmt w:val="bullet"/>
      <w:lvlText w:val=""/>
      <w:lvlJc w:val="left"/>
      <w:pPr>
        <w:ind w:left="4320" w:hanging="360"/>
      </w:pPr>
      <w:rPr>
        <w:rFonts w:ascii="Wingdings" w:hAnsi="Wingdings" w:hint="default"/>
      </w:rPr>
    </w:lvl>
    <w:lvl w:ilvl="6" w:tplc="8C228696">
      <w:start w:val="1"/>
      <w:numFmt w:val="bullet"/>
      <w:lvlText w:val=""/>
      <w:lvlJc w:val="left"/>
      <w:pPr>
        <w:ind w:left="5040" w:hanging="360"/>
      </w:pPr>
      <w:rPr>
        <w:rFonts w:ascii="Symbol" w:hAnsi="Symbol" w:hint="default"/>
      </w:rPr>
    </w:lvl>
    <w:lvl w:ilvl="7" w:tplc="AA6470B4">
      <w:start w:val="1"/>
      <w:numFmt w:val="bullet"/>
      <w:lvlText w:val="o"/>
      <w:lvlJc w:val="left"/>
      <w:pPr>
        <w:ind w:left="5760" w:hanging="360"/>
      </w:pPr>
      <w:rPr>
        <w:rFonts w:ascii="Courier New" w:hAnsi="Courier New" w:hint="default"/>
      </w:rPr>
    </w:lvl>
    <w:lvl w:ilvl="8" w:tplc="1604D584">
      <w:start w:val="1"/>
      <w:numFmt w:val="bullet"/>
      <w:lvlText w:val=""/>
      <w:lvlJc w:val="left"/>
      <w:pPr>
        <w:ind w:left="6480" w:hanging="360"/>
      </w:pPr>
      <w:rPr>
        <w:rFonts w:ascii="Wingdings" w:hAnsi="Wingdings" w:hint="default"/>
      </w:rPr>
    </w:lvl>
  </w:abstractNum>
  <w:num w:numId="1" w16cid:durableId="42869588">
    <w:abstractNumId w:val="13"/>
  </w:num>
  <w:num w:numId="2" w16cid:durableId="1116484067">
    <w:abstractNumId w:val="20"/>
  </w:num>
  <w:num w:numId="3" w16cid:durableId="2017417310">
    <w:abstractNumId w:val="19"/>
  </w:num>
  <w:num w:numId="4" w16cid:durableId="329989314">
    <w:abstractNumId w:val="27"/>
  </w:num>
  <w:num w:numId="5" w16cid:durableId="2132894457">
    <w:abstractNumId w:val="14"/>
  </w:num>
  <w:num w:numId="6" w16cid:durableId="1000237643">
    <w:abstractNumId w:val="1"/>
  </w:num>
  <w:num w:numId="7" w16cid:durableId="367024354">
    <w:abstractNumId w:val="4"/>
  </w:num>
  <w:num w:numId="8" w16cid:durableId="1003119931">
    <w:abstractNumId w:val="6"/>
  </w:num>
  <w:num w:numId="9" w16cid:durableId="1755783120">
    <w:abstractNumId w:val="18"/>
  </w:num>
  <w:num w:numId="10" w16cid:durableId="1728531272">
    <w:abstractNumId w:val="26"/>
  </w:num>
  <w:num w:numId="11" w16cid:durableId="499126766">
    <w:abstractNumId w:val="28"/>
  </w:num>
  <w:num w:numId="12" w16cid:durableId="753433417">
    <w:abstractNumId w:val="11"/>
  </w:num>
  <w:num w:numId="13" w16cid:durableId="1496451588">
    <w:abstractNumId w:val="24"/>
  </w:num>
  <w:num w:numId="14" w16cid:durableId="1420760506">
    <w:abstractNumId w:val="9"/>
  </w:num>
  <w:num w:numId="15" w16cid:durableId="647444131">
    <w:abstractNumId w:val="16"/>
  </w:num>
  <w:num w:numId="16" w16cid:durableId="1092162284">
    <w:abstractNumId w:val="22"/>
  </w:num>
  <w:num w:numId="17" w16cid:durableId="2085569365">
    <w:abstractNumId w:val="30"/>
  </w:num>
  <w:num w:numId="18" w16cid:durableId="1733313750">
    <w:abstractNumId w:val="2"/>
  </w:num>
  <w:num w:numId="19" w16cid:durableId="1892232871">
    <w:abstractNumId w:val="32"/>
  </w:num>
  <w:num w:numId="20" w16cid:durableId="1341007259">
    <w:abstractNumId w:val="0"/>
  </w:num>
  <w:num w:numId="21" w16cid:durableId="1142231327">
    <w:abstractNumId w:val="33"/>
  </w:num>
  <w:num w:numId="22" w16cid:durableId="788428909">
    <w:abstractNumId w:val="19"/>
  </w:num>
  <w:num w:numId="23" w16cid:durableId="645477207">
    <w:abstractNumId w:val="19"/>
  </w:num>
  <w:num w:numId="24" w16cid:durableId="416824896">
    <w:abstractNumId w:val="19"/>
  </w:num>
  <w:num w:numId="25" w16cid:durableId="920600075">
    <w:abstractNumId w:val="29"/>
  </w:num>
  <w:num w:numId="26" w16cid:durableId="1795712893">
    <w:abstractNumId w:val="20"/>
  </w:num>
  <w:num w:numId="27" w16cid:durableId="1156264603">
    <w:abstractNumId w:val="5"/>
  </w:num>
  <w:num w:numId="28" w16cid:durableId="483358034">
    <w:abstractNumId w:val="7"/>
  </w:num>
  <w:num w:numId="29" w16cid:durableId="304897576">
    <w:abstractNumId w:val="25"/>
  </w:num>
  <w:num w:numId="30" w16cid:durableId="449592074">
    <w:abstractNumId w:val="12"/>
  </w:num>
  <w:num w:numId="31" w16cid:durableId="1631325293">
    <w:abstractNumId w:val="31"/>
  </w:num>
  <w:num w:numId="32" w16cid:durableId="613561506">
    <w:abstractNumId w:val="23"/>
  </w:num>
  <w:num w:numId="33" w16cid:durableId="1465006388">
    <w:abstractNumId w:val="8"/>
  </w:num>
  <w:num w:numId="34" w16cid:durableId="373698444">
    <w:abstractNumId w:val="21"/>
  </w:num>
  <w:num w:numId="35" w16cid:durableId="1367215900">
    <w:abstractNumId w:val="17"/>
  </w:num>
  <w:num w:numId="36" w16cid:durableId="1919173861">
    <w:abstractNumId w:val="15"/>
  </w:num>
  <w:num w:numId="37" w16cid:durableId="901410793">
    <w:abstractNumId w:val="3"/>
  </w:num>
  <w:num w:numId="38" w16cid:durableId="43046874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D5"/>
    <w:rsid w:val="0000015F"/>
    <w:rsid w:val="00000719"/>
    <w:rsid w:val="00002D68"/>
    <w:rsid w:val="000033F7"/>
    <w:rsid w:val="00003403"/>
    <w:rsid w:val="00003D8D"/>
    <w:rsid w:val="00005347"/>
    <w:rsid w:val="0000597A"/>
    <w:rsid w:val="000072B6"/>
    <w:rsid w:val="00007C72"/>
    <w:rsid w:val="0001021B"/>
    <w:rsid w:val="00010AA1"/>
    <w:rsid w:val="00010D19"/>
    <w:rsid w:val="00011D89"/>
    <w:rsid w:val="00011F96"/>
    <w:rsid w:val="000147A7"/>
    <w:rsid w:val="00014C91"/>
    <w:rsid w:val="000154FD"/>
    <w:rsid w:val="000168D7"/>
    <w:rsid w:val="000200D5"/>
    <w:rsid w:val="00020F8A"/>
    <w:rsid w:val="00022271"/>
    <w:rsid w:val="000235E8"/>
    <w:rsid w:val="00023A8D"/>
    <w:rsid w:val="00023DDE"/>
    <w:rsid w:val="00024D89"/>
    <w:rsid w:val="00024EFE"/>
    <w:rsid w:val="000250B6"/>
    <w:rsid w:val="0002640B"/>
    <w:rsid w:val="00030CDD"/>
    <w:rsid w:val="000334D1"/>
    <w:rsid w:val="000338D1"/>
    <w:rsid w:val="00033D81"/>
    <w:rsid w:val="00033DC9"/>
    <w:rsid w:val="00034B2D"/>
    <w:rsid w:val="00036012"/>
    <w:rsid w:val="000364D7"/>
    <w:rsid w:val="00037366"/>
    <w:rsid w:val="0003755C"/>
    <w:rsid w:val="00041BF0"/>
    <w:rsid w:val="00042C8A"/>
    <w:rsid w:val="00044869"/>
    <w:rsid w:val="0004536B"/>
    <w:rsid w:val="00046B68"/>
    <w:rsid w:val="000478A2"/>
    <w:rsid w:val="00050101"/>
    <w:rsid w:val="00050770"/>
    <w:rsid w:val="00051F45"/>
    <w:rsid w:val="000521A1"/>
    <w:rsid w:val="000527DD"/>
    <w:rsid w:val="00056EC4"/>
    <w:rsid w:val="00057621"/>
    <w:rsid w:val="000578B2"/>
    <w:rsid w:val="00060959"/>
    <w:rsid w:val="00060C8F"/>
    <w:rsid w:val="0006298A"/>
    <w:rsid w:val="0006302A"/>
    <w:rsid w:val="0006380E"/>
    <w:rsid w:val="0006461A"/>
    <w:rsid w:val="000663CD"/>
    <w:rsid w:val="000675A2"/>
    <w:rsid w:val="000733FE"/>
    <w:rsid w:val="00073AFF"/>
    <w:rsid w:val="00074219"/>
    <w:rsid w:val="00074ED5"/>
    <w:rsid w:val="00074F29"/>
    <w:rsid w:val="00076D4D"/>
    <w:rsid w:val="00077DD4"/>
    <w:rsid w:val="000806C7"/>
    <w:rsid w:val="00081F02"/>
    <w:rsid w:val="0008204A"/>
    <w:rsid w:val="000849F0"/>
    <w:rsid w:val="0008508E"/>
    <w:rsid w:val="00086592"/>
    <w:rsid w:val="00086740"/>
    <w:rsid w:val="00086A6A"/>
    <w:rsid w:val="00087951"/>
    <w:rsid w:val="00090F6C"/>
    <w:rsid w:val="0009113B"/>
    <w:rsid w:val="000928B9"/>
    <w:rsid w:val="00093402"/>
    <w:rsid w:val="00094169"/>
    <w:rsid w:val="00094DA3"/>
    <w:rsid w:val="00095B60"/>
    <w:rsid w:val="0009685A"/>
    <w:rsid w:val="00096CD1"/>
    <w:rsid w:val="000A012C"/>
    <w:rsid w:val="000A0232"/>
    <w:rsid w:val="000A0400"/>
    <w:rsid w:val="000A06D8"/>
    <w:rsid w:val="000A0EB9"/>
    <w:rsid w:val="000A10D0"/>
    <w:rsid w:val="000A186C"/>
    <w:rsid w:val="000A1EA4"/>
    <w:rsid w:val="000A1F2A"/>
    <w:rsid w:val="000A2476"/>
    <w:rsid w:val="000A2A5C"/>
    <w:rsid w:val="000A5817"/>
    <w:rsid w:val="000A641A"/>
    <w:rsid w:val="000A672C"/>
    <w:rsid w:val="000A7400"/>
    <w:rsid w:val="000A7A0F"/>
    <w:rsid w:val="000B3EDB"/>
    <w:rsid w:val="000B4947"/>
    <w:rsid w:val="000B4FAB"/>
    <w:rsid w:val="000B543D"/>
    <w:rsid w:val="000B55F9"/>
    <w:rsid w:val="000B5BF7"/>
    <w:rsid w:val="000B6BC8"/>
    <w:rsid w:val="000B7426"/>
    <w:rsid w:val="000C0303"/>
    <w:rsid w:val="000C2A9B"/>
    <w:rsid w:val="000C37BB"/>
    <w:rsid w:val="000C42EA"/>
    <w:rsid w:val="000C4546"/>
    <w:rsid w:val="000C4C7C"/>
    <w:rsid w:val="000C6059"/>
    <w:rsid w:val="000C6471"/>
    <w:rsid w:val="000C6CBE"/>
    <w:rsid w:val="000C7AAF"/>
    <w:rsid w:val="000D0E7A"/>
    <w:rsid w:val="000D1242"/>
    <w:rsid w:val="000D1296"/>
    <w:rsid w:val="000D24AC"/>
    <w:rsid w:val="000D2ABA"/>
    <w:rsid w:val="000D35B1"/>
    <w:rsid w:val="000D5540"/>
    <w:rsid w:val="000D5B43"/>
    <w:rsid w:val="000D6995"/>
    <w:rsid w:val="000E0970"/>
    <w:rsid w:val="000E0D68"/>
    <w:rsid w:val="000E1695"/>
    <w:rsid w:val="000E2FB0"/>
    <w:rsid w:val="000E3CC7"/>
    <w:rsid w:val="000E4CBF"/>
    <w:rsid w:val="000E6BD4"/>
    <w:rsid w:val="000E6D6D"/>
    <w:rsid w:val="000E79F0"/>
    <w:rsid w:val="000E7B57"/>
    <w:rsid w:val="000F06E3"/>
    <w:rsid w:val="000F1F1E"/>
    <w:rsid w:val="000F2259"/>
    <w:rsid w:val="000F2DDA"/>
    <w:rsid w:val="000F2EA0"/>
    <w:rsid w:val="000F4DC1"/>
    <w:rsid w:val="000F5213"/>
    <w:rsid w:val="000F5C3C"/>
    <w:rsid w:val="000F5CCF"/>
    <w:rsid w:val="000F601A"/>
    <w:rsid w:val="000F628D"/>
    <w:rsid w:val="000F6FE3"/>
    <w:rsid w:val="000F70AF"/>
    <w:rsid w:val="00101001"/>
    <w:rsid w:val="001012CC"/>
    <w:rsid w:val="0010187E"/>
    <w:rsid w:val="00102210"/>
    <w:rsid w:val="00103276"/>
    <w:rsid w:val="0010392D"/>
    <w:rsid w:val="00103BDF"/>
    <w:rsid w:val="00103D2D"/>
    <w:rsid w:val="0010447F"/>
    <w:rsid w:val="00104FE3"/>
    <w:rsid w:val="00106170"/>
    <w:rsid w:val="0010714F"/>
    <w:rsid w:val="001120C5"/>
    <w:rsid w:val="00112A9E"/>
    <w:rsid w:val="00112D4C"/>
    <w:rsid w:val="001133C4"/>
    <w:rsid w:val="00113457"/>
    <w:rsid w:val="001160A9"/>
    <w:rsid w:val="001161AC"/>
    <w:rsid w:val="001205B7"/>
    <w:rsid w:val="00120BD3"/>
    <w:rsid w:val="00122FEA"/>
    <w:rsid w:val="001232BD"/>
    <w:rsid w:val="001236B2"/>
    <w:rsid w:val="001236DC"/>
    <w:rsid w:val="00124ED5"/>
    <w:rsid w:val="00125E30"/>
    <w:rsid w:val="00126235"/>
    <w:rsid w:val="001276FA"/>
    <w:rsid w:val="00130894"/>
    <w:rsid w:val="0013092F"/>
    <w:rsid w:val="00132240"/>
    <w:rsid w:val="00133D95"/>
    <w:rsid w:val="0013513B"/>
    <w:rsid w:val="001411CC"/>
    <w:rsid w:val="001414F4"/>
    <w:rsid w:val="00141FDE"/>
    <w:rsid w:val="00142DDC"/>
    <w:rsid w:val="001447B3"/>
    <w:rsid w:val="001451AD"/>
    <w:rsid w:val="0014524B"/>
    <w:rsid w:val="0014568A"/>
    <w:rsid w:val="00146D35"/>
    <w:rsid w:val="001470CC"/>
    <w:rsid w:val="0015018F"/>
    <w:rsid w:val="00151073"/>
    <w:rsid w:val="001515F8"/>
    <w:rsid w:val="00151E58"/>
    <w:rsid w:val="00152073"/>
    <w:rsid w:val="00152329"/>
    <w:rsid w:val="0015264F"/>
    <w:rsid w:val="001532A5"/>
    <w:rsid w:val="0015394C"/>
    <w:rsid w:val="00155C13"/>
    <w:rsid w:val="00156598"/>
    <w:rsid w:val="00157BD6"/>
    <w:rsid w:val="00160172"/>
    <w:rsid w:val="00161939"/>
    <w:rsid w:val="00161AA0"/>
    <w:rsid w:val="00161D2E"/>
    <w:rsid w:val="00161F3E"/>
    <w:rsid w:val="00162093"/>
    <w:rsid w:val="00162858"/>
    <w:rsid w:val="00162CA9"/>
    <w:rsid w:val="00165459"/>
    <w:rsid w:val="00165A57"/>
    <w:rsid w:val="00166BBE"/>
    <w:rsid w:val="001712C2"/>
    <w:rsid w:val="001712EA"/>
    <w:rsid w:val="00172BAF"/>
    <w:rsid w:val="0017449D"/>
    <w:rsid w:val="00175A4D"/>
    <w:rsid w:val="0017674D"/>
    <w:rsid w:val="001771DD"/>
    <w:rsid w:val="00177995"/>
    <w:rsid w:val="00177A8C"/>
    <w:rsid w:val="00181567"/>
    <w:rsid w:val="00181647"/>
    <w:rsid w:val="0018244E"/>
    <w:rsid w:val="0018304C"/>
    <w:rsid w:val="00186B33"/>
    <w:rsid w:val="00186CEA"/>
    <w:rsid w:val="001908D1"/>
    <w:rsid w:val="001916FF"/>
    <w:rsid w:val="001919B0"/>
    <w:rsid w:val="00192151"/>
    <w:rsid w:val="00192F9D"/>
    <w:rsid w:val="00194FB0"/>
    <w:rsid w:val="00196EB8"/>
    <w:rsid w:val="00196EFB"/>
    <w:rsid w:val="00197393"/>
    <w:rsid w:val="001979FF"/>
    <w:rsid w:val="00197B17"/>
    <w:rsid w:val="001A1305"/>
    <w:rsid w:val="001A1950"/>
    <w:rsid w:val="001A1C54"/>
    <w:rsid w:val="001A2CD5"/>
    <w:rsid w:val="001A3ACE"/>
    <w:rsid w:val="001A56E0"/>
    <w:rsid w:val="001A6272"/>
    <w:rsid w:val="001A79DA"/>
    <w:rsid w:val="001B058F"/>
    <w:rsid w:val="001B2311"/>
    <w:rsid w:val="001B3DE4"/>
    <w:rsid w:val="001B5348"/>
    <w:rsid w:val="001B6141"/>
    <w:rsid w:val="001B6B96"/>
    <w:rsid w:val="001B738B"/>
    <w:rsid w:val="001C022F"/>
    <w:rsid w:val="001C02F2"/>
    <w:rsid w:val="001C09DB"/>
    <w:rsid w:val="001C1D1C"/>
    <w:rsid w:val="001C1E00"/>
    <w:rsid w:val="001C277E"/>
    <w:rsid w:val="001C2A72"/>
    <w:rsid w:val="001C31B7"/>
    <w:rsid w:val="001C3D65"/>
    <w:rsid w:val="001C74B9"/>
    <w:rsid w:val="001C78E3"/>
    <w:rsid w:val="001D0B75"/>
    <w:rsid w:val="001D39A5"/>
    <w:rsid w:val="001D3C09"/>
    <w:rsid w:val="001D44E8"/>
    <w:rsid w:val="001D60EC"/>
    <w:rsid w:val="001D6F59"/>
    <w:rsid w:val="001D71A6"/>
    <w:rsid w:val="001D798C"/>
    <w:rsid w:val="001D7CD0"/>
    <w:rsid w:val="001E2EEF"/>
    <w:rsid w:val="001E3932"/>
    <w:rsid w:val="001E4282"/>
    <w:rsid w:val="001E44DF"/>
    <w:rsid w:val="001E5FE7"/>
    <w:rsid w:val="001E68A5"/>
    <w:rsid w:val="001E6BB0"/>
    <w:rsid w:val="001E7282"/>
    <w:rsid w:val="001F23C4"/>
    <w:rsid w:val="001F3775"/>
    <w:rsid w:val="001F3826"/>
    <w:rsid w:val="001F49E5"/>
    <w:rsid w:val="001F6E46"/>
    <w:rsid w:val="001F7C91"/>
    <w:rsid w:val="0020309A"/>
    <w:rsid w:val="002033B7"/>
    <w:rsid w:val="002041E3"/>
    <w:rsid w:val="00206463"/>
    <w:rsid w:val="002065A1"/>
    <w:rsid w:val="00206F2F"/>
    <w:rsid w:val="00207717"/>
    <w:rsid w:val="0021053D"/>
    <w:rsid w:val="00210A92"/>
    <w:rsid w:val="00210FC7"/>
    <w:rsid w:val="00211084"/>
    <w:rsid w:val="00212B95"/>
    <w:rsid w:val="002145A7"/>
    <w:rsid w:val="00215CC8"/>
    <w:rsid w:val="00215D42"/>
    <w:rsid w:val="00216C03"/>
    <w:rsid w:val="00220330"/>
    <w:rsid w:val="0022065C"/>
    <w:rsid w:val="00220A1A"/>
    <w:rsid w:val="00220C04"/>
    <w:rsid w:val="0022278D"/>
    <w:rsid w:val="00222BAB"/>
    <w:rsid w:val="0022354B"/>
    <w:rsid w:val="00223766"/>
    <w:rsid w:val="00225D78"/>
    <w:rsid w:val="0022701F"/>
    <w:rsid w:val="00227C68"/>
    <w:rsid w:val="0023066B"/>
    <w:rsid w:val="00231EE8"/>
    <w:rsid w:val="00233146"/>
    <w:rsid w:val="002333F5"/>
    <w:rsid w:val="00233724"/>
    <w:rsid w:val="002365B4"/>
    <w:rsid w:val="002365BE"/>
    <w:rsid w:val="00236FAD"/>
    <w:rsid w:val="002400B5"/>
    <w:rsid w:val="00242122"/>
    <w:rsid w:val="002432E1"/>
    <w:rsid w:val="00245E4B"/>
    <w:rsid w:val="00246207"/>
    <w:rsid w:val="00246596"/>
    <w:rsid w:val="00246C5E"/>
    <w:rsid w:val="00250481"/>
    <w:rsid w:val="00250960"/>
    <w:rsid w:val="00250F49"/>
    <w:rsid w:val="00251343"/>
    <w:rsid w:val="002536A4"/>
    <w:rsid w:val="00254709"/>
    <w:rsid w:val="002548F6"/>
    <w:rsid w:val="002549BA"/>
    <w:rsid w:val="00254F58"/>
    <w:rsid w:val="00257420"/>
    <w:rsid w:val="0026004C"/>
    <w:rsid w:val="00260A08"/>
    <w:rsid w:val="00261ADE"/>
    <w:rsid w:val="002620BC"/>
    <w:rsid w:val="00262802"/>
    <w:rsid w:val="00263A90"/>
    <w:rsid w:val="0026408B"/>
    <w:rsid w:val="002652BB"/>
    <w:rsid w:val="00267C3E"/>
    <w:rsid w:val="002709BB"/>
    <w:rsid w:val="0027131C"/>
    <w:rsid w:val="002715B9"/>
    <w:rsid w:val="00271A72"/>
    <w:rsid w:val="00273573"/>
    <w:rsid w:val="0027387F"/>
    <w:rsid w:val="00273BAC"/>
    <w:rsid w:val="002752F2"/>
    <w:rsid w:val="002763B3"/>
    <w:rsid w:val="002773C7"/>
    <w:rsid w:val="002802E3"/>
    <w:rsid w:val="00280508"/>
    <w:rsid w:val="002815B0"/>
    <w:rsid w:val="0028213D"/>
    <w:rsid w:val="00283609"/>
    <w:rsid w:val="00284283"/>
    <w:rsid w:val="002848F3"/>
    <w:rsid w:val="00284DE3"/>
    <w:rsid w:val="002854D1"/>
    <w:rsid w:val="002862F1"/>
    <w:rsid w:val="0028782A"/>
    <w:rsid w:val="00287F93"/>
    <w:rsid w:val="00290A61"/>
    <w:rsid w:val="00291373"/>
    <w:rsid w:val="002914E1"/>
    <w:rsid w:val="0029237C"/>
    <w:rsid w:val="0029570A"/>
    <w:rsid w:val="0029597D"/>
    <w:rsid w:val="00295F8C"/>
    <w:rsid w:val="002962C3"/>
    <w:rsid w:val="0029752B"/>
    <w:rsid w:val="002A0228"/>
    <w:rsid w:val="002A0A9C"/>
    <w:rsid w:val="002A1C18"/>
    <w:rsid w:val="002A2098"/>
    <w:rsid w:val="002A483C"/>
    <w:rsid w:val="002A6BA0"/>
    <w:rsid w:val="002A75E5"/>
    <w:rsid w:val="002A7BB1"/>
    <w:rsid w:val="002A7BE5"/>
    <w:rsid w:val="002B0C7C"/>
    <w:rsid w:val="002B1729"/>
    <w:rsid w:val="002B233C"/>
    <w:rsid w:val="002B307B"/>
    <w:rsid w:val="002B36C7"/>
    <w:rsid w:val="002B3EB2"/>
    <w:rsid w:val="002B4DD4"/>
    <w:rsid w:val="002B5277"/>
    <w:rsid w:val="002B5375"/>
    <w:rsid w:val="002B6257"/>
    <w:rsid w:val="002B77C1"/>
    <w:rsid w:val="002B78AC"/>
    <w:rsid w:val="002C02E2"/>
    <w:rsid w:val="002C077F"/>
    <w:rsid w:val="002C0ED7"/>
    <w:rsid w:val="002C1395"/>
    <w:rsid w:val="002C19BF"/>
    <w:rsid w:val="002C2728"/>
    <w:rsid w:val="002C5AD0"/>
    <w:rsid w:val="002C5B7C"/>
    <w:rsid w:val="002D1E0D"/>
    <w:rsid w:val="002D5006"/>
    <w:rsid w:val="002D5820"/>
    <w:rsid w:val="002D61E6"/>
    <w:rsid w:val="002D7C61"/>
    <w:rsid w:val="002E01D0"/>
    <w:rsid w:val="002E161D"/>
    <w:rsid w:val="002E28A2"/>
    <w:rsid w:val="002E3100"/>
    <w:rsid w:val="002E337B"/>
    <w:rsid w:val="002E3EC2"/>
    <w:rsid w:val="002E4EE2"/>
    <w:rsid w:val="002E5269"/>
    <w:rsid w:val="002E6C95"/>
    <w:rsid w:val="002E7C36"/>
    <w:rsid w:val="002F3D32"/>
    <w:rsid w:val="002F4A10"/>
    <w:rsid w:val="002F5F31"/>
    <w:rsid w:val="002F5F46"/>
    <w:rsid w:val="00301C27"/>
    <w:rsid w:val="00302216"/>
    <w:rsid w:val="00302D35"/>
    <w:rsid w:val="00303E53"/>
    <w:rsid w:val="00304EEB"/>
    <w:rsid w:val="00305CC1"/>
    <w:rsid w:val="00306E5F"/>
    <w:rsid w:val="00307E14"/>
    <w:rsid w:val="00313C08"/>
    <w:rsid w:val="00313FA1"/>
    <w:rsid w:val="00314054"/>
    <w:rsid w:val="0031497B"/>
    <w:rsid w:val="00315345"/>
    <w:rsid w:val="0031659E"/>
    <w:rsid w:val="003165F6"/>
    <w:rsid w:val="00316F27"/>
    <w:rsid w:val="00317418"/>
    <w:rsid w:val="003214F1"/>
    <w:rsid w:val="00322E4B"/>
    <w:rsid w:val="00327870"/>
    <w:rsid w:val="00331184"/>
    <w:rsid w:val="0033259D"/>
    <w:rsid w:val="00332A94"/>
    <w:rsid w:val="003333D2"/>
    <w:rsid w:val="00333C2E"/>
    <w:rsid w:val="00333CF0"/>
    <w:rsid w:val="00334686"/>
    <w:rsid w:val="00335507"/>
    <w:rsid w:val="003366F8"/>
    <w:rsid w:val="003371E6"/>
    <w:rsid w:val="00337339"/>
    <w:rsid w:val="00340345"/>
    <w:rsid w:val="00340550"/>
    <w:rsid w:val="003406C6"/>
    <w:rsid w:val="003418CC"/>
    <w:rsid w:val="00342241"/>
    <w:rsid w:val="00342B14"/>
    <w:rsid w:val="003434EE"/>
    <w:rsid w:val="003438DA"/>
    <w:rsid w:val="0034446F"/>
    <w:rsid w:val="003459BD"/>
    <w:rsid w:val="00347C0D"/>
    <w:rsid w:val="00350D38"/>
    <w:rsid w:val="0035115C"/>
    <w:rsid w:val="00351637"/>
    <w:rsid w:val="00351B36"/>
    <w:rsid w:val="003579A9"/>
    <w:rsid w:val="00357B4E"/>
    <w:rsid w:val="00357FF6"/>
    <w:rsid w:val="00363AAB"/>
    <w:rsid w:val="00363BFB"/>
    <w:rsid w:val="003671E6"/>
    <w:rsid w:val="003674E4"/>
    <w:rsid w:val="003716FD"/>
    <w:rsid w:val="0037204B"/>
    <w:rsid w:val="003744CF"/>
    <w:rsid w:val="00374717"/>
    <w:rsid w:val="0037676C"/>
    <w:rsid w:val="003774D7"/>
    <w:rsid w:val="003778BA"/>
    <w:rsid w:val="00381043"/>
    <w:rsid w:val="003819C0"/>
    <w:rsid w:val="00382421"/>
    <w:rsid w:val="00382985"/>
    <w:rsid w:val="003829E5"/>
    <w:rsid w:val="003838BF"/>
    <w:rsid w:val="00386109"/>
    <w:rsid w:val="00386944"/>
    <w:rsid w:val="003874F3"/>
    <w:rsid w:val="0039094F"/>
    <w:rsid w:val="00391CC9"/>
    <w:rsid w:val="00392B0A"/>
    <w:rsid w:val="0039356A"/>
    <w:rsid w:val="003943DE"/>
    <w:rsid w:val="003956CC"/>
    <w:rsid w:val="00395C9A"/>
    <w:rsid w:val="003A0853"/>
    <w:rsid w:val="003A249A"/>
    <w:rsid w:val="003A4408"/>
    <w:rsid w:val="003A51C7"/>
    <w:rsid w:val="003A51DB"/>
    <w:rsid w:val="003A6B67"/>
    <w:rsid w:val="003B13B6"/>
    <w:rsid w:val="003B14C3"/>
    <w:rsid w:val="003B15E6"/>
    <w:rsid w:val="003B22EF"/>
    <w:rsid w:val="003B2CD7"/>
    <w:rsid w:val="003B3B28"/>
    <w:rsid w:val="003B408A"/>
    <w:rsid w:val="003B4DFB"/>
    <w:rsid w:val="003B5069"/>
    <w:rsid w:val="003B5ED3"/>
    <w:rsid w:val="003C00F5"/>
    <w:rsid w:val="003C08A2"/>
    <w:rsid w:val="003C2045"/>
    <w:rsid w:val="003C2FE8"/>
    <w:rsid w:val="003C43A1"/>
    <w:rsid w:val="003C4FC0"/>
    <w:rsid w:val="003C55F4"/>
    <w:rsid w:val="003C5888"/>
    <w:rsid w:val="003C5915"/>
    <w:rsid w:val="003C6036"/>
    <w:rsid w:val="003C69B2"/>
    <w:rsid w:val="003C7897"/>
    <w:rsid w:val="003C7A3F"/>
    <w:rsid w:val="003D0377"/>
    <w:rsid w:val="003D0E72"/>
    <w:rsid w:val="003D2766"/>
    <w:rsid w:val="003D2A74"/>
    <w:rsid w:val="003D3D88"/>
    <w:rsid w:val="003D3E8F"/>
    <w:rsid w:val="003D4120"/>
    <w:rsid w:val="003D6475"/>
    <w:rsid w:val="003D6EE6"/>
    <w:rsid w:val="003D7F7F"/>
    <w:rsid w:val="003E0094"/>
    <w:rsid w:val="003E14E5"/>
    <w:rsid w:val="003E1E1E"/>
    <w:rsid w:val="003E3456"/>
    <w:rsid w:val="003E375C"/>
    <w:rsid w:val="003E4086"/>
    <w:rsid w:val="003E423D"/>
    <w:rsid w:val="003E4775"/>
    <w:rsid w:val="003E5BB0"/>
    <w:rsid w:val="003E639E"/>
    <w:rsid w:val="003E71E5"/>
    <w:rsid w:val="003E7DEC"/>
    <w:rsid w:val="003F0445"/>
    <w:rsid w:val="003F0CF0"/>
    <w:rsid w:val="003F14B1"/>
    <w:rsid w:val="003F18FF"/>
    <w:rsid w:val="003F2145"/>
    <w:rsid w:val="003F261A"/>
    <w:rsid w:val="003F2B20"/>
    <w:rsid w:val="003F3289"/>
    <w:rsid w:val="003F37DD"/>
    <w:rsid w:val="003F3C62"/>
    <w:rsid w:val="003F45C3"/>
    <w:rsid w:val="003F4C1D"/>
    <w:rsid w:val="003F5CB9"/>
    <w:rsid w:val="003F62C8"/>
    <w:rsid w:val="004009E7"/>
    <w:rsid w:val="004013C7"/>
    <w:rsid w:val="00401919"/>
    <w:rsid w:val="00401FCF"/>
    <w:rsid w:val="00402909"/>
    <w:rsid w:val="00403A38"/>
    <w:rsid w:val="004046D1"/>
    <w:rsid w:val="00404E63"/>
    <w:rsid w:val="00406285"/>
    <w:rsid w:val="00406822"/>
    <w:rsid w:val="004115A2"/>
    <w:rsid w:val="00411F4E"/>
    <w:rsid w:val="0041412A"/>
    <w:rsid w:val="004148F9"/>
    <w:rsid w:val="0041590C"/>
    <w:rsid w:val="00416038"/>
    <w:rsid w:val="0042023B"/>
    <w:rsid w:val="00420476"/>
    <w:rsid w:val="0042084E"/>
    <w:rsid w:val="00421D01"/>
    <w:rsid w:val="00421EEF"/>
    <w:rsid w:val="00423A03"/>
    <w:rsid w:val="00424D65"/>
    <w:rsid w:val="00425B38"/>
    <w:rsid w:val="00426CFB"/>
    <w:rsid w:val="00426E97"/>
    <w:rsid w:val="004271C4"/>
    <w:rsid w:val="00430393"/>
    <w:rsid w:val="00431806"/>
    <w:rsid w:val="00431A70"/>
    <w:rsid w:val="00431F42"/>
    <w:rsid w:val="004328D0"/>
    <w:rsid w:val="0043422F"/>
    <w:rsid w:val="00436460"/>
    <w:rsid w:val="00442C6C"/>
    <w:rsid w:val="0044330A"/>
    <w:rsid w:val="00443CBE"/>
    <w:rsid w:val="00443E8A"/>
    <w:rsid w:val="004441BC"/>
    <w:rsid w:val="0044440A"/>
    <w:rsid w:val="00444467"/>
    <w:rsid w:val="0044478B"/>
    <w:rsid w:val="004464F6"/>
    <w:rsid w:val="004468B4"/>
    <w:rsid w:val="00446D86"/>
    <w:rsid w:val="00447F17"/>
    <w:rsid w:val="00451D6C"/>
    <w:rsid w:val="0045230A"/>
    <w:rsid w:val="00454A7D"/>
    <w:rsid w:val="00454AD0"/>
    <w:rsid w:val="004552F2"/>
    <w:rsid w:val="00455D9C"/>
    <w:rsid w:val="0045601D"/>
    <w:rsid w:val="00457035"/>
    <w:rsid w:val="00457337"/>
    <w:rsid w:val="0046155F"/>
    <w:rsid w:val="00462E3D"/>
    <w:rsid w:val="004634F7"/>
    <w:rsid w:val="00466E79"/>
    <w:rsid w:val="00466E9B"/>
    <w:rsid w:val="00467CF7"/>
    <w:rsid w:val="00470503"/>
    <w:rsid w:val="004709A9"/>
    <w:rsid w:val="00470D54"/>
    <w:rsid w:val="00470D7D"/>
    <w:rsid w:val="00471670"/>
    <w:rsid w:val="00471BD5"/>
    <w:rsid w:val="004731F3"/>
    <w:rsid w:val="0047372D"/>
    <w:rsid w:val="004738F7"/>
    <w:rsid w:val="00473BA3"/>
    <w:rsid w:val="004743DD"/>
    <w:rsid w:val="004746FB"/>
    <w:rsid w:val="00474CEA"/>
    <w:rsid w:val="00475876"/>
    <w:rsid w:val="00476D81"/>
    <w:rsid w:val="0047770C"/>
    <w:rsid w:val="00481D3C"/>
    <w:rsid w:val="004825B1"/>
    <w:rsid w:val="00482D98"/>
    <w:rsid w:val="00483968"/>
    <w:rsid w:val="004841BE"/>
    <w:rsid w:val="00484F86"/>
    <w:rsid w:val="0048609B"/>
    <w:rsid w:val="00486BC0"/>
    <w:rsid w:val="00487FED"/>
    <w:rsid w:val="00490746"/>
    <w:rsid w:val="00490852"/>
    <w:rsid w:val="004917B7"/>
    <w:rsid w:val="00491C9C"/>
    <w:rsid w:val="00491F30"/>
    <w:rsid w:val="00492DD6"/>
    <w:rsid w:val="00492F30"/>
    <w:rsid w:val="004935E2"/>
    <w:rsid w:val="004946F4"/>
    <w:rsid w:val="0049487E"/>
    <w:rsid w:val="0049536A"/>
    <w:rsid w:val="004959B7"/>
    <w:rsid w:val="00495F7A"/>
    <w:rsid w:val="004966E6"/>
    <w:rsid w:val="00496CA6"/>
    <w:rsid w:val="004A045F"/>
    <w:rsid w:val="004A120B"/>
    <w:rsid w:val="004A14BB"/>
    <w:rsid w:val="004A160D"/>
    <w:rsid w:val="004A336D"/>
    <w:rsid w:val="004A37EA"/>
    <w:rsid w:val="004A3E81"/>
    <w:rsid w:val="004A4195"/>
    <w:rsid w:val="004A5C62"/>
    <w:rsid w:val="004A5CE5"/>
    <w:rsid w:val="004A60D4"/>
    <w:rsid w:val="004A66BC"/>
    <w:rsid w:val="004A6D19"/>
    <w:rsid w:val="004A707D"/>
    <w:rsid w:val="004A727B"/>
    <w:rsid w:val="004B0974"/>
    <w:rsid w:val="004B4185"/>
    <w:rsid w:val="004B65F5"/>
    <w:rsid w:val="004B73A7"/>
    <w:rsid w:val="004B7663"/>
    <w:rsid w:val="004C2691"/>
    <w:rsid w:val="004C2EA5"/>
    <w:rsid w:val="004C5541"/>
    <w:rsid w:val="004C5D68"/>
    <w:rsid w:val="004C696C"/>
    <w:rsid w:val="004C6A83"/>
    <w:rsid w:val="004C6EEE"/>
    <w:rsid w:val="004C702B"/>
    <w:rsid w:val="004C77F8"/>
    <w:rsid w:val="004D0033"/>
    <w:rsid w:val="004D016B"/>
    <w:rsid w:val="004D033E"/>
    <w:rsid w:val="004D14B2"/>
    <w:rsid w:val="004D1B22"/>
    <w:rsid w:val="004D23CC"/>
    <w:rsid w:val="004D28FE"/>
    <w:rsid w:val="004D2E58"/>
    <w:rsid w:val="004D36F2"/>
    <w:rsid w:val="004D3ABF"/>
    <w:rsid w:val="004D3DAA"/>
    <w:rsid w:val="004D5483"/>
    <w:rsid w:val="004D7A1C"/>
    <w:rsid w:val="004E1106"/>
    <w:rsid w:val="004E138F"/>
    <w:rsid w:val="004E1921"/>
    <w:rsid w:val="004E1A1F"/>
    <w:rsid w:val="004E1AE2"/>
    <w:rsid w:val="004E3149"/>
    <w:rsid w:val="004E3277"/>
    <w:rsid w:val="004E42FD"/>
    <w:rsid w:val="004E4649"/>
    <w:rsid w:val="004E48B8"/>
    <w:rsid w:val="004E502E"/>
    <w:rsid w:val="004E5C2B"/>
    <w:rsid w:val="004F00DD"/>
    <w:rsid w:val="004F05D9"/>
    <w:rsid w:val="004F1ED1"/>
    <w:rsid w:val="004F2133"/>
    <w:rsid w:val="004F5398"/>
    <w:rsid w:val="004F55F1"/>
    <w:rsid w:val="004F6936"/>
    <w:rsid w:val="004F6FC4"/>
    <w:rsid w:val="005005D7"/>
    <w:rsid w:val="0050195C"/>
    <w:rsid w:val="005024AB"/>
    <w:rsid w:val="00503DC6"/>
    <w:rsid w:val="005052F5"/>
    <w:rsid w:val="00506F5D"/>
    <w:rsid w:val="00510C37"/>
    <w:rsid w:val="005112F3"/>
    <w:rsid w:val="005126D0"/>
    <w:rsid w:val="005133F2"/>
    <w:rsid w:val="00514330"/>
    <w:rsid w:val="00514667"/>
    <w:rsid w:val="0051568D"/>
    <w:rsid w:val="0051584E"/>
    <w:rsid w:val="005177AD"/>
    <w:rsid w:val="0052033A"/>
    <w:rsid w:val="005212F6"/>
    <w:rsid w:val="00521639"/>
    <w:rsid w:val="00521B9F"/>
    <w:rsid w:val="00523771"/>
    <w:rsid w:val="005248A4"/>
    <w:rsid w:val="00526AC7"/>
    <w:rsid w:val="00526BC1"/>
    <w:rsid w:val="00526C15"/>
    <w:rsid w:val="0052771B"/>
    <w:rsid w:val="0053030B"/>
    <w:rsid w:val="00531173"/>
    <w:rsid w:val="00532887"/>
    <w:rsid w:val="005341D3"/>
    <w:rsid w:val="00535B0E"/>
    <w:rsid w:val="00536499"/>
    <w:rsid w:val="005364D6"/>
    <w:rsid w:val="00536F97"/>
    <w:rsid w:val="005372D7"/>
    <w:rsid w:val="0053773F"/>
    <w:rsid w:val="00542A03"/>
    <w:rsid w:val="0054387C"/>
    <w:rsid w:val="00543903"/>
    <w:rsid w:val="00543BCC"/>
    <w:rsid w:val="00543C8E"/>
    <w:rsid w:val="00543F11"/>
    <w:rsid w:val="00544135"/>
    <w:rsid w:val="005444EE"/>
    <w:rsid w:val="00545449"/>
    <w:rsid w:val="00546305"/>
    <w:rsid w:val="00547A95"/>
    <w:rsid w:val="0055119B"/>
    <w:rsid w:val="005532C4"/>
    <w:rsid w:val="00553A5A"/>
    <w:rsid w:val="00555C4D"/>
    <w:rsid w:val="0055799D"/>
    <w:rsid w:val="00560538"/>
    <w:rsid w:val="0056056E"/>
    <w:rsid w:val="00561202"/>
    <w:rsid w:val="0056221A"/>
    <w:rsid w:val="00562507"/>
    <w:rsid w:val="00562811"/>
    <w:rsid w:val="00564602"/>
    <w:rsid w:val="005647E7"/>
    <w:rsid w:val="00565155"/>
    <w:rsid w:val="00566122"/>
    <w:rsid w:val="005664B5"/>
    <w:rsid w:val="00571D4F"/>
    <w:rsid w:val="00572031"/>
    <w:rsid w:val="00572269"/>
    <w:rsid w:val="00572282"/>
    <w:rsid w:val="00573CE3"/>
    <w:rsid w:val="005753D2"/>
    <w:rsid w:val="0057600E"/>
    <w:rsid w:val="00576E84"/>
    <w:rsid w:val="00580394"/>
    <w:rsid w:val="005809CD"/>
    <w:rsid w:val="00581A9A"/>
    <w:rsid w:val="00582B8C"/>
    <w:rsid w:val="00583953"/>
    <w:rsid w:val="005849A3"/>
    <w:rsid w:val="005849B0"/>
    <w:rsid w:val="00585489"/>
    <w:rsid w:val="00585645"/>
    <w:rsid w:val="00585733"/>
    <w:rsid w:val="005860AB"/>
    <w:rsid w:val="0058757E"/>
    <w:rsid w:val="0059186B"/>
    <w:rsid w:val="00596A4B"/>
    <w:rsid w:val="00597507"/>
    <w:rsid w:val="00597BC5"/>
    <w:rsid w:val="005A3073"/>
    <w:rsid w:val="005A479D"/>
    <w:rsid w:val="005A4D65"/>
    <w:rsid w:val="005A69D2"/>
    <w:rsid w:val="005A7669"/>
    <w:rsid w:val="005A7BFF"/>
    <w:rsid w:val="005B0845"/>
    <w:rsid w:val="005B1C6D"/>
    <w:rsid w:val="005B21B6"/>
    <w:rsid w:val="005B2681"/>
    <w:rsid w:val="005B3A08"/>
    <w:rsid w:val="005B4842"/>
    <w:rsid w:val="005B5263"/>
    <w:rsid w:val="005B7A63"/>
    <w:rsid w:val="005C0955"/>
    <w:rsid w:val="005C30EB"/>
    <w:rsid w:val="005C49DA"/>
    <w:rsid w:val="005C50F3"/>
    <w:rsid w:val="005C54B5"/>
    <w:rsid w:val="005C5807"/>
    <w:rsid w:val="005C5D80"/>
    <w:rsid w:val="005C5D91"/>
    <w:rsid w:val="005D07B8"/>
    <w:rsid w:val="005D46BB"/>
    <w:rsid w:val="005D47A1"/>
    <w:rsid w:val="005D5990"/>
    <w:rsid w:val="005D6597"/>
    <w:rsid w:val="005D68CE"/>
    <w:rsid w:val="005D7DAF"/>
    <w:rsid w:val="005E14E7"/>
    <w:rsid w:val="005E249D"/>
    <w:rsid w:val="005E2679"/>
    <w:rsid w:val="005E26A3"/>
    <w:rsid w:val="005E2ECB"/>
    <w:rsid w:val="005E31F7"/>
    <w:rsid w:val="005E447E"/>
    <w:rsid w:val="005E4FD1"/>
    <w:rsid w:val="005E5745"/>
    <w:rsid w:val="005E7686"/>
    <w:rsid w:val="005F0775"/>
    <w:rsid w:val="005F0CF5"/>
    <w:rsid w:val="005F11ED"/>
    <w:rsid w:val="005F20DE"/>
    <w:rsid w:val="005F21EB"/>
    <w:rsid w:val="005F3291"/>
    <w:rsid w:val="005F424B"/>
    <w:rsid w:val="005F64CF"/>
    <w:rsid w:val="006022D2"/>
    <w:rsid w:val="00603B70"/>
    <w:rsid w:val="006041AD"/>
    <w:rsid w:val="006057B4"/>
    <w:rsid w:val="00605908"/>
    <w:rsid w:val="00606E5C"/>
    <w:rsid w:val="00607850"/>
    <w:rsid w:val="00607EF7"/>
    <w:rsid w:val="00610D7C"/>
    <w:rsid w:val="006118AD"/>
    <w:rsid w:val="006126EA"/>
    <w:rsid w:val="00612F5D"/>
    <w:rsid w:val="006131E8"/>
    <w:rsid w:val="00613414"/>
    <w:rsid w:val="00616019"/>
    <w:rsid w:val="0061753F"/>
    <w:rsid w:val="00620154"/>
    <w:rsid w:val="006207D4"/>
    <w:rsid w:val="00622B3D"/>
    <w:rsid w:val="0062300A"/>
    <w:rsid w:val="00623FAB"/>
    <w:rsid w:val="0062408D"/>
    <w:rsid w:val="006240CC"/>
    <w:rsid w:val="00624940"/>
    <w:rsid w:val="006254F8"/>
    <w:rsid w:val="006277DF"/>
    <w:rsid w:val="00627DA7"/>
    <w:rsid w:val="00630DA4"/>
    <w:rsid w:val="00631CD4"/>
    <w:rsid w:val="006321D5"/>
    <w:rsid w:val="006322F7"/>
    <w:rsid w:val="0063241C"/>
    <w:rsid w:val="00632597"/>
    <w:rsid w:val="006330F3"/>
    <w:rsid w:val="00633908"/>
    <w:rsid w:val="0063424B"/>
    <w:rsid w:val="006349EB"/>
    <w:rsid w:val="00634D13"/>
    <w:rsid w:val="006351C2"/>
    <w:rsid w:val="006358B4"/>
    <w:rsid w:val="006363AF"/>
    <w:rsid w:val="00636D23"/>
    <w:rsid w:val="00640F80"/>
    <w:rsid w:val="00641724"/>
    <w:rsid w:val="006419AA"/>
    <w:rsid w:val="00644B1F"/>
    <w:rsid w:val="00644B7E"/>
    <w:rsid w:val="00644BB0"/>
    <w:rsid w:val="006454E6"/>
    <w:rsid w:val="00645A33"/>
    <w:rsid w:val="00646235"/>
    <w:rsid w:val="0064638E"/>
    <w:rsid w:val="00646A68"/>
    <w:rsid w:val="00646B38"/>
    <w:rsid w:val="006505BD"/>
    <w:rsid w:val="006508EA"/>
    <w:rsid w:val="0065092E"/>
    <w:rsid w:val="006557A7"/>
    <w:rsid w:val="00655E4F"/>
    <w:rsid w:val="00656290"/>
    <w:rsid w:val="006601C9"/>
    <w:rsid w:val="0066054C"/>
    <w:rsid w:val="006608D8"/>
    <w:rsid w:val="00661BB1"/>
    <w:rsid w:val="006621D7"/>
    <w:rsid w:val="0066302A"/>
    <w:rsid w:val="00665EA2"/>
    <w:rsid w:val="00667770"/>
    <w:rsid w:val="00667ECE"/>
    <w:rsid w:val="00670597"/>
    <w:rsid w:val="006706D0"/>
    <w:rsid w:val="00670C9B"/>
    <w:rsid w:val="00671772"/>
    <w:rsid w:val="00671D47"/>
    <w:rsid w:val="00672417"/>
    <w:rsid w:val="00673437"/>
    <w:rsid w:val="00674DB1"/>
    <w:rsid w:val="00677574"/>
    <w:rsid w:val="006812ED"/>
    <w:rsid w:val="00683870"/>
    <w:rsid w:val="00683878"/>
    <w:rsid w:val="00684380"/>
    <w:rsid w:val="0068454C"/>
    <w:rsid w:val="00684D5C"/>
    <w:rsid w:val="006901C2"/>
    <w:rsid w:val="00690917"/>
    <w:rsid w:val="00690BC8"/>
    <w:rsid w:val="00691B62"/>
    <w:rsid w:val="006933B5"/>
    <w:rsid w:val="00693519"/>
    <w:rsid w:val="00693D14"/>
    <w:rsid w:val="00694284"/>
    <w:rsid w:val="00694A93"/>
    <w:rsid w:val="00695F5A"/>
    <w:rsid w:val="00696D9E"/>
    <w:rsid w:val="00696F27"/>
    <w:rsid w:val="0069737E"/>
    <w:rsid w:val="006A18C2"/>
    <w:rsid w:val="006A2F66"/>
    <w:rsid w:val="006A3383"/>
    <w:rsid w:val="006A436F"/>
    <w:rsid w:val="006A5C27"/>
    <w:rsid w:val="006A5D89"/>
    <w:rsid w:val="006A724A"/>
    <w:rsid w:val="006B077C"/>
    <w:rsid w:val="006B0DF7"/>
    <w:rsid w:val="006B31E9"/>
    <w:rsid w:val="006B5AFE"/>
    <w:rsid w:val="006B6699"/>
    <w:rsid w:val="006B66B9"/>
    <w:rsid w:val="006B6803"/>
    <w:rsid w:val="006B6A7F"/>
    <w:rsid w:val="006B70B0"/>
    <w:rsid w:val="006B7CAD"/>
    <w:rsid w:val="006C056D"/>
    <w:rsid w:val="006C0FAF"/>
    <w:rsid w:val="006C1994"/>
    <w:rsid w:val="006C2FDC"/>
    <w:rsid w:val="006C5747"/>
    <w:rsid w:val="006D0F16"/>
    <w:rsid w:val="006D15BE"/>
    <w:rsid w:val="006D193D"/>
    <w:rsid w:val="006D2A3F"/>
    <w:rsid w:val="006D2B9D"/>
    <w:rsid w:val="006D2FBC"/>
    <w:rsid w:val="006D347A"/>
    <w:rsid w:val="006D3ED2"/>
    <w:rsid w:val="006D4317"/>
    <w:rsid w:val="006D4AF1"/>
    <w:rsid w:val="006D6950"/>
    <w:rsid w:val="006D6E34"/>
    <w:rsid w:val="006E138B"/>
    <w:rsid w:val="006E1867"/>
    <w:rsid w:val="006E3EB6"/>
    <w:rsid w:val="006E51DE"/>
    <w:rsid w:val="006E65C0"/>
    <w:rsid w:val="006E6D63"/>
    <w:rsid w:val="006E6DB8"/>
    <w:rsid w:val="006E72AE"/>
    <w:rsid w:val="006E744D"/>
    <w:rsid w:val="006F0330"/>
    <w:rsid w:val="006F0C59"/>
    <w:rsid w:val="006F1FDC"/>
    <w:rsid w:val="006F2E44"/>
    <w:rsid w:val="006F4F38"/>
    <w:rsid w:val="006F6B8C"/>
    <w:rsid w:val="007013EF"/>
    <w:rsid w:val="0070238F"/>
    <w:rsid w:val="0070299A"/>
    <w:rsid w:val="00702F50"/>
    <w:rsid w:val="00703261"/>
    <w:rsid w:val="007055BD"/>
    <w:rsid w:val="007060AF"/>
    <w:rsid w:val="007108F6"/>
    <w:rsid w:val="00710DC7"/>
    <w:rsid w:val="007124A1"/>
    <w:rsid w:val="0071460A"/>
    <w:rsid w:val="00714824"/>
    <w:rsid w:val="007173CA"/>
    <w:rsid w:val="00717ED5"/>
    <w:rsid w:val="00720BA4"/>
    <w:rsid w:val="00720C40"/>
    <w:rsid w:val="007216AA"/>
    <w:rsid w:val="00721AB5"/>
    <w:rsid w:val="00721CFB"/>
    <w:rsid w:val="00721DEF"/>
    <w:rsid w:val="00722291"/>
    <w:rsid w:val="00722F81"/>
    <w:rsid w:val="00724A43"/>
    <w:rsid w:val="00724EEC"/>
    <w:rsid w:val="00725661"/>
    <w:rsid w:val="00726724"/>
    <w:rsid w:val="007271DC"/>
    <w:rsid w:val="007273AC"/>
    <w:rsid w:val="00731AD4"/>
    <w:rsid w:val="007346E4"/>
    <w:rsid w:val="00735564"/>
    <w:rsid w:val="0073562D"/>
    <w:rsid w:val="00737A5A"/>
    <w:rsid w:val="00737AA5"/>
    <w:rsid w:val="00737DB4"/>
    <w:rsid w:val="00740AD3"/>
    <w:rsid w:val="00740CC5"/>
    <w:rsid w:val="00740F22"/>
    <w:rsid w:val="00741CF0"/>
    <w:rsid w:val="00741EFB"/>
    <w:rsid w:val="00741F1A"/>
    <w:rsid w:val="00743C33"/>
    <w:rsid w:val="007447DA"/>
    <w:rsid w:val="00744B2C"/>
    <w:rsid w:val="00744EE5"/>
    <w:rsid w:val="007450F8"/>
    <w:rsid w:val="00745936"/>
    <w:rsid w:val="0074696E"/>
    <w:rsid w:val="00747CD7"/>
    <w:rsid w:val="00750135"/>
    <w:rsid w:val="00750EC2"/>
    <w:rsid w:val="00752717"/>
    <w:rsid w:val="00752B28"/>
    <w:rsid w:val="007536BC"/>
    <w:rsid w:val="007541A9"/>
    <w:rsid w:val="00754E36"/>
    <w:rsid w:val="00761E51"/>
    <w:rsid w:val="007625F5"/>
    <w:rsid w:val="00763139"/>
    <w:rsid w:val="007671ED"/>
    <w:rsid w:val="007675DF"/>
    <w:rsid w:val="00770F37"/>
    <w:rsid w:val="007711A0"/>
    <w:rsid w:val="00772D5E"/>
    <w:rsid w:val="00774464"/>
    <w:rsid w:val="0077463E"/>
    <w:rsid w:val="007762E2"/>
    <w:rsid w:val="00776928"/>
    <w:rsid w:val="00776D56"/>
    <w:rsid w:val="00776E0F"/>
    <w:rsid w:val="00777378"/>
    <w:rsid w:val="007774B1"/>
    <w:rsid w:val="00777BE1"/>
    <w:rsid w:val="00780FB0"/>
    <w:rsid w:val="00782222"/>
    <w:rsid w:val="007833D8"/>
    <w:rsid w:val="00785677"/>
    <w:rsid w:val="00786F16"/>
    <w:rsid w:val="00787EB0"/>
    <w:rsid w:val="007911F7"/>
    <w:rsid w:val="00791BD7"/>
    <w:rsid w:val="00792F5D"/>
    <w:rsid w:val="0079334B"/>
    <w:rsid w:val="007933F7"/>
    <w:rsid w:val="00794772"/>
    <w:rsid w:val="00796E20"/>
    <w:rsid w:val="00797C32"/>
    <w:rsid w:val="00797FCF"/>
    <w:rsid w:val="007A11E8"/>
    <w:rsid w:val="007A4111"/>
    <w:rsid w:val="007A482C"/>
    <w:rsid w:val="007B0914"/>
    <w:rsid w:val="007B1374"/>
    <w:rsid w:val="007B2A04"/>
    <w:rsid w:val="007B32E5"/>
    <w:rsid w:val="007B3DB9"/>
    <w:rsid w:val="007B4EFB"/>
    <w:rsid w:val="007B53DA"/>
    <w:rsid w:val="007B5453"/>
    <w:rsid w:val="007B589F"/>
    <w:rsid w:val="007B591E"/>
    <w:rsid w:val="007B5D79"/>
    <w:rsid w:val="007B6186"/>
    <w:rsid w:val="007B6386"/>
    <w:rsid w:val="007B73BC"/>
    <w:rsid w:val="007B7611"/>
    <w:rsid w:val="007C1434"/>
    <w:rsid w:val="007C1838"/>
    <w:rsid w:val="007C20B9"/>
    <w:rsid w:val="007C3497"/>
    <w:rsid w:val="007C3CC9"/>
    <w:rsid w:val="007C5DCF"/>
    <w:rsid w:val="007C661D"/>
    <w:rsid w:val="007C7301"/>
    <w:rsid w:val="007C75DE"/>
    <w:rsid w:val="007C7859"/>
    <w:rsid w:val="007C7DF2"/>
    <w:rsid w:val="007C7F28"/>
    <w:rsid w:val="007D1466"/>
    <w:rsid w:val="007D19AD"/>
    <w:rsid w:val="007D2847"/>
    <w:rsid w:val="007D2BDE"/>
    <w:rsid w:val="007D2FB6"/>
    <w:rsid w:val="007D3372"/>
    <w:rsid w:val="007D36EF"/>
    <w:rsid w:val="007D3725"/>
    <w:rsid w:val="007D49EB"/>
    <w:rsid w:val="007D5E1C"/>
    <w:rsid w:val="007D7701"/>
    <w:rsid w:val="007E030F"/>
    <w:rsid w:val="007E040B"/>
    <w:rsid w:val="007E0DE2"/>
    <w:rsid w:val="007E10C3"/>
    <w:rsid w:val="007E3667"/>
    <w:rsid w:val="007E3B98"/>
    <w:rsid w:val="007E417A"/>
    <w:rsid w:val="007E4A31"/>
    <w:rsid w:val="007E548D"/>
    <w:rsid w:val="007F030C"/>
    <w:rsid w:val="007F128C"/>
    <w:rsid w:val="007F31B6"/>
    <w:rsid w:val="007F35E2"/>
    <w:rsid w:val="007F517D"/>
    <w:rsid w:val="007F546C"/>
    <w:rsid w:val="007F625F"/>
    <w:rsid w:val="007F665E"/>
    <w:rsid w:val="007F7DD7"/>
    <w:rsid w:val="00800412"/>
    <w:rsid w:val="008014E7"/>
    <w:rsid w:val="008035AE"/>
    <w:rsid w:val="0080587B"/>
    <w:rsid w:val="00805999"/>
    <w:rsid w:val="00806468"/>
    <w:rsid w:val="008073F4"/>
    <w:rsid w:val="008079B7"/>
    <w:rsid w:val="00807FDA"/>
    <w:rsid w:val="00810D01"/>
    <w:rsid w:val="008119CA"/>
    <w:rsid w:val="008130C4"/>
    <w:rsid w:val="0081334E"/>
    <w:rsid w:val="0081527A"/>
    <w:rsid w:val="00815289"/>
    <w:rsid w:val="008155F0"/>
    <w:rsid w:val="00816735"/>
    <w:rsid w:val="0081680A"/>
    <w:rsid w:val="00816C06"/>
    <w:rsid w:val="00820141"/>
    <w:rsid w:val="00820E0C"/>
    <w:rsid w:val="00822169"/>
    <w:rsid w:val="008227DB"/>
    <w:rsid w:val="00822D8B"/>
    <w:rsid w:val="00823275"/>
    <w:rsid w:val="0082366F"/>
    <w:rsid w:val="008240F0"/>
    <w:rsid w:val="008250B7"/>
    <w:rsid w:val="00825B4C"/>
    <w:rsid w:val="008260C1"/>
    <w:rsid w:val="008263EA"/>
    <w:rsid w:val="0082710E"/>
    <w:rsid w:val="008320A9"/>
    <w:rsid w:val="008329B5"/>
    <w:rsid w:val="008338A2"/>
    <w:rsid w:val="00835D44"/>
    <w:rsid w:val="00836681"/>
    <w:rsid w:val="0083709A"/>
    <w:rsid w:val="0084155F"/>
    <w:rsid w:val="00841AA9"/>
    <w:rsid w:val="00841B26"/>
    <w:rsid w:val="00844263"/>
    <w:rsid w:val="008474FE"/>
    <w:rsid w:val="00852B0D"/>
    <w:rsid w:val="00853EE4"/>
    <w:rsid w:val="008541B3"/>
    <w:rsid w:val="00855351"/>
    <w:rsid w:val="00855535"/>
    <w:rsid w:val="00857898"/>
    <w:rsid w:val="00857C5A"/>
    <w:rsid w:val="008617E0"/>
    <w:rsid w:val="00861D7C"/>
    <w:rsid w:val="0086255E"/>
    <w:rsid w:val="008633F0"/>
    <w:rsid w:val="0086646F"/>
    <w:rsid w:val="00866632"/>
    <w:rsid w:val="00867133"/>
    <w:rsid w:val="008671DB"/>
    <w:rsid w:val="00867CD8"/>
    <w:rsid w:val="00867D9D"/>
    <w:rsid w:val="00872E0A"/>
    <w:rsid w:val="00873594"/>
    <w:rsid w:val="008746C6"/>
    <w:rsid w:val="00875285"/>
    <w:rsid w:val="00875356"/>
    <w:rsid w:val="00875AE3"/>
    <w:rsid w:val="008806A9"/>
    <w:rsid w:val="008808C6"/>
    <w:rsid w:val="00881096"/>
    <w:rsid w:val="00882E87"/>
    <w:rsid w:val="00883F02"/>
    <w:rsid w:val="0088439D"/>
    <w:rsid w:val="00884B62"/>
    <w:rsid w:val="0088529C"/>
    <w:rsid w:val="00887903"/>
    <w:rsid w:val="0089008C"/>
    <w:rsid w:val="00890182"/>
    <w:rsid w:val="00891F1F"/>
    <w:rsid w:val="0089270A"/>
    <w:rsid w:val="00893AF6"/>
    <w:rsid w:val="00894BC4"/>
    <w:rsid w:val="0089662B"/>
    <w:rsid w:val="00896890"/>
    <w:rsid w:val="008977D1"/>
    <w:rsid w:val="008A1681"/>
    <w:rsid w:val="008A28A8"/>
    <w:rsid w:val="008A4037"/>
    <w:rsid w:val="008A54AC"/>
    <w:rsid w:val="008A5B32"/>
    <w:rsid w:val="008A60E6"/>
    <w:rsid w:val="008B06E0"/>
    <w:rsid w:val="008B1634"/>
    <w:rsid w:val="008B1813"/>
    <w:rsid w:val="008B189E"/>
    <w:rsid w:val="008B2029"/>
    <w:rsid w:val="008B25D0"/>
    <w:rsid w:val="008B2B1F"/>
    <w:rsid w:val="008B2EE4"/>
    <w:rsid w:val="008B3072"/>
    <w:rsid w:val="008B3821"/>
    <w:rsid w:val="008B4254"/>
    <w:rsid w:val="008B4D3D"/>
    <w:rsid w:val="008B50E8"/>
    <w:rsid w:val="008B57C7"/>
    <w:rsid w:val="008C2F92"/>
    <w:rsid w:val="008C3546"/>
    <w:rsid w:val="008C3A1E"/>
    <w:rsid w:val="008C4415"/>
    <w:rsid w:val="008C4BB1"/>
    <w:rsid w:val="008C4C61"/>
    <w:rsid w:val="008C589D"/>
    <w:rsid w:val="008C6D51"/>
    <w:rsid w:val="008C6F6C"/>
    <w:rsid w:val="008C7FFC"/>
    <w:rsid w:val="008D239C"/>
    <w:rsid w:val="008D2846"/>
    <w:rsid w:val="008D2D7F"/>
    <w:rsid w:val="008D4236"/>
    <w:rsid w:val="008D42E0"/>
    <w:rsid w:val="008D462F"/>
    <w:rsid w:val="008D4B7E"/>
    <w:rsid w:val="008D5572"/>
    <w:rsid w:val="008D608E"/>
    <w:rsid w:val="008D6DCF"/>
    <w:rsid w:val="008D78B5"/>
    <w:rsid w:val="008E00DA"/>
    <w:rsid w:val="008E375C"/>
    <w:rsid w:val="008E4376"/>
    <w:rsid w:val="008E7A0A"/>
    <w:rsid w:val="008E7B49"/>
    <w:rsid w:val="008F058F"/>
    <w:rsid w:val="008F30AA"/>
    <w:rsid w:val="008F59F6"/>
    <w:rsid w:val="008F5FDA"/>
    <w:rsid w:val="008F664A"/>
    <w:rsid w:val="00900719"/>
    <w:rsid w:val="00901745"/>
    <w:rsid w:val="009017AC"/>
    <w:rsid w:val="00902A9A"/>
    <w:rsid w:val="00903D0B"/>
    <w:rsid w:val="00904A1C"/>
    <w:rsid w:val="00905030"/>
    <w:rsid w:val="00906490"/>
    <w:rsid w:val="00906D8F"/>
    <w:rsid w:val="00910B94"/>
    <w:rsid w:val="009111B2"/>
    <w:rsid w:val="009113A9"/>
    <w:rsid w:val="00914056"/>
    <w:rsid w:val="00914473"/>
    <w:rsid w:val="009151F5"/>
    <w:rsid w:val="00916773"/>
    <w:rsid w:val="00917999"/>
    <w:rsid w:val="00920A5A"/>
    <w:rsid w:val="00920CF1"/>
    <w:rsid w:val="0092157C"/>
    <w:rsid w:val="00921AB3"/>
    <w:rsid w:val="00922673"/>
    <w:rsid w:val="00922837"/>
    <w:rsid w:val="00922868"/>
    <w:rsid w:val="00924AE1"/>
    <w:rsid w:val="009269B1"/>
    <w:rsid w:val="0092724D"/>
    <w:rsid w:val="009272B3"/>
    <w:rsid w:val="009315BE"/>
    <w:rsid w:val="00932090"/>
    <w:rsid w:val="009322D1"/>
    <w:rsid w:val="009326DD"/>
    <w:rsid w:val="00932F88"/>
    <w:rsid w:val="00933172"/>
    <w:rsid w:val="0093338F"/>
    <w:rsid w:val="009351C1"/>
    <w:rsid w:val="00935919"/>
    <w:rsid w:val="009360B6"/>
    <w:rsid w:val="00937BD9"/>
    <w:rsid w:val="009437D0"/>
    <w:rsid w:val="009456DF"/>
    <w:rsid w:val="00946EEA"/>
    <w:rsid w:val="009508D0"/>
    <w:rsid w:val="00950E2C"/>
    <w:rsid w:val="00951D50"/>
    <w:rsid w:val="0095213D"/>
    <w:rsid w:val="009525EB"/>
    <w:rsid w:val="00953EA7"/>
    <w:rsid w:val="0095470B"/>
    <w:rsid w:val="00954719"/>
    <w:rsid w:val="00954874"/>
    <w:rsid w:val="00955CA3"/>
    <w:rsid w:val="00955E31"/>
    <w:rsid w:val="0095615A"/>
    <w:rsid w:val="00956D41"/>
    <w:rsid w:val="00960209"/>
    <w:rsid w:val="00961400"/>
    <w:rsid w:val="009626EF"/>
    <w:rsid w:val="00962DA6"/>
    <w:rsid w:val="00963071"/>
    <w:rsid w:val="00963646"/>
    <w:rsid w:val="00964219"/>
    <w:rsid w:val="0096632D"/>
    <w:rsid w:val="00967124"/>
    <w:rsid w:val="00970F98"/>
    <w:rsid w:val="0097166C"/>
    <w:rsid w:val="009718C7"/>
    <w:rsid w:val="0097559F"/>
    <w:rsid w:val="009761EA"/>
    <w:rsid w:val="0097761E"/>
    <w:rsid w:val="00977D59"/>
    <w:rsid w:val="0098032C"/>
    <w:rsid w:val="00981F18"/>
    <w:rsid w:val="00982454"/>
    <w:rsid w:val="00982CF0"/>
    <w:rsid w:val="009853E1"/>
    <w:rsid w:val="009869F9"/>
    <w:rsid w:val="00986E6B"/>
    <w:rsid w:val="00990032"/>
    <w:rsid w:val="00990B19"/>
    <w:rsid w:val="0099153B"/>
    <w:rsid w:val="00991769"/>
    <w:rsid w:val="0099232C"/>
    <w:rsid w:val="00992391"/>
    <w:rsid w:val="00993660"/>
    <w:rsid w:val="00994386"/>
    <w:rsid w:val="009948E8"/>
    <w:rsid w:val="00997BD8"/>
    <w:rsid w:val="00997C0F"/>
    <w:rsid w:val="009A0116"/>
    <w:rsid w:val="009A13D8"/>
    <w:rsid w:val="009A279E"/>
    <w:rsid w:val="009A3015"/>
    <w:rsid w:val="009A3490"/>
    <w:rsid w:val="009A5F27"/>
    <w:rsid w:val="009A61E4"/>
    <w:rsid w:val="009A65CC"/>
    <w:rsid w:val="009B0A6F"/>
    <w:rsid w:val="009B0A94"/>
    <w:rsid w:val="009B0C62"/>
    <w:rsid w:val="009B1942"/>
    <w:rsid w:val="009B29EF"/>
    <w:rsid w:val="009B2AE8"/>
    <w:rsid w:val="009B31B2"/>
    <w:rsid w:val="009B5020"/>
    <w:rsid w:val="009B53BB"/>
    <w:rsid w:val="009B5622"/>
    <w:rsid w:val="009B59E9"/>
    <w:rsid w:val="009B5CEA"/>
    <w:rsid w:val="009B69AF"/>
    <w:rsid w:val="009B6B82"/>
    <w:rsid w:val="009B6F5A"/>
    <w:rsid w:val="009B70AA"/>
    <w:rsid w:val="009B729A"/>
    <w:rsid w:val="009B73BA"/>
    <w:rsid w:val="009C03DF"/>
    <w:rsid w:val="009C074D"/>
    <w:rsid w:val="009C0AD8"/>
    <w:rsid w:val="009C245E"/>
    <w:rsid w:val="009C2C64"/>
    <w:rsid w:val="009C423E"/>
    <w:rsid w:val="009C4AF5"/>
    <w:rsid w:val="009C5E77"/>
    <w:rsid w:val="009C6189"/>
    <w:rsid w:val="009C6FBB"/>
    <w:rsid w:val="009C7A7E"/>
    <w:rsid w:val="009C7D89"/>
    <w:rsid w:val="009D02E8"/>
    <w:rsid w:val="009D1033"/>
    <w:rsid w:val="009D15F8"/>
    <w:rsid w:val="009D2287"/>
    <w:rsid w:val="009D2693"/>
    <w:rsid w:val="009D44E6"/>
    <w:rsid w:val="009D484D"/>
    <w:rsid w:val="009D4F4B"/>
    <w:rsid w:val="009D51D0"/>
    <w:rsid w:val="009D6639"/>
    <w:rsid w:val="009D70A4"/>
    <w:rsid w:val="009D746F"/>
    <w:rsid w:val="009D7B14"/>
    <w:rsid w:val="009E0291"/>
    <w:rsid w:val="009E08D1"/>
    <w:rsid w:val="009E0D96"/>
    <w:rsid w:val="009E17E0"/>
    <w:rsid w:val="009E1B95"/>
    <w:rsid w:val="009E40E3"/>
    <w:rsid w:val="009E496F"/>
    <w:rsid w:val="009E4ABC"/>
    <w:rsid w:val="009E4B0D"/>
    <w:rsid w:val="009E5020"/>
    <w:rsid w:val="009E5250"/>
    <w:rsid w:val="009E5C30"/>
    <w:rsid w:val="009E64C2"/>
    <w:rsid w:val="009E6D69"/>
    <w:rsid w:val="009E7A69"/>
    <w:rsid w:val="009E7F92"/>
    <w:rsid w:val="009F02A3"/>
    <w:rsid w:val="009F2182"/>
    <w:rsid w:val="009F2F27"/>
    <w:rsid w:val="009F34AA"/>
    <w:rsid w:val="009F4577"/>
    <w:rsid w:val="009F4918"/>
    <w:rsid w:val="009F6BCB"/>
    <w:rsid w:val="009F6DFA"/>
    <w:rsid w:val="009F7920"/>
    <w:rsid w:val="009F7B78"/>
    <w:rsid w:val="00A0057A"/>
    <w:rsid w:val="00A02799"/>
    <w:rsid w:val="00A02EDF"/>
    <w:rsid w:val="00A02FA1"/>
    <w:rsid w:val="00A04CCE"/>
    <w:rsid w:val="00A050EF"/>
    <w:rsid w:val="00A057F5"/>
    <w:rsid w:val="00A059D0"/>
    <w:rsid w:val="00A063E6"/>
    <w:rsid w:val="00A06846"/>
    <w:rsid w:val="00A07421"/>
    <w:rsid w:val="00A0776B"/>
    <w:rsid w:val="00A109F6"/>
    <w:rsid w:val="00A10FB9"/>
    <w:rsid w:val="00A11421"/>
    <w:rsid w:val="00A11C5F"/>
    <w:rsid w:val="00A1389F"/>
    <w:rsid w:val="00A13B7A"/>
    <w:rsid w:val="00A14D3C"/>
    <w:rsid w:val="00A157B1"/>
    <w:rsid w:val="00A173B9"/>
    <w:rsid w:val="00A203AF"/>
    <w:rsid w:val="00A210D5"/>
    <w:rsid w:val="00A22229"/>
    <w:rsid w:val="00A2383F"/>
    <w:rsid w:val="00A24442"/>
    <w:rsid w:val="00A2453C"/>
    <w:rsid w:val="00A24ADA"/>
    <w:rsid w:val="00A30524"/>
    <w:rsid w:val="00A31995"/>
    <w:rsid w:val="00A32577"/>
    <w:rsid w:val="00A32E6B"/>
    <w:rsid w:val="00A32F74"/>
    <w:rsid w:val="00A330BB"/>
    <w:rsid w:val="00A35B1A"/>
    <w:rsid w:val="00A361D0"/>
    <w:rsid w:val="00A365AC"/>
    <w:rsid w:val="00A404E5"/>
    <w:rsid w:val="00A405CD"/>
    <w:rsid w:val="00A420BA"/>
    <w:rsid w:val="00A433D1"/>
    <w:rsid w:val="00A446F5"/>
    <w:rsid w:val="00A44882"/>
    <w:rsid w:val="00A44E7F"/>
    <w:rsid w:val="00A44F1B"/>
    <w:rsid w:val="00A45125"/>
    <w:rsid w:val="00A462A6"/>
    <w:rsid w:val="00A51295"/>
    <w:rsid w:val="00A523DD"/>
    <w:rsid w:val="00A54715"/>
    <w:rsid w:val="00A54C90"/>
    <w:rsid w:val="00A5533E"/>
    <w:rsid w:val="00A56AE1"/>
    <w:rsid w:val="00A57342"/>
    <w:rsid w:val="00A6061C"/>
    <w:rsid w:val="00A61713"/>
    <w:rsid w:val="00A628F9"/>
    <w:rsid w:val="00A62D44"/>
    <w:rsid w:val="00A63397"/>
    <w:rsid w:val="00A65344"/>
    <w:rsid w:val="00A65A4E"/>
    <w:rsid w:val="00A6612C"/>
    <w:rsid w:val="00A67263"/>
    <w:rsid w:val="00A70628"/>
    <w:rsid w:val="00A7161C"/>
    <w:rsid w:val="00A71CE4"/>
    <w:rsid w:val="00A75EDA"/>
    <w:rsid w:val="00A773FB"/>
    <w:rsid w:val="00A77AA3"/>
    <w:rsid w:val="00A81A29"/>
    <w:rsid w:val="00A8236D"/>
    <w:rsid w:val="00A854EB"/>
    <w:rsid w:val="00A872E5"/>
    <w:rsid w:val="00A91406"/>
    <w:rsid w:val="00A92052"/>
    <w:rsid w:val="00A943CD"/>
    <w:rsid w:val="00A94835"/>
    <w:rsid w:val="00A96D37"/>
    <w:rsid w:val="00A96E65"/>
    <w:rsid w:val="00A96ECE"/>
    <w:rsid w:val="00A97C72"/>
    <w:rsid w:val="00AA1177"/>
    <w:rsid w:val="00AA2AC6"/>
    <w:rsid w:val="00AA302F"/>
    <w:rsid w:val="00AA3033"/>
    <w:rsid w:val="00AA310B"/>
    <w:rsid w:val="00AA4C6A"/>
    <w:rsid w:val="00AA63D4"/>
    <w:rsid w:val="00AB06E8"/>
    <w:rsid w:val="00AB126F"/>
    <w:rsid w:val="00AB1CD3"/>
    <w:rsid w:val="00AB342D"/>
    <w:rsid w:val="00AB352F"/>
    <w:rsid w:val="00AB3D7E"/>
    <w:rsid w:val="00AB53A2"/>
    <w:rsid w:val="00AC2617"/>
    <w:rsid w:val="00AC274B"/>
    <w:rsid w:val="00AC4764"/>
    <w:rsid w:val="00AC541A"/>
    <w:rsid w:val="00AC6525"/>
    <w:rsid w:val="00AC6629"/>
    <w:rsid w:val="00AC6D36"/>
    <w:rsid w:val="00AC7E71"/>
    <w:rsid w:val="00AD02F9"/>
    <w:rsid w:val="00AD06BE"/>
    <w:rsid w:val="00AD0CBA"/>
    <w:rsid w:val="00AD234A"/>
    <w:rsid w:val="00AD26E2"/>
    <w:rsid w:val="00AD46C8"/>
    <w:rsid w:val="00AD784C"/>
    <w:rsid w:val="00AE0F6A"/>
    <w:rsid w:val="00AE126A"/>
    <w:rsid w:val="00AE1BAE"/>
    <w:rsid w:val="00AE2571"/>
    <w:rsid w:val="00AE3005"/>
    <w:rsid w:val="00AE30B8"/>
    <w:rsid w:val="00AE3BD5"/>
    <w:rsid w:val="00AE432F"/>
    <w:rsid w:val="00AE555D"/>
    <w:rsid w:val="00AE59A0"/>
    <w:rsid w:val="00AE6D27"/>
    <w:rsid w:val="00AF0C57"/>
    <w:rsid w:val="00AF12DA"/>
    <w:rsid w:val="00AF253F"/>
    <w:rsid w:val="00AF26F3"/>
    <w:rsid w:val="00AF5F04"/>
    <w:rsid w:val="00AF6A3B"/>
    <w:rsid w:val="00B00499"/>
    <w:rsid w:val="00B00672"/>
    <w:rsid w:val="00B01B4D"/>
    <w:rsid w:val="00B02508"/>
    <w:rsid w:val="00B035D1"/>
    <w:rsid w:val="00B036D7"/>
    <w:rsid w:val="00B04489"/>
    <w:rsid w:val="00B06571"/>
    <w:rsid w:val="00B068BA"/>
    <w:rsid w:val="00B069C5"/>
    <w:rsid w:val="00B07217"/>
    <w:rsid w:val="00B07B93"/>
    <w:rsid w:val="00B104F5"/>
    <w:rsid w:val="00B10EE6"/>
    <w:rsid w:val="00B11A7D"/>
    <w:rsid w:val="00B13851"/>
    <w:rsid w:val="00B13B1C"/>
    <w:rsid w:val="00B140E3"/>
    <w:rsid w:val="00B14B5F"/>
    <w:rsid w:val="00B1723B"/>
    <w:rsid w:val="00B20048"/>
    <w:rsid w:val="00B20369"/>
    <w:rsid w:val="00B21F90"/>
    <w:rsid w:val="00B22291"/>
    <w:rsid w:val="00B23A28"/>
    <w:rsid w:val="00B23F9A"/>
    <w:rsid w:val="00B2417B"/>
    <w:rsid w:val="00B248BF"/>
    <w:rsid w:val="00B24E6F"/>
    <w:rsid w:val="00B26CB5"/>
    <w:rsid w:val="00B2752E"/>
    <w:rsid w:val="00B27AB4"/>
    <w:rsid w:val="00B27BB3"/>
    <w:rsid w:val="00B300C6"/>
    <w:rsid w:val="00B307CC"/>
    <w:rsid w:val="00B31668"/>
    <w:rsid w:val="00B31973"/>
    <w:rsid w:val="00B3262C"/>
    <w:rsid w:val="00B326B7"/>
    <w:rsid w:val="00B3588E"/>
    <w:rsid w:val="00B36CE4"/>
    <w:rsid w:val="00B37596"/>
    <w:rsid w:val="00B378F2"/>
    <w:rsid w:val="00B401E2"/>
    <w:rsid w:val="00B408E4"/>
    <w:rsid w:val="00B40A9D"/>
    <w:rsid w:val="00B4198F"/>
    <w:rsid w:val="00B41F3D"/>
    <w:rsid w:val="00B42352"/>
    <w:rsid w:val="00B4263B"/>
    <w:rsid w:val="00B428AC"/>
    <w:rsid w:val="00B431E8"/>
    <w:rsid w:val="00B45141"/>
    <w:rsid w:val="00B4613E"/>
    <w:rsid w:val="00B510EB"/>
    <w:rsid w:val="00B519CD"/>
    <w:rsid w:val="00B525CF"/>
    <w:rsid w:val="00B5273A"/>
    <w:rsid w:val="00B55E06"/>
    <w:rsid w:val="00B57329"/>
    <w:rsid w:val="00B57DF2"/>
    <w:rsid w:val="00B57FB0"/>
    <w:rsid w:val="00B60E61"/>
    <w:rsid w:val="00B62B50"/>
    <w:rsid w:val="00B62F90"/>
    <w:rsid w:val="00B63347"/>
    <w:rsid w:val="00B635B7"/>
    <w:rsid w:val="00B63AE8"/>
    <w:rsid w:val="00B65950"/>
    <w:rsid w:val="00B66707"/>
    <w:rsid w:val="00B66D83"/>
    <w:rsid w:val="00B672C0"/>
    <w:rsid w:val="00B676FD"/>
    <w:rsid w:val="00B678B6"/>
    <w:rsid w:val="00B67E2A"/>
    <w:rsid w:val="00B67EA7"/>
    <w:rsid w:val="00B702C6"/>
    <w:rsid w:val="00B704F8"/>
    <w:rsid w:val="00B71C2E"/>
    <w:rsid w:val="00B73D7C"/>
    <w:rsid w:val="00B7433E"/>
    <w:rsid w:val="00B7562A"/>
    <w:rsid w:val="00B75646"/>
    <w:rsid w:val="00B759B5"/>
    <w:rsid w:val="00B7629E"/>
    <w:rsid w:val="00B80863"/>
    <w:rsid w:val="00B82470"/>
    <w:rsid w:val="00B84241"/>
    <w:rsid w:val="00B84788"/>
    <w:rsid w:val="00B90729"/>
    <w:rsid w:val="00B907DA"/>
    <w:rsid w:val="00B90B09"/>
    <w:rsid w:val="00B92916"/>
    <w:rsid w:val="00B93217"/>
    <w:rsid w:val="00B94C5E"/>
    <w:rsid w:val="00B94FBE"/>
    <w:rsid w:val="00B950BC"/>
    <w:rsid w:val="00B9714C"/>
    <w:rsid w:val="00BA1C6E"/>
    <w:rsid w:val="00BA26F6"/>
    <w:rsid w:val="00BA29AD"/>
    <w:rsid w:val="00BA33CF"/>
    <w:rsid w:val="00BA3570"/>
    <w:rsid w:val="00BA38A9"/>
    <w:rsid w:val="00BA3F8D"/>
    <w:rsid w:val="00BA470B"/>
    <w:rsid w:val="00BA4A89"/>
    <w:rsid w:val="00BA5FA5"/>
    <w:rsid w:val="00BB1954"/>
    <w:rsid w:val="00BB6756"/>
    <w:rsid w:val="00BB71CE"/>
    <w:rsid w:val="00BB74AC"/>
    <w:rsid w:val="00BB7A10"/>
    <w:rsid w:val="00BB7F18"/>
    <w:rsid w:val="00BC28D2"/>
    <w:rsid w:val="00BC2967"/>
    <w:rsid w:val="00BC548D"/>
    <w:rsid w:val="00BC60BE"/>
    <w:rsid w:val="00BC73F0"/>
    <w:rsid w:val="00BC7468"/>
    <w:rsid w:val="00BC7794"/>
    <w:rsid w:val="00BC7D4F"/>
    <w:rsid w:val="00BC7ED7"/>
    <w:rsid w:val="00BD1615"/>
    <w:rsid w:val="00BD2850"/>
    <w:rsid w:val="00BD2974"/>
    <w:rsid w:val="00BD2A1A"/>
    <w:rsid w:val="00BD427A"/>
    <w:rsid w:val="00BD6022"/>
    <w:rsid w:val="00BE2168"/>
    <w:rsid w:val="00BE28D2"/>
    <w:rsid w:val="00BE34E4"/>
    <w:rsid w:val="00BE4A64"/>
    <w:rsid w:val="00BE59E7"/>
    <w:rsid w:val="00BE5E43"/>
    <w:rsid w:val="00BF008A"/>
    <w:rsid w:val="00BF28CC"/>
    <w:rsid w:val="00BF4538"/>
    <w:rsid w:val="00BF53FE"/>
    <w:rsid w:val="00BF557D"/>
    <w:rsid w:val="00BF5DDB"/>
    <w:rsid w:val="00BF658D"/>
    <w:rsid w:val="00BF7F58"/>
    <w:rsid w:val="00C01381"/>
    <w:rsid w:val="00C01AB1"/>
    <w:rsid w:val="00C026A0"/>
    <w:rsid w:val="00C043C3"/>
    <w:rsid w:val="00C04FFF"/>
    <w:rsid w:val="00C06137"/>
    <w:rsid w:val="00C06929"/>
    <w:rsid w:val="00C079B8"/>
    <w:rsid w:val="00C10037"/>
    <w:rsid w:val="00C106ED"/>
    <w:rsid w:val="00C10AA6"/>
    <w:rsid w:val="00C115E1"/>
    <w:rsid w:val="00C123EA"/>
    <w:rsid w:val="00C12A49"/>
    <w:rsid w:val="00C133EE"/>
    <w:rsid w:val="00C149D0"/>
    <w:rsid w:val="00C17029"/>
    <w:rsid w:val="00C175FE"/>
    <w:rsid w:val="00C2282F"/>
    <w:rsid w:val="00C235F3"/>
    <w:rsid w:val="00C237F4"/>
    <w:rsid w:val="00C245DD"/>
    <w:rsid w:val="00C25105"/>
    <w:rsid w:val="00C255E1"/>
    <w:rsid w:val="00C26588"/>
    <w:rsid w:val="00C27DE9"/>
    <w:rsid w:val="00C308F4"/>
    <w:rsid w:val="00C32989"/>
    <w:rsid w:val="00C33388"/>
    <w:rsid w:val="00C35484"/>
    <w:rsid w:val="00C4173A"/>
    <w:rsid w:val="00C43497"/>
    <w:rsid w:val="00C43B97"/>
    <w:rsid w:val="00C43CE3"/>
    <w:rsid w:val="00C4431B"/>
    <w:rsid w:val="00C44A09"/>
    <w:rsid w:val="00C465B2"/>
    <w:rsid w:val="00C50035"/>
    <w:rsid w:val="00C50DED"/>
    <w:rsid w:val="00C50E78"/>
    <w:rsid w:val="00C52217"/>
    <w:rsid w:val="00C52556"/>
    <w:rsid w:val="00C54130"/>
    <w:rsid w:val="00C54692"/>
    <w:rsid w:val="00C56198"/>
    <w:rsid w:val="00C602FF"/>
    <w:rsid w:val="00C60411"/>
    <w:rsid w:val="00C61174"/>
    <w:rsid w:val="00C6148F"/>
    <w:rsid w:val="00C62118"/>
    <w:rsid w:val="00C621B1"/>
    <w:rsid w:val="00C62F7A"/>
    <w:rsid w:val="00C635FF"/>
    <w:rsid w:val="00C63B9C"/>
    <w:rsid w:val="00C63C15"/>
    <w:rsid w:val="00C63EC2"/>
    <w:rsid w:val="00C6478C"/>
    <w:rsid w:val="00C65760"/>
    <w:rsid w:val="00C6682F"/>
    <w:rsid w:val="00C67454"/>
    <w:rsid w:val="00C67BF4"/>
    <w:rsid w:val="00C67F18"/>
    <w:rsid w:val="00C706BF"/>
    <w:rsid w:val="00C7275E"/>
    <w:rsid w:val="00C72814"/>
    <w:rsid w:val="00C72B68"/>
    <w:rsid w:val="00C731AF"/>
    <w:rsid w:val="00C73356"/>
    <w:rsid w:val="00C736FE"/>
    <w:rsid w:val="00C74C5D"/>
    <w:rsid w:val="00C757C1"/>
    <w:rsid w:val="00C75958"/>
    <w:rsid w:val="00C809D5"/>
    <w:rsid w:val="00C81ADF"/>
    <w:rsid w:val="00C82218"/>
    <w:rsid w:val="00C830BB"/>
    <w:rsid w:val="00C84C2F"/>
    <w:rsid w:val="00C84C6C"/>
    <w:rsid w:val="00C85ED3"/>
    <w:rsid w:val="00C863C4"/>
    <w:rsid w:val="00C8665B"/>
    <w:rsid w:val="00C87AC3"/>
    <w:rsid w:val="00C901C5"/>
    <w:rsid w:val="00C90DAB"/>
    <w:rsid w:val="00C920EA"/>
    <w:rsid w:val="00C931F9"/>
    <w:rsid w:val="00C93C3E"/>
    <w:rsid w:val="00C94DB0"/>
    <w:rsid w:val="00C96663"/>
    <w:rsid w:val="00CA0F89"/>
    <w:rsid w:val="00CA12E3"/>
    <w:rsid w:val="00CA1476"/>
    <w:rsid w:val="00CA22AC"/>
    <w:rsid w:val="00CA4260"/>
    <w:rsid w:val="00CA6611"/>
    <w:rsid w:val="00CA6AE6"/>
    <w:rsid w:val="00CA782F"/>
    <w:rsid w:val="00CB187B"/>
    <w:rsid w:val="00CB2835"/>
    <w:rsid w:val="00CB3285"/>
    <w:rsid w:val="00CB4500"/>
    <w:rsid w:val="00CB4598"/>
    <w:rsid w:val="00CC0B7D"/>
    <w:rsid w:val="00CC0C72"/>
    <w:rsid w:val="00CC2BC0"/>
    <w:rsid w:val="00CC2BFD"/>
    <w:rsid w:val="00CC2C58"/>
    <w:rsid w:val="00CC52D0"/>
    <w:rsid w:val="00CC6F40"/>
    <w:rsid w:val="00CC700A"/>
    <w:rsid w:val="00CC728F"/>
    <w:rsid w:val="00CD025A"/>
    <w:rsid w:val="00CD162A"/>
    <w:rsid w:val="00CD1F3F"/>
    <w:rsid w:val="00CD25E3"/>
    <w:rsid w:val="00CD3476"/>
    <w:rsid w:val="00CD3ECF"/>
    <w:rsid w:val="00CD64DF"/>
    <w:rsid w:val="00CD7C84"/>
    <w:rsid w:val="00CE0856"/>
    <w:rsid w:val="00CE225F"/>
    <w:rsid w:val="00CE3133"/>
    <w:rsid w:val="00CE377B"/>
    <w:rsid w:val="00CE38A3"/>
    <w:rsid w:val="00CE5A7A"/>
    <w:rsid w:val="00CE628D"/>
    <w:rsid w:val="00CE6B63"/>
    <w:rsid w:val="00CF0C60"/>
    <w:rsid w:val="00CF1A2A"/>
    <w:rsid w:val="00CF2F50"/>
    <w:rsid w:val="00CF3BFA"/>
    <w:rsid w:val="00CF3EF6"/>
    <w:rsid w:val="00CF6198"/>
    <w:rsid w:val="00CF6C8D"/>
    <w:rsid w:val="00CF6F38"/>
    <w:rsid w:val="00CF7043"/>
    <w:rsid w:val="00D01D05"/>
    <w:rsid w:val="00D021AE"/>
    <w:rsid w:val="00D02919"/>
    <w:rsid w:val="00D037E4"/>
    <w:rsid w:val="00D03E8C"/>
    <w:rsid w:val="00D04C61"/>
    <w:rsid w:val="00D05B8D"/>
    <w:rsid w:val="00D05B9B"/>
    <w:rsid w:val="00D065A2"/>
    <w:rsid w:val="00D079AA"/>
    <w:rsid w:val="00D07F00"/>
    <w:rsid w:val="00D1130F"/>
    <w:rsid w:val="00D1197B"/>
    <w:rsid w:val="00D1301F"/>
    <w:rsid w:val="00D143A2"/>
    <w:rsid w:val="00D1549A"/>
    <w:rsid w:val="00D17B72"/>
    <w:rsid w:val="00D17D72"/>
    <w:rsid w:val="00D24434"/>
    <w:rsid w:val="00D26641"/>
    <w:rsid w:val="00D26E78"/>
    <w:rsid w:val="00D3185C"/>
    <w:rsid w:val="00D31F35"/>
    <w:rsid w:val="00D3205F"/>
    <w:rsid w:val="00D3318E"/>
    <w:rsid w:val="00D33E72"/>
    <w:rsid w:val="00D344D7"/>
    <w:rsid w:val="00D35BD6"/>
    <w:rsid w:val="00D361B5"/>
    <w:rsid w:val="00D37A3B"/>
    <w:rsid w:val="00D411A2"/>
    <w:rsid w:val="00D42A5A"/>
    <w:rsid w:val="00D42C9B"/>
    <w:rsid w:val="00D43804"/>
    <w:rsid w:val="00D44277"/>
    <w:rsid w:val="00D44F15"/>
    <w:rsid w:val="00D4606D"/>
    <w:rsid w:val="00D4663B"/>
    <w:rsid w:val="00D4747A"/>
    <w:rsid w:val="00D50B9C"/>
    <w:rsid w:val="00D513AF"/>
    <w:rsid w:val="00D52D73"/>
    <w:rsid w:val="00D52E58"/>
    <w:rsid w:val="00D541FF"/>
    <w:rsid w:val="00D5523A"/>
    <w:rsid w:val="00D55953"/>
    <w:rsid w:val="00D561ED"/>
    <w:rsid w:val="00D56B20"/>
    <w:rsid w:val="00D578B3"/>
    <w:rsid w:val="00D618F4"/>
    <w:rsid w:val="00D63636"/>
    <w:rsid w:val="00D64746"/>
    <w:rsid w:val="00D66A2C"/>
    <w:rsid w:val="00D66B64"/>
    <w:rsid w:val="00D714CC"/>
    <w:rsid w:val="00D72570"/>
    <w:rsid w:val="00D73A4E"/>
    <w:rsid w:val="00D75EA7"/>
    <w:rsid w:val="00D76ECC"/>
    <w:rsid w:val="00D771B0"/>
    <w:rsid w:val="00D81ADF"/>
    <w:rsid w:val="00D81EC0"/>
    <w:rsid w:val="00D81F21"/>
    <w:rsid w:val="00D83987"/>
    <w:rsid w:val="00D84659"/>
    <w:rsid w:val="00D864F2"/>
    <w:rsid w:val="00D87460"/>
    <w:rsid w:val="00D943F8"/>
    <w:rsid w:val="00D95470"/>
    <w:rsid w:val="00D95635"/>
    <w:rsid w:val="00D95C71"/>
    <w:rsid w:val="00D96B55"/>
    <w:rsid w:val="00DA04BA"/>
    <w:rsid w:val="00DA2619"/>
    <w:rsid w:val="00DA3805"/>
    <w:rsid w:val="00DA3A66"/>
    <w:rsid w:val="00DA4239"/>
    <w:rsid w:val="00DA4348"/>
    <w:rsid w:val="00DA4965"/>
    <w:rsid w:val="00DA588C"/>
    <w:rsid w:val="00DA65DE"/>
    <w:rsid w:val="00DA7554"/>
    <w:rsid w:val="00DB0B61"/>
    <w:rsid w:val="00DB1226"/>
    <w:rsid w:val="00DB1474"/>
    <w:rsid w:val="00DB2962"/>
    <w:rsid w:val="00DB52FB"/>
    <w:rsid w:val="00DB549B"/>
    <w:rsid w:val="00DB7F0B"/>
    <w:rsid w:val="00DC013B"/>
    <w:rsid w:val="00DC078C"/>
    <w:rsid w:val="00DC090B"/>
    <w:rsid w:val="00DC09BA"/>
    <w:rsid w:val="00DC1679"/>
    <w:rsid w:val="00DC219B"/>
    <w:rsid w:val="00DC2CF1"/>
    <w:rsid w:val="00DC2DC7"/>
    <w:rsid w:val="00DC2EA0"/>
    <w:rsid w:val="00DC3A7C"/>
    <w:rsid w:val="00DC4FCF"/>
    <w:rsid w:val="00DC50E0"/>
    <w:rsid w:val="00DC6386"/>
    <w:rsid w:val="00DC7B7C"/>
    <w:rsid w:val="00DD09BE"/>
    <w:rsid w:val="00DD1130"/>
    <w:rsid w:val="00DD1951"/>
    <w:rsid w:val="00DD487D"/>
    <w:rsid w:val="00DD4E83"/>
    <w:rsid w:val="00DD52D7"/>
    <w:rsid w:val="00DD533E"/>
    <w:rsid w:val="00DD559B"/>
    <w:rsid w:val="00DD6628"/>
    <w:rsid w:val="00DD6945"/>
    <w:rsid w:val="00DD7A0C"/>
    <w:rsid w:val="00DD7BD7"/>
    <w:rsid w:val="00DE1BD3"/>
    <w:rsid w:val="00DE2270"/>
    <w:rsid w:val="00DE2D04"/>
    <w:rsid w:val="00DE3250"/>
    <w:rsid w:val="00DE3701"/>
    <w:rsid w:val="00DE6028"/>
    <w:rsid w:val="00DE6950"/>
    <w:rsid w:val="00DE6C85"/>
    <w:rsid w:val="00DE78A3"/>
    <w:rsid w:val="00DF08C2"/>
    <w:rsid w:val="00DF0A6E"/>
    <w:rsid w:val="00DF16FC"/>
    <w:rsid w:val="00DF1983"/>
    <w:rsid w:val="00DF1A71"/>
    <w:rsid w:val="00DF1AA2"/>
    <w:rsid w:val="00DF3E8A"/>
    <w:rsid w:val="00DF50FC"/>
    <w:rsid w:val="00DF564C"/>
    <w:rsid w:val="00DF68C7"/>
    <w:rsid w:val="00DF731A"/>
    <w:rsid w:val="00E00DEA"/>
    <w:rsid w:val="00E01963"/>
    <w:rsid w:val="00E02627"/>
    <w:rsid w:val="00E0417B"/>
    <w:rsid w:val="00E06B75"/>
    <w:rsid w:val="00E06EC2"/>
    <w:rsid w:val="00E0787C"/>
    <w:rsid w:val="00E11332"/>
    <w:rsid w:val="00E11352"/>
    <w:rsid w:val="00E156D9"/>
    <w:rsid w:val="00E170DC"/>
    <w:rsid w:val="00E17546"/>
    <w:rsid w:val="00E210B5"/>
    <w:rsid w:val="00E211EB"/>
    <w:rsid w:val="00E215CB"/>
    <w:rsid w:val="00E216EF"/>
    <w:rsid w:val="00E22E5D"/>
    <w:rsid w:val="00E24450"/>
    <w:rsid w:val="00E245AA"/>
    <w:rsid w:val="00E26141"/>
    <w:rsid w:val="00E261B3"/>
    <w:rsid w:val="00E26818"/>
    <w:rsid w:val="00E27FFC"/>
    <w:rsid w:val="00E30B15"/>
    <w:rsid w:val="00E30BA6"/>
    <w:rsid w:val="00E32714"/>
    <w:rsid w:val="00E33237"/>
    <w:rsid w:val="00E3538D"/>
    <w:rsid w:val="00E35D97"/>
    <w:rsid w:val="00E35FE9"/>
    <w:rsid w:val="00E40181"/>
    <w:rsid w:val="00E405AF"/>
    <w:rsid w:val="00E441C9"/>
    <w:rsid w:val="00E447E7"/>
    <w:rsid w:val="00E45167"/>
    <w:rsid w:val="00E46CAD"/>
    <w:rsid w:val="00E472F5"/>
    <w:rsid w:val="00E50907"/>
    <w:rsid w:val="00E51BEB"/>
    <w:rsid w:val="00E54950"/>
    <w:rsid w:val="00E55FB3"/>
    <w:rsid w:val="00E56A01"/>
    <w:rsid w:val="00E574B1"/>
    <w:rsid w:val="00E6068F"/>
    <w:rsid w:val="00E61E02"/>
    <w:rsid w:val="00E62302"/>
    <w:rsid w:val="00E629A1"/>
    <w:rsid w:val="00E6794C"/>
    <w:rsid w:val="00E70A13"/>
    <w:rsid w:val="00E71591"/>
    <w:rsid w:val="00E71CEB"/>
    <w:rsid w:val="00E746A7"/>
    <w:rsid w:val="00E7474F"/>
    <w:rsid w:val="00E7495C"/>
    <w:rsid w:val="00E75003"/>
    <w:rsid w:val="00E80BC2"/>
    <w:rsid w:val="00E80DE3"/>
    <w:rsid w:val="00E81188"/>
    <w:rsid w:val="00E820A3"/>
    <w:rsid w:val="00E823A6"/>
    <w:rsid w:val="00E82C55"/>
    <w:rsid w:val="00E84974"/>
    <w:rsid w:val="00E877E8"/>
    <w:rsid w:val="00E8787E"/>
    <w:rsid w:val="00E87FCD"/>
    <w:rsid w:val="00E9042A"/>
    <w:rsid w:val="00E90567"/>
    <w:rsid w:val="00E91F3D"/>
    <w:rsid w:val="00E928D8"/>
    <w:rsid w:val="00E92ABD"/>
    <w:rsid w:val="00E92AC3"/>
    <w:rsid w:val="00E934E2"/>
    <w:rsid w:val="00E947F8"/>
    <w:rsid w:val="00E97B91"/>
    <w:rsid w:val="00EA2B64"/>
    <w:rsid w:val="00EA2E37"/>
    <w:rsid w:val="00EA2F6A"/>
    <w:rsid w:val="00EB0083"/>
    <w:rsid w:val="00EB00E0"/>
    <w:rsid w:val="00EB05D5"/>
    <w:rsid w:val="00EB2793"/>
    <w:rsid w:val="00EB4BC7"/>
    <w:rsid w:val="00EB56B9"/>
    <w:rsid w:val="00EB6A2F"/>
    <w:rsid w:val="00EC059F"/>
    <w:rsid w:val="00EC1A31"/>
    <w:rsid w:val="00EC1F24"/>
    <w:rsid w:val="00EC1F3D"/>
    <w:rsid w:val="00EC22F6"/>
    <w:rsid w:val="00EC338A"/>
    <w:rsid w:val="00EC3DB9"/>
    <w:rsid w:val="00EC4DD4"/>
    <w:rsid w:val="00EC63BC"/>
    <w:rsid w:val="00EC68D8"/>
    <w:rsid w:val="00EC7852"/>
    <w:rsid w:val="00ED00B6"/>
    <w:rsid w:val="00ED198E"/>
    <w:rsid w:val="00ED4281"/>
    <w:rsid w:val="00ED4EE5"/>
    <w:rsid w:val="00ED56DA"/>
    <w:rsid w:val="00ED5B9B"/>
    <w:rsid w:val="00ED6BAD"/>
    <w:rsid w:val="00ED6E3D"/>
    <w:rsid w:val="00ED7447"/>
    <w:rsid w:val="00ED7762"/>
    <w:rsid w:val="00EE00D6"/>
    <w:rsid w:val="00EE119D"/>
    <w:rsid w:val="00EE11E7"/>
    <w:rsid w:val="00EE1488"/>
    <w:rsid w:val="00EE29AD"/>
    <w:rsid w:val="00EE2AEB"/>
    <w:rsid w:val="00EE3CA1"/>
    <w:rsid w:val="00EE3E24"/>
    <w:rsid w:val="00EE43D6"/>
    <w:rsid w:val="00EE4427"/>
    <w:rsid w:val="00EE4D5D"/>
    <w:rsid w:val="00EE5131"/>
    <w:rsid w:val="00EE6AF1"/>
    <w:rsid w:val="00EE6D8D"/>
    <w:rsid w:val="00EE7588"/>
    <w:rsid w:val="00EF109B"/>
    <w:rsid w:val="00EF16F8"/>
    <w:rsid w:val="00EF201C"/>
    <w:rsid w:val="00EF2399"/>
    <w:rsid w:val="00EF2834"/>
    <w:rsid w:val="00EF2C72"/>
    <w:rsid w:val="00EF36AF"/>
    <w:rsid w:val="00EF59A3"/>
    <w:rsid w:val="00EF5C90"/>
    <w:rsid w:val="00EF60AE"/>
    <w:rsid w:val="00EF6675"/>
    <w:rsid w:val="00EF7F61"/>
    <w:rsid w:val="00F00477"/>
    <w:rsid w:val="00F00593"/>
    <w:rsid w:val="00F0063D"/>
    <w:rsid w:val="00F00691"/>
    <w:rsid w:val="00F00F9C"/>
    <w:rsid w:val="00F01E5F"/>
    <w:rsid w:val="00F024F3"/>
    <w:rsid w:val="00F02ABA"/>
    <w:rsid w:val="00F036DE"/>
    <w:rsid w:val="00F0437A"/>
    <w:rsid w:val="00F0475C"/>
    <w:rsid w:val="00F0528A"/>
    <w:rsid w:val="00F0602D"/>
    <w:rsid w:val="00F07831"/>
    <w:rsid w:val="00F07963"/>
    <w:rsid w:val="00F07A87"/>
    <w:rsid w:val="00F101B8"/>
    <w:rsid w:val="00F11037"/>
    <w:rsid w:val="00F12C7A"/>
    <w:rsid w:val="00F13875"/>
    <w:rsid w:val="00F13B88"/>
    <w:rsid w:val="00F16F1B"/>
    <w:rsid w:val="00F20453"/>
    <w:rsid w:val="00F21684"/>
    <w:rsid w:val="00F250A9"/>
    <w:rsid w:val="00F263B7"/>
    <w:rsid w:val="00F267AF"/>
    <w:rsid w:val="00F2780B"/>
    <w:rsid w:val="00F278D5"/>
    <w:rsid w:val="00F30FF4"/>
    <w:rsid w:val="00F3122E"/>
    <w:rsid w:val="00F31D89"/>
    <w:rsid w:val="00F32368"/>
    <w:rsid w:val="00F331AD"/>
    <w:rsid w:val="00F35287"/>
    <w:rsid w:val="00F36300"/>
    <w:rsid w:val="00F364B9"/>
    <w:rsid w:val="00F37515"/>
    <w:rsid w:val="00F40A70"/>
    <w:rsid w:val="00F43A37"/>
    <w:rsid w:val="00F463E2"/>
    <w:rsid w:val="00F4641B"/>
    <w:rsid w:val="00F4685C"/>
    <w:rsid w:val="00F46EB8"/>
    <w:rsid w:val="00F50CD1"/>
    <w:rsid w:val="00F511E4"/>
    <w:rsid w:val="00F52D09"/>
    <w:rsid w:val="00F52E08"/>
    <w:rsid w:val="00F53A66"/>
    <w:rsid w:val="00F5462D"/>
    <w:rsid w:val="00F55B21"/>
    <w:rsid w:val="00F56EF6"/>
    <w:rsid w:val="00F60082"/>
    <w:rsid w:val="00F603BC"/>
    <w:rsid w:val="00F60B37"/>
    <w:rsid w:val="00F60F34"/>
    <w:rsid w:val="00F61A9F"/>
    <w:rsid w:val="00F61B5F"/>
    <w:rsid w:val="00F620D9"/>
    <w:rsid w:val="00F6390B"/>
    <w:rsid w:val="00F64696"/>
    <w:rsid w:val="00F65106"/>
    <w:rsid w:val="00F65AA9"/>
    <w:rsid w:val="00F6681E"/>
    <w:rsid w:val="00F66E0D"/>
    <w:rsid w:val="00F6768F"/>
    <w:rsid w:val="00F7039B"/>
    <w:rsid w:val="00F72C2C"/>
    <w:rsid w:val="00F741F2"/>
    <w:rsid w:val="00F757F8"/>
    <w:rsid w:val="00F76CAB"/>
    <w:rsid w:val="00F772C6"/>
    <w:rsid w:val="00F77FF4"/>
    <w:rsid w:val="00F815B5"/>
    <w:rsid w:val="00F829E8"/>
    <w:rsid w:val="00F82F6E"/>
    <w:rsid w:val="00F85195"/>
    <w:rsid w:val="00F868E3"/>
    <w:rsid w:val="00F86B64"/>
    <w:rsid w:val="00F914D1"/>
    <w:rsid w:val="00F91D90"/>
    <w:rsid w:val="00F9279A"/>
    <w:rsid w:val="00F92F9D"/>
    <w:rsid w:val="00F938BA"/>
    <w:rsid w:val="00F9454E"/>
    <w:rsid w:val="00F97919"/>
    <w:rsid w:val="00FA16D7"/>
    <w:rsid w:val="00FA1CDB"/>
    <w:rsid w:val="00FA26F3"/>
    <w:rsid w:val="00FA2C46"/>
    <w:rsid w:val="00FA3525"/>
    <w:rsid w:val="00FA5A53"/>
    <w:rsid w:val="00FA5FC4"/>
    <w:rsid w:val="00FB186D"/>
    <w:rsid w:val="00FB1A9C"/>
    <w:rsid w:val="00FB1F6E"/>
    <w:rsid w:val="00FB27B8"/>
    <w:rsid w:val="00FB4769"/>
    <w:rsid w:val="00FB4A01"/>
    <w:rsid w:val="00FB4CDA"/>
    <w:rsid w:val="00FB5794"/>
    <w:rsid w:val="00FB6481"/>
    <w:rsid w:val="00FB6D36"/>
    <w:rsid w:val="00FB73F9"/>
    <w:rsid w:val="00FC078C"/>
    <w:rsid w:val="00FC0965"/>
    <w:rsid w:val="00FC0F81"/>
    <w:rsid w:val="00FC23B0"/>
    <w:rsid w:val="00FC252F"/>
    <w:rsid w:val="00FC395C"/>
    <w:rsid w:val="00FC3F10"/>
    <w:rsid w:val="00FC5E8E"/>
    <w:rsid w:val="00FC607C"/>
    <w:rsid w:val="00FC66E5"/>
    <w:rsid w:val="00FC739A"/>
    <w:rsid w:val="00FD0638"/>
    <w:rsid w:val="00FD0DAF"/>
    <w:rsid w:val="00FD186C"/>
    <w:rsid w:val="00FD2266"/>
    <w:rsid w:val="00FD24B9"/>
    <w:rsid w:val="00FD29AC"/>
    <w:rsid w:val="00FD34A6"/>
    <w:rsid w:val="00FD3631"/>
    <w:rsid w:val="00FD3766"/>
    <w:rsid w:val="00FD3D05"/>
    <w:rsid w:val="00FD47C4"/>
    <w:rsid w:val="00FD4D12"/>
    <w:rsid w:val="00FD59C7"/>
    <w:rsid w:val="00FD6C68"/>
    <w:rsid w:val="00FD7074"/>
    <w:rsid w:val="00FD714D"/>
    <w:rsid w:val="00FE2DCF"/>
    <w:rsid w:val="00FE3FA7"/>
    <w:rsid w:val="00FE4081"/>
    <w:rsid w:val="00FE41DF"/>
    <w:rsid w:val="00FE44A3"/>
    <w:rsid w:val="00FE6D19"/>
    <w:rsid w:val="00FF0462"/>
    <w:rsid w:val="00FF2100"/>
    <w:rsid w:val="00FF2A4E"/>
    <w:rsid w:val="00FF2FCE"/>
    <w:rsid w:val="00FF43A8"/>
    <w:rsid w:val="00FF447E"/>
    <w:rsid w:val="00FF45FC"/>
    <w:rsid w:val="00FF4F7D"/>
    <w:rsid w:val="00FF6887"/>
    <w:rsid w:val="00FF6D9D"/>
    <w:rsid w:val="00FF7620"/>
    <w:rsid w:val="00FF7795"/>
    <w:rsid w:val="00FF7DD5"/>
    <w:rsid w:val="18CA6894"/>
    <w:rsid w:val="1D8CC401"/>
    <w:rsid w:val="25997B33"/>
    <w:rsid w:val="331D4F57"/>
    <w:rsid w:val="38D1577C"/>
    <w:rsid w:val="42DB7EAD"/>
    <w:rsid w:val="4B294883"/>
    <w:rsid w:val="59CEDB6E"/>
    <w:rsid w:val="5AB0B632"/>
    <w:rsid w:val="683CCBD5"/>
    <w:rsid w:val="6ED4D89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7F148F"/>
  <w15:docId w15:val="{0B4D7783-0F6E-4DD3-BD5E-C662199D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29"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21" w:qFormat="1"/>
    <w:lsdException w:name="Subtle Reference" w:semiHidden="1" w:uiPriority="67" w:qFormat="1"/>
    <w:lsdException w:name="Intense Reference" w:semiHidden="1" w:uiPriority="32"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9"/>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9"/>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166BBE"/>
    <w:pPr>
      <w:keepNext/>
      <w:keepLines/>
      <w:spacing w:before="40" w:after="0" w:line="240" w:lineRule="auto"/>
      <w:outlineLvl w:val="5"/>
    </w:pPr>
    <w:rPr>
      <w:rFonts w:ascii="Cambria" w:eastAsiaTheme="majorEastAsia" w:hAnsi="Cambr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66BBE"/>
    <w:pPr>
      <w:keepNext/>
      <w:keepLines/>
      <w:spacing w:before="40" w:after="0" w:line="240" w:lineRule="auto"/>
      <w:outlineLvl w:val="6"/>
    </w:pPr>
    <w:rPr>
      <w:rFonts w:ascii="Cambria" w:eastAsiaTheme="majorEastAsia" w:hAnsi="Cambr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66BBE"/>
    <w:pPr>
      <w:keepNext/>
      <w:keepLines/>
      <w:spacing w:after="0" w:line="240" w:lineRule="auto"/>
      <w:outlineLvl w:val="7"/>
    </w:pPr>
    <w:rPr>
      <w:rFonts w:ascii="Cambria" w:eastAsiaTheme="majorEastAsia" w:hAnsi="Cambr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66BBE"/>
    <w:pPr>
      <w:keepNext/>
      <w:keepLines/>
      <w:spacing w:after="0" w:line="240" w:lineRule="auto"/>
      <w:outlineLvl w:val="8"/>
    </w:pPr>
    <w:rPr>
      <w:rFonts w:ascii="Cambria" w:eastAsiaTheme="majorEastAsia" w:hAnsi="Cambr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9"/>
    <w:rsid w:val="004A14BB"/>
    <w:rPr>
      <w:rFonts w:ascii="Arial" w:hAnsi="Arial"/>
      <w:b/>
      <w:color w:val="53565A"/>
      <w:sz w:val="32"/>
      <w:szCs w:val="28"/>
      <w:lang w:eastAsia="en-US"/>
    </w:rPr>
  </w:style>
  <w:style w:type="character" w:customStyle="1" w:styleId="Heading3Char">
    <w:name w:val="Heading 3 Char"/>
    <w:link w:val="Heading3"/>
    <w:uiPriority w:val="9"/>
    <w:rsid w:val="004A14BB"/>
    <w:rPr>
      <w:rFonts w:ascii="Arial" w:eastAsia="MS Gothic" w:hAnsi="Arial"/>
      <w:bCs/>
      <w:color w:val="53565A"/>
      <w:sz w:val="30"/>
      <w:szCs w:val="26"/>
      <w:lang w:eastAsia="en-US"/>
    </w:rPr>
  </w:style>
  <w:style w:type="character" w:customStyle="1" w:styleId="Heading4Char">
    <w:name w:val="Heading 4 Char"/>
    <w:link w:val="Heading4"/>
    <w:uiPriority w:val="9"/>
    <w:rsid w:val="004A14BB"/>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character" w:customStyle="1" w:styleId="HeaderChar">
    <w:name w:val="Header Char"/>
    <w:basedOn w:val="DefaultParagraphFont"/>
    <w:link w:val="Header"/>
    <w:uiPriority w:val="99"/>
    <w:rsid w:val="00A92052"/>
    <w:rPr>
      <w:rFonts w:ascii="Arial" w:hAnsi="Arial" w:cs="Arial"/>
      <w:b/>
      <w:color w:val="53565A"/>
      <w:sz w:val="18"/>
      <w:szCs w:val="18"/>
      <w:lang w:eastAsia="en-US"/>
    </w:rPr>
  </w:style>
  <w:style w:type="table" w:styleId="GridTable4-Accent2">
    <w:name w:val="Grid Table 4 Accent 2"/>
    <w:basedOn w:val="TableNormal"/>
    <w:uiPriority w:val="49"/>
    <w:rsid w:val="00A920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FooterChar">
    <w:name w:val="Footer Char"/>
    <w:basedOn w:val="DefaultParagraphFont"/>
    <w:link w:val="Footer"/>
    <w:uiPriority w:val="99"/>
    <w:rsid w:val="00A92052"/>
    <w:rPr>
      <w:rFonts w:ascii="Arial" w:hAnsi="Arial" w:cs="Arial"/>
      <w:szCs w:val="18"/>
      <w:lang w:eastAsia="en-US"/>
    </w:rPr>
  </w:style>
  <w:style w:type="paragraph" w:styleId="TOCHeading">
    <w:name w:val="TOC Heading"/>
    <w:basedOn w:val="Heading1"/>
    <w:next w:val="Normal"/>
    <w:uiPriority w:val="39"/>
    <w:unhideWhenUsed/>
    <w:qFormat/>
    <w:rsid w:val="00A92052"/>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styleId="Mention">
    <w:name w:val="Mention"/>
    <w:basedOn w:val="DefaultParagraphFont"/>
    <w:uiPriority w:val="99"/>
    <w:unhideWhenUsed/>
    <w:rsid w:val="00A92052"/>
    <w:rPr>
      <w:color w:val="2B579A"/>
      <w:shd w:val="clear" w:color="auto" w:fill="E1DFDD"/>
    </w:rPr>
  </w:style>
  <w:style w:type="table" w:styleId="GridTable4">
    <w:name w:val="Grid Table 4"/>
    <w:basedOn w:val="TableNormal"/>
    <w:uiPriority w:val="49"/>
    <w:rsid w:val="00A92052"/>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086740"/>
    <w:pPr>
      <w:spacing w:after="200" w:line="240" w:lineRule="auto"/>
    </w:pPr>
    <w:rPr>
      <w:i/>
      <w:iCs/>
      <w:color w:val="1F497D" w:themeColor="text2"/>
      <w:sz w:val="18"/>
      <w:szCs w:val="18"/>
    </w:rPr>
  </w:style>
  <w:style w:type="character" w:customStyle="1" w:styleId="Heading6Char">
    <w:name w:val="Heading 6 Char"/>
    <w:basedOn w:val="DefaultParagraphFont"/>
    <w:link w:val="Heading6"/>
    <w:uiPriority w:val="9"/>
    <w:semiHidden/>
    <w:rsid w:val="00166BBE"/>
    <w:rPr>
      <w:rFonts w:ascii="Cambria" w:eastAsiaTheme="majorEastAsia" w:hAnsi="Cambria" w:cstheme="majorBidi"/>
      <w:i/>
      <w:iCs/>
      <w:color w:val="595959" w:themeColor="text1" w:themeTint="A6"/>
      <w:sz w:val="24"/>
      <w:szCs w:val="24"/>
      <w:lang w:eastAsia="en-US"/>
    </w:rPr>
  </w:style>
  <w:style w:type="character" w:customStyle="1" w:styleId="Heading7Char">
    <w:name w:val="Heading 7 Char"/>
    <w:basedOn w:val="DefaultParagraphFont"/>
    <w:link w:val="Heading7"/>
    <w:uiPriority w:val="9"/>
    <w:semiHidden/>
    <w:rsid w:val="00166BBE"/>
    <w:rPr>
      <w:rFonts w:ascii="Cambria" w:eastAsiaTheme="majorEastAsia" w:hAnsi="Cambria" w:cstheme="majorBidi"/>
      <w:color w:val="595959" w:themeColor="text1" w:themeTint="A6"/>
      <w:sz w:val="24"/>
      <w:szCs w:val="24"/>
      <w:lang w:eastAsia="en-US"/>
    </w:rPr>
  </w:style>
  <w:style w:type="character" w:customStyle="1" w:styleId="Heading8Char">
    <w:name w:val="Heading 8 Char"/>
    <w:basedOn w:val="DefaultParagraphFont"/>
    <w:link w:val="Heading8"/>
    <w:uiPriority w:val="9"/>
    <w:semiHidden/>
    <w:rsid w:val="00166BBE"/>
    <w:rPr>
      <w:rFonts w:ascii="Cambria" w:eastAsiaTheme="majorEastAsia" w:hAnsi="Cambria" w:cstheme="majorBidi"/>
      <w:i/>
      <w:iCs/>
      <w:color w:val="272727" w:themeColor="text1" w:themeTint="D8"/>
      <w:sz w:val="24"/>
      <w:szCs w:val="24"/>
      <w:lang w:eastAsia="en-US"/>
    </w:rPr>
  </w:style>
  <w:style w:type="character" w:customStyle="1" w:styleId="Heading9Char">
    <w:name w:val="Heading 9 Char"/>
    <w:basedOn w:val="DefaultParagraphFont"/>
    <w:link w:val="Heading9"/>
    <w:uiPriority w:val="9"/>
    <w:semiHidden/>
    <w:rsid w:val="00166BBE"/>
    <w:rPr>
      <w:rFonts w:ascii="Cambria" w:eastAsiaTheme="majorEastAsia" w:hAnsi="Cambria" w:cstheme="majorBidi"/>
      <w:color w:val="272727" w:themeColor="text1" w:themeTint="D8"/>
      <w:sz w:val="24"/>
      <w:szCs w:val="24"/>
      <w:lang w:eastAsia="en-US"/>
    </w:rPr>
  </w:style>
  <w:style w:type="paragraph" w:styleId="Quote">
    <w:name w:val="Quote"/>
    <w:basedOn w:val="Normal"/>
    <w:next w:val="Normal"/>
    <w:link w:val="QuoteChar"/>
    <w:uiPriority w:val="29"/>
    <w:qFormat/>
    <w:rsid w:val="00166BBE"/>
    <w:pPr>
      <w:spacing w:before="160" w:after="0" w:line="240" w:lineRule="auto"/>
      <w:jc w:val="center"/>
    </w:pPr>
    <w:rPr>
      <w:rFonts w:ascii="Cambria" w:hAnsi="Cambria"/>
      <w:i/>
      <w:iCs/>
      <w:color w:val="404040" w:themeColor="text1" w:themeTint="BF"/>
      <w:sz w:val="24"/>
      <w:szCs w:val="24"/>
    </w:rPr>
  </w:style>
  <w:style w:type="character" w:customStyle="1" w:styleId="QuoteChar">
    <w:name w:val="Quote Char"/>
    <w:basedOn w:val="DefaultParagraphFont"/>
    <w:link w:val="Quote"/>
    <w:uiPriority w:val="29"/>
    <w:rsid w:val="00166BBE"/>
    <w:rPr>
      <w:rFonts w:ascii="Cambria" w:hAnsi="Cambria"/>
      <w:i/>
      <w:iCs/>
      <w:color w:val="404040" w:themeColor="text1" w:themeTint="BF"/>
      <w:sz w:val="24"/>
      <w:szCs w:val="24"/>
      <w:lang w:eastAsia="en-US"/>
    </w:rPr>
  </w:style>
  <w:style w:type="paragraph" w:styleId="ListParagraph">
    <w:name w:val="List Paragraph"/>
    <w:basedOn w:val="Normal"/>
    <w:uiPriority w:val="34"/>
    <w:qFormat/>
    <w:rsid w:val="00166BBE"/>
    <w:pPr>
      <w:spacing w:after="0" w:line="240" w:lineRule="auto"/>
      <w:ind w:left="720"/>
      <w:contextualSpacing/>
    </w:pPr>
    <w:rPr>
      <w:rFonts w:ascii="Cambria" w:hAnsi="Cambria"/>
      <w:sz w:val="24"/>
      <w:szCs w:val="24"/>
    </w:rPr>
  </w:style>
  <w:style w:type="character" w:styleId="IntenseEmphasis">
    <w:name w:val="Intense Emphasis"/>
    <w:basedOn w:val="DefaultParagraphFont"/>
    <w:uiPriority w:val="21"/>
    <w:qFormat/>
    <w:rsid w:val="00166BBE"/>
    <w:rPr>
      <w:i/>
      <w:iCs/>
      <w:color w:val="365F91" w:themeColor="accent1" w:themeShade="BF"/>
    </w:rPr>
  </w:style>
  <w:style w:type="paragraph" w:styleId="IntenseQuote">
    <w:name w:val="Intense Quote"/>
    <w:basedOn w:val="Normal"/>
    <w:next w:val="Normal"/>
    <w:link w:val="IntenseQuoteChar"/>
    <w:uiPriority w:val="30"/>
    <w:qFormat/>
    <w:rsid w:val="00166BBE"/>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Cambria" w:hAnsi="Cambria"/>
      <w:i/>
      <w:iCs/>
      <w:color w:val="365F91" w:themeColor="accent1" w:themeShade="BF"/>
      <w:sz w:val="24"/>
      <w:szCs w:val="24"/>
    </w:rPr>
  </w:style>
  <w:style w:type="character" w:customStyle="1" w:styleId="IntenseQuoteChar">
    <w:name w:val="Intense Quote Char"/>
    <w:basedOn w:val="DefaultParagraphFont"/>
    <w:link w:val="IntenseQuote"/>
    <w:uiPriority w:val="30"/>
    <w:rsid w:val="00166BBE"/>
    <w:rPr>
      <w:rFonts w:ascii="Cambria" w:hAnsi="Cambria"/>
      <w:i/>
      <w:iCs/>
      <w:color w:val="365F91" w:themeColor="accent1" w:themeShade="BF"/>
      <w:sz w:val="24"/>
      <w:szCs w:val="24"/>
      <w:lang w:eastAsia="en-US"/>
    </w:rPr>
  </w:style>
  <w:style w:type="character" w:styleId="IntenseReference">
    <w:name w:val="Intense Reference"/>
    <w:basedOn w:val="DefaultParagraphFont"/>
    <w:uiPriority w:val="32"/>
    <w:qFormat/>
    <w:rsid w:val="00166BBE"/>
    <w:rPr>
      <w:b/>
      <w:bCs/>
      <w:smallCaps/>
      <w:color w:val="365F91" w:themeColor="accent1" w:themeShade="BF"/>
      <w:spacing w:val="5"/>
    </w:rPr>
  </w:style>
  <w:style w:type="paragraph" w:customStyle="1" w:styleId="DHHSbody">
    <w:name w:val="DHHS body"/>
    <w:link w:val="DHHSbodyChar"/>
    <w:qFormat/>
    <w:rsid w:val="00166BBE"/>
    <w:pPr>
      <w:spacing w:after="120" w:line="270" w:lineRule="atLeast"/>
    </w:pPr>
    <w:rPr>
      <w:rFonts w:ascii="Arial" w:eastAsia="Times" w:hAnsi="Arial"/>
      <w:lang w:eastAsia="en-US"/>
    </w:rPr>
  </w:style>
  <w:style w:type="paragraph" w:customStyle="1" w:styleId="DHHStabletext">
    <w:name w:val="DHHS table text"/>
    <w:uiPriority w:val="3"/>
    <w:qFormat/>
    <w:rsid w:val="00166BBE"/>
    <w:pPr>
      <w:spacing w:before="80" w:after="60"/>
    </w:pPr>
    <w:rPr>
      <w:rFonts w:ascii="Arial" w:hAnsi="Arial"/>
      <w:sz w:val="16"/>
      <w:lang w:eastAsia="en-US"/>
    </w:rPr>
  </w:style>
  <w:style w:type="character" w:customStyle="1" w:styleId="DHHSbodyChar">
    <w:name w:val="DHHS body Char"/>
    <w:link w:val="DHHSbody"/>
    <w:rsid w:val="00166BBE"/>
    <w:rPr>
      <w:rFonts w:ascii="Arial" w:eastAsia="Times" w:hAnsi="Arial"/>
      <w:lang w:eastAsia="en-US"/>
    </w:rPr>
  </w:style>
  <w:style w:type="table" w:styleId="TableGridLight">
    <w:name w:val="Grid Table Light"/>
    <w:basedOn w:val="TableNormal"/>
    <w:uiPriority w:val="40"/>
    <w:rsid w:val="00166BB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166BBE"/>
  </w:style>
  <w:style w:type="character" w:customStyle="1" w:styleId="eop">
    <w:name w:val="eop"/>
    <w:basedOn w:val="DefaultParagraphFont"/>
    <w:rsid w:val="00166BBE"/>
  </w:style>
  <w:style w:type="table" w:styleId="GridTable4-Accent1">
    <w:name w:val="Grid Table 4 Accent 1"/>
    <w:basedOn w:val="TableNormal"/>
    <w:uiPriority w:val="49"/>
    <w:rsid w:val="00166BBE"/>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6">
    <w:name w:val="Grid Table 4 Accent 6"/>
    <w:basedOn w:val="TableNormal"/>
    <w:uiPriority w:val="49"/>
    <w:rsid w:val="00166BBE"/>
    <w:rPr>
      <w:rFonts w:asciiTheme="minorHAnsi" w:eastAsiaTheme="minorHAnsi"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0596103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07945480">
      <w:bodyDiv w:val="1"/>
      <w:marLeft w:val="0"/>
      <w:marRight w:val="0"/>
      <w:marTop w:val="0"/>
      <w:marBottom w:val="0"/>
      <w:divBdr>
        <w:top w:val="none" w:sz="0" w:space="0" w:color="auto"/>
        <w:left w:val="none" w:sz="0" w:space="0" w:color="auto"/>
        <w:bottom w:val="none" w:sz="0" w:space="0" w:color="auto"/>
        <w:right w:val="none" w:sz="0" w:space="0" w:color="auto"/>
      </w:divBdr>
    </w:div>
    <w:div w:id="116216144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401620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losingthegap.gov.au/national-agreement/targets" TargetMode="External"/><Relationship Id="rId26" Type="http://schemas.openxmlformats.org/officeDocument/2006/relationships/hyperlink" Target="https://www.epa.vic.gov.au/" TargetMode="External"/><Relationship Id="rId39" Type="http://schemas.openxmlformats.org/officeDocument/2006/relationships/hyperlink" Target="http://www.abs.gov.au/statistics/people/people-and-communities/general-social-survey-summary-results-australia/latest-release" TargetMode="External"/><Relationship Id="rId21" Type="http://schemas.openxmlformats.org/officeDocument/2006/relationships/header" Target="header1.xml"/><Relationship Id="rId34" Type="http://schemas.openxmlformats.org/officeDocument/2006/relationships/hyperlink" Target="http://www.abs.gov.au/census" TargetMode="External"/><Relationship Id="rId42" Type="http://schemas.openxmlformats.org/officeDocument/2006/relationships/hyperlink" Target="https://discover.data.vic.gov.au/dataset/family-violence-database-victoria-police-data-tables" TargetMode="External"/><Relationship Id="rId47" Type="http://schemas.openxmlformats.org/officeDocument/2006/relationships/hyperlink" Target="http://www.aihw.gov.au/about-our-data/our-data-collections/national-drug-strategy-household-survey" TargetMode="External"/><Relationship Id="rId50" Type="http://schemas.openxmlformats.org/officeDocument/2006/relationships/hyperlink" Target="http://www.abs.gov.au/statistics/health/health-conditions-and-risks/food-and-nutrients/latest-release" TargetMode="External"/><Relationship Id="rId55" Type="http://schemas.openxmlformats.org/officeDocument/2006/relationships/hyperlink" Target="https://www.cancervic.org.au/research/vcr/fact-sheets-and-annual-report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firstpeoplesrelations.vic.gov.au/aboriginal-affairs-report" TargetMode="External"/><Relationship Id="rId29" Type="http://schemas.openxmlformats.org/officeDocument/2006/relationships/hyperlink" Target="https://adri.naturalhazards.com.au/" TargetMode="External"/><Relationship Id="rId41" Type="http://schemas.openxmlformats.org/officeDocument/2006/relationships/hyperlink" Target="http://www.abs.gov.au/statistics/labour/employment-and-unemployment/labour-force-australia/latest-release" TargetMode="External"/><Relationship Id="rId54" Type="http://schemas.openxmlformats.org/officeDocument/2006/relationships/hyperlink" Target="http://www.health.vic.gov.au/data-reporting/victorian-admitted-episodes-datase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5.xml"/><Relationship Id="rId32" Type="http://schemas.openxmlformats.org/officeDocument/2006/relationships/hyperlink" Target="http://www.servicesaustralia.gov.au/australian-immunisation-register" TargetMode="External"/><Relationship Id="rId37" Type="http://schemas.openxmlformats.org/officeDocument/2006/relationships/hyperlink" Target="http://www.dhsv.org.au/" TargetMode="External"/><Relationship Id="rId40" Type="http://schemas.openxmlformats.org/officeDocument/2006/relationships/hyperlink" Target="https://melbourneinstitute.unimelb.edu.au/hilda" TargetMode="External"/><Relationship Id="rId45" Type="http://schemas.openxmlformats.org/officeDocument/2006/relationships/hyperlink" Target="https://www.nap.edu.au/naplan" TargetMode="External"/><Relationship Id="rId53" Type="http://schemas.openxmlformats.org/officeDocument/2006/relationships/hyperlink" Target="https://www.ambulance.vic.gov.au/" TargetMode="External"/><Relationship Id="rId58" Type="http://schemas.openxmlformats.org/officeDocument/2006/relationships/hyperlink" Target="http://www.monash.edu/muarc/research/research-areas/home-and-community/visu"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4.xml"/><Relationship Id="rId28" Type="http://schemas.openxmlformats.org/officeDocument/2006/relationships/hyperlink" Target="https://www.digitalinclusionindex.org.au/" TargetMode="External"/><Relationship Id="rId36" Type="http://schemas.openxmlformats.org/officeDocument/2006/relationships/hyperlink" Target="http://www.abs.gov.au/statistics/people/crime-and-justice/crime-victimisation" TargetMode="External"/><Relationship Id="rId49" Type="http://schemas.openxmlformats.org/officeDocument/2006/relationships/hyperlink" Target="https://www.abs.gov.au/statistics/health/health-conditions-and-risks/national-health-survey/2022" TargetMode="External"/><Relationship Id="rId57" Type="http://schemas.openxmlformats.org/officeDocument/2006/relationships/hyperlink" Target="http://www.health.vic.gov.au/data-reporting/victorian-emergency-minimum-dataset-vemd" TargetMode="Externa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firstpeoplesrelations.vic.gov.au/victorian-aboriginal-affairs-framework-data-dashboard" TargetMode="External"/><Relationship Id="rId31" Type="http://schemas.openxmlformats.org/officeDocument/2006/relationships/hyperlink" Target="http://www.energy.gov.au/government-priorities/energy-data/australian-energy-statistics" TargetMode="External"/><Relationship Id="rId44" Type="http://schemas.openxmlformats.org/officeDocument/2006/relationships/hyperlink" Target="http://www.abs.gov.au/statistics/people/aboriginal-and-torres-strait-islander-peoples/national-aboriginal-and-torres-strait-islander-health-survey/2022-23" TargetMode="External"/><Relationship Id="rId52" Type="http://schemas.openxmlformats.org/officeDocument/2006/relationships/hyperlink" Target="http://www.vic.gov.au/road-crash-statistics" TargetMode="External"/><Relationship Id="rId60" Type="http://schemas.openxmlformats.org/officeDocument/2006/relationships/hyperlink" Target="https://vahi.vic.gov.au/reports/population-healt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hyperlink" Target="https://accessproject.org.au/" TargetMode="External"/><Relationship Id="rId30" Type="http://schemas.openxmlformats.org/officeDocument/2006/relationships/hyperlink" Target="https://www.education.gov.au/early-childhood/about/data-and-reports/australian-early-development-census" TargetMode="External"/><Relationship Id="rId35" Type="http://schemas.openxmlformats.org/officeDocument/2006/relationships/hyperlink" Target="https://providers.dffh.vic.gov.au/client-relationship-management" TargetMode="External"/><Relationship Id="rId43" Type="http://schemas.openxmlformats.org/officeDocument/2006/relationships/hyperlink" Target="http://www.health.vic.gov.au/maternal-child-health/maternal-child-and-health-reporting-and-data" TargetMode="External"/><Relationship Id="rId48" Type="http://schemas.openxmlformats.org/officeDocument/2006/relationships/hyperlink" Target="http://www.dcceew.gov.au/climate-change/publications/national-greenhouse-accounts-2020/state-and-territory-greenhouse-gas-inventories-emissions-metrics" TargetMode="External"/><Relationship Id="rId56" Type="http://schemas.openxmlformats.org/officeDocument/2006/relationships/hyperlink" Target="http://www.vic.gov.au/victorian-child-health-and-wellbeing-survey" TargetMode="External"/><Relationship Id="rId8" Type="http://schemas.openxmlformats.org/officeDocument/2006/relationships/image" Target="media/image1.jpg"/><Relationship Id="rId51" Type="http://schemas.openxmlformats.org/officeDocument/2006/relationships/hyperlink" Target="https://www.health.vic.gov.au/infectious-diseases/infectious-diseases-surveillance-in-victoria" TargetMode="External"/><Relationship Id="rId3" Type="http://schemas.openxmlformats.org/officeDocument/2006/relationships/styles" Target="styles.xml"/><Relationship Id="rId12" Type="http://schemas.openxmlformats.org/officeDocument/2006/relationships/hyperlink" Target="mailto:prevention@health.vic.gov.au" TargetMode="External"/><Relationship Id="rId17" Type="http://schemas.openxmlformats.org/officeDocument/2006/relationships/image" Target="media/image6.png"/><Relationship Id="rId25" Type="http://schemas.openxmlformats.org/officeDocument/2006/relationships/hyperlink" Target="https://classic.austlii.edu.au/au/legis/vic/consol_act/phawa2008222/s3.html" TargetMode="External"/><Relationship Id="rId33" Type="http://schemas.openxmlformats.org/officeDocument/2006/relationships/hyperlink" Target="http://www.health.gov.au/resources/collections/australian-secondary-school-students-alcohol-and-drug-survey" TargetMode="External"/><Relationship Id="rId38" Type="http://schemas.openxmlformats.org/officeDocument/2006/relationships/hyperlink" Target="http://www.abs.gov.au/statistics/people/education/education-and-work-australia" TargetMode="External"/><Relationship Id="rId46" Type="http://schemas.openxmlformats.org/officeDocument/2006/relationships/hyperlink" Target="http://www.aihw.gov.au/about-our-data/our-data-collections/national-mortality-database/deaths-data" TargetMode="External"/><Relationship Id="rId59" Type="http://schemas.openxmlformats.org/officeDocument/2006/relationships/hyperlink" Target="http://www.health.vic.gov.au/quality-safety-service/victorian-perinatal-data-collect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docs.live.net/031c443d5a1cf449/Documents/1Current%20work/AHWP%20Agreement%202023&#8211;33" TargetMode="External"/><Relationship Id="rId2" Type="http://schemas.openxmlformats.org/officeDocument/2006/relationships/hyperlink" Target="https://yoorrookjusticecommission.org.au/key-documents/" TargetMode="External"/><Relationship Id="rId1" Type="http://schemas.openxmlformats.org/officeDocument/2006/relationships/hyperlink" Target="https://www.naccho.org.au/aboriginal-community-controlled-health/" TargetMode="External"/><Relationship Id="rId6" Type="http://schemas.openxmlformats.org/officeDocument/2006/relationships/hyperlink" Target="https://www.health.vic.gov.au/our-strategic-plan-2023-27/our-outcomes-framework" TargetMode="External"/><Relationship Id="rId5" Type="http://schemas.openxmlformats.org/officeDocument/2006/relationships/hyperlink" Target="https://www.who.int/publications/i/item/9789240038349" TargetMode="External"/><Relationship Id="rId4" Type="http://schemas.openxmlformats.org/officeDocument/2006/relationships/hyperlink" Target="https://www.closingthegap.gov.au/national-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29C12-861D-4923-9DCB-FD507784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12234</Words>
  <Characters>69737</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Victorian public health and wellbeing outcomes framework - accessible version</vt:lpstr>
    </vt:vector>
  </TitlesOfParts>
  <Manager/>
  <Company/>
  <LinksUpToDate>false</LinksUpToDate>
  <CharactersWithSpaces>81808</CharactersWithSpaces>
  <SharedDoc>false</SharedDoc>
  <HyperlinkBase/>
  <HLinks>
    <vt:vector size="444" baseType="variant">
      <vt:variant>
        <vt:i4>196691</vt:i4>
      </vt:variant>
      <vt:variant>
        <vt:i4>333</vt:i4>
      </vt:variant>
      <vt:variant>
        <vt:i4>0</vt:i4>
      </vt:variant>
      <vt:variant>
        <vt:i4>5</vt:i4>
      </vt:variant>
      <vt:variant>
        <vt:lpwstr>https://vahi.vic.gov.au/reports/population-health</vt:lpwstr>
      </vt:variant>
      <vt:variant>
        <vt:lpwstr/>
      </vt:variant>
      <vt:variant>
        <vt:i4>7012470</vt:i4>
      </vt:variant>
      <vt:variant>
        <vt:i4>330</vt:i4>
      </vt:variant>
      <vt:variant>
        <vt:i4>0</vt:i4>
      </vt:variant>
      <vt:variant>
        <vt:i4>5</vt:i4>
      </vt:variant>
      <vt:variant>
        <vt:lpwstr>http://www.health.vic.gov.au/quality-safety-service/victorian-perinatal-data-collection</vt:lpwstr>
      </vt:variant>
      <vt:variant>
        <vt:lpwstr/>
      </vt:variant>
      <vt:variant>
        <vt:i4>8323133</vt:i4>
      </vt:variant>
      <vt:variant>
        <vt:i4>327</vt:i4>
      </vt:variant>
      <vt:variant>
        <vt:i4>0</vt:i4>
      </vt:variant>
      <vt:variant>
        <vt:i4>5</vt:i4>
      </vt:variant>
      <vt:variant>
        <vt:lpwstr>http://www.monash.edu/muarc/research/research-areas/home-and-community/visu</vt:lpwstr>
      </vt:variant>
      <vt:variant>
        <vt:lpwstr/>
      </vt:variant>
      <vt:variant>
        <vt:i4>983047</vt:i4>
      </vt:variant>
      <vt:variant>
        <vt:i4>324</vt:i4>
      </vt:variant>
      <vt:variant>
        <vt:i4>0</vt:i4>
      </vt:variant>
      <vt:variant>
        <vt:i4>5</vt:i4>
      </vt:variant>
      <vt:variant>
        <vt:lpwstr>http://www.health.vic.gov.au/data-reporting/victorian-emergency-minimum-dataset-vemd</vt:lpwstr>
      </vt:variant>
      <vt:variant>
        <vt:lpwstr/>
      </vt:variant>
      <vt:variant>
        <vt:i4>1835023</vt:i4>
      </vt:variant>
      <vt:variant>
        <vt:i4>321</vt:i4>
      </vt:variant>
      <vt:variant>
        <vt:i4>0</vt:i4>
      </vt:variant>
      <vt:variant>
        <vt:i4>5</vt:i4>
      </vt:variant>
      <vt:variant>
        <vt:lpwstr>http://www.vic.gov.au/victorian-child-health-and-wellbeing-survey</vt:lpwstr>
      </vt:variant>
      <vt:variant>
        <vt:lpwstr/>
      </vt:variant>
      <vt:variant>
        <vt:i4>5963787</vt:i4>
      </vt:variant>
      <vt:variant>
        <vt:i4>318</vt:i4>
      </vt:variant>
      <vt:variant>
        <vt:i4>0</vt:i4>
      </vt:variant>
      <vt:variant>
        <vt:i4>5</vt:i4>
      </vt:variant>
      <vt:variant>
        <vt:lpwstr>https://www.cancervic.org.au/research/vcr/fact-sheets-and-annual-reports</vt:lpwstr>
      </vt:variant>
      <vt:variant>
        <vt:lpwstr/>
      </vt:variant>
      <vt:variant>
        <vt:i4>7929919</vt:i4>
      </vt:variant>
      <vt:variant>
        <vt:i4>315</vt:i4>
      </vt:variant>
      <vt:variant>
        <vt:i4>0</vt:i4>
      </vt:variant>
      <vt:variant>
        <vt:i4>5</vt:i4>
      </vt:variant>
      <vt:variant>
        <vt:lpwstr>http://www.health.vic.gov.au/data-reporting/victorian-admitted-episodes-dataset</vt:lpwstr>
      </vt:variant>
      <vt:variant>
        <vt:lpwstr/>
      </vt:variant>
      <vt:variant>
        <vt:i4>983105</vt:i4>
      </vt:variant>
      <vt:variant>
        <vt:i4>312</vt:i4>
      </vt:variant>
      <vt:variant>
        <vt:i4>0</vt:i4>
      </vt:variant>
      <vt:variant>
        <vt:i4>5</vt:i4>
      </vt:variant>
      <vt:variant>
        <vt:lpwstr>https://www.ambulance.vic.gov.au/</vt:lpwstr>
      </vt:variant>
      <vt:variant>
        <vt:lpwstr/>
      </vt:variant>
      <vt:variant>
        <vt:i4>7077931</vt:i4>
      </vt:variant>
      <vt:variant>
        <vt:i4>309</vt:i4>
      </vt:variant>
      <vt:variant>
        <vt:i4>0</vt:i4>
      </vt:variant>
      <vt:variant>
        <vt:i4>5</vt:i4>
      </vt:variant>
      <vt:variant>
        <vt:lpwstr>http://www.vic.gov.au/road-crash-statistics</vt:lpwstr>
      </vt:variant>
      <vt:variant>
        <vt:lpwstr/>
      </vt:variant>
      <vt:variant>
        <vt:i4>2490426</vt:i4>
      </vt:variant>
      <vt:variant>
        <vt:i4>306</vt:i4>
      </vt:variant>
      <vt:variant>
        <vt:i4>0</vt:i4>
      </vt:variant>
      <vt:variant>
        <vt:i4>5</vt:i4>
      </vt:variant>
      <vt:variant>
        <vt:lpwstr>https://www.health.vic.gov.au/infectious-diseases/infectious-diseases-surveillance-in-victoria</vt:lpwstr>
      </vt:variant>
      <vt:variant>
        <vt:lpwstr/>
      </vt:variant>
      <vt:variant>
        <vt:i4>2031634</vt:i4>
      </vt:variant>
      <vt:variant>
        <vt:i4>303</vt:i4>
      </vt:variant>
      <vt:variant>
        <vt:i4>0</vt:i4>
      </vt:variant>
      <vt:variant>
        <vt:i4>5</vt:i4>
      </vt:variant>
      <vt:variant>
        <vt:lpwstr>http://www.abs.gov.au/statistics/health/health-conditions-and-risks/food-and-nutrients/latest-release</vt:lpwstr>
      </vt:variant>
      <vt:variant>
        <vt:lpwstr>about-the-national-nutrition-and-physical-activity-survey</vt:lpwstr>
      </vt:variant>
      <vt:variant>
        <vt:i4>4653143</vt:i4>
      </vt:variant>
      <vt:variant>
        <vt:i4>300</vt:i4>
      </vt:variant>
      <vt:variant>
        <vt:i4>0</vt:i4>
      </vt:variant>
      <vt:variant>
        <vt:i4>5</vt:i4>
      </vt:variant>
      <vt:variant>
        <vt:lpwstr>https://www.abs.gov.au/statistics/health/health-conditions-and-risks/national-health-survey/2022</vt:lpwstr>
      </vt:variant>
      <vt:variant>
        <vt:lpwstr/>
      </vt:variant>
      <vt:variant>
        <vt:i4>6422560</vt:i4>
      </vt:variant>
      <vt:variant>
        <vt:i4>297</vt:i4>
      </vt:variant>
      <vt:variant>
        <vt:i4>0</vt:i4>
      </vt:variant>
      <vt:variant>
        <vt:i4>5</vt:i4>
      </vt:variant>
      <vt:variant>
        <vt:lpwstr>http://www.dcceew.gov.au/climate-change/publications/national-greenhouse-accounts-2020/state-and-territory-greenhouse-gas-inventories-emissions-metrics</vt:lpwstr>
      </vt:variant>
      <vt:variant>
        <vt:lpwstr/>
      </vt:variant>
      <vt:variant>
        <vt:i4>6684723</vt:i4>
      </vt:variant>
      <vt:variant>
        <vt:i4>294</vt:i4>
      </vt:variant>
      <vt:variant>
        <vt:i4>0</vt:i4>
      </vt:variant>
      <vt:variant>
        <vt:i4>5</vt:i4>
      </vt:variant>
      <vt:variant>
        <vt:lpwstr>http://www.aihw.gov.au/about-our-data/our-data-collections/national-drug-strategy-household-survey</vt:lpwstr>
      </vt:variant>
      <vt:variant>
        <vt:lpwstr/>
      </vt:variant>
      <vt:variant>
        <vt:i4>6881315</vt:i4>
      </vt:variant>
      <vt:variant>
        <vt:i4>291</vt:i4>
      </vt:variant>
      <vt:variant>
        <vt:i4>0</vt:i4>
      </vt:variant>
      <vt:variant>
        <vt:i4>5</vt:i4>
      </vt:variant>
      <vt:variant>
        <vt:lpwstr>http://www.aihw.gov.au/about-our-data/our-data-collections/national-mortality-database/deaths-data</vt:lpwstr>
      </vt:variant>
      <vt:variant>
        <vt:lpwstr/>
      </vt:variant>
      <vt:variant>
        <vt:i4>4653069</vt:i4>
      </vt:variant>
      <vt:variant>
        <vt:i4>288</vt:i4>
      </vt:variant>
      <vt:variant>
        <vt:i4>0</vt:i4>
      </vt:variant>
      <vt:variant>
        <vt:i4>5</vt:i4>
      </vt:variant>
      <vt:variant>
        <vt:lpwstr>https://www.nap.edu.au/naplan</vt:lpwstr>
      </vt:variant>
      <vt:variant>
        <vt:lpwstr/>
      </vt:variant>
      <vt:variant>
        <vt:i4>6291562</vt:i4>
      </vt:variant>
      <vt:variant>
        <vt:i4>285</vt:i4>
      </vt:variant>
      <vt:variant>
        <vt:i4>0</vt:i4>
      </vt:variant>
      <vt:variant>
        <vt:i4>5</vt:i4>
      </vt:variant>
      <vt:variant>
        <vt:lpwstr>http://www.abs.gov.au/statistics/people/aboriginal-and-torres-strait-islander-peoples/national-aboriginal-and-torres-strait-islander-health-survey/2022-23</vt:lpwstr>
      </vt:variant>
      <vt:variant>
        <vt:lpwstr/>
      </vt:variant>
      <vt:variant>
        <vt:i4>2293859</vt:i4>
      </vt:variant>
      <vt:variant>
        <vt:i4>282</vt:i4>
      </vt:variant>
      <vt:variant>
        <vt:i4>0</vt:i4>
      </vt:variant>
      <vt:variant>
        <vt:i4>5</vt:i4>
      </vt:variant>
      <vt:variant>
        <vt:lpwstr>http://www.health.vic.gov.au/maternal-child-health/maternal-child-and-health-reporting-and-data</vt:lpwstr>
      </vt:variant>
      <vt:variant>
        <vt:lpwstr/>
      </vt:variant>
      <vt:variant>
        <vt:i4>131161</vt:i4>
      </vt:variant>
      <vt:variant>
        <vt:i4>279</vt:i4>
      </vt:variant>
      <vt:variant>
        <vt:i4>0</vt:i4>
      </vt:variant>
      <vt:variant>
        <vt:i4>5</vt:i4>
      </vt:variant>
      <vt:variant>
        <vt:lpwstr>https://discover.data.vic.gov.au/dataset/family-violence-database-victoria-police-data-tables</vt:lpwstr>
      </vt:variant>
      <vt:variant>
        <vt:lpwstr/>
      </vt:variant>
      <vt:variant>
        <vt:i4>4259929</vt:i4>
      </vt:variant>
      <vt:variant>
        <vt:i4>276</vt:i4>
      </vt:variant>
      <vt:variant>
        <vt:i4>0</vt:i4>
      </vt:variant>
      <vt:variant>
        <vt:i4>5</vt:i4>
      </vt:variant>
      <vt:variant>
        <vt:lpwstr>http://www.abs.gov.au/statistics/labour/employment-and-unemployment/labour-force-australia/latest-release</vt:lpwstr>
      </vt:variant>
      <vt:variant>
        <vt:lpwstr/>
      </vt:variant>
      <vt:variant>
        <vt:i4>2490487</vt:i4>
      </vt:variant>
      <vt:variant>
        <vt:i4>273</vt:i4>
      </vt:variant>
      <vt:variant>
        <vt:i4>0</vt:i4>
      </vt:variant>
      <vt:variant>
        <vt:i4>5</vt:i4>
      </vt:variant>
      <vt:variant>
        <vt:lpwstr>https://melbourneinstitute.unimelb.edu.au/hilda</vt:lpwstr>
      </vt:variant>
      <vt:variant>
        <vt:lpwstr/>
      </vt:variant>
      <vt:variant>
        <vt:i4>6225948</vt:i4>
      </vt:variant>
      <vt:variant>
        <vt:i4>270</vt:i4>
      </vt:variant>
      <vt:variant>
        <vt:i4>0</vt:i4>
      </vt:variant>
      <vt:variant>
        <vt:i4>5</vt:i4>
      </vt:variant>
      <vt:variant>
        <vt:lpwstr>http://www.abs.gov.au/statistics/people/people-and-communities/general-social-survey-summary-results-australia/latest-release</vt:lpwstr>
      </vt:variant>
      <vt:variant>
        <vt:lpwstr/>
      </vt:variant>
      <vt:variant>
        <vt:i4>8060991</vt:i4>
      </vt:variant>
      <vt:variant>
        <vt:i4>267</vt:i4>
      </vt:variant>
      <vt:variant>
        <vt:i4>0</vt:i4>
      </vt:variant>
      <vt:variant>
        <vt:i4>5</vt:i4>
      </vt:variant>
      <vt:variant>
        <vt:lpwstr>http://www.abs.gov.au/statistics/people/education/education-and-work-australia</vt:lpwstr>
      </vt:variant>
      <vt:variant>
        <vt:lpwstr/>
      </vt:variant>
      <vt:variant>
        <vt:i4>3866663</vt:i4>
      </vt:variant>
      <vt:variant>
        <vt:i4>264</vt:i4>
      </vt:variant>
      <vt:variant>
        <vt:i4>0</vt:i4>
      </vt:variant>
      <vt:variant>
        <vt:i4>5</vt:i4>
      </vt:variant>
      <vt:variant>
        <vt:lpwstr>http://www.dhsv.org.au/</vt:lpwstr>
      </vt:variant>
      <vt:variant>
        <vt:lpwstr/>
      </vt:variant>
      <vt:variant>
        <vt:i4>4522006</vt:i4>
      </vt:variant>
      <vt:variant>
        <vt:i4>261</vt:i4>
      </vt:variant>
      <vt:variant>
        <vt:i4>0</vt:i4>
      </vt:variant>
      <vt:variant>
        <vt:i4>5</vt:i4>
      </vt:variant>
      <vt:variant>
        <vt:lpwstr>http://www.abs.gov.au/statistics/people/crime-and-justice/crime-victimisation</vt:lpwstr>
      </vt:variant>
      <vt:variant>
        <vt:lpwstr/>
      </vt:variant>
      <vt:variant>
        <vt:i4>5374026</vt:i4>
      </vt:variant>
      <vt:variant>
        <vt:i4>258</vt:i4>
      </vt:variant>
      <vt:variant>
        <vt:i4>0</vt:i4>
      </vt:variant>
      <vt:variant>
        <vt:i4>5</vt:i4>
      </vt:variant>
      <vt:variant>
        <vt:lpwstr>https://providers.dffh.vic.gov.au/client-relationship-management</vt:lpwstr>
      </vt:variant>
      <vt:variant>
        <vt:lpwstr/>
      </vt:variant>
      <vt:variant>
        <vt:i4>196688</vt:i4>
      </vt:variant>
      <vt:variant>
        <vt:i4>255</vt:i4>
      </vt:variant>
      <vt:variant>
        <vt:i4>0</vt:i4>
      </vt:variant>
      <vt:variant>
        <vt:i4>5</vt:i4>
      </vt:variant>
      <vt:variant>
        <vt:lpwstr>http://www.abs.gov.au/census</vt:lpwstr>
      </vt:variant>
      <vt:variant>
        <vt:lpwstr/>
      </vt:variant>
      <vt:variant>
        <vt:i4>7471229</vt:i4>
      </vt:variant>
      <vt:variant>
        <vt:i4>252</vt:i4>
      </vt:variant>
      <vt:variant>
        <vt:i4>0</vt:i4>
      </vt:variant>
      <vt:variant>
        <vt:i4>5</vt:i4>
      </vt:variant>
      <vt:variant>
        <vt:lpwstr>http://www.health.gov.au/resources/collections/australian-secondary-school-students-alcohol-and-drug-survey</vt:lpwstr>
      </vt:variant>
      <vt:variant>
        <vt:lpwstr/>
      </vt:variant>
      <vt:variant>
        <vt:i4>5636116</vt:i4>
      </vt:variant>
      <vt:variant>
        <vt:i4>249</vt:i4>
      </vt:variant>
      <vt:variant>
        <vt:i4>0</vt:i4>
      </vt:variant>
      <vt:variant>
        <vt:i4>5</vt:i4>
      </vt:variant>
      <vt:variant>
        <vt:lpwstr>http://www.servicesaustralia.gov.au/australian-immunisation-register</vt:lpwstr>
      </vt:variant>
      <vt:variant>
        <vt:lpwstr/>
      </vt:variant>
      <vt:variant>
        <vt:i4>7733287</vt:i4>
      </vt:variant>
      <vt:variant>
        <vt:i4>246</vt:i4>
      </vt:variant>
      <vt:variant>
        <vt:i4>0</vt:i4>
      </vt:variant>
      <vt:variant>
        <vt:i4>5</vt:i4>
      </vt:variant>
      <vt:variant>
        <vt:lpwstr>http://www.energy.gov.au/government-priorities/energy-data/australian-energy-statistics</vt:lpwstr>
      </vt:variant>
      <vt:variant>
        <vt:lpwstr/>
      </vt:variant>
      <vt:variant>
        <vt:i4>8257644</vt:i4>
      </vt:variant>
      <vt:variant>
        <vt:i4>243</vt:i4>
      </vt:variant>
      <vt:variant>
        <vt:i4>0</vt:i4>
      </vt:variant>
      <vt:variant>
        <vt:i4>5</vt:i4>
      </vt:variant>
      <vt:variant>
        <vt:lpwstr>https://www.education.gov.au/early-childhood/about/data-and-reports/australian-early-development-census</vt:lpwstr>
      </vt:variant>
      <vt:variant>
        <vt:lpwstr/>
      </vt:variant>
      <vt:variant>
        <vt:i4>4784213</vt:i4>
      </vt:variant>
      <vt:variant>
        <vt:i4>240</vt:i4>
      </vt:variant>
      <vt:variant>
        <vt:i4>0</vt:i4>
      </vt:variant>
      <vt:variant>
        <vt:i4>5</vt:i4>
      </vt:variant>
      <vt:variant>
        <vt:lpwstr>https://adri.naturalhazards.com.au/</vt:lpwstr>
      </vt:variant>
      <vt:variant>
        <vt:lpwstr>!/</vt:lpwstr>
      </vt:variant>
      <vt:variant>
        <vt:i4>6094937</vt:i4>
      </vt:variant>
      <vt:variant>
        <vt:i4>237</vt:i4>
      </vt:variant>
      <vt:variant>
        <vt:i4>0</vt:i4>
      </vt:variant>
      <vt:variant>
        <vt:i4>5</vt:i4>
      </vt:variant>
      <vt:variant>
        <vt:lpwstr>https://www.digitalinclusionindex.org.au/</vt:lpwstr>
      </vt:variant>
      <vt:variant>
        <vt:lpwstr/>
      </vt:variant>
      <vt:variant>
        <vt:i4>1572950</vt:i4>
      </vt:variant>
      <vt:variant>
        <vt:i4>234</vt:i4>
      </vt:variant>
      <vt:variant>
        <vt:i4>0</vt:i4>
      </vt:variant>
      <vt:variant>
        <vt:i4>5</vt:i4>
      </vt:variant>
      <vt:variant>
        <vt:lpwstr>https://accessproject.org.au/</vt:lpwstr>
      </vt:variant>
      <vt:variant>
        <vt:lpwstr/>
      </vt:variant>
      <vt:variant>
        <vt:i4>6619169</vt:i4>
      </vt:variant>
      <vt:variant>
        <vt:i4>231</vt:i4>
      </vt:variant>
      <vt:variant>
        <vt:i4>0</vt:i4>
      </vt:variant>
      <vt:variant>
        <vt:i4>5</vt:i4>
      </vt:variant>
      <vt:variant>
        <vt:lpwstr>https://www.epa.vic.gov.au/</vt:lpwstr>
      </vt:variant>
      <vt:variant>
        <vt:lpwstr/>
      </vt:variant>
      <vt:variant>
        <vt:i4>4784214</vt:i4>
      </vt:variant>
      <vt:variant>
        <vt:i4>228</vt:i4>
      </vt:variant>
      <vt:variant>
        <vt:i4>0</vt:i4>
      </vt:variant>
      <vt:variant>
        <vt:i4>5</vt:i4>
      </vt:variant>
      <vt:variant>
        <vt:lpwstr/>
      </vt:variant>
      <vt:variant>
        <vt:lpwstr>_Appendix_1</vt:lpwstr>
      </vt:variant>
      <vt:variant>
        <vt:i4>5898291</vt:i4>
      </vt:variant>
      <vt:variant>
        <vt:i4>225</vt:i4>
      </vt:variant>
      <vt:variant>
        <vt:i4>0</vt:i4>
      </vt:variant>
      <vt:variant>
        <vt:i4>5</vt:i4>
      </vt:variant>
      <vt:variant>
        <vt:lpwstr>https://classic.austlii.edu.au/au/legis/vic/consol_act/phawa2008222/s3.html</vt:lpwstr>
      </vt:variant>
      <vt:variant>
        <vt:lpwstr>information</vt:lpwstr>
      </vt:variant>
      <vt:variant>
        <vt:i4>589857</vt:i4>
      </vt:variant>
      <vt:variant>
        <vt:i4>186</vt:i4>
      </vt:variant>
      <vt:variant>
        <vt:i4>0</vt:i4>
      </vt:variant>
      <vt:variant>
        <vt:i4>5</vt:i4>
      </vt:variant>
      <vt:variant>
        <vt:lpwstr/>
      </vt:variant>
      <vt:variant>
        <vt:lpwstr>_Glossary</vt:lpwstr>
      </vt:variant>
      <vt:variant>
        <vt:i4>6815860</vt:i4>
      </vt:variant>
      <vt:variant>
        <vt:i4>174</vt:i4>
      </vt:variant>
      <vt:variant>
        <vt:i4>0</vt:i4>
      </vt:variant>
      <vt:variant>
        <vt:i4>5</vt:i4>
      </vt:variant>
      <vt:variant>
        <vt:lpwstr>https://www.firstpeoplesrelations.vic.gov.au/aboriginal-affairs-report</vt:lpwstr>
      </vt:variant>
      <vt:variant>
        <vt:lpwstr/>
      </vt:variant>
      <vt:variant>
        <vt:i4>2883688</vt:i4>
      </vt:variant>
      <vt:variant>
        <vt:i4>171</vt:i4>
      </vt:variant>
      <vt:variant>
        <vt:i4>0</vt:i4>
      </vt:variant>
      <vt:variant>
        <vt:i4>5</vt:i4>
      </vt:variant>
      <vt:variant>
        <vt:lpwstr>https://www.firstpeoplesrelations.vic.gov.au/victorian-aboriginal-affairs-framework-data-dashboard</vt:lpwstr>
      </vt:variant>
      <vt:variant>
        <vt:lpwstr/>
      </vt:variant>
      <vt:variant>
        <vt:i4>3539052</vt:i4>
      </vt:variant>
      <vt:variant>
        <vt:i4>168</vt:i4>
      </vt:variant>
      <vt:variant>
        <vt:i4>0</vt:i4>
      </vt:variant>
      <vt:variant>
        <vt:i4>5</vt:i4>
      </vt:variant>
      <vt:variant>
        <vt:lpwstr>https://www.closingthegap.gov.au/national-agreement/targets</vt:lpwstr>
      </vt:variant>
      <vt:variant>
        <vt:lpwstr/>
      </vt:variant>
      <vt:variant>
        <vt:i4>3145752</vt:i4>
      </vt:variant>
      <vt:variant>
        <vt:i4>162</vt:i4>
      </vt:variant>
      <vt:variant>
        <vt:i4>0</vt:i4>
      </vt:variant>
      <vt:variant>
        <vt:i4>5</vt:i4>
      </vt:variant>
      <vt:variant>
        <vt:lpwstr/>
      </vt:variant>
      <vt:variant>
        <vt:lpwstr>_Victorian_Government_targets</vt:lpwstr>
      </vt:variant>
      <vt:variant>
        <vt:i4>1376317</vt:i4>
      </vt:variant>
      <vt:variant>
        <vt:i4>152</vt:i4>
      </vt:variant>
      <vt:variant>
        <vt:i4>0</vt:i4>
      </vt:variant>
      <vt:variant>
        <vt:i4>5</vt:i4>
      </vt:variant>
      <vt:variant>
        <vt:lpwstr/>
      </vt:variant>
      <vt:variant>
        <vt:lpwstr>_Toc200464923</vt:lpwstr>
      </vt:variant>
      <vt:variant>
        <vt:i4>1376317</vt:i4>
      </vt:variant>
      <vt:variant>
        <vt:i4>146</vt:i4>
      </vt:variant>
      <vt:variant>
        <vt:i4>0</vt:i4>
      </vt:variant>
      <vt:variant>
        <vt:i4>5</vt:i4>
      </vt:variant>
      <vt:variant>
        <vt:lpwstr/>
      </vt:variant>
      <vt:variant>
        <vt:lpwstr>_Toc200464922</vt:lpwstr>
      </vt:variant>
      <vt:variant>
        <vt:i4>1376317</vt:i4>
      </vt:variant>
      <vt:variant>
        <vt:i4>140</vt:i4>
      </vt:variant>
      <vt:variant>
        <vt:i4>0</vt:i4>
      </vt:variant>
      <vt:variant>
        <vt:i4>5</vt:i4>
      </vt:variant>
      <vt:variant>
        <vt:lpwstr/>
      </vt:variant>
      <vt:variant>
        <vt:lpwstr>_Toc200464921</vt:lpwstr>
      </vt:variant>
      <vt:variant>
        <vt:i4>1376317</vt:i4>
      </vt:variant>
      <vt:variant>
        <vt:i4>134</vt:i4>
      </vt:variant>
      <vt:variant>
        <vt:i4>0</vt:i4>
      </vt:variant>
      <vt:variant>
        <vt:i4>5</vt:i4>
      </vt:variant>
      <vt:variant>
        <vt:lpwstr/>
      </vt:variant>
      <vt:variant>
        <vt:lpwstr>_Toc200464920</vt:lpwstr>
      </vt:variant>
      <vt:variant>
        <vt:i4>1441853</vt:i4>
      </vt:variant>
      <vt:variant>
        <vt:i4>128</vt:i4>
      </vt:variant>
      <vt:variant>
        <vt:i4>0</vt:i4>
      </vt:variant>
      <vt:variant>
        <vt:i4>5</vt:i4>
      </vt:variant>
      <vt:variant>
        <vt:lpwstr/>
      </vt:variant>
      <vt:variant>
        <vt:lpwstr>_Toc200464919</vt:lpwstr>
      </vt:variant>
      <vt:variant>
        <vt:i4>1441853</vt:i4>
      </vt:variant>
      <vt:variant>
        <vt:i4>122</vt:i4>
      </vt:variant>
      <vt:variant>
        <vt:i4>0</vt:i4>
      </vt:variant>
      <vt:variant>
        <vt:i4>5</vt:i4>
      </vt:variant>
      <vt:variant>
        <vt:lpwstr/>
      </vt:variant>
      <vt:variant>
        <vt:lpwstr>_Toc200464918</vt:lpwstr>
      </vt:variant>
      <vt:variant>
        <vt:i4>1441853</vt:i4>
      </vt:variant>
      <vt:variant>
        <vt:i4>116</vt:i4>
      </vt:variant>
      <vt:variant>
        <vt:i4>0</vt:i4>
      </vt:variant>
      <vt:variant>
        <vt:i4>5</vt:i4>
      </vt:variant>
      <vt:variant>
        <vt:lpwstr/>
      </vt:variant>
      <vt:variant>
        <vt:lpwstr>_Toc200464917</vt:lpwstr>
      </vt:variant>
      <vt:variant>
        <vt:i4>1441853</vt:i4>
      </vt:variant>
      <vt:variant>
        <vt:i4>110</vt:i4>
      </vt:variant>
      <vt:variant>
        <vt:i4>0</vt:i4>
      </vt:variant>
      <vt:variant>
        <vt:i4>5</vt:i4>
      </vt:variant>
      <vt:variant>
        <vt:lpwstr/>
      </vt:variant>
      <vt:variant>
        <vt:lpwstr>_Toc200464916</vt:lpwstr>
      </vt:variant>
      <vt:variant>
        <vt:i4>1441853</vt:i4>
      </vt:variant>
      <vt:variant>
        <vt:i4>104</vt:i4>
      </vt:variant>
      <vt:variant>
        <vt:i4>0</vt:i4>
      </vt:variant>
      <vt:variant>
        <vt:i4>5</vt:i4>
      </vt:variant>
      <vt:variant>
        <vt:lpwstr/>
      </vt:variant>
      <vt:variant>
        <vt:lpwstr>_Toc200464915</vt:lpwstr>
      </vt:variant>
      <vt:variant>
        <vt:i4>1441853</vt:i4>
      </vt:variant>
      <vt:variant>
        <vt:i4>98</vt:i4>
      </vt:variant>
      <vt:variant>
        <vt:i4>0</vt:i4>
      </vt:variant>
      <vt:variant>
        <vt:i4>5</vt:i4>
      </vt:variant>
      <vt:variant>
        <vt:lpwstr/>
      </vt:variant>
      <vt:variant>
        <vt:lpwstr>_Toc200464914</vt:lpwstr>
      </vt:variant>
      <vt:variant>
        <vt:i4>1441853</vt:i4>
      </vt:variant>
      <vt:variant>
        <vt:i4>92</vt:i4>
      </vt:variant>
      <vt:variant>
        <vt:i4>0</vt:i4>
      </vt:variant>
      <vt:variant>
        <vt:i4>5</vt:i4>
      </vt:variant>
      <vt:variant>
        <vt:lpwstr/>
      </vt:variant>
      <vt:variant>
        <vt:lpwstr>_Toc200464913</vt:lpwstr>
      </vt:variant>
      <vt:variant>
        <vt:i4>1441853</vt:i4>
      </vt:variant>
      <vt:variant>
        <vt:i4>86</vt:i4>
      </vt:variant>
      <vt:variant>
        <vt:i4>0</vt:i4>
      </vt:variant>
      <vt:variant>
        <vt:i4>5</vt:i4>
      </vt:variant>
      <vt:variant>
        <vt:lpwstr/>
      </vt:variant>
      <vt:variant>
        <vt:lpwstr>_Toc200464912</vt:lpwstr>
      </vt:variant>
      <vt:variant>
        <vt:i4>1441853</vt:i4>
      </vt:variant>
      <vt:variant>
        <vt:i4>80</vt:i4>
      </vt:variant>
      <vt:variant>
        <vt:i4>0</vt:i4>
      </vt:variant>
      <vt:variant>
        <vt:i4>5</vt:i4>
      </vt:variant>
      <vt:variant>
        <vt:lpwstr/>
      </vt:variant>
      <vt:variant>
        <vt:lpwstr>_Toc200464911</vt:lpwstr>
      </vt:variant>
      <vt:variant>
        <vt:i4>1441853</vt:i4>
      </vt:variant>
      <vt:variant>
        <vt:i4>74</vt:i4>
      </vt:variant>
      <vt:variant>
        <vt:i4>0</vt:i4>
      </vt:variant>
      <vt:variant>
        <vt:i4>5</vt:i4>
      </vt:variant>
      <vt:variant>
        <vt:lpwstr/>
      </vt:variant>
      <vt:variant>
        <vt:lpwstr>_Toc200464910</vt:lpwstr>
      </vt:variant>
      <vt:variant>
        <vt:i4>1507389</vt:i4>
      </vt:variant>
      <vt:variant>
        <vt:i4>68</vt:i4>
      </vt:variant>
      <vt:variant>
        <vt:i4>0</vt:i4>
      </vt:variant>
      <vt:variant>
        <vt:i4>5</vt:i4>
      </vt:variant>
      <vt:variant>
        <vt:lpwstr/>
      </vt:variant>
      <vt:variant>
        <vt:lpwstr>_Toc200464909</vt:lpwstr>
      </vt:variant>
      <vt:variant>
        <vt:i4>1507389</vt:i4>
      </vt:variant>
      <vt:variant>
        <vt:i4>62</vt:i4>
      </vt:variant>
      <vt:variant>
        <vt:i4>0</vt:i4>
      </vt:variant>
      <vt:variant>
        <vt:i4>5</vt:i4>
      </vt:variant>
      <vt:variant>
        <vt:lpwstr/>
      </vt:variant>
      <vt:variant>
        <vt:lpwstr>_Toc200464908</vt:lpwstr>
      </vt:variant>
      <vt:variant>
        <vt:i4>1507389</vt:i4>
      </vt:variant>
      <vt:variant>
        <vt:i4>56</vt:i4>
      </vt:variant>
      <vt:variant>
        <vt:i4>0</vt:i4>
      </vt:variant>
      <vt:variant>
        <vt:i4>5</vt:i4>
      </vt:variant>
      <vt:variant>
        <vt:lpwstr/>
      </vt:variant>
      <vt:variant>
        <vt:lpwstr>_Toc200464907</vt:lpwstr>
      </vt:variant>
      <vt:variant>
        <vt:i4>1507389</vt:i4>
      </vt:variant>
      <vt:variant>
        <vt:i4>50</vt:i4>
      </vt:variant>
      <vt:variant>
        <vt:i4>0</vt:i4>
      </vt:variant>
      <vt:variant>
        <vt:i4>5</vt:i4>
      </vt:variant>
      <vt:variant>
        <vt:lpwstr/>
      </vt:variant>
      <vt:variant>
        <vt:lpwstr>_Toc200464906</vt:lpwstr>
      </vt:variant>
      <vt:variant>
        <vt:i4>1507389</vt:i4>
      </vt:variant>
      <vt:variant>
        <vt:i4>44</vt:i4>
      </vt:variant>
      <vt:variant>
        <vt:i4>0</vt:i4>
      </vt:variant>
      <vt:variant>
        <vt:i4>5</vt:i4>
      </vt:variant>
      <vt:variant>
        <vt:lpwstr/>
      </vt:variant>
      <vt:variant>
        <vt:lpwstr>_Toc200464905</vt:lpwstr>
      </vt:variant>
      <vt:variant>
        <vt:i4>1507389</vt:i4>
      </vt:variant>
      <vt:variant>
        <vt:i4>38</vt:i4>
      </vt:variant>
      <vt:variant>
        <vt:i4>0</vt:i4>
      </vt:variant>
      <vt:variant>
        <vt:i4>5</vt:i4>
      </vt:variant>
      <vt:variant>
        <vt:lpwstr/>
      </vt:variant>
      <vt:variant>
        <vt:lpwstr>_Toc200464904</vt:lpwstr>
      </vt:variant>
      <vt:variant>
        <vt:i4>1507389</vt:i4>
      </vt:variant>
      <vt:variant>
        <vt:i4>32</vt:i4>
      </vt:variant>
      <vt:variant>
        <vt:i4>0</vt:i4>
      </vt:variant>
      <vt:variant>
        <vt:i4>5</vt:i4>
      </vt:variant>
      <vt:variant>
        <vt:lpwstr/>
      </vt:variant>
      <vt:variant>
        <vt:lpwstr>_Toc200464903</vt:lpwstr>
      </vt:variant>
      <vt:variant>
        <vt:i4>1507389</vt:i4>
      </vt:variant>
      <vt:variant>
        <vt:i4>26</vt:i4>
      </vt:variant>
      <vt:variant>
        <vt:i4>0</vt:i4>
      </vt:variant>
      <vt:variant>
        <vt:i4>5</vt:i4>
      </vt:variant>
      <vt:variant>
        <vt:lpwstr/>
      </vt:variant>
      <vt:variant>
        <vt:lpwstr>_Toc200464902</vt:lpwstr>
      </vt:variant>
      <vt:variant>
        <vt:i4>1507389</vt:i4>
      </vt:variant>
      <vt:variant>
        <vt:i4>20</vt:i4>
      </vt:variant>
      <vt:variant>
        <vt:i4>0</vt:i4>
      </vt:variant>
      <vt:variant>
        <vt:i4>5</vt:i4>
      </vt:variant>
      <vt:variant>
        <vt:lpwstr/>
      </vt:variant>
      <vt:variant>
        <vt:lpwstr>_Toc200464901</vt:lpwstr>
      </vt:variant>
      <vt:variant>
        <vt:i4>1507389</vt:i4>
      </vt:variant>
      <vt:variant>
        <vt:i4>14</vt:i4>
      </vt:variant>
      <vt:variant>
        <vt:i4>0</vt:i4>
      </vt:variant>
      <vt:variant>
        <vt:i4>5</vt:i4>
      </vt:variant>
      <vt:variant>
        <vt:lpwstr/>
      </vt:variant>
      <vt:variant>
        <vt:lpwstr>_Toc200464900</vt:lpwstr>
      </vt:variant>
      <vt:variant>
        <vt:i4>1966140</vt:i4>
      </vt:variant>
      <vt:variant>
        <vt:i4>8</vt:i4>
      </vt:variant>
      <vt:variant>
        <vt:i4>0</vt:i4>
      </vt:variant>
      <vt:variant>
        <vt:i4>5</vt:i4>
      </vt:variant>
      <vt:variant>
        <vt:lpwstr/>
      </vt:variant>
      <vt:variant>
        <vt:lpwstr>_Toc200464899</vt:lpwstr>
      </vt:variant>
      <vt:variant>
        <vt:i4>5046386</vt:i4>
      </vt:variant>
      <vt:variant>
        <vt:i4>3</vt:i4>
      </vt:variant>
      <vt:variant>
        <vt:i4>0</vt:i4>
      </vt:variant>
      <vt:variant>
        <vt:i4>5</vt:i4>
      </vt:variant>
      <vt:variant>
        <vt:lpwstr>mailto:prevention@health.vic.gov.au</vt:lpwstr>
      </vt:variant>
      <vt:variant>
        <vt:lpwstr/>
      </vt:variant>
      <vt:variant>
        <vt:i4>2883699</vt:i4>
      </vt:variant>
      <vt:variant>
        <vt:i4>15</vt:i4>
      </vt:variant>
      <vt:variant>
        <vt:i4>0</vt:i4>
      </vt:variant>
      <vt:variant>
        <vt:i4>5</vt:i4>
      </vt:variant>
      <vt:variant>
        <vt:lpwstr>https://www.health.vic.gov.au/our-strategic-plan-2023-27/our-outcomes-framework</vt:lpwstr>
      </vt:variant>
      <vt:variant>
        <vt:lpwstr/>
      </vt:variant>
      <vt:variant>
        <vt:i4>1114178</vt:i4>
      </vt:variant>
      <vt:variant>
        <vt:i4>12</vt:i4>
      </vt:variant>
      <vt:variant>
        <vt:i4>0</vt:i4>
      </vt:variant>
      <vt:variant>
        <vt:i4>5</vt:i4>
      </vt:variant>
      <vt:variant>
        <vt:lpwstr>https://www.who.int/publications/i/item/9789240038349</vt:lpwstr>
      </vt:variant>
      <vt:variant>
        <vt:lpwstr/>
      </vt:variant>
      <vt:variant>
        <vt:i4>7012475</vt:i4>
      </vt:variant>
      <vt:variant>
        <vt:i4>9</vt:i4>
      </vt:variant>
      <vt:variant>
        <vt:i4>0</vt:i4>
      </vt:variant>
      <vt:variant>
        <vt:i4>5</vt:i4>
      </vt:variant>
      <vt:variant>
        <vt:lpwstr>https://www.closingthegap.gov.au/national-agreement</vt:lpwstr>
      </vt:variant>
      <vt:variant>
        <vt:lpwstr/>
      </vt:variant>
      <vt:variant>
        <vt:i4>8265734</vt:i4>
      </vt:variant>
      <vt:variant>
        <vt:i4>6</vt:i4>
      </vt:variant>
      <vt:variant>
        <vt:i4>0</vt:i4>
      </vt:variant>
      <vt:variant>
        <vt:i4>5</vt:i4>
      </vt:variant>
      <vt:variant>
        <vt:lpwstr>https://d.docs.live.net/031c443d5a1cf449/Documents/1Current work/AHWP Agreement 2023–33</vt:lpwstr>
      </vt:variant>
      <vt:variant>
        <vt:lpwstr/>
      </vt:variant>
      <vt:variant>
        <vt:i4>7536685</vt:i4>
      </vt:variant>
      <vt:variant>
        <vt:i4>3</vt:i4>
      </vt:variant>
      <vt:variant>
        <vt:i4>0</vt:i4>
      </vt:variant>
      <vt:variant>
        <vt:i4>5</vt:i4>
      </vt:variant>
      <vt:variant>
        <vt:lpwstr>https://yoorrookjusticecommission.org.au/key-documents/</vt:lpwstr>
      </vt:variant>
      <vt:variant>
        <vt:lpwstr/>
      </vt:variant>
      <vt:variant>
        <vt:i4>4653140</vt:i4>
      </vt:variant>
      <vt:variant>
        <vt:i4>0</vt:i4>
      </vt:variant>
      <vt:variant>
        <vt:i4>0</vt:i4>
      </vt:variant>
      <vt:variant>
        <vt:i4>5</vt:i4>
      </vt:variant>
      <vt:variant>
        <vt:lpwstr>https://www.naccho.org.au/aboriginal-community-controlled-health/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public health and wellbeing outcomes framework - accessible version</dc:title>
  <dc:subject/>
  <dc:creator/>
  <cp:keywords/>
  <dc:description/>
  <cp:lastModifiedBy>Claire East (Health)</cp:lastModifiedBy>
  <cp:revision>2</cp:revision>
  <dcterms:created xsi:type="dcterms:W3CDTF">2025-10-27T00:30:00Z</dcterms:created>
  <dcterms:modified xsi:type="dcterms:W3CDTF">2025-10-27T00:33:00Z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176f947f,3e857dc5,2e135850,6d145dd6,506903e8</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2025-10-27T00:30:26Z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d164dd61-418e-416b-968b-ab80b86a44a8</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