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C35A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427D62A" wp14:editId="474FE0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D0B7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53C3E31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A5CCD49" w14:textId="3CCB9B9D" w:rsidR="003B5733" w:rsidRPr="003B5733" w:rsidRDefault="00315024" w:rsidP="003B5733">
            <w:pPr>
              <w:pStyle w:val="Documenttitle"/>
            </w:pPr>
            <w:r w:rsidRPr="002C6D1C">
              <w:t xml:space="preserve">Check you are using the correct </w:t>
            </w:r>
            <w:r>
              <w:rPr>
                <w:bCs/>
              </w:rPr>
              <w:t xml:space="preserve">Pneumococcal </w:t>
            </w:r>
            <w:r w:rsidRPr="002C6D1C">
              <w:t>vaccines</w:t>
            </w:r>
          </w:p>
        </w:tc>
      </w:tr>
      <w:tr w:rsidR="003B5733" w14:paraId="7489D1A6" w14:textId="77777777" w:rsidTr="00B07FF7">
        <w:tc>
          <w:tcPr>
            <w:tcW w:w="10348" w:type="dxa"/>
          </w:tcPr>
          <w:p w14:paraId="632A9B04" w14:textId="791EC7D0" w:rsidR="003B5733" w:rsidRPr="00A1389F" w:rsidRDefault="00315024" w:rsidP="005F44C0">
            <w:pPr>
              <w:pStyle w:val="Documentsubtitle"/>
            </w:pPr>
            <w:r>
              <w:rPr>
                <w:szCs w:val="28"/>
              </w:rPr>
              <w:t>National Immunisation Program age recommendations for different vaccine brands</w:t>
            </w:r>
          </w:p>
        </w:tc>
      </w:tr>
      <w:tr w:rsidR="003B5733" w14:paraId="45C7446C" w14:textId="77777777" w:rsidTr="00B07FF7">
        <w:tc>
          <w:tcPr>
            <w:tcW w:w="10348" w:type="dxa"/>
          </w:tcPr>
          <w:p w14:paraId="4BC325CB" w14:textId="77777777" w:rsidR="003B5733" w:rsidRDefault="00D40B48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  <w:p w14:paraId="663CCE67" w14:textId="77777777" w:rsidR="00D40B48" w:rsidRPr="001E5058" w:rsidRDefault="00D40B48" w:rsidP="001E5058">
            <w:pPr>
              <w:pStyle w:val="Bannermarking"/>
            </w:pPr>
          </w:p>
        </w:tc>
      </w:tr>
    </w:tbl>
    <w:p w14:paraId="7AA4B955" w14:textId="65D4A1A8" w:rsidR="0079661E" w:rsidRPr="001B7365" w:rsidRDefault="00D40B48" w:rsidP="00533E8E">
      <w:pPr>
        <w:pStyle w:val="Body"/>
        <w:spacing w:after="240"/>
      </w:pPr>
      <w:r>
        <w:t xml:space="preserve">Use this resource in conjunction with the </w:t>
      </w:r>
      <w:hyperlink r:id="rId13">
        <w:r w:rsidRPr="181360FA">
          <w:rPr>
            <w:rStyle w:val="Hyperlink"/>
            <w:rFonts w:cs="Arial"/>
          </w:rPr>
          <w:t xml:space="preserve">Immunisation </w:t>
        </w:r>
        <w:r w:rsidR="00EA04E5" w:rsidRPr="181360FA">
          <w:rPr>
            <w:rStyle w:val="Hyperlink"/>
            <w:rFonts w:cs="Arial"/>
          </w:rPr>
          <w:t>S</w:t>
        </w:r>
        <w:r w:rsidRPr="181360FA">
          <w:rPr>
            <w:rStyle w:val="Hyperlink"/>
            <w:rFonts w:cs="Arial"/>
          </w:rPr>
          <w:t>chedule Victoria</w:t>
        </w:r>
      </w:hyperlink>
      <w:r w:rsidRPr="181360FA">
        <w:rPr>
          <w:rStyle w:val="Hyperlink"/>
          <w:rFonts w:cs="Arial"/>
        </w:rPr>
        <w:t xml:space="preserve"> </w:t>
      </w:r>
      <w:r>
        <w:t xml:space="preserve">&lt;https://www2.health.vic.gov.au/public-health/immunisation/immunisation-schedule-vaccine-eligibility-criteria/immunisation-schedule-victoria&gt; </w:t>
      </w:r>
    </w:p>
    <w:tbl>
      <w:tblPr>
        <w:tblStyle w:val="TableGrid"/>
        <w:tblW w:w="5000" w:type="pct"/>
        <w:tblBorders>
          <w:top w:val="single" w:sz="18" w:space="0" w:color="002060"/>
          <w:left w:val="none" w:sz="0" w:space="0" w:color="auto"/>
          <w:bottom w:val="single" w:sz="18" w:space="0" w:color="002060"/>
          <w:right w:val="none" w:sz="0" w:space="0" w:color="auto"/>
          <w:insideH w:val="single" w:sz="18" w:space="0" w:color="002060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6"/>
        <w:gridCol w:w="5808"/>
      </w:tblGrid>
      <w:tr w:rsidR="00315024" w14:paraId="1028105D" w14:textId="77777777" w:rsidTr="6782F78D">
        <w:trPr>
          <w:trHeight w:val="1417"/>
        </w:trPr>
        <w:tc>
          <w:tcPr>
            <w:tcW w:w="2154" w:type="pct"/>
            <w:tcBorders>
              <w:bottom w:val="nil"/>
            </w:tcBorders>
            <w:tcMar>
              <w:top w:w="113" w:type="dxa"/>
              <w:bottom w:w="113" w:type="dxa"/>
            </w:tcMar>
          </w:tcPr>
          <w:p w14:paraId="0CA78AD0" w14:textId="77777777" w:rsidR="00315024" w:rsidRPr="00E86D85" w:rsidRDefault="00315024" w:rsidP="00F606F4">
            <w:pPr>
              <w:pStyle w:val="Heading2"/>
            </w:pPr>
            <w:r w:rsidRPr="00E86D85">
              <w:t>Prevenar 13®</w:t>
            </w:r>
          </w:p>
          <w:p w14:paraId="24E30D2A" w14:textId="12850AEF" w:rsidR="00315024" w:rsidRPr="00305574" w:rsidRDefault="00315024" w:rsidP="00305574">
            <w:pPr>
              <w:pStyle w:val="Body"/>
            </w:pPr>
            <w:r w:rsidRPr="00305574">
              <w:t>Pneumococcal conjugate (13vPCV)</w:t>
            </w:r>
          </w:p>
        </w:tc>
        <w:tc>
          <w:tcPr>
            <w:tcW w:w="2846" w:type="pct"/>
            <w:tcBorders>
              <w:bottom w:val="nil"/>
            </w:tcBorders>
            <w:tcMar>
              <w:top w:w="113" w:type="dxa"/>
              <w:bottom w:w="113" w:type="dxa"/>
            </w:tcMar>
          </w:tcPr>
          <w:p w14:paraId="357CCF43" w14:textId="66CB594A" w:rsidR="00315024" w:rsidRPr="00305574" w:rsidRDefault="00315024" w:rsidP="00315024">
            <w:pPr>
              <w:pStyle w:val="DHHStabletext"/>
              <w:spacing w:before="0" w:after="0"/>
              <w:jc w:val="center"/>
              <w:rPr>
                <w:sz w:val="28"/>
                <w:szCs w:val="24"/>
              </w:rPr>
            </w:pPr>
            <w:r w:rsidRPr="00305574">
              <w:rPr>
                <w:noProof/>
                <w:sz w:val="28"/>
                <w:szCs w:val="24"/>
              </w:rPr>
              <w:t xml:space="preserve">  </w:t>
            </w:r>
            <w:r w:rsidRPr="00305574">
              <w:rPr>
                <w:noProof/>
                <w:sz w:val="28"/>
                <w:szCs w:val="24"/>
              </w:rPr>
              <w:drawing>
                <wp:inline distT="0" distB="0" distL="0" distR="0" wp14:anchorId="222D6B90" wp14:editId="5E0976D2">
                  <wp:extent cx="1762125" cy="926410"/>
                  <wp:effectExtent l="0" t="0" r="0" b="7620"/>
                  <wp:docPr id="461401813" name="Picture 461401813" descr="Prevenar 13® pack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Prevenar 13® packagi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323" cy="952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B48" w14:paraId="57442D11" w14:textId="77777777" w:rsidTr="6782F78D">
        <w:trPr>
          <w:trHeight w:val="20"/>
        </w:trPr>
        <w:tc>
          <w:tcPr>
            <w:tcW w:w="2154" w:type="pct"/>
            <w:tcBorders>
              <w:top w:val="nil"/>
              <w:bottom w:val="single" w:sz="18" w:space="0" w:color="002060"/>
            </w:tcBorders>
            <w:tcMar>
              <w:top w:w="0" w:type="dxa"/>
              <w:bottom w:w="113" w:type="dxa"/>
            </w:tcMar>
          </w:tcPr>
          <w:p w14:paraId="5A1B22F3" w14:textId="5E189F8A" w:rsidR="00D40B48" w:rsidRPr="008B4980" w:rsidRDefault="00D40B48" w:rsidP="0079661E">
            <w:pPr>
              <w:pStyle w:val="Heading4"/>
            </w:pPr>
            <w:r w:rsidRPr="008B4980">
              <w:t>Age recommendation</w:t>
            </w:r>
          </w:p>
          <w:p w14:paraId="1E475C60" w14:textId="25F5540F" w:rsidR="0095760B" w:rsidRDefault="0095760B" w:rsidP="00305574">
            <w:pPr>
              <w:pStyle w:val="Tablebullet1"/>
            </w:pPr>
            <w:r>
              <w:t>From</w:t>
            </w:r>
            <w:r w:rsidRPr="0095760B">
              <w:t xml:space="preserve"> </w:t>
            </w:r>
            <w:r>
              <w:t>18 years and older - r</w:t>
            </w:r>
            <w:r w:rsidRPr="00B40730">
              <w:t>isk condition</w:t>
            </w:r>
          </w:p>
          <w:p w14:paraId="08989B48" w14:textId="5120DB89" w:rsidR="00315024" w:rsidRPr="00305574" w:rsidRDefault="00315024" w:rsidP="00305574">
            <w:pPr>
              <w:pStyle w:val="Tablebullet1"/>
            </w:pPr>
            <w:r w:rsidRPr="00305574">
              <w:t xml:space="preserve">From 50 years </w:t>
            </w:r>
            <w:r w:rsidR="00F606F4">
              <w:t>-</w:t>
            </w:r>
            <w:r w:rsidRPr="00305574">
              <w:t xml:space="preserve"> Aboriginal and Torres Strait Islander people</w:t>
            </w:r>
          </w:p>
          <w:p w14:paraId="60107CEA" w14:textId="771C8DC7" w:rsidR="0095760B" w:rsidRPr="00D40B48" w:rsidRDefault="00315024" w:rsidP="0095760B">
            <w:pPr>
              <w:pStyle w:val="Tablebullet1"/>
            </w:pPr>
            <w:r w:rsidRPr="00305574">
              <w:t>From 70 years</w:t>
            </w:r>
            <w:r w:rsidR="00E86D85">
              <w:t xml:space="preserve"> - </w:t>
            </w:r>
            <w:r w:rsidR="00590303">
              <w:t>n</w:t>
            </w:r>
            <w:r w:rsidRPr="00305574">
              <w:t>on-Indigenous people</w:t>
            </w:r>
          </w:p>
        </w:tc>
        <w:tc>
          <w:tcPr>
            <w:tcW w:w="2846" w:type="pct"/>
            <w:tcBorders>
              <w:top w:val="nil"/>
              <w:bottom w:val="single" w:sz="18" w:space="0" w:color="002060"/>
            </w:tcBorders>
            <w:tcMar>
              <w:top w:w="0" w:type="dxa"/>
              <w:bottom w:w="113" w:type="dxa"/>
            </w:tcMar>
          </w:tcPr>
          <w:p w14:paraId="780F88B0" w14:textId="06FBC6DF" w:rsidR="00D40B48" w:rsidRPr="008B4980" w:rsidRDefault="00D40B48" w:rsidP="0079661E">
            <w:pPr>
              <w:pStyle w:val="Heading4"/>
            </w:pPr>
            <w:r w:rsidRPr="008B4980">
              <w:t>Notes</w:t>
            </w:r>
          </w:p>
          <w:p w14:paraId="47217F2D" w14:textId="77777777" w:rsidR="00315024" w:rsidRPr="00305574" w:rsidRDefault="00315024" w:rsidP="00305574">
            <w:pPr>
              <w:pStyle w:val="Tablebullet1"/>
            </w:pPr>
            <w:r w:rsidRPr="00305574">
              <w:t>Prefilled syringe</w:t>
            </w:r>
          </w:p>
          <w:p w14:paraId="35F6C72F" w14:textId="5F966BF2" w:rsidR="00D40B48" w:rsidRPr="00D40B48" w:rsidRDefault="00315024" w:rsidP="00305574">
            <w:pPr>
              <w:pStyle w:val="Tablebullet1"/>
            </w:pPr>
            <w:hyperlink r:id="rId15" w:history="1">
              <w:r w:rsidRPr="00E86D85">
                <w:rPr>
                  <w:rStyle w:val="Hyperlink"/>
                </w:rPr>
                <w:t>Pneumococcal clinical decision tree</w:t>
              </w:r>
            </w:hyperlink>
            <w:r w:rsidRPr="00305574">
              <w:t xml:space="preserve"> </w:t>
            </w:r>
            <w:r w:rsidRPr="00305574">
              <w:rPr>
                <w:rStyle w:val="DHHSbodyChar"/>
              </w:rPr>
              <w:t>&lt;https://www.health.gov.au/resources/publications/national-immunisation-program-pneumococcal-vaccination-schedule-from-1-july-2020-clinical-decision-tree-for-vaccination-providers&gt;</w:t>
            </w:r>
          </w:p>
        </w:tc>
      </w:tr>
      <w:tr w:rsidR="00315024" w14:paraId="51A89929" w14:textId="77777777" w:rsidTr="6782F78D">
        <w:trPr>
          <w:trHeight w:val="20"/>
        </w:trPr>
        <w:tc>
          <w:tcPr>
            <w:tcW w:w="2154" w:type="pct"/>
            <w:tcBorders>
              <w:bottom w:val="nil"/>
            </w:tcBorders>
            <w:tcMar>
              <w:top w:w="0" w:type="dxa"/>
              <w:bottom w:w="113" w:type="dxa"/>
            </w:tcMar>
          </w:tcPr>
          <w:p w14:paraId="17F90E7E" w14:textId="244628D1" w:rsidR="00315024" w:rsidRPr="00305574" w:rsidRDefault="00315024" w:rsidP="00F606F4">
            <w:pPr>
              <w:pStyle w:val="Heading2"/>
            </w:pPr>
            <w:r w:rsidRPr="00305574">
              <w:t xml:space="preserve">Prevenar </w:t>
            </w:r>
            <w:r w:rsidR="00305574" w:rsidRPr="00305574">
              <w:t>20</w:t>
            </w:r>
            <w:r w:rsidRPr="00305574">
              <w:rPr>
                <w:vertAlign w:val="superscript"/>
              </w:rPr>
              <w:t>®</w:t>
            </w:r>
          </w:p>
          <w:p w14:paraId="0A2ED27B" w14:textId="48ADAC00" w:rsidR="00315024" w:rsidRPr="008B4980" w:rsidRDefault="00315024" w:rsidP="00305574">
            <w:pPr>
              <w:pStyle w:val="Body"/>
            </w:pPr>
            <w:r w:rsidRPr="00B40730">
              <w:t>Pneumococcal</w:t>
            </w:r>
            <w:r>
              <w:t xml:space="preserve"> conjugate</w:t>
            </w:r>
            <w:r w:rsidRPr="00ED12E7">
              <w:t xml:space="preserve"> </w:t>
            </w:r>
            <w:r>
              <w:t>(13vPCV)</w:t>
            </w:r>
          </w:p>
        </w:tc>
        <w:tc>
          <w:tcPr>
            <w:tcW w:w="2846" w:type="pct"/>
            <w:tcBorders>
              <w:bottom w:val="nil"/>
            </w:tcBorders>
            <w:tcMar>
              <w:top w:w="0" w:type="dxa"/>
              <w:bottom w:w="113" w:type="dxa"/>
            </w:tcMar>
          </w:tcPr>
          <w:p w14:paraId="414D6857" w14:textId="40827335" w:rsidR="00315024" w:rsidRPr="008B4980" w:rsidRDefault="00590303" w:rsidP="00E86D85">
            <w:pPr>
              <w:pStyle w:val="Heading4"/>
              <w:jc w:val="center"/>
            </w:pPr>
            <w:r>
              <w:rPr>
                <w:noProof/>
              </w:rPr>
              <w:drawing>
                <wp:inline distT="0" distB="0" distL="0" distR="0" wp14:anchorId="678A87AD" wp14:editId="76A9751C">
                  <wp:extent cx="2246323" cy="904875"/>
                  <wp:effectExtent l="0" t="0" r="1905" b="0"/>
                  <wp:docPr id="505931318" name="Picture 1" descr="Prevenar 20® pack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31318" name="Picture 1" descr="Prevenar 20® packagi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203" cy="92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024" w14:paraId="36A3335A" w14:textId="77777777" w:rsidTr="6782F78D">
        <w:trPr>
          <w:trHeight w:val="2540"/>
        </w:trPr>
        <w:tc>
          <w:tcPr>
            <w:tcW w:w="2154" w:type="pct"/>
            <w:tcBorders>
              <w:top w:val="nil"/>
              <w:bottom w:val="single" w:sz="18" w:space="0" w:color="002060"/>
            </w:tcBorders>
            <w:tcMar>
              <w:top w:w="0" w:type="dxa"/>
              <w:bottom w:w="113" w:type="dxa"/>
            </w:tcMar>
          </w:tcPr>
          <w:p w14:paraId="204C47CA" w14:textId="77777777" w:rsidR="00315024" w:rsidRPr="008B4980" w:rsidRDefault="00315024" w:rsidP="00315024">
            <w:pPr>
              <w:pStyle w:val="Heading4"/>
            </w:pPr>
            <w:r w:rsidRPr="008B4980">
              <w:t>Age recommendation</w:t>
            </w:r>
          </w:p>
          <w:p w14:paraId="130EF3C9" w14:textId="04059C15" w:rsidR="004749B3" w:rsidRDefault="00315024" w:rsidP="004749B3">
            <w:pPr>
              <w:pStyle w:val="Tablebullet1"/>
            </w:pPr>
            <w:r w:rsidRPr="00B40730">
              <w:t>2 (from 6 weeks), 4 &amp; 12 months</w:t>
            </w:r>
          </w:p>
          <w:p w14:paraId="37D96B6D" w14:textId="77777777" w:rsidR="00352E8F" w:rsidRDefault="004749B3" w:rsidP="004749B3">
            <w:pPr>
              <w:pStyle w:val="Tablebullet1"/>
            </w:pPr>
            <w:r>
              <w:t>6 weeks –</w:t>
            </w:r>
            <w:r w:rsidR="00352E8F">
              <w:t xml:space="preserve"> </w:t>
            </w:r>
            <w:r>
              <w:t>additional dose for</w:t>
            </w:r>
            <w:r w:rsidR="00352E8F">
              <w:t>:</w:t>
            </w:r>
          </w:p>
          <w:p w14:paraId="790CA074" w14:textId="39588389" w:rsidR="004749B3" w:rsidRDefault="004749B3" w:rsidP="00352E8F">
            <w:pPr>
              <w:pStyle w:val="Tablebullet2"/>
            </w:pPr>
            <w:r w:rsidRPr="00305574">
              <w:t>Aboriginal and Torres Strait Islander</w:t>
            </w:r>
            <w:r w:rsidR="00352E8F">
              <w:t xml:space="preserve"> </w:t>
            </w:r>
            <w:r w:rsidR="00F606F4">
              <w:t>children</w:t>
            </w:r>
          </w:p>
          <w:p w14:paraId="61413C12" w14:textId="771A8814" w:rsidR="00352E8F" w:rsidRPr="00B40730" w:rsidRDefault="00352E8F" w:rsidP="00352E8F">
            <w:pPr>
              <w:pStyle w:val="Tablebullet2"/>
            </w:pPr>
            <w:r>
              <w:t>all non-indigenous children with risk conditions</w:t>
            </w:r>
          </w:p>
          <w:p w14:paraId="038916D3" w14:textId="45372F58" w:rsidR="00315024" w:rsidRPr="00B40730" w:rsidRDefault="00352E8F" w:rsidP="00315024">
            <w:pPr>
              <w:pStyle w:val="Tablebullet1"/>
            </w:pPr>
            <w:r>
              <w:t>12 months to &lt;18 years</w:t>
            </w:r>
            <w:r w:rsidR="0D834521">
              <w:t xml:space="preserve"> – newly diagnosed </w:t>
            </w:r>
            <w:r w:rsidR="006D2AA6">
              <w:t>r</w:t>
            </w:r>
            <w:r w:rsidR="00315024">
              <w:t xml:space="preserve">isk condition </w:t>
            </w:r>
          </w:p>
          <w:p w14:paraId="4C08A5A4" w14:textId="43FC00D4" w:rsidR="00315024" w:rsidRPr="008B4980" w:rsidRDefault="00315024" w:rsidP="004749B3">
            <w:pPr>
              <w:pStyle w:val="Tablebullet1"/>
            </w:pPr>
            <w:r w:rsidRPr="00352E8F">
              <w:t>Catch-up from 13 months to &lt;5 years</w:t>
            </w:r>
          </w:p>
        </w:tc>
        <w:tc>
          <w:tcPr>
            <w:tcW w:w="2846" w:type="pct"/>
            <w:tcBorders>
              <w:top w:val="nil"/>
              <w:bottom w:val="single" w:sz="18" w:space="0" w:color="002060"/>
            </w:tcBorders>
            <w:tcMar>
              <w:top w:w="0" w:type="dxa"/>
              <w:bottom w:w="113" w:type="dxa"/>
            </w:tcMar>
          </w:tcPr>
          <w:p w14:paraId="7197429B" w14:textId="77777777" w:rsidR="00315024" w:rsidRPr="008B4980" w:rsidRDefault="00315024" w:rsidP="00315024">
            <w:pPr>
              <w:pStyle w:val="Heading4"/>
            </w:pPr>
            <w:r w:rsidRPr="008B4980">
              <w:t>Notes</w:t>
            </w:r>
          </w:p>
          <w:p w14:paraId="73869C2F" w14:textId="77777777" w:rsidR="00E86D85" w:rsidRPr="00305574" w:rsidRDefault="00E86D85" w:rsidP="00E86D85">
            <w:pPr>
              <w:pStyle w:val="Tablebullet1"/>
            </w:pPr>
            <w:r w:rsidRPr="00305574">
              <w:t>Prefilled syringe</w:t>
            </w:r>
          </w:p>
          <w:p w14:paraId="02C76610" w14:textId="0E22BDCC" w:rsidR="00315024" w:rsidRPr="008B4980" w:rsidRDefault="00E86D85" w:rsidP="00E86D85">
            <w:pPr>
              <w:pStyle w:val="Tablebullet1"/>
            </w:pPr>
            <w:hyperlink r:id="rId17" w:history="1">
              <w:r w:rsidRPr="00E86D85">
                <w:rPr>
                  <w:rStyle w:val="Hyperlink"/>
                </w:rPr>
                <w:t>Pneumococcal clinical decision tree</w:t>
              </w:r>
            </w:hyperlink>
            <w:r w:rsidRPr="00305574">
              <w:t xml:space="preserve"> </w:t>
            </w:r>
            <w:r w:rsidRPr="00305574">
              <w:rPr>
                <w:rStyle w:val="DHHSbodyChar"/>
              </w:rPr>
              <w:t>&lt;https://www.health.gov.au/resources/publications/national-immunisation-program-pneumococcal-vaccination-schedule-from-1-july-2020-clinical-decision-tree-for-vaccination-providers&gt;</w:t>
            </w:r>
          </w:p>
        </w:tc>
      </w:tr>
    </w:tbl>
    <w:p w14:paraId="36AD9110" w14:textId="77777777" w:rsidR="00150BAA" w:rsidRDefault="00150BAA"/>
    <w:tbl>
      <w:tblPr>
        <w:tblStyle w:val="TableGrid"/>
        <w:tblW w:w="5000" w:type="pct"/>
        <w:tblBorders>
          <w:top w:val="single" w:sz="18" w:space="0" w:color="002060"/>
          <w:left w:val="none" w:sz="0" w:space="0" w:color="auto"/>
          <w:bottom w:val="single" w:sz="18" w:space="0" w:color="002060"/>
          <w:right w:val="none" w:sz="0" w:space="0" w:color="auto"/>
          <w:insideH w:val="single" w:sz="18" w:space="0" w:color="002060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6"/>
        <w:gridCol w:w="5808"/>
      </w:tblGrid>
      <w:tr w:rsidR="00315024" w14:paraId="504FF8E5" w14:textId="77777777" w:rsidTr="0095760B">
        <w:trPr>
          <w:trHeight w:val="1680"/>
        </w:trPr>
        <w:tc>
          <w:tcPr>
            <w:tcW w:w="2154" w:type="pct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692BDB6D" w14:textId="77777777" w:rsidR="00315024" w:rsidRDefault="00315024" w:rsidP="0036636D">
            <w:pPr>
              <w:pStyle w:val="Heading2"/>
              <w:rPr>
                <w:vertAlign w:val="superscript"/>
              </w:rPr>
            </w:pPr>
            <w:r w:rsidRPr="00B40730">
              <w:lastRenderedPageBreak/>
              <w:t>Pneumovax23</w:t>
            </w:r>
            <w:r w:rsidRPr="009E1B75">
              <w:rPr>
                <w:vertAlign w:val="superscript"/>
              </w:rPr>
              <w:t>®</w:t>
            </w:r>
          </w:p>
          <w:p w14:paraId="528DD49D" w14:textId="77777777" w:rsidR="00315024" w:rsidRDefault="00315024" w:rsidP="00315024">
            <w:pPr>
              <w:pStyle w:val="DHHSbody"/>
            </w:pPr>
            <w:r>
              <w:t xml:space="preserve">Pneumococcal polysaccharide </w:t>
            </w:r>
            <w:r w:rsidRPr="00B73417">
              <w:t>(23vPPV)</w:t>
            </w:r>
          </w:p>
          <w:p w14:paraId="2CEC5167" w14:textId="303B2CA1" w:rsidR="00315024" w:rsidRPr="00FF7876" w:rsidRDefault="00315024" w:rsidP="00315024">
            <w:pPr>
              <w:pStyle w:val="Body"/>
              <w:spacing w:after="0" w:line="240" w:lineRule="auto"/>
            </w:pPr>
          </w:p>
        </w:tc>
        <w:tc>
          <w:tcPr>
            <w:tcW w:w="2846" w:type="pct"/>
            <w:tcBorders>
              <w:bottom w:val="nil"/>
            </w:tcBorders>
            <w:tcMar>
              <w:top w:w="113" w:type="dxa"/>
              <w:bottom w:w="113" w:type="dxa"/>
            </w:tcMar>
          </w:tcPr>
          <w:p w14:paraId="00FBA0AF" w14:textId="13B23273" w:rsidR="00315024" w:rsidRDefault="00315024" w:rsidP="00315024">
            <w:pPr>
              <w:pStyle w:val="DHHStabletext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462FCF" wp14:editId="0B58E122">
                  <wp:extent cx="2457263" cy="1116938"/>
                  <wp:effectExtent l="0" t="0" r="0" b="1270"/>
                  <wp:docPr id="2070067581" name="Picture 2070067581" descr="Pneumovax23® pack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Pneumovax23® packagi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263" cy="111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D40B48" w14:paraId="5352AC6C" w14:textId="77777777" w:rsidTr="0095760B">
        <w:tc>
          <w:tcPr>
            <w:tcW w:w="2154" w:type="pct"/>
            <w:tcBorders>
              <w:top w:val="nil"/>
            </w:tcBorders>
            <w:tcMar>
              <w:top w:w="113" w:type="dxa"/>
              <w:bottom w:w="113" w:type="dxa"/>
            </w:tcMar>
          </w:tcPr>
          <w:p w14:paraId="66F2ED71" w14:textId="77777777" w:rsidR="00D40B48" w:rsidRPr="008B4980" w:rsidRDefault="00D40B48" w:rsidP="00533E8E">
            <w:pPr>
              <w:pStyle w:val="Heading4"/>
            </w:pPr>
            <w:r w:rsidRPr="008B4980">
              <w:t>Age recommendation</w:t>
            </w:r>
          </w:p>
          <w:p w14:paraId="0B93ED40" w14:textId="77777777" w:rsidR="0095760B" w:rsidRPr="00B40730" w:rsidRDefault="0095760B" w:rsidP="0095760B">
            <w:pPr>
              <w:pStyle w:val="Tablebullet1"/>
            </w:pPr>
            <w:r>
              <w:t>Fr</w:t>
            </w:r>
            <w:r w:rsidRPr="00B40730">
              <w:t>om 50 years – Aboriginal and Torres Strait Islander people</w:t>
            </w:r>
          </w:p>
          <w:p w14:paraId="38222C53" w14:textId="26ECFD06" w:rsidR="00D40B48" w:rsidRPr="00FF7876" w:rsidRDefault="0095760B" w:rsidP="0095760B">
            <w:pPr>
              <w:pStyle w:val="Tablebullet1"/>
            </w:pPr>
            <w:r w:rsidRPr="00B40730">
              <w:t xml:space="preserve">From 4 years and older – </w:t>
            </w:r>
            <w:r w:rsidR="001210A2">
              <w:t>r</w:t>
            </w:r>
            <w:r w:rsidRPr="00B40730">
              <w:t>isk condition</w:t>
            </w:r>
            <w:r w:rsidRPr="00FF7876">
              <w:t xml:space="preserve"> </w:t>
            </w:r>
          </w:p>
        </w:tc>
        <w:tc>
          <w:tcPr>
            <w:tcW w:w="2846" w:type="pct"/>
            <w:tcBorders>
              <w:top w:val="nil"/>
            </w:tcBorders>
            <w:tcMar>
              <w:top w:w="113" w:type="dxa"/>
              <w:bottom w:w="113" w:type="dxa"/>
            </w:tcMar>
          </w:tcPr>
          <w:p w14:paraId="1B49A209" w14:textId="77777777" w:rsidR="00D40B48" w:rsidRPr="008B4980" w:rsidRDefault="00D40B48" w:rsidP="00533E8E">
            <w:pPr>
              <w:pStyle w:val="Heading4"/>
            </w:pPr>
            <w:r w:rsidRPr="008B4980">
              <w:t>Notes</w:t>
            </w:r>
          </w:p>
          <w:p w14:paraId="0DFC510C" w14:textId="77777777" w:rsidR="00315024" w:rsidRPr="00B40730" w:rsidRDefault="00315024" w:rsidP="00315024">
            <w:pPr>
              <w:pStyle w:val="Tablebullet1"/>
            </w:pPr>
            <w:r w:rsidRPr="00B40730">
              <w:t>Vial of liquid</w:t>
            </w:r>
          </w:p>
          <w:p w14:paraId="23BDF35B" w14:textId="77777777" w:rsidR="00315024" w:rsidRPr="00B40730" w:rsidRDefault="00315024" w:rsidP="00315024">
            <w:pPr>
              <w:pStyle w:val="Tablebullet1"/>
            </w:pPr>
            <w:r w:rsidRPr="00B40730">
              <w:t>Maximum of 2 lifetime doses spaced by a minimum 5 years</w:t>
            </w:r>
          </w:p>
          <w:p w14:paraId="120B373C" w14:textId="758B8871" w:rsidR="00D40B48" w:rsidRDefault="00315024" w:rsidP="00315024">
            <w:pPr>
              <w:pStyle w:val="Tablebullet1"/>
              <w:rPr>
                <w:noProof/>
              </w:rPr>
            </w:pPr>
            <w:hyperlink r:id="rId19" w:history="1">
              <w:r w:rsidRPr="00832966">
                <w:rPr>
                  <w:rStyle w:val="Hyperlink"/>
                  <w:rFonts w:cs="Arial"/>
                </w:rPr>
                <w:t>Pneumococcal clinical decision tree</w:t>
              </w:r>
            </w:hyperlink>
            <w:r>
              <w:t xml:space="preserve"> </w:t>
            </w:r>
            <w:r w:rsidRPr="00FF7876">
              <w:rPr>
                <w:rStyle w:val="DHHSbodyChar"/>
              </w:rPr>
              <w:t>&lt;</w:t>
            </w:r>
            <w:r w:rsidRPr="00B40730">
              <w:rPr>
                <w:rStyle w:val="DHHSbodyChar"/>
              </w:rPr>
              <w:t>https://www.health.gov.au/resources/publications/national-immunisation-program-pneumococcal-vaccination-schedule-from-1-july-2020-clinical-decision-tree-for-vaccination-providers</w:t>
            </w:r>
            <w:r w:rsidRPr="00FF7876">
              <w:rPr>
                <w:rStyle w:val="DHHSbodyChar"/>
              </w:rPr>
              <w:t>&gt;</w:t>
            </w:r>
            <w:hyperlink r:id="rId20" w:history="1">
              <w:r w:rsidRPr="00B40730">
                <w:rPr>
                  <w:rStyle w:val="Hyperlink"/>
                  <w:color w:val="auto"/>
                  <w:u w:val="none"/>
                </w:rPr>
                <w:t>Pneumococcal risk conditions</w:t>
              </w:r>
            </w:hyperlink>
            <w:r>
              <w:t>&gt;</w:t>
            </w:r>
          </w:p>
        </w:tc>
      </w:tr>
    </w:tbl>
    <w:p w14:paraId="5DC0EBBE" w14:textId="77777777" w:rsidR="0079661E" w:rsidRDefault="0079661E"/>
    <w:p w14:paraId="1EF37EFD" w14:textId="77777777" w:rsidR="00EA04E5" w:rsidRPr="00EA04E5" w:rsidRDefault="00EA04E5" w:rsidP="008B4980">
      <w:pPr>
        <w:pStyle w:val="Heading4"/>
        <w:rPr>
          <w:rFonts w:eastAsia="Times"/>
        </w:rPr>
      </w:pPr>
      <w:r w:rsidRPr="00EA04E5">
        <w:t>Reference</w:t>
      </w:r>
    </w:p>
    <w:p w14:paraId="1F69DE7E" w14:textId="7E5B63FB" w:rsidR="00EA04E5" w:rsidRPr="00EA04E5" w:rsidRDefault="00EA04E5" w:rsidP="00533E8E">
      <w:pPr>
        <w:pStyle w:val="Body"/>
      </w:pPr>
      <w:r w:rsidRPr="00EA04E5">
        <w:t xml:space="preserve">The Australian Immunisation Handbook </w:t>
      </w:r>
      <w:r>
        <w:t>&lt;</w:t>
      </w:r>
      <w:hyperlink r:id="rId21" w:history="1">
        <w:r w:rsidRPr="009C20A8">
          <w:rPr>
            <w:rStyle w:val="Hyperlink"/>
          </w:rPr>
          <w:t>https://immunisationhandbook.health.gov.au/</w:t>
        </w:r>
      </w:hyperlink>
      <w:r>
        <w:t>&gt;.</w:t>
      </w:r>
    </w:p>
    <w:p w14:paraId="3B8942E4" w14:textId="77777777" w:rsidR="00EA04E5" w:rsidRPr="00EA04E5" w:rsidRDefault="00EA04E5" w:rsidP="00533E8E">
      <w:pPr>
        <w:pStyle w:val="Body"/>
      </w:pPr>
      <w:r w:rsidRPr="00EA04E5">
        <w:t>Material adapted from the Australian Immunisation Handbook, Australian Government Department of Health.</w:t>
      </w:r>
    </w:p>
    <w:p w14:paraId="11B3E0F1" w14:textId="34B5E15E" w:rsidR="00533E8E" w:rsidRDefault="00EA04E5" w:rsidP="00533E8E">
      <w:pPr>
        <w:pStyle w:val="Body"/>
      </w:pPr>
      <w:r w:rsidRPr="00EA04E5">
        <w:t>Images of packaging reproduced with permission.</w:t>
      </w:r>
    </w:p>
    <w:p w14:paraId="78978329" w14:textId="77777777" w:rsidR="00533E8E" w:rsidRPr="00EA04E5" w:rsidRDefault="00533E8E" w:rsidP="00533E8E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F4DF222" w14:textId="77777777" w:rsidTr="00EC40D5">
        <w:tc>
          <w:tcPr>
            <w:tcW w:w="10194" w:type="dxa"/>
          </w:tcPr>
          <w:p w14:paraId="3D6F5F42" w14:textId="1BAF771D" w:rsidR="0055119B" w:rsidRPr="00D40B48" w:rsidRDefault="0055119B" w:rsidP="0055119B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D40B48">
              <w:rPr>
                <w:sz w:val="20"/>
                <w:szCs w:val="20"/>
              </w:rPr>
              <w:t xml:space="preserve">To receive this document in another format, email </w:t>
            </w:r>
            <w:r w:rsidR="00D40B48" w:rsidRPr="00D40B48">
              <w:rPr>
                <w:color w:val="004C97"/>
                <w:sz w:val="20"/>
                <w:szCs w:val="20"/>
              </w:rPr>
              <w:t xml:space="preserve">the Immunisation Program &lt;immunisation@health.vic.gov.au&gt;. </w:t>
            </w:r>
          </w:p>
          <w:p w14:paraId="74A63653" w14:textId="77777777" w:rsidR="0055119B" w:rsidRPr="00D40B48" w:rsidRDefault="0055119B" w:rsidP="00E33237">
            <w:pPr>
              <w:pStyle w:val="Imprint"/>
            </w:pPr>
            <w:r w:rsidRPr="00D40B48">
              <w:t>Authorised and published by the Victorian Government, 1 Treasury Place, Melbourne.</w:t>
            </w:r>
          </w:p>
          <w:p w14:paraId="1B36C5C6" w14:textId="43926D79" w:rsidR="0055119B" w:rsidRDefault="0055119B" w:rsidP="00E33237">
            <w:pPr>
              <w:pStyle w:val="Imprint"/>
            </w:pPr>
            <w:r w:rsidRPr="00D40B48">
              <w:t xml:space="preserve">© State of Victoria, Australia, </w:t>
            </w:r>
            <w:r w:rsidR="001E2A36" w:rsidRPr="00D40B48">
              <w:t>Department of Health</w:t>
            </w:r>
            <w:r w:rsidRPr="00D40B48">
              <w:t xml:space="preserve">, </w:t>
            </w:r>
            <w:r w:rsidR="00D40B48" w:rsidRPr="00D40B48">
              <w:rPr>
                <w:color w:val="004C97"/>
              </w:rPr>
              <w:t>August 2025.</w:t>
            </w:r>
          </w:p>
        </w:tc>
      </w:tr>
      <w:bookmarkEnd w:id="0"/>
    </w:tbl>
    <w:p w14:paraId="0C4EBFFC" w14:textId="77777777" w:rsidR="00162CA9" w:rsidRDefault="00162CA9" w:rsidP="00162CA9">
      <w:pPr>
        <w:pStyle w:val="Body"/>
      </w:pPr>
    </w:p>
    <w:sectPr w:rsidR="00162CA9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4832" w14:textId="77777777" w:rsidR="006E2D26" w:rsidRDefault="006E2D26">
      <w:r>
        <w:separator/>
      </w:r>
    </w:p>
  </w:endnote>
  <w:endnote w:type="continuationSeparator" w:id="0">
    <w:p w14:paraId="10FEBB58" w14:textId="77777777" w:rsidR="006E2D26" w:rsidRDefault="006E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DokChamp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B026" w14:textId="3FA6B615" w:rsidR="004B0705" w:rsidRDefault="004B07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9A40F14" wp14:editId="4C2DF6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924939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9DD3D" w14:textId="5E1927C1" w:rsidR="004B0705" w:rsidRPr="004B0705" w:rsidRDefault="004B0705" w:rsidP="004B0705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4B070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40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2129DD3D" w14:textId="5E1927C1" w:rsidR="004B0705" w:rsidRPr="004B0705" w:rsidRDefault="004B0705" w:rsidP="004B0705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4B0705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4353" w14:textId="6F8619BA" w:rsidR="00E261B3" w:rsidRPr="00F65AA9" w:rsidRDefault="004B070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695ED6F" wp14:editId="444D4B78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017130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040EB" w14:textId="5097697C" w:rsidR="004B0705" w:rsidRPr="004B0705" w:rsidRDefault="004B0705" w:rsidP="004B0705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4B070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5ED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E1040EB" w14:textId="5097697C" w:rsidR="004B0705" w:rsidRPr="004B0705" w:rsidRDefault="004B0705" w:rsidP="004B0705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4B0705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67585236" wp14:editId="4256D0D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5F86" w14:textId="09FCE4B0" w:rsidR="00E261B3" w:rsidRDefault="004B07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5DDEED5" wp14:editId="05ED56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5669480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97446" w14:textId="0B2E94BF" w:rsidR="004B0705" w:rsidRPr="004B0705" w:rsidRDefault="004B0705" w:rsidP="004B0705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4B070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DEE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4397446" w14:textId="0B2E94BF" w:rsidR="004B0705" w:rsidRPr="004B0705" w:rsidRDefault="004B0705" w:rsidP="004B0705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4B0705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4D3B" w14:textId="3022EACE" w:rsidR="00373890" w:rsidRPr="00F65AA9" w:rsidRDefault="004B0705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696BBE0" wp14:editId="5895A2E4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7589693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20C3A" w14:textId="34ABC6D7" w:rsidR="004B0705" w:rsidRPr="004B0705" w:rsidRDefault="004B0705" w:rsidP="004B0705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4B070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6BB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51.7pt;height:29.1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6520C3A" w14:textId="34ABC6D7" w:rsidR="004B0705" w:rsidRPr="004B0705" w:rsidRDefault="004B0705" w:rsidP="004B0705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4B0705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5E5B" w14:textId="77777777" w:rsidR="006E2D26" w:rsidRDefault="006E2D26" w:rsidP="002862F1">
      <w:pPr>
        <w:spacing w:before="120"/>
      </w:pPr>
      <w:r>
        <w:separator/>
      </w:r>
    </w:p>
  </w:footnote>
  <w:footnote w:type="continuationSeparator" w:id="0">
    <w:p w14:paraId="0C99ED43" w14:textId="77777777" w:rsidR="006E2D26" w:rsidRDefault="006E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D0FC" w14:textId="2973E91F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9738409">
    <w:abstractNumId w:val="10"/>
  </w:num>
  <w:num w:numId="2" w16cid:durableId="1506896556">
    <w:abstractNumId w:val="17"/>
  </w:num>
  <w:num w:numId="3" w16cid:durableId="806049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0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0868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3653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057062">
    <w:abstractNumId w:val="21"/>
  </w:num>
  <w:num w:numId="8" w16cid:durableId="525022399">
    <w:abstractNumId w:val="16"/>
  </w:num>
  <w:num w:numId="9" w16cid:durableId="971206155">
    <w:abstractNumId w:val="20"/>
  </w:num>
  <w:num w:numId="10" w16cid:durableId="530076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4700201">
    <w:abstractNumId w:val="22"/>
  </w:num>
  <w:num w:numId="12" w16cid:durableId="5010883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622230">
    <w:abstractNumId w:val="18"/>
  </w:num>
  <w:num w:numId="14" w16cid:durableId="783617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2977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9101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9185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9438263">
    <w:abstractNumId w:val="24"/>
  </w:num>
  <w:num w:numId="19" w16cid:durableId="6528323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180266">
    <w:abstractNumId w:val="14"/>
  </w:num>
  <w:num w:numId="21" w16cid:durableId="1101146351">
    <w:abstractNumId w:val="12"/>
  </w:num>
  <w:num w:numId="22" w16cid:durableId="1908687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1860367">
    <w:abstractNumId w:val="15"/>
  </w:num>
  <w:num w:numId="24" w16cid:durableId="1438794270">
    <w:abstractNumId w:val="25"/>
  </w:num>
  <w:num w:numId="25" w16cid:durableId="361980537">
    <w:abstractNumId w:val="23"/>
  </w:num>
  <w:num w:numId="26" w16cid:durableId="728381562">
    <w:abstractNumId w:val="19"/>
  </w:num>
  <w:num w:numId="27" w16cid:durableId="1377006208">
    <w:abstractNumId w:val="11"/>
  </w:num>
  <w:num w:numId="28" w16cid:durableId="719405448">
    <w:abstractNumId w:val="26"/>
  </w:num>
  <w:num w:numId="29" w16cid:durableId="1975401057">
    <w:abstractNumId w:val="9"/>
  </w:num>
  <w:num w:numId="30" w16cid:durableId="1718508984">
    <w:abstractNumId w:val="7"/>
  </w:num>
  <w:num w:numId="31" w16cid:durableId="2141683606">
    <w:abstractNumId w:val="6"/>
  </w:num>
  <w:num w:numId="32" w16cid:durableId="1584340649">
    <w:abstractNumId w:val="5"/>
  </w:num>
  <w:num w:numId="33" w16cid:durableId="1058865953">
    <w:abstractNumId w:val="4"/>
  </w:num>
  <w:num w:numId="34" w16cid:durableId="614867498">
    <w:abstractNumId w:val="8"/>
  </w:num>
  <w:num w:numId="35" w16cid:durableId="840655586">
    <w:abstractNumId w:val="3"/>
  </w:num>
  <w:num w:numId="36" w16cid:durableId="1990094487">
    <w:abstractNumId w:val="2"/>
  </w:num>
  <w:num w:numId="37" w16cid:durableId="1592661505">
    <w:abstractNumId w:val="1"/>
  </w:num>
  <w:num w:numId="38" w16cid:durableId="1420761153">
    <w:abstractNumId w:val="0"/>
  </w:num>
  <w:num w:numId="39" w16cid:durableId="19002458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4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10A2"/>
    <w:rsid w:val="00122FEA"/>
    <w:rsid w:val="001232BD"/>
    <w:rsid w:val="00124ED5"/>
    <w:rsid w:val="001276FA"/>
    <w:rsid w:val="0014255B"/>
    <w:rsid w:val="001447B3"/>
    <w:rsid w:val="00150BAA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87B9F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65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0B55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7D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74"/>
    <w:rsid w:val="00305CC1"/>
    <w:rsid w:val="00306E5F"/>
    <w:rsid w:val="00307E14"/>
    <w:rsid w:val="00314054"/>
    <w:rsid w:val="0031502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1C1C"/>
    <w:rsid w:val="003459BD"/>
    <w:rsid w:val="00350D38"/>
    <w:rsid w:val="00351B36"/>
    <w:rsid w:val="00352E8F"/>
    <w:rsid w:val="00357B4E"/>
    <w:rsid w:val="0036636D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5465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9B3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705"/>
    <w:rsid w:val="004C5541"/>
    <w:rsid w:val="004C6EEE"/>
    <w:rsid w:val="004C702B"/>
    <w:rsid w:val="004D0033"/>
    <w:rsid w:val="004D016B"/>
    <w:rsid w:val="004D1834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3E8E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0303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75CA"/>
    <w:rsid w:val="005F0775"/>
    <w:rsid w:val="005F0CF5"/>
    <w:rsid w:val="005F21EB"/>
    <w:rsid w:val="005F2C72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AA6"/>
    <w:rsid w:val="006D2FBC"/>
    <w:rsid w:val="006E0541"/>
    <w:rsid w:val="006E138B"/>
    <w:rsid w:val="006E2D26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61E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980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5760B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82B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6BAC"/>
    <w:rsid w:val="00A44882"/>
    <w:rsid w:val="00A45125"/>
    <w:rsid w:val="00A54715"/>
    <w:rsid w:val="00A57A9D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A6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857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61B1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69"/>
    <w:rsid w:val="00CD3476"/>
    <w:rsid w:val="00CD64DF"/>
    <w:rsid w:val="00CE225F"/>
    <w:rsid w:val="00CF2F50"/>
    <w:rsid w:val="00CF6198"/>
    <w:rsid w:val="00D02919"/>
    <w:rsid w:val="00D04C61"/>
    <w:rsid w:val="00D05B8D"/>
    <w:rsid w:val="00D062F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0B48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18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6D85"/>
    <w:rsid w:val="00E8787E"/>
    <w:rsid w:val="00E92AC3"/>
    <w:rsid w:val="00EA04E5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06F4"/>
    <w:rsid w:val="00F61A9F"/>
    <w:rsid w:val="00F61B5F"/>
    <w:rsid w:val="00F64696"/>
    <w:rsid w:val="00F6513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D834521"/>
    <w:rsid w:val="181360FA"/>
    <w:rsid w:val="6782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CD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0B48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D40B4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D40B48"/>
    <w:rPr>
      <w:rFonts w:ascii="Arial" w:eastAsia="Times" w:hAnsi="Arial"/>
      <w:lang w:eastAsia="en-US"/>
    </w:rPr>
  </w:style>
  <w:style w:type="paragraph" w:customStyle="1" w:styleId="AVaccinebrand">
    <w:name w:val="A Vaccine brand"/>
    <w:uiPriority w:val="11"/>
    <w:rsid w:val="00D40B48"/>
    <w:pPr>
      <w:spacing w:before="80" w:after="80"/>
    </w:pPr>
    <w:rPr>
      <w:rFonts w:ascii="Arial" w:hAnsi="Arial"/>
      <w:b/>
      <w:iCs/>
      <w:color w:val="004EA8"/>
      <w:sz w:val="28"/>
      <w:szCs w:val="28"/>
      <w:lang w:eastAsia="en-US"/>
    </w:rPr>
  </w:style>
  <w:style w:type="paragraph" w:customStyle="1" w:styleId="DHHSbullet1">
    <w:name w:val="DHHS bullet 1"/>
    <w:basedOn w:val="DHHSbody"/>
    <w:qFormat/>
    <w:rsid w:val="00D40B48"/>
    <w:pPr>
      <w:spacing w:after="40"/>
      <w:ind w:left="284" w:hanging="284"/>
    </w:pPr>
  </w:style>
  <w:style w:type="paragraph" w:customStyle="1" w:styleId="DHHStabletext">
    <w:name w:val="DHHS table text"/>
    <w:uiPriority w:val="3"/>
    <w:qFormat/>
    <w:rsid w:val="00D40B48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D40B48"/>
    <w:pPr>
      <w:spacing w:after="40"/>
      <w:ind w:left="567" w:hanging="283"/>
    </w:pPr>
  </w:style>
  <w:style w:type="paragraph" w:customStyle="1" w:styleId="AgerecommendationandNotessubheadings">
    <w:name w:val="Age recommendation and Notes subheadings"/>
    <w:uiPriority w:val="11"/>
    <w:rsid w:val="00D40B48"/>
    <w:rPr>
      <w:rFonts w:ascii="Arial" w:eastAsia="Times" w:hAnsi="Arial"/>
      <w:b/>
      <w:bCs/>
      <w:color w:val="004EA8"/>
      <w:sz w:val="21"/>
      <w:lang w:eastAsia="en-US"/>
    </w:rPr>
  </w:style>
  <w:style w:type="paragraph" w:customStyle="1" w:styleId="DHHStablebullet2">
    <w:name w:val="DHHS table bullet 2"/>
    <w:basedOn w:val="DHHStabletext"/>
    <w:uiPriority w:val="11"/>
    <w:rsid w:val="00315024"/>
    <w:pPr>
      <w:tabs>
        <w:tab w:val="num" w:pos="227"/>
      </w:tabs>
      <w:ind w:left="454" w:hanging="227"/>
    </w:pPr>
  </w:style>
  <w:style w:type="paragraph" w:customStyle="1" w:styleId="DHHStablebullet1">
    <w:name w:val="DHHS table bullet 1"/>
    <w:basedOn w:val="DHHStabletext"/>
    <w:uiPriority w:val="3"/>
    <w:qFormat/>
    <w:rsid w:val="00315024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2.health.vic.gov.au/public-health/immunisation/immunisation-schedule-vaccine-eligibility-criteria/immunisation-schedule-victoria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immunisationhandbook.health.gov.a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health.gov.au/resources/publications/national-immunisation-program-pneumococcal-vaccination-schedule-from-1-july-2020-clinical-decision-tree-for-vaccination-provider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dhhsvicgovau.sharepoint.com/sites/RHPEMImmunisationUnit-DHHS-GRP/Shared%20Documents/COVID-19%20Working%20from%20home/Nurse%20tasks/&#8226;%09https:/immunisationhandbook.health.gov.au/resources/handbook-tables/list-risk-conditions-for-pneumococcal-disea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resources/publications/national-immunisation-program-pneumococcal-vaccination-schedule-from-1-july-2020-clinical-decision-tree-for-vaccination-provider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health.gov.au/resources/publications/national-immunisation-program-pneumococcal-vaccination-schedule-from-1-july-2020-clinical-decision-tree-for-vaccination-provider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you are using the correct Pneumococcal vaccines</dc:title>
  <dc:subject/>
  <dc:creator/>
  <cp:keywords/>
  <dc:description/>
  <cp:lastModifiedBy/>
  <cp:revision>1</cp:revision>
  <dcterms:created xsi:type="dcterms:W3CDTF">2025-09-09T05:38:00Z</dcterms:created>
  <dcterms:modified xsi:type="dcterms:W3CDTF">2025-09-09T05:38:00Z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50dd8514,64e16875,23dd69c7,5dee4763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2025-09-09T05:38:55Z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a15eee82-e31e-4e74-8b25-849141292142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</Properties>
</file>