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3369"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1F0EDFC" wp14:editId="22E6B4BD">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C4A143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940F59A" w14:textId="77777777" w:rsidTr="00E96CA7">
        <w:tc>
          <w:tcPr>
            <w:tcW w:w="0" w:type="auto"/>
            <w:tcMar>
              <w:top w:w="1588" w:type="dxa"/>
              <w:left w:w="0" w:type="dxa"/>
              <w:right w:w="0" w:type="dxa"/>
            </w:tcMar>
          </w:tcPr>
          <w:p w14:paraId="70F67059" w14:textId="5AA06A3E" w:rsidR="003B5733" w:rsidRPr="003B5733" w:rsidRDefault="008D34FA" w:rsidP="003B5733">
            <w:pPr>
              <w:pStyle w:val="Documenttitle"/>
            </w:pPr>
            <w:r w:rsidRPr="008D34FA">
              <w:t>Outcome measurement in clinical mental health services</w:t>
            </w:r>
          </w:p>
        </w:tc>
      </w:tr>
      <w:tr w:rsidR="003B5733" w14:paraId="7EC63804" w14:textId="77777777" w:rsidTr="00623D8D">
        <w:tc>
          <w:tcPr>
            <w:tcW w:w="0" w:type="auto"/>
          </w:tcPr>
          <w:p w14:paraId="44645B23" w14:textId="77777777" w:rsidR="003B5733" w:rsidRDefault="008D34FA" w:rsidP="00623D8D">
            <w:pPr>
              <w:pStyle w:val="Documentsubtitle"/>
              <w:rPr>
                <w:szCs w:val="28"/>
              </w:rPr>
            </w:pPr>
            <w:r>
              <w:rPr>
                <w:szCs w:val="28"/>
              </w:rPr>
              <w:t>Program management circular 2021</w:t>
            </w:r>
          </w:p>
          <w:p w14:paraId="0C1AE4BF" w14:textId="2897AC7E" w:rsidR="00D620AF" w:rsidRPr="00A1389F" w:rsidRDefault="00D620AF" w:rsidP="00623D8D">
            <w:pPr>
              <w:pStyle w:val="Documentsubtitle"/>
            </w:pPr>
            <w:r>
              <w:t>26 March 2021</w:t>
            </w:r>
          </w:p>
        </w:tc>
      </w:tr>
      <w:tr w:rsidR="003B5733" w14:paraId="1EF9F26F" w14:textId="77777777" w:rsidTr="00623D8D">
        <w:tc>
          <w:tcPr>
            <w:tcW w:w="0" w:type="auto"/>
          </w:tcPr>
          <w:p w14:paraId="15600058" w14:textId="77777777" w:rsidR="003B5733" w:rsidRDefault="008D34FA" w:rsidP="00623D8D">
            <w:pPr>
              <w:pStyle w:val="Bannermarking"/>
            </w:pPr>
            <w:fldSimple w:instr=" FILLIN  &quot;Type the protective marking&quot; \d OFFICIAL \o  \* MERGEFORMAT ">
              <w:r>
                <w:t>OFFICIAL</w:t>
              </w:r>
            </w:fldSimple>
          </w:p>
        </w:tc>
      </w:tr>
    </w:tbl>
    <w:p w14:paraId="75D64438" w14:textId="77777777" w:rsidR="00AD784C" w:rsidRPr="00B57329" w:rsidRDefault="00AD784C" w:rsidP="002365B4">
      <w:pPr>
        <w:pStyle w:val="TOCheadingfactsheet"/>
      </w:pPr>
      <w:r w:rsidRPr="00B57329">
        <w:t>Contents</w:t>
      </w:r>
    </w:p>
    <w:p w14:paraId="177ADBF6" w14:textId="18AEF892" w:rsidR="00D35571"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67645544" w:history="1">
        <w:r w:rsidR="00D35571" w:rsidRPr="00F7278B">
          <w:rPr>
            <w:rStyle w:val="Hyperlink"/>
          </w:rPr>
          <w:t>Key message</w:t>
        </w:r>
        <w:r w:rsidR="00D35571">
          <w:rPr>
            <w:webHidden/>
          </w:rPr>
          <w:tab/>
        </w:r>
        <w:r w:rsidR="00D35571">
          <w:rPr>
            <w:webHidden/>
          </w:rPr>
          <w:fldChar w:fldCharType="begin"/>
        </w:r>
        <w:r w:rsidR="00D35571">
          <w:rPr>
            <w:webHidden/>
          </w:rPr>
          <w:instrText xml:space="preserve"> PAGEREF _Toc67645544 \h </w:instrText>
        </w:r>
        <w:r w:rsidR="00D35571">
          <w:rPr>
            <w:webHidden/>
          </w:rPr>
        </w:r>
        <w:r w:rsidR="00D35571">
          <w:rPr>
            <w:webHidden/>
          </w:rPr>
          <w:fldChar w:fldCharType="separate"/>
        </w:r>
        <w:r w:rsidR="00D35571">
          <w:rPr>
            <w:webHidden/>
          </w:rPr>
          <w:t>3</w:t>
        </w:r>
        <w:r w:rsidR="00D35571">
          <w:rPr>
            <w:webHidden/>
          </w:rPr>
          <w:fldChar w:fldCharType="end"/>
        </w:r>
      </w:hyperlink>
    </w:p>
    <w:p w14:paraId="5F553499" w14:textId="7F06EE71" w:rsidR="00D35571" w:rsidRDefault="00D35571">
      <w:pPr>
        <w:pStyle w:val="TOC1"/>
        <w:rPr>
          <w:rFonts w:asciiTheme="minorHAnsi" w:eastAsiaTheme="minorEastAsia" w:hAnsiTheme="minorHAnsi" w:cstheme="minorBidi"/>
          <w:b w:val="0"/>
          <w:sz w:val="24"/>
          <w:szCs w:val="24"/>
          <w:lang w:eastAsia="en-GB"/>
        </w:rPr>
      </w:pPr>
      <w:hyperlink w:anchor="_Toc67645545" w:history="1">
        <w:r w:rsidRPr="00F7278B">
          <w:rPr>
            <w:rStyle w:val="Hyperlink"/>
          </w:rPr>
          <w:t>Purpose</w:t>
        </w:r>
        <w:r>
          <w:rPr>
            <w:webHidden/>
          </w:rPr>
          <w:tab/>
        </w:r>
        <w:r>
          <w:rPr>
            <w:webHidden/>
          </w:rPr>
          <w:fldChar w:fldCharType="begin"/>
        </w:r>
        <w:r>
          <w:rPr>
            <w:webHidden/>
          </w:rPr>
          <w:instrText xml:space="preserve"> PAGEREF _Toc67645545 \h </w:instrText>
        </w:r>
        <w:r>
          <w:rPr>
            <w:webHidden/>
          </w:rPr>
        </w:r>
        <w:r>
          <w:rPr>
            <w:webHidden/>
          </w:rPr>
          <w:fldChar w:fldCharType="separate"/>
        </w:r>
        <w:r>
          <w:rPr>
            <w:webHidden/>
          </w:rPr>
          <w:t>3</w:t>
        </w:r>
        <w:r>
          <w:rPr>
            <w:webHidden/>
          </w:rPr>
          <w:fldChar w:fldCharType="end"/>
        </w:r>
      </w:hyperlink>
    </w:p>
    <w:p w14:paraId="62CFAF51" w14:textId="2B1BF146" w:rsidR="00D35571" w:rsidRDefault="00D35571">
      <w:pPr>
        <w:pStyle w:val="TOC1"/>
        <w:rPr>
          <w:rFonts w:asciiTheme="minorHAnsi" w:eastAsiaTheme="minorEastAsia" w:hAnsiTheme="minorHAnsi" w:cstheme="minorBidi"/>
          <w:b w:val="0"/>
          <w:sz w:val="24"/>
          <w:szCs w:val="24"/>
          <w:lang w:eastAsia="en-GB"/>
        </w:rPr>
      </w:pPr>
      <w:hyperlink w:anchor="_Toc67645546" w:history="1">
        <w:r w:rsidRPr="00F7278B">
          <w:rPr>
            <w:rStyle w:val="Hyperlink"/>
          </w:rPr>
          <w:t>Guiding principles</w:t>
        </w:r>
        <w:r>
          <w:rPr>
            <w:webHidden/>
          </w:rPr>
          <w:tab/>
        </w:r>
        <w:r>
          <w:rPr>
            <w:webHidden/>
          </w:rPr>
          <w:fldChar w:fldCharType="begin"/>
        </w:r>
        <w:r>
          <w:rPr>
            <w:webHidden/>
          </w:rPr>
          <w:instrText xml:space="preserve"> PAGEREF _Toc67645546 \h </w:instrText>
        </w:r>
        <w:r>
          <w:rPr>
            <w:webHidden/>
          </w:rPr>
        </w:r>
        <w:r>
          <w:rPr>
            <w:webHidden/>
          </w:rPr>
          <w:fldChar w:fldCharType="separate"/>
        </w:r>
        <w:r>
          <w:rPr>
            <w:webHidden/>
          </w:rPr>
          <w:t>3</w:t>
        </w:r>
        <w:r>
          <w:rPr>
            <w:webHidden/>
          </w:rPr>
          <w:fldChar w:fldCharType="end"/>
        </w:r>
      </w:hyperlink>
    </w:p>
    <w:p w14:paraId="5485992E" w14:textId="4183A65F" w:rsidR="00D35571" w:rsidRDefault="00D35571">
      <w:pPr>
        <w:pStyle w:val="TOC1"/>
        <w:rPr>
          <w:rFonts w:asciiTheme="minorHAnsi" w:eastAsiaTheme="minorEastAsia" w:hAnsiTheme="minorHAnsi" w:cstheme="minorBidi"/>
          <w:b w:val="0"/>
          <w:sz w:val="24"/>
          <w:szCs w:val="24"/>
          <w:lang w:eastAsia="en-GB"/>
        </w:rPr>
      </w:pPr>
      <w:hyperlink w:anchor="_Toc67645547" w:history="1">
        <w:r w:rsidRPr="00F7278B">
          <w:rPr>
            <w:rStyle w:val="Hyperlink"/>
          </w:rPr>
          <w:t>Protocol application in Victoria</w:t>
        </w:r>
        <w:r>
          <w:rPr>
            <w:webHidden/>
          </w:rPr>
          <w:tab/>
        </w:r>
        <w:r>
          <w:rPr>
            <w:webHidden/>
          </w:rPr>
          <w:fldChar w:fldCharType="begin"/>
        </w:r>
        <w:r>
          <w:rPr>
            <w:webHidden/>
          </w:rPr>
          <w:instrText xml:space="preserve"> PAGEREF _Toc67645547 \h </w:instrText>
        </w:r>
        <w:r>
          <w:rPr>
            <w:webHidden/>
          </w:rPr>
        </w:r>
        <w:r>
          <w:rPr>
            <w:webHidden/>
          </w:rPr>
          <w:fldChar w:fldCharType="separate"/>
        </w:r>
        <w:r>
          <w:rPr>
            <w:webHidden/>
          </w:rPr>
          <w:t>4</w:t>
        </w:r>
        <w:r>
          <w:rPr>
            <w:webHidden/>
          </w:rPr>
          <w:fldChar w:fldCharType="end"/>
        </w:r>
      </w:hyperlink>
    </w:p>
    <w:p w14:paraId="245262FD" w14:textId="735A3991" w:rsidR="00D35571" w:rsidRDefault="00D35571">
      <w:pPr>
        <w:pStyle w:val="TOC2"/>
        <w:rPr>
          <w:rFonts w:asciiTheme="minorHAnsi" w:eastAsiaTheme="minorEastAsia" w:hAnsiTheme="minorHAnsi" w:cstheme="minorBidi"/>
          <w:sz w:val="24"/>
          <w:szCs w:val="24"/>
          <w:lang w:eastAsia="en-GB"/>
        </w:rPr>
      </w:pPr>
      <w:hyperlink w:anchor="_Toc67645548" w:history="1">
        <w:r w:rsidRPr="00F7278B">
          <w:rPr>
            <w:rStyle w:val="Hyperlink"/>
          </w:rPr>
          <w:t>1. Compliance with NOCC protocol</w:t>
        </w:r>
        <w:r>
          <w:rPr>
            <w:webHidden/>
          </w:rPr>
          <w:tab/>
        </w:r>
        <w:r>
          <w:rPr>
            <w:webHidden/>
          </w:rPr>
          <w:fldChar w:fldCharType="begin"/>
        </w:r>
        <w:r>
          <w:rPr>
            <w:webHidden/>
          </w:rPr>
          <w:instrText xml:space="preserve"> PAGEREF _Toc67645548 \h </w:instrText>
        </w:r>
        <w:r>
          <w:rPr>
            <w:webHidden/>
          </w:rPr>
        </w:r>
        <w:r>
          <w:rPr>
            <w:webHidden/>
          </w:rPr>
          <w:fldChar w:fldCharType="separate"/>
        </w:r>
        <w:r>
          <w:rPr>
            <w:webHidden/>
          </w:rPr>
          <w:t>4</w:t>
        </w:r>
        <w:r>
          <w:rPr>
            <w:webHidden/>
          </w:rPr>
          <w:fldChar w:fldCharType="end"/>
        </w:r>
      </w:hyperlink>
    </w:p>
    <w:p w14:paraId="07AC3F42" w14:textId="0A029D7F" w:rsidR="00D35571" w:rsidRDefault="00D35571">
      <w:pPr>
        <w:pStyle w:val="TOC2"/>
        <w:rPr>
          <w:rFonts w:asciiTheme="minorHAnsi" w:eastAsiaTheme="minorEastAsia" w:hAnsiTheme="minorHAnsi" w:cstheme="minorBidi"/>
          <w:sz w:val="24"/>
          <w:szCs w:val="24"/>
          <w:lang w:eastAsia="en-GB"/>
        </w:rPr>
      </w:pPr>
      <w:hyperlink w:anchor="_Toc67645549" w:history="1">
        <w:r w:rsidRPr="00F7278B">
          <w:rPr>
            <w:rStyle w:val="Hyperlink"/>
          </w:rPr>
          <w:t>2. Outcome measurement Reviews – ’91-day review’ and ‘discretionary review’</w:t>
        </w:r>
        <w:r>
          <w:rPr>
            <w:webHidden/>
          </w:rPr>
          <w:tab/>
        </w:r>
        <w:r>
          <w:rPr>
            <w:webHidden/>
          </w:rPr>
          <w:fldChar w:fldCharType="begin"/>
        </w:r>
        <w:r>
          <w:rPr>
            <w:webHidden/>
          </w:rPr>
          <w:instrText xml:space="preserve"> PAGEREF _Toc67645549 \h </w:instrText>
        </w:r>
        <w:r>
          <w:rPr>
            <w:webHidden/>
          </w:rPr>
        </w:r>
        <w:r>
          <w:rPr>
            <w:webHidden/>
          </w:rPr>
          <w:fldChar w:fldCharType="separate"/>
        </w:r>
        <w:r>
          <w:rPr>
            <w:webHidden/>
          </w:rPr>
          <w:t>4</w:t>
        </w:r>
        <w:r>
          <w:rPr>
            <w:webHidden/>
          </w:rPr>
          <w:fldChar w:fldCharType="end"/>
        </w:r>
      </w:hyperlink>
    </w:p>
    <w:p w14:paraId="7603750E" w14:textId="3CC952E1" w:rsidR="00D35571" w:rsidRDefault="00D35571">
      <w:pPr>
        <w:pStyle w:val="TOC2"/>
        <w:rPr>
          <w:rFonts w:asciiTheme="minorHAnsi" w:eastAsiaTheme="minorEastAsia" w:hAnsiTheme="minorHAnsi" w:cstheme="minorBidi"/>
          <w:sz w:val="24"/>
          <w:szCs w:val="24"/>
          <w:lang w:eastAsia="en-GB"/>
        </w:rPr>
      </w:pPr>
      <w:hyperlink w:anchor="_Toc67645550" w:history="1">
        <w:r w:rsidRPr="00F7278B">
          <w:rPr>
            <w:rStyle w:val="Hyperlink"/>
          </w:rPr>
          <w:t>3. Consumer movement between setting</w:t>
        </w:r>
        <w:r>
          <w:rPr>
            <w:webHidden/>
          </w:rPr>
          <w:tab/>
        </w:r>
        <w:r>
          <w:rPr>
            <w:webHidden/>
          </w:rPr>
          <w:fldChar w:fldCharType="begin"/>
        </w:r>
        <w:r>
          <w:rPr>
            <w:webHidden/>
          </w:rPr>
          <w:instrText xml:space="preserve"> PAGEREF _Toc67645550 \h </w:instrText>
        </w:r>
        <w:r>
          <w:rPr>
            <w:webHidden/>
          </w:rPr>
        </w:r>
        <w:r>
          <w:rPr>
            <w:webHidden/>
          </w:rPr>
          <w:fldChar w:fldCharType="separate"/>
        </w:r>
        <w:r>
          <w:rPr>
            <w:webHidden/>
          </w:rPr>
          <w:t>4</w:t>
        </w:r>
        <w:r>
          <w:rPr>
            <w:webHidden/>
          </w:rPr>
          <w:fldChar w:fldCharType="end"/>
        </w:r>
      </w:hyperlink>
    </w:p>
    <w:p w14:paraId="7DAE8F1F" w14:textId="0F1F2CA5" w:rsidR="00D35571" w:rsidRDefault="00D35571">
      <w:pPr>
        <w:pStyle w:val="TOC2"/>
        <w:rPr>
          <w:rFonts w:asciiTheme="minorHAnsi" w:eastAsiaTheme="minorEastAsia" w:hAnsiTheme="minorHAnsi" w:cstheme="minorBidi"/>
          <w:sz w:val="24"/>
          <w:szCs w:val="24"/>
          <w:lang w:eastAsia="en-GB"/>
        </w:rPr>
      </w:pPr>
      <w:hyperlink w:anchor="_Toc67645551" w:history="1">
        <w:r w:rsidRPr="00F7278B">
          <w:rPr>
            <w:rStyle w:val="Hyperlink"/>
            <w:rFonts w:eastAsia="Times"/>
          </w:rPr>
          <w:t>4. Recording Phase of Care (PoC)</w:t>
        </w:r>
        <w:r>
          <w:rPr>
            <w:webHidden/>
          </w:rPr>
          <w:tab/>
        </w:r>
        <w:r>
          <w:rPr>
            <w:webHidden/>
          </w:rPr>
          <w:fldChar w:fldCharType="begin"/>
        </w:r>
        <w:r>
          <w:rPr>
            <w:webHidden/>
          </w:rPr>
          <w:instrText xml:space="preserve"> PAGEREF _Toc67645551 \h </w:instrText>
        </w:r>
        <w:r>
          <w:rPr>
            <w:webHidden/>
          </w:rPr>
        </w:r>
        <w:r>
          <w:rPr>
            <w:webHidden/>
          </w:rPr>
          <w:fldChar w:fldCharType="separate"/>
        </w:r>
        <w:r>
          <w:rPr>
            <w:webHidden/>
          </w:rPr>
          <w:t>6</w:t>
        </w:r>
        <w:r>
          <w:rPr>
            <w:webHidden/>
          </w:rPr>
          <w:fldChar w:fldCharType="end"/>
        </w:r>
      </w:hyperlink>
    </w:p>
    <w:p w14:paraId="2CB58DFA" w14:textId="52ADA125" w:rsidR="00D35571" w:rsidRDefault="00D35571">
      <w:pPr>
        <w:pStyle w:val="TOC2"/>
        <w:rPr>
          <w:rFonts w:asciiTheme="minorHAnsi" w:eastAsiaTheme="minorEastAsia" w:hAnsiTheme="minorHAnsi" w:cstheme="minorBidi"/>
          <w:sz w:val="24"/>
          <w:szCs w:val="24"/>
          <w:lang w:eastAsia="en-GB"/>
        </w:rPr>
      </w:pPr>
      <w:hyperlink w:anchor="_Toc67645552" w:history="1">
        <w:r w:rsidRPr="00F7278B">
          <w:rPr>
            <w:rStyle w:val="Hyperlink"/>
            <w:rFonts w:eastAsia="Times"/>
          </w:rPr>
          <w:t>5. Assessment-only teams</w:t>
        </w:r>
        <w:r>
          <w:rPr>
            <w:webHidden/>
          </w:rPr>
          <w:tab/>
        </w:r>
        <w:r>
          <w:rPr>
            <w:webHidden/>
          </w:rPr>
          <w:fldChar w:fldCharType="begin"/>
        </w:r>
        <w:r>
          <w:rPr>
            <w:webHidden/>
          </w:rPr>
          <w:instrText xml:space="preserve"> PAGEREF _Toc67645552 \h </w:instrText>
        </w:r>
        <w:r>
          <w:rPr>
            <w:webHidden/>
          </w:rPr>
        </w:r>
        <w:r>
          <w:rPr>
            <w:webHidden/>
          </w:rPr>
          <w:fldChar w:fldCharType="separate"/>
        </w:r>
        <w:r>
          <w:rPr>
            <w:webHidden/>
          </w:rPr>
          <w:t>6</w:t>
        </w:r>
        <w:r>
          <w:rPr>
            <w:webHidden/>
          </w:rPr>
          <w:fldChar w:fldCharType="end"/>
        </w:r>
      </w:hyperlink>
    </w:p>
    <w:p w14:paraId="4C147115" w14:textId="3024A640" w:rsidR="00D35571" w:rsidRDefault="00D35571">
      <w:pPr>
        <w:pStyle w:val="TOC2"/>
        <w:rPr>
          <w:rFonts w:asciiTheme="minorHAnsi" w:eastAsiaTheme="minorEastAsia" w:hAnsiTheme="minorHAnsi" w:cstheme="minorBidi"/>
          <w:sz w:val="24"/>
          <w:szCs w:val="24"/>
          <w:lang w:eastAsia="en-GB"/>
        </w:rPr>
      </w:pPr>
      <w:hyperlink w:anchor="_Toc67645553" w:history="1">
        <w:r w:rsidRPr="00F7278B">
          <w:rPr>
            <w:rStyle w:val="Hyperlink"/>
            <w:rFonts w:eastAsia="Times"/>
          </w:rPr>
          <w:t>6. Local business rules</w:t>
        </w:r>
        <w:r>
          <w:rPr>
            <w:webHidden/>
          </w:rPr>
          <w:tab/>
        </w:r>
        <w:r>
          <w:rPr>
            <w:webHidden/>
          </w:rPr>
          <w:fldChar w:fldCharType="begin"/>
        </w:r>
        <w:r>
          <w:rPr>
            <w:webHidden/>
          </w:rPr>
          <w:instrText xml:space="preserve"> PAGEREF _Toc67645553 \h </w:instrText>
        </w:r>
        <w:r>
          <w:rPr>
            <w:webHidden/>
          </w:rPr>
        </w:r>
        <w:r>
          <w:rPr>
            <w:webHidden/>
          </w:rPr>
          <w:fldChar w:fldCharType="separate"/>
        </w:r>
        <w:r>
          <w:rPr>
            <w:webHidden/>
          </w:rPr>
          <w:t>6</w:t>
        </w:r>
        <w:r>
          <w:rPr>
            <w:webHidden/>
          </w:rPr>
          <w:fldChar w:fldCharType="end"/>
        </w:r>
      </w:hyperlink>
    </w:p>
    <w:p w14:paraId="4743147C" w14:textId="3F0991C1" w:rsidR="00D35571" w:rsidRDefault="00D35571">
      <w:pPr>
        <w:pStyle w:val="TOC1"/>
        <w:rPr>
          <w:rFonts w:asciiTheme="minorHAnsi" w:eastAsiaTheme="minorEastAsia" w:hAnsiTheme="minorHAnsi" w:cstheme="minorBidi"/>
          <w:b w:val="0"/>
          <w:sz w:val="24"/>
          <w:szCs w:val="24"/>
          <w:lang w:eastAsia="en-GB"/>
        </w:rPr>
      </w:pPr>
      <w:hyperlink w:anchor="_Toc67645554" w:history="1">
        <w:r w:rsidRPr="00F7278B">
          <w:rPr>
            <w:rStyle w:val="Hyperlink"/>
          </w:rPr>
          <w:t>Service-specific protocol requirements</w:t>
        </w:r>
        <w:r>
          <w:rPr>
            <w:webHidden/>
          </w:rPr>
          <w:tab/>
        </w:r>
        <w:r>
          <w:rPr>
            <w:webHidden/>
          </w:rPr>
          <w:fldChar w:fldCharType="begin"/>
        </w:r>
        <w:r>
          <w:rPr>
            <w:webHidden/>
          </w:rPr>
          <w:instrText xml:space="preserve"> PAGEREF _Toc67645554 \h </w:instrText>
        </w:r>
        <w:r>
          <w:rPr>
            <w:webHidden/>
          </w:rPr>
        </w:r>
        <w:r>
          <w:rPr>
            <w:webHidden/>
          </w:rPr>
          <w:fldChar w:fldCharType="separate"/>
        </w:r>
        <w:r>
          <w:rPr>
            <w:webHidden/>
          </w:rPr>
          <w:t>6</w:t>
        </w:r>
        <w:r>
          <w:rPr>
            <w:webHidden/>
          </w:rPr>
          <w:fldChar w:fldCharType="end"/>
        </w:r>
      </w:hyperlink>
    </w:p>
    <w:p w14:paraId="7375BB6D" w14:textId="76D246B2" w:rsidR="00D35571" w:rsidRDefault="00D35571">
      <w:pPr>
        <w:pStyle w:val="TOC2"/>
        <w:rPr>
          <w:rFonts w:asciiTheme="minorHAnsi" w:eastAsiaTheme="minorEastAsia" w:hAnsiTheme="minorHAnsi" w:cstheme="minorBidi"/>
          <w:sz w:val="24"/>
          <w:szCs w:val="24"/>
          <w:lang w:eastAsia="en-GB"/>
        </w:rPr>
      </w:pPr>
      <w:hyperlink w:anchor="_Toc67645555" w:history="1">
        <w:r w:rsidRPr="00F7278B">
          <w:rPr>
            <w:rStyle w:val="Hyperlink"/>
            <w:rFonts w:eastAsia="Times"/>
          </w:rPr>
          <w:t>1. Crisis Assessment and Treatment Team (CATT)</w:t>
        </w:r>
        <w:r>
          <w:rPr>
            <w:webHidden/>
          </w:rPr>
          <w:tab/>
        </w:r>
        <w:r>
          <w:rPr>
            <w:webHidden/>
          </w:rPr>
          <w:fldChar w:fldCharType="begin"/>
        </w:r>
        <w:r>
          <w:rPr>
            <w:webHidden/>
          </w:rPr>
          <w:instrText xml:space="preserve"> PAGEREF _Toc67645555 \h </w:instrText>
        </w:r>
        <w:r>
          <w:rPr>
            <w:webHidden/>
          </w:rPr>
        </w:r>
        <w:r>
          <w:rPr>
            <w:webHidden/>
          </w:rPr>
          <w:fldChar w:fldCharType="separate"/>
        </w:r>
        <w:r>
          <w:rPr>
            <w:webHidden/>
          </w:rPr>
          <w:t>6</w:t>
        </w:r>
        <w:r>
          <w:rPr>
            <w:webHidden/>
          </w:rPr>
          <w:fldChar w:fldCharType="end"/>
        </w:r>
      </w:hyperlink>
    </w:p>
    <w:p w14:paraId="06A43166" w14:textId="5DDAAD0D" w:rsidR="00D35571" w:rsidRDefault="00D35571">
      <w:pPr>
        <w:pStyle w:val="TOC2"/>
        <w:rPr>
          <w:rFonts w:asciiTheme="minorHAnsi" w:eastAsiaTheme="minorEastAsia" w:hAnsiTheme="minorHAnsi" w:cstheme="minorBidi"/>
          <w:sz w:val="24"/>
          <w:szCs w:val="24"/>
          <w:lang w:eastAsia="en-GB"/>
        </w:rPr>
      </w:pPr>
      <w:hyperlink w:anchor="_Toc67645556" w:history="1">
        <w:r w:rsidRPr="00F7278B">
          <w:rPr>
            <w:rStyle w:val="Hyperlink"/>
            <w:rFonts w:eastAsia="Times"/>
          </w:rPr>
          <w:t>2. Hospital in the Home (HITH)</w:t>
        </w:r>
        <w:r>
          <w:rPr>
            <w:webHidden/>
          </w:rPr>
          <w:tab/>
        </w:r>
        <w:r>
          <w:rPr>
            <w:webHidden/>
          </w:rPr>
          <w:fldChar w:fldCharType="begin"/>
        </w:r>
        <w:r>
          <w:rPr>
            <w:webHidden/>
          </w:rPr>
          <w:instrText xml:space="preserve"> PAGEREF _Toc67645556 \h </w:instrText>
        </w:r>
        <w:r>
          <w:rPr>
            <w:webHidden/>
          </w:rPr>
        </w:r>
        <w:r>
          <w:rPr>
            <w:webHidden/>
          </w:rPr>
          <w:fldChar w:fldCharType="separate"/>
        </w:r>
        <w:r>
          <w:rPr>
            <w:webHidden/>
          </w:rPr>
          <w:t>6</w:t>
        </w:r>
        <w:r>
          <w:rPr>
            <w:webHidden/>
          </w:rPr>
          <w:fldChar w:fldCharType="end"/>
        </w:r>
      </w:hyperlink>
    </w:p>
    <w:p w14:paraId="6407BFA3" w14:textId="3C151CD0" w:rsidR="00D35571" w:rsidRDefault="00D35571">
      <w:pPr>
        <w:pStyle w:val="TOC2"/>
        <w:rPr>
          <w:rFonts w:asciiTheme="minorHAnsi" w:eastAsiaTheme="minorEastAsia" w:hAnsiTheme="minorHAnsi" w:cstheme="minorBidi"/>
          <w:sz w:val="24"/>
          <w:szCs w:val="24"/>
          <w:lang w:eastAsia="en-GB"/>
        </w:rPr>
      </w:pPr>
      <w:hyperlink w:anchor="_Toc67645557" w:history="1">
        <w:r w:rsidRPr="00F7278B">
          <w:rPr>
            <w:rStyle w:val="Hyperlink"/>
            <w:rFonts w:eastAsia="Times"/>
          </w:rPr>
          <w:t>3. Secure Extended Care Units (SECU)</w:t>
        </w:r>
        <w:r>
          <w:rPr>
            <w:webHidden/>
          </w:rPr>
          <w:tab/>
        </w:r>
        <w:r>
          <w:rPr>
            <w:webHidden/>
          </w:rPr>
          <w:fldChar w:fldCharType="begin"/>
        </w:r>
        <w:r>
          <w:rPr>
            <w:webHidden/>
          </w:rPr>
          <w:instrText xml:space="preserve"> PAGEREF _Toc67645557 \h </w:instrText>
        </w:r>
        <w:r>
          <w:rPr>
            <w:webHidden/>
          </w:rPr>
        </w:r>
        <w:r>
          <w:rPr>
            <w:webHidden/>
          </w:rPr>
          <w:fldChar w:fldCharType="separate"/>
        </w:r>
        <w:r>
          <w:rPr>
            <w:webHidden/>
          </w:rPr>
          <w:t>6</w:t>
        </w:r>
        <w:r>
          <w:rPr>
            <w:webHidden/>
          </w:rPr>
          <w:fldChar w:fldCharType="end"/>
        </w:r>
      </w:hyperlink>
    </w:p>
    <w:p w14:paraId="184FC927" w14:textId="3E78FB20" w:rsidR="00D35571" w:rsidRDefault="00D35571">
      <w:pPr>
        <w:pStyle w:val="TOC2"/>
        <w:rPr>
          <w:rFonts w:asciiTheme="minorHAnsi" w:eastAsiaTheme="minorEastAsia" w:hAnsiTheme="minorHAnsi" w:cstheme="minorBidi"/>
          <w:sz w:val="24"/>
          <w:szCs w:val="24"/>
          <w:lang w:eastAsia="en-GB"/>
        </w:rPr>
      </w:pPr>
      <w:hyperlink w:anchor="_Toc67645558" w:history="1">
        <w:r w:rsidRPr="00F7278B">
          <w:rPr>
            <w:rStyle w:val="Hyperlink"/>
            <w:rFonts w:eastAsia="Times"/>
          </w:rPr>
          <w:t>4. HOPE Program</w:t>
        </w:r>
        <w:r>
          <w:rPr>
            <w:webHidden/>
          </w:rPr>
          <w:tab/>
        </w:r>
        <w:r>
          <w:rPr>
            <w:webHidden/>
          </w:rPr>
          <w:fldChar w:fldCharType="begin"/>
        </w:r>
        <w:r>
          <w:rPr>
            <w:webHidden/>
          </w:rPr>
          <w:instrText xml:space="preserve"> PAGEREF _Toc67645558 \h </w:instrText>
        </w:r>
        <w:r>
          <w:rPr>
            <w:webHidden/>
          </w:rPr>
        </w:r>
        <w:r>
          <w:rPr>
            <w:webHidden/>
          </w:rPr>
          <w:fldChar w:fldCharType="separate"/>
        </w:r>
        <w:r>
          <w:rPr>
            <w:webHidden/>
          </w:rPr>
          <w:t>7</w:t>
        </w:r>
        <w:r>
          <w:rPr>
            <w:webHidden/>
          </w:rPr>
          <w:fldChar w:fldCharType="end"/>
        </w:r>
      </w:hyperlink>
    </w:p>
    <w:p w14:paraId="47E49716" w14:textId="4DF96C82" w:rsidR="00D35571" w:rsidRDefault="00D35571">
      <w:pPr>
        <w:pStyle w:val="TOC2"/>
        <w:rPr>
          <w:rFonts w:asciiTheme="minorHAnsi" w:eastAsiaTheme="minorEastAsia" w:hAnsiTheme="minorHAnsi" w:cstheme="minorBidi"/>
          <w:sz w:val="24"/>
          <w:szCs w:val="24"/>
          <w:lang w:eastAsia="en-GB"/>
        </w:rPr>
      </w:pPr>
      <w:hyperlink w:anchor="_Toc67645559" w:history="1">
        <w:r w:rsidRPr="00F7278B">
          <w:rPr>
            <w:rStyle w:val="Hyperlink"/>
            <w:rFonts w:eastAsia="Times"/>
          </w:rPr>
          <w:t>5. Prevention and Recovery Care (PARC)</w:t>
        </w:r>
        <w:r>
          <w:rPr>
            <w:webHidden/>
          </w:rPr>
          <w:tab/>
        </w:r>
        <w:r>
          <w:rPr>
            <w:webHidden/>
          </w:rPr>
          <w:fldChar w:fldCharType="begin"/>
        </w:r>
        <w:r>
          <w:rPr>
            <w:webHidden/>
          </w:rPr>
          <w:instrText xml:space="preserve"> PAGEREF _Toc67645559 \h </w:instrText>
        </w:r>
        <w:r>
          <w:rPr>
            <w:webHidden/>
          </w:rPr>
        </w:r>
        <w:r>
          <w:rPr>
            <w:webHidden/>
          </w:rPr>
          <w:fldChar w:fldCharType="separate"/>
        </w:r>
        <w:r>
          <w:rPr>
            <w:webHidden/>
          </w:rPr>
          <w:t>7</w:t>
        </w:r>
        <w:r>
          <w:rPr>
            <w:webHidden/>
          </w:rPr>
          <w:fldChar w:fldCharType="end"/>
        </w:r>
      </w:hyperlink>
    </w:p>
    <w:p w14:paraId="2785107E" w14:textId="1199387E" w:rsidR="00D35571" w:rsidRDefault="00D35571">
      <w:pPr>
        <w:pStyle w:val="TOC2"/>
        <w:rPr>
          <w:rFonts w:asciiTheme="minorHAnsi" w:eastAsiaTheme="minorEastAsia" w:hAnsiTheme="minorHAnsi" w:cstheme="minorBidi"/>
          <w:sz w:val="24"/>
          <w:szCs w:val="24"/>
          <w:lang w:eastAsia="en-GB"/>
        </w:rPr>
      </w:pPr>
      <w:hyperlink w:anchor="_Toc67645560" w:history="1">
        <w:r w:rsidRPr="00F7278B">
          <w:rPr>
            <w:rStyle w:val="Hyperlink"/>
            <w:rFonts w:eastAsia="Times"/>
          </w:rPr>
          <w:t>6. Youth services/Youth Early Psychosis (YEP)</w:t>
        </w:r>
        <w:r>
          <w:rPr>
            <w:webHidden/>
          </w:rPr>
          <w:tab/>
        </w:r>
        <w:r>
          <w:rPr>
            <w:webHidden/>
          </w:rPr>
          <w:fldChar w:fldCharType="begin"/>
        </w:r>
        <w:r>
          <w:rPr>
            <w:webHidden/>
          </w:rPr>
          <w:instrText xml:space="preserve"> PAGEREF _Toc67645560 \h </w:instrText>
        </w:r>
        <w:r>
          <w:rPr>
            <w:webHidden/>
          </w:rPr>
        </w:r>
        <w:r>
          <w:rPr>
            <w:webHidden/>
          </w:rPr>
          <w:fldChar w:fldCharType="separate"/>
        </w:r>
        <w:r>
          <w:rPr>
            <w:webHidden/>
          </w:rPr>
          <w:t>7</w:t>
        </w:r>
        <w:r>
          <w:rPr>
            <w:webHidden/>
          </w:rPr>
          <w:fldChar w:fldCharType="end"/>
        </w:r>
      </w:hyperlink>
    </w:p>
    <w:p w14:paraId="36D68206" w14:textId="46388F96" w:rsidR="00D35571" w:rsidRDefault="00D35571">
      <w:pPr>
        <w:pStyle w:val="TOC2"/>
        <w:rPr>
          <w:rFonts w:asciiTheme="minorHAnsi" w:eastAsiaTheme="minorEastAsia" w:hAnsiTheme="minorHAnsi" w:cstheme="minorBidi"/>
          <w:sz w:val="24"/>
          <w:szCs w:val="24"/>
          <w:lang w:eastAsia="en-GB"/>
        </w:rPr>
      </w:pPr>
      <w:hyperlink w:anchor="_Toc67645561" w:history="1">
        <w:r w:rsidRPr="00F7278B">
          <w:rPr>
            <w:rStyle w:val="Hyperlink"/>
            <w:rFonts w:eastAsia="Times"/>
          </w:rPr>
          <w:t>7. Clozapine-only consumers</w:t>
        </w:r>
        <w:r>
          <w:rPr>
            <w:webHidden/>
          </w:rPr>
          <w:tab/>
        </w:r>
        <w:r>
          <w:rPr>
            <w:webHidden/>
          </w:rPr>
          <w:fldChar w:fldCharType="begin"/>
        </w:r>
        <w:r>
          <w:rPr>
            <w:webHidden/>
          </w:rPr>
          <w:instrText xml:space="preserve"> PAGEREF _Toc67645561 \h </w:instrText>
        </w:r>
        <w:r>
          <w:rPr>
            <w:webHidden/>
          </w:rPr>
        </w:r>
        <w:r>
          <w:rPr>
            <w:webHidden/>
          </w:rPr>
          <w:fldChar w:fldCharType="separate"/>
        </w:r>
        <w:r>
          <w:rPr>
            <w:webHidden/>
          </w:rPr>
          <w:t>7</w:t>
        </w:r>
        <w:r>
          <w:rPr>
            <w:webHidden/>
          </w:rPr>
          <w:fldChar w:fldCharType="end"/>
        </w:r>
      </w:hyperlink>
    </w:p>
    <w:p w14:paraId="5E46E842" w14:textId="7BEE1DB6" w:rsidR="00D35571" w:rsidRDefault="00D35571">
      <w:pPr>
        <w:pStyle w:val="TOC2"/>
        <w:rPr>
          <w:rFonts w:asciiTheme="minorHAnsi" w:eastAsiaTheme="minorEastAsia" w:hAnsiTheme="minorHAnsi" w:cstheme="minorBidi"/>
          <w:sz w:val="24"/>
          <w:szCs w:val="24"/>
          <w:lang w:eastAsia="en-GB"/>
        </w:rPr>
      </w:pPr>
      <w:hyperlink w:anchor="_Toc67645562" w:history="1">
        <w:r w:rsidRPr="00F7278B">
          <w:rPr>
            <w:rStyle w:val="Hyperlink"/>
            <w:rFonts w:eastAsia="Times"/>
          </w:rPr>
          <w:t>8. Emerging service types/programs</w:t>
        </w:r>
        <w:r>
          <w:rPr>
            <w:webHidden/>
          </w:rPr>
          <w:tab/>
        </w:r>
        <w:r>
          <w:rPr>
            <w:webHidden/>
          </w:rPr>
          <w:fldChar w:fldCharType="begin"/>
        </w:r>
        <w:r>
          <w:rPr>
            <w:webHidden/>
          </w:rPr>
          <w:instrText xml:space="preserve"> PAGEREF _Toc67645562 \h </w:instrText>
        </w:r>
        <w:r>
          <w:rPr>
            <w:webHidden/>
          </w:rPr>
        </w:r>
        <w:r>
          <w:rPr>
            <w:webHidden/>
          </w:rPr>
          <w:fldChar w:fldCharType="separate"/>
        </w:r>
        <w:r>
          <w:rPr>
            <w:webHidden/>
          </w:rPr>
          <w:t>7</w:t>
        </w:r>
        <w:r>
          <w:rPr>
            <w:webHidden/>
          </w:rPr>
          <w:fldChar w:fldCharType="end"/>
        </w:r>
      </w:hyperlink>
    </w:p>
    <w:p w14:paraId="61492223" w14:textId="2A78BA68" w:rsidR="00D35571" w:rsidRDefault="00D35571">
      <w:pPr>
        <w:pStyle w:val="TOC2"/>
        <w:rPr>
          <w:rFonts w:asciiTheme="minorHAnsi" w:eastAsiaTheme="minorEastAsia" w:hAnsiTheme="minorHAnsi" w:cstheme="minorBidi"/>
          <w:sz w:val="24"/>
          <w:szCs w:val="24"/>
          <w:lang w:eastAsia="en-GB"/>
        </w:rPr>
      </w:pPr>
      <w:hyperlink w:anchor="_Toc67645563" w:history="1">
        <w:r w:rsidRPr="00F7278B">
          <w:rPr>
            <w:rStyle w:val="Hyperlink"/>
            <w:rFonts w:eastAsia="Times"/>
          </w:rPr>
          <w:t>9. Mental Health Community Support Services (MHCSS)</w:t>
        </w:r>
        <w:r>
          <w:rPr>
            <w:webHidden/>
          </w:rPr>
          <w:tab/>
        </w:r>
        <w:r>
          <w:rPr>
            <w:webHidden/>
          </w:rPr>
          <w:fldChar w:fldCharType="begin"/>
        </w:r>
        <w:r>
          <w:rPr>
            <w:webHidden/>
          </w:rPr>
          <w:instrText xml:space="preserve"> PAGEREF _Toc67645563 \h </w:instrText>
        </w:r>
        <w:r>
          <w:rPr>
            <w:webHidden/>
          </w:rPr>
        </w:r>
        <w:r>
          <w:rPr>
            <w:webHidden/>
          </w:rPr>
          <w:fldChar w:fldCharType="separate"/>
        </w:r>
        <w:r>
          <w:rPr>
            <w:webHidden/>
          </w:rPr>
          <w:t>8</w:t>
        </w:r>
        <w:r>
          <w:rPr>
            <w:webHidden/>
          </w:rPr>
          <w:fldChar w:fldCharType="end"/>
        </w:r>
      </w:hyperlink>
    </w:p>
    <w:p w14:paraId="4DAF83B6" w14:textId="5768DF04" w:rsidR="00D35571" w:rsidRDefault="00D35571">
      <w:pPr>
        <w:pStyle w:val="TOC1"/>
        <w:rPr>
          <w:rFonts w:asciiTheme="minorHAnsi" w:eastAsiaTheme="minorEastAsia" w:hAnsiTheme="minorHAnsi" w:cstheme="minorBidi"/>
          <w:b w:val="0"/>
          <w:sz w:val="24"/>
          <w:szCs w:val="24"/>
          <w:lang w:eastAsia="en-GB"/>
        </w:rPr>
      </w:pPr>
      <w:hyperlink w:anchor="_Toc67645564" w:history="1">
        <w:r w:rsidRPr="00F7278B">
          <w:rPr>
            <w:rStyle w:val="Hyperlink"/>
          </w:rPr>
          <w:t>Use of Outcome Measurement data</w:t>
        </w:r>
        <w:r>
          <w:rPr>
            <w:webHidden/>
          </w:rPr>
          <w:tab/>
        </w:r>
        <w:r>
          <w:rPr>
            <w:webHidden/>
          </w:rPr>
          <w:fldChar w:fldCharType="begin"/>
        </w:r>
        <w:r>
          <w:rPr>
            <w:webHidden/>
          </w:rPr>
          <w:instrText xml:space="preserve"> PAGEREF _Toc67645564 \h </w:instrText>
        </w:r>
        <w:r>
          <w:rPr>
            <w:webHidden/>
          </w:rPr>
        </w:r>
        <w:r>
          <w:rPr>
            <w:webHidden/>
          </w:rPr>
          <w:fldChar w:fldCharType="separate"/>
        </w:r>
        <w:r>
          <w:rPr>
            <w:webHidden/>
          </w:rPr>
          <w:t>8</w:t>
        </w:r>
        <w:r>
          <w:rPr>
            <w:webHidden/>
          </w:rPr>
          <w:fldChar w:fldCharType="end"/>
        </w:r>
      </w:hyperlink>
    </w:p>
    <w:p w14:paraId="615CC5A4" w14:textId="660A47DD" w:rsidR="00D35571" w:rsidRDefault="00D35571">
      <w:pPr>
        <w:pStyle w:val="TOC2"/>
        <w:rPr>
          <w:rFonts w:asciiTheme="minorHAnsi" w:eastAsiaTheme="minorEastAsia" w:hAnsiTheme="minorHAnsi" w:cstheme="minorBidi"/>
          <w:sz w:val="24"/>
          <w:szCs w:val="24"/>
          <w:lang w:eastAsia="en-GB"/>
        </w:rPr>
      </w:pPr>
      <w:hyperlink w:anchor="_Toc67645565" w:history="1">
        <w:r w:rsidRPr="00F7278B">
          <w:rPr>
            <w:rStyle w:val="Hyperlink"/>
            <w:rFonts w:eastAsia="Times"/>
          </w:rPr>
          <w:t>Clinical application of individual OM data</w:t>
        </w:r>
        <w:r>
          <w:rPr>
            <w:webHidden/>
          </w:rPr>
          <w:tab/>
        </w:r>
        <w:r>
          <w:rPr>
            <w:webHidden/>
          </w:rPr>
          <w:fldChar w:fldCharType="begin"/>
        </w:r>
        <w:r>
          <w:rPr>
            <w:webHidden/>
          </w:rPr>
          <w:instrText xml:space="preserve"> PAGEREF _Toc67645565 \h </w:instrText>
        </w:r>
        <w:r>
          <w:rPr>
            <w:webHidden/>
          </w:rPr>
        </w:r>
        <w:r>
          <w:rPr>
            <w:webHidden/>
          </w:rPr>
          <w:fldChar w:fldCharType="separate"/>
        </w:r>
        <w:r>
          <w:rPr>
            <w:webHidden/>
          </w:rPr>
          <w:t>8</w:t>
        </w:r>
        <w:r>
          <w:rPr>
            <w:webHidden/>
          </w:rPr>
          <w:fldChar w:fldCharType="end"/>
        </w:r>
      </w:hyperlink>
    </w:p>
    <w:p w14:paraId="3F170D54" w14:textId="797754AB" w:rsidR="00D35571" w:rsidRDefault="00D35571">
      <w:pPr>
        <w:pStyle w:val="TOC2"/>
        <w:rPr>
          <w:rFonts w:asciiTheme="minorHAnsi" w:eastAsiaTheme="minorEastAsia" w:hAnsiTheme="minorHAnsi" w:cstheme="minorBidi"/>
          <w:sz w:val="24"/>
          <w:szCs w:val="24"/>
          <w:lang w:eastAsia="en-GB"/>
        </w:rPr>
      </w:pPr>
      <w:hyperlink w:anchor="_Toc67645566" w:history="1">
        <w:r w:rsidRPr="00F7278B">
          <w:rPr>
            <w:rStyle w:val="Hyperlink"/>
            <w:rFonts w:eastAsia="Times"/>
          </w:rPr>
          <w:t>Application of aggregate (team/service level) OM data</w:t>
        </w:r>
        <w:r>
          <w:rPr>
            <w:webHidden/>
          </w:rPr>
          <w:tab/>
        </w:r>
        <w:r>
          <w:rPr>
            <w:webHidden/>
          </w:rPr>
          <w:fldChar w:fldCharType="begin"/>
        </w:r>
        <w:r>
          <w:rPr>
            <w:webHidden/>
          </w:rPr>
          <w:instrText xml:space="preserve"> PAGEREF _Toc67645566 \h </w:instrText>
        </w:r>
        <w:r>
          <w:rPr>
            <w:webHidden/>
          </w:rPr>
        </w:r>
        <w:r>
          <w:rPr>
            <w:webHidden/>
          </w:rPr>
          <w:fldChar w:fldCharType="separate"/>
        </w:r>
        <w:r>
          <w:rPr>
            <w:webHidden/>
          </w:rPr>
          <w:t>8</w:t>
        </w:r>
        <w:r>
          <w:rPr>
            <w:webHidden/>
          </w:rPr>
          <w:fldChar w:fldCharType="end"/>
        </w:r>
      </w:hyperlink>
    </w:p>
    <w:p w14:paraId="726726CE" w14:textId="791BBC76" w:rsidR="00D35571" w:rsidRDefault="00D35571">
      <w:pPr>
        <w:pStyle w:val="TOC1"/>
        <w:rPr>
          <w:rFonts w:asciiTheme="minorHAnsi" w:eastAsiaTheme="minorEastAsia" w:hAnsiTheme="minorHAnsi" w:cstheme="minorBidi"/>
          <w:b w:val="0"/>
          <w:sz w:val="24"/>
          <w:szCs w:val="24"/>
          <w:lang w:eastAsia="en-GB"/>
        </w:rPr>
      </w:pPr>
      <w:hyperlink w:anchor="_Toc67645567" w:history="1">
        <w:r w:rsidRPr="00F7278B">
          <w:rPr>
            <w:rStyle w:val="Hyperlink"/>
          </w:rPr>
          <w:t>Clinician responsibilities</w:t>
        </w:r>
        <w:r>
          <w:rPr>
            <w:webHidden/>
          </w:rPr>
          <w:tab/>
        </w:r>
        <w:r>
          <w:rPr>
            <w:webHidden/>
          </w:rPr>
          <w:fldChar w:fldCharType="begin"/>
        </w:r>
        <w:r>
          <w:rPr>
            <w:webHidden/>
          </w:rPr>
          <w:instrText xml:space="preserve"> PAGEREF _Toc67645567 \h </w:instrText>
        </w:r>
        <w:r>
          <w:rPr>
            <w:webHidden/>
          </w:rPr>
        </w:r>
        <w:r>
          <w:rPr>
            <w:webHidden/>
          </w:rPr>
          <w:fldChar w:fldCharType="separate"/>
        </w:r>
        <w:r>
          <w:rPr>
            <w:webHidden/>
          </w:rPr>
          <w:t>8</w:t>
        </w:r>
        <w:r>
          <w:rPr>
            <w:webHidden/>
          </w:rPr>
          <w:fldChar w:fldCharType="end"/>
        </w:r>
      </w:hyperlink>
    </w:p>
    <w:p w14:paraId="7A489E20" w14:textId="07D4052A" w:rsidR="00D35571" w:rsidRDefault="00D35571">
      <w:pPr>
        <w:pStyle w:val="TOC2"/>
        <w:rPr>
          <w:rFonts w:asciiTheme="minorHAnsi" w:eastAsiaTheme="minorEastAsia" w:hAnsiTheme="minorHAnsi" w:cstheme="minorBidi"/>
          <w:sz w:val="24"/>
          <w:szCs w:val="24"/>
          <w:lang w:eastAsia="en-GB"/>
        </w:rPr>
      </w:pPr>
      <w:hyperlink w:anchor="_Toc67645568" w:history="1">
        <w:r w:rsidRPr="00F7278B">
          <w:rPr>
            <w:rStyle w:val="Hyperlink"/>
            <w:rFonts w:eastAsia="Times"/>
          </w:rPr>
          <w:t>OM rating</w:t>
        </w:r>
        <w:r>
          <w:rPr>
            <w:webHidden/>
          </w:rPr>
          <w:tab/>
        </w:r>
        <w:r>
          <w:rPr>
            <w:webHidden/>
          </w:rPr>
          <w:fldChar w:fldCharType="begin"/>
        </w:r>
        <w:r>
          <w:rPr>
            <w:webHidden/>
          </w:rPr>
          <w:instrText xml:space="preserve"> PAGEREF _Toc67645568 \h </w:instrText>
        </w:r>
        <w:r>
          <w:rPr>
            <w:webHidden/>
          </w:rPr>
        </w:r>
        <w:r>
          <w:rPr>
            <w:webHidden/>
          </w:rPr>
          <w:fldChar w:fldCharType="separate"/>
        </w:r>
        <w:r>
          <w:rPr>
            <w:webHidden/>
          </w:rPr>
          <w:t>8</w:t>
        </w:r>
        <w:r>
          <w:rPr>
            <w:webHidden/>
          </w:rPr>
          <w:fldChar w:fldCharType="end"/>
        </w:r>
      </w:hyperlink>
    </w:p>
    <w:p w14:paraId="4EE7240A" w14:textId="2B4B6673" w:rsidR="00D35571" w:rsidRDefault="00D35571">
      <w:pPr>
        <w:pStyle w:val="TOC1"/>
        <w:rPr>
          <w:rFonts w:asciiTheme="minorHAnsi" w:eastAsiaTheme="minorEastAsia" w:hAnsiTheme="minorHAnsi" w:cstheme="minorBidi"/>
          <w:b w:val="0"/>
          <w:sz w:val="24"/>
          <w:szCs w:val="24"/>
          <w:lang w:eastAsia="en-GB"/>
        </w:rPr>
      </w:pPr>
      <w:hyperlink w:anchor="_Toc67645569" w:history="1">
        <w:r w:rsidRPr="00F7278B">
          <w:rPr>
            <w:rStyle w:val="Hyperlink"/>
          </w:rPr>
          <w:t>Consumer self-assessment</w:t>
        </w:r>
        <w:r>
          <w:rPr>
            <w:webHidden/>
          </w:rPr>
          <w:tab/>
        </w:r>
        <w:r>
          <w:rPr>
            <w:webHidden/>
          </w:rPr>
          <w:fldChar w:fldCharType="begin"/>
        </w:r>
        <w:r>
          <w:rPr>
            <w:webHidden/>
          </w:rPr>
          <w:instrText xml:space="preserve"> PAGEREF _Toc67645569 \h </w:instrText>
        </w:r>
        <w:r>
          <w:rPr>
            <w:webHidden/>
          </w:rPr>
        </w:r>
        <w:r>
          <w:rPr>
            <w:webHidden/>
          </w:rPr>
          <w:fldChar w:fldCharType="separate"/>
        </w:r>
        <w:r>
          <w:rPr>
            <w:webHidden/>
          </w:rPr>
          <w:t>9</w:t>
        </w:r>
        <w:r>
          <w:rPr>
            <w:webHidden/>
          </w:rPr>
          <w:fldChar w:fldCharType="end"/>
        </w:r>
      </w:hyperlink>
    </w:p>
    <w:p w14:paraId="145E7B90" w14:textId="14BDBF6E" w:rsidR="00D35571" w:rsidRDefault="00D35571">
      <w:pPr>
        <w:pStyle w:val="TOC1"/>
        <w:rPr>
          <w:rFonts w:asciiTheme="minorHAnsi" w:eastAsiaTheme="minorEastAsia" w:hAnsiTheme="minorHAnsi" w:cstheme="minorBidi"/>
          <w:b w:val="0"/>
          <w:sz w:val="24"/>
          <w:szCs w:val="24"/>
          <w:lang w:eastAsia="en-GB"/>
        </w:rPr>
      </w:pPr>
      <w:hyperlink w:anchor="_Toc67645570" w:history="1">
        <w:r w:rsidRPr="00F7278B">
          <w:rPr>
            <w:rStyle w:val="Hyperlink"/>
          </w:rPr>
          <w:t>Privacy and confidentiality</w:t>
        </w:r>
        <w:r>
          <w:rPr>
            <w:webHidden/>
          </w:rPr>
          <w:tab/>
        </w:r>
        <w:r>
          <w:rPr>
            <w:webHidden/>
          </w:rPr>
          <w:fldChar w:fldCharType="begin"/>
        </w:r>
        <w:r>
          <w:rPr>
            <w:webHidden/>
          </w:rPr>
          <w:instrText xml:space="preserve"> PAGEREF _Toc67645570 \h </w:instrText>
        </w:r>
        <w:r>
          <w:rPr>
            <w:webHidden/>
          </w:rPr>
        </w:r>
        <w:r>
          <w:rPr>
            <w:webHidden/>
          </w:rPr>
          <w:fldChar w:fldCharType="separate"/>
        </w:r>
        <w:r>
          <w:rPr>
            <w:webHidden/>
          </w:rPr>
          <w:t>9</w:t>
        </w:r>
        <w:r>
          <w:rPr>
            <w:webHidden/>
          </w:rPr>
          <w:fldChar w:fldCharType="end"/>
        </w:r>
      </w:hyperlink>
    </w:p>
    <w:p w14:paraId="07B6F452" w14:textId="6D9A2973" w:rsidR="00D35571" w:rsidRDefault="00D35571">
      <w:pPr>
        <w:pStyle w:val="TOC1"/>
        <w:rPr>
          <w:rFonts w:asciiTheme="minorHAnsi" w:eastAsiaTheme="minorEastAsia" w:hAnsiTheme="minorHAnsi" w:cstheme="minorBidi"/>
          <w:b w:val="0"/>
          <w:sz w:val="24"/>
          <w:szCs w:val="24"/>
          <w:lang w:eastAsia="en-GB"/>
        </w:rPr>
      </w:pPr>
      <w:hyperlink w:anchor="_Toc67645571" w:history="1">
        <w:r w:rsidRPr="00F7278B">
          <w:rPr>
            <w:rStyle w:val="Hyperlink"/>
          </w:rPr>
          <w:t>About program management circulars</w:t>
        </w:r>
        <w:r>
          <w:rPr>
            <w:webHidden/>
          </w:rPr>
          <w:tab/>
        </w:r>
        <w:r>
          <w:rPr>
            <w:webHidden/>
          </w:rPr>
          <w:fldChar w:fldCharType="begin"/>
        </w:r>
        <w:r>
          <w:rPr>
            <w:webHidden/>
          </w:rPr>
          <w:instrText xml:space="preserve"> PAGEREF _Toc67645571 \h </w:instrText>
        </w:r>
        <w:r>
          <w:rPr>
            <w:webHidden/>
          </w:rPr>
        </w:r>
        <w:r>
          <w:rPr>
            <w:webHidden/>
          </w:rPr>
          <w:fldChar w:fldCharType="separate"/>
        </w:r>
        <w:r>
          <w:rPr>
            <w:webHidden/>
          </w:rPr>
          <w:t>9</w:t>
        </w:r>
        <w:r>
          <w:rPr>
            <w:webHidden/>
          </w:rPr>
          <w:fldChar w:fldCharType="end"/>
        </w:r>
      </w:hyperlink>
    </w:p>
    <w:p w14:paraId="10C79953" w14:textId="5D9EEDC7" w:rsidR="00D35571" w:rsidRDefault="00D35571">
      <w:pPr>
        <w:pStyle w:val="TOC1"/>
        <w:rPr>
          <w:rFonts w:asciiTheme="minorHAnsi" w:eastAsiaTheme="minorEastAsia" w:hAnsiTheme="minorHAnsi" w:cstheme="minorBidi"/>
          <w:b w:val="0"/>
          <w:sz w:val="24"/>
          <w:szCs w:val="24"/>
          <w:lang w:eastAsia="en-GB"/>
        </w:rPr>
      </w:pPr>
      <w:hyperlink w:anchor="_Toc67645572" w:history="1">
        <w:r w:rsidRPr="00F7278B">
          <w:rPr>
            <w:rStyle w:val="Hyperlink"/>
          </w:rPr>
          <w:t>References and Resources</w:t>
        </w:r>
        <w:r>
          <w:rPr>
            <w:webHidden/>
          </w:rPr>
          <w:tab/>
        </w:r>
        <w:r>
          <w:rPr>
            <w:webHidden/>
          </w:rPr>
          <w:fldChar w:fldCharType="begin"/>
        </w:r>
        <w:r>
          <w:rPr>
            <w:webHidden/>
          </w:rPr>
          <w:instrText xml:space="preserve"> PAGEREF _Toc67645572 \h </w:instrText>
        </w:r>
        <w:r>
          <w:rPr>
            <w:webHidden/>
          </w:rPr>
        </w:r>
        <w:r>
          <w:rPr>
            <w:webHidden/>
          </w:rPr>
          <w:fldChar w:fldCharType="separate"/>
        </w:r>
        <w:r>
          <w:rPr>
            <w:webHidden/>
          </w:rPr>
          <w:t>9</w:t>
        </w:r>
        <w:r>
          <w:rPr>
            <w:webHidden/>
          </w:rPr>
          <w:fldChar w:fldCharType="end"/>
        </w:r>
      </w:hyperlink>
    </w:p>
    <w:p w14:paraId="5451CD15" w14:textId="22AD70EA" w:rsidR="00D35571" w:rsidRDefault="00D35571">
      <w:pPr>
        <w:pStyle w:val="TOC1"/>
        <w:rPr>
          <w:rFonts w:asciiTheme="minorHAnsi" w:eastAsiaTheme="minorEastAsia" w:hAnsiTheme="minorHAnsi" w:cstheme="minorBidi"/>
          <w:b w:val="0"/>
          <w:sz w:val="24"/>
          <w:szCs w:val="24"/>
          <w:lang w:eastAsia="en-GB"/>
        </w:rPr>
      </w:pPr>
      <w:hyperlink w:anchor="_Toc67645573" w:history="1">
        <w:r w:rsidRPr="00F7278B">
          <w:rPr>
            <w:rStyle w:val="Hyperlink"/>
          </w:rPr>
          <w:t>Appendix 1</w:t>
        </w:r>
        <w:r>
          <w:rPr>
            <w:webHidden/>
          </w:rPr>
          <w:tab/>
        </w:r>
        <w:r>
          <w:rPr>
            <w:webHidden/>
          </w:rPr>
          <w:fldChar w:fldCharType="begin"/>
        </w:r>
        <w:r>
          <w:rPr>
            <w:webHidden/>
          </w:rPr>
          <w:instrText xml:space="preserve"> PAGEREF _Toc67645573 \h </w:instrText>
        </w:r>
        <w:r>
          <w:rPr>
            <w:webHidden/>
          </w:rPr>
        </w:r>
        <w:r>
          <w:rPr>
            <w:webHidden/>
          </w:rPr>
          <w:fldChar w:fldCharType="separate"/>
        </w:r>
        <w:r>
          <w:rPr>
            <w:webHidden/>
          </w:rPr>
          <w:t>10</w:t>
        </w:r>
        <w:r>
          <w:rPr>
            <w:webHidden/>
          </w:rPr>
          <w:fldChar w:fldCharType="end"/>
        </w:r>
      </w:hyperlink>
    </w:p>
    <w:p w14:paraId="613586DA" w14:textId="40F72900" w:rsidR="00D35571" w:rsidRDefault="00D35571">
      <w:pPr>
        <w:pStyle w:val="TOC1"/>
        <w:rPr>
          <w:rFonts w:asciiTheme="minorHAnsi" w:eastAsiaTheme="minorEastAsia" w:hAnsiTheme="minorHAnsi" w:cstheme="minorBidi"/>
          <w:b w:val="0"/>
          <w:sz w:val="24"/>
          <w:szCs w:val="24"/>
          <w:lang w:eastAsia="en-GB"/>
        </w:rPr>
      </w:pPr>
      <w:hyperlink w:anchor="_Toc67645574" w:history="1">
        <w:r w:rsidRPr="00F7278B">
          <w:rPr>
            <w:rStyle w:val="Hyperlink"/>
          </w:rPr>
          <w:t>Appendix 2</w:t>
        </w:r>
        <w:r>
          <w:rPr>
            <w:webHidden/>
          </w:rPr>
          <w:tab/>
        </w:r>
        <w:r>
          <w:rPr>
            <w:webHidden/>
          </w:rPr>
          <w:fldChar w:fldCharType="begin"/>
        </w:r>
        <w:r>
          <w:rPr>
            <w:webHidden/>
          </w:rPr>
          <w:instrText xml:space="preserve"> PAGEREF _Toc67645574 \h </w:instrText>
        </w:r>
        <w:r>
          <w:rPr>
            <w:webHidden/>
          </w:rPr>
        </w:r>
        <w:r>
          <w:rPr>
            <w:webHidden/>
          </w:rPr>
          <w:fldChar w:fldCharType="separate"/>
        </w:r>
        <w:r>
          <w:rPr>
            <w:webHidden/>
          </w:rPr>
          <w:t>12</w:t>
        </w:r>
        <w:r>
          <w:rPr>
            <w:webHidden/>
          </w:rPr>
          <w:fldChar w:fldCharType="end"/>
        </w:r>
      </w:hyperlink>
    </w:p>
    <w:p w14:paraId="5D834C6F" w14:textId="6B209A40" w:rsidR="00D35571" w:rsidRDefault="00D35571">
      <w:pPr>
        <w:pStyle w:val="TOC1"/>
        <w:rPr>
          <w:rFonts w:asciiTheme="minorHAnsi" w:eastAsiaTheme="minorEastAsia" w:hAnsiTheme="minorHAnsi" w:cstheme="minorBidi"/>
          <w:b w:val="0"/>
          <w:sz w:val="24"/>
          <w:szCs w:val="24"/>
          <w:lang w:eastAsia="en-GB"/>
        </w:rPr>
      </w:pPr>
      <w:hyperlink w:anchor="_Toc67645575" w:history="1">
        <w:r w:rsidRPr="00F7278B">
          <w:rPr>
            <w:rStyle w:val="Hyperlink"/>
          </w:rPr>
          <w:t>Appendix 3</w:t>
        </w:r>
        <w:r>
          <w:rPr>
            <w:webHidden/>
          </w:rPr>
          <w:tab/>
        </w:r>
        <w:r>
          <w:rPr>
            <w:webHidden/>
          </w:rPr>
          <w:fldChar w:fldCharType="begin"/>
        </w:r>
        <w:r>
          <w:rPr>
            <w:webHidden/>
          </w:rPr>
          <w:instrText xml:space="preserve"> PAGEREF _Toc67645575 \h </w:instrText>
        </w:r>
        <w:r>
          <w:rPr>
            <w:webHidden/>
          </w:rPr>
        </w:r>
        <w:r>
          <w:rPr>
            <w:webHidden/>
          </w:rPr>
          <w:fldChar w:fldCharType="separate"/>
        </w:r>
        <w:r>
          <w:rPr>
            <w:webHidden/>
          </w:rPr>
          <w:t>15</w:t>
        </w:r>
        <w:r>
          <w:rPr>
            <w:webHidden/>
          </w:rPr>
          <w:fldChar w:fldCharType="end"/>
        </w:r>
      </w:hyperlink>
    </w:p>
    <w:p w14:paraId="1118261A" w14:textId="446A4947" w:rsidR="00D35571" w:rsidRDefault="00D35571">
      <w:pPr>
        <w:pStyle w:val="TOC1"/>
        <w:rPr>
          <w:rFonts w:asciiTheme="minorHAnsi" w:eastAsiaTheme="minorEastAsia" w:hAnsiTheme="minorHAnsi" w:cstheme="minorBidi"/>
          <w:b w:val="0"/>
          <w:sz w:val="24"/>
          <w:szCs w:val="24"/>
          <w:lang w:eastAsia="en-GB"/>
        </w:rPr>
      </w:pPr>
      <w:hyperlink w:anchor="_Toc67645576" w:history="1">
        <w:r w:rsidRPr="00F7278B">
          <w:rPr>
            <w:rStyle w:val="Hyperlink"/>
          </w:rPr>
          <w:t>Appendix 4</w:t>
        </w:r>
        <w:r>
          <w:rPr>
            <w:webHidden/>
          </w:rPr>
          <w:tab/>
        </w:r>
        <w:r>
          <w:rPr>
            <w:webHidden/>
          </w:rPr>
          <w:fldChar w:fldCharType="begin"/>
        </w:r>
        <w:r>
          <w:rPr>
            <w:webHidden/>
          </w:rPr>
          <w:instrText xml:space="preserve"> PAGEREF _Toc67645576 \h </w:instrText>
        </w:r>
        <w:r>
          <w:rPr>
            <w:webHidden/>
          </w:rPr>
        </w:r>
        <w:r>
          <w:rPr>
            <w:webHidden/>
          </w:rPr>
          <w:fldChar w:fldCharType="separate"/>
        </w:r>
        <w:r>
          <w:rPr>
            <w:webHidden/>
          </w:rPr>
          <w:t>18</w:t>
        </w:r>
        <w:r>
          <w:rPr>
            <w:webHidden/>
          </w:rPr>
          <w:fldChar w:fldCharType="end"/>
        </w:r>
      </w:hyperlink>
    </w:p>
    <w:p w14:paraId="68C34D8C" w14:textId="32AE5D3C" w:rsidR="007173CA" w:rsidRDefault="00AD784C" w:rsidP="00D079AA">
      <w:pPr>
        <w:pStyle w:val="Body"/>
      </w:pPr>
      <w:r>
        <w:fldChar w:fldCharType="end"/>
      </w:r>
    </w:p>
    <w:p w14:paraId="2782D39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0FD337B" w14:textId="77777777" w:rsidR="00F32368" w:rsidRPr="00F32368" w:rsidRDefault="00F32368" w:rsidP="00F32368">
      <w:pPr>
        <w:pStyle w:val="Body"/>
      </w:pPr>
      <w:bookmarkStart w:id="0" w:name="_Hlk41913885"/>
    </w:p>
    <w:p w14:paraId="7283FF8E" w14:textId="2BAFF031" w:rsidR="006D7093" w:rsidRDefault="006D7093" w:rsidP="006D7093">
      <w:pPr>
        <w:pStyle w:val="Body"/>
      </w:pPr>
      <w:bookmarkStart w:id="1" w:name="_Hlk63355178"/>
      <w:bookmarkEnd w:id="0"/>
    </w:p>
    <w:p w14:paraId="179E597A" w14:textId="30DB5059" w:rsidR="008D34FA" w:rsidRDefault="008D34FA" w:rsidP="006D7093">
      <w:pPr>
        <w:pStyle w:val="Body"/>
      </w:pPr>
    </w:p>
    <w:p w14:paraId="5F6F7B4B" w14:textId="77777777" w:rsidR="008D34FA" w:rsidRDefault="008D34FA">
      <w:pPr>
        <w:spacing w:after="0" w:line="240" w:lineRule="auto"/>
        <w:rPr>
          <w:rFonts w:eastAsia="MS Gothic" w:cs="Arial"/>
          <w:bCs/>
          <w:color w:val="53565A"/>
          <w:kern w:val="32"/>
          <w:sz w:val="40"/>
          <w:szCs w:val="40"/>
        </w:rPr>
      </w:pPr>
      <w:bookmarkStart w:id="2" w:name="_Toc58436896"/>
      <w:r>
        <w:br w:type="page"/>
      </w:r>
    </w:p>
    <w:p w14:paraId="2C6686C0" w14:textId="29A2A3B7" w:rsidR="008D34FA" w:rsidRDefault="008D34FA" w:rsidP="008D34FA">
      <w:pPr>
        <w:pStyle w:val="Heading1"/>
      </w:pPr>
      <w:bookmarkStart w:id="3" w:name="_Toc67645544"/>
      <w:r>
        <w:lastRenderedPageBreak/>
        <w:t>Key message</w:t>
      </w:r>
      <w:bookmarkEnd w:id="2"/>
      <w:bookmarkEnd w:id="3"/>
    </w:p>
    <w:p w14:paraId="744C39E1" w14:textId="30E617D6" w:rsidR="008D34FA" w:rsidRDefault="008D34FA" w:rsidP="008D34FA">
      <w:pPr>
        <w:pStyle w:val="Body"/>
      </w:pPr>
      <w:r>
        <w:t>The Department of Health (the department) requires all clinical mental health services to collect outcome measures using the protocol outlined in this circular.</w:t>
      </w:r>
    </w:p>
    <w:p w14:paraId="2B556D8B" w14:textId="77777777" w:rsidR="008D34FA" w:rsidRPr="008C5DFF" w:rsidRDefault="008D34FA" w:rsidP="008D34FA">
      <w:pPr>
        <w:pStyle w:val="Body"/>
      </w:pPr>
      <w:r w:rsidRPr="008C5DFF">
        <w:t>Services are responsible for ensuring the</w:t>
      </w:r>
      <w:r>
        <w:t xml:space="preserve"> </w:t>
      </w:r>
      <w:r w:rsidRPr="008C5DFF">
        <w:t>integrity, quality and timeliness of outcome</w:t>
      </w:r>
      <w:r>
        <w:t xml:space="preserve"> </w:t>
      </w:r>
      <w:r w:rsidRPr="008C5DFF">
        <w:t>measurement (OM) data.</w:t>
      </w:r>
    </w:p>
    <w:p w14:paraId="07582A44" w14:textId="77777777" w:rsidR="008D34FA" w:rsidRPr="008C5DFF" w:rsidRDefault="008D34FA" w:rsidP="008D34FA">
      <w:pPr>
        <w:pStyle w:val="Body"/>
      </w:pPr>
      <w:r w:rsidRPr="008C5DFF">
        <w:t>It is expected that OM ratings and data</w:t>
      </w:r>
      <w:r>
        <w:t xml:space="preserve"> </w:t>
      </w:r>
      <w:r w:rsidRPr="008C5DFF">
        <w:t>will be used at an individual level in</w:t>
      </w:r>
      <w:r>
        <w:t xml:space="preserve"> </w:t>
      </w:r>
      <w:r w:rsidRPr="008C5DFF">
        <w:t>dialogue with consumers and carers to</w:t>
      </w:r>
      <w:r>
        <w:t xml:space="preserve"> </w:t>
      </w:r>
      <w:r w:rsidRPr="008C5DFF">
        <w:t>inform clinical decisions and at service</w:t>
      </w:r>
      <w:r>
        <w:t xml:space="preserve"> </w:t>
      </w:r>
      <w:r w:rsidRPr="008C5DFF">
        <w:t>level for quality improvement.</w:t>
      </w:r>
    </w:p>
    <w:p w14:paraId="5C5A3217" w14:textId="77777777" w:rsidR="008D34FA" w:rsidRDefault="008D34FA" w:rsidP="008D34FA">
      <w:pPr>
        <w:pStyle w:val="Body"/>
      </w:pPr>
      <w:r w:rsidRPr="008C5DFF">
        <w:t>Routinely offering and encouraging</w:t>
      </w:r>
      <w:r>
        <w:t xml:space="preserve"> </w:t>
      </w:r>
      <w:r w:rsidRPr="008C5DFF">
        <w:t>consumers to complete self-assessment</w:t>
      </w:r>
      <w:r>
        <w:t xml:space="preserve"> </w:t>
      </w:r>
      <w:r w:rsidRPr="008C5DFF">
        <w:t>measures is an integral part of the</w:t>
      </w:r>
      <w:r>
        <w:t xml:space="preserve"> </w:t>
      </w:r>
      <w:r w:rsidRPr="008C5DFF">
        <w:t>OM process.</w:t>
      </w:r>
    </w:p>
    <w:p w14:paraId="748E2371" w14:textId="77777777" w:rsidR="008D34FA" w:rsidRDefault="008D34FA" w:rsidP="008D34FA">
      <w:pPr>
        <w:pStyle w:val="Heading1"/>
      </w:pPr>
      <w:bookmarkStart w:id="4" w:name="_Toc58436897"/>
      <w:bookmarkStart w:id="5" w:name="_Toc67645545"/>
      <w:r>
        <w:t>Purpose</w:t>
      </w:r>
      <w:bookmarkEnd w:id="4"/>
      <w:bookmarkEnd w:id="5"/>
    </w:p>
    <w:p w14:paraId="0BF2A116" w14:textId="77777777" w:rsidR="008D34FA" w:rsidRDefault="008D34FA" w:rsidP="008D34FA">
      <w:pPr>
        <w:pStyle w:val="Body"/>
      </w:pPr>
      <w:r>
        <w:t>The measurement of consumer outcomes in public mental health services is a key mental health priority for both State and Commonwealth Governments. Reporting of outcomes data to the Commonwealth is a requirement of the National Healthcare Agreement.</w:t>
      </w:r>
    </w:p>
    <w:p w14:paraId="761A865B" w14:textId="77777777" w:rsidR="008D34FA" w:rsidRDefault="008D34FA" w:rsidP="008D34FA">
      <w:pPr>
        <w:pStyle w:val="Body"/>
      </w:pPr>
      <w:r>
        <w:t xml:space="preserve">The department is committed to improving the quality, clinical utility and accessibility of information on consumer outcomes for consumers, carers, clinicians and health services. This is being completed through a range of initiatives as part of an activity-based funding model for clinical mental health services.  </w:t>
      </w:r>
    </w:p>
    <w:p w14:paraId="72A14831" w14:textId="77777777" w:rsidR="008D34FA" w:rsidRDefault="008D34FA" w:rsidP="008D34FA">
      <w:pPr>
        <w:pStyle w:val="Body"/>
      </w:pPr>
      <w:r>
        <w:t>Enhanced reporting needs to be underpinned by data that is as consistent as possible in its compilation. This circular has been developed in collaboration with sector representatives and provides guidance to the sector on departmental requirements for OM and the Commonwealth’s direction to transition to Activity Based Funding (ABF) to link consumer outcomes with funding.</w:t>
      </w:r>
    </w:p>
    <w:p w14:paraId="678E4BBA" w14:textId="77777777" w:rsidR="008D34FA" w:rsidRDefault="008D34FA" w:rsidP="008D34FA">
      <w:pPr>
        <w:pStyle w:val="Heading1"/>
      </w:pPr>
      <w:bookmarkStart w:id="6" w:name="_Toc58436898"/>
      <w:bookmarkStart w:id="7" w:name="_Toc67645546"/>
      <w:r>
        <w:t>Guiding principles</w:t>
      </w:r>
      <w:bookmarkEnd w:id="6"/>
      <w:bookmarkEnd w:id="7"/>
    </w:p>
    <w:p w14:paraId="1787920B" w14:textId="77777777" w:rsidR="008D34FA" w:rsidRPr="00E5358B" w:rsidRDefault="008D34FA" w:rsidP="00917E94">
      <w:pPr>
        <w:pStyle w:val="Numberdigit"/>
        <w:numPr>
          <w:ilvl w:val="0"/>
          <w:numId w:val="11"/>
        </w:numPr>
      </w:pPr>
      <w:r>
        <w:t>The clinical mental health sector is divided into three types of service setting:</w:t>
      </w:r>
    </w:p>
    <w:p w14:paraId="46FA7A53" w14:textId="36C1A1A9" w:rsidR="008D34FA" w:rsidRPr="00E5358B" w:rsidRDefault="008D34FA" w:rsidP="008D34FA">
      <w:pPr>
        <w:pStyle w:val="Numberloweralphaindent"/>
      </w:pPr>
      <w:r w:rsidRPr="008D34FA">
        <w:rPr>
          <w:b/>
          <w:bCs/>
        </w:rPr>
        <w:t>Acute Inpatient</w:t>
      </w:r>
      <w:r w:rsidRPr="00E5358B">
        <w:t xml:space="preserve"> (admitted overnight)</w:t>
      </w:r>
    </w:p>
    <w:p w14:paraId="1233A330" w14:textId="7E24B665" w:rsidR="008D34FA" w:rsidRPr="00E5358B" w:rsidRDefault="008D34FA" w:rsidP="008D34FA">
      <w:pPr>
        <w:pStyle w:val="Numberloweralphaindent"/>
      </w:pPr>
      <w:r w:rsidRPr="008D34FA">
        <w:rPr>
          <w:b/>
          <w:bCs/>
        </w:rPr>
        <w:t>Community Residential</w:t>
      </w:r>
      <w:r w:rsidRPr="00E5358B">
        <w:t xml:space="preserve"> (staffed 24 hours)</w:t>
      </w:r>
    </w:p>
    <w:p w14:paraId="62082487" w14:textId="5A8BEA9A" w:rsidR="008D34FA" w:rsidRPr="00E5358B" w:rsidRDefault="008D34FA" w:rsidP="008D34FA">
      <w:pPr>
        <w:pStyle w:val="Numberloweralphaindent"/>
      </w:pPr>
      <w:r w:rsidRPr="008D34FA">
        <w:rPr>
          <w:b/>
          <w:bCs/>
        </w:rPr>
        <w:t>Ambulatory (community</w:t>
      </w:r>
      <w:r>
        <w:t xml:space="preserve"> treatment teams)</w:t>
      </w:r>
    </w:p>
    <w:p w14:paraId="6D6E42CE" w14:textId="77777777" w:rsidR="008D34FA" w:rsidRPr="00500D20" w:rsidRDefault="008D34FA" w:rsidP="008D34FA">
      <w:pPr>
        <w:pStyle w:val="Body"/>
      </w:pPr>
      <w:r w:rsidRPr="00E5358B">
        <w:t xml:space="preserve">*NB: A consumer can move between </w:t>
      </w:r>
      <w:r w:rsidRPr="00E5358B">
        <w:rPr>
          <w:b/>
          <w:bCs/>
        </w:rPr>
        <w:t xml:space="preserve">Ambulatory </w:t>
      </w:r>
      <w:r w:rsidRPr="00E5358B">
        <w:t>teams within a service</w:t>
      </w:r>
      <w:r>
        <w:t xml:space="preserve"> </w:t>
      </w:r>
      <w:r w:rsidRPr="00E5358B">
        <w:t xml:space="preserve">without triggering a change of setting. </w:t>
      </w:r>
      <w:r w:rsidRPr="00E5358B">
        <w:rPr>
          <w:i/>
          <w:iCs/>
        </w:rPr>
        <w:t>Appendix 1 outlines Victorian</w:t>
      </w:r>
      <w:r>
        <w:rPr>
          <w:i/>
          <w:iCs/>
        </w:rPr>
        <w:t xml:space="preserve"> </w:t>
      </w:r>
      <w:r w:rsidRPr="00E5358B">
        <w:rPr>
          <w:i/>
          <w:iCs/>
        </w:rPr>
        <w:t>service types and the applicable setting for each one.</w:t>
      </w:r>
    </w:p>
    <w:p w14:paraId="3A05CB07" w14:textId="77777777" w:rsidR="008D34FA" w:rsidRPr="00E5358B" w:rsidRDefault="008D34FA" w:rsidP="00917E94">
      <w:pPr>
        <w:pStyle w:val="Numberdigit"/>
        <w:numPr>
          <w:ilvl w:val="0"/>
          <w:numId w:val="11"/>
        </w:numPr>
      </w:pPr>
      <w:r w:rsidRPr="00E5358B">
        <w:t xml:space="preserve">There are </w:t>
      </w:r>
      <w:r w:rsidRPr="008D34FA">
        <w:t>three fundamental business rules:</w:t>
      </w:r>
    </w:p>
    <w:p w14:paraId="0B4A9E7E" w14:textId="2C674821" w:rsidR="008D34FA" w:rsidRPr="008D34FA" w:rsidRDefault="008D34FA" w:rsidP="00917E94">
      <w:pPr>
        <w:pStyle w:val="Numberloweralphaindent"/>
        <w:numPr>
          <w:ilvl w:val="1"/>
          <w:numId w:val="12"/>
        </w:numPr>
      </w:pPr>
      <w:r w:rsidRPr="008D34FA">
        <w:t>One episode at a time</w:t>
      </w:r>
    </w:p>
    <w:p w14:paraId="48AEFE2C" w14:textId="38EDE9FC" w:rsidR="008D34FA" w:rsidRPr="008D34FA" w:rsidRDefault="008D34FA" w:rsidP="008D34FA">
      <w:pPr>
        <w:pStyle w:val="Numberloweralphaindent"/>
      </w:pPr>
      <w:r w:rsidRPr="008D34FA">
        <w:t xml:space="preserve">A change of setting = a new episode </w:t>
      </w:r>
    </w:p>
    <w:p w14:paraId="7C59B2E0" w14:textId="4501CCEB" w:rsidR="008D34FA" w:rsidRPr="008D34FA" w:rsidRDefault="008D34FA" w:rsidP="008D34FA">
      <w:pPr>
        <w:pStyle w:val="Numberloweralphaindent"/>
      </w:pPr>
      <w:r w:rsidRPr="008D34FA">
        <w:t>A change of Phase of Care = a new outcome measure collection occasion</w:t>
      </w:r>
    </w:p>
    <w:p w14:paraId="183033DD" w14:textId="77777777" w:rsidR="008D34FA" w:rsidRPr="008D34FA" w:rsidRDefault="008D34FA" w:rsidP="00917E94">
      <w:pPr>
        <w:pStyle w:val="Numberdigit"/>
        <w:numPr>
          <w:ilvl w:val="0"/>
          <w:numId w:val="11"/>
        </w:numPr>
      </w:pPr>
      <w:r w:rsidRPr="00E5358B">
        <w:t xml:space="preserve">Outcome Measurement </w:t>
      </w:r>
      <w:r w:rsidRPr="008D34FA">
        <w:t>collection occasions:</w:t>
      </w:r>
    </w:p>
    <w:p w14:paraId="0C425BC3" w14:textId="43BD8239" w:rsidR="008D34FA" w:rsidRPr="00E5358B" w:rsidRDefault="008D34FA" w:rsidP="00917E94">
      <w:pPr>
        <w:pStyle w:val="Numberloweralphaindent"/>
        <w:numPr>
          <w:ilvl w:val="1"/>
          <w:numId w:val="13"/>
        </w:numPr>
      </w:pPr>
      <w:r w:rsidRPr="00E5358B">
        <w:t>‘intake’</w:t>
      </w:r>
    </w:p>
    <w:p w14:paraId="68C6FD56" w14:textId="23751DB9" w:rsidR="008D34FA" w:rsidRPr="00E5358B" w:rsidRDefault="008D34FA" w:rsidP="00917E94">
      <w:pPr>
        <w:pStyle w:val="Numberloweralphaindent"/>
        <w:numPr>
          <w:ilvl w:val="1"/>
          <w:numId w:val="12"/>
        </w:numPr>
      </w:pPr>
      <w:r w:rsidRPr="00E5358B">
        <w:t>‘</w:t>
      </w:r>
      <w:r w:rsidRPr="003F620A">
        <w:t>discharge’ (Phase of Care not required)</w:t>
      </w:r>
    </w:p>
    <w:p w14:paraId="34F1C09B" w14:textId="6C67B9B8" w:rsidR="008D34FA" w:rsidRDefault="008D34FA" w:rsidP="00917E94">
      <w:pPr>
        <w:pStyle w:val="Numberloweralphaindent"/>
        <w:numPr>
          <w:ilvl w:val="1"/>
          <w:numId w:val="12"/>
        </w:numPr>
      </w:pPr>
      <w:r w:rsidRPr="00E5358B">
        <w:t xml:space="preserve">‘91-day review’ </w:t>
      </w:r>
    </w:p>
    <w:p w14:paraId="3976D785" w14:textId="0778F310" w:rsidR="008D34FA" w:rsidRPr="00E5358B" w:rsidRDefault="008D34FA" w:rsidP="00917E94">
      <w:pPr>
        <w:pStyle w:val="Numberloweralphaindent"/>
        <w:numPr>
          <w:ilvl w:val="1"/>
          <w:numId w:val="12"/>
        </w:numPr>
      </w:pPr>
      <w:r w:rsidRPr="00E5358B">
        <w:lastRenderedPageBreak/>
        <w:t>‘</w:t>
      </w:r>
      <w:proofErr w:type="gramStart"/>
      <w:r w:rsidRPr="00E5358B">
        <w:t>discretionary</w:t>
      </w:r>
      <w:proofErr w:type="gramEnd"/>
      <w:r w:rsidRPr="00E5358B">
        <w:t xml:space="preserve"> review’ </w:t>
      </w:r>
    </w:p>
    <w:p w14:paraId="1F36E1A9" w14:textId="77777777" w:rsidR="008D34FA" w:rsidRPr="008D34FA" w:rsidRDefault="008D34FA" w:rsidP="00917E94">
      <w:pPr>
        <w:pStyle w:val="Numberdigit"/>
        <w:numPr>
          <w:ilvl w:val="0"/>
          <w:numId w:val="11"/>
        </w:numPr>
      </w:pPr>
      <w:r w:rsidRPr="00E5358B">
        <w:t xml:space="preserve">Different measures are collected for different age groups (CAMHS, Adult, Aged). </w:t>
      </w:r>
      <w:r w:rsidRPr="008D34FA">
        <w:t>Appendix 2 outlines which measures are required per collection occasion for each age group.</w:t>
      </w:r>
    </w:p>
    <w:p w14:paraId="7520FAD2" w14:textId="77777777" w:rsidR="0060136C" w:rsidRDefault="0060136C" w:rsidP="0060136C">
      <w:pPr>
        <w:pStyle w:val="Heading1"/>
      </w:pPr>
      <w:bookmarkStart w:id="8" w:name="_Toc58436899"/>
      <w:bookmarkStart w:id="9" w:name="_Toc67645547"/>
      <w:r>
        <w:t>Protocol application in Victoria</w:t>
      </w:r>
      <w:bookmarkEnd w:id="8"/>
      <w:bookmarkEnd w:id="9"/>
    </w:p>
    <w:p w14:paraId="0D433930" w14:textId="77777777" w:rsidR="0060136C" w:rsidRDefault="0060136C" w:rsidP="0060136C">
      <w:pPr>
        <w:pStyle w:val="Body"/>
      </w:pPr>
      <w:r w:rsidRPr="007A0071">
        <w:t>The key general protocol principles and service-specific protocol requirements are outlined here.</w:t>
      </w:r>
      <w:r>
        <w:t xml:space="preserve"> </w:t>
      </w:r>
      <w:r w:rsidRPr="007A0071">
        <w:t xml:space="preserve">More information can be found in </w:t>
      </w:r>
      <w:proofErr w:type="gramStart"/>
      <w:r w:rsidRPr="0060136C">
        <w:rPr>
          <w:i/>
          <w:iCs/>
        </w:rPr>
        <w:t>Technical</w:t>
      </w:r>
      <w:proofErr w:type="gramEnd"/>
      <w:r w:rsidRPr="0060136C">
        <w:rPr>
          <w:i/>
          <w:iCs/>
        </w:rPr>
        <w:t xml:space="preserve"> specification of state and territory reporting requirements for the outcomes and </w:t>
      </w:r>
      <w:proofErr w:type="spellStart"/>
      <w:r w:rsidRPr="0060136C">
        <w:rPr>
          <w:i/>
          <w:iCs/>
        </w:rPr>
        <w:t>casemix</w:t>
      </w:r>
      <w:proofErr w:type="spellEnd"/>
      <w:r w:rsidRPr="0060136C">
        <w:rPr>
          <w:i/>
          <w:iCs/>
        </w:rPr>
        <w:t xml:space="preserve"> components of ‘Agreed data’</w:t>
      </w:r>
      <w:r w:rsidRPr="0060136C">
        <w:t xml:space="preserve"> </w:t>
      </w:r>
      <w:r w:rsidRPr="003F620A">
        <w:t xml:space="preserve">Version </w:t>
      </w:r>
      <w:r>
        <w:t>2.02</w:t>
      </w:r>
      <w:r w:rsidRPr="003F620A">
        <w:t>.</w:t>
      </w:r>
    </w:p>
    <w:p w14:paraId="66F59351" w14:textId="00C61C92" w:rsidR="0060136C" w:rsidRPr="0060136C" w:rsidRDefault="0060136C" w:rsidP="0060136C">
      <w:pPr>
        <w:pStyle w:val="Heading2"/>
      </w:pPr>
      <w:bookmarkStart w:id="10" w:name="_Toc58436900"/>
      <w:bookmarkStart w:id="11" w:name="_Toc67645548"/>
      <w:r>
        <w:t xml:space="preserve">1. </w:t>
      </w:r>
      <w:r w:rsidRPr="0060136C">
        <w:t>Compliance with NOCC protocol</w:t>
      </w:r>
      <w:bookmarkEnd w:id="10"/>
      <w:bookmarkEnd w:id="11"/>
    </w:p>
    <w:p w14:paraId="7621830F" w14:textId="77777777" w:rsidR="0060136C" w:rsidRDefault="0060136C" w:rsidP="00E64EFE">
      <w:pPr>
        <w:pStyle w:val="Body"/>
      </w:pPr>
      <w:r w:rsidRPr="007A0071">
        <w:t xml:space="preserve">1.1 </w:t>
      </w:r>
      <w:r>
        <w:t>DHHS</w:t>
      </w:r>
      <w:r w:rsidRPr="007A0071">
        <w:t xml:space="preserve"> requires all clinical mental health services in Victoria to comply</w:t>
      </w:r>
      <w:r>
        <w:t xml:space="preserve"> </w:t>
      </w:r>
      <w:r w:rsidRPr="007A0071">
        <w:t>with the National OM protocol.</w:t>
      </w:r>
    </w:p>
    <w:p w14:paraId="7EADC138" w14:textId="77777777" w:rsidR="0060136C" w:rsidRPr="007A0071" w:rsidRDefault="0060136C" w:rsidP="0060136C">
      <w:pPr>
        <w:autoSpaceDE w:val="0"/>
        <w:autoSpaceDN w:val="0"/>
        <w:adjustRightInd w:val="0"/>
        <w:spacing w:after="0" w:line="276" w:lineRule="auto"/>
        <w:rPr>
          <w:rFonts w:cs="CorporateSBQ-Light"/>
        </w:rPr>
      </w:pPr>
    </w:p>
    <w:p w14:paraId="5ABCF436" w14:textId="24CA27B2" w:rsidR="0060136C" w:rsidRPr="00E64EFE" w:rsidRDefault="0060136C" w:rsidP="00917E94">
      <w:pPr>
        <w:pStyle w:val="Bulletafternumbers1"/>
        <w:numPr>
          <w:ilvl w:val="0"/>
          <w:numId w:val="14"/>
        </w:numPr>
      </w:pPr>
      <w:r w:rsidRPr="00E64EFE">
        <w:t>Compliance requires the completion of all measures specified for each service setting and reason for</w:t>
      </w:r>
      <w:r w:rsidR="00E64EFE" w:rsidRPr="00E64EFE">
        <w:t xml:space="preserve"> </w:t>
      </w:r>
      <w:r w:rsidRPr="00E64EFE">
        <w:t>collection (refer to Appendix 2).</w:t>
      </w:r>
    </w:p>
    <w:p w14:paraId="4C11E192" w14:textId="77777777" w:rsidR="00E64EFE" w:rsidRDefault="0060136C" w:rsidP="00917E94">
      <w:pPr>
        <w:pStyle w:val="Bulletafternumbers2"/>
        <w:numPr>
          <w:ilvl w:val="0"/>
          <w:numId w:val="15"/>
        </w:numPr>
      </w:pPr>
      <w:r w:rsidRPr="00E64EFE">
        <w:t>It involves the completion of relevant clinician-rated measures as well as the offering of the relevant consumer self-assessment measure and the carer version of the consumer self-assessment measure in child and adolescent or youth services.</w:t>
      </w:r>
    </w:p>
    <w:p w14:paraId="6E6B00C0" w14:textId="77777777" w:rsidR="00E64EFE" w:rsidRDefault="0060136C" w:rsidP="00917E94">
      <w:pPr>
        <w:pStyle w:val="Bulletafternumbers1"/>
        <w:numPr>
          <w:ilvl w:val="0"/>
          <w:numId w:val="14"/>
        </w:numPr>
      </w:pPr>
      <w:r w:rsidRPr="00E64EFE">
        <w:t xml:space="preserve">Clinicians are required to offer the self-assessment measure (BASIS-32® or SDQ for children and young people) at ‘admission/intake’, ‘review’ and ‘discharge’ in </w:t>
      </w:r>
      <w:r w:rsidRPr="00E64EFE">
        <w:rPr>
          <w:b/>
          <w:bCs/>
        </w:rPr>
        <w:t>Ambulatory</w:t>
      </w:r>
      <w:r w:rsidRPr="00E64EFE">
        <w:t xml:space="preserve"> and </w:t>
      </w:r>
      <w:r w:rsidRPr="00E64EFE">
        <w:rPr>
          <w:b/>
          <w:bCs/>
        </w:rPr>
        <w:t>Community Residential</w:t>
      </w:r>
      <w:r w:rsidRPr="00E64EFE">
        <w:t xml:space="preserve"> settings, unless contra-indicated.</w:t>
      </w:r>
    </w:p>
    <w:p w14:paraId="764CA141" w14:textId="1A08C282" w:rsidR="0060136C" w:rsidRPr="00242828" w:rsidRDefault="00E64EFE" w:rsidP="00917E94">
      <w:pPr>
        <w:pStyle w:val="Bulletafternumbers1"/>
        <w:numPr>
          <w:ilvl w:val="0"/>
          <w:numId w:val="14"/>
        </w:numPr>
      </w:pPr>
      <w:r>
        <w:t>I</w:t>
      </w:r>
      <w:r w:rsidR="0060136C" w:rsidRPr="00E64EFE">
        <w:t>t is essential that accurate ratings are entered onto the Client Management Interface (CMI) in a timely manner (refer to Appendix 3).</w:t>
      </w:r>
    </w:p>
    <w:p w14:paraId="2EAA1BF0" w14:textId="77777777" w:rsidR="00E64EFE" w:rsidRPr="009000F5" w:rsidRDefault="00E64EFE" w:rsidP="00E64EFE">
      <w:pPr>
        <w:pStyle w:val="Heading2"/>
      </w:pPr>
      <w:bookmarkStart w:id="12" w:name="_Toc58436901"/>
      <w:bookmarkStart w:id="13" w:name="_Toc67645549"/>
      <w:r>
        <w:t>2. Outcome measurement Reviews – ’91-day review’ and ‘discretionary review’</w:t>
      </w:r>
      <w:bookmarkEnd w:id="12"/>
      <w:bookmarkEnd w:id="13"/>
    </w:p>
    <w:p w14:paraId="7CC78519" w14:textId="77777777" w:rsidR="00E64EFE" w:rsidRPr="00E64EFE" w:rsidRDefault="00E64EFE" w:rsidP="00E64EFE">
      <w:pPr>
        <w:pStyle w:val="Body"/>
      </w:pPr>
      <w:r w:rsidRPr="00623D8D">
        <w:t>2</w:t>
      </w:r>
      <w:r w:rsidRPr="00E64EFE">
        <w:t xml:space="preserve">.1 The department requires all consumers who remain continuously in an Inpatient, Ambulatory and Community Residential setting in public clinical mental health services, to have OM reviews completed at least every 91 days. The ‘91-day review’ requirement is consistent with the </w:t>
      </w:r>
      <w:r w:rsidRPr="00623D8D">
        <w:rPr>
          <w:i/>
          <w:iCs/>
        </w:rPr>
        <w:t>National Standards for Mental Health Services 2010</w:t>
      </w:r>
      <w:r w:rsidRPr="00E64EFE">
        <w:t>, which require consumers of public clinical mental health services to have a comprehensive clinical review by a multi-disciplinary team at least every three months. This requirement is not intended to restrict more frequent OM reviews.</w:t>
      </w:r>
    </w:p>
    <w:p w14:paraId="301F67E6" w14:textId="3266BA79" w:rsidR="00E64EFE" w:rsidRPr="00E64EFE" w:rsidRDefault="00E64EFE" w:rsidP="00E64EFE">
      <w:pPr>
        <w:pStyle w:val="Body"/>
      </w:pPr>
      <w:r w:rsidRPr="00E64EFE">
        <w:t>2.2 A ‘discretionary review’ allows for review ratings before 91 days have elapsed, for example, when clinical</w:t>
      </w:r>
      <w:r>
        <w:t xml:space="preserve"> </w:t>
      </w:r>
      <w:r w:rsidRPr="00E64EFE">
        <w:t>factors indicate that a review is necessary, and a consumer enters a new Phase of Care.</w:t>
      </w:r>
    </w:p>
    <w:p w14:paraId="229D3C5E" w14:textId="589BAAB3" w:rsidR="00E64EFE" w:rsidRPr="00E64EFE" w:rsidRDefault="00E64EFE" w:rsidP="00E64EFE">
      <w:pPr>
        <w:pStyle w:val="Body"/>
      </w:pPr>
      <w:r w:rsidRPr="00E64EFE">
        <w:t>2.3 Both ‘91-day’ and ‘discretionary’ OM reviews require the full suite of measures for a review collection</w:t>
      </w:r>
      <w:r>
        <w:t xml:space="preserve"> </w:t>
      </w:r>
      <w:r w:rsidRPr="00E64EFE">
        <w:t>occasion for the relevant age group (refer to Appendix 2).</w:t>
      </w:r>
    </w:p>
    <w:p w14:paraId="432C0415" w14:textId="77777777" w:rsidR="00623D8D" w:rsidRDefault="00623D8D" w:rsidP="00623D8D">
      <w:pPr>
        <w:pStyle w:val="Heading2"/>
      </w:pPr>
      <w:bookmarkStart w:id="14" w:name="_Toc58436902"/>
      <w:bookmarkStart w:id="15" w:name="_Toc67645550"/>
      <w:r>
        <w:t>3. Consumer movement between setting</w:t>
      </w:r>
      <w:bookmarkEnd w:id="14"/>
      <w:bookmarkEnd w:id="15"/>
    </w:p>
    <w:p w14:paraId="0AA56FCD" w14:textId="77777777" w:rsidR="00623D8D" w:rsidRPr="004D119A" w:rsidRDefault="00623D8D" w:rsidP="00623D8D">
      <w:pPr>
        <w:pStyle w:val="Body"/>
      </w:pPr>
      <w:r>
        <w:t xml:space="preserve">3.1 </w:t>
      </w:r>
      <w:r w:rsidRPr="004D119A">
        <w:t>As a general rule, the setting dictates the choice of measures (CAMHS, Adult or Aged). Outcome measures</w:t>
      </w:r>
      <w:r>
        <w:t xml:space="preserve"> </w:t>
      </w:r>
      <w:r w:rsidRPr="004D119A">
        <w:t xml:space="preserve">are collected in </w:t>
      </w:r>
      <w:r w:rsidRPr="004D119A">
        <w:rPr>
          <w:i/>
          <w:iCs/>
        </w:rPr>
        <w:t>matched pairs</w:t>
      </w:r>
      <w:r w:rsidRPr="004D119A">
        <w:t>, so when:</w:t>
      </w:r>
    </w:p>
    <w:p w14:paraId="07BEBA9B" w14:textId="77777777" w:rsidR="00623D8D" w:rsidRDefault="00623D8D" w:rsidP="00623D8D">
      <w:pPr>
        <w:pStyle w:val="Bulletafternumbers1"/>
        <w:numPr>
          <w:ilvl w:val="0"/>
          <w:numId w:val="18"/>
        </w:numPr>
      </w:pPr>
      <w:r w:rsidRPr="004D119A">
        <w:t xml:space="preserve">An exiting CAMHS consumer is referred to an </w:t>
      </w:r>
      <w:proofErr w:type="gramStart"/>
      <w:r w:rsidRPr="004D119A">
        <w:t>Adult</w:t>
      </w:r>
      <w:proofErr w:type="gramEnd"/>
      <w:r w:rsidRPr="004D119A">
        <w:t xml:space="preserve"> service, both ‘discharge’ CAMHS measures and</w:t>
      </w:r>
      <w:r>
        <w:t xml:space="preserve"> </w:t>
      </w:r>
      <w:r w:rsidRPr="004D119A">
        <w:t xml:space="preserve">‘intake/admission’ Adult measures need to be </w:t>
      </w:r>
      <w:proofErr w:type="gramStart"/>
      <w:r w:rsidRPr="004D119A">
        <w:t>completed;</w:t>
      </w:r>
      <w:proofErr w:type="gramEnd"/>
    </w:p>
    <w:p w14:paraId="3B098973" w14:textId="77777777" w:rsidR="00623D8D" w:rsidRPr="004D119A" w:rsidRDefault="00623D8D" w:rsidP="00623D8D">
      <w:pPr>
        <w:pStyle w:val="Bulletafternumbers1"/>
        <w:numPr>
          <w:ilvl w:val="0"/>
          <w:numId w:val="18"/>
        </w:numPr>
      </w:pPr>
      <w:r w:rsidRPr="004D119A">
        <w:lastRenderedPageBreak/>
        <w:t xml:space="preserve">An exiting </w:t>
      </w:r>
      <w:proofErr w:type="gramStart"/>
      <w:r w:rsidRPr="004D119A">
        <w:t>Adult</w:t>
      </w:r>
      <w:proofErr w:type="gramEnd"/>
      <w:r w:rsidRPr="004D119A">
        <w:t xml:space="preserve"> consumer is referred to an </w:t>
      </w:r>
      <w:proofErr w:type="gramStart"/>
      <w:r w:rsidRPr="004D119A">
        <w:t>Aged</w:t>
      </w:r>
      <w:proofErr w:type="gramEnd"/>
      <w:r w:rsidRPr="004D119A">
        <w:t xml:space="preserve"> service, both ‘discharge’ Adult measures and ‘intake/admission’ Aged measures need to be completed.</w:t>
      </w:r>
    </w:p>
    <w:p w14:paraId="77EAE301" w14:textId="77777777" w:rsidR="00623D8D" w:rsidRDefault="00623D8D" w:rsidP="00623D8D">
      <w:pPr>
        <w:ind w:left="360" w:firstLine="360"/>
      </w:pPr>
      <w:r w:rsidRPr="004D119A">
        <w:t>Youth Services are an exception to this rule – refer: ‘Service-specific protocol requirements’ item 5.</w:t>
      </w:r>
      <w:r>
        <w:t xml:space="preserve"> </w:t>
      </w:r>
    </w:p>
    <w:p w14:paraId="0913A297" w14:textId="77777777" w:rsidR="00623D8D" w:rsidRDefault="00623D8D" w:rsidP="00623D8D">
      <w:pPr>
        <w:pStyle w:val="Body"/>
      </w:pPr>
      <w:r w:rsidRPr="004D119A">
        <w:t xml:space="preserve">3.2 When an existing </w:t>
      </w:r>
      <w:r w:rsidRPr="004D119A">
        <w:rPr>
          <w:b/>
          <w:bCs/>
        </w:rPr>
        <w:t>Ambulatory</w:t>
      </w:r>
      <w:r w:rsidRPr="004D119A">
        <w:t xml:space="preserve"> consumer transfers between </w:t>
      </w:r>
      <w:r w:rsidRPr="004D119A">
        <w:rPr>
          <w:b/>
          <w:bCs/>
        </w:rPr>
        <w:t>Ambulatory</w:t>
      </w:r>
      <w:r w:rsidRPr="004D119A">
        <w:t xml:space="preserve"> teams in the same health service,</w:t>
      </w:r>
      <w:r>
        <w:t xml:space="preserve"> </w:t>
      </w:r>
      <w:r w:rsidRPr="004D119A">
        <w:t xml:space="preserve">OM is </w:t>
      </w:r>
      <w:r w:rsidRPr="004D119A">
        <w:rPr>
          <w:u w:val="single"/>
        </w:rPr>
        <w:t>not required</w:t>
      </w:r>
      <w:r w:rsidRPr="004D119A">
        <w:t xml:space="preserve"> because there is no change in setting</w:t>
      </w:r>
      <w:r>
        <w:t xml:space="preserve"> </w:t>
      </w:r>
      <w:r w:rsidRPr="003F620A">
        <w:t>except if a consumer’s Phase of Care changes.</w:t>
      </w:r>
      <w:r w:rsidRPr="004D119A">
        <w:t xml:space="preserve"> However, if services wish to track ratings at transfer</w:t>
      </w:r>
      <w:r>
        <w:t xml:space="preserve"> </w:t>
      </w:r>
      <w:r w:rsidRPr="004D119A">
        <w:t>points, the relevant suite of measures can be completed as a ‘discretionary review</w:t>
      </w:r>
      <w:r>
        <w:t>.’</w:t>
      </w:r>
    </w:p>
    <w:p w14:paraId="51512CD5" w14:textId="77777777" w:rsidR="00623D8D" w:rsidRPr="004D119A" w:rsidRDefault="00623D8D" w:rsidP="00623D8D">
      <w:pPr>
        <w:pStyle w:val="Body"/>
      </w:pPr>
      <w:r>
        <w:t xml:space="preserve">3.3 </w:t>
      </w:r>
      <w:r w:rsidRPr="0029054C">
        <w:t xml:space="preserve">The table below outlines OM requirements relevant for </w:t>
      </w:r>
      <w:proofErr w:type="gramStart"/>
      <w:r w:rsidRPr="0029054C">
        <w:t>particular setting</w:t>
      </w:r>
      <w:proofErr w:type="gramEnd"/>
      <w:r w:rsidRPr="0029054C">
        <w:t xml:space="preserve"> changes</w:t>
      </w:r>
      <w:r>
        <w:t xml:space="preserve"> (refer to Appendix 2 for further details)</w:t>
      </w:r>
      <w:r w:rsidRPr="0029054C">
        <w:t>:</w:t>
      </w:r>
    </w:p>
    <w:tbl>
      <w:tblPr>
        <w:tblStyle w:val="TableGrid"/>
        <w:tblW w:w="10207" w:type="dxa"/>
        <w:tblLook w:val="06A0" w:firstRow="1" w:lastRow="0" w:firstColumn="1" w:lastColumn="0" w:noHBand="1" w:noVBand="1"/>
      </w:tblPr>
      <w:tblGrid>
        <w:gridCol w:w="5103"/>
        <w:gridCol w:w="5104"/>
      </w:tblGrid>
      <w:tr w:rsidR="00623D8D" w14:paraId="63AAEDE6" w14:textId="77777777" w:rsidTr="00623D8D">
        <w:trPr>
          <w:tblHeader/>
        </w:trPr>
        <w:tc>
          <w:tcPr>
            <w:tcW w:w="5103" w:type="dxa"/>
          </w:tcPr>
          <w:p w14:paraId="6526FF89" w14:textId="7F71A1A9" w:rsidR="00623D8D" w:rsidRPr="00CB3285" w:rsidRDefault="00623D8D" w:rsidP="00623D8D">
            <w:pPr>
              <w:pStyle w:val="Tablecolhead"/>
            </w:pPr>
            <w:r w:rsidRPr="00672E08">
              <w:rPr>
                <w:bCs/>
              </w:rPr>
              <w:t>Requirements if:</w:t>
            </w:r>
          </w:p>
        </w:tc>
        <w:tc>
          <w:tcPr>
            <w:tcW w:w="5104" w:type="dxa"/>
          </w:tcPr>
          <w:p w14:paraId="242612C6" w14:textId="3D75F84F" w:rsidR="00623D8D" w:rsidRDefault="00623D8D" w:rsidP="00623D8D">
            <w:pPr>
              <w:pStyle w:val="Tablecolhead"/>
            </w:pPr>
            <w:r w:rsidRPr="00672E08">
              <w:rPr>
                <w:bCs/>
              </w:rPr>
              <w:t>OM required:</w:t>
            </w:r>
          </w:p>
        </w:tc>
      </w:tr>
      <w:tr w:rsidR="00623D8D" w14:paraId="2AA618AD" w14:textId="77777777" w:rsidTr="00623D8D">
        <w:tc>
          <w:tcPr>
            <w:tcW w:w="5103" w:type="dxa"/>
          </w:tcPr>
          <w:p w14:paraId="4A7068F8" w14:textId="158D66E2" w:rsidR="00623D8D" w:rsidRDefault="00623D8D" w:rsidP="00623D8D">
            <w:pPr>
              <w:pStyle w:val="Tabletext"/>
            </w:pPr>
            <w:r w:rsidRPr="00870833">
              <w:rPr>
                <w:b/>
                <w:bCs/>
              </w:rPr>
              <w:t xml:space="preserve">Ambulatory </w:t>
            </w:r>
            <w:r w:rsidRPr="00D81A0C">
              <w:t xml:space="preserve">consumer is admitted to an </w:t>
            </w:r>
            <w:r w:rsidRPr="00870833">
              <w:rPr>
                <w:b/>
                <w:bCs/>
              </w:rPr>
              <w:t>Acute Inpatient</w:t>
            </w:r>
            <w:r w:rsidRPr="00D81A0C">
              <w:t xml:space="preserve"> unit</w:t>
            </w:r>
          </w:p>
        </w:tc>
        <w:tc>
          <w:tcPr>
            <w:tcW w:w="5104" w:type="dxa"/>
          </w:tcPr>
          <w:p w14:paraId="71782EBE" w14:textId="51DAC06D" w:rsidR="00623D8D" w:rsidRDefault="00623D8D" w:rsidP="00623D8D">
            <w:pPr>
              <w:pStyle w:val="Tabletext"/>
            </w:pPr>
            <w:r w:rsidRPr="00870833">
              <w:rPr>
                <w:b/>
                <w:bCs/>
              </w:rPr>
              <w:t>Ambulatory</w:t>
            </w:r>
            <w:r w:rsidRPr="004900D9">
              <w:t xml:space="preserve"> ‘discharge’ OM and </w:t>
            </w:r>
            <w:r w:rsidRPr="00870833">
              <w:rPr>
                <w:b/>
                <w:bCs/>
              </w:rPr>
              <w:t>Inpatient</w:t>
            </w:r>
            <w:r w:rsidRPr="004900D9">
              <w:t xml:space="preserve"> ‘admission’ OM</w:t>
            </w:r>
          </w:p>
        </w:tc>
      </w:tr>
      <w:tr w:rsidR="00623D8D" w:rsidRPr="002365B4" w14:paraId="7EBC9962" w14:textId="77777777" w:rsidTr="00623D8D">
        <w:trPr>
          <w:trHeight w:val="756"/>
        </w:trPr>
        <w:tc>
          <w:tcPr>
            <w:tcW w:w="5103" w:type="dxa"/>
          </w:tcPr>
          <w:p w14:paraId="410D5CD2" w14:textId="4CB13EB0" w:rsidR="00623D8D" w:rsidRPr="002365B4" w:rsidRDefault="00623D8D" w:rsidP="00623D8D">
            <w:pPr>
              <w:pStyle w:val="Tabletext6pt"/>
            </w:pPr>
            <w:r w:rsidRPr="00870833">
              <w:rPr>
                <w:b/>
                <w:bCs/>
              </w:rPr>
              <w:t xml:space="preserve">Ambulatory </w:t>
            </w:r>
            <w:r w:rsidRPr="00D81A0C">
              <w:t xml:space="preserve">consumer is admitted to a </w:t>
            </w:r>
            <w:r w:rsidRPr="00870833">
              <w:rPr>
                <w:b/>
                <w:bCs/>
              </w:rPr>
              <w:t>Community Residential</w:t>
            </w:r>
            <w:r>
              <w:t xml:space="preserve"> </w:t>
            </w:r>
            <w:r w:rsidRPr="00D81A0C">
              <w:t>unit</w:t>
            </w:r>
          </w:p>
        </w:tc>
        <w:tc>
          <w:tcPr>
            <w:tcW w:w="5104" w:type="dxa"/>
          </w:tcPr>
          <w:p w14:paraId="20F1FE7C" w14:textId="21036D9F" w:rsidR="00623D8D" w:rsidRPr="002365B4" w:rsidRDefault="00623D8D" w:rsidP="00623D8D">
            <w:pPr>
              <w:pStyle w:val="Tabletext6pt"/>
            </w:pPr>
            <w:r w:rsidRPr="00870833">
              <w:rPr>
                <w:b/>
                <w:bCs/>
              </w:rPr>
              <w:t>Ambulatory</w:t>
            </w:r>
            <w:r w:rsidRPr="004900D9">
              <w:t xml:space="preserve"> ‘discharge’ OM </w:t>
            </w:r>
            <w:r w:rsidRPr="00870833">
              <w:rPr>
                <w:b/>
                <w:bCs/>
              </w:rPr>
              <w:t>and Community Residential</w:t>
            </w:r>
            <w:r>
              <w:t xml:space="preserve"> </w:t>
            </w:r>
            <w:r w:rsidRPr="004900D9">
              <w:t>‘admission’ OM</w:t>
            </w:r>
          </w:p>
        </w:tc>
      </w:tr>
      <w:tr w:rsidR="00623D8D" w:rsidRPr="002365B4" w14:paraId="3268A1E6" w14:textId="77777777" w:rsidTr="00623D8D">
        <w:trPr>
          <w:trHeight w:val="756"/>
        </w:trPr>
        <w:tc>
          <w:tcPr>
            <w:tcW w:w="5103" w:type="dxa"/>
          </w:tcPr>
          <w:p w14:paraId="5BA5F051" w14:textId="1B911DB1" w:rsidR="00623D8D" w:rsidRPr="00870833" w:rsidRDefault="00623D8D" w:rsidP="00623D8D">
            <w:pPr>
              <w:pStyle w:val="Tabletext6pt"/>
              <w:rPr>
                <w:b/>
                <w:bCs/>
              </w:rPr>
            </w:pPr>
            <w:r w:rsidRPr="00D81A0C">
              <w:t xml:space="preserve">Consumer is discharged from an </w:t>
            </w:r>
            <w:r w:rsidRPr="00870833">
              <w:rPr>
                <w:b/>
                <w:bCs/>
              </w:rPr>
              <w:t xml:space="preserve">Inpatient </w:t>
            </w:r>
            <w:r w:rsidRPr="00870833">
              <w:t xml:space="preserve">unit </w:t>
            </w:r>
            <w:r w:rsidRPr="00D81A0C">
              <w:t>to return to an</w:t>
            </w:r>
            <w:r>
              <w:t xml:space="preserve"> </w:t>
            </w:r>
            <w:r w:rsidRPr="00870833">
              <w:rPr>
                <w:b/>
                <w:bCs/>
              </w:rPr>
              <w:t>Ambulatory</w:t>
            </w:r>
            <w:r w:rsidRPr="00D81A0C">
              <w:t xml:space="preserve"> team</w:t>
            </w:r>
          </w:p>
        </w:tc>
        <w:tc>
          <w:tcPr>
            <w:tcW w:w="5104" w:type="dxa"/>
          </w:tcPr>
          <w:p w14:paraId="08013C08" w14:textId="292CDA3B" w:rsidR="00623D8D" w:rsidRPr="00870833" w:rsidRDefault="00623D8D" w:rsidP="00623D8D">
            <w:pPr>
              <w:pStyle w:val="Tabletext6pt"/>
              <w:rPr>
                <w:b/>
                <w:bCs/>
              </w:rPr>
            </w:pPr>
            <w:r w:rsidRPr="00870833">
              <w:rPr>
                <w:b/>
              </w:rPr>
              <w:t>Inpatient</w:t>
            </w:r>
            <w:r w:rsidRPr="004900D9">
              <w:rPr>
                <w:bCs/>
              </w:rPr>
              <w:t xml:space="preserve"> ‘discharge’ OM and </w:t>
            </w:r>
            <w:r w:rsidRPr="00870833">
              <w:rPr>
                <w:b/>
              </w:rPr>
              <w:t>Ambulatory</w:t>
            </w:r>
            <w:r w:rsidRPr="004900D9">
              <w:rPr>
                <w:bCs/>
              </w:rPr>
              <w:t xml:space="preserve"> ‘intake’ OM</w:t>
            </w:r>
          </w:p>
        </w:tc>
      </w:tr>
      <w:tr w:rsidR="00623D8D" w:rsidRPr="002365B4" w14:paraId="424CDC13" w14:textId="77777777" w:rsidTr="00623D8D">
        <w:trPr>
          <w:trHeight w:val="756"/>
        </w:trPr>
        <w:tc>
          <w:tcPr>
            <w:tcW w:w="5103" w:type="dxa"/>
          </w:tcPr>
          <w:p w14:paraId="66C65AFA" w14:textId="38BCD57D" w:rsidR="00623D8D" w:rsidRPr="00870833" w:rsidRDefault="00623D8D" w:rsidP="00623D8D">
            <w:pPr>
              <w:pStyle w:val="Tabletext6pt"/>
              <w:rPr>
                <w:b/>
                <w:bCs/>
              </w:rPr>
            </w:pPr>
            <w:r w:rsidRPr="00D81A0C">
              <w:t xml:space="preserve">Consumer is discharged from </w:t>
            </w:r>
            <w:r w:rsidRPr="00870833">
              <w:rPr>
                <w:b/>
                <w:bCs/>
              </w:rPr>
              <w:t xml:space="preserve">Inpatient </w:t>
            </w:r>
            <w:r w:rsidRPr="00D81A0C">
              <w:t>unit and admitted to</w:t>
            </w:r>
            <w:r>
              <w:t xml:space="preserve"> </w:t>
            </w:r>
            <w:r w:rsidRPr="00D81A0C">
              <w:t xml:space="preserve">a </w:t>
            </w:r>
            <w:r w:rsidRPr="00DB51D6">
              <w:rPr>
                <w:b/>
                <w:bCs/>
              </w:rPr>
              <w:t>Community Residential</w:t>
            </w:r>
            <w:r w:rsidRPr="00D81A0C">
              <w:t xml:space="preserve"> unit</w:t>
            </w:r>
          </w:p>
        </w:tc>
        <w:tc>
          <w:tcPr>
            <w:tcW w:w="5104" w:type="dxa"/>
          </w:tcPr>
          <w:p w14:paraId="629D2978" w14:textId="3F56DDE6" w:rsidR="00623D8D" w:rsidRPr="00870833" w:rsidRDefault="00623D8D" w:rsidP="00623D8D">
            <w:pPr>
              <w:pStyle w:val="Tabletext6pt"/>
              <w:rPr>
                <w:b/>
                <w:bCs/>
              </w:rPr>
            </w:pPr>
            <w:r w:rsidRPr="00870833">
              <w:rPr>
                <w:b/>
              </w:rPr>
              <w:t>Inpatient</w:t>
            </w:r>
            <w:r w:rsidRPr="004900D9">
              <w:rPr>
                <w:bCs/>
              </w:rPr>
              <w:t xml:space="preserve"> ‘discharge’ OM and </w:t>
            </w:r>
            <w:r w:rsidRPr="00870833">
              <w:rPr>
                <w:b/>
              </w:rPr>
              <w:t>Community Residential</w:t>
            </w:r>
            <w:r w:rsidRPr="004900D9">
              <w:rPr>
                <w:bCs/>
              </w:rPr>
              <w:t xml:space="preserve"> ‘admission’ OM</w:t>
            </w:r>
          </w:p>
        </w:tc>
      </w:tr>
      <w:tr w:rsidR="00623D8D" w:rsidRPr="002365B4" w14:paraId="791B6AC1" w14:textId="77777777" w:rsidTr="00623D8D">
        <w:trPr>
          <w:trHeight w:val="756"/>
        </w:trPr>
        <w:tc>
          <w:tcPr>
            <w:tcW w:w="5103" w:type="dxa"/>
          </w:tcPr>
          <w:p w14:paraId="39A942D0" w14:textId="028B90F5" w:rsidR="00623D8D" w:rsidRPr="00870833" w:rsidRDefault="00623D8D" w:rsidP="00623D8D">
            <w:pPr>
              <w:pStyle w:val="Tabletext6pt"/>
              <w:rPr>
                <w:b/>
                <w:bCs/>
              </w:rPr>
            </w:pPr>
            <w:r w:rsidRPr="00D81A0C">
              <w:t xml:space="preserve">Consumer is discharged from </w:t>
            </w:r>
            <w:r w:rsidRPr="00DB51D6">
              <w:t>a</w:t>
            </w:r>
            <w:r w:rsidRPr="00DB51D6">
              <w:rPr>
                <w:b/>
                <w:bCs/>
              </w:rPr>
              <w:t xml:space="preserve"> Community Residential</w:t>
            </w:r>
            <w:r w:rsidRPr="00D81A0C">
              <w:t xml:space="preserve"> unit and</w:t>
            </w:r>
            <w:r>
              <w:t xml:space="preserve"> </w:t>
            </w:r>
            <w:r w:rsidRPr="00D81A0C">
              <w:t xml:space="preserve">admitted to an </w:t>
            </w:r>
            <w:r w:rsidRPr="00DB51D6">
              <w:rPr>
                <w:b/>
                <w:bCs/>
              </w:rPr>
              <w:t xml:space="preserve">Inpatient </w:t>
            </w:r>
            <w:r w:rsidRPr="00D81A0C">
              <w:t>unit</w:t>
            </w:r>
          </w:p>
        </w:tc>
        <w:tc>
          <w:tcPr>
            <w:tcW w:w="5104" w:type="dxa"/>
          </w:tcPr>
          <w:p w14:paraId="2D74E900" w14:textId="3F44B6A9" w:rsidR="00623D8D" w:rsidRPr="00870833" w:rsidRDefault="00623D8D" w:rsidP="00623D8D">
            <w:pPr>
              <w:pStyle w:val="Tabletext6pt"/>
              <w:rPr>
                <w:b/>
                <w:bCs/>
              </w:rPr>
            </w:pPr>
            <w:r w:rsidRPr="00DB51D6">
              <w:rPr>
                <w:b/>
              </w:rPr>
              <w:t>Community Residential</w:t>
            </w:r>
            <w:r w:rsidRPr="004900D9">
              <w:rPr>
                <w:bCs/>
              </w:rPr>
              <w:t xml:space="preserve"> ‘discharge’ OM and </w:t>
            </w:r>
            <w:r w:rsidRPr="00DB51D6">
              <w:rPr>
                <w:b/>
              </w:rPr>
              <w:t>Inpatient</w:t>
            </w:r>
            <w:r>
              <w:rPr>
                <w:bCs/>
              </w:rPr>
              <w:t xml:space="preserve"> </w:t>
            </w:r>
            <w:r w:rsidRPr="004900D9">
              <w:rPr>
                <w:bCs/>
              </w:rPr>
              <w:t>‘admission’ OM</w:t>
            </w:r>
          </w:p>
        </w:tc>
      </w:tr>
      <w:tr w:rsidR="00623D8D" w:rsidRPr="002365B4" w14:paraId="35A2DB87" w14:textId="77777777" w:rsidTr="00623D8D">
        <w:trPr>
          <w:trHeight w:val="756"/>
        </w:trPr>
        <w:tc>
          <w:tcPr>
            <w:tcW w:w="5103" w:type="dxa"/>
          </w:tcPr>
          <w:p w14:paraId="5A257733" w14:textId="4A2038F4" w:rsidR="00623D8D" w:rsidRPr="00870833" w:rsidRDefault="00623D8D" w:rsidP="00623D8D">
            <w:pPr>
              <w:pStyle w:val="Tabletext6pt"/>
              <w:rPr>
                <w:b/>
                <w:bCs/>
              </w:rPr>
            </w:pPr>
            <w:r w:rsidRPr="00D81A0C">
              <w:t xml:space="preserve">Consumer is discharged from </w:t>
            </w:r>
            <w:r w:rsidRPr="00DB51D6">
              <w:rPr>
                <w:b/>
                <w:bCs/>
              </w:rPr>
              <w:t>Community Residential</w:t>
            </w:r>
            <w:r w:rsidRPr="00D81A0C">
              <w:t xml:space="preserve"> unit and</w:t>
            </w:r>
            <w:r>
              <w:t xml:space="preserve"> </w:t>
            </w:r>
            <w:r w:rsidRPr="00D81A0C">
              <w:t xml:space="preserve">returns to an </w:t>
            </w:r>
            <w:r w:rsidRPr="00DB51D6">
              <w:rPr>
                <w:b/>
                <w:bCs/>
              </w:rPr>
              <w:t>Ambulatory</w:t>
            </w:r>
            <w:r w:rsidRPr="00D81A0C">
              <w:t xml:space="preserve"> team</w:t>
            </w:r>
          </w:p>
        </w:tc>
        <w:tc>
          <w:tcPr>
            <w:tcW w:w="5104" w:type="dxa"/>
          </w:tcPr>
          <w:p w14:paraId="6A5ABA1D" w14:textId="5135C507" w:rsidR="00623D8D" w:rsidRPr="00870833" w:rsidRDefault="00623D8D" w:rsidP="00623D8D">
            <w:pPr>
              <w:pStyle w:val="Tabletext6pt"/>
              <w:rPr>
                <w:b/>
                <w:bCs/>
              </w:rPr>
            </w:pPr>
            <w:r w:rsidRPr="00DB51D6">
              <w:rPr>
                <w:b/>
              </w:rPr>
              <w:t>Community Residential</w:t>
            </w:r>
            <w:r w:rsidRPr="004900D9">
              <w:rPr>
                <w:bCs/>
              </w:rPr>
              <w:t xml:space="preserve"> ‘discharge’ OM and </w:t>
            </w:r>
            <w:r w:rsidRPr="00DB51D6">
              <w:rPr>
                <w:b/>
              </w:rPr>
              <w:t>Ambulatory</w:t>
            </w:r>
            <w:r w:rsidRPr="004900D9">
              <w:rPr>
                <w:bCs/>
              </w:rPr>
              <w:t xml:space="preserve"> ‘intake’ OM</w:t>
            </w:r>
          </w:p>
        </w:tc>
      </w:tr>
      <w:tr w:rsidR="00623D8D" w:rsidRPr="002365B4" w14:paraId="49F103F8" w14:textId="77777777" w:rsidTr="00623D8D">
        <w:trPr>
          <w:trHeight w:val="756"/>
        </w:trPr>
        <w:tc>
          <w:tcPr>
            <w:tcW w:w="5103" w:type="dxa"/>
          </w:tcPr>
          <w:p w14:paraId="6202E021" w14:textId="16D475F6" w:rsidR="00623D8D" w:rsidRPr="00870833" w:rsidRDefault="00623D8D" w:rsidP="00623D8D">
            <w:pPr>
              <w:pStyle w:val="Tabletext6pt"/>
              <w:rPr>
                <w:b/>
                <w:bCs/>
              </w:rPr>
            </w:pPr>
            <w:r w:rsidRPr="00D81A0C">
              <w:t>Consumer is discharged from a service (and has no further service</w:t>
            </w:r>
            <w:r>
              <w:t xml:space="preserve"> </w:t>
            </w:r>
            <w:r w:rsidRPr="00D81A0C">
              <w:t>setting involvement)</w:t>
            </w:r>
            <w:r>
              <w:t xml:space="preserve"> </w:t>
            </w:r>
          </w:p>
        </w:tc>
        <w:tc>
          <w:tcPr>
            <w:tcW w:w="5104" w:type="dxa"/>
          </w:tcPr>
          <w:p w14:paraId="235D3618" w14:textId="6FBE1EBA" w:rsidR="00623D8D" w:rsidRPr="00870833" w:rsidRDefault="00623D8D" w:rsidP="00623D8D">
            <w:pPr>
              <w:pStyle w:val="Tabletext6pt"/>
              <w:rPr>
                <w:b/>
                <w:bCs/>
              </w:rPr>
            </w:pPr>
            <w:r w:rsidRPr="00DB51D6">
              <w:rPr>
                <w:b/>
              </w:rPr>
              <w:t>Inpatient, Community Residential</w:t>
            </w:r>
            <w:r w:rsidRPr="004900D9">
              <w:rPr>
                <w:bCs/>
              </w:rPr>
              <w:t xml:space="preserve"> or </w:t>
            </w:r>
            <w:r w:rsidRPr="00DB51D6">
              <w:rPr>
                <w:b/>
              </w:rPr>
              <w:t xml:space="preserve">Ambulatory </w:t>
            </w:r>
            <w:r w:rsidRPr="004900D9">
              <w:rPr>
                <w:bCs/>
              </w:rPr>
              <w:t>‘discharge’ OM (from either, as appropriate)</w:t>
            </w:r>
            <w:r w:rsidRPr="00672E08">
              <w:rPr>
                <w:b/>
                <w:bCs/>
                <w:highlight w:val="yellow"/>
              </w:rPr>
              <w:t xml:space="preserve"> </w:t>
            </w:r>
          </w:p>
        </w:tc>
      </w:tr>
      <w:tr w:rsidR="00623D8D" w:rsidRPr="002365B4" w14:paraId="66C7651B" w14:textId="77777777" w:rsidTr="00623D8D">
        <w:trPr>
          <w:trHeight w:val="756"/>
        </w:trPr>
        <w:tc>
          <w:tcPr>
            <w:tcW w:w="5103" w:type="dxa"/>
          </w:tcPr>
          <w:p w14:paraId="4C9AA454" w14:textId="6BADC6E5" w:rsidR="00623D8D" w:rsidRPr="00870833" w:rsidRDefault="00623D8D" w:rsidP="00623D8D">
            <w:pPr>
              <w:pStyle w:val="Tabletext6pt"/>
              <w:rPr>
                <w:b/>
                <w:bCs/>
              </w:rPr>
            </w:pPr>
            <w:r w:rsidRPr="00D81A0C">
              <w:t xml:space="preserve">PMHEI or youth services </w:t>
            </w:r>
            <w:r w:rsidRPr="00DB51D6">
              <w:rPr>
                <w:b/>
                <w:bCs/>
              </w:rPr>
              <w:t>Ambulatory</w:t>
            </w:r>
            <w:r w:rsidRPr="00D81A0C">
              <w:t xml:space="preserve"> consumer turns 18 during</w:t>
            </w:r>
            <w:r>
              <w:t xml:space="preserve"> </w:t>
            </w:r>
            <w:r w:rsidRPr="00D81A0C">
              <w:t>their period of care</w:t>
            </w:r>
          </w:p>
        </w:tc>
        <w:tc>
          <w:tcPr>
            <w:tcW w:w="5104" w:type="dxa"/>
          </w:tcPr>
          <w:p w14:paraId="639F0673" w14:textId="04B42CD1" w:rsidR="00623D8D" w:rsidRPr="00870833" w:rsidRDefault="00623D8D" w:rsidP="00623D8D">
            <w:pPr>
              <w:pStyle w:val="Tabletext6pt"/>
              <w:rPr>
                <w:b/>
                <w:bCs/>
              </w:rPr>
            </w:pPr>
            <w:r w:rsidRPr="004900D9">
              <w:rPr>
                <w:bCs/>
              </w:rPr>
              <w:t xml:space="preserve">At next review: CAMHS </w:t>
            </w:r>
            <w:r w:rsidRPr="00DB51D6">
              <w:rPr>
                <w:b/>
              </w:rPr>
              <w:t>Ambulatory</w:t>
            </w:r>
            <w:r w:rsidRPr="004900D9">
              <w:rPr>
                <w:bCs/>
              </w:rPr>
              <w:t xml:space="preserve"> ‘discharge’ OM and Adult </w:t>
            </w:r>
            <w:r w:rsidRPr="00DB51D6">
              <w:rPr>
                <w:b/>
              </w:rPr>
              <w:t>Ambulatory</w:t>
            </w:r>
            <w:r w:rsidRPr="004900D9">
              <w:rPr>
                <w:bCs/>
              </w:rPr>
              <w:t xml:space="preserve"> ‘intake’ OM</w:t>
            </w:r>
          </w:p>
        </w:tc>
      </w:tr>
      <w:tr w:rsidR="00623D8D" w:rsidRPr="002365B4" w14:paraId="57706975" w14:textId="77777777" w:rsidTr="00623D8D">
        <w:trPr>
          <w:trHeight w:val="756"/>
        </w:trPr>
        <w:tc>
          <w:tcPr>
            <w:tcW w:w="5103" w:type="dxa"/>
          </w:tcPr>
          <w:p w14:paraId="6A5F0852" w14:textId="0F27F784" w:rsidR="00623D8D" w:rsidRPr="00870833" w:rsidRDefault="00623D8D" w:rsidP="00623D8D">
            <w:pPr>
              <w:pStyle w:val="Tabletext6pt"/>
              <w:rPr>
                <w:b/>
                <w:bCs/>
              </w:rPr>
            </w:pPr>
            <w:r w:rsidRPr="00D81A0C">
              <w:t xml:space="preserve">PMHEI </w:t>
            </w:r>
            <w:r w:rsidRPr="00DB51D6">
              <w:rPr>
                <w:b/>
                <w:bCs/>
              </w:rPr>
              <w:t>Ambulatory</w:t>
            </w:r>
            <w:r w:rsidRPr="00D81A0C">
              <w:t xml:space="preserve"> consumer turns 65 during their period of care</w:t>
            </w:r>
          </w:p>
        </w:tc>
        <w:tc>
          <w:tcPr>
            <w:tcW w:w="5104" w:type="dxa"/>
          </w:tcPr>
          <w:p w14:paraId="5ACF22A1" w14:textId="0B4F2F2A" w:rsidR="00623D8D" w:rsidRPr="00870833" w:rsidRDefault="00623D8D" w:rsidP="00623D8D">
            <w:pPr>
              <w:pStyle w:val="Tabletext6pt"/>
              <w:rPr>
                <w:b/>
                <w:bCs/>
              </w:rPr>
            </w:pPr>
            <w:r w:rsidRPr="004900D9">
              <w:rPr>
                <w:bCs/>
              </w:rPr>
              <w:t xml:space="preserve">At next review: Adult </w:t>
            </w:r>
            <w:r w:rsidRPr="00DB51D6">
              <w:rPr>
                <w:b/>
              </w:rPr>
              <w:t>Ambulatory</w:t>
            </w:r>
            <w:r w:rsidRPr="004900D9">
              <w:rPr>
                <w:bCs/>
              </w:rPr>
              <w:t xml:space="preserve"> ‘discharge’ OM and Aged </w:t>
            </w:r>
            <w:r w:rsidRPr="00DB51D6">
              <w:rPr>
                <w:b/>
              </w:rPr>
              <w:t>Ambulatory</w:t>
            </w:r>
            <w:r w:rsidRPr="004900D9">
              <w:rPr>
                <w:bCs/>
              </w:rPr>
              <w:t xml:space="preserve"> ‘intake’ OM</w:t>
            </w:r>
          </w:p>
        </w:tc>
      </w:tr>
      <w:tr w:rsidR="00623D8D" w:rsidRPr="002365B4" w14:paraId="340B2A21" w14:textId="77777777" w:rsidTr="00623D8D">
        <w:trPr>
          <w:trHeight w:val="756"/>
        </w:trPr>
        <w:tc>
          <w:tcPr>
            <w:tcW w:w="5103" w:type="dxa"/>
          </w:tcPr>
          <w:p w14:paraId="608CDA6B" w14:textId="77D1182D" w:rsidR="00623D8D" w:rsidRPr="00870833" w:rsidRDefault="00623D8D" w:rsidP="00623D8D">
            <w:pPr>
              <w:pStyle w:val="Tabletext6pt"/>
              <w:rPr>
                <w:b/>
                <w:bCs/>
              </w:rPr>
            </w:pPr>
            <w:r w:rsidRPr="00D81A0C">
              <w:t xml:space="preserve">Existing </w:t>
            </w:r>
            <w:r w:rsidRPr="00DB51D6">
              <w:rPr>
                <w:b/>
                <w:bCs/>
              </w:rPr>
              <w:t>Ambulatory</w:t>
            </w:r>
            <w:r w:rsidRPr="00D81A0C">
              <w:t xml:space="preserve"> consumer ceases case management</w:t>
            </w:r>
            <w:r>
              <w:t xml:space="preserve"> </w:t>
            </w:r>
            <w:r w:rsidRPr="00D81A0C">
              <w:t>and is referred to Clozapine co-ordinator</w:t>
            </w:r>
          </w:p>
        </w:tc>
        <w:tc>
          <w:tcPr>
            <w:tcW w:w="5104" w:type="dxa"/>
          </w:tcPr>
          <w:p w14:paraId="16A4317C" w14:textId="2B995FD9" w:rsidR="00623D8D" w:rsidRPr="00870833" w:rsidRDefault="00623D8D" w:rsidP="00623D8D">
            <w:pPr>
              <w:pStyle w:val="Tabletext6pt"/>
              <w:rPr>
                <w:b/>
                <w:bCs/>
              </w:rPr>
            </w:pPr>
            <w:r w:rsidRPr="00DB51D6">
              <w:rPr>
                <w:b/>
              </w:rPr>
              <w:t xml:space="preserve">Ambulatory </w:t>
            </w:r>
            <w:r w:rsidRPr="004900D9">
              <w:rPr>
                <w:bCs/>
              </w:rPr>
              <w:t>‘discharge’ OM</w:t>
            </w:r>
          </w:p>
        </w:tc>
      </w:tr>
      <w:tr w:rsidR="00623D8D" w:rsidRPr="002365B4" w14:paraId="1C5B2955" w14:textId="77777777" w:rsidTr="00623D8D">
        <w:trPr>
          <w:trHeight w:val="756"/>
        </w:trPr>
        <w:tc>
          <w:tcPr>
            <w:tcW w:w="5103" w:type="dxa"/>
          </w:tcPr>
          <w:p w14:paraId="13A17EFB" w14:textId="35FED815" w:rsidR="00623D8D" w:rsidRPr="00870833" w:rsidRDefault="00623D8D" w:rsidP="00623D8D">
            <w:pPr>
              <w:pStyle w:val="Tabletext6pt"/>
              <w:rPr>
                <w:b/>
                <w:bCs/>
              </w:rPr>
            </w:pPr>
            <w:r w:rsidRPr="003F620A">
              <w:t>Consumer enters a new Phase of Care during an episode</w:t>
            </w:r>
          </w:p>
        </w:tc>
        <w:tc>
          <w:tcPr>
            <w:tcW w:w="5104" w:type="dxa"/>
          </w:tcPr>
          <w:p w14:paraId="35912592" w14:textId="0CB465B7" w:rsidR="00623D8D" w:rsidRPr="00870833" w:rsidRDefault="00623D8D" w:rsidP="00623D8D">
            <w:pPr>
              <w:pStyle w:val="Tabletext6pt"/>
              <w:rPr>
                <w:b/>
                <w:bCs/>
              </w:rPr>
            </w:pPr>
            <w:r w:rsidRPr="003F620A">
              <w:rPr>
                <w:b/>
              </w:rPr>
              <w:t>Inpatient, Community Residential</w:t>
            </w:r>
            <w:r w:rsidRPr="003F620A">
              <w:rPr>
                <w:bCs/>
              </w:rPr>
              <w:t xml:space="preserve"> or </w:t>
            </w:r>
            <w:r w:rsidRPr="003F620A">
              <w:rPr>
                <w:b/>
              </w:rPr>
              <w:t>Ambulatory</w:t>
            </w:r>
            <w:r w:rsidRPr="003F620A">
              <w:rPr>
                <w:bCs/>
              </w:rPr>
              <w:t xml:space="preserve"> ‘discretionary review’ OM</w:t>
            </w:r>
          </w:p>
        </w:tc>
      </w:tr>
    </w:tbl>
    <w:p w14:paraId="2BBFAABF" w14:textId="64E25C0E" w:rsidR="00E64EFE" w:rsidRDefault="00E64EFE" w:rsidP="006D7093">
      <w:pPr>
        <w:pStyle w:val="Body"/>
      </w:pPr>
    </w:p>
    <w:p w14:paraId="2656A46D" w14:textId="77777777" w:rsidR="00623D8D" w:rsidRPr="00623D8D" w:rsidRDefault="00623D8D" w:rsidP="00623D8D">
      <w:pPr>
        <w:pStyle w:val="Body"/>
        <w:numPr>
          <w:ilvl w:val="1"/>
          <w:numId w:val="19"/>
        </w:numPr>
      </w:pPr>
      <w:r w:rsidRPr="00623D8D">
        <w:t>The department does not support the practice of deeming and will not support CMI changes to facilitate this. Deeming refers to the practice of entering the same rating twice for contiguous episodes, for example the discharge Health of the Nation Outcomes Scales (</w:t>
      </w:r>
      <w:proofErr w:type="spellStart"/>
      <w:r w:rsidRPr="00623D8D">
        <w:t>HoNOS</w:t>
      </w:r>
      <w:proofErr w:type="spellEnd"/>
      <w:r w:rsidRPr="00623D8D">
        <w:t xml:space="preserve">) from an </w:t>
      </w:r>
      <w:r w:rsidRPr="00623D8D">
        <w:rPr>
          <w:b/>
          <w:bCs/>
        </w:rPr>
        <w:t>Inpatient</w:t>
      </w:r>
      <w:r w:rsidRPr="00623D8D">
        <w:t xml:space="preserve"> unit cannot also be entered as the ‘intake’ </w:t>
      </w:r>
      <w:proofErr w:type="spellStart"/>
      <w:r w:rsidRPr="00623D8D">
        <w:t>HoNOS</w:t>
      </w:r>
      <w:proofErr w:type="spellEnd"/>
      <w:r w:rsidRPr="00623D8D">
        <w:t xml:space="preserve"> to an </w:t>
      </w:r>
      <w:r w:rsidRPr="00623D8D">
        <w:rPr>
          <w:b/>
          <w:bCs/>
        </w:rPr>
        <w:t>Ambulatory</w:t>
      </w:r>
      <w:r w:rsidRPr="00623D8D">
        <w:t xml:space="preserve"> setting.</w:t>
      </w:r>
    </w:p>
    <w:p w14:paraId="5AF27254" w14:textId="269E62BF" w:rsidR="00E64EFE" w:rsidRDefault="00E64EFE" w:rsidP="006D7093">
      <w:pPr>
        <w:pStyle w:val="Body"/>
      </w:pPr>
    </w:p>
    <w:p w14:paraId="57CD7D8D" w14:textId="77777777" w:rsidR="00623D8D" w:rsidRPr="00623D8D" w:rsidRDefault="00623D8D" w:rsidP="00623D8D">
      <w:pPr>
        <w:pStyle w:val="Heading2"/>
        <w:rPr>
          <w:rFonts w:eastAsia="Times"/>
        </w:rPr>
      </w:pPr>
      <w:bookmarkStart w:id="16" w:name="_Toc58436903"/>
      <w:bookmarkStart w:id="17" w:name="_Toc67645551"/>
      <w:r w:rsidRPr="00623D8D">
        <w:rPr>
          <w:rFonts w:eastAsia="Times"/>
        </w:rPr>
        <w:lastRenderedPageBreak/>
        <w:t>4. Recording Phase of Care (PoC)</w:t>
      </w:r>
      <w:bookmarkEnd w:id="16"/>
      <w:bookmarkEnd w:id="17"/>
    </w:p>
    <w:p w14:paraId="01566377" w14:textId="77777777" w:rsidR="00623D8D" w:rsidRPr="00623D8D" w:rsidRDefault="00623D8D" w:rsidP="00623D8D">
      <w:pPr>
        <w:pStyle w:val="Body"/>
      </w:pPr>
      <w:r w:rsidRPr="00623D8D">
        <w:t xml:space="preserve">4.1 The PoC is defined as the </w:t>
      </w:r>
      <w:r w:rsidRPr="00623D8D">
        <w:rPr>
          <w:u w:val="single"/>
        </w:rPr>
        <w:t>prospective</w:t>
      </w:r>
      <w:r w:rsidRPr="00623D8D">
        <w:t xml:space="preserve"> primary goal of treatment within the episode of care in terms of the recognised phases of mental health care. Whilst it is recognised that there may be aspects of each mental health PoC represented in the consumer’s mental health plan, the PoC is intended to identify the main goal or aim that will underpin the </w:t>
      </w:r>
      <w:r w:rsidRPr="00623D8D">
        <w:rPr>
          <w:u w:val="single"/>
        </w:rPr>
        <w:t>next period of care</w:t>
      </w:r>
      <w:r w:rsidRPr="00623D8D">
        <w:t>. The mental health PoC is independent of both the treatment setting and the designation of the treating service and does not reflect service unit type.</w:t>
      </w:r>
    </w:p>
    <w:p w14:paraId="6A328C84" w14:textId="77777777" w:rsidR="00623D8D" w:rsidRPr="00623D8D" w:rsidRDefault="00623D8D" w:rsidP="00623D8D">
      <w:pPr>
        <w:pStyle w:val="Body"/>
      </w:pPr>
      <w:r w:rsidRPr="00623D8D">
        <w:t xml:space="preserve">4.2 PoC is to be collected and recorded by all clinical mental health teams in conjunction with the associated age required outcome measures </w:t>
      </w:r>
      <w:r w:rsidRPr="00623D8D">
        <w:rPr>
          <w:b/>
          <w:bCs/>
        </w:rPr>
        <w:t>(not required for “Assessment only”)</w:t>
      </w:r>
      <w:r w:rsidRPr="00623D8D">
        <w:t xml:space="preserve"> on admission/registration, at every 91-day review, where there has been a transfer of care between service settings or when there is a significant or substantial change to the consumer’s symptoms and/or psychosocial functioning that requires a change to the mental health care plan (discretionary review). </w:t>
      </w:r>
    </w:p>
    <w:p w14:paraId="30459E50" w14:textId="77777777" w:rsidR="00623D8D" w:rsidRPr="00623D8D" w:rsidRDefault="00623D8D" w:rsidP="00623D8D">
      <w:pPr>
        <w:pStyle w:val="Body"/>
      </w:pPr>
      <w:bookmarkStart w:id="18" w:name="_Hlk33003969"/>
      <w:r w:rsidRPr="00623D8D">
        <w:rPr>
          <w:iCs/>
        </w:rPr>
        <w:t>(Refer to Appendix 4</w:t>
      </w:r>
      <w:r w:rsidRPr="00623D8D">
        <w:rPr>
          <w:i/>
        </w:rPr>
        <w:t xml:space="preserve"> Mental Health Phase of Care program management circular </w:t>
      </w:r>
      <w:r w:rsidRPr="00623D8D">
        <w:rPr>
          <w:iCs/>
        </w:rPr>
        <w:t>for details.)</w:t>
      </w:r>
    </w:p>
    <w:p w14:paraId="5671CEFC" w14:textId="77777777" w:rsidR="00623D8D" w:rsidRPr="00623D8D" w:rsidRDefault="00623D8D" w:rsidP="00623D8D">
      <w:pPr>
        <w:pStyle w:val="Heading2"/>
        <w:rPr>
          <w:rFonts w:eastAsia="Times"/>
        </w:rPr>
      </w:pPr>
      <w:bookmarkStart w:id="19" w:name="_Toc58436904"/>
      <w:bookmarkStart w:id="20" w:name="_Toc67645552"/>
      <w:bookmarkEnd w:id="18"/>
      <w:r w:rsidRPr="00623D8D">
        <w:rPr>
          <w:rFonts w:eastAsia="Times"/>
        </w:rPr>
        <w:t>5. Assessment-only teams</w:t>
      </w:r>
      <w:bookmarkEnd w:id="19"/>
      <w:bookmarkEnd w:id="20"/>
    </w:p>
    <w:p w14:paraId="671E8837" w14:textId="77777777" w:rsidR="00623D8D" w:rsidRPr="00623D8D" w:rsidRDefault="00623D8D" w:rsidP="00623D8D">
      <w:pPr>
        <w:pStyle w:val="Body"/>
      </w:pPr>
      <w:r w:rsidRPr="00623D8D">
        <w:t xml:space="preserve">5.1 OM is not required for </w:t>
      </w:r>
      <w:r w:rsidRPr="00623D8D">
        <w:rPr>
          <w:i/>
          <w:iCs/>
        </w:rPr>
        <w:t xml:space="preserve">assessment-only Phase of Care </w:t>
      </w:r>
      <w:r w:rsidRPr="00623D8D">
        <w:t xml:space="preserve">situations. </w:t>
      </w:r>
      <w:r w:rsidRPr="00623D8D">
        <w:rPr>
          <w:i/>
          <w:iCs/>
        </w:rPr>
        <w:t xml:space="preserve">Assessment-only </w:t>
      </w:r>
      <w:r w:rsidRPr="00623D8D">
        <w:t xml:space="preserve">involves one or </w:t>
      </w:r>
      <w:proofErr w:type="gramStart"/>
      <w:r w:rsidRPr="00623D8D">
        <w:t>a number of</w:t>
      </w:r>
      <w:proofErr w:type="gramEnd"/>
      <w:r w:rsidRPr="00623D8D">
        <w:t xml:space="preserve"> assessments or follow up activities (including brief interventions) but excludes the commencement of treatment (refer to Appendix 1).</w:t>
      </w:r>
    </w:p>
    <w:p w14:paraId="195C8AB0" w14:textId="77777777" w:rsidR="00623D8D" w:rsidRPr="00623D8D" w:rsidRDefault="00623D8D" w:rsidP="000E0F8D">
      <w:pPr>
        <w:pStyle w:val="Bulletafternumbers1"/>
        <w:numPr>
          <w:ilvl w:val="0"/>
          <w:numId w:val="23"/>
        </w:numPr>
      </w:pPr>
      <w:r w:rsidRPr="00623D8D">
        <w:t xml:space="preserve">Teams are not required to complete OM if they are seeing a consumer in an </w:t>
      </w:r>
      <w:r w:rsidRPr="000E0F8D">
        <w:t>assessment-only Phase of Care</w:t>
      </w:r>
      <w:r w:rsidRPr="00623D8D">
        <w:t xml:space="preserve">. </w:t>
      </w:r>
    </w:p>
    <w:p w14:paraId="0E413A36" w14:textId="77777777" w:rsidR="00623D8D" w:rsidRPr="00623D8D" w:rsidRDefault="00623D8D" w:rsidP="000E0F8D">
      <w:pPr>
        <w:pStyle w:val="Bulletafternumbers1"/>
        <w:numPr>
          <w:ilvl w:val="0"/>
          <w:numId w:val="23"/>
        </w:numPr>
      </w:pPr>
      <w:r w:rsidRPr="00623D8D">
        <w:t xml:space="preserve">If these teams/functions are providing treatment to a consumer in a Phase of Care outside of an </w:t>
      </w:r>
      <w:r w:rsidRPr="000E0F8D">
        <w:t>assessment only</w:t>
      </w:r>
      <w:r w:rsidRPr="00623D8D">
        <w:t xml:space="preserve">, then full OM measures are required. </w:t>
      </w:r>
    </w:p>
    <w:p w14:paraId="7762ECE6" w14:textId="617150F8" w:rsidR="00623D8D" w:rsidRDefault="00623D8D" w:rsidP="00623D8D">
      <w:pPr>
        <w:pStyle w:val="Body"/>
      </w:pPr>
      <w:r w:rsidRPr="00623D8D">
        <w:t>(R</w:t>
      </w:r>
      <w:r w:rsidRPr="00623D8D">
        <w:rPr>
          <w:iCs/>
        </w:rPr>
        <w:t>efer to Appendix 4</w:t>
      </w:r>
      <w:r w:rsidRPr="00623D8D">
        <w:rPr>
          <w:i/>
        </w:rPr>
        <w:t xml:space="preserve"> Mental Health Phase of Care program management circular </w:t>
      </w:r>
      <w:r w:rsidRPr="00623D8D">
        <w:rPr>
          <w:iCs/>
        </w:rPr>
        <w:t>for details.</w:t>
      </w:r>
      <w:r w:rsidRPr="00623D8D">
        <w:t>)</w:t>
      </w:r>
    </w:p>
    <w:p w14:paraId="3E667DD0" w14:textId="77777777" w:rsidR="00623D8D" w:rsidRPr="00623D8D" w:rsidRDefault="00623D8D" w:rsidP="00623D8D">
      <w:pPr>
        <w:pStyle w:val="Heading2"/>
        <w:rPr>
          <w:rFonts w:eastAsia="Times"/>
        </w:rPr>
      </w:pPr>
      <w:bookmarkStart w:id="21" w:name="_Toc58436905"/>
      <w:bookmarkStart w:id="22" w:name="_Toc67645553"/>
      <w:r w:rsidRPr="00623D8D">
        <w:rPr>
          <w:rFonts w:eastAsia="Times"/>
        </w:rPr>
        <w:t>6. Local business rules</w:t>
      </w:r>
      <w:bookmarkEnd w:id="21"/>
      <w:bookmarkEnd w:id="22"/>
    </w:p>
    <w:p w14:paraId="7CF561E3" w14:textId="77777777" w:rsidR="00623D8D" w:rsidRPr="00623D8D" w:rsidRDefault="00623D8D" w:rsidP="00623D8D">
      <w:pPr>
        <w:pStyle w:val="Body"/>
      </w:pPr>
      <w:r w:rsidRPr="00623D8D">
        <w:t xml:space="preserve">The National and Victorian protocols indicate which measures are required and when they are required. Local services need to determine </w:t>
      </w:r>
      <w:r w:rsidRPr="00623D8D">
        <w:rPr>
          <w:u w:val="single"/>
        </w:rPr>
        <w:t>who</w:t>
      </w:r>
      <w:r w:rsidRPr="00623D8D">
        <w:t xml:space="preserve"> is responsible for completing OM at specific service junctures, particularly where there are multiple teams involved within the same setting. Services also need to determine and communicate local business rules detailing who is responsible for data entry (refer to Appendix 3).</w:t>
      </w:r>
    </w:p>
    <w:p w14:paraId="7336C049" w14:textId="77777777" w:rsidR="00623D8D" w:rsidRPr="00623D8D" w:rsidRDefault="00623D8D" w:rsidP="00623D8D">
      <w:pPr>
        <w:pStyle w:val="Heading1"/>
      </w:pPr>
      <w:bookmarkStart w:id="23" w:name="_Toc58436906"/>
      <w:bookmarkStart w:id="24" w:name="_Toc67645554"/>
      <w:r w:rsidRPr="00623D8D">
        <w:t>Service-specific protocol requirements</w:t>
      </w:r>
      <w:bookmarkEnd w:id="23"/>
      <w:bookmarkEnd w:id="24"/>
    </w:p>
    <w:p w14:paraId="167BAFE7" w14:textId="77777777" w:rsidR="00623D8D" w:rsidRPr="00623D8D" w:rsidRDefault="00623D8D" w:rsidP="00623D8D">
      <w:pPr>
        <w:pStyle w:val="Heading2"/>
        <w:rPr>
          <w:rFonts w:eastAsia="Times"/>
        </w:rPr>
      </w:pPr>
      <w:bookmarkStart w:id="25" w:name="_Toc67645555"/>
      <w:r w:rsidRPr="00623D8D">
        <w:rPr>
          <w:rFonts w:eastAsia="Times"/>
        </w:rPr>
        <w:t>1. Crisis Assessment and Treatment Team (CATT)</w:t>
      </w:r>
      <w:bookmarkEnd w:id="25"/>
    </w:p>
    <w:p w14:paraId="2217DC4E" w14:textId="77777777" w:rsidR="00623D8D" w:rsidRPr="00623D8D" w:rsidRDefault="00623D8D" w:rsidP="00623D8D">
      <w:pPr>
        <w:pStyle w:val="Body"/>
      </w:pPr>
      <w:r w:rsidRPr="00623D8D">
        <w:t xml:space="preserve">CATT must collect OM using the </w:t>
      </w:r>
      <w:r w:rsidRPr="00623D8D">
        <w:rPr>
          <w:b/>
          <w:bCs/>
        </w:rPr>
        <w:t>Ambulatory</w:t>
      </w:r>
      <w:r w:rsidRPr="00623D8D">
        <w:t xml:space="preserve"> protocol.</w:t>
      </w:r>
    </w:p>
    <w:p w14:paraId="086B5656" w14:textId="77777777" w:rsidR="00623D8D" w:rsidRPr="00623D8D" w:rsidRDefault="00623D8D" w:rsidP="00623D8D">
      <w:pPr>
        <w:pStyle w:val="Heading2"/>
        <w:rPr>
          <w:rFonts w:eastAsia="Times"/>
        </w:rPr>
      </w:pPr>
      <w:bookmarkStart w:id="26" w:name="_Toc67645556"/>
      <w:r w:rsidRPr="00623D8D">
        <w:rPr>
          <w:rFonts w:eastAsia="Times"/>
        </w:rPr>
        <w:t>2. Hospital in the Home (HITH)</w:t>
      </w:r>
      <w:bookmarkEnd w:id="26"/>
    </w:p>
    <w:p w14:paraId="18DBC4FC" w14:textId="77777777" w:rsidR="00623D8D" w:rsidRPr="00623D8D" w:rsidRDefault="00623D8D" w:rsidP="00623D8D">
      <w:pPr>
        <w:pStyle w:val="Body"/>
      </w:pPr>
      <w:r w:rsidRPr="00623D8D">
        <w:t xml:space="preserve">HITH must collect OM using the </w:t>
      </w:r>
      <w:r w:rsidRPr="00623D8D">
        <w:rPr>
          <w:b/>
          <w:bCs/>
        </w:rPr>
        <w:t>Inpatient</w:t>
      </w:r>
      <w:r w:rsidRPr="00623D8D">
        <w:t xml:space="preserve"> protocol.</w:t>
      </w:r>
    </w:p>
    <w:p w14:paraId="4220C3AD" w14:textId="77777777" w:rsidR="00623D8D" w:rsidRPr="00623D8D" w:rsidRDefault="00623D8D" w:rsidP="00623D8D">
      <w:pPr>
        <w:pStyle w:val="Heading2"/>
        <w:rPr>
          <w:rFonts w:eastAsia="Times"/>
        </w:rPr>
      </w:pPr>
      <w:bookmarkStart w:id="27" w:name="_Toc67645557"/>
      <w:r w:rsidRPr="00623D8D">
        <w:rPr>
          <w:rFonts w:eastAsia="Times"/>
        </w:rPr>
        <w:t>3. Secure Extended Care Units (SECU)</w:t>
      </w:r>
      <w:bookmarkEnd w:id="27"/>
    </w:p>
    <w:p w14:paraId="7DFF8C4D" w14:textId="77777777" w:rsidR="00623D8D" w:rsidRPr="00623D8D" w:rsidRDefault="00623D8D" w:rsidP="00623D8D">
      <w:pPr>
        <w:pStyle w:val="Body"/>
      </w:pPr>
      <w:r w:rsidRPr="00623D8D">
        <w:t xml:space="preserve">Secure Extended Care should follow the </w:t>
      </w:r>
      <w:r w:rsidRPr="00623D8D">
        <w:rPr>
          <w:b/>
          <w:bCs/>
        </w:rPr>
        <w:t>Community Residential</w:t>
      </w:r>
      <w:r w:rsidRPr="00623D8D">
        <w:t xml:space="preserve"> protocol. Services at Forensicare are assigned as either subacute or acute units, so acute units should follow the </w:t>
      </w:r>
      <w:bookmarkStart w:id="28" w:name="_Hlk57966006"/>
      <w:r w:rsidRPr="00623D8D">
        <w:rPr>
          <w:b/>
          <w:bCs/>
        </w:rPr>
        <w:t>Inpatient</w:t>
      </w:r>
      <w:r w:rsidRPr="00623D8D">
        <w:t xml:space="preserve"> </w:t>
      </w:r>
      <w:proofErr w:type="gramStart"/>
      <w:r w:rsidRPr="00623D8D">
        <w:t>protocol</w:t>
      </w:r>
      <w:proofErr w:type="gramEnd"/>
      <w:r w:rsidRPr="00623D8D">
        <w:t xml:space="preserve"> </w:t>
      </w:r>
      <w:bookmarkEnd w:id="28"/>
      <w:r w:rsidRPr="00623D8D">
        <w:t xml:space="preserve">and subacute units should follow the </w:t>
      </w:r>
      <w:r w:rsidRPr="00623D8D">
        <w:rPr>
          <w:b/>
          <w:bCs/>
        </w:rPr>
        <w:t>Community Residential</w:t>
      </w:r>
      <w:r w:rsidRPr="00623D8D">
        <w:t xml:space="preserve"> protocol.</w:t>
      </w:r>
    </w:p>
    <w:p w14:paraId="4FB6589D" w14:textId="6CB03C86" w:rsidR="00623D8D" w:rsidRPr="00623D8D" w:rsidRDefault="00623D8D" w:rsidP="00623D8D">
      <w:pPr>
        <w:pStyle w:val="Heading2"/>
        <w:rPr>
          <w:rFonts w:eastAsia="Times"/>
        </w:rPr>
      </w:pPr>
      <w:bookmarkStart w:id="29" w:name="_Toc67645558"/>
      <w:r w:rsidRPr="00623D8D">
        <w:rPr>
          <w:rFonts w:eastAsia="Times"/>
        </w:rPr>
        <w:lastRenderedPageBreak/>
        <w:t xml:space="preserve">4. </w:t>
      </w:r>
      <w:bookmarkEnd w:id="29"/>
      <w:r w:rsidR="00E10721" w:rsidRPr="00153257">
        <w:rPr>
          <w:rFonts w:eastAsia="Times"/>
        </w:rPr>
        <w:t>Hospital Outreach Post-</w:t>
      </w:r>
      <w:proofErr w:type="gramStart"/>
      <w:r w:rsidR="00E10721" w:rsidRPr="00153257">
        <w:rPr>
          <w:rFonts w:eastAsia="Times"/>
        </w:rPr>
        <w:t>suicidal</w:t>
      </w:r>
      <w:proofErr w:type="gramEnd"/>
      <w:r w:rsidR="00E10721" w:rsidRPr="00153257">
        <w:rPr>
          <w:rFonts w:eastAsia="Times"/>
        </w:rPr>
        <w:t xml:space="preserve"> Engagement</w:t>
      </w:r>
      <w:r w:rsidR="00E10721">
        <w:rPr>
          <w:rFonts w:cs="Arial"/>
          <w:color w:val="4D5156"/>
          <w:sz w:val="21"/>
          <w:szCs w:val="21"/>
          <w:shd w:val="clear" w:color="auto" w:fill="FFFFFF"/>
        </w:rPr>
        <w:t> </w:t>
      </w:r>
      <w:r w:rsidR="00E10721">
        <w:rPr>
          <w:rFonts w:eastAsia="Times"/>
        </w:rPr>
        <w:t>(</w:t>
      </w:r>
      <w:r w:rsidR="00E10721" w:rsidRPr="00623D8D">
        <w:rPr>
          <w:rFonts w:eastAsia="Times"/>
        </w:rPr>
        <w:t>HOPE</w:t>
      </w:r>
      <w:r w:rsidR="00E10721">
        <w:rPr>
          <w:rFonts w:eastAsia="Times"/>
        </w:rPr>
        <w:t>)</w:t>
      </w:r>
      <w:r w:rsidR="00E10721" w:rsidRPr="00623D8D">
        <w:rPr>
          <w:rFonts w:eastAsia="Times"/>
        </w:rPr>
        <w:t xml:space="preserve"> Program</w:t>
      </w:r>
    </w:p>
    <w:p w14:paraId="21725594" w14:textId="77777777" w:rsidR="00623D8D" w:rsidRPr="00623D8D" w:rsidRDefault="00623D8D" w:rsidP="00623D8D">
      <w:pPr>
        <w:pStyle w:val="Body"/>
      </w:pPr>
      <w:r w:rsidRPr="00623D8D">
        <w:t xml:space="preserve">Where there is a decision to treat an individual consumer, HOPE programs are to follow the Ambulatory protocol using the CAMHS suite of measures for consumers aged 15–18 years, the </w:t>
      </w:r>
      <w:proofErr w:type="gramStart"/>
      <w:r w:rsidRPr="00623D8D">
        <w:t>Adult</w:t>
      </w:r>
      <w:proofErr w:type="gramEnd"/>
      <w:r w:rsidRPr="00623D8D">
        <w:t xml:space="preserve"> suite of measures for consumers aged 18–65 years and the </w:t>
      </w:r>
      <w:proofErr w:type="gramStart"/>
      <w:r w:rsidRPr="00623D8D">
        <w:t>Aged</w:t>
      </w:r>
      <w:proofErr w:type="gramEnd"/>
      <w:r w:rsidRPr="00623D8D">
        <w:t xml:space="preserve"> suite of measures for consumers aged 65+ years. This includes the self-assessment measures, Strengths and Difficulties Questionnaire (SDQ) for child and adolescent consumers and the BASIS-32 for adult and aged consumers. The K-10 is not supported in Victoria.</w:t>
      </w:r>
    </w:p>
    <w:p w14:paraId="3A49E0BD" w14:textId="77777777" w:rsidR="00623D8D" w:rsidRPr="00623D8D" w:rsidRDefault="00623D8D" w:rsidP="00623D8D">
      <w:pPr>
        <w:pStyle w:val="Body"/>
      </w:pPr>
      <w:r w:rsidRPr="00623D8D">
        <w:t>OM is collected in matched pairs – this means that if a consumer turns:</w:t>
      </w:r>
    </w:p>
    <w:p w14:paraId="3F3F818F" w14:textId="66D798BB" w:rsidR="00623D8D" w:rsidRPr="00623D8D" w:rsidRDefault="00623D8D" w:rsidP="00623D8D">
      <w:pPr>
        <w:pStyle w:val="Bullet1"/>
      </w:pPr>
      <w:r w:rsidRPr="00623D8D">
        <w:t>18 during a period of care, both the ‘discharge’ ratings for the child and adolescent measures and the ‘intake’ ratings for the adult measures need to be completed at the next OM collection occasion</w:t>
      </w:r>
    </w:p>
    <w:p w14:paraId="025A2F0F" w14:textId="61CEBCB9" w:rsidR="00623D8D" w:rsidRPr="00623D8D" w:rsidRDefault="00623D8D" w:rsidP="00623D8D">
      <w:pPr>
        <w:pStyle w:val="Bullet1"/>
      </w:pPr>
      <w:r w:rsidRPr="00623D8D">
        <w:t>65 during a period of care, both the ‘discharge’ ratings for the adult measures and the ‘intake’ ratings for the aged measures need to be completed at the next OM collection occasion. (Refer to Table 3.3 on page 4)</w:t>
      </w:r>
    </w:p>
    <w:p w14:paraId="58CBF956" w14:textId="77777777" w:rsidR="00623D8D" w:rsidRPr="00623D8D" w:rsidRDefault="00623D8D" w:rsidP="00623D8D">
      <w:pPr>
        <w:pStyle w:val="Heading2"/>
        <w:rPr>
          <w:rFonts w:eastAsia="Times"/>
        </w:rPr>
      </w:pPr>
      <w:bookmarkStart w:id="30" w:name="_Toc67645559"/>
      <w:r w:rsidRPr="00623D8D">
        <w:rPr>
          <w:rFonts w:eastAsia="Times"/>
        </w:rPr>
        <w:t>5. Prevention and Recovery Care (PARC)</w:t>
      </w:r>
      <w:bookmarkEnd w:id="30"/>
    </w:p>
    <w:p w14:paraId="24293C80" w14:textId="77777777" w:rsidR="00623D8D" w:rsidRPr="00623D8D" w:rsidRDefault="00623D8D" w:rsidP="00623D8D">
      <w:pPr>
        <w:pStyle w:val="Body"/>
      </w:pPr>
      <w:r w:rsidRPr="00623D8D">
        <w:t xml:space="preserve">PARC services should follow the </w:t>
      </w:r>
      <w:r w:rsidRPr="00623D8D">
        <w:rPr>
          <w:b/>
          <w:bCs/>
        </w:rPr>
        <w:t>Inpatient</w:t>
      </w:r>
      <w:r w:rsidRPr="00623D8D">
        <w:t xml:space="preserve"> protocol.</w:t>
      </w:r>
    </w:p>
    <w:p w14:paraId="5D02C653" w14:textId="77777777" w:rsidR="00623D8D" w:rsidRPr="00623D8D" w:rsidRDefault="00623D8D" w:rsidP="00623D8D">
      <w:pPr>
        <w:pStyle w:val="Heading2"/>
        <w:rPr>
          <w:rFonts w:eastAsia="Times"/>
        </w:rPr>
      </w:pPr>
      <w:bookmarkStart w:id="31" w:name="_Toc67645560"/>
      <w:r w:rsidRPr="00623D8D">
        <w:rPr>
          <w:rFonts w:eastAsia="Times"/>
        </w:rPr>
        <w:t>6. Youth services/Youth Early Psychosis (YEP)</w:t>
      </w:r>
      <w:bookmarkEnd w:id="31"/>
    </w:p>
    <w:p w14:paraId="4E7F5776" w14:textId="77777777" w:rsidR="00623D8D" w:rsidRPr="00623D8D" w:rsidRDefault="00623D8D" w:rsidP="00623D8D">
      <w:pPr>
        <w:pStyle w:val="Body"/>
      </w:pPr>
      <w:r w:rsidRPr="00623D8D">
        <w:t xml:space="preserve">Generally, the choice of measures follows the service setting except for youth services. Youth services should utilise the CAMHS suite of measures for consumers aged 15–18 years, and the </w:t>
      </w:r>
      <w:proofErr w:type="gramStart"/>
      <w:r w:rsidRPr="00623D8D">
        <w:t>Adult</w:t>
      </w:r>
      <w:proofErr w:type="gramEnd"/>
      <w:r w:rsidRPr="00623D8D">
        <w:t xml:space="preserve"> suite of measures for consumers aged 18+ years. </w:t>
      </w:r>
    </w:p>
    <w:p w14:paraId="064B26A2" w14:textId="77777777" w:rsidR="00623D8D" w:rsidRPr="00623D8D" w:rsidRDefault="00623D8D" w:rsidP="00623D8D">
      <w:pPr>
        <w:pStyle w:val="Body"/>
      </w:pPr>
      <w:r w:rsidRPr="00623D8D">
        <w:t xml:space="preserve">OM is collected in </w:t>
      </w:r>
      <w:r w:rsidRPr="00623D8D">
        <w:rPr>
          <w:i/>
          <w:iCs/>
        </w:rPr>
        <w:t xml:space="preserve">matched pairs </w:t>
      </w:r>
      <w:r w:rsidRPr="00623D8D">
        <w:t>– this means that if a consumer turns 18 during a period of care, both the ‘discharge’ ratings for the child and adolescent measures and the ‘intake’ ratings for the adult measures need to be completed at the next OM collection occasion. (Refer to Table 3.3 on page 4)</w:t>
      </w:r>
    </w:p>
    <w:p w14:paraId="0C15C363" w14:textId="77777777" w:rsidR="00623D8D" w:rsidRPr="00623D8D" w:rsidRDefault="00623D8D" w:rsidP="00623D8D">
      <w:pPr>
        <w:pStyle w:val="Heading2"/>
        <w:rPr>
          <w:rFonts w:eastAsia="Times"/>
        </w:rPr>
      </w:pPr>
      <w:bookmarkStart w:id="32" w:name="_Toc67645561"/>
      <w:r w:rsidRPr="00623D8D">
        <w:rPr>
          <w:rFonts w:eastAsia="Times"/>
        </w:rPr>
        <w:t>7. Clozapine-only consumers</w:t>
      </w:r>
      <w:bookmarkEnd w:id="32"/>
    </w:p>
    <w:p w14:paraId="39F558B9" w14:textId="77777777" w:rsidR="00623D8D" w:rsidRPr="00623D8D" w:rsidRDefault="00623D8D" w:rsidP="00623D8D">
      <w:pPr>
        <w:pStyle w:val="Body"/>
      </w:pPr>
      <w:r w:rsidRPr="00623D8D">
        <w:t xml:space="preserve">Consumers of Clozapine program who are not receiving case management are “out of scope” for OM. To ensure that Clozapine-only consumers are excluded from protocol requirements and subsequent OM compliance reports </w:t>
      </w:r>
      <w:r w:rsidRPr="00623D8D">
        <w:rPr>
          <w:u w:val="single"/>
        </w:rPr>
        <w:t>they must be allocated to the local Clozapine subcentre</w:t>
      </w:r>
      <w:r w:rsidRPr="00623D8D">
        <w:t xml:space="preserve">. </w:t>
      </w:r>
    </w:p>
    <w:p w14:paraId="14598E0C" w14:textId="77777777" w:rsidR="00623D8D" w:rsidRPr="00623D8D" w:rsidRDefault="00623D8D" w:rsidP="00623D8D">
      <w:pPr>
        <w:pStyle w:val="Body"/>
      </w:pPr>
      <w:r w:rsidRPr="00623D8D">
        <w:t xml:space="preserve">If an existing </w:t>
      </w:r>
      <w:r w:rsidRPr="00623D8D">
        <w:rPr>
          <w:b/>
          <w:bCs/>
        </w:rPr>
        <w:t>Ambulatory</w:t>
      </w:r>
      <w:r w:rsidRPr="00623D8D">
        <w:t xml:space="preserve"> consumer (CATT, Mobile Support Team, Continuing Care Team, Integrated Community Team) is transferred to the Clozapine co-ordinator with no further </w:t>
      </w:r>
      <w:r w:rsidRPr="00623D8D">
        <w:rPr>
          <w:b/>
          <w:bCs/>
        </w:rPr>
        <w:t>Ambulatory</w:t>
      </w:r>
      <w:r w:rsidRPr="00623D8D">
        <w:t xml:space="preserve"> case management, ‘discharge’ </w:t>
      </w:r>
      <w:r w:rsidRPr="00623D8D">
        <w:rPr>
          <w:b/>
          <w:bCs/>
        </w:rPr>
        <w:t>Ambulatory</w:t>
      </w:r>
      <w:r w:rsidRPr="00623D8D">
        <w:t xml:space="preserve"> OM would be required. However, if a consumer in an open case continues to receive case management follow-up in addition to contact with the Clozapine </w:t>
      </w:r>
      <w:proofErr w:type="gramStart"/>
      <w:r w:rsidRPr="00623D8D">
        <w:t>co-ordinator</w:t>
      </w:r>
      <w:proofErr w:type="gramEnd"/>
      <w:r w:rsidRPr="00623D8D">
        <w:t xml:space="preserve"> then the relevant </w:t>
      </w:r>
      <w:r w:rsidRPr="00623D8D">
        <w:rPr>
          <w:b/>
          <w:bCs/>
        </w:rPr>
        <w:t>Ambulatory</w:t>
      </w:r>
      <w:r w:rsidRPr="00623D8D">
        <w:t xml:space="preserve"> team responsible for managing the consumer will continue as per protocol. “Who” completes the relevant outcome measurements is determined by local business rules. As a result of the 2007 CMI release, services can utilise the Screening Registration rather than episode creation for Clozapine only clients.</w:t>
      </w:r>
    </w:p>
    <w:p w14:paraId="4AAB17DC" w14:textId="77777777" w:rsidR="00623D8D" w:rsidRPr="00623D8D" w:rsidRDefault="00623D8D" w:rsidP="00623D8D">
      <w:pPr>
        <w:pStyle w:val="Heading2"/>
        <w:rPr>
          <w:rFonts w:eastAsia="Times"/>
        </w:rPr>
      </w:pPr>
      <w:bookmarkStart w:id="33" w:name="_Toc67645562"/>
      <w:r w:rsidRPr="00623D8D">
        <w:rPr>
          <w:rFonts w:eastAsia="Times"/>
        </w:rPr>
        <w:t>8. Emerging service types/programs</w:t>
      </w:r>
      <w:bookmarkEnd w:id="33"/>
    </w:p>
    <w:p w14:paraId="20BF20ED" w14:textId="77777777" w:rsidR="00623D8D" w:rsidRPr="00623D8D" w:rsidRDefault="00623D8D" w:rsidP="00623D8D">
      <w:pPr>
        <w:pStyle w:val="Body"/>
      </w:pPr>
      <w:r w:rsidRPr="00623D8D">
        <w:t>As the mental health sector responds to emerging needs with new program approaches, additional program</w:t>
      </w:r>
    </w:p>
    <w:p w14:paraId="5F5EDAF2" w14:textId="77777777" w:rsidR="00623D8D" w:rsidRPr="00623D8D" w:rsidRDefault="00623D8D" w:rsidP="00623D8D">
      <w:pPr>
        <w:pStyle w:val="Body"/>
      </w:pPr>
      <w:r w:rsidRPr="00623D8D">
        <w:t>types will develop. The Department of Health and Human Services will provide clarification and direction on the application of outcome measures for emerging program types in public clinical mental health services.</w:t>
      </w:r>
    </w:p>
    <w:p w14:paraId="5480F35F" w14:textId="77777777" w:rsidR="00623D8D" w:rsidRPr="00623D8D" w:rsidRDefault="00623D8D" w:rsidP="00623D8D">
      <w:pPr>
        <w:pStyle w:val="Heading2"/>
        <w:rPr>
          <w:rFonts w:eastAsia="Times"/>
        </w:rPr>
      </w:pPr>
      <w:bookmarkStart w:id="34" w:name="_Toc67645563"/>
      <w:r w:rsidRPr="00623D8D">
        <w:rPr>
          <w:rFonts w:eastAsia="Times"/>
        </w:rPr>
        <w:lastRenderedPageBreak/>
        <w:t>9. Mental Health Community Support Services (MHCSS)</w:t>
      </w:r>
      <w:bookmarkEnd w:id="34"/>
    </w:p>
    <w:p w14:paraId="53A44E50" w14:textId="4BBE9C3D" w:rsidR="00623D8D" w:rsidRPr="00623D8D" w:rsidRDefault="00623D8D" w:rsidP="00623D8D">
      <w:pPr>
        <w:pStyle w:val="Body"/>
      </w:pPr>
      <w:r w:rsidRPr="00623D8D">
        <w:t>Generally, MHCSS are out of scope. Where clinical in-reach is provided in MHCSS by area mental</w:t>
      </w:r>
      <w:r w:rsidR="000E0F8D">
        <w:t xml:space="preserve"> </w:t>
      </w:r>
      <w:r w:rsidRPr="00623D8D">
        <w:t>health services, clinical service staff will be responsible for completing the required OM (refer to Appendix 1).</w:t>
      </w:r>
    </w:p>
    <w:p w14:paraId="12D91CEF" w14:textId="38355E6A" w:rsidR="00623D8D" w:rsidRPr="00623D8D" w:rsidRDefault="00623D8D" w:rsidP="00623D8D">
      <w:pPr>
        <w:pStyle w:val="Heading1"/>
      </w:pPr>
      <w:bookmarkStart w:id="35" w:name="_Toc58436907"/>
      <w:bookmarkStart w:id="36" w:name="_Toc67645564"/>
      <w:r w:rsidRPr="00623D8D">
        <w:t xml:space="preserve">Use of Outcome Measurement </w:t>
      </w:r>
      <w:r w:rsidR="00E10721">
        <w:t xml:space="preserve">(OM) </w:t>
      </w:r>
      <w:r w:rsidRPr="00623D8D">
        <w:t>data</w:t>
      </w:r>
      <w:bookmarkEnd w:id="35"/>
      <w:bookmarkEnd w:id="36"/>
    </w:p>
    <w:p w14:paraId="2E37BD1D" w14:textId="77777777" w:rsidR="00623D8D" w:rsidRPr="00623D8D" w:rsidRDefault="00623D8D" w:rsidP="00623D8D">
      <w:pPr>
        <w:pStyle w:val="Heading2"/>
        <w:rPr>
          <w:rFonts w:eastAsia="Times"/>
        </w:rPr>
      </w:pPr>
      <w:bookmarkStart w:id="37" w:name="_Toc67645565"/>
      <w:r w:rsidRPr="00623D8D">
        <w:rPr>
          <w:rFonts w:eastAsia="Times"/>
        </w:rPr>
        <w:t>Clinical application of individual OM data</w:t>
      </w:r>
      <w:bookmarkEnd w:id="37"/>
    </w:p>
    <w:p w14:paraId="4A0A4929" w14:textId="008C3698" w:rsidR="00623D8D" w:rsidRPr="00623D8D" w:rsidRDefault="00623D8D" w:rsidP="00623D8D">
      <w:pPr>
        <w:pStyle w:val="Body"/>
      </w:pPr>
      <w:r w:rsidRPr="00623D8D">
        <w:t>Each suite of measures can be used to facilitate and inform the dialogue between clinicians, consumers and</w:t>
      </w:r>
      <w:r w:rsidR="000E0F8D">
        <w:t xml:space="preserve"> </w:t>
      </w:r>
      <w:r w:rsidRPr="00623D8D">
        <w:t>carers, and to assist decision making on treatment and care. Regular outcomes assessment in public sector</w:t>
      </w:r>
      <w:r w:rsidR="000E0F8D">
        <w:t xml:space="preserve"> </w:t>
      </w:r>
      <w:r w:rsidRPr="00623D8D">
        <w:t>clinical mental health services will augment clinical practice and provide valuable information for quality</w:t>
      </w:r>
      <w:r w:rsidR="000E0F8D">
        <w:t xml:space="preserve"> </w:t>
      </w:r>
      <w:r w:rsidRPr="00623D8D">
        <w:t>assurance activities. At each collection occasion it is important to review all relevant measures together,</w:t>
      </w:r>
      <w:r w:rsidR="000E0F8D">
        <w:t xml:space="preserve"> </w:t>
      </w:r>
      <w:r w:rsidRPr="00623D8D">
        <w:t>including</w:t>
      </w:r>
      <w:r w:rsidR="000E0F8D">
        <w:t xml:space="preserve"> </w:t>
      </w:r>
      <w:r w:rsidRPr="00623D8D">
        <w:t>mental health act status, diagnosis and clinical interventions provided, in addition to other relevant information about a consumer. Data entered onto CMI can be used to generate individual consumer reports. These reports represent change over time and can be helpful in reviewing outcomes with consumers and carers as well as with peers (for example, clinical review).</w:t>
      </w:r>
    </w:p>
    <w:p w14:paraId="07A59412" w14:textId="77777777" w:rsidR="00623D8D" w:rsidRPr="00623D8D" w:rsidRDefault="00623D8D" w:rsidP="00623D8D">
      <w:pPr>
        <w:pStyle w:val="Heading2"/>
        <w:rPr>
          <w:rFonts w:eastAsia="Times"/>
        </w:rPr>
      </w:pPr>
      <w:bookmarkStart w:id="38" w:name="_Toc67645566"/>
      <w:r w:rsidRPr="00623D8D">
        <w:rPr>
          <w:rFonts w:eastAsia="Times"/>
        </w:rPr>
        <w:t>Application of aggregate (team/service level) OM data</w:t>
      </w:r>
      <w:bookmarkEnd w:id="38"/>
    </w:p>
    <w:p w14:paraId="59785DB2" w14:textId="4A8ECF60" w:rsidR="00623D8D" w:rsidRPr="00623D8D" w:rsidRDefault="00623D8D" w:rsidP="00623D8D">
      <w:pPr>
        <w:pStyle w:val="Body"/>
      </w:pPr>
      <w:r w:rsidRPr="00623D8D">
        <w:t xml:space="preserve">The </w:t>
      </w:r>
      <w:proofErr w:type="gramStart"/>
      <w:r w:rsidRPr="00623D8D">
        <w:t>ultimate aim</w:t>
      </w:r>
      <w:proofErr w:type="gramEnd"/>
      <w:r w:rsidRPr="00623D8D">
        <w:t xml:space="preserve"> of collecting OM is to apply the information to improve and enhance mental health services</w:t>
      </w:r>
      <w:r w:rsidR="000E0F8D">
        <w:t xml:space="preserve"> </w:t>
      </w:r>
      <w:r w:rsidRPr="00623D8D">
        <w:t>for consumers. Aggregated OM data provides invaluable information for managers to consider when making</w:t>
      </w:r>
      <w:r w:rsidR="000E0F8D">
        <w:t xml:space="preserve"> </w:t>
      </w:r>
      <w:r w:rsidRPr="00623D8D">
        <w:t>decisions about service profiling or reviewing service or program effectiveness. The data collected can be used</w:t>
      </w:r>
      <w:r w:rsidR="000E0F8D">
        <w:t xml:space="preserve"> </w:t>
      </w:r>
      <w:r w:rsidRPr="00623D8D">
        <w:t>to better identify and understand differences between groups of consumers. OM data can also be used</w:t>
      </w:r>
      <w:r w:rsidR="000E0F8D">
        <w:t xml:space="preserve"> to</w:t>
      </w:r>
      <w:r w:rsidRPr="00623D8D">
        <w:t xml:space="preserve"> review</w:t>
      </w:r>
      <w:r w:rsidR="000E0F8D">
        <w:t xml:space="preserve"> </w:t>
      </w:r>
      <w:r w:rsidRPr="00623D8D">
        <w:t>the relative effectiveness of different services, service components or models.</w:t>
      </w:r>
    </w:p>
    <w:p w14:paraId="79AF5738" w14:textId="77777777" w:rsidR="00623D8D" w:rsidRPr="00623D8D" w:rsidRDefault="00623D8D" w:rsidP="00623D8D">
      <w:pPr>
        <w:pStyle w:val="Body"/>
      </w:pPr>
      <w:r w:rsidRPr="00623D8D">
        <w:t>The department will generate a range of reports, with each mental health service receiving reports for the three service settings (</w:t>
      </w:r>
      <w:r w:rsidRPr="00623D8D">
        <w:rPr>
          <w:b/>
          <w:bCs/>
        </w:rPr>
        <w:t>Inpatient, Ambulatory</w:t>
      </w:r>
      <w:r w:rsidRPr="00623D8D">
        <w:t xml:space="preserve"> and </w:t>
      </w:r>
      <w:r w:rsidRPr="00623D8D">
        <w:rPr>
          <w:b/>
          <w:bCs/>
        </w:rPr>
        <w:t>Community Residential</w:t>
      </w:r>
      <w:r w:rsidRPr="00623D8D">
        <w:t>) and for each age grouping (CAMHS, Adult, Aged).</w:t>
      </w:r>
    </w:p>
    <w:p w14:paraId="07C08EAB" w14:textId="77777777" w:rsidR="00623D8D" w:rsidRPr="00623D8D" w:rsidRDefault="00623D8D" w:rsidP="00623D8D">
      <w:pPr>
        <w:pStyle w:val="Heading1"/>
      </w:pPr>
      <w:bookmarkStart w:id="39" w:name="_Toc58436908"/>
      <w:bookmarkStart w:id="40" w:name="_Toc67645567"/>
      <w:r w:rsidRPr="00623D8D">
        <w:t>Clinician responsibilities</w:t>
      </w:r>
      <w:bookmarkEnd w:id="39"/>
      <w:bookmarkEnd w:id="40"/>
    </w:p>
    <w:p w14:paraId="012DFD15" w14:textId="77777777" w:rsidR="00623D8D" w:rsidRPr="00623D8D" w:rsidRDefault="00623D8D" w:rsidP="00623D8D">
      <w:pPr>
        <w:pStyle w:val="Heading2"/>
        <w:rPr>
          <w:rFonts w:eastAsia="Times"/>
        </w:rPr>
      </w:pPr>
      <w:bookmarkStart w:id="41" w:name="_Toc58436909"/>
      <w:bookmarkStart w:id="42" w:name="_Toc67645568"/>
      <w:r w:rsidRPr="00623D8D">
        <w:rPr>
          <w:rFonts w:eastAsia="Times"/>
        </w:rPr>
        <w:t>OM rating</w:t>
      </w:r>
      <w:bookmarkEnd w:id="41"/>
      <w:bookmarkEnd w:id="42"/>
    </w:p>
    <w:p w14:paraId="6E017693" w14:textId="68D1922F" w:rsidR="00623D8D" w:rsidRPr="00623D8D" w:rsidRDefault="00623D8D" w:rsidP="00623D8D">
      <w:pPr>
        <w:pStyle w:val="Body"/>
      </w:pPr>
      <w:r w:rsidRPr="00623D8D">
        <w:t xml:space="preserve">The collection of </w:t>
      </w:r>
      <w:proofErr w:type="gramStart"/>
      <w:r w:rsidRPr="00623D8D">
        <w:t>OM</w:t>
      </w:r>
      <w:proofErr w:type="gramEnd"/>
      <w:r w:rsidRPr="00623D8D">
        <w:t xml:space="preserve"> is fundamentally a clinical activity that supports clinical decision making, and enhances</w:t>
      </w:r>
      <w:r w:rsidR="000E0F8D">
        <w:t xml:space="preserve"> </w:t>
      </w:r>
      <w:r w:rsidRPr="00623D8D">
        <w:t>the planning, implementation and review of care plans.</w:t>
      </w:r>
    </w:p>
    <w:p w14:paraId="492ED3C6" w14:textId="77777777" w:rsidR="00623D8D" w:rsidRPr="00623D8D" w:rsidRDefault="00623D8D" w:rsidP="00623D8D">
      <w:pPr>
        <w:pStyle w:val="Heading3"/>
      </w:pPr>
      <w:r w:rsidRPr="00623D8D">
        <w:t>Ensuring the reliability of data collected</w:t>
      </w:r>
    </w:p>
    <w:p w14:paraId="478DA942" w14:textId="497BAE2C" w:rsidR="00623D8D" w:rsidRPr="00623D8D" w:rsidRDefault="00623D8D" w:rsidP="00623D8D">
      <w:pPr>
        <w:pStyle w:val="Body"/>
      </w:pPr>
      <w:r w:rsidRPr="00623D8D">
        <w:t>All clinicians completing OM, or offering self-assessment measures to consumers, require training in both rating</w:t>
      </w:r>
      <w:r w:rsidR="000E0F8D">
        <w:t xml:space="preserve"> </w:t>
      </w:r>
      <w:r w:rsidRPr="00623D8D">
        <w:t>the individual measures and offering the relevant self-assessment measure. When rating the measures, clinicians</w:t>
      </w:r>
      <w:r w:rsidR="000E0F8D">
        <w:t xml:space="preserve"> </w:t>
      </w:r>
      <w:r w:rsidRPr="00623D8D">
        <w:t>should refer to the relevant glossary or rating rules for each measure bearing in mind that:</w:t>
      </w:r>
    </w:p>
    <w:p w14:paraId="20A335A0" w14:textId="77777777" w:rsidR="00623D8D" w:rsidRPr="00623D8D" w:rsidRDefault="00623D8D" w:rsidP="00623D8D">
      <w:pPr>
        <w:pStyle w:val="Bullet1"/>
      </w:pPr>
      <w:r w:rsidRPr="00623D8D">
        <w:t xml:space="preserve">Outcome measures have different prescribed rating periods for </w:t>
      </w:r>
      <w:proofErr w:type="gramStart"/>
      <w:r w:rsidRPr="00623D8D">
        <w:t>particular settings</w:t>
      </w:r>
      <w:proofErr w:type="gramEnd"/>
      <w:r w:rsidRPr="00623D8D">
        <w:t xml:space="preserve"> (refer Appendix 3, Table 3).</w:t>
      </w:r>
    </w:p>
    <w:p w14:paraId="304CFD23" w14:textId="77777777" w:rsidR="00623D8D" w:rsidRPr="00623D8D" w:rsidRDefault="00623D8D" w:rsidP="00623D8D">
      <w:pPr>
        <w:pStyle w:val="Bullet1"/>
      </w:pPr>
      <w:r w:rsidRPr="00623D8D">
        <w:t xml:space="preserve">In teams where </w:t>
      </w:r>
      <w:proofErr w:type="gramStart"/>
      <w:r w:rsidRPr="00623D8D">
        <w:t>a number of</w:t>
      </w:r>
      <w:proofErr w:type="gramEnd"/>
      <w:r w:rsidRPr="00623D8D">
        <w:t xml:space="preserve"> staff members are familiar with an individual consumer, a comparison of different clinicians’ ratings for that consumer can be a useful refresher activity. Similarly, discussion of ratings </w:t>
      </w:r>
      <w:proofErr w:type="gramStart"/>
      <w:r w:rsidRPr="00623D8D">
        <w:t>in the course of</w:t>
      </w:r>
      <w:proofErr w:type="gramEnd"/>
      <w:r w:rsidRPr="00623D8D">
        <w:t xml:space="preserve"> clinical reviews and between teams can also assist with rating consistency (inter-rater reliability).</w:t>
      </w:r>
    </w:p>
    <w:p w14:paraId="14980288" w14:textId="77777777" w:rsidR="00623D8D" w:rsidRPr="00623D8D" w:rsidRDefault="00623D8D" w:rsidP="00623D8D">
      <w:pPr>
        <w:pStyle w:val="Heading3"/>
      </w:pPr>
      <w:r w:rsidRPr="00623D8D">
        <w:lastRenderedPageBreak/>
        <w:t>Data entry</w:t>
      </w:r>
    </w:p>
    <w:p w14:paraId="26A5D494" w14:textId="77777777" w:rsidR="00623D8D" w:rsidRPr="00623D8D" w:rsidRDefault="00623D8D" w:rsidP="00623D8D">
      <w:pPr>
        <w:pStyle w:val="Body"/>
      </w:pPr>
      <w:r w:rsidRPr="00623D8D">
        <w:t>Clinicians must comply with their local business rules for the accurate and timely entry of OM data.</w:t>
      </w:r>
    </w:p>
    <w:p w14:paraId="0E196525" w14:textId="77777777" w:rsidR="00623D8D" w:rsidRPr="00623D8D" w:rsidRDefault="00623D8D" w:rsidP="00623D8D">
      <w:pPr>
        <w:pStyle w:val="Heading1"/>
      </w:pPr>
      <w:bookmarkStart w:id="43" w:name="_Toc58436910"/>
      <w:bookmarkStart w:id="44" w:name="_Toc67645569"/>
      <w:r w:rsidRPr="00623D8D">
        <w:t>Consumer self-assessment</w:t>
      </w:r>
      <w:bookmarkEnd w:id="43"/>
      <w:bookmarkEnd w:id="44"/>
    </w:p>
    <w:p w14:paraId="647D2C9F" w14:textId="7DFF1A13" w:rsidR="00623D8D" w:rsidRPr="00623D8D" w:rsidRDefault="00623D8D" w:rsidP="00623D8D">
      <w:pPr>
        <w:pStyle w:val="Body"/>
      </w:pPr>
      <w:r w:rsidRPr="00623D8D">
        <w:t>Consumer self-assessment is an integral component of the OM process in mental health. Offering a self- assessment measure can be useful for engagement as well as collaboration between consumers, carers and</w:t>
      </w:r>
      <w:r>
        <w:t xml:space="preserve"> </w:t>
      </w:r>
      <w:r w:rsidRPr="00623D8D">
        <w:t>clinicians. Also, discussion of self-assessment ratings with consumers (and where appropriate with carers)</w:t>
      </w:r>
      <w:r>
        <w:t xml:space="preserve"> </w:t>
      </w:r>
      <w:r w:rsidRPr="00623D8D">
        <w:t>can enrich treatment and care planning. Self-assessment provides the opportunity for consumers, carers and</w:t>
      </w:r>
      <w:r>
        <w:t xml:space="preserve"> </w:t>
      </w:r>
      <w:r w:rsidRPr="00623D8D">
        <w:t>clinicians to track progress through comparison of ratings over time. The incremental nature of progress can</w:t>
      </w:r>
      <w:r>
        <w:t xml:space="preserve"> </w:t>
      </w:r>
      <w:r w:rsidRPr="00623D8D">
        <w:t>sometimes be difficult to monitor without measurement tools.</w:t>
      </w:r>
    </w:p>
    <w:p w14:paraId="2AEE0573" w14:textId="412E24CA" w:rsidR="00623D8D" w:rsidRPr="00623D8D" w:rsidRDefault="00623D8D" w:rsidP="00623D8D">
      <w:pPr>
        <w:pStyle w:val="Body"/>
      </w:pPr>
      <w:proofErr w:type="gramStart"/>
      <w:r w:rsidRPr="00623D8D">
        <w:t>As a general rule</w:t>
      </w:r>
      <w:proofErr w:type="gramEnd"/>
      <w:r w:rsidRPr="00623D8D">
        <w:t>, the consumer self-assessment measure should always be offered according to the protocol</w:t>
      </w:r>
      <w:r>
        <w:t xml:space="preserve"> </w:t>
      </w:r>
      <w:r w:rsidRPr="00623D8D">
        <w:t>unless contra-indications are present. The offering of the consumer self-assessment measure must be recorded</w:t>
      </w:r>
      <w:r>
        <w:t xml:space="preserve"> </w:t>
      </w:r>
      <w:r w:rsidRPr="00623D8D">
        <w:t xml:space="preserve">on the CMI (refer Appendix 3). </w:t>
      </w:r>
      <w:r w:rsidRPr="00623D8D">
        <w:rPr>
          <w:b/>
          <w:bCs/>
        </w:rPr>
        <w:t>Completion by the consumer is always voluntary.</w:t>
      </w:r>
      <w:r w:rsidRPr="00623D8D">
        <w:t xml:space="preserve"> Clinicians need to consider</w:t>
      </w:r>
      <w:r>
        <w:t xml:space="preserve"> </w:t>
      </w:r>
      <w:r w:rsidRPr="00623D8D">
        <w:t>how they will explain OM concepts to consumers and carers, as well as how they will provide specific feedback.</w:t>
      </w:r>
    </w:p>
    <w:p w14:paraId="712498BC" w14:textId="5803A76E" w:rsidR="00623D8D" w:rsidRPr="00623D8D" w:rsidRDefault="00623D8D" w:rsidP="00623D8D">
      <w:pPr>
        <w:pStyle w:val="Body"/>
      </w:pPr>
      <w:r w:rsidRPr="00623D8D">
        <w:t xml:space="preserve">There are </w:t>
      </w:r>
      <w:proofErr w:type="gramStart"/>
      <w:r w:rsidRPr="00623D8D">
        <w:t>a number of</w:t>
      </w:r>
      <w:proofErr w:type="gramEnd"/>
      <w:r w:rsidRPr="00623D8D">
        <w:t xml:space="preserve"> training materials available to assist clinicians with this process. Clinicians need to be</w:t>
      </w:r>
      <w:r>
        <w:t xml:space="preserve"> </w:t>
      </w:r>
      <w:r w:rsidRPr="00623D8D">
        <w:t>familiar with the consumer self-rated measures. When offering the consumer self-assessment, it is important to</w:t>
      </w:r>
      <w:r>
        <w:t xml:space="preserve"> </w:t>
      </w:r>
      <w:r w:rsidRPr="00623D8D">
        <w:t>explain why it is being offered and how the information will be used.</w:t>
      </w:r>
    </w:p>
    <w:p w14:paraId="55824BD6" w14:textId="77777777" w:rsidR="00623D8D" w:rsidRPr="00623D8D" w:rsidRDefault="00623D8D" w:rsidP="00623D8D">
      <w:pPr>
        <w:pStyle w:val="Body"/>
      </w:pPr>
      <w:r w:rsidRPr="00623D8D">
        <w:t xml:space="preserve">The department has commissioned translations of BASIS-32 or SDQ for children and young people into </w:t>
      </w:r>
      <w:proofErr w:type="gramStart"/>
      <w:r w:rsidRPr="00623D8D">
        <w:t>a number of</w:t>
      </w:r>
      <w:proofErr w:type="gramEnd"/>
      <w:r w:rsidRPr="00623D8D">
        <w:t xml:space="preserve"> community languages. Clinicians should also consider using interpreters to assist culturally and linguistically diverse consumers to complete the BASIS 32 and SDQ. </w:t>
      </w:r>
    </w:p>
    <w:p w14:paraId="0008D4A7" w14:textId="700B51E0" w:rsidR="00623D8D" w:rsidRPr="00623D8D" w:rsidRDefault="00623D8D" w:rsidP="00623D8D">
      <w:pPr>
        <w:pStyle w:val="Body"/>
      </w:pPr>
      <w:r w:rsidRPr="00623D8D">
        <w:t>Consumers and their families should be provided with verbal and written information on OM to enable</w:t>
      </w:r>
      <w:r>
        <w:t xml:space="preserve"> </w:t>
      </w:r>
      <w:r w:rsidRPr="00623D8D">
        <w:t>them to make an informed decision on whether to participate. Information brochures are available from</w:t>
      </w:r>
      <w:r>
        <w:t xml:space="preserve"> </w:t>
      </w:r>
      <w:hyperlink r:id="rId19" w:history="1">
        <w:r w:rsidRPr="00623D8D">
          <w:rPr>
            <w:rStyle w:val="Hyperlink"/>
          </w:rPr>
          <w:t>https://www2.health.vic.gov.au/mental-health/practice-and-service-quality/service-quality/measuring-outcomes-in-mental-health</w:t>
        </w:r>
      </w:hyperlink>
      <w:r w:rsidRPr="00623D8D">
        <w:t>.  These have also been translated into many community</w:t>
      </w:r>
      <w:r>
        <w:t xml:space="preserve"> </w:t>
      </w:r>
      <w:r w:rsidRPr="00623D8D">
        <w:t>languages.</w:t>
      </w:r>
    </w:p>
    <w:p w14:paraId="6DD2B573" w14:textId="77777777" w:rsidR="00623D8D" w:rsidRPr="00623D8D" w:rsidRDefault="00623D8D" w:rsidP="00623D8D">
      <w:pPr>
        <w:pStyle w:val="Heading1"/>
      </w:pPr>
      <w:bookmarkStart w:id="45" w:name="_Toc58436911"/>
      <w:bookmarkStart w:id="46" w:name="_Toc67645570"/>
      <w:r w:rsidRPr="00623D8D">
        <w:t>Privacy and confidentiality</w:t>
      </w:r>
      <w:bookmarkEnd w:id="45"/>
      <w:bookmarkEnd w:id="46"/>
    </w:p>
    <w:p w14:paraId="4787F21E" w14:textId="77777777" w:rsidR="00623D8D" w:rsidRPr="00623D8D" w:rsidRDefault="00623D8D" w:rsidP="00623D8D">
      <w:pPr>
        <w:pStyle w:val="Body"/>
      </w:pPr>
      <w:r w:rsidRPr="00623D8D">
        <w:t xml:space="preserve">OM is governed by the same legislation and considerations as other clinical </w:t>
      </w:r>
      <w:proofErr w:type="gramStart"/>
      <w:r w:rsidRPr="00623D8D">
        <w:t>activities;</w:t>
      </w:r>
      <w:proofErr w:type="gramEnd"/>
      <w:r w:rsidRPr="00623D8D">
        <w:t xml:space="preserve"> including privacy and confidentiality of medical records and personal information and freedom of information.</w:t>
      </w:r>
    </w:p>
    <w:p w14:paraId="45603B65" w14:textId="77777777" w:rsidR="00623D8D" w:rsidRPr="00623D8D" w:rsidRDefault="00623D8D" w:rsidP="00623D8D">
      <w:pPr>
        <w:pStyle w:val="Heading1"/>
      </w:pPr>
      <w:bookmarkStart w:id="47" w:name="_Toc58436912"/>
      <w:bookmarkStart w:id="48" w:name="_Toc67645571"/>
      <w:r w:rsidRPr="00623D8D">
        <w:t>About program management circulars</w:t>
      </w:r>
      <w:bookmarkEnd w:id="47"/>
      <w:bookmarkEnd w:id="48"/>
    </w:p>
    <w:p w14:paraId="17D36B02" w14:textId="77777777" w:rsidR="00623D8D" w:rsidRPr="00623D8D" w:rsidRDefault="00623D8D" w:rsidP="00623D8D">
      <w:pPr>
        <w:pStyle w:val="Body"/>
      </w:pPr>
      <w:r w:rsidRPr="00623D8D">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24BCF2FC" w14:textId="77777777" w:rsidR="00623D8D" w:rsidRPr="00623D8D" w:rsidRDefault="00623D8D" w:rsidP="00623D8D">
      <w:pPr>
        <w:pStyle w:val="Heading1"/>
      </w:pPr>
      <w:bookmarkStart w:id="49" w:name="_Toc58436913"/>
      <w:bookmarkStart w:id="50" w:name="_Toc67645572"/>
      <w:r w:rsidRPr="00623D8D">
        <w:t>References and Resources</w:t>
      </w:r>
      <w:bookmarkEnd w:id="49"/>
      <w:bookmarkEnd w:id="50"/>
      <w:r w:rsidRPr="00623D8D">
        <w:t xml:space="preserve"> </w:t>
      </w:r>
    </w:p>
    <w:p w14:paraId="7FC27D6B" w14:textId="77777777" w:rsidR="00623D8D" w:rsidRPr="00623D8D" w:rsidRDefault="00623D8D" w:rsidP="00623D8D">
      <w:pPr>
        <w:pStyle w:val="Body"/>
        <w:rPr>
          <w:i/>
        </w:rPr>
      </w:pPr>
      <w:r w:rsidRPr="00623D8D">
        <w:t xml:space="preserve">Independent Hospital Pricing Authority. (2016). </w:t>
      </w:r>
      <w:r w:rsidRPr="00623D8D">
        <w:rPr>
          <w:i/>
        </w:rPr>
        <w:t>Australian Mental Health Care Classification.  Mental health phase of care guide</w:t>
      </w:r>
      <w:r w:rsidRPr="00623D8D">
        <w:t>. Retrieved from https://www.ihpa.gov.au/publications/mental-health-phase-care-guide</w:t>
      </w:r>
      <w:r w:rsidRPr="00623D8D">
        <w:rPr>
          <w:i/>
        </w:rPr>
        <w:t xml:space="preserve"> </w:t>
      </w:r>
    </w:p>
    <w:bookmarkEnd w:id="1"/>
    <w:p w14:paraId="59F2EF68" w14:textId="20F2AB2E" w:rsidR="00623D8D" w:rsidRDefault="00623D8D" w:rsidP="006D7093">
      <w:pPr>
        <w:pStyle w:val="Body"/>
      </w:pPr>
    </w:p>
    <w:p w14:paraId="674324F9" w14:textId="77777777" w:rsidR="004D04F2" w:rsidRPr="004D04F2" w:rsidRDefault="004D04F2" w:rsidP="004D04F2">
      <w:pPr>
        <w:pStyle w:val="Heading1"/>
      </w:pPr>
      <w:bookmarkStart w:id="51" w:name="_Toc58436914"/>
      <w:bookmarkStart w:id="52" w:name="_Toc67645573"/>
      <w:r w:rsidRPr="004D04F2">
        <w:lastRenderedPageBreak/>
        <w:t>Appendix 1</w:t>
      </w:r>
      <w:bookmarkEnd w:id="51"/>
      <w:bookmarkEnd w:id="52"/>
    </w:p>
    <w:p w14:paraId="15EE48CA" w14:textId="77777777" w:rsidR="004D04F2" w:rsidRPr="004D04F2" w:rsidRDefault="004D04F2" w:rsidP="004D04F2">
      <w:pPr>
        <w:pStyle w:val="Body"/>
      </w:pPr>
      <w:r w:rsidRPr="004D04F2">
        <w:t>Compliance encompasses application of all measures required within the national protocol for that age group, service setting and the reason for collection, including the completion of relevant clinician-rated measures and offering of relevant consumer self-assessment measure (and carer measure in child and adolescent services).</w:t>
      </w:r>
    </w:p>
    <w:p w14:paraId="716B292C" w14:textId="77777777" w:rsidR="004D04F2" w:rsidRPr="004D04F2" w:rsidRDefault="004D04F2" w:rsidP="004D04F2">
      <w:pPr>
        <w:pStyle w:val="Body"/>
      </w:pPr>
      <w:bookmarkStart w:id="53" w:name="_Toc58436915"/>
      <w:r w:rsidRPr="004D04F2">
        <w:t>Table 1: “In Scope” Victorian teams/programs and corresponding national age grouping and setting</w:t>
      </w:r>
      <w:bookmarkEnd w:id="53"/>
    </w:p>
    <w:tbl>
      <w:tblPr>
        <w:tblStyle w:val="TableGrid"/>
        <w:tblW w:w="10519" w:type="dxa"/>
        <w:tblLook w:val="04A0" w:firstRow="1" w:lastRow="0" w:firstColumn="1" w:lastColumn="0" w:noHBand="0" w:noVBand="1"/>
      </w:tblPr>
      <w:tblGrid>
        <w:gridCol w:w="2155"/>
        <w:gridCol w:w="5954"/>
        <w:gridCol w:w="2410"/>
      </w:tblGrid>
      <w:tr w:rsidR="004D04F2" w:rsidRPr="004D04F2" w14:paraId="5F898B0C" w14:textId="77777777" w:rsidTr="004D04F2">
        <w:tc>
          <w:tcPr>
            <w:tcW w:w="2155" w:type="dxa"/>
          </w:tcPr>
          <w:p w14:paraId="5504103B" w14:textId="77777777" w:rsidR="004D04F2" w:rsidRPr="004D04F2" w:rsidRDefault="004D04F2" w:rsidP="004D04F2">
            <w:pPr>
              <w:pStyle w:val="Body"/>
              <w:rPr>
                <w:b/>
                <w:bCs/>
              </w:rPr>
            </w:pPr>
            <w:r w:rsidRPr="004D04F2">
              <w:rPr>
                <w:b/>
                <w:bCs/>
              </w:rPr>
              <w:t>National age group</w:t>
            </w:r>
          </w:p>
        </w:tc>
        <w:tc>
          <w:tcPr>
            <w:tcW w:w="5954" w:type="dxa"/>
          </w:tcPr>
          <w:p w14:paraId="17EF986E" w14:textId="77777777" w:rsidR="004D04F2" w:rsidRPr="004D04F2" w:rsidRDefault="004D04F2" w:rsidP="004D04F2">
            <w:pPr>
              <w:pStyle w:val="Body"/>
              <w:rPr>
                <w:b/>
                <w:bCs/>
              </w:rPr>
            </w:pPr>
            <w:r w:rsidRPr="004D04F2">
              <w:rPr>
                <w:b/>
                <w:bCs/>
              </w:rPr>
              <w:t>Victorian team/program</w:t>
            </w:r>
          </w:p>
        </w:tc>
        <w:tc>
          <w:tcPr>
            <w:tcW w:w="2410" w:type="dxa"/>
          </w:tcPr>
          <w:p w14:paraId="5DB76423" w14:textId="77777777" w:rsidR="004D04F2" w:rsidRPr="004D04F2" w:rsidRDefault="004D04F2" w:rsidP="004D04F2">
            <w:pPr>
              <w:pStyle w:val="Body"/>
              <w:rPr>
                <w:b/>
                <w:bCs/>
              </w:rPr>
            </w:pPr>
            <w:r w:rsidRPr="004D04F2">
              <w:rPr>
                <w:b/>
                <w:bCs/>
              </w:rPr>
              <w:t>National setting</w:t>
            </w:r>
          </w:p>
        </w:tc>
      </w:tr>
      <w:tr w:rsidR="004D04F2" w:rsidRPr="004D04F2" w14:paraId="2C661B8A" w14:textId="77777777" w:rsidTr="004D04F2">
        <w:trPr>
          <w:trHeight w:val="225"/>
        </w:trPr>
        <w:tc>
          <w:tcPr>
            <w:tcW w:w="2155" w:type="dxa"/>
            <w:vMerge w:val="restart"/>
          </w:tcPr>
          <w:p w14:paraId="3AA8409F" w14:textId="77777777" w:rsidR="004D04F2" w:rsidRPr="004D04F2" w:rsidRDefault="004D04F2" w:rsidP="004D04F2">
            <w:pPr>
              <w:pStyle w:val="Body"/>
            </w:pPr>
            <w:r w:rsidRPr="004D04F2">
              <w:t>Child and adolescent (0-18 years)</w:t>
            </w:r>
          </w:p>
        </w:tc>
        <w:tc>
          <w:tcPr>
            <w:tcW w:w="5954" w:type="dxa"/>
          </w:tcPr>
          <w:p w14:paraId="63C3F7DD" w14:textId="77777777" w:rsidR="004D04F2" w:rsidRPr="004D04F2" w:rsidRDefault="004D04F2" w:rsidP="004D04F2">
            <w:pPr>
              <w:pStyle w:val="Body"/>
            </w:pPr>
            <w:r w:rsidRPr="004D04F2">
              <w:t>- Acute Mental Health Inpatient Units</w:t>
            </w:r>
          </w:p>
          <w:p w14:paraId="7008CCE6" w14:textId="77777777" w:rsidR="004D04F2" w:rsidRPr="004D04F2" w:rsidRDefault="004D04F2" w:rsidP="004D04F2">
            <w:pPr>
              <w:pStyle w:val="Body"/>
            </w:pPr>
            <w:r w:rsidRPr="004D04F2">
              <w:t>- State-wide services</w:t>
            </w:r>
          </w:p>
        </w:tc>
        <w:tc>
          <w:tcPr>
            <w:tcW w:w="2410" w:type="dxa"/>
          </w:tcPr>
          <w:p w14:paraId="1CA977D0" w14:textId="77777777" w:rsidR="004D04F2" w:rsidRPr="004D04F2" w:rsidRDefault="004D04F2" w:rsidP="004D04F2">
            <w:pPr>
              <w:pStyle w:val="Body"/>
              <w:rPr>
                <w:b/>
                <w:bCs/>
              </w:rPr>
            </w:pPr>
            <w:r w:rsidRPr="004D04F2">
              <w:rPr>
                <w:b/>
                <w:bCs/>
              </w:rPr>
              <w:t>Inpatient</w:t>
            </w:r>
          </w:p>
        </w:tc>
      </w:tr>
      <w:tr w:rsidR="004D04F2" w:rsidRPr="004D04F2" w14:paraId="359620FF" w14:textId="77777777" w:rsidTr="004D04F2">
        <w:trPr>
          <w:trHeight w:val="225"/>
        </w:trPr>
        <w:tc>
          <w:tcPr>
            <w:tcW w:w="2155" w:type="dxa"/>
            <w:vMerge/>
          </w:tcPr>
          <w:p w14:paraId="643B40B7" w14:textId="77777777" w:rsidR="004D04F2" w:rsidRPr="004D04F2" w:rsidRDefault="004D04F2" w:rsidP="004D04F2">
            <w:pPr>
              <w:pStyle w:val="Body"/>
            </w:pPr>
          </w:p>
        </w:tc>
        <w:tc>
          <w:tcPr>
            <w:tcW w:w="5954" w:type="dxa"/>
          </w:tcPr>
          <w:p w14:paraId="502EA68A" w14:textId="77777777" w:rsidR="004D04F2" w:rsidRPr="004D04F2" w:rsidRDefault="004D04F2" w:rsidP="004D04F2">
            <w:pPr>
              <w:pStyle w:val="Body"/>
            </w:pPr>
            <w:r w:rsidRPr="004D04F2">
              <w:t>- Community teams (case management)</w:t>
            </w:r>
          </w:p>
          <w:p w14:paraId="28B7D1DA" w14:textId="77777777" w:rsidR="004D04F2" w:rsidRPr="004D04F2" w:rsidRDefault="004D04F2" w:rsidP="004D04F2">
            <w:pPr>
              <w:pStyle w:val="Body"/>
            </w:pPr>
            <w:r w:rsidRPr="004D04F2">
              <w:t>- Day programs</w:t>
            </w:r>
          </w:p>
          <w:p w14:paraId="2EFA6A3E" w14:textId="77777777" w:rsidR="004D04F2" w:rsidRPr="004D04F2" w:rsidRDefault="004D04F2" w:rsidP="004D04F2">
            <w:pPr>
              <w:pStyle w:val="Body"/>
              <w:rPr>
                <w:b/>
                <w:bCs/>
              </w:rPr>
            </w:pPr>
            <w:r w:rsidRPr="004D04F2">
              <w:rPr>
                <w:b/>
                <w:bCs/>
              </w:rPr>
              <w:t>Youth (15–18 years)</w:t>
            </w:r>
          </w:p>
          <w:p w14:paraId="57CAA264" w14:textId="77777777" w:rsidR="004D04F2" w:rsidRPr="004D04F2" w:rsidRDefault="004D04F2" w:rsidP="004D04F2">
            <w:pPr>
              <w:pStyle w:val="Body"/>
            </w:pPr>
            <w:r w:rsidRPr="004D04F2">
              <w:t>- Primary Mental Health and Early Intervention Services*</w:t>
            </w:r>
          </w:p>
          <w:p w14:paraId="13C4B650" w14:textId="77777777" w:rsidR="004D04F2" w:rsidRPr="004D04F2" w:rsidRDefault="004D04F2" w:rsidP="004D04F2">
            <w:pPr>
              <w:pStyle w:val="Body"/>
            </w:pPr>
            <w:r w:rsidRPr="004D04F2">
              <w:t>- Youth Access Team (YAT)</w:t>
            </w:r>
          </w:p>
          <w:p w14:paraId="7C92E8AF" w14:textId="77777777" w:rsidR="004D04F2" w:rsidRPr="004D04F2" w:rsidRDefault="004D04F2" w:rsidP="004D04F2">
            <w:pPr>
              <w:pStyle w:val="Body"/>
            </w:pPr>
            <w:r w:rsidRPr="004D04F2">
              <w:t>- Early Psychosis Prevention and Intervention Centre (EPPIC)</w:t>
            </w:r>
          </w:p>
          <w:p w14:paraId="2AF588AC" w14:textId="77777777" w:rsidR="004D04F2" w:rsidRPr="004D04F2" w:rsidRDefault="004D04F2" w:rsidP="004D04F2">
            <w:pPr>
              <w:pStyle w:val="Body"/>
            </w:pPr>
            <w:r w:rsidRPr="004D04F2">
              <w:t>outpatient case management</w:t>
            </w:r>
          </w:p>
          <w:p w14:paraId="2888F525" w14:textId="77777777" w:rsidR="004D04F2" w:rsidRPr="004D04F2" w:rsidRDefault="004D04F2" w:rsidP="004D04F2">
            <w:pPr>
              <w:pStyle w:val="Body"/>
            </w:pPr>
            <w:r w:rsidRPr="004D04F2">
              <w:t xml:space="preserve">- </w:t>
            </w:r>
            <w:proofErr w:type="spellStart"/>
            <w:r w:rsidRPr="004D04F2">
              <w:t>Youthscope</w:t>
            </w:r>
            <w:proofErr w:type="spellEnd"/>
          </w:p>
          <w:p w14:paraId="29314AEF" w14:textId="77777777" w:rsidR="004D04F2" w:rsidRPr="004D04F2" w:rsidRDefault="004D04F2" w:rsidP="004D04F2">
            <w:pPr>
              <w:pStyle w:val="Body"/>
            </w:pPr>
            <w:r w:rsidRPr="004D04F2">
              <w:t>- Youth Early Psychosis (YEP)</w:t>
            </w:r>
          </w:p>
          <w:p w14:paraId="63147908" w14:textId="77777777" w:rsidR="004D04F2" w:rsidRPr="004D04F2" w:rsidRDefault="004D04F2" w:rsidP="004D04F2">
            <w:pPr>
              <w:pStyle w:val="Body"/>
            </w:pPr>
            <w:r w:rsidRPr="004D04F2">
              <w:t>- Intensive Mobile Youth Outreach Service (IMYOS)</w:t>
            </w:r>
          </w:p>
        </w:tc>
        <w:tc>
          <w:tcPr>
            <w:tcW w:w="2410" w:type="dxa"/>
          </w:tcPr>
          <w:p w14:paraId="23740951" w14:textId="77777777" w:rsidR="004D04F2" w:rsidRPr="004D04F2" w:rsidRDefault="004D04F2" w:rsidP="004D04F2">
            <w:pPr>
              <w:pStyle w:val="Body"/>
              <w:rPr>
                <w:b/>
                <w:bCs/>
              </w:rPr>
            </w:pPr>
            <w:r w:rsidRPr="004D04F2">
              <w:rPr>
                <w:b/>
                <w:bCs/>
              </w:rPr>
              <w:t>Ambulatory</w:t>
            </w:r>
          </w:p>
        </w:tc>
      </w:tr>
      <w:tr w:rsidR="004D04F2" w:rsidRPr="004D04F2" w14:paraId="0E8A6CE0" w14:textId="77777777" w:rsidTr="004D04F2">
        <w:trPr>
          <w:trHeight w:val="225"/>
        </w:trPr>
        <w:tc>
          <w:tcPr>
            <w:tcW w:w="2155" w:type="dxa"/>
            <w:vMerge w:val="restart"/>
          </w:tcPr>
          <w:p w14:paraId="5B7CB5CB" w14:textId="77777777" w:rsidR="004D04F2" w:rsidRPr="004D04F2" w:rsidRDefault="004D04F2" w:rsidP="004D04F2">
            <w:pPr>
              <w:pStyle w:val="Body"/>
            </w:pPr>
            <w:r w:rsidRPr="004D04F2">
              <w:t>Adult (18-65 years)</w:t>
            </w:r>
          </w:p>
        </w:tc>
        <w:tc>
          <w:tcPr>
            <w:tcW w:w="5954" w:type="dxa"/>
          </w:tcPr>
          <w:p w14:paraId="5A5720CF" w14:textId="77777777" w:rsidR="004D04F2" w:rsidRPr="004D04F2" w:rsidRDefault="004D04F2" w:rsidP="004D04F2">
            <w:pPr>
              <w:pStyle w:val="Body"/>
            </w:pPr>
            <w:r w:rsidRPr="004D04F2">
              <w:t>- Acute Inpatient units (including PICU)</w:t>
            </w:r>
          </w:p>
          <w:p w14:paraId="5B928CE6" w14:textId="77777777" w:rsidR="004D04F2" w:rsidRPr="004D04F2" w:rsidRDefault="004D04F2" w:rsidP="004D04F2">
            <w:pPr>
              <w:pStyle w:val="Body"/>
            </w:pPr>
            <w:r w:rsidRPr="004D04F2">
              <w:t>- Forensicare acute beds</w:t>
            </w:r>
          </w:p>
          <w:p w14:paraId="20343C62" w14:textId="77777777" w:rsidR="004D04F2" w:rsidRPr="004D04F2" w:rsidRDefault="004D04F2" w:rsidP="004D04F2">
            <w:pPr>
              <w:pStyle w:val="Body"/>
            </w:pPr>
            <w:r w:rsidRPr="004D04F2">
              <w:t>- Statewide services (including parent/infant unit)</w:t>
            </w:r>
          </w:p>
          <w:p w14:paraId="0EFD3380" w14:textId="77777777" w:rsidR="004D04F2" w:rsidRPr="004D04F2" w:rsidRDefault="004D04F2" w:rsidP="004D04F2">
            <w:pPr>
              <w:pStyle w:val="Body"/>
            </w:pPr>
            <w:r w:rsidRPr="004D04F2">
              <w:t>- Eating Disorders units</w:t>
            </w:r>
          </w:p>
          <w:p w14:paraId="22AD7C4F" w14:textId="77777777" w:rsidR="004D04F2" w:rsidRPr="004D04F2" w:rsidRDefault="004D04F2" w:rsidP="004D04F2">
            <w:pPr>
              <w:pStyle w:val="Body"/>
            </w:pPr>
            <w:r w:rsidRPr="004D04F2">
              <w:t>- Veteran psychiatry unit</w:t>
            </w:r>
          </w:p>
          <w:p w14:paraId="7486AF20" w14:textId="77777777" w:rsidR="004D04F2" w:rsidRPr="004D04F2" w:rsidRDefault="004D04F2" w:rsidP="004D04F2">
            <w:pPr>
              <w:pStyle w:val="Body"/>
            </w:pPr>
            <w:r w:rsidRPr="004D04F2">
              <w:t>- Prevention and Recovery Centres (PARC)</w:t>
            </w:r>
          </w:p>
        </w:tc>
        <w:tc>
          <w:tcPr>
            <w:tcW w:w="2410" w:type="dxa"/>
          </w:tcPr>
          <w:p w14:paraId="6DF942F4" w14:textId="77777777" w:rsidR="004D04F2" w:rsidRPr="004D04F2" w:rsidRDefault="004D04F2" w:rsidP="004D04F2">
            <w:pPr>
              <w:pStyle w:val="Body"/>
            </w:pPr>
            <w:r w:rsidRPr="004D04F2">
              <w:rPr>
                <w:b/>
                <w:bCs/>
              </w:rPr>
              <w:t>Inpatient</w:t>
            </w:r>
          </w:p>
        </w:tc>
      </w:tr>
      <w:tr w:rsidR="004D04F2" w:rsidRPr="004D04F2" w14:paraId="79520023" w14:textId="77777777" w:rsidTr="004D04F2">
        <w:trPr>
          <w:trHeight w:val="225"/>
        </w:trPr>
        <w:tc>
          <w:tcPr>
            <w:tcW w:w="2155" w:type="dxa"/>
            <w:vMerge/>
          </w:tcPr>
          <w:p w14:paraId="6F7F85F1" w14:textId="77777777" w:rsidR="004D04F2" w:rsidRPr="004D04F2" w:rsidRDefault="004D04F2" w:rsidP="004D04F2">
            <w:pPr>
              <w:pStyle w:val="Body"/>
            </w:pPr>
          </w:p>
        </w:tc>
        <w:tc>
          <w:tcPr>
            <w:tcW w:w="5954" w:type="dxa"/>
          </w:tcPr>
          <w:p w14:paraId="0A427414" w14:textId="77777777" w:rsidR="004D04F2" w:rsidRPr="004D04F2" w:rsidRDefault="004D04F2" w:rsidP="004D04F2">
            <w:pPr>
              <w:pStyle w:val="Body"/>
              <w:rPr>
                <w:b/>
                <w:bCs/>
              </w:rPr>
            </w:pPr>
            <w:r w:rsidRPr="004D04F2">
              <w:rPr>
                <w:b/>
                <w:bCs/>
              </w:rPr>
              <w:t>Youth (18–25 years)</w:t>
            </w:r>
          </w:p>
          <w:p w14:paraId="326BCAC1" w14:textId="77777777" w:rsidR="004D04F2" w:rsidRPr="004D04F2" w:rsidRDefault="004D04F2" w:rsidP="004D04F2">
            <w:pPr>
              <w:pStyle w:val="Body"/>
            </w:pPr>
            <w:r w:rsidRPr="004D04F2">
              <w:t>- Primary Mental Health and Early Intervention Services*</w:t>
            </w:r>
          </w:p>
          <w:p w14:paraId="6C4E1D63" w14:textId="77777777" w:rsidR="004D04F2" w:rsidRPr="004D04F2" w:rsidRDefault="004D04F2" w:rsidP="004D04F2">
            <w:pPr>
              <w:pStyle w:val="Body"/>
            </w:pPr>
            <w:r w:rsidRPr="004D04F2">
              <w:t>- Youth Access Team (YAT)</w:t>
            </w:r>
          </w:p>
          <w:p w14:paraId="0BCA3F8D" w14:textId="77777777" w:rsidR="004D04F2" w:rsidRPr="004D04F2" w:rsidRDefault="004D04F2" w:rsidP="004D04F2">
            <w:pPr>
              <w:pStyle w:val="Body"/>
            </w:pPr>
            <w:r w:rsidRPr="004D04F2">
              <w:t>- Early Psychosis Prevention and Intervention Centre (EPPIC)</w:t>
            </w:r>
          </w:p>
          <w:p w14:paraId="68F4BCF1" w14:textId="77777777" w:rsidR="004D04F2" w:rsidRPr="004D04F2" w:rsidRDefault="004D04F2" w:rsidP="004D04F2">
            <w:pPr>
              <w:pStyle w:val="Body"/>
            </w:pPr>
            <w:r w:rsidRPr="004D04F2">
              <w:t>outpatient case management</w:t>
            </w:r>
          </w:p>
          <w:p w14:paraId="100156A6" w14:textId="77777777" w:rsidR="004D04F2" w:rsidRPr="004D04F2" w:rsidRDefault="004D04F2" w:rsidP="004D04F2">
            <w:pPr>
              <w:pStyle w:val="Body"/>
            </w:pPr>
            <w:r w:rsidRPr="004D04F2">
              <w:t xml:space="preserve">- </w:t>
            </w:r>
            <w:proofErr w:type="spellStart"/>
            <w:r w:rsidRPr="004D04F2">
              <w:t>Youthscope</w:t>
            </w:r>
            <w:proofErr w:type="spellEnd"/>
          </w:p>
          <w:p w14:paraId="1E65E3C4" w14:textId="77777777" w:rsidR="004D04F2" w:rsidRPr="004D04F2" w:rsidRDefault="004D04F2" w:rsidP="004D04F2">
            <w:pPr>
              <w:pStyle w:val="Body"/>
            </w:pPr>
            <w:r w:rsidRPr="004D04F2">
              <w:t>- Youth Early Psychosis (YEP)</w:t>
            </w:r>
          </w:p>
          <w:p w14:paraId="45DF984A" w14:textId="77777777" w:rsidR="004D04F2" w:rsidRPr="004D04F2" w:rsidRDefault="004D04F2" w:rsidP="004D04F2">
            <w:pPr>
              <w:pStyle w:val="Body"/>
            </w:pPr>
            <w:r w:rsidRPr="004D04F2">
              <w:t>- Intensive Mobile Youth Outreach Service (IMYOS)</w:t>
            </w:r>
          </w:p>
          <w:p w14:paraId="2DE230AA" w14:textId="77777777" w:rsidR="004D04F2" w:rsidRPr="004D04F2" w:rsidRDefault="004D04F2" w:rsidP="004D04F2">
            <w:pPr>
              <w:pStyle w:val="Body"/>
              <w:rPr>
                <w:b/>
                <w:bCs/>
              </w:rPr>
            </w:pPr>
            <w:r w:rsidRPr="004D04F2">
              <w:rPr>
                <w:b/>
                <w:bCs/>
              </w:rPr>
              <w:lastRenderedPageBreak/>
              <w:t>Adult</w:t>
            </w:r>
          </w:p>
          <w:p w14:paraId="5971C52B" w14:textId="77777777" w:rsidR="004D04F2" w:rsidRPr="004D04F2" w:rsidRDefault="004D04F2" w:rsidP="004D04F2">
            <w:pPr>
              <w:pStyle w:val="Body"/>
            </w:pPr>
            <w:r w:rsidRPr="004D04F2">
              <w:t>- Primary Mental Health and Early Intervention Services*</w:t>
            </w:r>
          </w:p>
          <w:p w14:paraId="7CA5F389" w14:textId="77777777" w:rsidR="004D04F2" w:rsidRPr="004D04F2" w:rsidRDefault="004D04F2" w:rsidP="004D04F2">
            <w:pPr>
              <w:pStyle w:val="Body"/>
            </w:pPr>
            <w:r w:rsidRPr="004D04F2">
              <w:t>- Integrated Community Teams</w:t>
            </w:r>
          </w:p>
          <w:p w14:paraId="057CC4B6" w14:textId="77777777" w:rsidR="004D04F2" w:rsidRPr="004D04F2" w:rsidRDefault="004D04F2" w:rsidP="004D04F2">
            <w:pPr>
              <w:pStyle w:val="Body"/>
            </w:pPr>
            <w:r w:rsidRPr="004D04F2">
              <w:t>- Crisis Assessment and Treatment Teams (CATT)</w:t>
            </w:r>
          </w:p>
          <w:p w14:paraId="1E932A00" w14:textId="77777777" w:rsidR="004D04F2" w:rsidRPr="004D04F2" w:rsidRDefault="004D04F2" w:rsidP="004D04F2">
            <w:pPr>
              <w:pStyle w:val="Body"/>
            </w:pPr>
            <w:r w:rsidRPr="004D04F2">
              <w:t>- Continuing Care Teams (CCT)</w:t>
            </w:r>
          </w:p>
          <w:p w14:paraId="0EBEF81A" w14:textId="77777777" w:rsidR="004D04F2" w:rsidRPr="004D04F2" w:rsidRDefault="004D04F2" w:rsidP="004D04F2">
            <w:pPr>
              <w:pStyle w:val="Body"/>
            </w:pPr>
            <w:r w:rsidRPr="004D04F2">
              <w:t>- Mobile Support and Treatment services (MST)</w:t>
            </w:r>
          </w:p>
          <w:p w14:paraId="4F40B677" w14:textId="77777777" w:rsidR="004D04F2" w:rsidRPr="004D04F2" w:rsidRDefault="004D04F2" w:rsidP="004D04F2">
            <w:pPr>
              <w:pStyle w:val="Body"/>
            </w:pPr>
            <w:r w:rsidRPr="004D04F2">
              <w:t>- Eating disorders outpatient services</w:t>
            </w:r>
          </w:p>
          <w:p w14:paraId="00A4D5D7" w14:textId="77777777" w:rsidR="004D04F2" w:rsidRPr="004D04F2" w:rsidRDefault="004D04F2" w:rsidP="004D04F2">
            <w:pPr>
              <w:pStyle w:val="Body"/>
            </w:pPr>
            <w:r w:rsidRPr="004D04F2">
              <w:t>- Day programs</w:t>
            </w:r>
          </w:p>
          <w:p w14:paraId="4EAC4E14" w14:textId="77777777" w:rsidR="004D04F2" w:rsidRPr="004D04F2" w:rsidRDefault="004D04F2" w:rsidP="004D04F2">
            <w:pPr>
              <w:pStyle w:val="Body"/>
            </w:pPr>
            <w:r w:rsidRPr="004D04F2">
              <w:t>- Veteran psychiatry</w:t>
            </w:r>
          </w:p>
        </w:tc>
        <w:tc>
          <w:tcPr>
            <w:tcW w:w="2410" w:type="dxa"/>
          </w:tcPr>
          <w:p w14:paraId="433C3F37" w14:textId="77777777" w:rsidR="004D04F2" w:rsidRPr="004D04F2" w:rsidRDefault="004D04F2" w:rsidP="004D04F2">
            <w:pPr>
              <w:pStyle w:val="Body"/>
            </w:pPr>
            <w:r w:rsidRPr="004D04F2">
              <w:rPr>
                <w:b/>
                <w:bCs/>
              </w:rPr>
              <w:lastRenderedPageBreak/>
              <w:t>Ambulatory</w:t>
            </w:r>
          </w:p>
        </w:tc>
      </w:tr>
      <w:tr w:rsidR="004D04F2" w:rsidRPr="004D04F2" w14:paraId="604EB73B" w14:textId="77777777" w:rsidTr="004D04F2">
        <w:trPr>
          <w:trHeight w:val="225"/>
        </w:trPr>
        <w:tc>
          <w:tcPr>
            <w:tcW w:w="2155" w:type="dxa"/>
            <w:vMerge/>
          </w:tcPr>
          <w:p w14:paraId="59DC32C7" w14:textId="77777777" w:rsidR="004D04F2" w:rsidRPr="004D04F2" w:rsidRDefault="004D04F2" w:rsidP="004D04F2">
            <w:pPr>
              <w:pStyle w:val="Body"/>
            </w:pPr>
          </w:p>
        </w:tc>
        <w:tc>
          <w:tcPr>
            <w:tcW w:w="5954" w:type="dxa"/>
          </w:tcPr>
          <w:p w14:paraId="6F94E411" w14:textId="77777777" w:rsidR="004D04F2" w:rsidRPr="004D04F2" w:rsidRDefault="004D04F2" w:rsidP="004D04F2">
            <w:pPr>
              <w:pStyle w:val="Body"/>
            </w:pPr>
            <w:r w:rsidRPr="004D04F2">
              <w:t xml:space="preserve">- Community Care Units/Community Residential Care Units </w:t>
            </w:r>
          </w:p>
        </w:tc>
        <w:tc>
          <w:tcPr>
            <w:tcW w:w="2410" w:type="dxa"/>
          </w:tcPr>
          <w:p w14:paraId="3DFE4FF8" w14:textId="77777777" w:rsidR="004D04F2" w:rsidRPr="004D04F2" w:rsidRDefault="004D04F2" w:rsidP="004D04F2">
            <w:pPr>
              <w:pStyle w:val="Body"/>
              <w:rPr>
                <w:b/>
                <w:bCs/>
              </w:rPr>
            </w:pPr>
            <w:r w:rsidRPr="004D04F2">
              <w:rPr>
                <w:b/>
                <w:bCs/>
              </w:rPr>
              <w:t>Community Residential</w:t>
            </w:r>
          </w:p>
        </w:tc>
      </w:tr>
      <w:tr w:rsidR="004D04F2" w:rsidRPr="004D04F2" w14:paraId="44152E4C" w14:textId="77777777" w:rsidTr="004D04F2">
        <w:trPr>
          <w:trHeight w:val="225"/>
        </w:trPr>
        <w:tc>
          <w:tcPr>
            <w:tcW w:w="2155" w:type="dxa"/>
            <w:vMerge/>
          </w:tcPr>
          <w:p w14:paraId="46D83FFB" w14:textId="77777777" w:rsidR="004D04F2" w:rsidRPr="004D04F2" w:rsidRDefault="004D04F2" w:rsidP="004D04F2">
            <w:pPr>
              <w:pStyle w:val="Body"/>
            </w:pPr>
          </w:p>
        </w:tc>
        <w:tc>
          <w:tcPr>
            <w:tcW w:w="5954" w:type="dxa"/>
          </w:tcPr>
          <w:p w14:paraId="711B4916" w14:textId="77777777" w:rsidR="004D04F2" w:rsidRPr="004D04F2" w:rsidRDefault="004D04F2" w:rsidP="004D04F2">
            <w:pPr>
              <w:pStyle w:val="Body"/>
            </w:pPr>
            <w:r w:rsidRPr="004D04F2">
              <w:t>- Secure Extended Units (including AMHRU, Forensicare subacute beds)</w:t>
            </w:r>
          </w:p>
        </w:tc>
        <w:tc>
          <w:tcPr>
            <w:tcW w:w="2410" w:type="dxa"/>
          </w:tcPr>
          <w:p w14:paraId="3ECFC714" w14:textId="77777777" w:rsidR="004D04F2" w:rsidRPr="004D04F2" w:rsidRDefault="004D04F2" w:rsidP="004D04F2">
            <w:pPr>
              <w:pStyle w:val="Body"/>
              <w:rPr>
                <w:b/>
                <w:bCs/>
              </w:rPr>
            </w:pPr>
            <w:r w:rsidRPr="004D04F2">
              <w:rPr>
                <w:b/>
                <w:bCs/>
              </w:rPr>
              <w:t>Community Residential</w:t>
            </w:r>
          </w:p>
        </w:tc>
      </w:tr>
      <w:tr w:rsidR="004D04F2" w:rsidRPr="004D04F2" w14:paraId="5572EFDE" w14:textId="77777777" w:rsidTr="004D04F2">
        <w:trPr>
          <w:trHeight w:val="225"/>
        </w:trPr>
        <w:tc>
          <w:tcPr>
            <w:tcW w:w="2155" w:type="dxa"/>
            <w:vMerge w:val="restart"/>
          </w:tcPr>
          <w:p w14:paraId="7B9DDFE4" w14:textId="77777777" w:rsidR="004D04F2" w:rsidRPr="004D04F2" w:rsidRDefault="004D04F2" w:rsidP="004D04F2">
            <w:pPr>
              <w:pStyle w:val="Body"/>
            </w:pPr>
            <w:r w:rsidRPr="004D04F2">
              <w:t>Aged (65+ years)</w:t>
            </w:r>
          </w:p>
        </w:tc>
        <w:tc>
          <w:tcPr>
            <w:tcW w:w="5954" w:type="dxa"/>
          </w:tcPr>
          <w:p w14:paraId="72A31633" w14:textId="77777777" w:rsidR="004D04F2" w:rsidRPr="004D04F2" w:rsidRDefault="004D04F2" w:rsidP="004D04F2">
            <w:pPr>
              <w:pStyle w:val="Body"/>
            </w:pPr>
            <w:r w:rsidRPr="004D04F2">
              <w:t>- Acute Inpatient units (including Forensicare acute beds)</w:t>
            </w:r>
          </w:p>
        </w:tc>
        <w:tc>
          <w:tcPr>
            <w:tcW w:w="2410" w:type="dxa"/>
          </w:tcPr>
          <w:p w14:paraId="7597A3C7" w14:textId="77777777" w:rsidR="004D04F2" w:rsidRPr="004D04F2" w:rsidRDefault="004D04F2" w:rsidP="004D04F2">
            <w:pPr>
              <w:pStyle w:val="Body"/>
              <w:rPr>
                <w:b/>
                <w:bCs/>
              </w:rPr>
            </w:pPr>
            <w:r w:rsidRPr="004D04F2">
              <w:rPr>
                <w:b/>
                <w:bCs/>
              </w:rPr>
              <w:t xml:space="preserve">Inpatient </w:t>
            </w:r>
          </w:p>
        </w:tc>
      </w:tr>
      <w:tr w:rsidR="004D04F2" w:rsidRPr="004D04F2" w14:paraId="26F1E247" w14:textId="77777777" w:rsidTr="004D04F2">
        <w:trPr>
          <w:trHeight w:val="225"/>
        </w:trPr>
        <w:tc>
          <w:tcPr>
            <w:tcW w:w="2155" w:type="dxa"/>
            <w:vMerge/>
          </w:tcPr>
          <w:p w14:paraId="35690B1D" w14:textId="77777777" w:rsidR="004D04F2" w:rsidRPr="004D04F2" w:rsidRDefault="004D04F2" w:rsidP="004D04F2">
            <w:pPr>
              <w:pStyle w:val="Body"/>
            </w:pPr>
          </w:p>
        </w:tc>
        <w:tc>
          <w:tcPr>
            <w:tcW w:w="5954" w:type="dxa"/>
          </w:tcPr>
          <w:p w14:paraId="19DC2DDB" w14:textId="77777777" w:rsidR="004D04F2" w:rsidRPr="004D04F2" w:rsidRDefault="004D04F2" w:rsidP="004D04F2">
            <w:pPr>
              <w:pStyle w:val="Body"/>
            </w:pPr>
            <w:r w:rsidRPr="004D04F2">
              <w:t>- Primary Mental Health and Early Intervention Services*</w:t>
            </w:r>
          </w:p>
          <w:p w14:paraId="2ED7E7A0" w14:textId="77777777" w:rsidR="004D04F2" w:rsidRPr="004D04F2" w:rsidRDefault="004D04F2" w:rsidP="004D04F2">
            <w:pPr>
              <w:pStyle w:val="Body"/>
            </w:pPr>
            <w:r w:rsidRPr="004D04F2">
              <w:t>- Aged Persons Assessment and Treatment Teams (APATT)</w:t>
            </w:r>
          </w:p>
          <w:p w14:paraId="2BDDC064" w14:textId="77777777" w:rsidR="004D04F2" w:rsidRPr="004D04F2" w:rsidRDefault="004D04F2" w:rsidP="004D04F2">
            <w:pPr>
              <w:pStyle w:val="Body"/>
            </w:pPr>
            <w:r w:rsidRPr="004D04F2">
              <w:t>- Behavioural disturbance assessment and treatment services</w:t>
            </w:r>
          </w:p>
          <w:p w14:paraId="752A78F1" w14:textId="77777777" w:rsidR="004D04F2" w:rsidRPr="004D04F2" w:rsidRDefault="004D04F2" w:rsidP="004D04F2">
            <w:pPr>
              <w:pStyle w:val="Body"/>
            </w:pPr>
            <w:r w:rsidRPr="004D04F2">
              <w:t>- Hospital substitution teams</w:t>
            </w:r>
          </w:p>
        </w:tc>
        <w:tc>
          <w:tcPr>
            <w:tcW w:w="2410" w:type="dxa"/>
          </w:tcPr>
          <w:p w14:paraId="796EB3BA" w14:textId="77777777" w:rsidR="004D04F2" w:rsidRPr="004D04F2" w:rsidRDefault="004D04F2" w:rsidP="004D04F2">
            <w:pPr>
              <w:pStyle w:val="Body"/>
              <w:rPr>
                <w:b/>
                <w:bCs/>
              </w:rPr>
            </w:pPr>
            <w:r w:rsidRPr="004D04F2">
              <w:rPr>
                <w:b/>
                <w:bCs/>
              </w:rPr>
              <w:t>Ambulatory</w:t>
            </w:r>
          </w:p>
        </w:tc>
      </w:tr>
    </w:tbl>
    <w:p w14:paraId="48F00EC2" w14:textId="77777777" w:rsidR="004D04F2" w:rsidRPr="004D04F2" w:rsidRDefault="004D04F2" w:rsidP="004D04F2">
      <w:pPr>
        <w:pStyle w:val="Body"/>
      </w:pPr>
      <w:r w:rsidRPr="004D04F2">
        <w:t xml:space="preserve">Note: *Only consumers with an open case who are receiving treatment are “in scope”, </w:t>
      </w:r>
      <w:r w:rsidRPr="004D04F2">
        <w:rPr>
          <w:b/>
          <w:bCs/>
        </w:rPr>
        <w:t>not</w:t>
      </w:r>
      <w:r w:rsidRPr="004D04F2">
        <w:t xml:space="preserve"> </w:t>
      </w:r>
      <w:r w:rsidRPr="004D04F2">
        <w:rPr>
          <w:i/>
          <w:iCs/>
        </w:rPr>
        <w:t xml:space="preserve">assessment-only </w:t>
      </w:r>
      <w:r w:rsidRPr="004D04F2">
        <w:t>consumers.</w:t>
      </w:r>
    </w:p>
    <w:p w14:paraId="3C730CA8" w14:textId="77777777" w:rsidR="004D04F2" w:rsidRPr="004D04F2" w:rsidRDefault="004D04F2" w:rsidP="004D04F2">
      <w:pPr>
        <w:pStyle w:val="Body"/>
        <w:rPr>
          <w:b/>
          <w:bCs/>
        </w:rPr>
      </w:pPr>
      <w:r w:rsidRPr="004D04F2">
        <w:t xml:space="preserve">Victorian public clinical mental health services that are </w:t>
      </w:r>
      <w:r w:rsidRPr="004D04F2">
        <w:rPr>
          <w:b/>
          <w:bCs/>
        </w:rPr>
        <w:t>“out of scope”:</w:t>
      </w:r>
    </w:p>
    <w:p w14:paraId="24B95D41" w14:textId="77777777" w:rsidR="004D04F2" w:rsidRPr="004D04F2" w:rsidRDefault="004D04F2" w:rsidP="004D04F2">
      <w:pPr>
        <w:pStyle w:val="Bullet1"/>
      </w:pPr>
      <w:r w:rsidRPr="004D04F2">
        <w:t>Secondary consults provided to a consumer currently receiving treatment from an area mental health service (out of area as well as in the same service). OM would be completed by the consumers’ primary treatment service.</w:t>
      </w:r>
    </w:p>
    <w:p w14:paraId="763B4061" w14:textId="77777777" w:rsidR="004D04F2" w:rsidRPr="004D04F2" w:rsidRDefault="004D04F2" w:rsidP="004D04F2">
      <w:pPr>
        <w:pStyle w:val="Bullet1"/>
      </w:pPr>
      <w:r w:rsidRPr="004D04F2">
        <w:t>Community residential for child and adolescent services and aged services</w:t>
      </w:r>
    </w:p>
    <w:p w14:paraId="5A21CB2A" w14:textId="77777777" w:rsidR="004D04F2" w:rsidRPr="004D04F2" w:rsidRDefault="004D04F2" w:rsidP="004D04F2">
      <w:pPr>
        <w:pStyle w:val="Bullet1"/>
      </w:pPr>
      <w:r w:rsidRPr="004D04F2">
        <w:t>Generally, MHCSS sector are out of scope except where clinical in-reach is provided by area mental health services. In these instances, clinical staff will complete the required OM.</w:t>
      </w:r>
    </w:p>
    <w:p w14:paraId="5D7BE2E6" w14:textId="77777777" w:rsidR="004D04F2" w:rsidRPr="004D04F2" w:rsidRDefault="004D04F2" w:rsidP="004D04F2">
      <w:pPr>
        <w:pStyle w:val="Bullet1"/>
      </w:pPr>
      <w:r w:rsidRPr="004D04F2">
        <w:t>Consumers of Clozapine program who are not receiving case management are “out of scope” for OM.</w:t>
      </w:r>
    </w:p>
    <w:p w14:paraId="74BC66D2" w14:textId="77777777" w:rsidR="004D04F2" w:rsidRPr="004D04F2" w:rsidRDefault="004D04F2" w:rsidP="004D04F2">
      <w:pPr>
        <w:pStyle w:val="Bullet1"/>
      </w:pPr>
      <w:r w:rsidRPr="004D04F2">
        <w:t>To ensure that Clozapine-only consumers are excluded from protocol requirements and subsequent OM compliance reports they must be allocated to the local Clozapine subcentre.</w:t>
      </w:r>
    </w:p>
    <w:p w14:paraId="36786F6D" w14:textId="77777777" w:rsidR="00D35571" w:rsidRDefault="00D35571" w:rsidP="006D7093">
      <w:pPr>
        <w:pStyle w:val="Body"/>
        <w:sectPr w:rsidR="00D35571" w:rsidSect="00E62622">
          <w:type w:val="continuous"/>
          <w:pgSz w:w="11906" w:h="16838" w:code="9"/>
          <w:pgMar w:top="1418" w:right="851" w:bottom="1418" w:left="851" w:header="680" w:footer="851" w:gutter="0"/>
          <w:cols w:space="340"/>
          <w:docGrid w:linePitch="360"/>
        </w:sectPr>
      </w:pPr>
    </w:p>
    <w:p w14:paraId="5A4C7E90" w14:textId="76986FD5" w:rsidR="00D35571" w:rsidRPr="004D04F2" w:rsidRDefault="00D35571" w:rsidP="00D35571">
      <w:pPr>
        <w:pStyle w:val="Heading1"/>
      </w:pPr>
      <w:bookmarkStart w:id="54" w:name="_Toc67645574"/>
      <w:r w:rsidRPr="004D04F2">
        <w:lastRenderedPageBreak/>
        <w:t xml:space="preserve">Appendix </w:t>
      </w:r>
      <w:r>
        <w:t>2</w:t>
      </w:r>
      <w:bookmarkEnd w:id="54"/>
      <w:r w:rsidRPr="004D04F2">
        <w:t xml:space="preserve"> </w:t>
      </w:r>
    </w:p>
    <w:p w14:paraId="459A3E5B" w14:textId="77777777" w:rsidR="00D35571" w:rsidRPr="00D35571" w:rsidRDefault="00D35571" w:rsidP="00D35571">
      <w:pPr>
        <w:pStyle w:val="Body"/>
      </w:pPr>
      <w:bookmarkStart w:id="55" w:name="_Toc58436917"/>
      <w:r w:rsidRPr="00D35571">
        <w:t>Table 2: Overview of data collection occasions for each measure (NOCC protocol)</w:t>
      </w:r>
      <w:bookmarkEnd w:id="55"/>
    </w:p>
    <w:tbl>
      <w:tblPr>
        <w:tblW w:w="5010" w:type="pct"/>
        <w:tblCellMar>
          <w:left w:w="0" w:type="dxa"/>
          <w:right w:w="0" w:type="dxa"/>
        </w:tblCellMar>
        <w:tblLook w:val="04A0" w:firstRow="1" w:lastRow="0" w:firstColumn="1" w:lastColumn="0" w:noHBand="0" w:noVBand="1"/>
      </w:tblPr>
      <w:tblGrid>
        <w:gridCol w:w="847"/>
        <w:gridCol w:w="1175"/>
        <w:gridCol w:w="1395"/>
        <w:gridCol w:w="1104"/>
        <w:gridCol w:w="1031"/>
        <w:gridCol w:w="967"/>
        <w:gridCol w:w="1154"/>
        <w:gridCol w:w="1031"/>
        <w:gridCol w:w="1048"/>
        <w:gridCol w:w="1042"/>
        <w:gridCol w:w="1087"/>
        <w:gridCol w:w="1031"/>
        <w:gridCol w:w="1098"/>
      </w:tblGrid>
      <w:tr w:rsidR="00D35571" w14:paraId="374CDAE1" w14:textId="77777777" w:rsidTr="00DA4AFC">
        <w:trPr>
          <w:trHeight w:val="368"/>
        </w:trPr>
        <w:tc>
          <w:tcPr>
            <w:tcW w:w="30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01C90" w14:textId="77777777" w:rsidR="00D35571" w:rsidRDefault="00D35571" w:rsidP="00D86CD2">
            <w:pPr>
              <w:spacing w:line="252" w:lineRule="auto"/>
              <w:rPr>
                <w:b/>
                <w:bCs/>
              </w:rPr>
            </w:pPr>
            <w:r>
              <w:rPr>
                <w:noProof/>
              </w:rPr>
              <w:drawing>
                <wp:anchor distT="0" distB="0" distL="114300" distR="114300" simplePos="0" relativeHeight="251661312" behindDoc="0" locked="0" layoutInCell="1" allowOverlap="1" wp14:anchorId="47B45A04" wp14:editId="6CEE2477">
                  <wp:simplePos x="0" y="0"/>
                  <wp:positionH relativeFrom="column">
                    <wp:posOffset>214630</wp:posOffset>
                  </wp:positionH>
                  <wp:positionV relativeFrom="paragraph">
                    <wp:posOffset>426085</wp:posOffset>
                  </wp:positionV>
                  <wp:extent cx="104775" cy="23812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pic:spPr>
                      </pic:pic>
                    </a:graphicData>
                  </a:graphic>
                  <wp14:sizeRelH relativeFrom="page">
                    <wp14:pctWidth>0</wp14:pctWidth>
                  </wp14:sizeRelH>
                  <wp14:sizeRelV relativeFrom="page">
                    <wp14:pctHeight>0</wp14:pctHeight>
                  </wp14:sizeRelV>
                </wp:anchor>
              </w:drawing>
            </w:r>
            <w:r>
              <w:rPr>
                <w:b/>
                <w:bCs/>
              </w:rPr>
              <w:t>Age Group</w:t>
            </w:r>
          </w:p>
        </w:tc>
        <w:tc>
          <w:tcPr>
            <w:tcW w:w="91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4AB15" w14:textId="77777777" w:rsidR="00D35571" w:rsidRDefault="00D35571" w:rsidP="00D86CD2">
            <w:pPr>
              <w:spacing w:line="252" w:lineRule="auto"/>
              <w:rPr>
                <w:b/>
                <w:bCs/>
              </w:rPr>
            </w:pPr>
            <w:r>
              <w:rPr>
                <w:noProof/>
              </w:rPr>
              <w:drawing>
                <wp:anchor distT="0" distB="0" distL="114300" distR="114300" simplePos="0" relativeHeight="251662336" behindDoc="0" locked="0" layoutInCell="1" allowOverlap="1" wp14:anchorId="06F9E158" wp14:editId="3B46A70A">
                  <wp:simplePos x="0" y="0"/>
                  <wp:positionH relativeFrom="column">
                    <wp:posOffset>879475</wp:posOffset>
                  </wp:positionH>
                  <wp:positionV relativeFrom="paragraph">
                    <wp:posOffset>235585</wp:posOffset>
                  </wp:positionV>
                  <wp:extent cx="238125" cy="12382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Mental health service setting </w:t>
            </w:r>
          </w:p>
        </w:tc>
        <w:tc>
          <w:tcPr>
            <w:tcW w:w="110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43E9C" w14:textId="77777777" w:rsidR="00D35571" w:rsidRDefault="00D35571" w:rsidP="00D86CD2">
            <w:pPr>
              <w:spacing w:line="252" w:lineRule="auto"/>
              <w:rPr>
                <w:b/>
                <w:bCs/>
                <w:color w:val="7030A0"/>
              </w:rPr>
            </w:pPr>
            <w:r>
              <w:rPr>
                <w:b/>
                <w:bCs/>
                <w:color w:val="7030A0"/>
              </w:rPr>
              <w:t>Inpatient</w:t>
            </w:r>
          </w:p>
        </w:tc>
        <w:tc>
          <w:tcPr>
            <w:tcW w:w="11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2DBC8" w14:textId="77777777" w:rsidR="00D35571" w:rsidRDefault="00D35571" w:rsidP="00D86CD2">
            <w:pPr>
              <w:spacing w:line="252" w:lineRule="auto"/>
              <w:rPr>
                <w:b/>
                <w:bCs/>
                <w:color w:val="7030A0"/>
              </w:rPr>
            </w:pPr>
            <w:r>
              <w:rPr>
                <w:b/>
                <w:bCs/>
                <w:color w:val="7030A0"/>
              </w:rPr>
              <w:t>Residential</w:t>
            </w:r>
          </w:p>
        </w:tc>
        <w:tc>
          <w:tcPr>
            <w:tcW w:w="152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68444" w14:textId="77777777" w:rsidR="00D35571" w:rsidRDefault="00D35571" w:rsidP="00D86CD2">
            <w:pPr>
              <w:spacing w:line="252" w:lineRule="auto"/>
              <w:rPr>
                <w:b/>
                <w:bCs/>
                <w:color w:val="7030A0"/>
              </w:rPr>
            </w:pPr>
            <w:r>
              <w:rPr>
                <w:b/>
                <w:bCs/>
                <w:color w:val="7030A0"/>
              </w:rPr>
              <w:t>Ambulatory</w:t>
            </w:r>
          </w:p>
        </w:tc>
      </w:tr>
      <w:tr w:rsidR="00D35571" w14:paraId="3A16A533" w14:textId="77777777" w:rsidTr="00DA4AFC">
        <w:trPr>
          <w:trHeight w:val="225"/>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1A75A9BB" w14:textId="77777777" w:rsidR="00D35571" w:rsidRDefault="00D35571" w:rsidP="00D86CD2">
            <w:pPr>
              <w:rPr>
                <w:rFonts w:ascii="Calibri" w:eastAsiaTheme="minorHAnsi" w:hAnsi="Calibri" w:cs="Calibri"/>
                <w:b/>
                <w:bCs/>
              </w:rPr>
            </w:pPr>
          </w:p>
        </w:tc>
        <w:tc>
          <w:tcPr>
            <w:tcW w:w="9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EFD230E" w14:textId="77777777" w:rsidR="00D35571" w:rsidRDefault="00D35571" w:rsidP="00D86CD2">
            <w:pPr>
              <w:spacing w:line="252" w:lineRule="auto"/>
              <w:rPr>
                <w:b/>
                <w:bCs/>
              </w:rPr>
            </w:pPr>
            <w:r w:rsidRPr="00946132">
              <w:rPr>
                <w:noProof/>
              </w:rPr>
              <w:drawing>
                <wp:anchor distT="0" distB="0" distL="114300" distR="114300" simplePos="0" relativeHeight="251660288" behindDoc="0" locked="0" layoutInCell="1" allowOverlap="1" wp14:anchorId="2082FBB5" wp14:editId="5BFF16C2">
                  <wp:simplePos x="0" y="0"/>
                  <wp:positionH relativeFrom="column">
                    <wp:posOffset>866140</wp:posOffset>
                  </wp:positionH>
                  <wp:positionV relativeFrom="paragraph">
                    <wp:posOffset>141605</wp:posOffset>
                  </wp:positionV>
                  <wp:extent cx="238125" cy="123825"/>
                  <wp:effectExtent l="0" t="0" r="9525" b="952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pic:spPr>
                      </pic:pic>
                    </a:graphicData>
                  </a:graphic>
                  <wp14:sizeRelH relativeFrom="page">
                    <wp14:pctWidth>0</wp14:pctWidth>
                  </wp14:sizeRelH>
                  <wp14:sizeRelV relativeFrom="page">
                    <wp14:pctHeight>0</wp14:pctHeight>
                  </wp14:sizeRelV>
                </wp:anchor>
              </w:drawing>
            </w:r>
            <w:r w:rsidRPr="00946132">
              <w:rPr>
                <w:b/>
                <w:bCs/>
              </w:rPr>
              <w:t>CMI/ODS</w:t>
            </w:r>
            <w:r>
              <w:rPr>
                <w:b/>
                <w:bCs/>
              </w:rPr>
              <w:t xml:space="preserve"> AUTOGENERATED TASK </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036ABCC" w14:textId="77777777" w:rsidR="00D35571" w:rsidRDefault="00D35571" w:rsidP="00D86CD2">
            <w:pPr>
              <w:spacing w:line="252" w:lineRule="auto"/>
              <w:jc w:val="center"/>
              <w:rPr>
                <w:b/>
                <w:bCs/>
              </w:rPr>
            </w:pPr>
            <w:r>
              <w:rPr>
                <w:rFonts w:cs="Arial"/>
                <w:color w:val="000000"/>
              </w:rPr>
              <w:t>ADMINP</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69978A" w14:textId="77777777" w:rsidR="00D35571" w:rsidRDefault="00D35571" w:rsidP="00D86CD2">
            <w:pPr>
              <w:spacing w:line="252" w:lineRule="auto"/>
              <w:jc w:val="center"/>
              <w:rPr>
                <w:b/>
                <w:bCs/>
              </w:rPr>
            </w:pPr>
            <w:r>
              <w:rPr>
                <w:rFonts w:cs="Arial"/>
                <w:color w:val="000000"/>
              </w:rPr>
              <w:t>ISPREV</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9E74839" w14:textId="77777777" w:rsidR="00D35571" w:rsidRDefault="00D35571" w:rsidP="00D86CD2">
            <w:pPr>
              <w:spacing w:line="252" w:lineRule="auto"/>
              <w:jc w:val="center"/>
              <w:rPr>
                <w:b/>
                <w:bCs/>
              </w:rPr>
            </w:pPr>
            <w:r>
              <w:rPr>
                <w:rFonts w:cs="Arial"/>
                <w:color w:val="000000"/>
              </w:rPr>
              <w:t>DISINP</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8CA8A4C" w14:textId="77777777" w:rsidR="00D35571" w:rsidRDefault="00D35571" w:rsidP="00D86CD2">
            <w:pPr>
              <w:spacing w:line="252" w:lineRule="auto"/>
              <w:jc w:val="center"/>
              <w:rPr>
                <w:b/>
                <w:bCs/>
              </w:rPr>
            </w:pPr>
            <w:r>
              <w:rPr>
                <w:rFonts w:cs="Arial"/>
                <w:color w:val="000000"/>
              </w:rPr>
              <w:t>ADMRES</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D286C6A" w14:textId="77777777" w:rsidR="00D35571" w:rsidRDefault="00D35571" w:rsidP="00D86CD2">
            <w:pPr>
              <w:spacing w:line="252" w:lineRule="auto"/>
              <w:jc w:val="center"/>
              <w:rPr>
                <w:b/>
                <w:bCs/>
              </w:rPr>
            </w:pPr>
            <w:r>
              <w:rPr>
                <w:rFonts w:cs="Arial"/>
                <w:color w:val="000000"/>
              </w:rPr>
              <w:t>ISPREV</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2D3DA14" w14:textId="77777777" w:rsidR="00D35571" w:rsidRDefault="00D35571" w:rsidP="00D86CD2">
            <w:pPr>
              <w:spacing w:line="252" w:lineRule="auto"/>
              <w:jc w:val="center"/>
              <w:rPr>
                <w:b/>
                <w:bCs/>
              </w:rPr>
            </w:pPr>
            <w:r>
              <w:rPr>
                <w:rFonts w:cs="Arial"/>
                <w:color w:val="000000"/>
              </w:rPr>
              <w:t>DISRES</w:t>
            </w:r>
          </w:p>
        </w:tc>
        <w:tc>
          <w:tcPr>
            <w:tcW w:w="37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461F441" w14:textId="77777777" w:rsidR="00D35571" w:rsidRPr="00946132" w:rsidRDefault="00D35571" w:rsidP="00D86CD2">
            <w:pPr>
              <w:spacing w:line="252" w:lineRule="auto"/>
              <w:jc w:val="center"/>
              <w:rPr>
                <w:rFonts w:cs="Arial"/>
                <w:color w:val="000000"/>
              </w:rPr>
            </w:pPr>
            <w:r w:rsidRPr="00946132">
              <w:rPr>
                <w:rFonts w:cs="Arial"/>
                <w:color w:val="000000"/>
              </w:rPr>
              <w:t>AXCOM</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CE423ED" w14:textId="77777777" w:rsidR="00D35571" w:rsidRDefault="00D35571" w:rsidP="00D86CD2">
            <w:pPr>
              <w:spacing w:line="252" w:lineRule="auto"/>
              <w:jc w:val="center"/>
              <w:rPr>
                <w:rFonts w:ascii="Calibri" w:hAnsi="Calibri" w:cs="Calibri"/>
                <w:b/>
                <w:bCs/>
              </w:rPr>
            </w:pPr>
            <w:r>
              <w:rPr>
                <w:rFonts w:cs="Arial"/>
                <w:color w:val="000000"/>
              </w:rPr>
              <w:t>INTCOM</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7430B6C" w14:textId="77777777" w:rsidR="00D35571" w:rsidRDefault="00D35571" w:rsidP="00D86CD2">
            <w:pPr>
              <w:spacing w:line="252" w:lineRule="auto"/>
              <w:jc w:val="center"/>
              <w:rPr>
                <w:b/>
                <w:bCs/>
              </w:rPr>
            </w:pPr>
            <w:r>
              <w:rPr>
                <w:rFonts w:cs="Arial"/>
                <w:color w:val="000000"/>
              </w:rPr>
              <w:t>ISPREV</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219FD4A" w14:textId="77777777" w:rsidR="00D35571" w:rsidRDefault="00D35571" w:rsidP="00D86CD2">
            <w:pPr>
              <w:spacing w:line="252" w:lineRule="auto"/>
              <w:jc w:val="center"/>
              <w:rPr>
                <w:b/>
                <w:bCs/>
              </w:rPr>
            </w:pPr>
            <w:r>
              <w:rPr>
                <w:rFonts w:cs="Arial"/>
                <w:color w:val="000000"/>
              </w:rPr>
              <w:t>DISCOM</w:t>
            </w:r>
          </w:p>
        </w:tc>
      </w:tr>
      <w:tr w:rsidR="00D35571" w14:paraId="15A45A30" w14:textId="77777777" w:rsidTr="00DA4AFC">
        <w:trPr>
          <w:trHeight w:val="225"/>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11CC5A8B" w14:textId="77777777" w:rsidR="00D35571" w:rsidRDefault="00D35571" w:rsidP="00D86CD2">
            <w:pPr>
              <w:rPr>
                <w:rFonts w:ascii="Calibri" w:eastAsiaTheme="minorHAnsi" w:hAnsi="Calibri" w:cs="Calibri"/>
                <w:b/>
                <w:bCs/>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67BA35C6" w14:textId="77777777" w:rsidR="00D35571" w:rsidRDefault="00D35571" w:rsidP="00D86CD2">
            <w:pPr>
              <w:spacing w:line="252" w:lineRule="auto"/>
              <w:rPr>
                <w:b/>
                <w:bCs/>
                <w:color w:val="7030A0"/>
              </w:rPr>
            </w:pPr>
            <w:r>
              <w:rPr>
                <w:b/>
                <w:bCs/>
                <w:color w:val="7030A0"/>
              </w:rPr>
              <w:t>Measure</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6DADDE5E" w14:textId="77777777" w:rsidR="00D35571" w:rsidRDefault="00D35571" w:rsidP="00D86CD2">
            <w:pPr>
              <w:spacing w:line="252" w:lineRule="auto"/>
              <w:rPr>
                <w:b/>
                <w:bCs/>
                <w:color w:val="7030A0"/>
              </w:rPr>
            </w:pPr>
            <w:r>
              <w:rPr>
                <w:b/>
                <w:bCs/>
                <w:color w:val="7030A0"/>
              </w:rPr>
              <w:t>Purpose</w:t>
            </w:r>
          </w:p>
        </w:tc>
        <w:tc>
          <w:tcPr>
            <w:tcW w:w="3781" w:type="pct"/>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38BC80" w14:textId="77777777" w:rsidR="00D35571" w:rsidRDefault="00D35571" w:rsidP="00D86CD2">
            <w:pPr>
              <w:spacing w:line="252" w:lineRule="auto"/>
            </w:pPr>
          </w:p>
        </w:tc>
      </w:tr>
      <w:tr w:rsidR="00D35571" w14:paraId="72EB80C9" w14:textId="77777777" w:rsidTr="00DA4AFC">
        <w:trPr>
          <w:trHeight w:val="368"/>
        </w:trPr>
        <w:tc>
          <w:tcPr>
            <w:tcW w:w="3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5D249530" w14:textId="77777777" w:rsidR="00D35571" w:rsidRDefault="00D35571" w:rsidP="00D86CD2">
            <w:pPr>
              <w:spacing w:line="252" w:lineRule="auto"/>
              <w:ind w:left="113" w:right="113"/>
              <w:rPr>
                <w:b/>
                <w:bCs/>
                <w:color w:val="7030A0"/>
              </w:rPr>
            </w:pPr>
            <w:r>
              <w:rPr>
                <w:b/>
                <w:bCs/>
                <w:color w:val="7030A0"/>
              </w:rPr>
              <w:t>Children and adolescents</w:t>
            </w:r>
          </w:p>
        </w:tc>
        <w:tc>
          <w:tcPr>
            <w:tcW w:w="9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F7C43A7" w14:textId="77777777" w:rsidR="00D35571" w:rsidRDefault="00D35571" w:rsidP="00D86CD2">
            <w:pPr>
              <w:spacing w:line="252" w:lineRule="auto"/>
            </w:pPr>
            <w:r>
              <w:rPr>
                <w:b/>
                <w:bCs/>
              </w:rPr>
              <w:t>CAMHS CMI/ODS Subcentre OM Setting</w:t>
            </w:r>
          </w:p>
        </w:tc>
        <w:tc>
          <w:tcPr>
            <w:tcW w:w="1107" w:type="pct"/>
            <w:gridSpan w:val="3"/>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D3C491E" w14:textId="77777777" w:rsidR="00D35571" w:rsidRDefault="00D35571" w:rsidP="00D86CD2">
            <w:pPr>
              <w:spacing w:line="252" w:lineRule="auto"/>
              <w:jc w:val="center"/>
            </w:pPr>
            <w:r>
              <w:rPr>
                <w:rFonts w:cs="Arial"/>
                <w:color w:val="000000"/>
              </w:rPr>
              <w:t>9 CAMHS Inpatient</w:t>
            </w:r>
          </w:p>
        </w:tc>
        <w:tc>
          <w:tcPr>
            <w:tcW w:w="11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CCDC982" w14:textId="77777777" w:rsidR="00D35571" w:rsidRDefault="00D35571" w:rsidP="00D86CD2">
            <w:pPr>
              <w:spacing w:line="252" w:lineRule="auto"/>
              <w:jc w:val="center"/>
            </w:pPr>
            <w:r>
              <w:t>Not applicable in Victoria</w:t>
            </w:r>
          </w:p>
        </w:tc>
        <w:tc>
          <w:tcPr>
            <w:tcW w:w="1520" w:type="pct"/>
            <w:gridSpan w:val="4"/>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0DB85041" w14:textId="77777777" w:rsidR="00D35571" w:rsidRDefault="00D35571" w:rsidP="00D86CD2">
            <w:pPr>
              <w:spacing w:line="252" w:lineRule="auto"/>
              <w:jc w:val="center"/>
            </w:pPr>
            <w:r>
              <w:rPr>
                <w:rFonts w:cs="Arial"/>
                <w:color w:val="000000"/>
              </w:rPr>
              <w:t>8 CAMHS Community</w:t>
            </w:r>
          </w:p>
        </w:tc>
      </w:tr>
      <w:tr w:rsidR="00D35571" w14:paraId="23AE4508" w14:textId="77777777" w:rsidTr="00DA4AFC">
        <w:trPr>
          <w:trHeight w:val="368"/>
        </w:trPr>
        <w:tc>
          <w:tcPr>
            <w:tcW w:w="302" w:type="pct"/>
            <w:vMerge/>
            <w:tcBorders>
              <w:top w:val="nil"/>
              <w:left w:val="single" w:sz="8" w:space="0" w:color="auto"/>
              <w:bottom w:val="single" w:sz="8" w:space="0" w:color="auto"/>
              <w:right w:val="single" w:sz="8" w:space="0" w:color="auto"/>
            </w:tcBorders>
            <w:vAlign w:val="center"/>
            <w:hideMark/>
          </w:tcPr>
          <w:p w14:paraId="4FB8A18B"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91A3B84" w14:textId="77777777" w:rsidR="00D35571" w:rsidRDefault="00D35571" w:rsidP="00D86CD2">
            <w:pPr>
              <w:spacing w:line="252" w:lineRule="auto"/>
            </w:pPr>
            <w:proofErr w:type="spellStart"/>
            <w:r>
              <w:t>HoNosca</w:t>
            </w:r>
            <w:proofErr w:type="spellEnd"/>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7E6A37FA" w14:textId="77777777" w:rsidR="00D35571" w:rsidRDefault="00D35571" w:rsidP="00D86CD2">
            <w:pPr>
              <w:spacing w:line="252" w:lineRule="auto"/>
            </w:pPr>
            <w:r>
              <w:t>Symptoms</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BF269EE"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DD6AFE5"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026B544" w14:textId="77777777" w:rsidR="00D35571" w:rsidRDefault="00D35571" w:rsidP="00D86CD2">
            <w:pPr>
              <w:spacing w:line="252" w:lineRule="auto"/>
              <w:jc w:val="center"/>
            </w:pPr>
            <w:r>
              <w:rPr>
                <w:rFonts w:ascii="Wingdings" w:hAnsi="Wingdings"/>
                <w:color w:val="000000"/>
              </w:rPr>
              <w:t></w:t>
            </w:r>
          </w:p>
        </w:tc>
        <w:tc>
          <w:tcPr>
            <w:tcW w:w="1154" w:type="pct"/>
            <w:gridSpan w:val="3"/>
            <w:vMerge w:val="restart"/>
            <w:tcBorders>
              <w:top w:val="nil"/>
              <w:left w:val="nil"/>
              <w:bottom w:val="single" w:sz="8" w:space="0" w:color="auto"/>
              <w:right w:val="single" w:sz="8" w:space="0" w:color="auto"/>
            </w:tcBorders>
            <w:vAlign w:val="center"/>
            <w:hideMark/>
          </w:tcPr>
          <w:p w14:paraId="0804B9B7"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385543F3"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A1C8A09"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E83D0E"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F7B2E5C" w14:textId="77777777" w:rsidR="00D35571" w:rsidRDefault="00D35571" w:rsidP="00D86CD2">
            <w:pPr>
              <w:spacing w:line="252" w:lineRule="auto"/>
              <w:jc w:val="center"/>
            </w:pPr>
            <w:r>
              <w:rPr>
                <w:rFonts w:ascii="Wingdings" w:hAnsi="Wingdings"/>
                <w:color w:val="000000"/>
              </w:rPr>
              <w:t></w:t>
            </w:r>
          </w:p>
        </w:tc>
      </w:tr>
      <w:tr w:rsidR="00D35571" w14:paraId="6ABBE705" w14:textId="77777777" w:rsidTr="00DA4AFC">
        <w:trPr>
          <w:trHeight w:val="488"/>
        </w:trPr>
        <w:tc>
          <w:tcPr>
            <w:tcW w:w="302" w:type="pct"/>
            <w:vMerge/>
            <w:tcBorders>
              <w:top w:val="nil"/>
              <w:left w:val="single" w:sz="8" w:space="0" w:color="auto"/>
              <w:bottom w:val="single" w:sz="8" w:space="0" w:color="auto"/>
              <w:right w:val="single" w:sz="8" w:space="0" w:color="auto"/>
            </w:tcBorders>
            <w:vAlign w:val="center"/>
            <w:hideMark/>
          </w:tcPr>
          <w:p w14:paraId="6F9B13ED"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2B586B00" w14:textId="77777777" w:rsidR="00D35571" w:rsidRDefault="00D35571" w:rsidP="00D86CD2">
            <w:pPr>
              <w:spacing w:line="252" w:lineRule="auto"/>
              <w:rPr>
                <w:highlight w:val="yellow"/>
              </w:rPr>
            </w:pPr>
            <w:r>
              <w:rPr>
                <w:highlight w:val="yellow"/>
              </w:rPr>
              <w:t>Phase of Care</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7A0DBB3C" w14:textId="77777777" w:rsidR="00D35571" w:rsidRDefault="00D35571" w:rsidP="00D86CD2">
            <w:pPr>
              <w:spacing w:line="252" w:lineRule="auto"/>
              <w:rPr>
                <w:highlight w:val="yellow"/>
              </w:rPr>
            </w:pPr>
            <w:r>
              <w:rPr>
                <w:highlight w:val="yellow"/>
              </w:rP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BD4DDA3"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47A556"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79E961B" w14:textId="77777777" w:rsidR="00D35571" w:rsidRDefault="00D35571" w:rsidP="00D86CD2">
            <w:pPr>
              <w:spacing w:line="252" w:lineRule="auto"/>
              <w:jc w:val="center"/>
            </w:pPr>
            <w:r>
              <w:rPr>
                <w:color w:val="000000"/>
              </w:rPr>
              <w:t>-</w:t>
            </w:r>
          </w:p>
        </w:tc>
        <w:tc>
          <w:tcPr>
            <w:tcW w:w="1154" w:type="pct"/>
            <w:gridSpan w:val="3"/>
            <w:vMerge/>
            <w:tcBorders>
              <w:top w:val="nil"/>
              <w:left w:val="nil"/>
              <w:bottom w:val="single" w:sz="8" w:space="0" w:color="auto"/>
              <w:right w:val="single" w:sz="8" w:space="0" w:color="auto"/>
            </w:tcBorders>
            <w:vAlign w:val="center"/>
            <w:hideMark/>
          </w:tcPr>
          <w:p w14:paraId="29F156B0"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2A975F5A"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C31C921"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FDAAC3"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A8CE862" w14:textId="77777777" w:rsidR="00D35571" w:rsidRDefault="00D35571" w:rsidP="00D86CD2">
            <w:pPr>
              <w:spacing w:line="252" w:lineRule="auto"/>
              <w:jc w:val="center"/>
            </w:pPr>
            <w:r>
              <w:rPr>
                <w:color w:val="000000"/>
              </w:rPr>
              <w:t>-</w:t>
            </w:r>
          </w:p>
        </w:tc>
      </w:tr>
      <w:tr w:rsidR="00D35571" w14:paraId="67DEBE98" w14:textId="77777777" w:rsidTr="00DA4AFC">
        <w:trPr>
          <w:trHeight w:val="488"/>
        </w:trPr>
        <w:tc>
          <w:tcPr>
            <w:tcW w:w="302" w:type="pct"/>
            <w:vMerge/>
            <w:tcBorders>
              <w:top w:val="nil"/>
              <w:left w:val="single" w:sz="8" w:space="0" w:color="auto"/>
              <w:bottom w:val="single" w:sz="8" w:space="0" w:color="auto"/>
              <w:right w:val="single" w:sz="8" w:space="0" w:color="auto"/>
            </w:tcBorders>
            <w:vAlign w:val="center"/>
            <w:hideMark/>
          </w:tcPr>
          <w:p w14:paraId="459A887A"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4728C1B" w14:textId="77777777" w:rsidR="00D35571" w:rsidRDefault="00D35571" w:rsidP="00D86CD2">
            <w:pPr>
              <w:spacing w:line="252" w:lineRule="auto"/>
            </w:pPr>
            <w:r>
              <w:t>CGAS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4975D534" w14:textId="77777777" w:rsidR="00D35571" w:rsidRDefault="00D35571" w:rsidP="00D86CD2">
            <w:pPr>
              <w:spacing w:line="252" w:lineRule="auto"/>
            </w:pPr>
            <w:r>
              <w:t>Functioning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8810D39"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9E51BAD"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56378C5" w14:textId="77777777" w:rsidR="00D35571" w:rsidRDefault="00D35571" w:rsidP="00D86CD2">
            <w:pPr>
              <w:spacing w:line="252" w:lineRule="auto"/>
              <w:jc w:val="center"/>
            </w:pPr>
            <w:r>
              <w:rPr>
                <w:color w:val="000000"/>
              </w:rPr>
              <w:t>-</w:t>
            </w:r>
          </w:p>
        </w:tc>
        <w:tc>
          <w:tcPr>
            <w:tcW w:w="1154" w:type="pct"/>
            <w:gridSpan w:val="3"/>
            <w:vMerge/>
            <w:tcBorders>
              <w:top w:val="nil"/>
              <w:left w:val="nil"/>
              <w:bottom w:val="single" w:sz="8" w:space="0" w:color="auto"/>
              <w:right w:val="single" w:sz="8" w:space="0" w:color="auto"/>
            </w:tcBorders>
            <w:vAlign w:val="center"/>
            <w:hideMark/>
          </w:tcPr>
          <w:p w14:paraId="541CC487"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6EAC5A43"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50FB9C5"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756971B"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FEFA6CC" w14:textId="77777777" w:rsidR="00D35571" w:rsidRDefault="00D35571" w:rsidP="00D86CD2">
            <w:pPr>
              <w:spacing w:line="252" w:lineRule="auto"/>
              <w:jc w:val="center"/>
            </w:pPr>
            <w:r>
              <w:rPr>
                <w:color w:val="000000"/>
              </w:rPr>
              <w:t>-</w:t>
            </w:r>
          </w:p>
        </w:tc>
      </w:tr>
      <w:tr w:rsidR="00D35571" w14:paraId="68235699" w14:textId="77777777" w:rsidTr="00DA4AFC">
        <w:trPr>
          <w:trHeight w:val="368"/>
        </w:trPr>
        <w:tc>
          <w:tcPr>
            <w:tcW w:w="302" w:type="pct"/>
            <w:vMerge/>
            <w:tcBorders>
              <w:top w:val="nil"/>
              <w:left w:val="single" w:sz="8" w:space="0" w:color="auto"/>
              <w:bottom w:val="single" w:sz="8" w:space="0" w:color="auto"/>
              <w:right w:val="single" w:sz="8" w:space="0" w:color="auto"/>
            </w:tcBorders>
            <w:vAlign w:val="center"/>
            <w:hideMark/>
          </w:tcPr>
          <w:p w14:paraId="6742A8EE"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035798E4" w14:textId="77777777" w:rsidR="00D35571" w:rsidRDefault="00D35571" w:rsidP="00D86CD2">
            <w:pPr>
              <w:spacing w:line="252" w:lineRule="auto"/>
            </w:pPr>
            <w:r>
              <w:t>FIHS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529121EB"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4CF0BF7"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0AC32B"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5EE2A8D"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2CE34C93"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26FD65B7"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233EDCD"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D36C6E2"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978BE25" w14:textId="77777777" w:rsidR="00D35571" w:rsidRDefault="00D35571" w:rsidP="00D86CD2">
            <w:pPr>
              <w:spacing w:line="252" w:lineRule="auto"/>
              <w:jc w:val="center"/>
            </w:pPr>
            <w:r>
              <w:rPr>
                <w:rFonts w:ascii="Wingdings" w:hAnsi="Wingdings"/>
                <w:color w:val="000000"/>
              </w:rPr>
              <w:t></w:t>
            </w:r>
          </w:p>
        </w:tc>
      </w:tr>
      <w:tr w:rsidR="00D35571" w14:paraId="16770BE5" w14:textId="77777777" w:rsidTr="00DA4AFC">
        <w:trPr>
          <w:trHeight w:val="368"/>
        </w:trPr>
        <w:tc>
          <w:tcPr>
            <w:tcW w:w="302" w:type="pct"/>
            <w:vMerge/>
            <w:tcBorders>
              <w:top w:val="nil"/>
              <w:left w:val="single" w:sz="8" w:space="0" w:color="auto"/>
              <w:bottom w:val="single" w:sz="8" w:space="0" w:color="auto"/>
              <w:right w:val="single" w:sz="8" w:space="0" w:color="auto"/>
            </w:tcBorders>
            <w:vAlign w:val="center"/>
            <w:hideMark/>
          </w:tcPr>
          <w:p w14:paraId="2EBE1E86"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EA5C695" w14:textId="77777777" w:rsidR="00D35571" w:rsidRDefault="00D35571" w:rsidP="00D86CD2">
            <w:pPr>
              <w:spacing w:line="252" w:lineRule="auto"/>
            </w:pPr>
            <w:r>
              <w:t>SDQ</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48C01C0B" w14:textId="77777777" w:rsidR="00D35571" w:rsidRDefault="00D35571" w:rsidP="00D86CD2">
            <w:pPr>
              <w:spacing w:line="252" w:lineRule="auto"/>
            </w:pPr>
            <w:r>
              <w:t>Consumer self-rating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D00AAA4"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9F047B" w14:textId="77777777" w:rsidR="00D35571" w:rsidRDefault="00D35571" w:rsidP="00D86CD2">
            <w:pPr>
              <w:spacing w:line="252" w:lineRule="auto"/>
              <w:jc w:val="center"/>
            </w:pPr>
            <w:r>
              <w:rPr>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87BD7A6"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120CC39D"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0EB91C61"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E826D82"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CAFFDE1"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6AB58B6" w14:textId="77777777" w:rsidR="00D35571" w:rsidRDefault="00D35571" w:rsidP="00D86CD2">
            <w:pPr>
              <w:spacing w:line="252" w:lineRule="auto"/>
              <w:jc w:val="center"/>
            </w:pPr>
            <w:r>
              <w:rPr>
                <w:rFonts w:ascii="Wingdings" w:hAnsi="Wingdings"/>
                <w:color w:val="000000"/>
              </w:rPr>
              <w:t></w:t>
            </w:r>
          </w:p>
        </w:tc>
      </w:tr>
      <w:tr w:rsidR="00D35571" w14:paraId="7F77841C" w14:textId="77777777" w:rsidTr="00DA4AFC">
        <w:trPr>
          <w:trHeight w:val="518"/>
        </w:trPr>
        <w:tc>
          <w:tcPr>
            <w:tcW w:w="302" w:type="pct"/>
            <w:vMerge/>
            <w:tcBorders>
              <w:top w:val="nil"/>
              <w:left w:val="single" w:sz="8" w:space="0" w:color="auto"/>
              <w:bottom w:val="single" w:sz="8" w:space="0" w:color="auto"/>
              <w:right w:val="single" w:sz="8" w:space="0" w:color="auto"/>
            </w:tcBorders>
            <w:vAlign w:val="center"/>
            <w:hideMark/>
          </w:tcPr>
          <w:p w14:paraId="7010187F"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3488A4D7" w14:textId="77777777" w:rsidR="00D35571" w:rsidRDefault="00D35571" w:rsidP="00D86CD2">
            <w:pPr>
              <w:spacing w:line="252" w:lineRule="auto"/>
            </w:pPr>
            <w:r>
              <w:t>Principal &amp; add. diagnoses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7928AABD"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82AFE50"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6AFB09"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72D560B"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514AD2AA"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3E80A876"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8CB9580"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333926"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92444FD" w14:textId="77777777" w:rsidR="00D35571" w:rsidRDefault="00D35571" w:rsidP="00D86CD2">
            <w:pPr>
              <w:spacing w:line="252" w:lineRule="auto"/>
              <w:jc w:val="center"/>
            </w:pPr>
            <w:r>
              <w:rPr>
                <w:rFonts w:ascii="Wingdings" w:hAnsi="Wingdings"/>
                <w:color w:val="000000"/>
              </w:rPr>
              <w:t></w:t>
            </w:r>
          </w:p>
        </w:tc>
      </w:tr>
      <w:tr w:rsidR="00D35571" w14:paraId="35D16B93" w14:textId="77777777" w:rsidTr="00DA4AFC">
        <w:trPr>
          <w:trHeight w:val="517"/>
        </w:trPr>
        <w:tc>
          <w:tcPr>
            <w:tcW w:w="302" w:type="pct"/>
            <w:vMerge/>
            <w:tcBorders>
              <w:top w:val="nil"/>
              <w:left w:val="single" w:sz="8" w:space="0" w:color="auto"/>
              <w:bottom w:val="single" w:sz="8" w:space="0" w:color="auto"/>
              <w:right w:val="single" w:sz="8" w:space="0" w:color="auto"/>
            </w:tcBorders>
            <w:vAlign w:val="center"/>
            <w:hideMark/>
          </w:tcPr>
          <w:p w14:paraId="27141D16"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9AC92A8" w14:textId="77777777" w:rsidR="00D35571" w:rsidRDefault="00D35571" w:rsidP="00D86CD2">
            <w:pPr>
              <w:spacing w:line="252" w:lineRule="auto"/>
            </w:pPr>
            <w:r>
              <w:t>MH legal status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7C8323AD"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DFC8C39"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C4198"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18D4AB9"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64786143"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7938412C"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E291C28"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2A2F62"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F687807" w14:textId="77777777" w:rsidR="00D35571" w:rsidRDefault="00D35571" w:rsidP="00D86CD2">
            <w:pPr>
              <w:spacing w:line="252" w:lineRule="auto"/>
              <w:jc w:val="center"/>
            </w:pPr>
            <w:r>
              <w:rPr>
                <w:rFonts w:ascii="Wingdings" w:hAnsi="Wingdings"/>
                <w:color w:val="000000"/>
              </w:rPr>
              <w:t></w:t>
            </w:r>
          </w:p>
        </w:tc>
      </w:tr>
    </w:tbl>
    <w:p w14:paraId="37A7EBA2" w14:textId="77777777" w:rsidR="00DA4AFC" w:rsidRDefault="00DA4AFC">
      <w:r>
        <w:br w:type="page"/>
      </w:r>
    </w:p>
    <w:tbl>
      <w:tblPr>
        <w:tblW w:w="5010" w:type="pct"/>
        <w:tblCellMar>
          <w:left w:w="0" w:type="dxa"/>
          <w:right w:w="0" w:type="dxa"/>
        </w:tblCellMar>
        <w:tblLook w:val="04A0" w:firstRow="1" w:lastRow="0" w:firstColumn="1" w:lastColumn="0" w:noHBand="0" w:noVBand="1"/>
      </w:tblPr>
      <w:tblGrid>
        <w:gridCol w:w="847"/>
        <w:gridCol w:w="1174"/>
        <w:gridCol w:w="1396"/>
        <w:gridCol w:w="1104"/>
        <w:gridCol w:w="1031"/>
        <w:gridCol w:w="967"/>
        <w:gridCol w:w="1154"/>
        <w:gridCol w:w="1031"/>
        <w:gridCol w:w="1048"/>
        <w:gridCol w:w="1042"/>
        <w:gridCol w:w="1087"/>
        <w:gridCol w:w="1031"/>
        <w:gridCol w:w="1098"/>
      </w:tblGrid>
      <w:tr w:rsidR="00D35571" w14:paraId="3789990C" w14:textId="77777777" w:rsidTr="00DA4AFC">
        <w:trPr>
          <w:cantSplit/>
          <w:trHeight w:val="190"/>
        </w:trPr>
        <w:tc>
          <w:tcPr>
            <w:tcW w:w="302"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3E18C7BC" w14:textId="4712CF4F" w:rsidR="00D35571" w:rsidRDefault="00D35571" w:rsidP="00D86CD2">
            <w:pPr>
              <w:spacing w:line="252" w:lineRule="auto"/>
              <w:ind w:left="113" w:right="113"/>
              <w:rPr>
                <w:b/>
                <w:bCs/>
                <w:color w:val="7030A0"/>
              </w:rPr>
            </w:pPr>
            <w:r>
              <w:rPr>
                <w:b/>
                <w:bCs/>
                <w:color w:val="7030A0"/>
              </w:rPr>
              <w:lastRenderedPageBreak/>
              <w:t>Adults</w:t>
            </w:r>
          </w:p>
        </w:tc>
        <w:tc>
          <w:tcPr>
            <w:tcW w:w="917"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7B34F43" w14:textId="77777777" w:rsidR="00D35571" w:rsidRDefault="00D35571" w:rsidP="00D86CD2">
            <w:pPr>
              <w:spacing w:line="252" w:lineRule="auto"/>
            </w:pPr>
            <w:r>
              <w:rPr>
                <w:b/>
                <w:bCs/>
              </w:rPr>
              <w:t>Adult CMI/ODS Subcentre OM Setting</w:t>
            </w:r>
          </w:p>
        </w:tc>
        <w:tc>
          <w:tcPr>
            <w:tcW w:w="1107" w:type="pct"/>
            <w:gridSpan w:val="3"/>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14F4A09F" w14:textId="77777777" w:rsidR="00D35571" w:rsidRDefault="00D35571" w:rsidP="00D86CD2">
            <w:pPr>
              <w:spacing w:line="252" w:lineRule="auto"/>
              <w:jc w:val="center"/>
            </w:pPr>
            <w:r>
              <w:rPr>
                <w:rFonts w:cs="Arial"/>
                <w:color w:val="000000"/>
              </w:rPr>
              <w:t>2 Adult Inpatient</w:t>
            </w:r>
          </w:p>
        </w:tc>
        <w:tc>
          <w:tcPr>
            <w:tcW w:w="1154" w:type="pct"/>
            <w:gridSpan w:val="3"/>
            <w:tcBorders>
              <w:top w:val="single" w:sz="4"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07C2C117" w14:textId="77777777" w:rsidR="00D35571" w:rsidRDefault="00D35571" w:rsidP="00D86CD2">
            <w:pPr>
              <w:spacing w:line="252" w:lineRule="auto"/>
              <w:jc w:val="center"/>
            </w:pPr>
            <w:r>
              <w:rPr>
                <w:rFonts w:cs="Arial"/>
                <w:color w:val="000000"/>
              </w:rPr>
              <w:t>4 Adult Residential</w:t>
            </w:r>
          </w:p>
        </w:tc>
        <w:tc>
          <w:tcPr>
            <w:tcW w:w="1520" w:type="pct"/>
            <w:gridSpan w:val="4"/>
            <w:tcBorders>
              <w:top w:val="single" w:sz="4" w:space="0" w:color="auto"/>
              <w:left w:val="nil"/>
              <w:bottom w:val="single" w:sz="8" w:space="0" w:color="auto"/>
              <w:right w:val="single" w:sz="8" w:space="0" w:color="auto"/>
            </w:tcBorders>
            <w:shd w:val="clear" w:color="auto" w:fill="E79191"/>
            <w:tcMar>
              <w:top w:w="0" w:type="dxa"/>
              <w:left w:w="108" w:type="dxa"/>
              <w:bottom w:w="0" w:type="dxa"/>
              <w:right w:w="108" w:type="dxa"/>
            </w:tcMar>
            <w:hideMark/>
          </w:tcPr>
          <w:p w14:paraId="55765437" w14:textId="77777777" w:rsidR="00D35571" w:rsidRDefault="00D35571" w:rsidP="00D86CD2">
            <w:pPr>
              <w:spacing w:line="252" w:lineRule="auto"/>
              <w:jc w:val="center"/>
            </w:pPr>
            <w:r>
              <w:rPr>
                <w:rFonts w:cs="Arial"/>
                <w:color w:val="000000"/>
              </w:rPr>
              <w:t>1 Adult Community</w:t>
            </w:r>
          </w:p>
        </w:tc>
      </w:tr>
      <w:tr w:rsidR="00D35571" w14:paraId="6785A049"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34C13DBF"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46AA0CD" w14:textId="77777777" w:rsidR="00D35571" w:rsidRDefault="00D35571" w:rsidP="00D86CD2">
            <w:pPr>
              <w:spacing w:line="252" w:lineRule="auto"/>
            </w:pPr>
            <w:proofErr w:type="spellStart"/>
            <w:r>
              <w:t>HoNOS</w:t>
            </w:r>
            <w:proofErr w:type="spellEnd"/>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39A7BF33" w14:textId="77777777" w:rsidR="00D35571" w:rsidRDefault="00D35571" w:rsidP="00D86CD2">
            <w:pPr>
              <w:spacing w:line="252" w:lineRule="auto"/>
            </w:pPr>
            <w:r>
              <w:t>Symptoms</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35EE290"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A26A2C1"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73E8414" w14:textId="77777777" w:rsidR="00D35571" w:rsidRDefault="00D35571" w:rsidP="00D86CD2">
            <w:pPr>
              <w:spacing w:line="252" w:lineRule="auto"/>
              <w:jc w:val="center"/>
            </w:pPr>
            <w:r>
              <w:rPr>
                <w:rFonts w:ascii="Wingdings" w:hAnsi="Wingdings"/>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145DD56D"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ED1681F"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2946FEF" w14:textId="77777777" w:rsidR="00D35571" w:rsidRDefault="00D35571" w:rsidP="00D86CD2">
            <w:pPr>
              <w:spacing w:line="252" w:lineRule="auto"/>
              <w:jc w:val="center"/>
            </w:pPr>
            <w:r>
              <w:rPr>
                <w:rFonts w:ascii="Wingdings" w:hAnsi="Wingdings"/>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43971BA2"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170C00C7"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868D7D"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EEEBAEB" w14:textId="77777777" w:rsidR="00D35571" w:rsidRDefault="00D35571" w:rsidP="00D86CD2">
            <w:pPr>
              <w:spacing w:line="252" w:lineRule="auto"/>
              <w:jc w:val="center"/>
            </w:pPr>
            <w:r>
              <w:rPr>
                <w:rFonts w:ascii="Wingdings" w:hAnsi="Wingdings"/>
                <w:color w:val="000000"/>
              </w:rPr>
              <w:t></w:t>
            </w:r>
          </w:p>
        </w:tc>
      </w:tr>
      <w:tr w:rsidR="00D35571" w14:paraId="080E0455"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0C630556"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DD06E89" w14:textId="77777777" w:rsidR="00D35571" w:rsidRDefault="00D35571" w:rsidP="00D86CD2">
            <w:pPr>
              <w:spacing w:line="252" w:lineRule="auto"/>
            </w:pPr>
            <w:r>
              <w:t>LSP-16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502D63BF" w14:textId="77777777" w:rsidR="00D35571" w:rsidRDefault="00D35571" w:rsidP="00D86CD2">
            <w:pPr>
              <w:spacing w:line="252" w:lineRule="auto"/>
            </w:pPr>
            <w:r>
              <w:t>Functioning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8587864"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50F84A5" w14:textId="77777777" w:rsidR="00D35571" w:rsidRDefault="00D35571" w:rsidP="00D86CD2">
            <w:pPr>
              <w:spacing w:line="252" w:lineRule="auto"/>
              <w:jc w:val="center"/>
            </w:pPr>
            <w:r>
              <w:rPr>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F609291" w14:textId="77777777" w:rsidR="00D35571" w:rsidRDefault="00D35571" w:rsidP="00D86CD2">
            <w:pPr>
              <w:spacing w:line="252" w:lineRule="auto"/>
              <w:jc w:val="center"/>
            </w:pPr>
            <w:r>
              <w:rPr>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6E3C2C7"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AB4411B"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0328978" w14:textId="77777777" w:rsidR="00D35571" w:rsidRDefault="00D35571" w:rsidP="00D86CD2">
            <w:pPr>
              <w:spacing w:line="252" w:lineRule="auto"/>
              <w:jc w:val="center"/>
            </w:pPr>
            <w:r>
              <w:rPr>
                <w:rFonts w:ascii="Wingdings" w:hAnsi="Wingdings"/>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2DD08036"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tcPr>
          <w:p w14:paraId="32D35343" w14:textId="77777777" w:rsidR="00D35571" w:rsidRDefault="00D35571" w:rsidP="00D86CD2">
            <w:pPr>
              <w:spacing w:line="252" w:lineRule="auto"/>
              <w:jc w:val="center"/>
            </w:pP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02E09AD"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13637F8" w14:textId="77777777" w:rsidR="00D35571" w:rsidRDefault="00D35571" w:rsidP="00D86CD2">
            <w:pPr>
              <w:spacing w:line="252" w:lineRule="auto"/>
              <w:jc w:val="center"/>
            </w:pPr>
            <w:r>
              <w:rPr>
                <w:rFonts w:ascii="Wingdings" w:hAnsi="Wingdings"/>
                <w:color w:val="000000"/>
              </w:rPr>
              <w:t></w:t>
            </w:r>
          </w:p>
        </w:tc>
      </w:tr>
      <w:tr w:rsidR="00D35571" w14:paraId="25E303B3"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1CC8DF30"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6126F1A7" w14:textId="77777777" w:rsidR="00D35571" w:rsidRDefault="00D35571" w:rsidP="00D86CD2">
            <w:pPr>
              <w:spacing w:line="252" w:lineRule="auto"/>
            </w:pPr>
            <w:r>
              <w:t>BASIS-32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2E117CDE" w14:textId="77777777" w:rsidR="00D35571" w:rsidRDefault="00D35571" w:rsidP="00D86CD2">
            <w:pPr>
              <w:spacing w:line="252" w:lineRule="auto"/>
            </w:pPr>
            <w:r>
              <w:t>Consumer self-rating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FF02B62"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BBD4D87" w14:textId="77777777" w:rsidR="00D35571" w:rsidRDefault="00D35571" w:rsidP="00D86CD2">
            <w:pPr>
              <w:spacing w:line="252" w:lineRule="auto"/>
              <w:jc w:val="center"/>
            </w:pPr>
            <w:r>
              <w:rPr>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85428DB" w14:textId="77777777" w:rsidR="00D35571" w:rsidRDefault="00D35571" w:rsidP="00D86CD2">
            <w:pPr>
              <w:spacing w:line="252" w:lineRule="auto"/>
              <w:jc w:val="center"/>
            </w:pPr>
            <w:r>
              <w:rPr>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FB03A4B"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6B915D5"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58743E6" w14:textId="77777777" w:rsidR="00D35571" w:rsidRDefault="00D35571" w:rsidP="00D86CD2">
            <w:pPr>
              <w:spacing w:line="252" w:lineRule="auto"/>
              <w:jc w:val="center"/>
            </w:pPr>
            <w:r>
              <w:rPr>
                <w:rFonts w:ascii="Wingdings" w:hAnsi="Wingdings"/>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4144BF3F"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569B4EC"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4E7DD4"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53DFB6B" w14:textId="77777777" w:rsidR="00D35571" w:rsidRDefault="00D35571" w:rsidP="00D86CD2">
            <w:pPr>
              <w:spacing w:line="252" w:lineRule="auto"/>
              <w:jc w:val="center"/>
            </w:pPr>
            <w:r>
              <w:rPr>
                <w:rFonts w:ascii="Wingdings" w:hAnsi="Wingdings"/>
                <w:color w:val="000000"/>
              </w:rPr>
              <w:t></w:t>
            </w:r>
          </w:p>
        </w:tc>
      </w:tr>
      <w:tr w:rsidR="00D35571" w14:paraId="582E8814"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1111BCFA"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08B7937" w14:textId="77777777" w:rsidR="00D35571" w:rsidRDefault="00D35571" w:rsidP="00D86CD2">
            <w:pPr>
              <w:spacing w:line="252" w:lineRule="auto"/>
              <w:rPr>
                <w:highlight w:val="yellow"/>
              </w:rPr>
            </w:pPr>
            <w:r>
              <w:rPr>
                <w:highlight w:val="yellow"/>
              </w:rPr>
              <w:t>Phase of Care</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31B62E3D" w14:textId="77777777" w:rsidR="00D35571" w:rsidRDefault="00D35571" w:rsidP="00D86CD2">
            <w:pPr>
              <w:spacing w:line="252" w:lineRule="auto"/>
              <w:rPr>
                <w:highlight w:val="yellow"/>
              </w:rPr>
            </w:pPr>
            <w:r>
              <w:rPr>
                <w:highlight w:val="yellow"/>
              </w:rP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518AC5C"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E9902DE"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F0FB007" w14:textId="77777777" w:rsidR="00D35571" w:rsidRDefault="00D35571" w:rsidP="00D86CD2">
            <w:pPr>
              <w:spacing w:line="252" w:lineRule="auto"/>
              <w:jc w:val="center"/>
            </w:pPr>
            <w:r>
              <w:rPr>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7E0CAEB"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D5730F"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8ABF08D" w14:textId="77777777" w:rsidR="00D35571" w:rsidRDefault="00D35571" w:rsidP="00D86CD2">
            <w:pPr>
              <w:spacing w:line="252" w:lineRule="auto"/>
              <w:jc w:val="center"/>
            </w:pPr>
            <w:r>
              <w:rPr>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67380C7D" w14:textId="77777777" w:rsidR="00D35571" w:rsidRDefault="00D35571" w:rsidP="00D86CD2">
            <w:pPr>
              <w:spacing w:line="252" w:lineRule="auto"/>
              <w:jc w:val="center"/>
              <w:rPr>
                <w:b/>
                <w:bCs/>
              </w:rP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C440B3F"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970690D"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87AC042" w14:textId="77777777" w:rsidR="00D35571" w:rsidRDefault="00D35571" w:rsidP="00D86CD2">
            <w:pPr>
              <w:spacing w:line="252" w:lineRule="auto"/>
              <w:jc w:val="center"/>
            </w:pPr>
            <w:r>
              <w:rPr>
                <w:color w:val="000000"/>
              </w:rPr>
              <w:t>-</w:t>
            </w:r>
          </w:p>
        </w:tc>
      </w:tr>
      <w:tr w:rsidR="00D35571" w14:paraId="5C9114E9"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0C275AE2"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CD64DFE" w14:textId="77777777" w:rsidR="00D35571" w:rsidRDefault="00D35571" w:rsidP="00D86CD2">
            <w:pPr>
              <w:spacing w:line="252" w:lineRule="auto"/>
            </w:pPr>
            <w:r>
              <w:t>Principal &amp; add. diagnoses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247AE477"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199B5EE2"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893B9AC"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646F6D1" w14:textId="77777777" w:rsidR="00D35571" w:rsidRDefault="00D35571" w:rsidP="00D86CD2">
            <w:pPr>
              <w:spacing w:line="252" w:lineRule="auto"/>
              <w:jc w:val="center"/>
            </w:pPr>
            <w:r>
              <w:rPr>
                <w:rFonts w:ascii="Wingdings" w:hAnsi="Wingdings"/>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B778929"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D5F6E9"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26E1CCA" w14:textId="77777777" w:rsidR="00D35571" w:rsidRDefault="00D35571" w:rsidP="00D86CD2">
            <w:pPr>
              <w:spacing w:line="252" w:lineRule="auto"/>
              <w:jc w:val="center"/>
            </w:pPr>
            <w:r>
              <w:rPr>
                <w:rFonts w:ascii="Wingdings" w:hAnsi="Wingdings"/>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45534A8C"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75FBC8B"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ED0F89D"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1DE69E3" w14:textId="77777777" w:rsidR="00D35571" w:rsidRDefault="00D35571" w:rsidP="00D86CD2">
            <w:pPr>
              <w:spacing w:line="252" w:lineRule="auto"/>
              <w:jc w:val="center"/>
            </w:pPr>
            <w:r>
              <w:rPr>
                <w:rFonts w:ascii="Wingdings" w:hAnsi="Wingdings"/>
                <w:color w:val="000000"/>
              </w:rPr>
              <w:t></w:t>
            </w:r>
          </w:p>
        </w:tc>
      </w:tr>
      <w:tr w:rsidR="00D35571" w14:paraId="69DCB938" w14:textId="77777777" w:rsidTr="00DA4AFC">
        <w:trPr>
          <w:cantSplit/>
          <w:trHeight w:val="190"/>
        </w:trPr>
        <w:tc>
          <w:tcPr>
            <w:tcW w:w="302" w:type="pct"/>
            <w:vMerge/>
            <w:tcBorders>
              <w:top w:val="single" w:sz="8" w:space="0" w:color="auto"/>
              <w:left w:val="single" w:sz="8" w:space="0" w:color="auto"/>
              <w:bottom w:val="single" w:sz="8" w:space="0" w:color="auto"/>
              <w:right w:val="single" w:sz="8" w:space="0" w:color="auto"/>
            </w:tcBorders>
            <w:vAlign w:val="center"/>
            <w:hideMark/>
          </w:tcPr>
          <w:p w14:paraId="44DC1A9E"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AF5EF6C" w14:textId="77777777" w:rsidR="00D35571" w:rsidRDefault="00D35571" w:rsidP="00D86CD2">
            <w:pPr>
              <w:spacing w:line="252" w:lineRule="auto"/>
            </w:pPr>
            <w:r>
              <w:t>MH legal status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57EEDBC6"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1721718"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ECB73B"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43E1F29" w14:textId="77777777" w:rsidR="00D35571" w:rsidRDefault="00D35571" w:rsidP="00D86CD2">
            <w:pPr>
              <w:spacing w:line="252" w:lineRule="auto"/>
              <w:jc w:val="center"/>
            </w:pPr>
            <w:r>
              <w:rPr>
                <w:rFonts w:ascii="Wingdings" w:hAnsi="Wingdings"/>
                <w:color w:val="000000"/>
              </w:rPr>
              <w:t></w:t>
            </w:r>
          </w:p>
        </w:tc>
        <w:tc>
          <w:tcPr>
            <w:tcW w:w="412"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E3E4D3C"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725D727" w14:textId="77777777" w:rsidR="00D35571" w:rsidRDefault="00D35571" w:rsidP="00D86CD2">
            <w:pPr>
              <w:spacing w:line="252" w:lineRule="auto"/>
              <w:jc w:val="center"/>
            </w:pPr>
            <w:r>
              <w:rPr>
                <w:rFonts w:ascii="Wingdings" w:hAnsi="Wingdings"/>
                <w:color w:val="000000"/>
              </w:rPr>
              <w:t></w:t>
            </w:r>
          </w:p>
        </w:tc>
        <w:tc>
          <w:tcPr>
            <w:tcW w:w="373"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1BBE3A4" w14:textId="77777777" w:rsidR="00D35571" w:rsidRDefault="00D35571" w:rsidP="00D86CD2">
            <w:pPr>
              <w:spacing w:line="252" w:lineRule="auto"/>
              <w:jc w:val="center"/>
            </w:pPr>
            <w:r>
              <w:rPr>
                <w:rFonts w:ascii="Wingdings" w:hAnsi="Wingdings"/>
                <w:color w:val="000000"/>
              </w:rPr>
              <w:t></w:t>
            </w: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2018B06B"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E34C84C"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F4EAC4"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3DF556B" w14:textId="77777777" w:rsidR="00D35571" w:rsidRDefault="00D35571" w:rsidP="00D86CD2">
            <w:pPr>
              <w:spacing w:line="252" w:lineRule="auto"/>
              <w:jc w:val="center"/>
            </w:pPr>
            <w:r>
              <w:rPr>
                <w:rFonts w:ascii="Wingdings" w:hAnsi="Wingdings"/>
                <w:color w:val="000000"/>
              </w:rPr>
              <w:t></w:t>
            </w:r>
          </w:p>
        </w:tc>
      </w:tr>
      <w:tr w:rsidR="00D35571" w14:paraId="479AEF65" w14:textId="77777777" w:rsidTr="00DA4AFC">
        <w:trPr>
          <w:cantSplit/>
          <w:trHeight w:val="168"/>
        </w:trPr>
        <w:tc>
          <w:tcPr>
            <w:tcW w:w="30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53BA80E5" w14:textId="77777777" w:rsidR="00D35571" w:rsidRDefault="00D35571" w:rsidP="00D86CD2">
            <w:pPr>
              <w:spacing w:line="252" w:lineRule="auto"/>
              <w:ind w:left="113" w:right="113"/>
              <w:rPr>
                <w:b/>
                <w:bCs/>
                <w:color w:val="7030A0"/>
              </w:rPr>
            </w:pPr>
            <w:r>
              <w:rPr>
                <w:b/>
                <w:bCs/>
                <w:color w:val="7030A0"/>
              </w:rPr>
              <w:t>Aged</w:t>
            </w:r>
          </w:p>
        </w:tc>
        <w:tc>
          <w:tcPr>
            <w:tcW w:w="9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EFAC15" w14:textId="77777777" w:rsidR="00D35571" w:rsidRDefault="00D35571" w:rsidP="00D86CD2">
            <w:pPr>
              <w:spacing w:line="252" w:lineRule="auto"/>
            </w:pPr>
            <w:r>
              <w:rPr>
                <w:b/>
                <w:bCs/>
              </w:rPr>
              <w:t>AGED CMI/ODS Subcentre OM Setting</w:t>
            </w:r>
          </w:p>
        </w:tc>
        <w:tc>
          <w:tcPr>
            <w:tcW w:w="1107" w:type="pct"/>
            <w:gridSpan w:val="3"/>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9A961C4" w14:textId="77777777" w:rsidR="00D35571" w:rsidRDefault="00D35571" w:rsidP="00D86CD2">
            <w:pPr>
              <w:spacing w:line="252" w:lineRule="auto"/>
              <w:jc w:val="center"/>
            </w:pPr>
            <w:r>
              <w:rPr>
                <w:rFonts w:cs="Arial"/>
                <w:color w:val="000000"/>
              </w:rPr>
              <w:t>6 Aged Inpatient</w:t>
            </w:r>
          </w:p>
        </w:tc>
        <w:tc>
          <w:tcPr>
            <w:tcW w:w="115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21888A0" w14:textId="77777777" w:rsidR="00D35571" w:rsidRDefault="00D35571" w:rsidP="00D86CD2">
            <w:pPr>
              <w:spacing w:line="252" w:lineRule="auto"/>
              <w:jc w:val="center"/>
            </w:pPr>
            <w:r>
              <w:t>Not applicable in Victoria</w:t>
            </w:r>
          </w:p>
        </w:tc>
        <w:tc>
          <w:tcPr>
            <w:tcW w:w="1520" w:type="pct"/>
            <w:gridSpan w:val="4"/>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223E3599" w14:textId="77777777" w:rsidR="00D35571" w:rsidRDefault="00D35571" w:rsidP="00D86CD2">
            <w:pPr>
              <w:spacing w:line="252" w:lineRule="auto"/>
              <w:jc w:val="center"/>
            </w:pPr>
            <w:r>
              <w:rPr>
                <w:rFonts w:cs="Arial"/>
                <w:color w:val="000000"/>
              </w:rPr>
              <w:t>5 Aged Community</w:t>
            </w:r>
          </w:p>
        </w:tc>
      </w:tr>
      <w:tr w:rsidR="00D35571" w14:paraId="74478CE0" w14:textId="77777777" w:rsidTr="00DA4AFC">
        <w:trPr>
          <w:cantSplit/>
          <w:trHeight w:val="168"/>
        </w:trPr>
        <w:tc>
          <w:tcPr>
            <w:tcW w:w="302" w:type="pct"/>
            <w:vMerge/>
            <w:tcBorders>
              <w:top w:val="nil"/>
              <w:left w:val="single" w:sz="8" w:space="0" w:color="auto"/>
              <w:bottom w:val="single" w:sz="8" w:space="0" w:color="auto"/>
              <w:right w:val="single" w:sz="8" w:space="0" w:color="auto"/>
            </w:tcBorders>
            <w:vAlign w:val="center"/>
            <w:hideMark/>
          </w:tcPr>
          <w:p w14:paraId="1DDED41A"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087BBE31" w14:textId="77777777" w:rsidR="00D35571" w:rsidRDefault="00D35571" w:rsidP="00D86CD2">
            <w:pPr>
              <w:spacing w:line="252" w:lineRule="auto"/>
            </w:pPr>
            <w:proofErr w:type="spellStart"/>
            <w:r>
              <w:t>HoNOS</w:t>
            </w:r>
            <w:proofErr w:type="spellEnd"/>
            <w:r>
              <w:t xml:space="preserve"> 65+</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0E3C21FD" w14:textId="77777777" w:rsidR="00D35571" w:rsidRDefault="00D35571" w:rsidP="00D86CD2">
            <w:pPr>
              <w:spacing w:line="252" w:lineRule="auto"/>
            </w:pPr>
            <w:r>
              <w:t>Symptoms</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3F0A5A0"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20EC63D"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BD7E733" w14:textId="77777777" w:rsidR="00D35571" w:rsidRDefault="00D35571" w:rsidP="00D86CD2">
            <w:pPr>
              <w:spacing w:line="252" w:lineRule="auto"/>
              <w:jc w:val="center"/>
            </w:pPr>
            <w:r>
              <w:rPr>
                <w:rFonts w:ascii="Wingdings" w:hAnsi="Wingdings"/>
                <w:color w:val="000000"/>
              </w:rPr>
              <w:t></w:t>
            </w:r>
          </w:p>
        </w:tc>
        <w:tc>
          <w:tcPr>
            <w:tcW w:w="1154" w:type="pct"/>
            <w:gridSpan w:val="3"/>
            <w:vMerge w:val="restart"/>
            <w:tcBorders>
              <w:top w:val="nil"/>
              <w:left w:val="nil"/>
              <w:bottom w:val="single" w:sz="8" w:space="0" w:color="auto"/>
              <w:right w:val="single" w:sz="8" w:space="0" w:color="auto"/>
            </w:tcBorders>
            <w:vAlign w:val="center"/>
            <w:hideMark/>
          </w:tcPr>
          <w:p w14:paraId="24CD95F3"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7DFE6005"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2B68A5E"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FE6F703"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A9F1723" w14:textId="77777777" w:rsidR="00D35571" w:rsidRDefault="00D35571" w:rsidP="00D86CD2">
            <w:pPr>
              <w:spacing w:line="252" w:lineRule="auto"/>
              <w:jc w:val="center"/>
            </w:pPr>
            <w:r>
              <w:rPr>
                <w:rFonts w:ascii="Wingdings" w:hAnsi="Wingdings"/>
                <w:color w:val="000000"/>
              </w:rPr>
              <w:t></w:t>
            </w:r>
          </w:p>
        </w:tc>
      </w:tr>
      <w:tr w:rsidR="00D35571" w14:paraId="54B5E285"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77F4748B"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827EC68" w14:textId="77777777" w:rsidR="00D35571" w:rsidRDefault="00D35571" w:rsidP="00D86CD2">
            <w:pPr>
              <w:spacing w:line="252" w:lineRule="auto"/>
            </w:pPr>
            <w:r>
              <w:t>LSP-16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2EA551FC" w14:textId="77777777" w:rsidR="00D35571" w:rsidRDefault="00D35571" w:rsidP="00D86CD2">
            <w:pPr>
              <w:spacing w:line="252" w:lineRule="auto"/>
            </w:pPr>
            <w:r>
              <w:t>Functioning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1747024C"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A2FD79B" w14:textId="77777777" w:rsidR="00D35571" w:rsidRDefault="00D35571" w:rsidP="00D86CD2">
            <w:pPr>
              <w:spacing w:line="252" w:lineRule="auto"/>
              <w:jc w:val="center"/>
            </w:pPr>
            <w:r>
              <w:rPr>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86F1F6A" w14:textId="77777777" w:rsidR="00D35571" w:rsidRDefault="00D35571" w:rsidP="00D86CD2">
            <w:pPr>
              <w:spacing w:line="252" w:lineRule="auto"/>
              <w:jc w:val="center"/>
            </w:pPr>
            <w:r>
              <w:rPr>
                <w:color w:val="000000"/>
              </w:rPr>
              <w:t>-</w:t>
            </w:r>
          </w:p>
        </w:tc>
        <w:tc>
          <w:tcPr>
            <w:tcW w:w="1154" w:type="pct"/>
            <w:gridSpan w:val="3"/>
            <w:vMerge/>
            <w:tcBorders>
              <w:top w:val="nil"/>
              <w:left w:val="nil"/>
              <w:bottom w:val="single" w:sz="8" w:space="0" w:color="auto"/>
              <w:right w:val="single" w:sz="8" w:space="0" w:color="auto"/>
            </w:tcBorders>
            <w:vAlign w:val="center"/>
            <w:hideMark/>
          </w:tcPr>
          <w:p w14:paraId="1A14F1A3"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3086C2AC"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CE70CC3"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6E16B3C"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0DBA0D6" w14:textId="77777777" w:rsidR="00D35571" w:rsidRDefault="00D35571" w:rsidP="00D86CD2">
            <w:pPr>
              <w:spacing w:line="252" w:lineRule="auto"/>
              <w:jc w:val="center"/>
            </w:pPr>
            <w:r>
              <w:rPr>
                <w:rFonts w:ascii="Wingdings" w:hAnsi="Wingdings"/>
                <w:color w:val="000000"/>
              </w:rPr>
              <w:t></w:t>
            </w:r>
          </w:p>
        </w:tc>
      </w:tr>
      <w:tr w:rsidR="00D35571" w14:paraId="7FE462A0"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60BFEBAB"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3DC0F9C7" w14:textId="77777777" w:rsidR="00D35571" w:rsidRDefault="00D35571" w:rsidP="00D86CD2">
            <w:pPr>
              <w:spacing w:line="252" w:lineRule="auto"/>
            </w:pPr>
            <w:r>
              <w:t>RUG-ADL</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2F3B2E65" w14:textId="77777777" w:rsidR="00D35571" w:rsidRDefault="00D35571" w:rsidP="00D86CD2">
            <w:pPr>
              <w:spacing w:line="252" w:lineRule="auto"/>
            </w:pPr>
            <w:r>
              <w:t>Dependency</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0C6FB023"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C4E138"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300E528" w14:textId="77777777" w:rsidR="00D35571" w:rsidRDefault="00D35571" w:rsidP="00D86CD2">
            <w:pPr>
              <w:spacing w:line="252" w:lineRule="auto"/>
              <w:jc w:val="center"/>
            </w:pPr>
            <w:r>
              <w:rPr>
                <w:color w:val="000000"/>
              </w:rPr>
              <w:t>-</w:t>
            </w:r>
          </w:p>
        </w:tc>
        <w:tc>
          <w:tcPr>
            <w:tcW w:w="1154" w:type="pct"/>
            <w:gridSpan w:val="3"/>
            <w:vMerge/>
            <w:tcBorders>
              <w:top w:val="nil"/>
              <w:left w:val="nil"/>
              <w:bottom w:val="single" w:sz="8" w:space="0" w:color="auto"/>
              <w:right w:val="single" w:sz="8" w:space="0" w:color="auto"/>
            </w:tcBorders>
            <w:vAlign w:val="center"/>
            <w:hideMark/>
          </w:tcPr>
          <w:p w14:paraId="7463F1C4"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393EDBEC"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3B87BFFB"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1DCD274" w14:textId="77777777" w:rsidR="00D35571" w:rsidRDefault="00D35571" w:rsidP="00D86CD2">
            <w:pPr>
              <w:spacing w:line="252" w:lineRule="auto"/>
              <w:jc w:val="center"/>
            </w:pPr>
            <w:r>
              <w:rPr>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F8296E9" w14:textId="77777777" w:rsidR="00D35571" w:rsidRDefault="00D35571" w:rsidP="00D86CD2">
            <w:pPr>
              <w:spacing w:line="252" w:lineRule="auto"/>
              <w:jc w:val="center"/>
            </w:pPr>
            <w:r>
              <w:rPr>
                <w:color w:val="000000"/>
              </w:rPr>
              <w:t>-</w:t>
            </w:r>
          </w:p>
        </w:tc>
      </w:tr>
      <w:tr w:rsidR="00D35571" w14:paraId="008D026D"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77A8893C"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17A5BF68" w14:textId="77777777" w:rsidR="00D35571" w:rsidRDefault="00D35571" w:rsidP="00D86CD2">
            <w:pPr>
              <w:spacing w:line="252" w:lineRule="auto"/>
            </w:pPr>
            <w:r>
              <w:t>BASIS-32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4CACAEF4" w14:textId="77777777" w:rsidR="00D35571" w:rsidRDefault="00D35571" w:rsidP="00D86CD2">
            <w:pPr>
              <w:spacing w:line="252" w:lineRule="auto"/>
            </w:pPr>
            <w:r>
              <w:t>Consumer self-rating</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17C0ACFF"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5B96AC2" w14:textId="77777777" w:rsidR="00D35571" w:rsidRDefault="00D35571" w:rsidP="00D86CD2">
            <w:pPr>
              <w:spacing w:line="252" w:lineRule="auto"/>
              <w:jc w:val="center"/>
            </w:pPr>
            <w:r>
              <w:rPr>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45417030" w14:textId="77777777" w:rsidR="00D35571" w:rsidRDefault="00D35571" w:rsidP="00D86CD2">
            <w:pPr>
              <w:spacing w:line="252" w:lineRule="auto"/>
              <w:jc w:val="center"/>
            </w:pPr>
            <w:r>
              <w:rPr>
                <w:color w:val="000000"/>
              </w:rPr>
              <w:t>-</w:t>
            </w:r>
          </w:p>
        </w:tc>
        <w:tc>
          <w:tcPr>
            <w:tcW w:w="1154" w:type="pct"/>
            <w:gridSpan w:val="3"/>
            <w:vMerge/>
            <w:tcBorders>
              <w:top w:val="nil"/>
              <w:left w:val="nil"/>
              <w:bottom w:val="single" w:sz="8" w:space="0" w:color="auto"/>
              <w:right w:val="single" w:sz="8" w:space="0" w:color="auto"/>
            </w:tcBorders>
            <w:vAlign w:val="center"/>
            <w:hideMark/>
          </w:tcPr>
          <w:p w14:paraId="7A79C7DC"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tcPr>
          <w:p w14:paraId="2CF54EBD" w14:textId="77777777" w:rsidR="00D35571" w:rsidRDefault="00D35571" w:rsidP="00D86CD2">
            <w:pPr>
              <w:spacing w:line="252" w:lineRule="auto"/>
              <w:jc w:val="center"/>
            </w:pP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59DA8066"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7CBDCB"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289EE70" w14:textId="77777777" w:rsidR="00D35571" w:rsidRDefault="00D35571" w:rsidP="00D86CD2">
            <w:pPr>
              <w:spacing w:line="252" w:lineRule="auto"/>
              <w:jc w:val="center"/>
            </w:pPr>
            <w:r>
              <w:rPr>
                <w:rFonts w:ascii="Wingdings" w:hAnsi="Wingdings"/>
                <w:color w:val="000000"/>
              </w:rPr>
              <w:t></w:t>
            </w:r>
          </w:p>
        </w:tc>
      </w:tr>
      <w:tr w:rsidR="00D35571" w14:paraId="342E3AB5"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3CA2CADE"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C4D8B1F" w14:textId="77777777" w:rsidR="00D35571" w:rsidRDefault="00D35571" w:rsidP="00D86CD2">
            <w:pPr>
              <w:spacing w:line="252" w:lineRule="auto"/>
              <w:rPr>
                <w:highlight w:val="yellow"/>
              </w:rPr>
            </w:pPr>
            <w:r>
              <w:rPr>
                <w:highlight w:val="yellow"/>
              </w:rPr>
              <w:t>Phase of Care</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55DF013F" w14:textId="77777777" w:rsidR="00D35571" w:rsidRDefault="00D35571" w:rsidP="00D86CD2">
            <w:pPr>
              <w:spacing w:line="252" w:lineRule="auto"/>
              <w:rPr>
                <w:highlight w:val="yellow"/>
              </w:rPr>
            </w:pPr>
            <w:r>
              <w:rPr>
                <w:highlight w:val="yellow"/>
              </w:rP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73FB7AF"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276A0B3"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tcPr>
          <w:p w14:paraId="6BFFAA9F" w14:textId="77777777" w:rsidR="00D35571" w:rsidRDefault="00D35571" w:rsidP="00D86CD2">
            <w:pPr>
              <w:spacing w:line="252" w:lineRule="auto"/>
              <w:jc w:val="center"/>
            </w:pPr>
          </w:p>
        </w:tc>
        <w:tc>
          <w:tcPr>
            <w:tcW w:w="1154" w:type="pct"/>
            <w:gridSpan w:val="3"/>
            <w:vMerge/>
            <w:tcBorders>
              <w:top w:val="nil"/>
              <w:left w:val="nil"/>
              <w:bottom w:val="single" w:sz="8" w:space="0" w:color="auto"/>
              <w:right w:val="single" w:sz="8" w:space="0" w:color="auto"/>
            </w:tcBorders>
            <w:vAlign w:val="center"/>
            <w:hideMark/>
          </w:tcPr>
          <w:p w14:paraId="4A418D6C"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4FDB4538"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29FB5F25" w14:textId="77777777" w:rsidR="00D35571" w:rsidRDefault="00D35571" w:rsidP="00D86CD2">
            <w:pPr>
              <w:spacing w:line="252" w:lineRule="auto"/>
              <w:jc w:val="center"/>
            </w:pPr>
            <w:r>
              <w:rPr>
                <w:rFonts w:ascii="Wingdings" w:hAnsi="Wingdings"/>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7DD434"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1542867E" w14:textId="77777777" w:rsidR="00D35571" w:rsidRDefault="00D35571" w:rsidP="00D86CD2">
            <w:pPr>
              <w:spacing w:line="252" w:lineRule="auto"/>
              <w:jc w:val="center"/>
            </w:pPr>
            <w:r>
              <w:rPr>
                <w:color w:val="000000"/>
              </w:rPr>
              <w:t>-</w:t>
            </w:r>
          </w:p>
        </w:tc>
      </w:tr>
      <w:tr w:rsidR="00D35571" w14:paraId="1EC8238B"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6C8F0EAA"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47327297" w14:textId="77777777" w:rsidR="00D35571" w:rsidRDefault="00D35571" w:rsidP="00D86CD2">
            <w:pPr>
              <w:spacing w:line="252" w:lineRule="auto"/>
            </w:pPr>
            <w:r>
              <w:t>Principal &amp; add. diagnoses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7562D4CF"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6B8AEDC0"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CFD5F6"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7F5017E7"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3EB1FB72"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4D080813"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482A9B91"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59EDB46"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5A4EDED9" w14:textId="77777777" w:rsidR="00D35571" w:rsidRDefault="00D35571" w:rsidP="00D86CD2">
            <w:pPr>
              <w:spacing w:line="252" w:lineRule="auto"/>
              <w:jc w:val="center"/>
            </w:pPr>
            <w:r>
              <w:rPr>
                <w:rFonts w:ascii="Wingdings" w:hAnsi="Wingdings"/>
                <w:color w:val="000000"/>
              </w:rPr>
              <w:t></w:t>
            </w:r>
          </w:p>
        </w:tc>
      </w:tr>
      <w:tr w:rsidR="00D35571" w14:paraId="0A8FBF8E" w14:textId="77777777" w:rsidTr="00DA4AFC">
        <w:trPr>
          <w:cantSplit/>
          <w:trHeight w:val="162"/>
        </w:trPr>
        <w:tc>
          <w:tcPr>
            <w:tcW w:w="302" w:type="pct"/>
            <w:vMerge/>
            <w:tcBorders>
              <w:top w:val="nil"/>
              <w:left w:val="single" w:sz="8" w:space="0" w:color="auto"/>
              <w:bottom w:val="single" w:sz="8" w:space="0" w:color="auto"/>
              <w:right w:val="single" w:sz="8" w:space="0" w:color="auto"/>
            </w:tcBorders>
            <w:vAlign w:val="center"/>
            <w:hideMark/>
          </w:tcPr>
          <w:p w14:paraId="7F0856DF" w14:textId="77777777" w:rsidR="00D35571" w:rsidRDefault="00D35571" w:rsidP="00D86CD2">
            <w:pPr>
              <w:rPr>
                <w:rFonts w:ascii="Calibri" w:eastAsiaTheme="minorHAnsi" w:hAnsi="Calibri" w:cs="Calibri"/>
                <w:b/>
                <w:bCs/>
                <w:color w:val="7030A0"/>
              </w:rPr>
            </w:pP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DF99EDF" w14:textId="77777777" w:rsidR="00D35571" w:rsidRDefault="00D35571" w:rsidP="00D86CD2">
            <w:pPr>
              <w:spacing w:line="252" w:lineRule="auto"/>
            </w:pPr>
            <w:r>
              <w:t>MH legal status</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14:paraId="6C50C692" w14:textId="77777777" w:rsidR="00D35571" w:rsidRDefault="00D35571" w:rsidP="00D86CD2">
            <w:pPr>
              <w:spacing w:line="252" w:lineRule="auto"/>
            </w:pPr>
            <w:r>
              <w:t>Contextual info</w:t>
            </w:r>
          </w:p>
        </w:tc>
        <w:tc>
          <w:tcPr>
            <w:tcW w:w="394"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1DECF17"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BBB8F88" w14:textId="77777777" w:rsidR="00D35571" w:rsidRDefault="00D35571" w:rsidP="00D86CD2">
            <w:pPr>
              <w:spacing w:line="252" w:lineRule="auto"/>
              <w:jc w:val="center"/>
            </w:pPr>
            <w:r>
              <w:rPr>
                <w:rFonts w:ascii="Wingdings" w:hAnsi="Wingdings"/>
                <w:color w:val="000000"/>
              </w:rPr>
              <w:t></w:t>
            </w:r>
          </w:p>
        </w:tc>
        <w:tc>
          <w:tcPr>
            <w:tcW w:w="344"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357E16B8" w14:textId="77777777" w:rsidR="00D35571" w:rsidRDefault="00D35571" w:rsidP="00D86CD2">
            <w:pPr>
              <w:spacing w:line="252" w:lineRule="auto"/>
              <w:jc w:val="center"/>
            </w:pPr>
            <w:r>
              <w:rPr>
                <w:rFonts w:ascii="Wingdings" w:hAnsi="Wingdings"/>
                <w:color w:val="000000"/>
              </w:rPr>
              <w:t></w:t>
            </w:r>
          </w:p>
        </w:tc>
        <w:tc>
          <w:tcPr>
            <w:tcW w:w="1154" w:type="pct"/>
            <w:gridSpan w:val="3"/>
            <w:vMerge/>
            <w:tcBorders>
              <w:top w:val="nil"/>
              <w:left w:val="nil"/>
              <w:bottom w:val="single" w:sz="8" w:space="0" w:color="auto"/>
              <w:right w:val="single" w:sz="8" w:space="0" w:color="auto"/>
            </w:tcBorders>
            <w:vAlign w:val="center"/>
            <w:hideMark/>
          </w:tcPr>
          <w:p w14:paraId="413A612B" w14:textId="77777777" w:rsidR="00D35571" w:rsidRDefault="00D35571" w:rsidP="00D86CD2">
            <w:pPr>
              <w:rPr>
                <w:rFonts w:ascii="Calibri" w:eastAsiaTheme="minorHAnsi" w:hAnsi="Calibri" w:cs="Calibri"/>
              </w:rPr>
            </w:pPr>
          </w:p>
        </w:tc>
        <w:tc>
          <w:tcPr>
            <w:tcW w:w="372" w:type="pct"/>
            <w:tcBorders>
              <w:top w:val="nil"/>
              <w:left w:val="nil"/>
              <w:bottom w:val="single" w:sz="8" w:space="0" w:color="auto"/>
              <w:right w:val="single" w:sz="8" w:space="0" w:color="auto"/>
            </w:tcBorders>
            <w:shd w:val="clear" w:color="auto" w:fill="E79191"/>
            <w:tcMar>
              <w:top w:w="0" w:type="dxa"/>
              <w:left w:w="108" w:type="dxa"/>
              <w:bottom w:w="0" w:type="dxa"/>
              <w:right w:w="108" w:type="dxa"/>
            </w:tcMar>
            <w:hideMark/>
          </w:tcPr>
          <w:p w14:paraId="77AE7DAB" w14:textId="77777777" w:rsidR="00D35571" w:rsidRDefault="00D35571" w:rsidP="00D86CD2">
            <w:pPr>
              <w:spacing w:line="252" w:lineRule="auto"/>
              <w:jc w:val="center"/>
            </w:pPr>
            <w:r>
              <w:rPr>
                <w:rFonts w:ascii="Wingdings" w:hAnsi="Wingdings"/>
                <w:b/>
                <w:bCs/>
                <w:color w:val="FF0000"/>
              </w:rPr>
              <w:t></w:t>
            </w:r>
          </w:p>
        </w:tc>
        <w:tc>
          <w:tcPr>
            <w:tcW w:w="388" w:type="pct"/>
            <w:tcBorders>
              <w:top w:val="nil"/>
              <w:left w:val="nil"/>
              <w:bottom w:val="single" w:sz="8" w:space="0" w:color="auto"/>
              <w:right w:val="single" w:sz="8" w:space="0" w:color="auto"/>
            </w:tcBorders>
            <w:shd w:val="clear" w:color="auto" w:fill="F4B083"/>
            <w:tcMar>
              <w:top w:w="0" w:type="dxa"/>
              <w:left w:w="108" w:type="dxa"/>
              <w:bottom w:w="0" w:type="dxa"/>
              <w:right w:w="108" w:type="dxa"/>
            </w:tcMar>
            <w:hideMark/>
          </w:tcPr>
          <w:p w14:paraId="7C17FB29" w14:textId="77777777" w:rsidR="00D35571" w:rsidRDefault="00D35571" w:rsidP="00D86CD2">
            <w:pPr>
              <w:spacing w:line="252" w:lineRule="auto"/>
              <w:jc w:val="center"/>
            </w:pPr>
            <w:r>
              <w:rPr>
                <w:color w:val="000000"/>
              </w:rPr>
              <w:t>-</w:t>
            </w:r>
          </w:p>
        </w:tc>
        <w:tc>
          <w:tcPr>
            <w:tcW w:w="36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0B3F6B" w14:textId="77777777" w:rsidR="00D35571" w:rsidRDefault="00D35571" w:rsidP="00D86CD2">
            <w:pPr>
              <w:spacing w:line="252" w:lineRule="auto"/>
              <w:jc w:val="center"/>
            </w:pPr>
            <w:r>
              <w:rPr>
                <w:rFonts w:ascii="Wingdings" w:hAnsi="Wingdings"/>
                <w:color w:val="000000"/>
              </w:rPr>
              <w:t></w:t>
            </w:r>
          </w:p>
        </w:tc>
        <w:tc>
          <w:tcPr>
            <w:tcW w:w="392" w:type="pct"/>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D8CB886" w14:textId="77777777" w:rsidR="00D35571" w:rsidRDefault="00D35571" w:rsidP="00D86CD2">
            <w:pPr>
              <w:spacing w:line="252" w:lineRule="auto"/>
              <w:jc w:val="center"/>
            </w:pPr>
            <w:r>
              <w:rPr>
                <w:rFonts w:ascii="Wingdings" w:hAnsi="Wingdings"/>
                <w:color w:val="000000"/>
              </w:rPr>
              <w:t></w:t>
            </w:r>
          </w:p>
        </w:tc>
      </w:tr>
    </w:tbl>
    <w:p w14:paraId="39E311E3" w14:textId="77777777" w:rsidR="00D35571" w:rsidRDefault="00D35571" w:rsidP="00D86CD2">
      <w:pPr>
        <w:ind w:left="113" w:right="113"/>
        <w:jc w:val="center"/>
        <w:rPr>
          <w:b/>
          <w:bCs/>
          <w:color w:val="000000" w:themeColor="text1"/>
        </w:rPr>
        <w:sectPr w:rsidR="00D35571" w:rsidSect="00D35571">
          <w:pgSz w:w="16838" w:h="11906" w:orient="landscape" w:code="9"/>
          <w:pgMar w:top="851" w:right="1418" w:bottom="851" w:left="1418" w:header="680" w:footer="851" w:gutter="0"/>
          <w:cols w:space="340"/>
          <w:docGrid w:linePitch="360"/>
        </w:sectPr>
      </w:pPr>
    </w:p>
    <w:tbl>
      <w:tblPr>
        <w:tblW w:w="102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9656"/>
      </w:tblGrid>
      <w:tr w:rsidR="00D35571" w14:paraId="6560D830" w14:textId="77777777" w:rsidTr="00D35571">
        <w:trPr>
          <w:trHeight w:val="388"/>
        </w:trPr>
        <w:tc>
          <w:tcPr>
            <w:tcW w:w="622" w:type="dxa"/>
            <w:vMerge w:val="restart"/>
            <w:textDirection w:val="btLr"/>
          </w:tcPr>
          <w:p w14:paraId="259DF626" w14:textId="09A92AFE" w:rsidR="00D35571" w:rsidRPr="00455CF2" w:rsidRDefault="00D35571" w:rsidP="00D86CD2">
            <w:pPr>
              <w:ind w:left="113" w:right="113"/>
              <w:jc w:val="center"/>
              <w:rPr>
                <w:b/>
                <w:bCs/>
              </w:rPr>
            </w:pPr>
            <w:r w:rsidRPr="00455CF2">
              <w:rPr>
                <w:b/>
                <w:bCs/>
                <w:color w:val="000000" w:themeColor="text1"/>
              </w:rPr>
              <w:lastRenderedPageBreak/>
              <w:t>Legend</w:t>
            </w:r>
          </w:p>
        </w:tc>
        <w:tc>
          <w:tcPr>
            <w:tcW w:w="9656" w:type="dxa"/>
          </w:tcPr>
          <w:p w14:paraId="37F8CDB2" w14:textId="77777777" w:rsidR="00D35571" w:rsidRPr="003E4051" w:rsidRDefault="00D35571" w:rsidP="00D86CD2">
            <w:pPr>
              <w:rPr>
                <w:b/>
                <w:bCs/>
              </w:rPr>
            </w:pPr>
            <w:r w:rsidRPr="00455CF2">
              <w:rPr>
                <w:b/>
                <w:bCs/>
                <w:color w:val="000000" w:themeColor="text1"/>
              </w:rPr>
              <w:t>A</w:t>
            </w:r>
            <w:r>
              <w:rPr>
                <w:b/>
                <w:bCs/>
                <w:color w:val="000000" w:themeColor="text1"/>
              </w:rPr>
              <w:t xml:space="preserve">DM </w:t>
            </w:r>
            <w:r>
              <w:t xml:space="preserve">= Includes ‘admission’ for </w:t>
            </w:r>
            <w:r w:rsidRPr="00455CF2">
              <w:rPr>
                <w:b/>
                <w:bCs/>
              </w:rPr>
              <w:t>Inpatient</w:t>
            </w:r>
            <w:r>
              <w:t xml:space="preserve"> </w:t>
            </w:r>
            <w:r w:rsidRPr="003E4051">
              <w:rPr>
                <w:b/>
                <w:bCs/>
              </w:rPr>
              <w:t>(INP)</w:t>
            </w:r>
            <w:r>
              <w:t xml:space="preserve"> and </w:t>
            </w:r>
            <w:r w:rsidRPr="00455CF2">
              <w:rPr>
                <w:b/>
                <w:bCs/>
              </w:rPr>
              <w:t>Community Residential</w:t>
            </w:r>
            <w:r>
              <w:t xml:space="preserve"> </w:t>
            </w:r>
            <w:r w:rsidRPr="003E4051">
              <w:rPr>
                <w:b/>
                <w:bCs/>
              </w:rPr>
              <w:t>(RES)</w:t>
            </w:r>
          </w:p>
          <w:p w14:paraId="5EF800DA" w14:textId="77777777" w:rsidR="00D35571" w:rsidRDefault="00D35571" w:rsidP="00D86CD2">
            <w:pPr>
              <w:rPr>
                <w:b/>
                <w:bCs/>
              </w:rPr>
            </w:pPr>
            <w:r w:rsidRPr="008B45FC">
              <w:rPr>
                <w:b/>
                <w:bCs/>
              </w:rPr>
              <w:t>INT</w:t>
            </w:r>
            <w:r>
              <w:rPr>
                <w:b/>
                <w:bCs/>
              </w:rPr>
              <w:t xml:space="preserve"> </w:t>
            </w:r>
            <w:r>
              <w:t xml:space="preserve">= ‘Intake’ for </w:t>
            </w:r>
            <w:r w:rsidRPr="00455CF2">
              <w:rPr>
                <w:b/>
                <w:bCs/>
              </w:rPr>
              <w:t>Ambulatory</w:t>
            </w:r>
            <w:r>
              <w:rPr>
                <w:b/>
                <w:bCs/>
              </w:rPr>
              <w:t xml:space="preserve"> (COM)</w:t>
            </w:r>
          </w:p>
          <w:p w14:paraId="6B458734" w14:textId="77777777" w:rsidR="00D35571" w:rsidRPr="008B45FC" w:rsidRDefault="00D35571" w:rsidP="00D86CD2">
            <w:r>
              <w:rPr>
                <w:b/>
                <w:bCs/>
              </w:rPr>
              <w:t xml:space="preserve">AX </w:t>
            </w:r>
            <w:r>
              <w:t xml:space="preserve">= Assessment Community for </w:t>
            </w:r>
            <w:r w:rsidRPr="008B45FC">
              <w:rPr>
                <w:b/>
                <w:bCs/>
              </w:rPr>
              <w:t>Ambulatory</w:t>
            </w:r>
            <w:r>
              <w:rPr>
                <w:b/>
                <w:bCs/>
              </w:rPr>
              <w:t xml:space="preserve"> (COM)</w:t>
            </w:r>
          </w:p>
        </w:tc>
      </w:tr>
      <w:tr w:rsidR="00D35571" w14:paraId="58BB59A3" w14:textId="77777777" w:rsidTr="00D35571">
        <w:trPr>
          <w:trHeight w:val="424"/>
        </w:trPr>
        <w:tc>
          <w:tcPr>
            <w:tcW w:w="622" w:type="dxa"/>
            <w:vMerge/>
          </w:tcPr>
          <w:p w14:paraId="4F52A4D8" w14:textId="77777777" w:rsidR="00D35571" w:rsidRDefault="00D35571" w:rsidP="00D86CD2"/>
        </w:tc>
        <w:tc>
          <w:tcPr>
            <w:tcW w:w="9656" w:type="dxa"/>
          </w:tcPr>
          <w:p w14:paraId="308AD287" w14:textId="77777777" w:rsidR="00D35571" w:rsidRDefault="00D35571" w:rsidP="00D86CD2">
            <w:r>
              <w:rPr>
                <w:b/>
                <w:bCs/>
                <w:color w:val="000000" w:themeColor="text1"/>
              </w:rPr>
              <w:t xml:space="preserve">ISP </w:t>
            </w:r>
            <w:r>
              <w:t>= Individual Service Plan Review includes ’91-day review’ and ‘discretionary review’</w:t>
            </w:r>
          </w:p>
        </w:tc>
      </w:tr>
      <w:tr w:rsidR="00D35571" w14:paraId="595EB7D2" w14:textId="77777777" w:rsidTr="00D35571">
        <w:trPr>
          <w:trHeight w:val="630"/>
        </w:trPr>
        <w:tc>
          <w:tcPr>
            <w:tcW w:w="622" w:type="dxa"/>
            <w:vMerge/>
          </w:tcPr>
          <w:p w14:paraId="266A9ED4" w14:textId="77777777" w:rsidR="00D35571" w:rsidRDefault="00D35571" w:rsidP="00D86CD2"/>
        </w:tc>
        <w:tc>
          <w:tcPr>
            <w:tcW w:w="9656" w:type="dxa"/>
          </w:tcPr>
          <w:p w14:paraId="635BF1F9" w14:textId="77777777" w:rsidR="00D35571" w:rsidRDefault="00D35571" w:rsidP="00D86CD2">
            <w:r w:rsidRPr="003E4051">
              <w:rPr>
                <w:b/>
                <w:bCs/>
              </w:rPr>
              <w:t>DIS</w:t>
            </w:r>
            <w:r>
              <w:t xml:space="preserve"> = ‘discharge’ refers to a change of setting as defined under the national OM collection protocol, specifically ‘discharge’ from an </w:t>
            </w:r>
            <w:r w:rsidRPr="001A2E72">
              <w:rPr>
                <w:b/>
                <w:bCs/>
              </w:rPr>
              <w:t>Inpatient</w:t>
            </w:r>
            <w:r>
              <w:rPr>
                <w:b/>
                <w:bCs/>
              </w:rPr>
              <w:t xml:space="preserve"> (INP)</w:t>
            </w:r>
            <w:r>
              <w:t xml:space="preserve"> or </w:t>
            </w:r>
            <w:r w:rsidRPr="001A2E72">
              <w:rPr>
                <w:b/>
                <w:bCs/>
              </w:rPr>
              <w:t>Community Residential</w:t>
            </w:r>
            <w:r>
              <w:rPr>
                <w:b/>
                <w:bCs/>
              </w:rPr>
              <w:t xml:space="preserve"> (RES)</w:t>
            </w:r>
            <w:r>
              <w:t xml:space="preserve"> unit or from an </w:t>
            </w:r>
            <w:r w:rsidRPr="001A2E72">
              <w:rPr>
                <w:b/>
                <w:bCs/>
              </w:rPr>
              <w:t>Ambulatory</w:t>
            </w:r>
            <w:r>
              <w:t xml:space="preserve"> </w:t>
            </w:r>
            <w:r w:rsidRPr="003E4051">
              <w:rPr>
                <w:b/>
                <w:bCs/>
              </w:rPr>
              <w:t>(COM)</w:t>
            </w:r>
            <w:r>
              <w:t xml:space="preserve"> setting (</w:t>
            </w:r>
            <w:r w:rsidRPr="00455CF2">
              <w:t>consumer either exits ambulatory service or changes setting e.g. admitted to an</w:t>
            </w:r>
            <w:r>
              <w:t xml:space="preserve"> </w:t>
            </w:r>
            <w:r w:rsidRPr="00455CF2">
              <w:rPr>
                <w:i/>
                <w:iCs/>
              </w:rPr>
              <w:t xml:space="preserve">Inpatient </w:t>
            </w:r>
            <w:r w:rsidRPr="00455CF2">
              <w:t xml:space="preserve">or </w:t>
            </w:r>
            <w:r w:rsidRPr="00455CF2">
              <w:rPr>
                <w:i/>
                <w:iCs/>
              </w:rPr>
              <w:t xml:space="preserve">Community Residential </w:t>
            </w:r>
            <w:r w:rsidRPr="00455CF2">
              <w:t>unit)</w:t>
            </w:r>
          </w:p>
        </w:tc>
      </w:tr>
      <w:tr w:rsidR="00D35571" w14:paraId="4EF46181" w14:textId="77777777" w:rsidTr="00D35571">
        <w:trPr>
          <w:trHeight w:val="570"/>
        </w:trPr>
        <w:tc>
          <w:tcPr>
            <w:tcW w:w="622" w:type="dxa"/>
            <w:vMerge/>
          </w:tcPr>
          <w:p w14:paraId="21BECF61" w14:textId="77777777" w:rsidR="00D35571" w:rsidRDefault="00D35571" w:rsidP="00D86CD2"/>
        </w:tc>
        <w:tc>
          <w:tcPr>
            <w:tcW w:w="9656" w:type="dxa"/>
          </w:tcPr>
          <w:p w14:paraId="302678C8" w14:textId="77777777" w:rsidR="00D35571" w:rsidRDefault="00D35571" w:rsidP="00D86CD2">
            <w:r>
              <w:rPr>
                <w:rFonts w:ascii="Wingdings" w:eastAsia="Wingdings" w:hAnsi="Wingdings" w:cs="Wingdings"/>
              </w:rPr>
              <w:t></w:t>
            </w:r>
            <w:r>
              <w:t xml:space="preserve"> = Collection of data </w:t>
            </w:r>
            <w:r w:rsidRPr="001A2E72">
              <w:t>on this occasion is mandatory (to be interpreted as ‘to be offered’ unless contra-indicated in the case of consumer self</w:t>
            </w:r>
            <w:r>
              <w:t>-</w:t>
            </w:r>
            <w:r w:rsidRPr="001A2E72">
              <w:t>rating)</w:t>
            </w:r>
          </w:p>
        </w:tc>
      </w:tr>
      <w:tr w:rsidR="00D35571" w14:paraId="030DEFC1" w14:textId="77777777" w:rsidTr="00D35571">
        <w:trPr>
          <w:trHeight w:val="315"/>
        </w:trPr>
        <w:tc>
          <w:tcPr>
            <w:tcW w:w="622" w:type="dxa"/>
            <w:vMerge/>
          </w:tcPr>
          <w:p w14:paraId="104D6B55" w14:textId="77777777" w:rsidR="00D35571" w:rsidRDefault="00D35571" w:rsidP="00D86CD2"/>
        </w:tc>
        <w:tc>
          <w:tcPr>
            <w:tcW w:w="9656" w:type="dxa"/>
          </w:tcPr>
          <w:p w14:paraId="051B4AB7" w14:textId="77777777" w:rsidR="00D35571" w:rsidRDefault="00D35571" w:rsidP="00D86CD2">
            <w:r>
              <w:t>- = No collection requirements apply</w:t>
            </w:r>
          </w:p>
        </w:tc>
      </w:tr>
    </w:tbl>
    <w:p w14:paraId="477C0825" w14:textId="7C515D89" w:rsidR="00D35571" w:rsidRDefault="00D35571" w:rsidP="006D7093">
      <w:pPr>
        <w:pStyle w:val="Body"/>
      </w:pPr>
    </w:p>
    <w:p w14:paraId="587E58C3" w14:textId="77777777" w:rsidR="00D35571" w:rsidRDefault="00D35571" w:rsidP="006D7093">
      <w:pPr>
        <w:pStyle w:val="Body"/>
      </w:pPr>
    </w:p>
    <w:p w14:paraId="1E5A677B" w14:textId="77777777" w:rsidR="00D35571" w:rsidRDefault="00D35571" w:rsidP="00D35571">
      <w:pPr>
        <w:pStyle w:val="Heading1"/>
        <w:sectPr w:rsidR="00D35571" w:rsidSect="00D35571">
          <w:pgSz w:w="11906" w:h="16838" w:code="9"/>
          <w:pgMar w:top="1418" w:right="851" w:bottom="1418" w:left="851" w:header="680" w:footer="851" w:gutter="0"/>
          <w:cols w:space="340"/>
          <w:docGrid w:linePitch="360"/>
        </w:sectPr>
      </w:pPr>
      <w:bookmarkStart w:id="56" w:name="_Toc58436918"/>
    </w:p>
    <w:p w14:paraId="194A2DDF" w14:textId="51074121" w:rsidR="004D04F2" w:rsidRPr="004D04F2" w:rsidRDefault="004D04F2" w:rsidP="00D35571">
      <w:pPr>
        <w:pStyle w:val="Heading1"/>
      </w:pPr>
      <w:bookmarkStart w:id="57" w:name="_Toc67645575"/>
      <w:r w:rsidRPr="004D04F2">
        <w:lastRenderedPageBreak/>
        <w:t>Appendix 3</w:t>
      </w:r>
      <w:bookmarkEnd w:id="56"/>
      <w:bookmarkEnd w:id="57"/>
      <w:r w:rsidRPr="004D04F2">
        <w:t xml:space="preserve"> </w:t>
      </w:r>
    </w:p>
    <w:p w14:paraId="4DCE7457" w14:textId="77777777" w:rsidR="004D04F2" w:rsidRPr="004D04F2" w:rsidRDefault="004D04F2" w:rsidP="004D04F2">
      <w:pPr>
        <w:pStyle w:val="Body"/>
      </w:pPr>
      <w:bookmarkStart w:id="58" w:name="_Toc58436919"/>
      <w:r w:rsidRPr="004D04F2">
        <w:t>Table 3: Overview of measures and rating periods</w:t>
      </w:r>
      <w:bookmarkEnd w:id="58"/>
    </w:p>
    <w:p w14:paraId="04520D85" w14:textId="77777777" w:rsidR="004D04F2" w:rsidRPr="004D04F2" w:rsidRDefault="004D04F2" w:rsidP="004D04F2">
      <w:pPr>
        <w:pStyle w:val="Body"/>
      </w:pPr>
      <w:r w:rsidRPr="004D04F2">
        <w:t>(Rating periods by measure at each required collection occasion)</w:t>
      </w:r>
    </w:p>
    <w:p w14:paraId="5ADD479C" w14:textId="77777777" w:rsidR="004D04F2" w:rsidRPr="00D35571" w:rsidRDefault="004D04F2" w:rsidP="004D04F2">
      <w:pPr>
        <w:pStyle w:val="Body"/>
        <w:rPr>
          <w:b/>
          <w:bCs/>
          <w:color w:val="F79646" w:themeColor="accent6"/>
        </w:rPr>
      </w:pPr>
      <w:r w:rsidRPr="00D35571">
        <w:rPr>
          <w:b/>
          <w:bCs/>
          <w:color w:val="F79646" w:themeColor="accent6"/>
        </w:rPr>
        <w:t>Items in orange are self-rating measures</w:t>
      </w:r>
    </w:p>
    <w:p w14:paraId="76111086" w14:textId="77777777" w:rsidR="004D04F2" w:rsidRPr="00D35571" w:rsidRDefault="004D04F2" w:rsidP="004D04F2">
      <w:pPr>
        <w:pStyle w:val="Body"/>
        <w:rPr>
          <w:color w:val="9BBB59" w:themeColor="accent3"/>
        </w:rPr>
      </w:pPr>
      <w:r w:rsidRPr="00D35571">
        <w:rPr>
          <w:b/>
          <w:bCs/>
          <w:color w:val="9BBB59" w:themeColor="accent3"/>
        </w:rPr>
        <w:t>Items in green are not outcome measures as such but are important for the interpretation of outcome data.</w:t>
      </w:r>
    </w:p>
    <w:tbl>
      <w:tblPr>
        <w:tblStyle w:val="TableGrid"/>
        <w:tblW w:w="0" w:type="auto"/>
        <w:tblLook w:val="04A0" w:firstRow="1" w:lastRow="0" w:firstColumn="1" w:lastColumn="0" w:noHBand="0" w:noVBand="1"/>
      </w:tblPr>
      <w:tblGrid>
        <w:gridCol w:w="1348"/>
        <w:gridCol w:w="1852"/>
        <w:gridCol w:w="3374"/>
        <w:gridCol w:w="1874"/>
        <w:gridCol w:w="1645"/>
      </w:tblGrid>
      <w:tr w:rsidR="004D04F2" w:rsidRPr="00D35571" w14:paraId="4338FEBB" w14:textId="77777777" w:rsidTr="004D04F2">
        <w:trPr>
          <w:trHeight w:val="353"/>
        </w:trPr>
        <w:tc>
          <w:tcPr>
            <w:tcW w:w="1348" w:type="dxa"/>
            <w:vMerge w:val="restart"/>
          </w:tcPr>
          <w:p w14:paraId="07B3D141" w14:textId="77777777" w:rsidR="004D04F2" w:rsidRPr="00D35571" w:rsidRDefault="004D04F2" w:rsidP="004D04F2">
            <w:pPr>
              <w:pStyle w:val="Body"/>
              <w:rPr>
                <w:b/>
                <w:bCs/>
              </w:rPr>
            </w:pPr>
            <w:r w:rsidRPr="00D35571">
              <w:rPr>
                <w:b/>
                <w:bCs/>
              </w:rPr>
              <w:t>Age group</w:t>
            </w:r>
          </w:p>
        </w:tc>
        <w:tc>
          <w:tcPr>
            <w:tcW w:w="1852" w:type="dxa"/>
            <w:vMerge w:val="restart"/>
          </w:tcPr>
          <w:p w14:paraId="186F65BC" w14:textId="77777777" w:rsidR="004D04F2" w:rsidRPr="00D35571" w:rsidRDefault="004D04F2" w:rsidP="004D04F2">
            <w:pPr>
              <w:pStyle w:val="Body"/>
              <w:rPr>
                <w:b/>
                <w:bCs/>
              </w:rPr>
            </w:pPr>
            <w:r w:rsidRPr="00D35571">
              <w:rPr>
                <w:b/>
                <w:bCs/>
              </w:rPr>
              <w:t>Name of measure</w:t>
            </w:r>
          </w:p>
        </w:tc>
        <w:tc>
          <w:tcPr>
            <w:tcW w:w="3374" w:type="dxa"/>
            <w:vMerge w:val="restart"/>
          </w:tcPr>
          <w:p w14:paraId="049E9CD7" w14:textId="77777777" w:rsidR="004D04F2" w:rsidRPr="00D35571" w:rsidRDefault="004D04F2" w:rsidP="004D04F2">
            <w:pPr>
              <w:pStyle w:val="Body"/>
              <w:rPr>
                <w:b/>
                <w:bCs/>
              </w:rPr>
            </w:pPr>
            <w:r w:rsidRPr="00D35571">
              <w:rPr>
                <w:b/>
                <w:bCs/>
              </w:rPr>
              <w:t>Description of measure</w:t>
            </w:r>
          </w:p>
        </w:tc>
        <w:tc>
          <w:tcPr>
            <w:tcW w:w="3512" w:type="dxa"/>
            <w:gridSpan w:val="2"/>
          </w:tcPr>
          <w:p w14:paraId="53F398C7" w14:textId="77777777" w:rsidR="004D04F2" w:rsidRPr="00D35571" w:rsidRDefault="004D04F2" w:rsidP="004D04F2">
            <w:pPr>
              <w:pStyle w:val="Body"/>
              <w:rPr>
                <w:b/>
                <w:bCs/>
              </w:rPr>
            </w:pPr>
            <w:r w:rsidRPr="00D35571">
              <w:rPr>
                <w:b/>
                <w:bCs/>
              </w:rPr>
              <w:t>Rating period</w:t>
            </w:r>
          </w:p>
        </w:tc>
      </w:tr>
      <w:tr w:rsidR="004D04F2" w:rsidRPr="004D04F2" w14:paraId="412D6666" w14:textId="77777777" w:rsidTr="004D04F2">
        <w:trPr>
          <w:trHeight w:val="363"/>
        </w:trPr>
        <w:tc>
          <w:tcPr>
            <w:tcW w:w="1348" w:type="dxa"/>
            <w:vMerge/>
          </w:tcPr>
          <w:p w14:paraId="7C91301C" w14:textId="77777777" w:rsidR="004D04F2" w:rsidRPr="004D04F2" w:rsidRDefault="004D04F2" w:rsidP="004D04F2">
            <w:pPr>
              <w:pStyle w:val="Body"/>
            </w:pPr>
          </w:p>
        </w:tc>
        <w:tc>
          <w:tcPr>
            <w:tcW w:w="1852" w:type="dxa"/>
            <w:vMerge/>
          </w:tcPr>
          <w:p w14:paraId="68EF9CC1" w14:textId="77777777" w:rsidR="004D04F2" w:rsidRPr="004D04F2" w:rsidRDefault="004D04F2" w:rsidP="004D04F2">
            <w:pPr>
              <w:pStyle w:val="Body"/>
            </w:pPr>
          </w:p>
        </w:tc>
        <w:tc>
          <w:tcPr>
            <w:tcW w:w="3374" w:type="dxa"/>
            <w:vMerge/>
          </w:tcPr>
          <w:p w14:paraId="4B5D783F" w14:textId="77777777" w:rsidR="004D04F2" w:rsidRPr="004D04F2" w:rsidRDefault="004D04F2" w:rsidP="004D04F2">
            <w:pPr>
              <w:pStyle w:val="Body"/>
            </w:pPr>
          </w:p>
        </w:tc>
        <w:tc>
          <w:tcPr>
            <w:tcW w:w="1867" w:type="dxa"/>
          </w:tcPr>
          <w:p w14:paraId="5BDAE473" w14:textId="77777777" w:rsidR="004D04F2" w:rsidRPr="00D35571" w:rsidRDefault="004D04F2" w:rsidP="004D04F2">
            <w:pPr>
              <w:pStyle w:val="Body"/>
              <w:rPr>
                <w:b/>
                <w:bCs/>
              </w:rPr>
            </w:pPr>
            <w:r w:rsidRPr="00D35571">
              <w:rPr>
                <w:b/>
                <w:bCs/>
              </w:rPr>
              <w:t>Usual rating period</w:t>
            </w:r>
          </w:p>
        </w:tc>
        <w:tc>
          <w:tcPr>
            <w:tcW w:w="1645" w:type="dxa"/>
          </w:tcPr>
          <w:p w14:paraId="777AE844" w14:textId="77777777" w:rsidR="004D04F2" w:rsidRPr="00D35571" w:rsidRDefault="004D04F2" w:rsidP="004D04F2">
            <w:pPr>
              <w:pStyle w:val="Body"/>
              <w:rPr>
                <w:b/>
                <w:bCs/>
              </w:rPr>
            </w:pPr>
            <w:r w:rsidRPr="00D35571">
              <w:rPr>
                <w:b/>
                <w:bCs/>
              </w:rPr>
              <w:t>Exceptions</w:t>
            </w:r>
          </w:p>
        </w:tc>
      </w:tr>
      <w:tr w:rsidR="004D04F2" w:rsidRPr="004D04F2" w14:paraId="3F08EECE" w14:textId="77777777" w:rsidTr="004D04F2">
        <w:trPr>
          <w:cantSplit/>
          <w:trHeight w:val="447"/>
        </w:trPr>
        <w:tc>
          <w:tcPr>
            <w:tcW w:w="1348" w:type="dxa"/>
            <w:vMerge w:val="restart"/>
          </w:tcPr>
          <w:p w14:paraId="05BE2DE7" w14:textId="77777777" w:rsidR="004D04F2" w:rsidRPr="004D04F2" w:rsidRDefault="004D04F2" w:rsidP="004D04F2">
            <w:pPr>
              <w:pStyle w:val="Body"/>
              <w:rPr>
                <w:b/>
                <w:bCs/>
              </w:rPr>
            </w:pPr>
            <w:r w:rsidRPr="004D04F2">
              <w:rPr>
                <w:b/>
                <w:bCs/>
              </w:rPr>
              <w:t>Child and</w:t>
            </w:r>
          </w:p>
          <w:p w14:paraId="6BF39809" w14:textId="77777777" w:rsidR="004D04F2" w:rsidRPr="004D04F2" w:rsidRDefault="004D04F2" w:rsidP="004D04F2">
            <w:pPr>
              <w:pStyle w:val="Body"/>
              <w:rPr>
                <w:b/>
                <w:bCs/>
              </w:rPr>
            </w:pPr>
            <w:r w:rsidRPr="004D04F2">
              <w:rPr>
                <w:b/>
                <w:bCs/>
              </w:rPr>
              <w:t>adolescent</w:t>
            </w:r>
          </w:p>
          <w:p w14:paraId="7B1C760B" w14:textId="77777777" w:rsidR="004D04F2" w:rsidRPr="004D04F2" w:rsidRDefault="004D04F2" w:rsidP="004D04F2">
            <w:pPr>
              <w:pStyle w:val="Body"/>
              <w:rPr>
                <w:b/>
                <w:bCs/>
              </w:rPr>
            </w:pPr>
            <w:r w:rsidRPr="004D04F2">
              <w:rPr>
                <w:b/>
                <w:bCs/>
              </w:rPr>
              <w:t>mental</w:t>
            </w:r>
          </w:p>
          <w:p w14:paraId="0DE9900A" w14:textId="77777777" w:rsidR="004D04F2" w:rsidRPr="004D04F2" w:rsidRDefault="004D04F2" w:rsidP="004D04F2">
            <w:pPr>
              <w:pStyle w:val="Body"/>
              <w:rPr>
                <w:b/>
                <w:bCs/>
              </w:rPr>
            </w:pPr>
            <w:r w:rsidRPr="004D04F2">
              <w:rPr>
                <w:b/>
                <w:bCs/>
              </w:rPr>
              <w:t>health services</w:t>
            </w:r>
          </w:p>
        </w:tc>
        <w:tc>
          <w:tcPr>
            <w:tcW w:w="1852" w:type="dxa"/>
          </w:tcPr>
          <w:p w14:paraId="544795D7" w14:textId="77777777" w:rsidR="004D04F2" w:rsidRPr="004D04F2" w:rsidRDefault="004D04F2" w:rsidP="004D04F2">
            <w:pPr>
              <w:pStyle w:val="Body"/>
              <w:rPr>
                <w:b/>
                <w:bCs/>
              </w:rPr>
            </w:pPr>
            <w:r w:rsidRPr="004D04F2">
              <w:rPr>
                <w:b/>
                <w:bCs/>
              </w:rPr>
              <w:t>Health of the Nation Outcome Scales for Children and Adolescents (</w:t>
            </w:r>
            <w:proofErr w:type="spellStart"/>
            <w:r w:rsidRPr="004D04F2">
              <w:rPr>
                <w:b/>
                <w:bCs/>
              </w:rPr>
              <w:t>HoNOSCA</w:t>
            </w:r>
            <w:proofErr w:type="spellEnd"/>
            <w:r w:rsidRPr="004D04F2">
              <w:rPr>
                <w:b/>
                <w:bCs/>
              </w:rPr>
              <w:t>)</w:t>
            </w:r>
          </w:p>
        </w:tc>
        <w:tc>
          <w:tcPr>
            <w:tcW w:w="3374" w:type="dxa"/>
          </w:tcPr>
          <w:p w14:paraId="594C3A83" w14:textId="77777777" w:rsidR="004D04F2" w:rsidRPr="004D04F2" w:rsidRDefault="004D04F2" w:rsidP="004D04F2">
            <w:pPr>
              <w:pStyle w:val="Body"/>
            </w:pPr>
            <w:r w:rsidRPr="004D04F2">
              <w:t xml:space="preserve">Child and adolescent equivalent to the </w:t>
            </w:r>
            <w:proofErr w:type="spellStart"/>
            <w:r w:rsidRPr="004D04F2">
              <w:t>HoNOS</w:t>
            </w:r>
            <w:proofErr w:type="spellEnd"/>
            <w:r w:rsidRPr="004D04F2">
              <w:t xml:space="preserve">. Contains 15 items. </w:t>
            </w:r>
          </w:p>
        </w:tc>
        <w:tc>
          <w:tcPr>
            <w:tcW w:w="1867" w:type="dxa"/>
          </w:tcPr>
          <w:p w14:paraId="5C6D9286" w14:textId="77777777" w:rsidR="004D04F2" w:rsidRPr="004D04F2" w:rsidRDefault="004D04F2" w:rsidP="004D04F2">
            <w:pPr>
              <w:pStyle w:val="Body"/>
            </w:pPr>
            <w:r w:rsidRPr="004D04F2">
              <w:t>Previous 2 weeks</w:t>
            </w:r>
          </w:p>
        </w:tc>
        <w:tc>
          <w:tcPr>
            <w:tcW w:w="1645" w:type="dxa"/>
          </w:tcPr>
          <w:p w14:paraId="729AFDD6" w14:textId="77777777" w:rsidR="004D04F2" w:rsidRPr="004D04F2" w:rsidRDefault="004D04F2" w:rsidP="004D04F2">
            <w:pPr>
              <w:pStyle w:val="Body"/>
            </w:pPr>
            <w:r w:rsidRPr="004D04F2">
              <w:t xml:space="preserve">Previous 72 hours on ‘discharge’ from </w:t>
            </w:r>
            <w:r w:rsidRPr="004D04F2">
              <w:rPr>
                <w:b/>
                <w:bCs/>
              </w:rPr>
              <w:t xml:space="preserve">Inpatient </w:t>
            </w:r>
            <w:r w:rsidRPr="004D04F2">
              <w:t>psychiatric care</w:t>
            </w:r>
          </w:p>
        </w:tc>
      </w:tr>
      <w:tr w:rsidR="004D04F2" w:rsidRPr="004D04F2" w14:paraId="0146C3E0" w14:textId="77777777" w:rsidTr="004D04F2">
        <w:trPr>
          <w:cantSplit/>
          <w:trHeight w:val="446"/>
        </w:trPr>
        <w:tc>
          <w:tcPr>
            <w:tcW w:w="1348" w:type="dxa"/>
            <w:vMerge/>
          </w:tcPr>
          <w:p w14:paraId="54BE3C9C" w14:textId="77777777" w:rsidR="004D04F2" w:rsidRPr="004D04F2" w:rsidRDefault="004D04F2" w:rsidP="004D04F2">
            <w:pPr>
              <w:pStyle w:val="Body"/>
              <w:rPr>
                <w:b/>
                <w:bCs/>
              </w:rPr>
            </w:pPr>
          </w:p>
        </w:tc>
        <w:tc>
          <w:tcPr>
            <w:tcW w:w="1852" w:type="dxa"/>
          </w:tcPr>
          <w:p w14:paraId="1AD8DB5F" w14:textId="69FE2B4C" w:rsidR="004D04F2" w:rsidRPr="004D04F2" w:rsidRDefault="004D04F2" w:rsidP="00D35571">
            <w:pPr>
              <w:pStyle w:val="Body"/>
              <w:rPr>
                <w:b/>
                <w:bCs/>
              </w:rPr>
            </w:pPr>
            <w:r w:rsidRPr="004D04F2">
              <w:rPr>
                <w:b/>
                <w:bCs/>
              </w:rPr>
              <w:t>Children’s Global Assessment</w:t>
            </w:r>
            <w:r w:rsidR="00D35571">
              <w:rPr>
                <w:b/>
                <w:bCs/>
              </w:rPr>
              <w:t xml:space="preserve"> </w:t>
            </w:r>
            <w:r w:rsidRPr="004D04F2">
              <w:rPr>
                <w:b/>
                <w:bCs/>
              </w:rPr>
              <w:t>Scale (CGAS)</w:t>
            </w:r>
          </w:p>
        </w:tc>
        <w:tc>
          <w:tcPr>
            <w:tcW w:w="3374" w:type="dxa"/>
          </w:tcPr>
          <w:p w14:paraId="0C6492B2" w14:textId="77777777" w:rsidR="004D04F2" w:rsidRPr="004D04F2" w:rsidRDefault="004D04F2" w:rsidP="004D04F2">
            <w:pPr>
              <w:pStyle w:val="Body"/>
            </w:pPr>
            <w:r w:rsidRPr="004D04F2">
              <w:t>A single global measure of level of functioning, rated 0–100 in order of improved functioning.</w:t>
            </w:r>
          </w:p>
        </w:tc>
        <w:tc>
          <w:tcPr>
            <w:tcW w:w="1867" w:type="dxa"/>
          </w:tcPr>
          <w:p w14:paraId="095C7F93" w14:textId="77777777" w:rsidR="004D04F2" w:rsidRPr="004D04F2" w:rsidRDefault="004D04F2" w:rsidP="004D04F2">
            <w:pPr>
              <w:pStyle w:val="Body"/>
            </w:pPr>
            <w:r w:rsidRPr="004D04F2">
              <w:t>Previous 2 weeks</w:t>
            </w:r>
          </w:p>
        </w:tc>
        <w:tc>
          <w:tcPr>
            <w:tcW w:w="1645" w:type="dxa"/>
          </w:tcPr>
          <w:p w14:paraId="3C96D3C3" w14:textId="77777777" w:rsidR="004D04F2" w:rsidRPr="004D04F2" w:rsidRDefault="004D04F2" w:rsidP="004D04F2">
            <w:pPr>
              <w:pStyle w:val="Body"/>
            </w:pPr>
            <w:r w:rsidRPr="004D04F2">
              <w:t>No exceptions</w:t>
            </w:r>
          </w:p>
        </w:tc>
      </w:tr>
      <w:tr w:rsidR="004D04F2" w:rsidRPr="004D04F2" w14:paraId="56CF1B79" w14:textId="77777777" w:rsidTr="004D04F2">
        <w:trPr>
          <w:cantSplit/>
          <w:trHeight w:val="446"/>
        </w:trPr>
        <w:tc>
          <w:tcPr>
            <w:tcW w:w="1348" w:type="dxa"/>
            <w:vMerge/>
          </w:tcPr>
          <w:p w14:paraId="12D5084C" w14:textId="77777777" w:rsidR="004D04F2" w:rsidRPr="004D04F2" w:rsidRDefault="004D04F2" w:rsidP="004D04F2">
            <w:pPr>
              <w:pStyle w:val="Body"/>
              <w:rPr>
                <w:b/>
                <w:bCs/>
              </w:rPr>
            </w:pPr>
          </w:p>
        </w:tc>
        <w:tc>
          <w:tcPr>
            <w:tcW w:w="1852" w:type="dxa"/>
          </w:tcPr>
          <w:p w14:paraId="10937314" w14:textId="72761BD8" w:rsidR="004D04F2" w:rsidRPr="004D04F2" w:rsidRDefault="004D04F2" w:rsidP="00D35571">
            <w:pPr>
              <w:pStyle w:val="Body"/>
              <w:rPr>
                <w:b/>
                <w:bCs/>
              </w:rPr>
            </w:pPr>
            <w:r w:rsidRPr="00D35571">
              <w:rPr>
                <w:b/>
                <w:bCs/>
                <w:color w:val="9BBB59" w:themeColor="accent3"/>
              </w:rPr>
              <w:t>Factors Influencing Health</w:t>
            </w:r>
            <w:r w:rsidR="00D35571" w:rsidRPr="00D35571">
              <w:rPr>
                <w:b/>
                <w:bCs/>
                <w:color w:val="9BBB59" w:themeColor="accent3"/>
              </w:rPr>
              <w:t xml:space="preserve"> </w:t>
            </w:r>
            <w:r w:rsidRPr="00D35571">
              <w:rPr>
                <w:b/>
                <w:bCs/>
                <w:color w:val="9BBB59" w:themeColor="accent3"/>
              </w:rPr>
              <w:t>Status (FIHS)</w:t>
            </w:r>
          </w:p>
        </w:tc>
        <w:tc>
          <w:tcPr>
            <w:tcW w:w="3374" w:type="dxa"/>
          </w:tcPr>
          <w:p w14:paraId="03B28E17" w14:textId="77777777" w:rsidR="004D04F2" w:rsidRPr="004D04F2" w:rsidRDefault="004D04F2" w:rsidP="004D04F2">
            <w:pPr>
              <w:pStyle w:val="Body"/>
            </w:pPr>
            <w:r w:rsidRPr="004D04F2">
              <w:t>Checklist of ‘psychosocial complications’ based on ICD–10 Factors Influencing Health Status.</w:t>
            </w:r>
          </w:p>
        </w:tc>
        <w:tc>
          <w:tcPr>
            <w:tcW w:w="1867" w:type="dxa"/>
          </w:tcPr>
          <w:p w14:paraId="7401AC95" w14:textId="77777777" w:rsidR="004D04F2" w:rsidRPr="004D04F2" w:rsidRDefault="004D04F2" w:rsidP="004D04F2">
            <w:pPr>
              <w:pStyle w:val="Body"/>
            </w:pPr>
            <w:r w:rsidRPr="004D04F2">
              <w:t>Preceding period*</w:t>
            </w:r>
          </w:p>
        </w:tc>
        <w:tc>
          <w:tcPr>
            <w:tcW w:w="1645" w:type="dxa"/>
          </w:tcPr>
          <w:p w14:paraId="7F46B65D" w14:textId="77777777" w:rsidR="004D04F2" w:rsidRPr="004D04F2" w:rsidRDefault="004D04F2" w:rsidP="004D04F2">
            <w:pPr>
              <w:pStyle w:val="Body"/>
            </w:pPr>
            <w:r w:rsidRPr="004D04F2">
              <w:t>No exceptions</w:t>
            </w:r>
          </w:p>
        </w:tc>
      </w:tr>
      <w:tr w:rsidR="004D04F2" w:rsidRPr="004D04F2" w14:paraId="345D1B5A" w14:textId="77777777" w:rsidTr="004D04F2">
        <w:trPr>
          <w:cantSplit/>
          <w:trHeight w:val="270"/>
        </w:trPr>
        <w:tc>
          <w:tcPr>
            <w:tcW w:w="1348" w:type="dxa"/>
            <w:vMerge/>
          </w:tcPr>
          <w:p w14:paraId="625DDD60" w14:textId="77777777" w:rsidR="004D04F2" w:rsidRPr="004D04F2" w:rsidRDefault="004D04F2" w:rsidP="004D04F2">
            <w:pPr>
              <w:pStyle w:val="Body"/>
              <w:rPr>
                <w:b/>
                <w:bCs/>
              </w:rPr>
            </w:pPr>
          </w:p>
        </w:tc>
        <w:tc>
          <w:tcPr>
            <w:tcW w:w="1852" w:type="dxa"/>
          </w:tcPr>
          <w:p w14:paraId="6E9BF7ED" w14:textId="2A90B472" w:rsidR="004D04F2" w:rsidRPr="004D04F2" w:rsidRDefault="004D04F2" w:rsidP="00D35571">
            <w:pPr>
              <w:pStyle w:val="Body"/>
              <w:rPr>
                <w:b/>
                <w:bCs/>
              </w:rPr>
            </w:pPr>
            <w:r w:rsidRPr="00D35571">
              <w:rPr>
                <w:b/>
                <w:bCs/>
                <w:color w:val="F79646" w:themeColor="accent6"/>
              </w:rPr>
              <w:t>Strengths and Difficulties</w:t>
            </w:r>
            <w:r w:rsidR="00D35571" w:rsidRPr="00D35571">
              <w:rPr>
                <w:b/>
                <w:bCs/>
                <w:color w:val="F79646" w:themeColor="accent6"/>
              </w:rPr>
              <w:t xml:space="preserve"> </w:t>
            </w:r>
            <w:r w:rsidRPr="00D35571">
              <w:rPr>
                <w:b/>
                <w:bCs/>
                <w:color w:val="F79646" w:themeColor="accent6"/>
              </w:rPr>
              <w:t>Questionnaire (SDQ)</w:t>
            </w:r>
          </w:p>
        </w:tc>
        <w:tc>
          <w:tcPr>
            <w:tcW w:w="3374" w:type="dxa"/>
          </w:tcPr>
          <w:p w14:paraId="23DA9C6C" w14:textId="7B9B6230" w:rsidR="004D04F2" w:rsidRPr="004D04F2" w:rsidRDefault="004D04F2" w:rsidP="00D35571">
            <w:pPr>
              <w:pStyle w:val="Body"/>
            </w:pPr>
            <w:r w:rsidRPr="004D04F2">
              <w:t>A parent and adolescent-completed brief behavioural questionnaire</w:t>
            </w:r>
            <w:r w:rsidR="00D35571">
              <w:t xml:space="preserve"> </w:t>
            </w:r>
            <w:r w:rsidRPr="004D04F2">
              <w:t>administered on admission and follow up to health services for 4–</w:t>
            </w:r>
            <w:r w:rsidR="00D35571" w:rsidRPr="004D04F2">
              <w:t>17-year-olds</w:t>
            </w:r>
            <w:r w:rsidRPr="004D04F2">
              <w:t>. It includes 25 items on psychological attributes for five scales: emotional</w:t>
            </w:r>
            <w:r w:rsidR="00D35571">
              <w:t xml:space="preserve"> </w:t>
            </w:r>
            <w:r w:rsidRPr="004D04F2">
              <w:t>symptoms, conduct problems, hyperactivity/inattention, peer relationship</w:t>
            </w:r>
            <w:r w:rsidR="00D35571">
              <w:t xml:space="preserve"> </w:t>
            </w:r>
            <w:r w:rsidRPr="004D04F2">
              <w:t>problems and prosocial behaviour. It also includes items on the impact of these attributes.</w:t>
            </w:r>
          </w:p>
        </w:tc>
        <w:tc>
          <w:tcPr>
            <w:tcW w:w="1867" w:type="dxa"/>
          </w:tcPr>
          <w:p w14:paraId="14AF92D6" w14:textId="77777777" w:rsidR="004D04F2" w:rsidRPr="004D04F2" w:rsidRDefault="004D04F2" w:rsidP="004D04F2">
            <w:pPr>
              <w:pStyle w:val="Body"/>
            </w:pPr>
            <w:r w:rsidRPr="004D04F2">
              <w:t>At ‘admission/intake’ to a service, the previous six</w:t>
            </w:r>
          </w:p>
          <w:p w14:paraId="2EA0C6AD" w14:textId="77777777" w:rsidR="004D04F2" w:rsidRPr="004D04F2" w:rsidRDefault="004D04F2" w:rsidP="004D04F2">
            <w:pPr>
              <w:pStyle w:val="Body"/>
            </w:pPr>
            <w:r w:rsidRPr="004D04F2">
              <w:t>months</w:t>
            </w:r>
          </w:p>
          <w:p w14:paraId="68F2B7C2" w14:textId="77777777" w:rsidR="004D04F2" w:rsidRPr="004D04F2" w:rsidRDefault="004D04F2" w:rsidP="004D04F2">
            <w:pPr>
              <w:pStyle w:val="Body"/>
            </w:pPr>
            <w:r w:rsidRPr="004D04F2">
              <w:t>At ‘review’ and</w:t>
            </w:r>
          </w:p>
          <w:p w14:paraId="4280704F" w14:textId="77777777" w:rsidR="004D04F2" w:rsidRPr="004D04F2" w:rsidRDefault="004D04F2" w:rsidP="004D04F2">
            <w:pPr>
              <w:pStyle w:val="Body"/>
            </w:pPr>
            <w:r w:rsidRPr="004D04F2">
              <w:t>‘discharge’, the previous one month</w:t>
            </w:r>
          </w:p>
        </w:tc>
        <w:tc>
          <w:tcPr>
            <w:tcW w:w="1645" w:type="dxa"/>
          </w:tcPr>
          <w:p w14:paraId="54615094" w14:textId="77777777" w:rsidR="004D04F2" w:rsidRPr="004D04F2" w:rsidRDefault="004D04F2" w:rsidP="004D04F2">
            <w:pPr>
              <w:pStyle w:val="Body"/>
            </w:pPr>
            <w:r w:rsidRPr="004D04F2">
              <w:t>No exceptions</w:t>
            </w:r>
          </w:p>
        </w:tc>
      </w:tr>
      <w:tr w:rsidR="004D04F2" w:rsidRPr="004D04F2" w14:paraId="73882A1B" w14:textId="77777777" w:rsidTr="004D04F2">
        <w:trPr>
          <w:trHeight w:val="270"/>
        </w:trPr>
        <w:tc>
          <w:tcPr>
            <w:tcW w:w="1348" w:type="dxa"/>
            <w:vMerge w:val="restart"/>
          </w:tcPr>
          <w:p w14:paraId="72EF2083" w14:textId="77777777" w:rsidR="004D04F2" w:rsidRPr="004D04F2" w:rsidRDefault="004D04F2" w:rsidP="004D04F2">
            <w:pPr>
              <w:pStyle w:val="Body"/>
            </w:pPr>
            <w:r w:rsidRPr="004D04F2">
              <w:rPr>
                <w:b/>
                <w:bCs/>
              </w:rPr>
              <w:t>Adult mental health service</w:t>
            </w:r>
          </w:p>
          <w:p w14:paraId="5ABF331B" w14:textId="77777777" w:rsidR="004D04F2" w:rsidRPr="004D04F2" w:rsidRDefault="004D04F2" w:rsidP="004D04F2">
            <w:pPr>
              <w:pStyle w:val="Body"/>
            </w:pPr>
          </w:p>
        </w:tc>
        <w:tc>
          <w:tcPr>
            <w:tcW w:w="1852" w:type="dxa"/>
          </w:tcPr>
          <w:p w14:paraId="741873D6" w14:textId="77777777" w:rsidR="004D04F2" w:rsidRPr="004D04F2" w:rsidRDefault="004D04F2" w:rsidP="004D04F2">
            <w:pPr>
              <w:pStyle w:val="Body"/>
              <w:rPr>
                <w:b/>
                <w:bCs/>
              </w:rPr>
            </w:pPr>
            <w:r w:rsidRPr="004D04F2">
              <w:rPr>
                <w:b/>
                <w:bCs/>
              </w:rPr>
              <w:t>Health of the Nation Outcome Scales (</w:t>
            </w:r>
            <w:proofErr w:type="spellStart"/>
            <w:r w:rsidRPr="004D04F2">
              <w:rPr>
                <w:b/>
                <w:bCs/>
              </w:rPr>
              <w:t>HoNOS</w:t>
            </w:r>
            <w:proofErr w:type="spellEnd"/>
            <w:r w:rsidRPr="004D04F2">
              <w:rPr>
                <w:b/>
                <w:bCs/>
              </w:rPr>
              <w:t>)</w:t>
            </w:r>
          </w:p>
        </w:tc>
        <w:tc>
          <w:tcPr>
            <w:tcW w:w="3374" w:type="dxa"/>
          </w:tcPr>
          <w:p w14:paraId="2D7A1EDD" w14:textId="611801B2" w:rsidR="004D04F2" w:rsidRPr="004D04F2" w:rsidRDefault="004D04F2" w:rsidP="00D35571">
            <w:pPr>
              <w:pStyle w:val="Body"/>
            </w:pPr>
            <w:r w:rsidRPr="004D04F2">
              <w:t>An instrument developed in the UK for use by clinicians in routine clinical work</w:t>
            </w:r>
            <w:r w:rsidR="00D35571">
              <w:t xml:space="preserve"> </w:t>
            </w:r>
            <w:r w:rsidRPr="004D04F2">
              <w:t xml:space="preserve">to measure consumer outcomes. Contains 12 items across four outcome </w:t>
            </w:r>
            <w:r w:rsidRPr="004D04F2">
              <w:lastRenderedPageBreak/>
              <w:t>domains: behaviour, impairment, symptoms and social.</w:t>
            </w:r>
          </w:p>
        </w:tc>
        <w:tc>
          <w:tcPr>
            <w:tcW w:w="1867" w:type="dxa"/>
          </w:tcPr>
          <w:p w14:paraId="40FEDE0D" w14:textId="77777777" w:rsidR="004D04F2" w:rsidRPr="004D04F2" w:rsidRDefault="004D04F2" w:rsidP="004D04F2">
            <w:pPr>
              <w:pStyle w:val="Body"/>
            </w:pPr>
            <w:r w:rsidRPr="004D04F2">
              <w:lastRenderedPageBreak/>
              <w:t>Previous 2 weeks</w:t>
            </w:r>
          </w:p>
        </w:tc>
        <w:tc>
          <w:tcPr>
            <w:tcW w:w="1645" w:type="dxa"/>
          </w:tcPr>
          <w:p w14:paraId="0C99636E" w14:textId="77777777" w:rsidR="004D04F2" w:rsidRPr="004D04F2" w:rsidRDefault="004D04F2" w:rsidP="004D04F2">
            <w:pPr>
              <w:pStyle w:val="Body"/>
            </w:pPr>
            <w:r w:rsidRPr="004D04F2">
              <w:t xml:space="preserve">Previous 72 hours on ‘discharge’ from </w:t>
            </w:r>
            <w:r w:rsidRPr="004D04F2">
              <w:rPr>
                <w:b/>
                <w:bCs/>
              </w:rPr>
              <w:t xml:space="preserve">Inpatient </w:t>
            </w:r>
            <w:r w:rsidRPr="004D04F2">
              <w:t>psychiatric care</w:t>
            </w:r>
          </w:p>
        </w:tc>
      </w:tr>
      <w:tr w:rsidR="004D04F2" w:rsidRPr="004D04F2" w14:paraId="6123681E" w14:textId="77777777" w:rsidTr="004D04F2">
        <w:trPr>
          <w:trHeight w:val="270"/>
        </w:trPr>
        <w:tc>
          <w:tcPr>
            <w:tcW w:w="1348" w:type="dxa"/>
            <w:vMerge/>
          </w:tcPr>
          <w:p w14:paraId="49C44206" w14:textId="77777777" w:rsidR="004D04F2" w:rsidRPr="004D04F2" w:rsidRDefault="004D04F2" w:rsidP="004D04F2">
            <w:pPr>
              <w:pStyle w:val="Body"/>
              <w:rPr>
                <w:b/>
                <w:bCs/>
              </w:rPr>
            </w:pPr>
          </w:p>
        </w:tc>
        <w:tc>
          <w:tcPr>
            <w:tcW w:w="1852" w:type="dxa"/>
          </w:tcPr>
          <w:p w14:paraId="0925AF88" w14:textId="77777777" w:rsidR="004D04F2" w:rsidRPr="004D04F2" w:rsidRDefault="004D04F2" w:rsidP="004D04F2">
            <w:pPr>
              <w:pStyle w:val="Body"/>
              <w:rPr>
                <w:b/>
                <w:bCs/>
              </w:rPr>
            </w:pPr>
            <w:r w:rsidRPr="004D04F2">
              <w:rPr>
                <w:b/>
                <w:bCs/>
              </w:rPr>
              <w:t>Life Skills Profile (LSP-16)</w:t>
            </w:r>
          </w:p>
        </w:tc>
        <w:tc>
          <w:tcPr>
            <w:tcW w:w="3374" w:type="dxa"/>
          </w:tcPr>
          <w:p w14:paraId="05CBB599" w14:textId="77777777" w:rsidR="004D04F2" w:rsidRPr="004D04F2" w:rsidRDefault="004D04F2" w:rsidP="004D04F2">
            <w:pPr>
              <w:pStyle w:val="Body"/>
            </w:pPr>
            <w:r w:rsidRPr="004D04F2">
              <w:t>A clinician-completed rating scale designed to assess abilities with respect to basic life skills over the preceding three months.</w:t>
            </w:r>
          </w:p>
        </w:tc>
        <w:tc>
          <w:tcPr>
            <w:tcW w:w="1867" w:type="dxa"/>
          </w:tcPr>
          <w:p w14:paraId="7302631B" w14:textId="77777777" w:rsidR="004D04F2" w:rsidRPr="004D04F2" w:rsidRDefault="004D04F2" w:rsidP="004D04F2">
            <w:pPr>
              <w:pStyle w:val="Body"/>
            </w:pPr>
            <w:r w:rsidRPr="004D04F2">
              <w:t>Previous 3 months</w:t>
            </w:r>
          </w:p>
        </w:tc>
        <w:tc>
          <w:tcPr>
            <w:tcW w:w="1645" w:type="dxa"/>
          </w:tcPr>
          <w:p w14:paraId="3DA0E950" w14:textId="77777777" w:rsidR="004D04F2" w:rsidRPr="004D04F2" w:rsidRDefault="004D04F2" w:rsidP="004D04F2">
            <w:pPr>
              <w:pStyle w:val="Body"/>
            </w:pPr>
            <w:r w:rsidRPr="004D04F2">
              <w:t>No exceptions</w:t>
            </w:r>
          </w:p>
        </w:tc>
      </w:tr>
      <w:tr w:rsidR="004D04F2" w:rsidRPr="004D04F2" w14:paraId="38C4513D" w14:textId="77777777" w:rsidTr="004D04F2">
        <w:trPr>
          <w:trHeight w:val="270"/>
        </w:trPr>
        <w:tc>
          <w:tcPr>
            <w:tcW w:w="1348" w:type="dxa"/>
            <w:vMerge/>
          </w:tcPr>
          <w:p w14:paraId="265E40BC" w14:textId="77777777" w:rsidR="004D04F2" w:rsidRPr="004D04F2" w:rsidRDefault="004D04F2" w:rsidP="004D04F2">
            <w:pPr>
              <w:pStyle w:val="Body"/>
              <w:rPr>
                <w:b/>
                <w:bCs/>
              </w:rPr>
            </w:pPr>
          </w:p>
        </w:tc>
        <w:tc>
          <w:tcPr>
            <w:tcW w:w="1852" w:type="dxa"/>
          </w:tcPr>
          <w:p w14:paraId="015D6996" w14:textId="0B836885" w:rsidR="004D04F2" w:rsidRPr="004D04F2" w:rsidRDefault="004D04F2" w:rsidP="00D35571">
            <w:pPr>
              <w:pStyle w:val="Body"/>
              <w:rPr>
                <w:b/>
                <w:bCs/>
              </w:rPr>
            </w:pPr>
            <w:r w:rsidRPr="00D35571">
              <w:rPr>
                <w:b/>
                <w:bCs/>
                <w:color w:val="F79646" w:themeColor="accent6"/>
              </w:rPr>
              <w:t>The Behaviour and Symptom</w:t>
            </w:r>
            <w:r w:rsidR="00D35571">
              <w:rPr>
                <w:b/>
                <w:bCs/>
                <w:color w:val="F79646" w:themeColor="accent6"/>
              </w:rPr>
              <w:t xml:space="preserve"> </w:t>
            </w:r>
            <w:r w:rsidRPr="00D35571">
              <w:rPr>
                <w:b/>
                <w:bCs/>
                <w:color w:val="F79646" w:themeColor="accent6"/>
              </w:rPr>
              <w:t>Identification Scale (BASIS-32)</w:t>
            </w:r>
          </w:p>
        </w:tc>
        <w:tc>
          <w:tcPr>
            <w:tcW w:w="3374" w:type="dxa"/>
          </w:tcPr>
          <w:p w14:paraId="0EC04E90" w14:textId="0E67EA53" w:rsidR="004D04F2" w:rsidRPr="004D04F2" w:rsidRDefault="004D04F2" w:rsidP="00D35571">
            <w:pPr>
              <w:pStyle w:val="Body"/>
            </w:pPr>
            <w:r w:rsidRPr="004D04F2">
              <w:t>Thirty-two questions that assess the extent to which consumers are</w:t>
            </w:r>
            <w:r w:rsidR="00D35571">
              <w:t xml:space="preserve"> </w:t>
            </w:r>
            <w:r w:rsidRPr="004D04F2">
              <w:t>experiencing difficulties in relation to managing day-to-day life; relating to other people; self-esteem; motivation; clinical symptoms; drug and alcohol use; and level of satisfaction with life.</w:t>
            </w:r>
          </w:p>
        </w:tc>
        <w:tc>
          <w:tcPr>
            <w:tcW w:w="1867" w:type="dxa"/>
          </w:tcPr>
          <w:p w14:paraId="0292B492" w14:textId="77777777" w:rsidR="004D04F2" w:rsidRPr="004D04F2" w:rsidRDefault="004D04F2" w:rsidP="004D04F2">
            <w:pPr>
              <w:pStyle w:val="Body"/>
            </w:pPr>
            <w:r w:rsidRPr="004D04F2">
              <w:t>Previous 2 weeks</w:t>
            </w:r>
          </w:p>
        </w:tc>
        <w:tc>
          <w:tcPr>
            <w:tcW w:w="1645" w:type="dxa"/>
          </w:tcPr>
          <w:p w14:paraId="5125F8BD" w14:textId="77777777" w:rsidR="004D04F2" w:rsidRPr="004D04F2" w:rsidRDefault="004D04F2" w:rsidP="004D04F2">
            <w:pPr>
              <w:pStyle w:val="Body"/>
            </w:pPr>
            <w:r w:rsidRPr="004D04F2">
              <w:t>No exceptions</w:t>
            </w:r>
          </w:p>
        </w:tc>
      </w:tr>
      <w:tr w:rsidR="004D04F2" w:rsidRPr="004D04F2" w14:paraId="26D83455" w14:textId="77777777" w:rsidTr="004D04F2">
        <w:trPr>
          <w:trHeight w:val="339"/>
        </w:trPr>
        <w:tc>
          <w:tcPr>
            <w:tcW w:w="1348" w:type="dxa"/>
            <w:vMerge w:val="restart"/>
          </w:tcPr>
          <w:p w14:paraId="5E6D7530" w14:textId="77777777" w:rsidR="004D04F2" w:rsidRPr="004D04F2" w:rsidRDefault="004D04F2" w:rsidP="004D04F2">
            <w:pPr>
              <w:pStyle w:val="Body"/>
              <w:rPr>
                <w:b/>
                <w:bCs/>
              </w:rPr>
            </w:pPr>
            <w:r w:rsidRPr="004D04F2">
              <w:rPr>
                <w:b/>
                <w:bCs/>
              </w:rPr>
              <w:t>Aged</w:t>
            </w:r>
          </w:p>
          <w:p w14:paraId="28359F16" w14:textId="77777777" w:rsidR="004D04F2" w:rsidRPr="004D04F2" w:rsidRDefault="004D04F2" w:rsidP="004D04F2">
            <w:pPr>
              <w:pStyle w:val="Body"/>
              <w:rPr>
                <w:b/>
                <w:bCs/>
              </w:rPr>
            </w:pPr>
            <w:r w:rsidRPr="004D04F2">
              <w:rPr>
                <w:b/>
                <w:bCs/>
              </w:rPr>
              <w:t>persons</w:t>
            </w:r>
          </w:p>
          <w:p w14:paraId="2C24D101" w14:textId="77777777" w:rsidR="004D04F2" w:rsidRPr="004D04F2" w:rsidRDefault="004D04F2" w:rsidP="004D04F2">
            <w:pPr>
              <w:pStyle w:val="Body"/>
              <w:rPr>
                <w:b/>
                <w:bCs/>
              </w:rPr>
            </w:pPr>
            <w:r w:rsidRPr="004D04F2">
              <w:rPr>
                <w:b/>
                <w:bCs/>
              </w:rPr>
              <w:t>mental</w:t>
            </w:r>
          </w:p>
          <w:p w14:paraId="1B72EE2E" w14:textId="77777777" w:rsidR="004D04F2" w:rsidRPr="004D04F2" w:rsidRDefault="004D04F2" w:rsidP="004D04F2">
            <w:pPr>
              <w:pStyle w:val="Body"/>
              <w:rPr>
                <w:b/>
                <w:bCs/>
              </w:rPr>
            </w:pPr>
            <w:r w:rsidRPr="004D04F2">
              <w:rPr>
                <w:b/>
                <w:bCs/>
              </w:rPr>
              <w:t>health services</w:t>
            </w:r>
          </w:p>
        </w:tc>
        <w:tc>
          <w:tcPr>
            <w:tcW w:w="1852" w:type="dxa"/>
          </w:tcPr>
          <w:p w14:paraId="538F8F48" w14:textId="072CA95A" w:rsidR="004D04F2" w:rsidRPr="004D04F2" w:rsidRDefault="004D04F2" w:rsidP="00D35571">
            <w:pPr>
              <w:pStyle w:val="Body"/>
              <w:rPr>
                <w:b/>
                <w:bCs/>
              </w:rPr>
            </w:pPr>
            <w:r w:rsidRPr="004D04F2">
              <w:rPr>
                <w:b/>
                <w:bCs/>
              </w:rPr>
              <w:t>Health of the Nation Outcome</w:t>
            </w:r>
            <w:r w:rsidR="00D35571">
              <w:rPr>
                <w:b/>
                <w:bCs/>
              </w:rPr>
              <w:t xml:space="preserve"> </w:t>
            </w:r>
            <w:r w:rsidRPr="004D04F2">
              <w:rPr>
                <w:b/>
                <w:bCs/>
              </w:rPr>
              <w:t>Scales for Older People (</w:t>
            </w:r>
            <w:proofErr w:type="spellStart"/>
            <w:r w:rsidRPr="004D04F2">
              <w:rPr>
                <w:b/>
                <w:bCs/>
              </w:rPr>
              <w:t>HoNOS</w:t>
            </w:r>
            <w:proofErr w:type="spellEnd"/>
            <w:r w:rsidRPr="004D04F2">
              <w:rPr>
                <w:b/>
                <w:bCs/>
              </w:rPr>
              <w:t xml:space="preserve"> 65+)</w:t>
            </w:r>
          </w:p>
        </w:tc>
        <w:tc>
          <w:tcPr>
            <w:tcW w:w="3374" w:type="dxa"/>
          </w:tcPr>
          <w:p w14:paraId="45789040" w14:textId="77777777" w:rsidR="004D04F2" w:rsidRPr="004D04F2" w:rsidRDefault="004D04F2" w:rsidP="004D04F2">
            <w:pPr>
              <w:pStyle w:val="Body"/>
            </w:pPr>
            <w:r w:rsidRPr="004D04F2">
              <w:t xml:space="preserve">A modified version of the </w:t>
            </w:r>
            <w:proofErr w:type="spellStart"/>
            <w:r w:rsidRPr="004D04F2">
              <w:t>HoNOS</w:t>
            </w:r>
            <w:proofErr w:type="spellEnd"/>
            <w:r w:rsidRPr="004D04F2">
              <w:t xml:space="preserve"> for people 65+.</w:t>
            </w:r>
          </w:p>
        </w:tc>
        <w:tc>
          <w:tcPr>
            <w:tcW w:w="1867" w:type="dxa"/>
          </w:tcPr>
          <w:p w14:paraId="3D42D1F3" w14:textId="77777777" w:rsidR="004D04F2" w:rsidRPr="004D04F2" w:rsidRDefault="004D04F2" w:rsidP="004D04F2">
            <w:pPr>
              <w:pStyle w:val="Body"/>
            </w:pPr>
            <w:r w:rsidRPr="004D04F2">
              <w:t>Previous 2 weeks</w:t>
            </w:r>
          </w:p>
        </w:tc>
        <w:tc>
          <w:tcPr>
            <w:tcW w:w="1645" w:type="dxa"/>
          </w:tcPr>
          <w:p w14:paraId="477D23EE" w14:textId="77777777" w:rsidR="004D04F2" w:rsidRPr="004D04F2" w:rsidRDefault="004D04F2" w:rsidP="004D04F2">
            <w:pPr>
              <w:pStyle w:val="Body"/>
            </w:pPr>
            <w:r w:rsidRPr="004D04F2">
              <w:t xml:space="preserve">Previous 72 hours on ‘discharge’ from </w:t>
            </w:r>
            <w:r w:rsidRPr="004D04F2">
              <w:rPr>
                <w:b/>
                <w:bCs/>
              </w:rPr>
              <w:t xml:space="preserve">Inpatient </w:t>
            </w:r>
            <w:r w:rsidRPr="004D04F2">
              <w:t>psychiatric care</w:t>
            </w:r>
          </w:p>
        </w:tc>
      </w:tr>
      <w:tr w:rsidR="004D04F2" w:rsidRPr="004D04F2" w14:paraId="1B969467" w14:textId="77777777" w:rsidTr="004D04F2">
        <w:trPr>
          <w:trHeight w:val="337"/>
        </w:trPr>
        <w:tc>
          <w:tcPr>
            <w:tcW w:w="1348" w:type="dxa"/>
            <w:vMerge/>
          </w:tcPr>
          <w:p w14:paraId="4F5C76AC" w14:textId="77777777" w:rsidR="004D04F2" w:rsidRPr="004D04F2" w:rsidRDefault="004D04F2" w:rsidP="004D04F2">
            <w:pPr>
              <w:pStyle w:val="Body"/>
              <w:rPr>
                <w:b/>
                <w:bCs/>
              </w:rPr>
            </w:pPr>
          </w:p>
        </w:tc>
        <w:tc>
          <w:tcPr>
            <w:tcW w:w="1852" w:type="dxa"/>
          </w:tcPr>
          <w:p w14:paraId="29417D80" w14:textId="77777777" w:rsidR="004D04F2" w:rsidRPr="004D04F2" w:rsidRDefault="004D04F2" w:rsidP="004D04F2">
            <w:pPr>
              <w:pStyle w:val="Body"/>
              <w:rPr>
                <w:b/>
                <w:bCs/>
              </w:rPr>
            </w:pPr>
            <w:r w:rsidRPr="004D04F2">
              <w:rPr>
                <w:b/>
                <w:bCs/>
              </w:rPr>
              <w:t>Life Skills Profile (LSP-16)</w:t>
            </w:r>
          </w:p>
        </w:tc>
        <w:tc>
          <w:tcPr>
            <w:tcW w:w="3374" w:type="dxa"/>
          </w:tcPr>
          <w:p w14:paraId="5078693F" w14:textId="77777777" w:rsidR="004D04F2" w:rsidRPr="004D04F2" w:rsidRDefault="004D04F2" w:rsidP="004D04F2">
            <w:pPr>
              <w:pStyle w:val="Body"/>
            </w:pPr>
            <w:r w:rsidRPr="004D04F2">
              <w:t>A clinician-completed rating scale designed to assess abilities with respect to basic life skills over the preceding three months.</w:t>
            </w:r>
          </w:p>
        </w:tc>
        <w:tc>
          <w:tcPr>
            <w:tcW w:w="1867" w:type="dxa"/>
          </w:tcPr>
          <w:p w14:paraId="366A763F" w14:textId="77777777" w:rsidR="004D04F2" w:rsidRPr="004D04F2" w:rsidRDefault="004D04F2" w:rsidP="004D04F2">
            <w:pPr>
              <w:pStyle w:val="Body"/>
            </w:pPr>
            <w:r w:rsidRPr="004D04F2">
              <w:t>Previous 3 months</w:t>
            </w:r>
          </w:p>
        </w:tc>
        <w:tc>
          <w:tcPr>
            <w:tcW w:w="1645" w:type="dxa"/>
          </w:tcPr>
          <w:p w14:paraId="2D4718FE" w14:textId="77777777" w:rsidR="004D04F2" w:rsidRPr="004D04F2" w:rsidRDefault="004D04F2" w:rsidP="004D04F2">
            <w:pPr>
              <w:pStyle w:val="Body"/>
            </w:pPr>
            <w:r w:rsidRPr="004D04F2">
              <w:t>No exceptions</w:t>
            </w:r>
          </w:p>
        </w:tc>
      </w:tr>
      <w:tr w:rsidR="004D04F2" w:rsidRPr="004D04F2" w14:paraId="66087179" w14:textId="77777777" w:rsidTr="004D04F2">
        <w:trPr>
          <w:trHeight w:val="337"/>
        </w:trPr>
        <w:tc>
          <w:tcPr>
            <w:tcW w:w="1348" w:type="dxa"/>
            <w:vMerge/>
          </w:tcPr>
          <w:p w14:paraId="7AC7FBDF" w14:textId="77777777" w:rsidR="004D04F2" w:rsidRPr="004D04F2" w:rsidRDefault="004D04F2" w:rsidP="004D04F2">
            <w:pPr>
              <w:pStyle w:val="Body"/>
              <w:rPr>
                <w:b/>
                <w:bCs/>
              </w:rPr>
            </w:pPr>
          </w:p>
        </w:tc>
        <w:tc>
          <w:tcPr>
            <w:tcW w:w="1852" w:type="dxa"/>
          </w:tcPr>
          <w:p w14:paraId="2D1EB936" w14:textId="3A586ECA" w:rsidR="004D04F2" w:rsidRPr="004D04F2" w:rsidRDefault="004D04F2" w:rsidP="00D35571">
            <w:pPr>
              <w:pStyle w:val="Body"/>
              <w:rPr>
                <w:b/>
                <w:bCs/>
              </w:rPr>
            </w:pPr>
            <w:r w:rsidRPr="004D04F2">
              <w:rPr>
                <w:b/>
                <w:bCs/>
              </w:rPr>
              <w:t>Resource Utilisation</w:t>
            </w:r>
            <w:r w:rsidR="00D35571">
              <w:rPr>
                <w:b/>
                <w:bCs/>
              </w:rPr>
              <w:t xml:space="preserve"> </w:t>
            </w:r>
            <w:r w:rsidRPr="004D04F2">
              <w:rPr>
                <w:b/>
                <w:bCs/>
              </w:rPr>
              <w:t>Groups. Activities of Daily Living (RUG–ADL)</w:t>
            </w:r>
          </w:p>
        </w:tc>
        <w:tc>
          <w:tcPr>
            <w:tcW w:w="3374" w:type="dxa"/>
          </w:tcPr>
          <w:p w14:paraId="0EB41E98" w14:textId="77777777" w:rsidR="004D04F2" w:rsidRPr="004D04F2" w:rsidRDefault="004D04F2" w:rsidP="004D04F2">
            <w:pPr>
              <w:pStyle w:val="Body"/>
            </w:pPr>
            <w:r w:rsidRPr="004D04F2">
              <w:t>An instrument for measuring nursing dependency in skilled nursing facilities.</w:t>
            </w:r>
          </w:p>
          <w:p w14:paraId="2F0655C2" w14:textId="77777777" w:rsidR="004D04F2" w:rsidRPr="004D04F2" w:rsidRDefault="004D04F2" w:rsidP="004D04F2">
            <w:pPr>
              <w:pStyle w:val="Body"/>
            </w:pPr>
            <w:r w:rsidRPr="004D04F2">
              <w:t>Measures the consumer’s need for assistance in activities of daily living (bed mobility, toileting, transfer and eating).</w:t>
            </w:r>
          </w:p>
        </w:tc>
        <w:tc>
          <w:tcPr>
            <w:tcW w:w="1867" w:type="dxa"/>
          </w:tcPr>
          <w:p w14:paraId="2114B138" w14:textId="77777777" w:rsidR="004D04F2" w:rsidRPr="004D04F2" w:rsidRDefault="004D04F2" w:rsidP="004D04F2">
            <w:pPr>
              <w:pStyle w:val="Body"/>
            </w:pPr>
            <w:proofErr w:type="gramStart"/>
            <w:r w:rsidRPr="004D04F2">
              <w:t>Current status</w:t>
            </w:r>
            <w:proofErr w:type="gramEnd"/>
          </w:p>
        </w:tc>
        <w:tc>
          <w:tcPr>
            <w:tcW w:w="1645" w:type="dxa"/>
          </w:tcPr>
          <w:p w14:paraId="31DF7E99" w14:textId="77777777" w:rsidR="004D04F2" w:rsidRPr="004D04F2" w:rsidRDefault="004D04F2" w:rsidP="004D04F2">
            <w:pPr>
              <w:pStyle w:val="Body"/>
            </w:pPr>
            <w:r w:rsidRPr="004D04F2">
              <w:t>No exceptions</w:t>
            </w:r>
          </w:p>
        </w:tc>
      </w:tr>
      <w:tr w:rsidR="004D04F2" w:rsidRPr="004D04F2" w14:paraId="007126F4" w14:textId="77777777" w:rsidTr="004D04F2">
        <w:trPr>
          <w:trHeight w:val="165"/>
        </w:trPr>
        <w:tc>
          <w:tcPr>
            <w:tcW w:w="1348" w:type="dxa"/>
            <w:vMerge/>
          </w:tcPr>
          <w:p w14:paraId="6CF60A24" w14:textId="77777777" w:rsidR="004D04F2" w:rsidRPr="004D04F2" w:rsidRDefault="004D04F2" w:rsidP="004D04F2">
            <w:pPr>
              <w:pStyle w:val="Body"/>
              <w:rPr>
                <w:b/>
                <w:bCs/>
              </w:rPr>
            </w:pPr>
          </w:p>
        </w:tc>
        <w:tc>
          <w:tcPr>
            <w:tcW w:w="1852" w:type="dxa"/>
          </w:tcPr>
          <w:p w14:paraId="54A78314" w14:textId="4E6C4528" w:rsidR="004D04F2" w:rsidRPr="004D04F2" w:rsidRDefault="004D04F2" w:rsidP="00D35571">
            <w:pPr>
              <w:pStyle w:val="Body"/>
              <w:rPr>
                <w:b/>
                <w:bCs/>
              </w:rPr>
            </w:pPr>
            <w:r w:rsidRPr="00D35571">
              <w:rPr>
                <w:b/>
                <w:bCs/>
                <w:color w:val="F79646" w:themeColor="accent6"/>
              </w:rPr>
              <w:t>The Behaviour and Symptom</w:t>
            </w:r>
            <w:r w:rsidR="00D35571" w:rsidRPr="00D35571">
              <w:rPr>
                <w:b/>
                <w:bCs/>
                <w:color w:val="F79646" w:themeColor="accent6"/>
              </w:rPr>
              <w:t xml:space="preserve"> </w:t>
            </w:r>
            <w:r w:rsidRPr="00D35571">
              <w:rPr>
                <w:b/>
                <w:bCs/>
                <w:color w:val="F79646" w:themeColor="accent6"/>
              </w:rPr>
              <w:t>Identification Scale (BASIS-32)</w:t>
            </w:r>
          </w:p>
        </w:tc>
        <w:tc>
          <w:tcPr>
            <w:tcW w:w="3374" w:type="dxa"/>
          </w:tcPr>
          <w:p w14:paraId="395C6B3C" w14:textId="77777777" w:rsidR="004D04F2" w:rsidRPr="004D04F2" w:rsidRDefault="004D04F2" w:rsidP="004D04F2">
            <w:pPr>
              <w:pStyle w:val="Body"/>
            </w:pPr>
            <w:r w:rsidRPr="004D04F2">
              <w:t>Thirty-two questions that assess the extent to which consumers are experiencing difficulties in relation to managing day-to-day life; relating to other people; self-esteem; motivation; clinical symptoms; drug and alcohol use; and level of satisfaction with life.</w:t>
            </w:r>
          </w:p>
        </w:tc>
        <w:tc>
          <w:tcPr>
            <w:tcW w:w="1867" w:type="dxa"/>
          </w:tcPr>
          <w:p w14:paraId="298AB5E3" w14:textId="77777777" w:rsidR="004D04F2" w:rsidRPr="004D04F2" w:rsidRDefault="004D04F2" w:rsidP="004D04F2">
            <w:pPr>
              <w:pStyle w:val="Body"/>
            </w:pPr>
            <w:r w:rsidRPr="004D04F2">
              <w:t>Previous two weeks</w:t>
            </w:r>
          </w:p>
        </w:tc>
        <w:tc>
          <w:tcPr>
            <w:tcW w:w="1645" w:type="dxa"/>
          </w:tcPr>
          <w:p w14:paraId="49709E2E" w14:textId="77777777" w:rsidR="004D04F2" w:rsidRPr="004D04F2" w:rsidRDefault="004D04F2" w:rsidP="004D04F2">
            <w:pPr>
              <w:pStyle w:val="Body"/>
            </w:pPr>
            <w:r w:rsidRPr="004D04F2">
              <w:t>No exceptions</w:t>
            </w:r>
          </w:p>
        </w:tc>
      </w:tr>
      <w:tr w:rsidR="004D04F2" w:rsidRPr="004D04F2" w14:paraId="2AA2B8DF" w14:textId="77777777" w:rsidTr="004D04F2">
        <w:trPr>
          <w:trHeight w:val="235"/>
        </w:trPr>
        <w:tc>
          <w:tcPr>
            <w:tcW w:w="1348" w:type="dxa"/>
            <w:vMerge w:val="restart"/>
          </w:tcPr>
          <w:p w14:paraId="0FF002C2" w14:textId="77777777" w:rsidR="004D04F2" w:rsidRPr="004D04F2" w:rsidRDefault="004D04F2" w:rsidP="004D04F2">
            <w:pPr>
              <w:pStyle w:val="Body"/>
              <w:rPr>
                <w:b/>
                <w:bCs/>
              </w:rPr>
            </w:pPr>
            <w:r w:rsidRPr="004D04F2">
              <w:rPr>
                <w:b/>
                <w:bCs/>
              </w:rPr>
              <w:t>All Age Groups</w:t>
            </w:r>
          </w:p>
        </w:tc>
        <w:tc>
          <w:tcPr>
            <w:tcW w:w="1852" w:type="dxa"/>
          </w:tcPr>
          <w:p w14:paraId="05A69516" w14:textId="77777777" w:rsidR="004D04F2" w:rsidRPr="004D04F2" w:rsidRDefault="004D04F2" w:rsidP="004D04F2">
            <w:pPr>
              <w:pStyle w:val="Body"/>
              <w:rPr>
                <w:b/>
                <w:bCs/>
              </w:rPr>
            </w:pPr>
            <w:r w:rsidRPr="00D35571">
              <w:rPr>
                <w:b/>
                <w:bCs/>
                <w:color w:val="9BBB59" w:themeColor="accent3"/>
              </w:rPr>
              <w:t>Principal and additional diagnoses</w:t>
            </w:r>
          </w:p>
        </w:tc>
        <w:tc>
          <w:tcPr>
            <w:tcW w:w="3374" w:type="dxa"/>
          </w:tcPr>
          <w:p w14:paraId="2DC932CD" w14:textId="61EBD539" w:rsidR="004D04F2" w:rsidRPr="004D04F2" w:rsidRDefault="004D04F2" w:rsidP="00D35571">
            <w:pPr>
              <w:pStyle w:val="Body"/>
            </w:pPr>
            <w:r w:rsidRPr="004D04F2">
              <w:t>The principal diagnosis’ is the diagnosis established after study to be chiefly</w:t>
            </w:r>
            <w:r w:rsidR="00D35571">
              <w:t xml:space="preserve"> </w:t>
            </w:r>
            <w:r w:rsidRPr="004D04F2">
              <w:t xml:space="preserve">responsible for occasioning the patient or client’s care in the period of care preceding the </w:t>
            </w:r>
            <w:r w:rsidRPr="004D04F2">
              <w:rPr>
                <w:i/>
                <w:iCs/>
              </w:rPr>
              <w:t>Collection O</w:t>
            </w:r>
            <w:r w:rsidRPr="004D04F2">
              <w:t xml:space="preserve">ccasion. Additional diagnoses </w:t>
            </w:r>
            <w:r w:rsidRPr="004D04F2">
              <w:lastRenderedPageBreak/>
              <w:t>identify main</w:t>
            </w:r>
            <w:r w:rsidR="00D35571">
              <w:t xml:space="preserve"> </w:t>
            </w:r>
            <w:r w:rsidRPr="004D04F2">
              <w:t>secondary diagnoses that affect the person’s care during the period in terms of requiring therapeutic intervention, clinical evaluation, extended management or increased care or monitoring. Up to two additional diagnoses may be recorded.</w:t>
            </w:r>
          </w:p>
        </w:tc>
        <w:tc>
          <w:tcPr>
            <w:tcW w:w="1867" w:type="dxa"/>
          </w:tcPr>
          <w:p w14:paraId="1AAEB605" w14:textId="77777777" w:rsidR="004D04F2" w:rsidRPr="004D04F2" w:rsidRDefault="004D04F2" w:rsidP="004D04F2">
            <w:pPr>
              <w:pStyle w:val="Body"/>
            </w:pPr>
            <w:r w:rsidRPr="004D04F2">
              <w:lastRenderedPageBreak/>
              <w:t>Previous two weeks</w:t>
            </w:r>
          </w:p>
        </w:tc>
        <w:tc>
          <w:tcPr>
            <w:tcW w:w="1645" w:type="dxa"/>
          </w:tcPr>
          <w:p w14:paraId="3B89A599" w14:textId="77777777" w:rsidR="004D04F2" w:rsidRPr="004D04F2" w:rsidRDefault="004D04F2" w:rsidP="004D04F2">
            <w:pPr>
              <w:pStyle w:val="Body"/>
            </w:pPr>
            <w:r w:rsidRPr="004D04F2">
              <w:t>No exceptions</w:t>
            </w:r>
          </w:p>
        </w:tc>
      </w:tr>
      <w:tr w:rsidR="004D04F2" w:rsidRPr="004D04F2" w14:paraId="4E2A2BAA" w14:textId="77777777" w:rsidTr="004D04F2">
        <w:trPr>
          <w:trHeight w:val="235"/>
        </w:trPr>
        <w:tc>
          <w:tcPr>
            <w:tcW w:w="1348" w:type="dxa"/>
            <w:vMerge/>
          </w:tcPr>
          <w:p w14:paraId="3F9B1821" w14:textId="77777777" w:rsidR="004D04F2" w:rsidRPr="004D04F2" w:rsidRDefault="004D04F2" w:rsidP="004D04F2">
            <w:pPr>
              <w:pStyle w:val="Body"/>
              <w:rPr>
                <w:b/>
                <w:bCs/>
              </w:rPr>
            </w:pPr>
          </w:p>
        </w:tc>
        <w:tc>
          <w:tcPr>
            <w:tcW w:w="1852" w:type="dxa"/>
          </w:tcPr>
          <w:p w14:paraId="3BF99104" w14:textId="77777777" w:rsidR="004D04F2" w:rsidRPr="004D04F2" w:rsidRDefault="004D04F2" w:rsidP="004D04F2">
            <w:pPr>
              <w:pStyle w:val="Body"/>
              <w:rPr>
                <w:b/>
                <w:bCs/>
              </w:rPr>
            </w:pPr>
            <w:r w:rsidRPr="004D04F2">
              <w:rPr>
                <w:b/>
                <w:bCs/>
              </w:rPr>
              <w:t>Phase of Care (POC)</w:t>
            </w:r>
          </w:p>
        </w:tc>
        <w:tc>
          <w:tcPr>
            <w:tcW w:w="3374" w:type="dxa"/>
          </w:tcPr>
          <w:p w14:paraId="703D16EC" w14:textId="77777777" w:rsidR="004D04F2" w:rsidRPr="004D04F2" w:rsidRDefault="004D04F2" w:rsidP="004D04F2">
            <w:pPr>
              <w:pStyle w:val="Body"/>
            </w:pPr>
            <w:r w:rsidRPr="004D04F2">
              <w:t xml:space="preserve">The PoC is defined as the </w:t>
            </w:r>
            <w:r w:rsidRPr="004D04F2">
              <w:rPr>
                <w:u w:val="single"/>
              </w:rPr>
              <w:t>prospective</w:t>
            </w:r>
            <w:r w:rsidRPr="004D04F2">
              <w:t xml:space="preserve"> primary goal of treatment within the episode of care in terms of the recognised phases of mental health care. Whilst it is recognised that there may be aspects of each mental health phase of care represented in the consumer’s mental health plan, the PoC is intended to identify the main goal or aim that will underpin the </w:t>
            </w:r>
            <w:r w:rsidRPr="004D04F2">
              <w:rPr>
                <w:u w:val="single"/>
              </w:rPr>
              <w:t>next period of care</w:t>
            </w:r>
            <w:r w:rsidRPr="004D04F2">
              <w:t>. The mental health phase of care is independent of both the treatment setting and the designation of the treating service and does not reflect service unit type.</w:t>
            </w:r>
          </w:p>
        </w:tc>
        <w:tc>
          <w:tcPr>
            <w:tcW w:w="1867" w:type="dxa"/>
          </w:tcPr>
          <w:p w14:paraId="72A55F15" w14:textId="77777777" w:rsidR="004D04F2" w:rsidRPr="004D04F2" w:rsidRDefault="004D04F2" w:rsidP="004D04F2">
            <w:pPr>
              <w:pStyle w:val="Body"/>
            </w:pPr>
            <w:proofErr w:type="gramStart"/>
            <w:r w:rsidRPr="004D04F2">
              <w:t>Current status</w:t>
            </w:r>
            <w:proofErr w:type="gramEnd"/>
          </w:p>
        </w:tc>
        <w:tc>
          <w:tcPr>
            <w:tcW w:w="1645" w:type="dxa"/>
          </w:tcPr>
          <w:p w14:paraId="4D3D9281" w14:textId="77777777" w:rsidR="004D04F2" w:rsidRPr="004D04F2" w:rsidRDefault="004D04F2" w:rsidP="004D04F2">
            <w:pPr>
              <w:pStyle w:val="Body"/>
            </w:pPr>
            <w:r w:rsidRPr="004D04F2">
              <w:t>No exceptions</w:t>
            </w:r>
          </w:p>
        </w:tc>
      </w:tr>
      <w:tr w:rsidR="004D04F2" w:rsidRPr="004D04F2" w14:paraId="596E36F2" w14:textId="77777777" w:rsidTr="004D04F2">
        <w:trPr>
          <w:trHeight w:val="235"/>
        </w:trPr>
        <w:tc>
          <w:tcPr>
            <w:tcW w:w="1348" w:type="dxa"/>
            <w:vMerge/>
          </w:tcPr>
          <w:p w14:paraId="42D9F991" w14:textId="77777777" w:rsidR="004D04F2" w:rsidRPr="004D04F2" w:rsidRDefault="004D04F2" w:rsidP="004D04F2">
            <w:pPr>
              <w:pStyle w:val="Body"/>
              <w:rPr>
                <w:b/>
                <w:bCs/>
              </w:rPr>
            </w:pPr>
          </w:p>
        </w:tc>
        <w:tc>
          <w:tcPr>
            <w:tcW w:w="1852" w:type="dxa"/>
          </w:tcPr>
          <w:p w14:paraId="3F47FD3A" w14:textId="77777777" w:rsidR="004D04F2" w:rsidRPr="004D04F2" w:rsidRDefault="004D04F2" w:rsidP="004D04F2">
            <w:pPr>
              <w:pStyle w:val="Body"/>
              <w:rPr>
                <w:b/>
                <w:bCs/>
              </w:rPr>
            </w:pPr>
            <w:r w:rsidRPr="004D04F2">
              <w:rPr>
                <w:b/>
                <w:bCs/>
              </w:rPr>
              <w:t>Mental health legal status</w:t>
            </w:r>
          </w:p>
        </w:tc>
        <w:tc>
          <w:tcPr>
            <w:tcW w:w="3374" w:type="dxa"/>
          </w:tcPr>
          <w:p w14:paraId="47CA73D6" w14:textId="77777777" w:rsidR="004D04F2" w:rsidRPr="004D04F2" w:rsidRDefault="004D04F2" w:rsidP="004D04F2">
            <w:pPr>
              <w:pStyle w:val="Body"/>
            </w:pPr>
            <w:r w:rsidRPr="004D04F2">
              <w:t xml:space="preserve">This item is used to indicate where the person was treated on an involuntary basis under the relevant State or Territory mental health legislation, at some point during the period preceding the </w:t>
            </w:r>
            <w:r w:rsidRPr="004D04F2">
              <w:rPr>
                <w:i/>
                <w:iCs/>
              </w:rPr>
              <w:t xml:space="preserve">Collection </w:t>
            </w:r>
            <w:r w:rsidRPr="004D04F2">
              <w:t>Occasion</w:t>
            </w:r>
            <w:r w:rsidRPr="004D04F2">
              <w:rPr>
                <w:i/>
                <w:iCs/>
              </w:rPr>
              <w:t>.</w:t>
            </w:r>
          </w:p>
        </w:tc>
        <w:tc>
          <w:tcPr>
            <w:tcW w:w="1867" w:type="dxa"/>
          </w:tcPr>
          <w:p w14:paraId="3CCAA372" w14:textId="77777777" w:rsidR="004D04F2" w:rsidRPr="004D04F2" w:rsidRDefault="004D04F2" w:rsidP="004D04F2">
            <w:pPr>
              <w:pStyle w:val="Body"/>
            </w:pPr>
            <w:r w:rsidRPr="004D04F2">
              <w:t>Preceding period*</w:t>
            </w:r>
          </w:p>
        </w:tc>
        <w:tc>
          <w:tcPr>
            <w:tcW w:w="1645" w:type="dxa"/>
          </w:tcPr>
          <w:p w14:paraId="44ED29ED" w14:textId="77777777" w:rsidR="004D04F2" w:rsidRPr="004D04F2" w:rsidRDefault="004D04F2" w:rsidP="004D04F2">
            <w:pPr>
              <w:pStyle w:val="Body"/>
            </w:pPr>
            <w:r w:rsidRPr="004D04F2">
              <w:t>No exceptions</w:t>
            </w:r>
          </w:p>
        </w:tc>
      </w:tr>
    </w:tbl>
    <w:p w14:paraId="743ED78C" w14:textId="77777777" w:rsidR="004D04F2" w:rsidRPr="004D04F2" w:rsidRDefault="004D04F2" w:rsidP="004D04F2">
      <w:pPr>
        <w:pStyle w:val="Body"/>
      </w:pPr>
      <w:r w:rsidRPr="004D04F2">
        <w:t>Source: 2003, Victorian Outcome Measurement Training Manual, 2nd edition, page 18-19 (modified version)</w:t>
      </w:r>
    </w:p>
    <w:p w14:paraId="29E01CCF" w14:textId="77777777" w:rsidR="004D04F2" w:rsidRPr="004D04F2" w:rsidRDefault="004D04F2" w:rsidP="004D04F2">
      <w:pPr>
        <w:pStyle w:val="Body"/>
      </w:pPr>
      <w:r w:rsidRPr="004D04F2">
        <w:t xml:space="preserve">*In accordance with the NOCC protocol, the ‘preceding period’ refers to ‘the period of care bound by the current Collection Occasion and the preceding Collection Occasion.’ (NOCC </w:t>
      </w:r>
      <w:r w:rsidRPr="004D04F2">
        <w:rPr>
          <w:i/>
          <w:iCs/>
        </w:rPr>
        <w:t>Technical Specifications</w:t>
      </w:r>
      <w:r w:rsidRPr="004D04F2">
        <w:t>, Version 2.02, page 46).</w:t>
      </w:r>
    </w:p>
    <w:p w14:paraId="15BDE9EC" w14:textId="77777777" w:rsidR="004D04F2" w:rsidRPr="004D04F2" w:rsidRDefault="004D04F2" w:rsidP="004D04F2">
      <w:pPr>
        <w:pStyle w:val="Body"/>
      </w:pPr>
    </w:p>
    <w:p w14:paraId="31C3C978" w14:textId="77777777" w:rsidR="004D04F2" w:rsidRPr="004D04F2" w:rsidRDefault="004D04F2" w:rsidP="004D04F2">
      <w:pPr>
        <w:pStyle w:val="Body"/>
      </w:pPr>
    </w:p>
    <w:p w14:paraId="3F14C60D" w14:textId="77777777" w:rsidR="004D04F2" w:rsidRPr="004D04F2" w:rsidRDefault="004D04F2" w:rsidP="004D04F2">
      <w:pPr>
        <w:pStyle w:val="Body"/>
      </w:pPr>
    </w:p>
    <w:p w14:paraId="1AFEC92D" w14:textId="77777777" w:rsidR="004D04F2" w:rsidRPr="004D04F2" w:rsidRDefault="004D04F2" w:rsidP="004D04F2">
      <w:pPr>
        <w:pStyle w:val="Body"/>
      </w:pPr>
    </w:p>
    <w:p w14:paraId="3B787EC4" w14:textId="77777777" w:rsidR="004D04F2" w:rsidRPr="004D04F2" w:rsidRDefault="004D04F2" w:rsidP="004D04F2">
      <w:pPr>
        <w:pStyle w:val="Body"/>
      </w:pPr>
    </w:p>
    <w:p w14:paraId="18A4009E" w14:textId="77777777" w:rsidR="004D04F2" w:rsidRPr="004D04F2" w:rsidRDefault="004D04F2" w:rsidP="004D04F2">
      <w:pPr>
        <w:pStyle w:val="Body"/>
      </w:pPr>
    </w:p>
    <w:p w14:paraId="33E69E6E" w14:textId="77777777" w:rsidR="004D04F2" w:rsidRPr="004D04F2" w:rsidRDefault="004D04F2" w:rsidP="004D04F2">
      <w:pPr>
        <w:pStyle w:val="Body"/>
      </w:pPr>
    </w:p>
    <w:p w14:paraId="6BE1ADB1" w14:textId="34BE3C5D" w:rsidR="004D04F2" w:rsidRDefault="004D04F2" w:rsidP="00D35571">
      <w:pPr>
        <w:pStyle w:val="Heading1"/>
      </w:pPr>
      <w:bookmarkStart w:id="59" w:name="_Toc58436920"/>
      <w:bookmarkStart w:id="60" w:name="_Toc67645576"/>
      <w:r w:rsidRPr="004D04F2">
        <w:lastRenderedPageBreak/>
        <w:t>Appendix 4</w:t>
      </w:r>
      <w:bookmarkEnd w:id="59"/>
      <w:bookmarkEnd w:id="60"/>
      <w:r w:rsidRPr="004D04F2">
        <w:t xml:space="preserve"> </w:t>
      </w:r>
    </w:p>
    <w:p w14:paraId="0BD23EA6" w14:textId="77777777" w:rsidR="00D35571" w:rsidRDefault="00D35571" w:rsidP="00D35571">
      <w:pPr>
        <w:pStyle w:val="Heading2"/>
      </w:pPr>
      <w:bookmarkStart w:id="61" w:name="_Toc67645577"/>
      <w:r>
        <w:t>Key message</w:t>
      </w:r>
      <w:bookmarkEnd w:id="61"/>
    </w:p>
    <w:p w14:paraId="1BBA1297" w14:textId="77777777" w:rsidR="00D35571" w:rsidRPr="00156D22" w:rsidRDefault="00D35571" w:rsidP="00D35571">
      <w:pPr>
        <w:pStyle w:val="Bullet1"/>
      </w:pPr>
      <w:r w:rsidRPr="00156D22">
        <w:t xml:space="preserve">Victoria is moving to collect and record phase of care as a required data component for Commonwealth funding of mental health services.  The concept of Phase of Care provides information, in addition to outcome measures, that describes the complexity of the consumer’s presentation and the primary goal of care. </w:t>
      </w:r>
    </w:p>
    <w:p w14:paraId="4C67F73F" w14:textId="77777777" w:rsidR="00D35571" w:rsidRPr="00156D22" w:rsidRDefault="00D35571" w:rsidP="00D35571">
      <w:pPr>
        <w:pStyle w:val="Bullet1"/>
      </w:pPr>
      <w:r w:rsidRPr="00156D22">
        <w:t xml:space="preserve">Services must cease collecting and recording Mental Health Focus of Care. </w:t>
      </w:r>
    </w:p>
    <w:p w14:paraId="4B84F98D" w14:textId="77777777" w:rsidR="00D35571" w:rsidRPr="00156D22" w:rsidRDefault="00D35571" w:rsidP="00D35571">
      <w:pPr>
        <w:pStyle w:val="Bullet1"/>
      </w:pPr>
      <w:r>
        <w:t>Services must commence collecting and recording Mental Health Phase of Care (PoC) items-</w:t>
      </w:r>
      <w:r w:rsidRPr="00156D22">
        <w:rPr>
          <w:i/>
          <w:iCs/>
        </w:rPr>
        <w:t>Acute, Functional gain, Intensive extended, Consolidating gain and Assessment only,</w:t>
      </w:r>
      <w:r w:rsidRPr="00156D22">
        <w:t xml:space="preserve"> for ALL age groups across clinical public mental health settings as per the </w:t>
      </w:r>
      <w:bookmarkStart w:id="62" w:name="_Hlk31358603"/>
      <w:r w:rsidRPr="00156D22">
        <w:t xml:space="preserve">Mental Health National Outcomes and </w:t>
      </w:r>
      <w:proofErr w:type="spellStart"/>
      <w:r w:rsidRPr="00156D22">
        <w:t>Casemix</w:t>
      </w:r>
      <w:proofErr w:type="spellEnd"/>
      <w:r w:rsidRPr="00156D22">
        <w:t xml:space="preserve"> Collection Version 2.02</w:t>
      </w:r>
      <w:bookmarkEnd w:id="62"/>
      <w:r w:rsidRPr="00156D22">
        <w:t xml:space="preserve"> (NOCC 2.02). </w:t>
      </w:r>
    </w:p>
    <w:p w14:paraId="4766674C" w14:textId="77777777" w:rsidR="00D35571" w:rsidRDefault="00D35571" w:rsidP="00D35571">
      <w:pPr>
        <w:pStyle w:val="Bullet1"/>
      </w:pPr>
      <w:r>
        <w:t xml:space="preserve">PoC is to be collected and recorded by all clinical mental health programs in conjunction with current outcome measures on admission/registration, at every </w:t>
      </w:r>
      <w:r w:rsidRPr="00825419">
        <w:t>91-day review,</w:t>
      </w:r>
      <w:r>
        <w:t xml:space="preserve"> where there has been a transfer of care between service settings or w</w:t>
      </w:r>
      <w:r w:rsidRPr="00D233B1">
        <w:t xml:space="preserve">hen there is a significant or substantial change to the consumer’s symptoms and/or psychosocial functioning that requires a change to the mental health care plan </w:t>
      </w:r>
      <w:r>
        <w:t xml:space="preserve">(discretionary review). </w:t>
      </w:r>
    </w:p>
    <w:p w14:paraId="3E95969E" w14:textId="77777777" w:rsidR="00D35571" w:rsidRDefault="00D35571" w:rsidP="00D35571">
      <w:pPr>
        <w:pStyle w:val="Bullet1"/>
      </w:pPr>
      <w:r>
        <w:t xml:space="preserve">Any change in a consumer’s PoC </w:t>
      </w:r>
      <w:r w:rsidRPr="00D233B1">
        <w:t xml:space="preserve">should </w:t>
      </w:r>
      <w:r>
        <w:t xml:space="preserve">also </w:t>
      </w:r>
      <w:r w:rsidRPr="00D233B1">
        <w:t>b</w:t>
      </w:r>
      <w:r>
        <w:t xml:space="preserve">e </w:t>
      </w:r>
      <w:r w:rsidRPr="00D233B1">
        <w:t xml:space="preserve">clearly documented in the consumer’s medical record. </w:t>
      </w:r>
    </w:p>
    <w:p w14:paraId="0BBFF43B" w14:textId="77777777" w:rsidR="00D35571" w:rsidRPr="00A54A89" w:rsidRDefault="00D35571" w:rsidP="00D35571">
      <w:pPr>
        <w:pStyle w:val="Bullet1"/>
      </w:pPr>
      <w:bookmarkStart w:id="63" w:name="_Hlk31617855"/>
      <w:r>
        <w:t xml:space="preserve">A PoC can last up to 91 days and must be reviewed at this time.  A consumer can continue in the same </w:t>
      </w:r>
      <w:r w:rsidRPr="00A54A89">
        <w:t xml:space="preserve">PoC </w:t>
      </w:r>
      <w:r w:rsidRPr="00156D22">
        <w:rPr>
          <w:b/>
          <w:bCs/>
        </w:rPr>
        <w:t>(except Assessment Only</w:t>
      </w:r>
      <w:proofErr w:type="gramStart"/>
      <w:r w:rsidRPr="00156D22">
        <w:rPr>
          <w:b/>
          <w:bCs/>
        </w:rPr>
        <w:t>)</w:t>
      </w:r>
      <w:proofErr w:type="gramEnd"/>
      <w:r w:rsidRPr="00A54A89">
        <w:t xml:space="preserve"> but this must be entered into the CMI/ODS. </w:t>
      </w:r>
    </w:p>
    <w:bookmarkEnd w:id="63"/>
    <w:p w14:paraId="5E094430" w14:textId="77777777" w:rsidR="00D35571" w:rsidRPr="00156D22" w:rsidRDefault="00D35571" w:rsidP="00D35571">
      <w:pPr>
        <w:pStyle w:val="Bullet1"/>
      </w:pPr>
      <w:r w:rsidRPr="00156D22">
        <w:rPr>
          <w:i/>
          <w:iCs/>
        </w:rPr>
        <w:t>Assessment Only</w:t>
      </w:r>
      <w:r w:rsidRPr="00156D22">
        <w:t xml:space="preserve"> PoC can be used when a consumer presents seeking assessment or has been referred from another agency.</w:t>
      </w:r>
    </w:p>
    <w:p w14:paraId="2489CD97" w14:textId="77777777" w:rsidR="00D35571" w:rsidRPr="00156D22" w:rsidRDefault="00D35571" w:rsidP="00D35571">
      <w:pPr>
        <w:pStyle w:val="Bullet1"/>
      </w:pPr>
      <w:r w:rsidRPr="00156D22">
        <w:rPr>
          <w:i/>
          <w:iCs/>
        </w:rPr>
        <w:t>Assessment Only</w:t>
      </w:r>
      <w:r w:rsidRPr="00156D22">
        <w:t xml:space="preserve"> PoC can be used if on first contact with a service where a mental health assessment is conducted to determine if any further intervention is needed, and the clinician is unable to determine, based on information available an alternative PoC.</w:t>
      </w:r>
    </w:p>
    <w:p w14:paraId="55A0DFC3" w14:textId="77777777" w:rsidR="00D35571" w:rsidRDefault="00D35571" w:rsidP="00D35571">
      <w:pPr>
        <w:pStyle w:val="Bullet1"/>
      </w:pPr>
      <w:r w:rsidRPr="00156D22">
        <w:rPr>
          <w:i/>
          <w:iCs/>
        </w:rPr>
        <w:t>Assessment Only</w:t>
      </w:r>
      <w:r>
        <w:t xml:space="preserve"> PoC </w:t>
      </w:r>
      <w:r w:rsidRPr="00156D22">
        <w:rPr>
          <w:b/>
          <w:bCs/>
        </w:rPr>
        <w:t>does not require outcome measures to be completed</w:t>
      </w:r>
      <w:r w:rsidRPr="007C05F8">
        <w:t>,</w:t>
      </w:r>
      <w:r>
        <w:t xml:space="preserve"> however all other mental health phases of care require the completion of outcome measures.</w:t>
      </w:r>
    </w:p>
    <w:p w14:paraId="17B527BD" w14:textId="77777777" w:rsidR="00D35571" w:rsidRDefault="00D35571" w:rsidP="00D35571">
      <w:pPr>
        <w:pStyle w:val="Bullet1"/>
      </w:pPr>
      <w:r>
        <w:t xml:space="preserve">When an </w:t>
      </w:r>
      <w:r w:rsidRPr="00156D22">
        <w:rPr>
          <w:i/>
          <w:iCs/>
        </w:rPr>
        <w:t>Assessment Only</w:t>
      </w:r>
      <w:r>
        <w:t xml:space="preserve"> PoC is recorded in a setting, then Assessment Only phase cannot be recorded again within the same episode of care.  </w:t>
      </w:r>
    </w:p>
    <w:p w14:paraId="1BC246B8" w14:textId="77777777" w:rsidR="00D35571" w:rsidRDefault="00D35571" w:rsidP="00D35571">
      <w:pPr>
        <w:pStyle w:val="Bullet1"/>
      </w:pPr>
      <w:r w:rsidRPr="00156D22">
        <w:rPr>
          <w:i/>
          <w:iCs/>
        </w:rPr>
        <w:t>Assessment Only</w:t>
      </w:r>
      <w:r>
        <w:t xml:space="preserve"> PoC </w:t>
      </w:r>
      <w:r w:rsidRPr="008C1407">
        <w:t xml:space="preserve">is not intended to capture regular review as part of a standard clinical workflow routine. </w:t>
      </w:r>
    </w:p>
    <w:p w14:paraId="66E818DD" w14:textId="77777777" w:rsidR="00D35571" w:rsidRDefault="00D35571" w:rsidP="00D35571">
      <w:pPr>
        <w:pStyle w:val="Heading2"/>
      </w:pPr>
      <w:bookmarkStart w:id="64" w:name="_Toc58436886"/>
      <w:bookmarkStart w:id="65" w:name="_Toc67491736"/>
      <w:bookmarkStart w:id="66" w:name="_Toc67645578"/>
      <w:r>
        <w:t>Purpose</w:t>
      </w:r>
      <w:bookmarkEnd w:id="64"/>
      <w:bookmarkEnd w:id="65"/>
      <w:bookmarkEnd w:id="66"/>
    </w:p>
    <w:p w14:paraId="710EC3AE" w14:textId="77777777" w:rsidR="00D35571" w:rsidRDefault="00D35571" w:rsidP="00D35571">
      <w:pPr>
        <w:pStyle w:val="Body"/>
      </w:pPr>
      <w:r w:rsidRPr="00017012">
        <w:t xml:space="preserve">To provide advice </w:t>
      </w:r>
      <w:r>
        <w:t>to the sector to commence recording Phase of Care (prospective measure) and</w:t>
      </w:r>
      <w:r w:rsidRPr="00017012">
        <w:t xml:space="preserve"> </w:t>
      </w:r>
      <w:r>
        <w:t xml:space="preserve">identify the relevant business rules </w:t>
      </w:r>
      <w:r w:rsidRPr="00017012">
        <w:t xml:space="preserve">to </w:t>
      </w:r>
      <w:r>
        <w:t xml:space="preserve">support the collection of Phase of Care </w:t>
      </w:r>
      <w:r w:rsidRPr="00017012">
        <w:t xml:space="preserve">in CMI/ODS </w:t>
      </w:r>
      <w:r>
        <w:t>for persons receiving treatment</w:t>
      </w:r>
      <w:r w:rsidRPr="00017012">
        <w:t xml:space="preserve"> </w:t>
      </w:r>
      <w:r>
        <w:t xml:space="preserve">in </w:t>
      </w:r>
      <w:r w:rsidRPr="00017012">
        <w:t>public mental health services.</w:t>
      </w:r>
      <w:r>
        <w:t xml:space="preserve">  Clinicians will</w:t>
      </w:r>
      <w:r w:rsidRPr="00C86B31">
        <w:t xml:space="preserve"> </w:t>
      </w:r>
      <w:r>
        <w:t>cease recording Mental Health Focus of Care (retrospective measure) as part of this process.  The introduction of Phase of Care will support the shift towards activity-based funding for Victorian mental health services.</w:t>
      </w:r>
    </w:p>
    <w:p w14:paraId="5E75CB8B" w14:textId="77777777" w:rsidR="00D35571" w:rsidRDefault="00D35571" w:rsidP="00D35571">
      <w:pPr>
        <w:pStyle w:val="Body"/>
      </w:pPr>
      <w:r>
        <w:t>Enhanced reporting needs to be underpinned by data that is as consistent as possible in its compilation. This circular has been developed in collaboration with sector representatives and provides guidance to the sector on departmental requirements for Phase of Care and the Commonwealth’s direction to transition to Activity Based Funding (ABF) to link complexity of consumer presentation and primary goal of care with funding.</w:t>
      </w:r>
    </w:p>
    <w:p w14:paraId="0C405105" w14:textId="77777777" w:rsidR="00D35571" w:rsidRDefault="00D35571" w:rsidP="00D35571">
      <w:pPr>
        <w:pStyle w:val="Heading2"/>
      </w:pPr>
      <w:bookmarkStart w:id="67" w:name="_Toc58436887"/>
      <w:bookmarkStart w:id="68" w:name="_Toc67491737"/>
      <w:bookmarkStart w:id="69" w:name="_Toc67645579"/>
      <w:r>
        <w:t>Background</w:t>
      </w:r>
      <w:bookmarkEnd w:id="67"/>
      <w:bookmarkEnd w:id="68"/>
      <w:bookmarkEnd w:id="69"/>
      <w:r>
        <w:tab/>
      </w:r>
    </w:p>
    <w:p w14:paraId="1A70F606" w14:textId="77777777" w:rsidR="00D35571" w:rsidRPr="00AD5CF6" w:rsidRDefault="00D35571" w:rsidP="00D35571">
      <w:pPr>
        <w:pStyle w:val="Body"/>
      </w:pPr>
      <w:r w:rsidRPr="00AD5CF6">
        <w:t>CMI/ODS is the Victorian public mental health client information management system and comprises:</w:t>
      </w:r>
    </w:p>
    <w:p w14:paraId="7A9B0969" w14:textId="77777777" w:rsidR="00D35571" w:rsidRPr="00AD5CF6" w:rsidRDefault="00D35571" w:rsidP="00D35571">
      <w:pPr>
        <w:pStyle w:val="Bullet1"/>
      </w:pPr>
      <w:r w:rsidRPr="00AD5CF6">
        <w:lastRenderedPageBreak/>
        <w:t xml:space="preserve">Client Management Interface (CMI).  The CMI is the local </w:t>
      </w:r>
      <w:r>
        <w:t>consumer</w:t>
      </w:r>
      <w:r w:rsidRPr="00AD5CF6">
        <w:t xml:space="preserve"> information system used by each public mental health service</w:t>
      </w:r>
    </w:p>
    <w:p w14:paraId="28C4FB0E" w14:textId="77777777" w:rsidR="00D35571" w:rsidRPr="00AD5CF6" w:rsidRDefault="00D35571" w:rsidP="00D35571">
      <w:pPr>
        <w:pStyle w:val="Bullet1"/>
      </w:pPr>
      <w:r w:rsidRPr="00AD5CF6">
        <w:t>Operational Data Store (ODS).  The ODS manages a set of select data items from each CMI and is used to:</w:t>
      </w:r>
    </w:p>
    <w:p w14:paraId="27E00FF2" w14:textId="77777777" w:rsidR="00D35571" w:rsidRPr="00AD5CF6" w:rsidRDefault="00D35571" w:rsidP="00D35571">
      <w:pPr>
        <w:pStyle w:val="Bullet2"/>
      </w:pPr>
      <w:r w:rsidRPr="00AD5CF6">
        <w:t>allocate a unique (mental health) registration number for each c</w:t>
      </w:r>
      <w:r>
        <w:t>onsumer</w:t>
      </w:r>
      <w:r w:rsidRPr="00AD5CF6">
        <w:t>, known as the state-wide unit record (UR) number</w:t>
      </w:r>
    </w:p>
    <w:p w14:paraId="59D071CE" w14:textId="77777777" w:rsidR="00D35571" w:rsidRPr="00AD5CF6" w:rsidRDefault="00D35571" w:rsidP="00D35571">
      <w:pPr>
        <w:pStyle w:val="Bullet2"/>
      </w:pPr>
      <w:r w:rsidRPr="00AD5CF6">
        <w:t>share select client-level data between Victorian public area mental health services (AMHS) to support continuity of treatment and care</w:t>
      </w:r>
    </w:p>
    <w:p w14:paraId="2CAAE333" w14:textId="77777777" w:rsidR="00D35571" w:rsidRPr="00AD5CF6" w:rsidRDefault="00D35571" w:rsidP="00D35571">
      <w:pPr>
        <w:pStyle w:val="Bullet2"/>
      </w:pPr>
      <w:r w:rsidRPr="00AD5CF6">
        <w:t>ensure the legal basis for providing treatment is evident to all public mental health service providers where a client may be unable or unwilling to consent to treatment</w:t>
      </w:r>
    </w:p>
    <w:p w14:paraId="32DADC91" w14:textId="77777777" w:rsidR="00D35571" w:rsidRPr="00AD5CF6" w:rsidRDefault="00D35571" w:rsidP="00D35571">
      <w:pPr>
        <w:pStyle w:val="Bullet2"/>
      </w:pPr>
      <w:r w:rsidRPr="00AD5CF6">
        <w:t>meet the various reporting requirements of the Department of Health</w:t>
      </w:r>
      <w:r>
        <w:t xml:space="preserve"> and Human Services</w:t>
      </w:r>
    </w:p>
    <w:p w14:paraId="114C73A1" w14:textId="77777777" w:rsidR="00D35571" w:rsidRPr="00AD5CF6" w:rsidRDefault="00D35571" w:rsidP="00D35571">
      <w:pPr>
        <w:pStyle w:val="Bullet2"/>
      </w:pPr>
      <w:r w:rsidRPr="00AD5CF6">
        <w:t xml:space="preserve">support the statutory functions of the Chief Psychiatrist and the Mental Health </w:t>
      </w:r>
      <w:r>
        <w:t>Tribunal</w:t>
      </w:r>
      <w:r w:rsidRPr="00AD5CF6">
        <w:t>.</w:t>
      </w:r>
    </w:p>
    <w:p w14:paraId="3CFCAFDF" w14:textId="77777777" w:rsidR="00D35571" w:rsidRPr="004B48BD" w:rsidRDefault="00D35571" w:rsidP="00D35571">
      <w:pPr>
        <w:pStyle w:val="Body"/>
      </w:pPr>
      <w:r>
        <w:t xml:space="preserve">Victorian Area Mental Health services have followed the </w:t>
      </w:r>
      <w:r w:rsidRPr="00545142">
        <w:rPr>
          <w:lang w:val="en"/>
        </w:rPr>
        <w:t>Mental Health National Outcomes and Case mix Collection</w:t>
      </w:r>
      <w:r>
        <w:rPr>
          <w:lang w:val="en"/>
        </w:rPr>
        <w:t xml:space="preserve"> (</w:t>
      </w:r>
      <w:r w:rsidRPr="00545142">
        <w:t>NOCC</w:t>
      </w:r>
      <w:r>
        <w:t>)</w:t>
      </w:r>
      <w:r w:rsidRPr="00545142">
        <w:t xml:space="preserve"> 1.9</w:t>
      </w:r>
      <w:r>
        <w:t xml:space="preserve"> using</w:t>
      </w:r>
      <w:r w:rsidRPr="00545142">
        <w:t xml:space="preserve"> Focus of Care</w:t>
      </w:r>
      <w:r>
        <w:t xml:space="preserve"> (FoC).  FoC </w:t>
      </w:r>
      <w:r w:rsidRPr="00545142">
        <w:t>is a data item developed in the Australian Mental Health Classification and Service Costs (MH-CASC) study that requires the clinician to make a judgement about each consumer’s primary goal of care</w:t>
      </w:r>
      <w:r>
        <w:t xml:space="preserve"> over the preceding period (i.e. retrospectively)</w:t>
      </w:r>
      <w:r w:rsidRPr="00545142">
        <w:t>.</w:t>
      </w:r>
      <w:r w:rsidRPr="004B48BD">
        <w:rPr>
          <w:i/>
          <w:sz w:val="18"/>
        </w:rPr>
        <w:t xml:space="preserve"> </w:t>
      </w:r>
    </w:p>
    <w:p w14:paraId="44F3C352" w14:textId="77777777" w:rsidR="00D35571" w:rsidRPr="004B48BD" w:rsidRDefault="00D35571" w:rsidP="00D35571">
      <w:pPr>
        <w:pStyle w:val="Body"/>
      </w:pPr>
      <w:r w:rsidRPr="004B48BD">
        <w:t>The current revision (Version 2.0</w:t>
      </w:r>
      <w:r>
        <w:t>2</w:t>
      </w:r>
      <w:r w:rsidRPr="004B48BD">
        <w:t xml:space="preserve">) has resulted from identification of the need to have closer alignment between the NOCC and the Australian Mental Health Care Classification, which was developed by the Independent Hospital Pricing Authority (IHPA) and is based upon the collection of the </w:t>
      </w:r>
      <w:r>
        <w:t>Mental Health Phase of Care (</w:t>
      </w:r>
      <w:r w:rsidRPr="004B48BD">
        <w:t>PoC</w:t>
      </w:r>
      <w:r>
        <w:t>)</w:t>
      </w:r>
      <w:r w:rsidRPr="004B48BD">
        <w:t xml:space="preserve">. </w:t>
      </w:r>
    </w:p>
    <w:p w14:paraId="5698FB4D" w14:textId="77777777" w:rsidR="00D35571" w:rsidRDefault="00D35571" w:rsidP="00D35571">
      <w:pPr>
        <w:pStyle w:val="Body"/>
      </w:pPr>
      <w:r w:rsidRPr="00311E6E">
        <w:t xml:space="preserve">The </w:t>
      </w:r>
      <w:r>
        <w:t xml:space="preserve">PoC </w:t>
      </w:r>
      <w:r w:rsidRPr="00311E6E">
        <w:t>concept was developed in 2012, through a project commissioned by the IHPA. This project identified possible cost drivers for further examination and considered options for a classification architecture.</w:t>
      </w:r>
      <w:r>
        <w:t xml:space="preserve">  It is an </w:t>
      </w:r>
      <w:r w:rsidRPr="00311E6E">
        <w:t>attempt to bring together two related concepts of the “consumer’s needs” and “goal of care”. Each phase of care involves the provision of resources aimed at meeting individual consumer need. The mental health phase of care is a simple tool designed to qualify a complex concept. Consumers may move between any of the phases of care in any order. Identification of the mental health phase of care is aligned to the contemporary recovery-orientated mental health practice where the goals of care are collaboratively generated and are responsive to the needs of the consumer at the time.</w:t>
      </w:r>
      <w:r>
        <w:rPr>
          <w:rStyle w:val="FootnoteReference"/>
        </w:rPr>
        <w:footnoteReference w:id="1"/>
      </w:r>
      <w:r w:rsidRPr="00311E6E">
        <w:t xml:space="preserve"> </w:t>
      </w:r>
    </w:p>
    <w:p w14:paraId="4892EB4D" w14:textId="77777777" w:rsidR="00D35571" w:rsidRDefault="00D35571" w:rsidP="00D35571">
      <w:pPr>
        <w:pStyle w:val="Heading2"/>
      </w:pPr>
      <w:bookmarkStart w:id="70" w:name="_Toc58436888"/>
      <w:bookmarkStart w:id="71" w:name="_Toc67491738"/>
      <w:bookmarkStart w:id="72" w:name="_Toc67645580"/>
      <w:r>
        <w:t>Recording Phase of Care</w:t>
      </w:r>
      <w:bookmarkEnd w:id="70"/>
      <w:bookmarkEnd w:id="71"/>
      <w:bookmarkEnd w:id="72"/>
      <w:r>
        <w:t xml:space="preserve"> </w:t>
      </w:r>
    </w:p>
    <w:p w14:paraId="4759BA92" w14:textId="77777777" w:rsidR="00D35571" w:rsidRPr="00311E6E" w:rsidRDefault="00D35571" w:rsidP="00D35571">
      <w:pPr>
        <w:pStyle w:val="Body"/>
      </w:pPr>
      <w:r w:rsidRPr="00311E6E">
        <w:t xml:space="preserve">The </w:t>
      </w:r>
      <w:r>
        <w:t>PoC</w:t>
      </w:r>
      <w:r w:rsidRPr="00311E6E">
        <w:t xml:space="preserve"> is defined as the </w:t>
      </w:r>
      <w:r w:rsidRPr="00690B47">
        <w:rPr>
          <w:u w:val="single"/>
        </w:rPr>
        <w:t>prospective</w:t>
      </w:r>
      <w:r w:rsidRPr="00311E6E">
        <w:t xml:space="preserve"> primary goal of treatment within the episode of care in terms of the recognised phases of mental health care. Whilst it is recognised that there may be aspects of each mental health phase of care represented in the consumer’s mental health plan, the </w:t>
      </w:r>
      <w:r>
        <w:t>PoC</w:t>
      </w:r>
      <w:r w:rsidRPr="00311E6E">
        <w:t xml:space="preserve"> is intended to identify the main goal or aim that will underpin the </w:t>
      </w:r>
      <w:r w:rsidRPr="00690B47">
        <w:rPr>
          <w:u w:val="single"/>
        </w:rPr>
        <w:t>next period of care</w:t>
      </w:r>
      <w:r w:rsidRPr="00311E6E">
        <w:t>. The mental health phase of care is independent of both the treatment setting and the designation of the treating service</w:t>
      </w:r>
      <w:r>
        <w:t xml:space="preserve"> </w:t>
      </w:r>
      <w:r w:rsidRPr="00311E6E">
        <w:t>and does not reflect service unit type</w:t>
      </w:r>
      <w:r>
        <w:t>.</w:t>
      </w:r>
    </w:p>
    <w:p w14:paraId="58574576" w14:textId="77777777" w:rsidR="00D35571" w:rsidRPr="007D1479" w:rsidRDefault="00D35571" w:rsidP="00D35571">
      <w:pPr>
        <w:pStyle w:val="Body"/>
      </w:pPr>
      <w:r>
        <w:t xml:space="preserve">PoC is to be collected and recorded by all clinical mental health teams in conjunction with the associated age required outcome measures </w:t>
      </w:r>
      <w:r w:rsidRPr="00AC7825">
        <w:rPr>
          <w:b/>
          <w:bCs/>
        </w:rPr>
        <w:t>(not required for “Assessment only”)</w:t>
      </w:r>
      <w:r>
        <w:t xml:space="preserve"> </w:t>
      </w:r>
      <w:r w:rsidRPr="007D1479">
        <w:t>on admission/registration, at every 91-day review, where there has been a transfer of care between service settings or w</w:t>
      </w:r>
      <w:r w:rsidRPr="00D233B1">
        <w:t xml:space="preserve">hen there is a significant or substantial change to the consumer’s symptoms and/or psychosocial functioning that requires a change to the mental health care plan </w:t>
      </w:r>
      <w:r w:rsidRPr="007D1479">
        <w:t xml:space="preserve">(discretionary review). </w:t>
      </w:r>
    </w:p>
    <w:p w14:paraId="27109237" w14:textId="77777777" w:rsidR="00D35571" w:rsidRDefault="00D35571" w:rsidP="00D35571">
      <w:pPr>
        <w:pStyle w:val="Body"/>
      </w:pPr>
      <w:r>
        <w:t xml:space="preserve">Please refer </w:t>
      </w:r>
      <w:r w:rsidRPr="0026539C">
        <w:rPr>
          <w:i/>
        </w:rPr>
        <w:t>to Guiding principles for use in practice for details</w:t>
      </w:r>
      <w:r>
        <w:t>.</w:t>
      </w:r>
    </w:p>
    <w:p w14:paraId="66E17FEB" w14:textId="77777777" w:rsidR="00D35571" w:rsidRPr="00156D22" w:rsidRDefault="00D35571" w:rsidP="00D35571">
      <w:pPr>
        <w:pStyle w:val="Heading3"/>
      </w:pPr>
      <w:bookmarkStart w:id="73" w:name="_Toc58436889"/>
      <w:bookmarkStart w:id="74" w:name="_Toc67491739"/>
      <w:r w:rsidRPr="00156D22">
        <w:lastRenderedPageBreak/>
        <w:t>Domains</w:t>
      </w:r>
      <w:bookmarkEnd w:id="73"/>
      <w:bookmarkEnd w:id="74"/>
    </w:p>
    <w:p w14:paraId="73F54FDB" w14:textId="77777777" w:rsidR="00D35571" w:rsidRDefault="00D35571" w:rsidP="00D35571">
      <w:pPr>
        <w:pStyle w:val="Body"/>
      </w:pPr>
      <w:r>
        <w:t>Moving forward, all clinicians in bed based, community residential and ambulatory will commence recording PoC.</w:t>
      </w:r>
    </w:p>
    <w:tbl>
      <w:tblPr>
        <w:tblStyle w:val="TableGrid"/>
        <w:tblW w:w="10207" w:type="dxa"/>
        <w:tblLook w:val="06A0" w:firstRow="1" w:lastRow="0" w:firstColumn="1" w:lastColumn="0" w:noHBand="1" w:noVBand="1"/>
      </w:tblPr>
      <w:tblGrid>
        <w:gridCol w:w="5103"/>
        <w:gridCol w:w="5104"/>
      </w:tblGrid>
      <w:tr w:rsidR="00D35571" w14:paraId="7C45EB58" w14:textId="77777777" w:rsidTr="00D86CD2">
        <w:trPr>
          <w:tblHeader/>
        </w:trPr>
        <w:tc>
          <w:tcPr>
            <w:tcW w:w="5103" w:type="dxa"/>
          </w:tcPr>
          <w:p w14:paraId="25057D92" w14:textId="77777777" w:rsidR="00D35571" w:rsidRPr="00CB3285" w:rsidRDefault="00D35571" w:rsidP="00D86CD2">
            <w:pPr>
              <w:pStyle w:val="Tablecolhead"/>
            </w:pPr>
            <w:r w:rsidRPr="00156D22">
              <w:t>FoC</w:t>
            </w:r>
            <w:proofErr w:type="gramStart"/>
            <w:r w:rsidRPr="00156D22">
              <w:t xml:space="preserve">   (Cease)   </w:t>
            </w:r>
            <w:proofErr w:type="gramEnd"/>
            <w:r w:rsidRPr="00156D22">
              <w:t xml:space="preserve">                                                               </w:t>
            </w:r>
          </w:p>
        </w:tc>
        <w:tc>
          <w:tcPr>
            <w:tcW w:w="5104" w:type="dxa"/>
          </w:tcPr>
          <w:p w14:paraId="5EAF0B00" w14:textId="77777777" w:rsidR="00D35571" w:rsidRDefault="00D35571" w:rsidP="00D86CD2">
            <w:pPr>
              <w:pStyle w:val="Tablecolhead"/>
            </w:pPr>
            <w:proofErr w:type="gramStart"/>
            <w:r w:rsidRPr="00156D22">
              <w:t>PoC  (</w:t>
            </w:r>
            <w:proofErr w:type="gramEnd"/>
            <w:r w:rsidRPr="00156D22">
              <w:t>Commence)</w:t>
            </w:r>
          </w:p>
        </w:tc>
      </w:tr>
      <w:tr w:rsidR="00D35571" w14:paraId="7DAD167B" w14:textId="77777777" w:rsidTr="00D86CD2">
        <w:tc>
          <w:tcPr>
            <w:tcW w:w="5103" w:type="dxa"/>
          </w:tcPr>
          <w:p w14:paraId="216281D6" w14:textId="77777777" w:rsidR="00D35571" w:rsidRPr="00156D22" w:rsidRDefault="00D35571" w:rsidP="00D86CD2">
            <w:pPr>
              <w:pStyle w:val="Tabletext"/>
            </w:pPr>
            <w:r w:rsidRPr="00156D22">
              <w:t>1 – Acute</w:t>
            </w:r>
          </w:p>
          <w:p w14:paraId="5B1BB3C0" w14:textId="77777777" w:rsidR="00D35571" w:rsidRPr="00156D22" w:rsidRDefault="00D35571" w:rsidP="00D86CD2">
            <w:pPr>
              <w:pStyle w:val="Tabletext"/>
            </w:pPr>
            <w:r w:rsidRPr="00156D22">
              <w:t>2 – Functional gain</w:t>
            </w:r>
          </w:p>
          <w:p w14:paraId="50CBB1C1" w14:textId="77777777" w:rsidR="00D35571" w:rsidRPr="00156D22" w:rsidRDefault="00D35571" w:rsidP="00D86CD2">
            <w:pPr>
              <w:pStyle w:val="Tabletext"/>
            </w:pPr>
            <w:r w:rsidRPr="00156D22">
              <w:t>3 – Intensive extended</w:t>
            </w:r>
          </w:p>
          <w:p w14:paraId="316F0D42" w14:textId="77777777" w:rsidR="00D35571" w:rsidRDefault="00D35571" w:rsidP="00D86CD2">
            <w:pPr>
              <w:pStyle w:val="Tabletext"/>
            </w:pPr>
            <w:r w:rsidRPr="00156D22">
              <w:t>4 - Maintenance</w:t>
            </w:r>
          </w:p>
        </w:tc>
        <w:tc>
          <w:tcPr>
            <w:tcW w:w="5104" w:type="dxa"/>
          </w:tcPr>
          <w:p w14:paraId="0C5C7625" w14:textId="77777777" w:rsidR="00D35571" w:rsidRPr="00156D22" w:rsidRDefault="00D35571" w:rsidP="00D86CD2">
            <w:pPr>
              <w:pStyle w:val="Tabletext"/>
            </w:pPr>
            <w:r w:rsidRPr="00156D22">
              <w:t xml:space="preserve">1 – Acute </w:t>
            </w:r>
          </w:p>
          <w:p w14:paraId="522D22C3" w14:textId="77777777" w:rsidR="00D35571" w:rsidRPr="00156D22" w:rsidRDefault="00D35571" w:rsidP="00D86CD2">
            <w:pPr>
              <w:pStyle w:val="Tabletext"/>
            </w:pPr>
            <w:r w:rsidRPr="00156D22">
              <w:t>2 – Functional gain</w:t>
            </w:r>
          </w:p>
          <w:p w14:paraId="289B6AF5" w14:textId="77777777" w:rsidR="00D35571" w:rsidRPr="00156D22" w:rsidRDefault="00D35571" w:rsidP="00D86CD2">
            <w:pPr>
              <w:pStyle w:val="Tabletext"/>
            </w:pPr>
            <w:r w:rsidRPr="00156D22">
              <w:t>3 – Intensive extended</w:t>
            </w:r>
          </w:p>
          <w:p w14:paraId="6D6303DB" w14:textId="77777777" w:rsidR="00D35571" w:rsidRPr="00156D22" w:rsidRDefault="00D35571" w:rsidP="00D86CD2">
            <w:pPr>
              <w:pStyle w:val="Tabletext"/>
            </w:pPr>
            <w:r w:rsidRPr="00156D22">
              <w:t>4 – Consolidating gain</w:t>
            </w:r>
          </w:p>
          <w:p w14:paraId="0A97D402" w14:textId="77777777" w:rsidR="00D35571" w:rsidRDefault="00D35571" w:rsidP="00D86CD2">
            <w:pPr>
              <w:pStyle w:val="Tabletext"/>
            </w:pPr>
            <w:r w:rsidRPr="00156D22">
              <w:t>5 – Assessment only</w:t>
            </w:r>
          </w:p>
        </w:tc>
      </w:tr>
    </w:tbl>
    <w:p w14:paraId="74447101" w14:textId="77777777" w:rsidR="00D35571" w:rsidRDefault="00D35571" w:rsidP="00D35571">
      <w:pPr>
        <w:pStyle w:val="Heading3"/>
      </w:pPr>
      <w:bookmarkStart w:id="75" w:name="_Toc67491740"/>
      <w:r>
        <w:t>Definitions</w:t>
      </w:r>
      <w:bookmarkEnd w:id="75"/>
    </w:p>
    <w:tbl>
      <w:tblPr>
        <w:tblStyle w:val="TableGrid"/>
        <w:tblW w:w="10207" w:type="dxa"/>
        <w:tblLook w:val="06A0" w:firstRow="1" w:lastRow="0" w:firstColumn="1" w:lastColumn="0" w:noHBand="1" w:noVBand="1"/>
      </w:tblPr>
      <w:tblGrid>
        <w:gridCol w:w="5103"/>
        <w:gridCol w:w="5104"/>
      </w:tblGrid>
      <w:tr w:rsidR="00D35571" w14:paraId="05A2A2D8" w14:textId="77777777" w:rsidTr="00D86CD2">
        <w:trPr>
          <w:tblHeader/>
        </w:trPr>
        <w:tc>
          <w:tcPr>
            <w:tcW w:w="5103" w:type="dxa"/>
          </w:tcPr>
          <w:p w14:paraId="00B02B2E" w14:textId="77777777" w:rsidR="00D35571" w:rsidRPr="00CB3285" w:rsidRDefault="00D35571" w:rsidP="00D86CD2">
            <w:pPr>
              <w:pStyle w:val="Tablecolhead"/>
            </w:pPr>
            <w:proofErr w:type="gramStart"/>
            <w:r w:rsidRPr="008C01A6">
              <w:t>FoC  Permissible</w:t>
            </w:r>
            <w:proofErr w:type="gramEnd"/>
            <w:r w:rsidRPr="008C01A6">
              <w:t xml:space="preserve"> value definitions (</w:t>
            </w:r>
            <w:proofErr w:type="gramStart"/>
            <w:r w:rsidRPr="008C01A6">
              <w:t xml:space="preserve">Cease)   </w:t>
            </w:r>
            <w:proofErr w:type="gramEnd"/>
            <w:r w:rsidRPr="008C01A6">
              <w:t xml:space="preserve"> </w:t>
            </w:r>
          </w:p>
        </w:tc>
        <w:tc>
          <w:tcPr>
            <w:tcW w:w="5104" w:type="dxa"/>
          </w:tcPr>
          <w:p w14:paraId="017521E9" w14:textId="77777777" w:rsidR="00D35571" w:rsidRDefault="00D35571" w:rsidP="00D86CD2">
            <w:pPr>
              <w:pStyle w:val="Tablecolhead"/>
            </w:pPr>
            <w:r w:rsidRPr="008C01A6">
              <w:t>PoC Permissible value definitions (Commence)</w:t>
            </w:r>
          </w:p>
        </w:tc>
      </w:tr>
      <w:tr w:rsidR="00D35571" w14:paraId="399221FC" w14:textId="77777777" w:rsidTr="00D86CD2">
        <w:tc>
          <w:tcPr>
            <w:tcW w:w="5103" w:type="dxa"/>
          </w:tcPr>
          <w:p w14:paraId="4B4DE41D" w14:textId="77777777" w:rsidR="00D35571" w:rsidRPr="00156D22" w:rsidRDefault="00D35571" w:rsidP="00D86CD2">
            <w:pPr>
              <w:pStyle w:val="Tabletext"/>
            </w:pPr>
            <w:r w:rsidRPr="00156D22">
              <w:rPr>
                <w:b/>
                <w:bCs/>
              </w:rPr>
              <w:t>Acute</w:t>
            </w:r>
            <w:r w:rsidRPr="00156D22">
              <w:t xml:space="preserve"> The primary goal is the short-term reduction in severity of symptoms and/or personal distress associated with the recent onset or exacerbation of a psychiatric disorder</w:t>
            </w:r>
          </w:p>
        </w:tc>
        <w:tc>
          <w:tcPr>
            <w:tcW w:w="5104" w:type="dxa"/>
          </w:tcPr>
          <w:p w14:paraId="0634FB1C" w14:textId="77777777" w:rsidR="00D35571" w:rsidRPr="00156D22" w:rsidRDefault="00D35571" w:rsidP="00D86CD2">
            <w:pPr>
              <w:pStyle w:val="Tabletext"/>
            </w:pPr>
            <w:r w:rsidRPr="00156D22">
              <w:rPr>
                <w:b/>
                <w:bCs/>
              </w:rPr>
              <w:t>Acute</w:t>
            </w:r>
            <w:r w:rsidRPr="00156D22">
              <w:t xml:space="preserve"> The primary goal of care is the short-term reduction in severity of symptoms and/or personal distress associated with the recent onset or exacerbation of a psychiatric disorder.</w:t>
            </w:r>
          </w:p>
        </w:tc>
      </w:tr>
      <w:tr w:rsidR="00D35571" w14:paraId="2E0B16F0" w14:textId="77777777" w:rsidTr="00D86CD2">
        <w:tc>
          <w:tcPr>
            <w:tcW w:w="5103" w:type="dxa"/>
          </w:tcPr>
          <w:p w14:paraId="362E9EF5" w14:textId="77777777" w:rsidR="00D35571" w:rsidRPr="00156D22" w:rsidRDefault="00D35571" w:rsidP="00D86CD2">
            <w:pPr>
              <w:pStyle w:val="Tabletext"/>
            </w:pPr>
            <w:r w:rsidRPr="00156D22">
              <w:rPr>
                <w:b/>
                <w:bCs/>
              </w:rPr>
              <w:t>Functional gain</w:t>
            </w:r>
            <w:r w:rsidRPr="00156D22">
              <w:t xml:space="preserve"> </w:t>
            </w:r>
            <w:proofErr w:type="gramStart"/>
            <w:r w:rsidRPr="00156D22">
              <w:t>The</w:t>
            </w:r>
            <w:proofErr w:type="gramEnd"/>
            <w:r w:rsidRPr="00156D22">
              <w:t xml:space="preserve"> primary goal is to improve personal, social or occupational functioning or promote psychosocial adaptation in a patient with impairment arising from a psychiatric disorder.</w:t>
            </w:r>
          </w:p>
        </w:tc>
        <w:tc>
          <w:tcPr>
            <w:tcW w:w="5104" w:type="dxa"/>
          </w:tcPr>
          <w:p w14:paraId="3594F1C0" w14:textId="77777777" w:rsidR="00D35571" w:rsidRPr="00156D22" w:rsidRDefault="00D35571" w:rsidP="00D86CD2">
            <w:pPr>
              <w:pStyle w:val="Tabletext"/>
            </w:pPr>
            <w:r w:rsidRPr="00156D22">
              <w:rPr>
                <w:b/>
                <w:bCs/>
              </w:rPr>
              <w:t>Functional gain</w:t>
            </w:r>
            <w:r w:rsidRPr="00156D22">
              <w:t xml:space="preserve"> </w:t>
            </w:r>
            <w:proofErr w:type="gramStart"/>
            <w:r w:rsidRPr="00156D22">
              <w:t>The</w:t>
            </w:r>
            <w:proofErr w:type="gramEnd"/>
            <w:r w:rsidRPr="00156D22">
              <w:t xml:space="preserve"> primary goal of care is to improve personal, social or occupational functioning or promote psychosocial adaptation in a patient with impairment arising from a psychiatric disorder.</w:t>
            </w:r>
          </w:p>
        </w:tc>
      </w:tr>
      <w:tr w:rsidR="00D35571" w14:paraId="128987F4" w14:textId="77777777" w:rsidTr="00D86CD2">
        <w:tc>
          <w:tcPr>
            <w:tcW w:w="5103" w:type="dxa"/>
          </w:tcPr>
          <w:p w14:paraId="7A7BB3E6" w14:textId="77777777" w:rsidR="00D35571" w:rsidRPr="00156D22" w:rsidRDefault="00D35571" w:rsidP="00D86CD2">
            <w:pPr>
              <w:pStyle w:val="Tabletext"/>
            </w:pPr>
            <w:r w:rsidRPr="00156D22">
              <w:rPr>
                <w:b/>
                <w:bCs/>
              </w:rPr>
              <w:t>Intensive extended</w:t>
            </w:r>
            <w:r w:rsidRPr="00156D22">
              <w:t xml:space="preserve"> </w:t>
            </w:r>
            <w:proofErr w:type="gramStart"/>
            <w:r w:rsidRPr="00156D22">
              <w:t>The</w:t>
            </w:r>
            <w:proofErr w:type="gramEnd"/>
            <w:r w:rsidRPr="00156D22">
              <w:t xml:space="preserve"> primary goal is prevention or minimisation of further deterioration, and reduction of risk of harm in a patient who has a stable pattern of severe symptoms, frequent relapses or severe inability to function independently and is judged to require care over an indefinite period</w:t>
            </w:r>
          </w:p>
        </w:tc>
        <w:tc>
          <w:tcPr>
            <w:tcW w:w="5104" w:type="dxa"/>
          </w:tcPr>
          <w:p w14:paraId="76B18007" w14:textId="77777777" w:rsidR="00D35571" w:rsidRPr="00156D22" w:rsidRDefault="00D35571" w:rsidP="00D86CD2">
            <w:pPr>
              <w:pStyle w:val="Tabletext"/>
            </w:pPr>
            <w:r w:rsidRPr="00156D22">
              <w:rPr>
                <w:b/>
                <w:bCs/>
              </w:rPr>
              <w:t>Intensive extended</w:t>
            </w:r>
            <w:r w:rsidRPr="00156D22">
              <w:t xml:space="preserve"> </w:t>
            </w:r>
            <w:proofErr w:type="gramStart"/>
            <w:r w:rsidRPr="00156D22">
              <w:t>The</w:t>
            </w:r>
            <w:proofErr w:type="gramEnd"/>
            <w:r w:rsidRPr="00156D22">
              <w:t xml:space="preserve"> primary goal of care is prevention or minimisation of further deterioration, and reduction of risk of harm in a patient who has a stable pattern of severe symptoms, frequent relapses or severe inability to function independently and is judged to require care over an indefinite period.</w:t>
            </w:r>
          </w:p>
        </w:tc>
      </w:tr>
      <w:tr w:rsidR="00D35571" w14:paraId="3971903F" w14:textId="77777777" w:rsidTr="00D86CD2">
        <w:tc>
          <w:tcPr>
            <w:tcW w:w="5103" w:type="dxa"/>
          </w:tcPr>
          <w:p w14:paraId="41315569" w14:textId="77777777" w:rsidR="00D35571" w:rsidRPr="00156D22" w:rsidRDefault="00D35571" w:rsidP="00D86CD2">
            <w:pPr>
              <w:pStyle w:val="Tabletext"/>
            </w:pPr>
            <w:r w:rsidRPr="00156D22">
              <w:rPr>
                <w:b/>
                <w:bCs/>
              </w:rPr>
              <w:t>Maintenance</w:t>
            </w:r>
            <w:r w:rsidRPr="00156D22">
              <w:t xml:space="preserve"> The primary goal is to maintain the level of functioning, minimise deterioration or prevent relapse where the patient has stabilised and functions relatively independently.</w:t>
            </w:r>
          </w:p>
        </w:tc>
        <w:tc>
          <w:tcPr>
            <w:tcW w:w="5104" w:type="dxa"/>
          </w:tcPr>
          <w:p w14:paraId="1CA678B6" w14:textId="77777777" w:rsidR="00D35571" w:rsidRPr="00156D22" w:rsidRDefault="00D35571" w:rsidP="00D86CD2">
            <w:pPr>
              <w:pStyle w:val="Tabletext"/>
            </w:pPr>
            <w:r w:rsidRPr="00156D22">
              <w:rPr>
                <w:b/>
                <w:bCs/>
              </w:rPr>
              <w:t xml:space="preserve">Consolidating </w:t>
            </w:r>
            <w:proofErr w:type="gramStart"/>
            <w:r w:rsidRPr="00156D22">
              <w:rPr>
                <w:b/>
                <w:bCs/>
              </w:rPr>
              <w:t>gain</w:t>
            </w:r>
            <w:proofErr w:type="gramEnd"/>
            <w:r w:rsidRPr="00156D22">
              <w:t xml:space="preserve"> </w:t>
            </w:r>
            <w:proofErr w:type="gramStart"/>
            <w:r w:rsidRPr="00156D22">
              <w:t>The</w:t>
            </w:r>
            <w:proofErr w:type="gramEnd"/>
            <w:r w:rsidRPr="00156D22">
              <w:t xml:space="preserve"> primary goal of care is to maintain the level of functioning, or improving functioning during a period of recovery, minimise deterioration or prevent relapse where the patient has stabilised and functions relatively independently. Consolidating gain may also be known as maintenance.</w:t>
            </w:r>
          </w:p>
        </w:tc>
      </w:tr>
      <w:tr w:rsidR="00D35571" w14:paraId="140E2FEC" w14:textId="77777777" w:rsidTr="00D86CD2">
        <w:tc>
          <w:tcPr>
            <w:tcW w:w="5103" w:type="dxa"/>
          </w:tcPr>
          <w:p w14:paraId="54B78838" w14:textId="77777777" w:rsidR="00D35571" w:rsidRPr="00156D22" w:rsidRDefault="00D35571" w:rsidP="00D86CD2">
            <w:pPr>
              <w:pStyle w:val="Tabletext"/>
            </w:pPr>
          </w:p>
        </w:tc>
        <w:tc>
          <w:tcPr>
            <w:tcW w:w="5104" w:type="dxa"/>
          </w:tcPr>
          <w:p w14:paraId="1FF1A330" w14:textId="77777777" w:rsidR="00D35571" w:rsidRPr="00156D22" w:rsidRDefault="00D35571" w:rsidP="00D86CD2">
            <w:pPr>
              <w:pStyle w:val="Tabletext"/>
            </w:pPr>
            <w:r w:rsidRPr="00156D22">
              <w:rPr>
                <w:b/>
                <w:bCs/>
              </w:rPr>
              <w:t>Assessment only</w:t>
            </w:r>
            <w:r w:rsidRPr="00156D22">
              <w:t xml:space="preserve"> </w:t>
            </w:r>
            <w:proofErr w:type="gramStart"/>
            <w:r w:rsidRPr="00156D22">
              <w:t>The</w:t>
            </w:r>
            <w:proofErr w:type="gramEnd"/>
            <w:r w:rsidRPr="00156D22">
              <w:t xml:space="preserve"> primary goal of care is to obtain information, including collateral information where possible, </w:t>
            </w:r>
            <w:proofErr w:type="gramStart"/>
            <w:r w:rsidRPr="00156D22">
              <w:t>in order to</w:t>
            </w:r>
            <w:proofErr w:type="gramEnd"/>
            <w:r w:rsidRPr="00156D22">
              <w:t xml:space="preserve"> determine the intervention/treatment needs and to arrange for this to occur (includes brief history, risk assessment, referral to treating team or other service).</w:t>
            </w:r>
          </w:p>
        </w:tc>
      </w:tr>
    </w:tbl>
    <w:p w14:paraId="688AAA68" w14:textId="77777777" w:rsidR="00D35571" w:rsidRDefault="00D35571" w:rsidP="00D35571">
      <w:pPr>
        <w:pStyle w:val="Heading2"/>
      </w:pPr>
      <w:bookmarkStart w:id="76" w:name="_Toc58436890"/>
      <w:bookmarkStart w:id="77" w:name="_Toc67491741"/>
      <w:bookmarkStart w:id="78" w:name="_Toc67645581"/>
      <w:r>
        <w:lastRenderedPageBreak/>
        <w:t>Guiding principles for use in practice</w:t>
      </w:r>
      <w:r>
        <w:rPr>
          <w:rStyle w:val="FootnoteReference"/>
        </w:rPr>
        <w:footnoteReference w:id="2"/>
      </w:r>
      <w:bookmarkEnd w:id="76"/>
      <w:bookmarkEnd w:id="77"/>
      <w:bookmarkEnd w:id="78"/>
    </w:p>
    <w:p w14:paraId="2AB83D50" w14:textId="77777777" w:rsidR="00D35571" w:rsidRDefault="00D35571" w:rsidP="00D35571">
      <w:pPr>
        <w:pStyle w:val="Numberdigit"/>
        <w:numPr>
          <w:ilvl w:val="0"/>
          <w:numId w:val="11"/>
        </w:numPr>
      </w:pPr>
      <w:r>
        <w:t xml:space="preserve">The rating of the mental health Phase of Care should be undertaken by the clinician with the best understanding of the consumer’s presentation and need for intervention. This would typically be the case manager or primary/key clinician. </w:t>
      </w:r>
    </w:p>
    <w:p w14:paraId="7914DE41" w14:textId="77777777" w:rsidR="00D35571" w:rsidRDefault="00D35571" w:rsidP="00D35571">
      <w:pPr>
        <w:pStyle w:val="Numberdigit"/>
        <w:numPr>
          <w:ilvl w:val="0"/>
          <w:numId w:val="11"/>
        </w:numPr>
      </w:pPr>
      <w:r>
        <w:t>The mental health Phase of Care should be assessed on:</w:t>
      </w:r>
    </w:p>
    <w:p w14:paraId="309F6CA9" w14:textId="77777777" w:rsidR="00D35571" w:rsidRDefault="00D35571" w:rsidP="00D35571">
      <w:pPr>
        <w:pStyle w:val="Numberloweralphaindent"/>
      </w:pPr>
      <w:r>
        <w:t xml:space="preserve">admission/registration to a service </w:t>
      </w:r>
    </w:p>
    <w:p w14:paraId="6F184B69" w14:textId="77777777" w:rsidR="00D35571" w:rsidRDefault="00D35571" w:rsidP="00D35571">
      <w:pPr>
        <w:pStyle w:val="Numberloweralphaindent"/>
      </w:pPr>
      <w:r>
        <w:t xml:space="preserve">where there has been a transfer of care between service settings or </w:t>
      </w:r>
    </w:p>
    <w:p w14:paraId="1211E7F2" w14:textId="77777777" w:rsidR="00D35571" w:rsidRDefault="00D35571" w:rsidP="00D35571">
      <w:pPr>
        <w:pStyle w:val="Numberloweralphaindent"/>
      </w:pPr>
      <w:r>
        <w:t xml:space="preserve">when there has been a change to the mental health care plan as outlined in 3. </w:t>
      </w:r>
    </w:p>
    <w:p w14:paraId="53FBD880" w14:textId="77777777" w:rsidR="00D35571" w:rsidRDefault="00D35571" w:rsidP="00D35571">
      <w:pPr>
        <w:pStyle w:val="Numberdigit"/>
        <w:numPr>
          <w:ilvl w:val="0"/>
          <w:numId w:val="11"/>
        </w:numPr>
      </w:pPr>
      <w:r>
        <w:t xml:space="preserve">When there is a significant or substantial change to the consumer’s symptoms and/or psychosocial functioning that requires a change to the mental health care plan, a review of the mental health Phase of Care should occur. </w:t>
      </w:r>
    </w:p>
    <w:p w14:paraId="7FAD7911" w14:textId="77777777" w:rsidR="00D35571" w:rsidRDefault="00D35571" w:rsidP="00D35571">
      <w:pPr>
        <w:pStyle w:val="Numberdigit"/>
        <w:numPr>
          <w:ilvl w:val="0"/>
          <w:numId w:val="11"/>
        </w:numPr>
      </w:pPr>
      <w:r>
        <w:t xml:space="preserve">Mental health services should conduct regular reviews of the consumer’s treatment, care and recovery plan, as per clinical standards. This includes change of mental health legal status, transfer between service sites and deterioration in symptoms/ functioning. </w:t>
      </w:r>
    </w:p>
    <w:p w14:paraId="3D0A87D3" w14:textId="77777777" w:rsidR="00D35571" w:rsidRDefault="00D35571" w:rsidP="00D35571">
      <w:pPr>
        <w:pStyle w:val="Numberdigit"/>
        <w:numPr>
          <w:ilvl w:val="0"/>
          <w:numId w:val="11"/>
        </w:numPr>
      </w:pPr>
      <w:r>
        <w:t xml:space="preserve">The mental health Phase of Care does not need to be assessed and identified at every contact made with the consumer by a care provider. </w:t>
      </w:r>
    </w:p>
    <w:p w14:paraId="58096CDD" w14:textId="77777777" w:rsidR="00D35571" w:rsidRDefault="00D35571" w:rsidP="00D35571">
      <w:pPr>
        <w:pStyle w:val="Numberdigit"/>
        <w:numPr>
          <w:ilvl w:val="0"/>
          <w:numId w:val="11"/>
        </w:numPr>
      </w:pPr>
      <w:r>
        <w:t xml:space="preserve">If a change in mental health Phase of Care is required, this should be accompanied by a change to the mental health recovery/ treatment/care or management plan and be clearly documented in the consumer’s medical record. </w:t>
      </w:r>
    </w:p>
    <w:p w14:paraId="7CA23180" w14:textId="77777777" w:rsidR="00D35571" w:rsidRDefault="00D35571" w:rsidP="00D35571">
      <w:pPr>
        <w:pStyle w:val="Numberdigit"/>
        <w:numPr>
          <w:ilvl w:val="0"/>
          <w:numId w:val="11"/>
        </w:numPr>
      </w:pPr>
      <w:r>
        <w:t xml:space="preserve">At the commencement of, or a change in a mental health Phase of Care, an outcome measures collection is required in all mental health service settings as per the Outcome Measurement PMC (reference to be added). </w:t>
      </w:r>
    </w:p>
    <w:p w14:paraId="7551E5D2" w14:textId="77777777" w:rsidR="00D35571" w:rsidRDefault="00D35571" w:rsidP="00D35571">
      <w:pPr>
        <w:pStyle w:val="Numberdigit"/>
        <w:numPr>
          <w:ilvl w:val="0"/>
          <w:numId w:val="11"/>
        </w:numPr>
      </w:pPr>
      <w:r>
        <w:t xml:space="preserve">There is no set </w:t>
      </w:r>
      <w:proofErr w:type="gramStart"/>
      <w:r>
        <w:t>time period</w:t>
      </w:r>
      <w:proofErr w:type="gramEnd"/>
      <w:r>
        <w:t xml:space="preserve"> for the length of a mental health Phase of Care, however regular reviews of a consumer’s mental health Phase of Care should occur as clinically appropriate and at a minimum every 91 days. The mental health Phase of Care does not need to be changed at each review when the main goal of treatment remains the same, but it does need to be entered.</w:t>
      </w:r>
    </w:p>
    <w:p w14:paraId="61EA9FE6" w14:textId="77777777" w:rsidR="00D35571" w:rsidRDefault="00D35571" w:rsidP="00D35571">
      <w:pPr>
        <w:pStyle w:val="Numberdigit"/>
        <w:numPr>
          <w:ilvl w:val="0"/>
          <w:numId w:val="11"/>
        </w:numPr>
      </w:pPr>
      <w:r>
        <w:t xml:space="preserve">A consumer will only have one mental health Phase of Care at any time. When care is co-managed or provided by multiple mental health services in the same setting, the mental health Phase of Care should be agreed upon by the various treatment providers. The mental health care plan should include all activity undertaken by all relevant treatment providers caring for the consumer, and the mental health phase of care should align with this care plan. </w:t>
      </w:r>
    </w:p>
    <w:p w14:paraId="01052914" w14:textId="77777777" w:rsidR="00D35571" w:rsidRDefault="00D35571" w:rsidP="00D35571">
      <w:pPr>
        <w:pStyle w:val="Numberdigit"/>
        <w:numPr>
          <w:ilvl w:val="0"/>
          <w:numId w:val="11"/>
        </w:numPr>
      </w:pPr>
      <w:r>
        <w:t xml:space="preserve">Mental health Phase of Care cannot be changed whilst a consumer is on leave from a health care service (i.e. when a consumer is on holidays). </w:t>
      </w:r>
    </w:p>
    <w:p w14:paraId="3E0594AB" w14:textId="77777777" w:rsidR="00D35571" w:rsidRDefault="00D35571" w:rsidP="00D35571">
      <w:pPr>
        <w:pStyle w:val="Numberdigit"/>
        <w:numPr>
          <w:ilvl w:val="0"/>
          <w:numId w:val="11"/>
        </w:numPr>
      </w:pPr>
      <w:r>
        <w:t xml:space="preserve">As the mental health Phase of Care is prospective the reporting of discharge PoC measures is not required in relation to the AMHCC. </w:t>
      </w:r>
    </w:p>
    <w:p w14:paraId="77254AFF" w14:textId="77777777" w:rsidR="00D35571" w:rsidRDefault="00D35571" w:rsidP="00D35571">
      <w:pPr>
        <w:pStyle w:val="Numberdigit"/>
        <w:numPr>
          <w:ilvl w:val="0"/>
          <w:numId w:val="11"/>
        </w:numPr>
      </w:pPr>
      <w:r>
        <w:t xml:space="preserve">There is no limit on the number of mental health Phase of Care that can be completed within an episode of care. An episode of care may contain one or multiple mental health Phase of Care. </w:t>
      </w:r>
    </w:p>
    <w:p w14:paraId="52ED70F6" w14:textId="77777777" w:rsidR="00276357" w:rsidRDefault="00276357" w:rsidP="00D35571">
      <w:pPr>
        <w:pStyle w:val="Body"/>
        <w:rPr>
          <w:b/>
          <w:bCs/>
        </w:rPr>
      </w:pPr>
    </w:p>
    <w:p w14:paraId="6CBB0CFF" w14:textId="5382907A" w:rsidR="00D35571" w:rsidRPr="00156D22" w:rsidRDefault="00D35571" w:rsidP="00D35571">
      <w:pPr>
        <w:pStyle w:val="Body"/>
        <w:rPr>
          <w:b/>
          <w:bCs/>
        </w:rPr>
      </w:pPr>
      <w:r w:rsidRPr="00156D22">
        <w:rPr>
          <w:b/>
          <w:bCs/>
        </w:rPr>
        <w:lastRenderedPageBreak/>
        <w:t>Assessment Only Phase of care</w:t>
      </w:r>
    </w:p>
    <w:p w14:paraId="5EEE9649" w14:textId="77777777" w:rsidR="00D35571" w:rsidRDefault="00D35571" w:rsidP="00D35571">
      <w:pPr>
        <w:pStyle w:val="Numberdigit"/>
        <w:numPr>
          <w:ilvl w:val="0"/>
          <w:numId w:val="11"/>
        </w:numPr>
      </w:pPr>
      <w:r>
        <w:t xml:space="preserve">If a consumer is referred to another setting, the “Assessment Only” mental health Phase of Care may be reported to capture the work undertaken at the service in conducting the brief triage assessment or initial assessment. </w:t>
      </w:r>
    </w:p>
    <w:p w14:paraId="02084DE8" w14:textId="77777777" w:rsidR="00D35571" w:rsidRDefault="00D35571" w:rsidP="00D35571">
      <w:pPr>
        <w:pStyle w:val="Numberdigit"/>
        <w:numPr>
          <w:ilvl w:val="0"/>
          <w:numId w:val="11"/>
        </w:numPr>
      </w:pPr>
      <w:r>
        <w:t xml:space="preserve">Although a consumer is reviewed regularly throughout an episode of care, “Assessment only” can only ever be the first or only mental health Phase of Care in an episode. </w:t>
      </w:r>
    </w:p>
    <w:p w14:paraId="13A17987" w14:textId="77777777" w:rsidR="00D35571" w:rsidRDefault="00D35571" w:rsidP="00D35571">
      <w:pPr>
        <w:pStyle w:val="Numberdigit"/>
        <w:numPr>
          <w:ilvl w:val="0"/>
          <w:numId w:val="11"/>
        </w:numPr>
      </w:pPr>
      <w:r>
        <w:t xml:space="preserve">The AMHCC does not require the completion of outcome measures for an “Assessment Only” mental health Phase of Care, however all other mental health phases of care require the completion of outcome measures. </w:t>
      </w:r>
    </w:p>
    <w:p w14:paraId="34BFE505" w14:textId="77777777" w:rsidR="00D35571" w:rsidRDefault="00D35571" w:rsidP="00D35571">
      <w:pPr>
        <w:pStyle w:val="Numberdigit"/>
        <w:numPr>
          <w:ilvl w:val="0"/>
          <w:numId w:val="11"/>
        </w:numPr>
      </w:pPr>
      <w:r>
        <w:t xml:space="preserve">If outcome measures are completed at the commencement of an “Assessment only” mental health Phase of Care, then these can be deemed completed for the first collection of a subsequent mental health Phase of Care if considered appropriate. </w:t>
      </w:r>
    </w:p>
    <w:p w14:paraId="65A51F68" w14:textId="77777777" w:rsidR="00D35571" w:rsidRDefault="00D35571" w:rsidP="00D35571">
      <w:pPr>
        <w:pStyle w:val="Heading2"/>
      </w:pPr>
      <w:bookmarkStart w:id="81" w:name="_Toc58436891"/>
      <w:bookmarkStart w:id="82" w:name="_Toc67491742"/>
      <w:bookmarkStart w:id="83" w:name="_Toc67645582"/>
      <w:r>
        <w:t>About program management circulars</w:t>
      </w:r>
      <w:bookmarkEnd w:id="81"/>
      <w:bookmarkEnd w:id="82"/>
      <w:bookmarkEnd w:id="83"/>
    </w:p>
    <w:p w14:paraId="0AB2D5B1" w14:textId="77777777" w:rsidR="00D35571" w:rsidRDefault="00D35571" w:rsidP="00D35571">
      <w:pPr>
        <w:pStyle w:val="Body"/>
      </w:pPr>
      <w:r w:rsidRPr="008940CE">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225CC38C" w14:textId="77777777" w:rsidR="00D35571" w:rsidRDefault="00D35571" w:rsidP="00D35571">
      <w:pPr>
        <w:pStyle w:val="Heading2"/>
      </w:pPr>
      <w:bookmarkStart w:id="84" w:name="_Toc58436892"/>
      <w:bookmarkStart w:id="85" w:name="_Toc67491743"/>
      <w:bookmarkStart w:id="86" w:name="_Toc67645583"/>
      <w:r>
        <w:t>References and Resources</w:t>
      </w:r>
      <w:bookmarkEnd w:id="84"/>
      <w:bookmarkEnd w:id="85"/>
      <w:bookmarkEnd w:id="86"/>
      <w:r>
        <w:t xml:space="preserve"> </w:t>
      </w:r>
    </w:p>
    <w:p w14:paraId="5BC68F99" w14:textId="77777777" w:rsidR="00D35571" w:rsidRPr="00156D22" w:rsidRDefault="00D35571" w:rsidP="00D35571">
      <w:pPr>
        <w:pStyle w:val="Body"/>
        <w:rPr>
          <w:b/>
          <w:bCs/>
        </w:rPr>
      </w:pPr>
      <w:r w:rsidRPr="003526A4">
        <w:t xml:space="preserve">Independent Hospital Pricing Authority. (2016). </w:t>
      </w:r>
      <w:r w:rsidRPr="003526A4">
        <w:rPr>
          <w:i/>
        </w:rPr>
        <w:t>Australian Mental Health Care Classification.  Mental health phase of care guide</w:t>
      </w:r>
      <w:r w:rsidRPr="003526A4">
        <w:t>. Retrieved from https://www.ihpa.gov.au/publications/mental-health-phase-care-guide</w:t>
      </w:r>
      <w:r w:rsidRPr="003526A4">
        <w:rPr>
          <w:i/>
        </w:rPr>
        <w:t xml:space="preserve"> </w:t>
      </w:r>
    </w:p>
    <w:p w14:paraId="011E8B4A" w14:textId="015E12E4" w:rsidR="00D35571" w:rsidRDefault="00D35571" w:rsidP="004D04F2">
      <w:pPr>
        <w:pStyle w:val="Body"/>
      </w:pPr>
    </w:p>
    <w:p w14:paraId="11077160" w14:textId="65951A5C" w:rsidR="00646BAA" w:rsidRDefault="00646BAA" w:rsidP="004D04F2">
      <w:pPr>
        <w:pStyle w:val="Body"/>
      </w:pPr>
    </w:p>
    <w:tbl>
      <w:tblPr>
        <w:tblStyle w:val="TableGrid"/>
        <w:tblW w:w="0" w:type="auto"/>
        <w:tblCellMar>
          <w:bottom w:w="108" w:type="dxa"/>
        </w:tblCellMar>
        <w:tblLook w:val="0600" w:firstRow="0" w:lastRow="0" w:firstColumn="0" w:lastColumn="0" w:noHBand="1" w:noVBand="1"/>
      </w:tblPr>
      <w:tblGrid>
        <w:gridCol w:w="10194"/>
      </w:tblGrid>
      <w:tr w:rsidR="00646BAA" w14:paraId="2713279C" w14:textId="77777777" w:rsidTr="00646BAA">
        <w:tc>
          <w:tcPr>
            <w:tcW w:w="10194" w:type="dxa"/>
            <w:tcBorders>
              <w:top w:val="single" w:sz="4" w:space="0" w:color="auto"/>
              <w:left w:val="single" w:sz="4" w:space="0" w:color="auto"/>
              <w:bottom w:val="single" w:sz="4" w:space="0" w:color="auto"/>
              <w:right w:val="single" w:sz="4" w:space="0" w:color="auto"/>
            </w:tcBorders>
            <w:hideMark/>
          </w:tcPr>
          <w:p w14:paraId="1154D45F" w14:textId="77777777" w:rsidR="00646BAA" w:rsidRDefault="00646BAA">
            <w:pPr>
              <w:pStyle w:val="Accessibilitypara"/>
            </w:pPr>
            <w:bookmarkStart w:id="87" w:name="_Hlk37240926"/>
            <w:r>
              <w:t xml:space="preserve">To receive this document in another format </w:t>
            </w:r>
            <w:hyperlink r:id="rId22" w:history="1">
              <w:r>
                <w:rPr>
                  <w:rStyle w:val="Hyperlink"/>
                </w:rPr>
                <w:t>email</w:t>
              </w:r>
            </w:hyperlink>
            <w:r>
              <w:t xml:space="preserve"> &lt;mhdreporting@health.vic.gov.au&gt;.</w:t>
            </w:r>
          </w:p>
          <w:p w14:paraId="7E63EFDD" w14:textId="77777777" w:rsidR="00646BAA" w:rsidRDefault="00646BAA">
            <w:pPr>
              <w:pStyle w:val="Imprint"/>
            </w:pPr>
            <w:r>
              <w:t>Authorised and published by the Victorian Government, 1 Treasury Place, Melbourne.</w:t>
            </w:r>
          </w:p>
          <w:p w14:paraId="3DC6D34B" w14:textId="77777777" w:rsidR="00646BAA" w:rsidRDefault="00646BAA">
            <w:pPr>
              <w:pStyle w:val="Imprint"/>
            </w:pPr>
            <w:r>
              <w:t xml:space="preserve">© State of Victoria, Australia, Department of Health, </w:t>
            </w:r>
            <w:r>
              <w:rPr>
                <w:color w:val="004C97"/>
              </w:rPr>
              <w:t>April 2021</w:t>
            </w:r>
            <w:r>
              <w:t>.</w:t>
            </w:r>
          </w:p>
          <w:p w14:paraId="64856C13" w14:textId="1849C419" w:rsidR="00594FE0" w:rsidRDefault="00594FE0" w:rsidP="00594FE0">
            <w:pPr>
              <w:autoSpaceDE w:val="0"/>
              <w:autoSpaceDN w:val="0"/>
              <w:rPr>
                <w:rFonts w:cs="Arial"/>
                <w:color w:val="000000"/>
              </w:rPr>
            </w:pPr>
            <w:r>
              <w:t xml:space="preserve">ISBN/ISSN </w:t>
            </w:r>
            <w:r>
              <w:rPr>
                <w:rFonts w:cs="Arial"/>
                <w:color w:val="000000"/>
              </w:rPr>
              <w:t>978-1-76096-423-8</w:t>
            </w:r>
            <w:r>
              <w:rPr>
                <w:rFonts w:cs="Arial"/>
                <w:b/>
                <w:bCs/>
                <w:color w:val="000000"/>
              </w:rPr>
              <w:t xml:space="preserve"> </w:t>
            </w:r>
            <w:r w:rsidRPr="00594FE0">
              <w:rPr>
                <w:rFonts w:cs="Arial"/>
                <w:color w:val="000000"/>
              </w:rPr>
              <w:t>(pdf/online/MS word)</w:t>
            </w:r>
          </w:p>
          <w:p w14:paraId="5AF5E9B2" w14:textId="5E908077" w:rsidR="00594FE0" w:rsidRDefault="00E304A3">
            <w:pPr>
              <w:pStyle w:val="Imprint"/>
            </w:pPr>
            <w:r w:rsidRPr="00E304A3">
              <w:rPr>
                <w:rFonts w:eastAsia="Times New Roman"/>
                <w:color w:val="auto"/>
                <w:sz w:val="21"/>
                <w:szCs w:val="19"/>
              </w:rPr>
              <w:t xml:space="preserve">Available at </w:t>
            </w:r>
            <w:hyperlink r:id="rId23" w:history="1">
              <w:r w:rsidRPr="00E304A3">
                <w:rPr>
                  <w:rStyle w:val="Hyperlink"/>
                  <w:rFonts w:eastAsia="Times New Roman"/>
                  <w:sz w:val="21"/>
                  <w:szCs w:val="19"/>
                </w:rPr>
                <w:t>Bulletins and Program Management</w:t>
              </w:r>
            </w:hyperlink>
            <w:r w:rsidRPr="00E304A3">
              <w:rPr>
                <w:rFonts w:eastAsia="Times New Roman"/>
                <w:color w:val="auto"/>
                <w:sz w:val="21"/>
                <w:szCs w:val="19"/>
              </w:rPr>
              <w:t xml:space="preserve"> Circulars &lt; https://www.health.vic.gov.au/research-and-reporting/bulletins-and-program-management-circulars-pmc&gt;</w:t>
            </w:r>
          </w:p>
        </w:tc>
        <w:bookmarkEnd w:id="87"/>
      </w:tr>
    </w:tbl>
    <w:p w14:paraId="24212064" w14:textId="77777777" w:rsidR="00646BAA" w:rsidRPr="004D04F2" w:rsidRDefault="00646BAA" w:rsidP="004D04F2">
      <w:pPr>
        <w:pStyle w:val="Body"/>
      </w:pPr>
    </w:p>
    <w:sectPr w:rsidR="00646BAA" w:rsidRPr="004D04F2" w:rsidSect="00D35571">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0A1E" w14:textId="77777777" w:rsidR="006F5116" w:rsidRDefault="006F5116">
      <w:r>
        <w:separator/>
      </w:r>
    </w:p>
  </w:endnote>
  <w:endnote w:type="continuationSeparator" w:id="0">
    <w:p w14:paraId="2B9F2916" w14:textId="77777777" w:rsidR="006F5116" w:rsidRDefault="006F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porateSBQ-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006" w14:textId="77777777" w:rsidR="00276357" w:rsidRDefault="0027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7EF6" w14:textId="638F2218" w:rsidR="004D04F2" w:rsidRPr="00F65AA9" w:rsidRDefault="00BB0186" w:rsidP="00F84FA0">
    <w:pPr>
      <w:pStyle w:val="Footer"/>
    </w:pPr>
    <w:r>
      <w:rPr>
        <w:noProof/>
        <w:lang w:eastAsia="en-AU"/>
      </w:rPr>
      <mc:AlternateContent>
        <mc:Choice Requires="wps">
          <w:drawing>
            <wp:anchor distT="0" distB="0" distL="114300" distR="114300" simplePos="0" relativeHeight="251696640" behindDoc="0" locked="0" layoutInCell="0" allowOverlap="1" wp14:anchorId="051BD388" wp14:editId="5790CE2A">
              <wp:simplePos x="0" y="0"/>
              <wp:positionH relativeFrom="page">
                <wp:align>center</wp:align>
              </wp:positionH>
              <wp:positionV relativeFrom="page">
                <wp:align>bottom</wp:align>
              </wp:positionV>
              <wp:extent cx="7772400" cy="502285"/>
              <wp:effectExtent l="0" t="0" r="0" b="12065"/>
              <wp:wrapNone/>
              <wp:docPr id="4" name="MSIPCM41334a678d787a4f6ad5ec6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333FB" w14:textId="45067B3B" w:rsidR="00BB0186" w:rsidRPr="00276357" w:rsidRDefault="00276357" w:rsidP="00276357">
                          <w:pPr>
                            <w:spacing w:after="0"/>
                            <w:jc w:val="center"/>
                            <w:rPr>
                              <w:rFonts w:ascii="Arial Black" w:hAnsi="Arial Black"/>
                              <w:color w:val="000000"/>
                              <w:sz w:val="20"/>
                            </w:rPr>
                          </w:pPr>
                          <w:r w:rsidRPr="002763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1BD388" id="_x0000_t202" coordsize="21600,21600" o:spt="202" path="m,l,21600r21600,l21600,xe">
              <v:stroke joinstyle="miter"/>
              <v:path gradientshapeok="t" o:connecttype="rect"/>
            </v:shapetype>
            <v:shape id="MSIPCM41334a678d787a4f6ad5ec69"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966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57F333FB" w14:textId="45067B3B" w:rsidR="00BB0186" w:rsidRPr="00276357" w:rsidRDefault="00276357" w:rsidP="00276357">
                    <w:pPr>
                      <w:spacing w:after="0"/>
                      <w:jc w:val="center"/>
                      <w:rPr>
                        <w:rFonts w:ascii="Arial Black" w:hAnsi="Arial Black"/>
                        <w:color w:val="000000"/>
                        <w:sz w:val="20"/>
                      </w:rPr>
                    </w:pPr>
                    <w:r w:rsidRPr="00276357">
                      <w:rPr>
                        <w:rFonts w:ascii="Arial Black" w:hAnsi="Arial Black"/>
                        <w:color w:val="000000"/>
                        <w:sz w:val="20"/>
                      </w:rPr>
                      <w:t>OFFICIAL</w:t>
                    </w:r>
                  </w:p>
                </w:txbxContent>
              </v:textbox>
              <w10:wrap anchorx="page" anchory="page"/>
            </v:shape>
          </w:pict>
        </mc:Fallback>
      </mc:AlternateContent>
    </w:r>
    <w:r w:rsidR="004D04F2">
      <w:rPr>
        <w:noProof/>
        <w:lang w:eastAsia="en-AU"/>
      </w:rPr>
      <w:drawing>
        <wp:anchor distT="0" distB="0" distL="114300" distR="114300" simplePos="0" relativeHeight="251674112" behindDoc="1" locked="1" layoutInCell="1" allowOverlap="1" wp14:anchorId="2FF1693A" wp14:editId="5B5E913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4A1C" w14:textId="6D600011" w:rsidR="004D04F2" w:rsidRDefault="00BB0186">
    <w:pPr>
      <w:pStyle w:val="Footer"/>
    </w:pPr>
    <w:r>
      <w:rPr>
        <w:noProof/>
      </w:rPr>
      <mc:AlternateContent>
        <mc:Choice Requires="wps">
          <w:drawing>
            <wp:anchor distT="0" distB="0" distL="114300" distR="114300" simplePos="0" relativeHeight="251697664" behindDoc="0" locked="0" layoutInCell="0" allowOverlap="1" wp14:anchorId="16EF7826" wp14:editId="615F1E8C">
              <wp:simplePos x="0" y="9365456"/>
              <wp:positionH relativeFrom="page">
                <wp:align>center</wp:align>
              </wp:positionH>
              <wp:positionV relativeFrom="page">
                <wp:align>bottom</wp:align>
              </wp:positionV>
              <wp:extent cx="7772400" cy="502285"/>
              <wp:effectExtent l="0" t="0" r="0" b="12065"/>
              <wp:wrapNone/>
              <wp:docPr id="10" name="MSIPCMc9cc4a5591aa3f89876eff7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B936E" w14:textId="75EED7BC" w:rsidR="00BB0186" w:rsidRPr="00276357" w:rsidRDefault="00276357" w:rsidP="00276357">
                          <w:pPr>
                            <w:spacing w:after="0"/>
                            <w:jc w:val="center"/>
                            <w:rPr>
                              <w:rFonts w:ascii="Arial Black" w:hAnsi="Arial Black"/>
                              <w:color w:val="000000"/>
                              <w:sz w:val="20"/>
                            </w:rPr>
                          </w:pPr>
                          <w:r w:rsidRPr="002763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EF7826" id="_x0000_t202" coordsize="21600,21600" o:spt="202" path="m,l,21600r21600,l21600,xe">
              <v:stroke joinstyle="miter"/>
              <v:path gradientshapeok="t" o:connecttype="rect"/>
            </v:shapetype>
            <v:shape id="MSIPCMc9cc4a5591aa3f89876eff78"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976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5AB936E" w14:textId="75EED7BC" w:rsidR="00BB0186" w:rsidRPr="00276357" w:rsidRDefault="00276357" w:rsidP="00276357">
                    <w:pPr>
                      <w:spacing w:after="0"/>
                      <w:jc w:val="center"/>
                      <w:rPr>
                        <w:rFonts w:ascii="Arial Black" w:hAnsi="Arial Black"/>
                        <w:color w:val="000000"/>
                        <w:sz w:val="20"/>
                      </w:rPr>
                    </w:pPr>
                    <w:r w:rsidRPr="0027635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0BE3" w14:textId="77777777" w:rsidR="006F5116" w:rsidRDefault="006F5116" w:rsidP="002862F1">
      <w:pPr>
        <w:spacing w:before="120"/>
      </w:pPr>
      <w:r>
        <w:separator/>
      </w:r>
    </w:p>
  </w:footnote>
  <w:footnote w:type="continuationSeparator" w:id="0">
    <w:p w14:paraId="2F82E0EC" w14:textId="77777777" w:rsidR="006F5116" w:rsidRDefault="006F5116">
      <w:r>
        <w:continuationSeparator/>
      </w:r>
    </w:p>
  </w:footnote>
  <w:footnote w:id="1">
    <w:p w14:paraId="6B7FD432" w14:textId="77777777" w:rsidR="00D35571" w:rsidRPr="003526A4" w:rsidRDefault="00D35571" w:rsidP="00D35571">
      <w:pPr>
        <w:pStyle w:val="FootnoteText"/>
        <w:rPr>
          <w:i/>
        </w:rPr>
      </w:pPr>
      <w:r>
        <w:rPr>
          <w:rStyle w:val="FootnoteReference"/>
        </w:rPr>
        <w:footnoteRef/>
      </w:r>
      <w:r>
        <w:t xml:space="preserve"> Independent Hospital Pricing Authority. (2016). </w:t>
      </w:r>
      <w:r w:rsidRPr="003526A4">
        <w:rPr>
          <w:i/>
        </w:rPr>
        <w:t>Australian Mental Health Care Classification.  Mental health phase of care guide</w:t>
      </w:r>
      <w:r>
        <w:t xml:space="preserve">. Retrieved from </w:t>
      </w:r>
      <w:r w:rsidRPr="003526A4">
        <w:t>https://www.ihpa.gov.au/publications/mental-health-phase-care-guide</w:t>
      </w:r>
      <w:r>
        <w:t>.</w:t>
      </w:r>
      <w:r w:rsidRPr="003526A4">
        <w:rPr>
          <w:i/>
        </w:rPr>
        <w:t xml:space="preserve"> </w:t>
      </w:r>
    </w:p>
    <w:p w14:paraId="21FC666C" w14:textId="77777777" w:rsidR="00D35571" w:rsidRDefault="00D35571" w:rsidP="00D35571">
      <w:pPr>
        <w:pStyle w:val="FootnoteText"/>
      </w:pPr>
    </w:p>
  </w:footnote>
  <w:footnote w:id="2">
    <w:p w14:paraId="6AF1F235" w14:textId="77777777" w:rsidR="00D35571" w:rsidRPr="003526A4" w:rsidRDefault="00D35571" w:rsidP="00D35571">
      <w:pPr>
        <w:pStyle w:val="FootnoteText"/>
        <w:rPr>
          <w:i/>
        </w:rPr>
      </w:pPr>
      <w:r>
        <w:rPr>
          <w:rStyle w:val="FootnoteReference"/>
        </w:rPr>
        <w:footnoteRef/>
      </w:r>
      <w:r>
        <w:t xml:space="preserve"> </w:t>
      </w:r>
      <w:bookmarkStart w:id="79" w:name="_Hlk29380190"/>
      <w:bookmarkStart w:id="80" w:name="_Hlk29380191"/>
      <w:r>
        <w:t xml:space="preserve">Independent Hospital Pricing Authority. (2016). </w:t>
      </w:r>
      <w:r w:rsidRPr="003526A4">
        <w:rPr>
          <w:i/>
        </w:rPr>
        <w:t>Australian Mental Health Care Classification.  Mental health phase of care guide</w:t>
      </w:r>
      <w:r>
        <w:t xml:space="preserve">. Retrieved from </w:t>
      </w:r>
      <w:r w:rsidRPr="003526A4">
        <w:t>https://www.ihpa.gov.au/publications/mental-health-phase-care-guide</w:t>
      </w:r>
      <w:r>
        <w:t>.</w:t>
      </w:r>
      <w:r w:rsidRPr="003526A4">
        <w:rPr>
          <w:i/>
        </w:rPr>
        <w:t xml:space="preserve"> </w:t>
      </w:r>
      <w:bookmarkEnd w:id="79"/>
      <w:bookmarkEnd w:id="8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1DDF" w14:textId="77777777" w:rsidR="00276357" w:rsidRDefault="0027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7EF6" w14:textId="77777777" w:rsidR="004D04F2" w:rsidRDefault="004D04F2"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6ED6" w14:textId="77777777" w:rsidR="00276357" w:rsidRDefault="002763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84CA" w14:textId="08CEE0AA" w:rsidR="004D04F2" w:rsidRPr="0051568D" w:rsidRDefault="004D04F2" w:rsidP="0011701A">
    <w:pPr>
      <w:pStyle w:val="Header"/>
    </w:pPr>
    <w:r>
      <w:rPr>
        <w:noProof/>
      </w:rPr>
      <w:drawing>
        <wp:anchor distT="0" distB="0" distL="114300" distR="114300" simplePos="0" relativeHeight="251675136" behindDoc="1" locked="1" layoutInCell="1" allowOverlap="1" wp14:anchorId="42CAC412" wp14:editId="77D0C6AB">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35571" w:rsidRPr="00D35571">
      <w:rPr>
        <w:rFonts w:cs="Times New Roman"/>
        <w:color w:val="auto"/>
        <w:sz w:val="21"/>
        <w:szCs w:val="20"/>
      </w:rPr>
      <w:t xml:space="preserve"> </w:t>
    </w:r>
    <w:r w:rsidR="00D35571" w:rsidRPr="00D35571">
      <w:rPr>
        <w:noProof/>
      </w:rPr>
      <w:t xml:space="preserve">Outcome measurement in clinical mental health services </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47249FA"/>
    <w:multiLevelType w:val="hybridMultilevel"/>
    <w:tmpl w:val="D76612E4"/>
    <w:lvl w:ilvl="0" w:tplc="8BF6F2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9F976A6"/>
    <w:multiLevelType w:val="hybridMultilevel"/>
    <w:tmpl w:val="4F26C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D7967"/>
    <w:multiLevelType w:val="hybridMultilevel"/>
    <w:tmpl w:val="BC4410EC"/>
    <w:lvl w:ilvl="0" w:tplc="7FCA05E6">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81A8B"/>
    <w:multiLevelType w:val="hybridMultilevel"/>
    <w:tmpl w:val="1220A224"/>
    <w:lvl w:ilvl="0" w:tplc="040A67C6">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D5875E8"/>
    <w:multiLevelType w:val="hybridMultilevel"/>
    <w:tmpl w:val="A75C21D6"/>
    <w:lvl w:ilvl="0" w:tplc="2D045502">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0" w15:restartNumberingAfterBreak="0">
    <w:nsid w:val="4F373779"/>
    <w:multiLevelType w:val="hybridMultilevel"/>
    <w:tmpl w:val="B3D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6C17E99"/>
    <w:multiLevelType w:val="hybridMultilevel"/>
    <w:tmpl w:val="9BBA9BDA"/>
    <w:lvl w:ilvl="0" w:tplc="8BF6F2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6EF62D9"/>
    <w:multiLevelType w:val="multilevel"/>
    <w:tmpl w:val="CAD601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7295F90"/>
    <w:multiLevelType w:val="hybridMultilevel"/>
    <w:tmpl w:val="A75C21D6"/>
    <w:lvl w:ilvl="0" w:tplc="2D045502">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 w15:restartNumberingAfterBreak="0">
    <w:nsid w:val="72335B02"/>
    <w:multiLevelType w:val="hybridMultilevel"/>
    <w:tmpl w:val="F57C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600B2F"/>
    <w:multiLevelType w:val="hybridMultilevel"/>
    <w:tmpl w:val="A75C21D6"/>
    <w:lvl w:ilvl="0" w:tplc="2D045502">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7A932400"/>
    <w:multiLevelType w:val="hybridMultilevel"/>
    <w:tmpl w:val="E24C1BA0"/>
    <w:lvl w:ilvl="0" w:tplc="D6F29072">
      <w:start w:val="1"/>
      <w:numFmt w:val="lowerRoman"/>
      <w:lvlText w:val="%1)"/>
      <w:lvlJc w:val="left"/>
      <w:pPr>
        <w:ind w:left="1514" w:hanging="72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16cid:durableId="139856971">
    <w:abstractNumId w:val="7"/>
  </w:num>
  <w:num w:numId="2" w16cid:durableId="1838694312">
    <w:abstractNumId w:val="12"/>
  </w:num>
  <w:num w:numId="3" w16cid:durableId="1189489269">
    <w:abstractNumId w:val="11"/>
  </w:num>
  <w:num w:numId="4" w16cid:durableId="165294865">
    <w:abstractNumId w:val="15"/>
  </w:num>
  <w:num w:numId="5" w16cid:durableId="626274295">
    <w:abstractNumId w:val="8"/>
  </w:num>
  <w:num w:numId="6" w16cid:durableId="1106466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859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230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321767">
    <w:abstractNumId w:val="2"/>
  </w:num>
  <w:num w:numId="10" w16cid:durableId="1215236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591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5748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197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504343">
    <w:abstractNumId w:val="18"/>
  </w:num>
  <w:num w:numId="15" w16cid:durableId="1363942071">
    <w:abstractNumId w:val="19"/>
  </w:num>
  <w:num w:numId="16" w16cid:durableId="1919509516">
    <w:abstractNumId w:val="1"/>
  </w:num>
  <w:num w:numId="17" w16cid:durableId="1571885851">
    <w:abstractNumId w:val="7"/>
  </w:num>
  <w:num w:numId="18" w16cid:durableId="1824278487">
    <w:abstractNumId w:val="9"/>
  </w:num>
  <w:num w:numId="19" w16cid:durableId="1933735352">
    <w:abstractNumId w:val="14"/>
  </w:num>
  <w:num w:numId="20" w16cid:durableId="319040753">
    <w:abstractNumId w:val="13"/>
  </w:num>
  <w:num w:numId="21" w16cid:durableId="1299994315">
    <w:abstractNumId w:val="4"/>
  </w:num>
  <w:num w:numId="22" w16cid:durableId="1157305460">
    <w:abstractNumId w:val="7"/>
  </w:num>
  <w:num w:numId="23" w16cid:durableId="158082235">
    <w:abstractNumId w:val="16"/>
  </w:num>
  <w:num w:numId="24" w16cid:durableId="1735272473">
    <w:abstractNumId w:val="10"/>
  </w:num>
  <w:num w:numId="25" w16cid:durableId="714890427">
    <w:abstractNumId w:val="6"/>
  </w:num>
  <w:num w:numId="26" w16cid:durableId="465316345">
    <w:abstractNumId w:val="5"/>
  </w:num>
  <w:num w:numId="27" w16cid:durableId="1820807976">
    <w:abstractNumId w:val="3"/>
  </w:num>
  <w:num w:numId="28" w16cid:durableId="147463658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FA"/>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0F8D"/>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1459"/>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726"/>
    <w:rsid w:val="00276357"/>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55F9"/>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6C6"/>
    <w:rsid w:val="004148F9"/>
    <w:rsid w:val="00414D4A"/>
    <w:rsid w:val="0042084E"/>
    <w:rsid w:val="00421EEF"/>
    <w:rsid w:val="00424D65"/>
    <w:rsid w:val="00436871"/>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04F2"/>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48E0"/>
    <w:rsid w:val="00594FE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69C"/>
    <w:rsid w:val="005D6597"/>
    <w:rsid w:val="005E14E7"/>
    <w:rsid w:val="005E26A3"/>
    <w:rsid w:val="005E2ECB"/>
    <w:rsid w:val="005E447E"/>
    <w:rsid w:val="005E4FD1"/>
    <w:rsid w:val="005F0775"/>
    <w:rsid w:val="005F0CF5"/>
    <w:rsid w:val="005F21EB"/>
    <w:rsid w:val="0060136C"/>
    <w:rsid w:val="00605908"/>
    <w:rsid w:val="00610D7C"/>
    <w:rsid w:val="00613414"/>
    <w:rsid w:val="00620154"/>
    <w:rsid w:val="00623D8D"/>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6BAA"/>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7093"/>
    <w:rsid w:val="006E0541"/>
    <w:rsid w:val="006E138B"/>
    <w:rsid w:val="006F0330"/>
    <w:rsid w:val="006F1FDC"/>
    <w:rsid w:val="006F5116"/>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5982"/>
    <w:rsid w:val="00776928"/>
    <w:rsid w:val="00776E0F"/>
    <w:rsid w:val="007774B1"/>
    <w:rsid w:val="00777BE1"/>
    <w:rsid w:val="007833D8"/>
    <w:rsid w:val="00785677"/>
    <w:rsid w:val="00786F16"/>
    <w:rsid w:val="00791BD7"/>
    <w:rsid w:val="007933F7"/>
    <w:rsid w:val="00796E20"/>
    <w:rsid w:val="00797C32"/>
    <w:rsid w:val="007A11E8"/>
    <w:rsid w:val="007A7EE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658"/>
    <w:rsid w:val="00820141"/>
    <w:rsid w:val="00820E0C"/>
    <w:rsid w:val="00823275"/>
    <w:rsid w:val="0082366F"/>
    <w:rsid w:val="00825CF6"/>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0DBD"/>
    <w:rsid w:val="008A28A8"/>
    <w:rsid w:val="008A5B32"/>
    <w:rsid w:val="008B2EE4"/>
    <w:rsid w:val="008B4D3D"/>
    <w:rsid w:val="008B57C7"/>
    <w:rsid w:val="008C158E"/>
    <w:rsid w:val="008C2F92"/>
    <w:rsid w:val="008C3697"/>
    <w:rsid w:val="008C5557"/>
    <w:rsid w:val="008C589D"/>
    <w:rsid w:val="008C6D51"/>
    <w:rsid w:val="008D2846"/>
    <w:rsid w:val="008D34FA"/>
    <w:rsid w:val="008D4236"/>
    <w:rsid w:val="008D462F"/>
    <w:rsid w:val="008D6DCF"/>
    <w:rsid w:val="008E3C79"/>
    <w:rsid w:val="008E4376"/>
    <w:rsid w:val="008E7A0A"/>
    <w:rsid w:val="008E7B49"/>
    <w:rsid w:val="008F59F6"/>
    <w:rsid w:val="00900719"/>
    <w:rsid w:val="009017AC"/>
    <w:rsid w:val="00902A9A"/>
    <w:rsid w:val="00904A1C"/>
    <w:rsid w:val="00905030"/>
    <w:rsid w:val="00906490"/>
    <w:rsid w:val="009111B2"/>
    <w:rsid w:val="009151F5"/>
    <w:rsid w:val="00917E94"/>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183E"/>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1701"/>
    <w:rsid w:val="00AC274B"/>
    <w:rsid w:val="00AC4764"/>
    <w:rsid w:val="00AC6D36"/>
    <w:rsid w:val="00AD0CBA"/>
    <w:rsid w:val="00AD177A"/>
    <w:rsid w:val="00AD26E2"/>
    <w:rsid w:val="00AD6440"/>
    <w:rsid w:val="00AD784C"/>
    <w:rsid w:val="00AE126A"/>
    <w:rsid w:val="00AE1BAE"/>
    <w:rsid w:val="00AE3005"/>
    <w:rsid w:val="00AE3BD5"/>
    <w:rsid w:val="00AE59A0"/>
    <w:rsid w:val="00AF0C57"/>
    <w:rsid w:val="00AF26F3"/>
    <w:rsid w:val="00AF5F04"/>
    <w:rsid w:val="00B00672"/>
    <w:rsid w:val="00B01B4D"/>
    <w:rsid w:val="00B06571"/>
    <w:rsid w:val="00B0682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0186"/>
    <w:rsid w:val="00BB7A10"/>
    <w:rsid w:val="00BC3E8F"/>
    <w:rsid w:val="00BC60BE"/>
    <w:rsid w:val="00BC7468"/>
    <w:rsid w:val="00BC7D4F"/>
    <w:rsid w:val="00BC7ED7"/>
    <w:rsid w:val="00BD2850"/>
    <w:rsid w:val="00BD68BE"/>
    <w:rsid w:val="00BE1B67"/>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6DA8"/>
    <w:rsid w:val="00CA782F"/>
    <w:rsid w:val="00CB187B"/>
    <w:rsid w:val="00CB2835"/>
    <w:rsid w:val="00CB3285"/>
    <w:rsid w:val="00CB4500"/>
    <w:rsid w:val="00CB7800"/>
    <w:rsid w:val="00CC0C72"/>
    <w:rsid w:val="00CC2BFD"/>
    <w:rsid w:val="00CD2C4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571"/>
    <w:rsid w:val="00D35BD6"/>
    <w:rsid w:val="00D361B5"/>
    <w:rsid w:val="00D411A2"/>
    <w:rsid w:val="00D4606D"/>
    <w:rsid w:val="00D46C92"/>
    <w:rsid w:val="00D50B9C"/>
    <w:rsid w:val="00D52D73"/>
    <w:rsid w:val="00D52E58"/>
    <w:rsid w:val="00D56B20"/>
    <w:rsid w:val="00D578B3"/>
    <w:rsid w:val="00D618F4"/>
    <w:rsid w:val="00D620AF"/>
    <w:rsid w:val="00D714CC"/>
    <w:rsid w:val="00D75EA7"/>
    <w:rsid w:val="00D81ADF"/>
    <w:rsid w:val="00D81F21"/>
    <w:rsid w:val="00D864F2"/>
    <w:rsid w:val="00D943F8"/>
    <w:rsid w:val="00D95470"/>
    <w:rsid w:val="00D96B55"/>
    <w:rsid w:val="00DA2619"/>
    <w:rsid w:val="00DA4239"/>
    <w:rsid w:val="00DA4AFC"/>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0721"/>
    <w:rsid w:val="00E11332"/>
    <w:rsid w:val="00E11352"/>
    <w:rsid w:val="00E170DC"/>
    <w:rsid w:val="00E17546"/>
    <w:rsid w:val="00E210B5"/>
    <w:rsid w:val="00E261B3"/>
    <w:rsid w:val="00E26818"/>
    <w:rsid w:val="00E27FFC"/>
    <w:rsid w:val="00E304A3"/>
    <w:rsid w:val="00E30B15"/>
    <w:rsid w:val="00E33237"/>
    <w:rsid w:val="00E40181"/>
    <w:rsid w:val="00E54950"/>
    <w:rsid w:val="00E56A01"/>
    <w:rsid w:val="00E62622"/>
    <w:rsid w:val="00E629A1"/>
    <w:rsid w:val="00E64EFE"/>
    <w:rsid w:val="00E6794C"/>
    <w:rsid w:val="00E71591"/>
    <w:rsid w:val="00E71CEB"/>
    <w:rsid w:val="00E7474F"/>
    <w:rsid w:val="00E80DE3"/>
    <w:rsid w:val="00E82C55"/>
    <w:rsid w:val="00E8787E"/>
    <w:rsid w:val="00E92AC3"/>
    <w:rsid w:val="00E96CA7"/>
    <w:rsid w:val="00E970FC"/>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02557"/>
  <w15:docId w15:val="{AF6BD2CB-525B-F746-9334-4E435B0D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8D34FA"/>
    <w:pPr>
      <w:spacing w:after="160" w:line="259" w:lineRule="auto"/>
      <w:ind w:left="720"/>
      <w:contextualSpacing/>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19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9686799">
      <w:bodyDiv w:val="1"/>
      <w:marLeft w:val="0"/>
      <w:marRight w:val="0"/>
      <w:marTop w:val="0"/>
      <w:marBottom w:val="0"/>
      <w:divBdr>
        <w:top w:val="none" w:sz="0" w:space="0" w:color="auto"/>
        <w:left w:val="none" w:sz="0" w:space="0" w:color="auto"/>
        <w:bottom w:val="none" w:sz="0" w:space="0" w:color="auto"/>
        <w:right w:val="none" w:sz="0" w:space="0" w:color="auto"/>
      </w:divBdr>
    </w:div>
    <w:div w:id="86987780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8966360">
      <w:bodyDiv w:val="1"/>
      <w:marLeft w:val="0"/>
      <w:marRight w:val="0"/>
      <w:marTop w:val="0"/>
      <w:marBottom w:val="0"/>
      <w:divBdr>
        <w:top w:val="none" w:sz="0" w:space="0" w:color="auto"/>
        <w:left w:val="none" w:sz="0" w:space="0" w:color="auto"/>
        <w:bottom w:val="none" w:sz="0" w:space="0" w:color="auto"/>
        <w:right w:val="none" w:sz="0" w:space="0" w:color="auto"/>
      </w:divBdr>
    </w:div>
    <w:div w:id="134528620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022772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research-and-reporting/bulletins-and-program-management-circulars-pmc" TargetMode="External"/><Relationship Id="rId10" Type="http://schemas.openxmlformats.org/officeDocument/2006/relationships/endnotes" Target="endnotes.xml"/><Relationship Id="rId19" Type="http://schemas.openxmlformats.org/officeDocument/2006/relationships/hyperlink" Target="https://www2.health.vic.gov.au/mental-health/practice-and-service-quality/service-quality/measuring-outcomes-in-ment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entalHealthDataCollection@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Oucome measurement in clincical mental health - 26 March 2021</vt:lpstr>
    </vt:vector>
  </TitlesOfParts>
  <Company>Victoria State Government, Department of Health</Company>
  <LinksUpToDate>false</LinksUpToDate>
  <CharactersWithSpaces>47852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Oucome measurement in clincical mental health - 26 March 2021</dc:title>
  <dc:creator/>
  <dc:description>_x000d_
</dc:description>
  <cp:lastModifiedBy>Tyler McPherson (Health)</cp:lastModifiedBy>
  <cp:revision>6</cp:revision>
  <cp:lastPrinted>2020-03-30T03:28:00Z</cp:lastPrinted>
  <dcterms:created xsi:type="dcterms:W3CDTF">2022-03-07T05:28:00Z</dcterms:created>
  <dcterms:modified xsi:type="dcterms:W3CDTF">2025-07-17T23:49:00Z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2022-11-10T04:09:12Z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2a7293c9-e63e-4c1b-bf2b-14bfd0e20b15</vt:lpwstr>
  </property>
  <property fmtid="{D5CDD505-2E9C-101B-9397-08002B2CF9AE}" pid="11" name="MSIP_Label_43e64453-338c-4f93-8a4d-0039a0a41f2a_ContentBits">
    <vt:lpwstr>2</vt:lpwstr>
  </property>
</Properties>
</file>