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C9C00" w14:textId="77777777" w:rsidR="0074696E" w:rsidRPr="004C6EEE" w:rsidRDefault="00904AB4" w:rsidP="00EC40D5">
      <w:pPr>
        <w:pStyle w:val="Sectionbreakfirstpage"/>
      </w:pPr>
      <w:r>
        <w:rPr>
          <w:lang w:eastAsia="en-AU"/>
        </w:rPr>
        <w:drawing>
          <wp:anchor distT="0" distB="0" distL="114300" distR="114300" simplePos="0" relativeHeight="251658240" behindDoc="1" locked="1" layoutInCell="1" allowOverlap="0" wp14:anchorId="3F9F0BCA" wp14:editId="539412AF">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5A99A0BD"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35B9C2D" w14:textId="77777777" w:rsidTr="00B07FF7">
        <w:trPr>
          <w:trHeight w:val="622"/>
        </w:trPr>
        <w:tc>
          <w:tcPr>
            <w:tcW w:w="10348" w:type="dxa"/>
            <w:tcMar>
              <w:top w:w="1531" w:type="dxa"/>
              <w:left w:w="0" w:type="dxa"/>
              <w:right w:w="0" w:type="dxa"/>
            </w:tcMar>
          </w:tcPr>
          <w:p w14:paraId="52B84C80" w14:textId="6E73885E" w:rsidR="003B5733" w:rsidRPr="003B5733" w:rsidRDefault="00225267" w:rsidP="003B5733">
            <w:pPr>
              <w:pStyle w:val="Documenttitle"/>
            </w:pPr>
            <w:r>
              <w:t xml:space="preserve">Clinical mental health services: changes to registration and updates to outcome measurement </w:t>
            </w:r>
          </w:p>
        </w:tc>
      </w:tr>
      <w:tr w:rsidR="003B5733" w14:paraId="7D0ABA19" w14:textId="77777777" w:rsidTr="00B07FF7">
        <w:tc>
          <w:tcPr>
            <w:tcW w:w="10348" w:type="dxa"/>
          </w:tcPr>
          <w:p w14:paraId="340B0752" w14:textId="77777777" w:rsidR="00BA3356" w:rsidRPr="00E03BD5" w:rsidRDefault="00225267" w:rsidP="007602BC">
            <w:pPr>
              <w:pStyle w:val="Documentsubtitle"/>
              <w:rPr>
                <w:b/>
                <w:bCs/>
                <w:sz w:val="32"/>
                <w:szCs w:val="32"/>
              </w:rPr>
            </w:pPr>
            <w:r w:rsidRPr="00E03BD5">
              <w:rPr>
                <w:b/>
                <w:bCs/>
                <w:sz w:val="32"/>
                <w:szCs w:val="32"/>
              </w:rPr>
              <w:t>Frequently asked questions</w:t>
            </w:r>
            <w:r w:rsidR="005A2F2C" w:rsidRPr="00E03BD5">
              <w:rPr>
                <w:b/>
                <w:bCs/>
                <w:sz w:val="32"/>
                <w:szCs w:val="32"/>
              </w:rPr>
              <w:t xml:space="preserve">      </w:t>
            </w:r>
          </w:p>
          <w:p w14:paraId="6C831D5F" w14:textId="5ECE9A7F" w:rsidR="003B5733" w:rsidRPr="00A1389F" w:rsidRDefault="0070033B" w:rsidP="007602BC">
            <w:pPr>
              <w:pStyle w:val="Documentsubtitle"/>
            </w:pPr>
            <w:r>
              <w:t xml:space="preserve">Updated </w:t>
            </w:r>
            <w:r w:rsidR="00386724">
              <w:t xml:space="preserve">30 </w:t>
            </w:r>
            <w:r w:rsidR="00F860FD">
              <w:t>August</w:t>
            </w:r>
            <w:r>
              <w:t xml:space="preserve"> 2021 (Original i</w:t>
            </w:r>
            <w:r w:rsidR="00BA3356">
              <w:t xml:space="preserve">ssued 25 </w:t>
            </w:r>
            <w:r w:rsidR="005A2F2C">
              <w:t>May 2021</w:t>
            </w:r>
            <w:r>
              <w:t>)</w:t>
            </w:r>
          </w:p>
        </w:tc>
      </w:tr>
      <w:tr w:rsidR="003B5733" w14:paraId="4928C794" w14:textId="77777777" w:rsidTr="00B07FF7">
        <w:tc>
          <w:tcPr>
            <w:tcW w:w="10348" w:type="dxa"/>
          </w:tcPr>
          <w:p w14:paraId="1F924333" w14:textId="77777777" w:rsidR="003B5733" w:rsidRPr="001E5058" w:rsidRDefault="004359DC" w:rsidP="001E5058">
            <w:pPr>
              <w:pStyle w:val="Bannermarking"/>
            </w:pPr>
            <w:fldSimple w:instr="FILLIN  &quot;Type the protective marking&quot; \d OFFICIAL \o  \* MERGEFORMAT">
              <w:r w:rsidR="00225267">
                <w:t>OFFICIAL</w:t>
              </w:r>
            </w:fldSimple>
          </w:p>
        </w:tc>
      </w:tr>
    </w:tbl>
    <w:p w14:paraId="3C7D609E" w14:textId="77777777" w:rsidR="00AD784C" w:rsidRPr="00B57329" w:rsidRDefault="00AD784C" w:rsidP="002365B4">
      <w:pPr>
        <w:pStyle w:val="TOCheadingfactsheet"/>
      </w:pPr>
      <w:r w:rsidRPr="00B57329">
        <w:t>Contents</w:t>
      </w:r>
    </w:p>
    <w:p w14:paraId="29DE5D6C" w14:textId="7BC15D56" w:rsidR="00BB0CCC"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81210049" w:history="1">
        <w:r w:rsidR="00BB0CCC" w:rsidRPr="00BD57EC">
          <w:rPr>
            <w:rStyle w:val="Hyperlink"/>
          </w:rPr>
          <w:t>What is changing</w:t>
        </w:r>
        <w:r w:rsidR="00BB0CCC">
          <w:rPr>
            <w:webHidden/>
          </w:rPr>
          <w:tab/>
        </w:r>
        <w:r w:rsidR="00BB0CCC">
          <w:rPr>
            <w:webHidden/>
          </w:rPr>
          <w:fldChar w:fldCharType="begin"/>
        </w:r>
        <w:r w:rsidR="00BB0CCC">
          <w:rPr>
            <w:webHidden/>
          </w:rPr>
          <w:instrText xml:space="preserve"> PAGEREF _Toc81210049 \h </w:instrText>
        </w:r>
        <w:r w:rsidR="00BB0CCC">
          <w:rPr>
            <w:webHidden/>
          </w:rPr>
        </w:r>
        <w:r w:rsidR="00BB0CCC">
          <w:rPr>
            <w:webHidden/>
          </w:rPr>
          <w:fldChar w:fldCharType="separate"/>
        </w:r>
        <w:r w:rsidR="00BB0CCC">
          <w:rPr>
            <w:webHidden/>
          </w:rPr>
          <w:t>4</w:t>
        </w:r>
        <w:r w:rsidR="00BB0CCC">
          <w:rPr>
            <w:webHidden/>
          </w:rPr>
          <w:fldChar w:fldCharType="end"/>
        </w:r>
      </w:hyperlink>
    </w:p>
    <w:p w14:paraId="52B2BB12" w14:textId="628B83DA" w:rsidR="00BB0CCC" w:rsidRDefault="00BB0CCC">
      <w:pPr>
        <w:pStyle w:val="TOC1"/>
        <w:rPr>
          <w:rFonts w:asciiTheme="minorHAnsi" w:eastAsiaTheme="minorEastAsia" w:hAnsiTheme="minorHAnsi" w:cstheme="minorBidi"/>
          <w:b w:val="0"/>
          <w:sz w:val="22"/>
          <w:szCs w:val="22"/>
          <w:lang w:eastAsia="en-AU"/>
        </w:rPr>
      </w:pPr>
      <w:hyperlink w:anchor="_Toc81210050" w:history="1">
        <w:r w:rsidRPr="00BD57EC">
          <w:rPr>
            <w:rStyle w:val="Hyperlink"/>
          </w:rPr>
          <w:t>Registration</w:t>
        </w:r>
        <w:r>
          <w:rPr>
            <w:webHidden/>
          </w:rPr>
          <w:tab/>
        </w:r>
        <w:r>
          <w:rPr>
            <w:webHidden/>
          </w:rPr>
          <w:fldChar w:fldCharType="begin"/>
        </w:r>
        <w:r>
          <w:rPr>
            <w:webHidden/>
          </w:rPr>
          <w:instrText xml:space="preserve"> PAGEREF _Toc81210050 \h </w:instrText>
        </w:r>
        <w:r>
          <w:rPr>
            <w:webHidden/>
          </w:rPr>
        </w:r>
        <w:r>
          <w:rPr>
            <w:webHidden/>
          </w:rPr>
          <w:fldChar w:fldCharType="separate"/>
        </w:r>
        <w:r>
          <w:rPr>
            <w:webHidden/>
          </w:rPr>
          <w:t>4</w:t>
        </w:r>
        <w:r>
          <w:rPr>
            <w:webHidden/>
          </w:rPr>
          <w:fldChar w:fldCharType="end"/>
        </w:r>
      </w:hyperlink>
    </w:p>
    <w:p w14:paraId="2DBF7C47" w14:textId="24BD43B4" w:rsidR="00BB0CCC" w:rsidRDefault="00BB0CCC">
      <w:pPr>
        <w:pStyle w:val="TOC2"/>
        <w:tabs>
          <w:tab w:val="left" w:pos="567"/>
        </w:tabs>
        <w:rPr>
          <w:rFonts w:asciiTheme="minorHAnsi" w:eastAsiaTheme="minorEastAsia" w:hAnsiTheme="minorHAnsi" w:cstheme="minorBidi"/>
          <w:sz w:val="22"/>
          <w:szCs w:val="22"/>
          <w:lang w:eastAsia="en-AU"/>
        </w:rPr>
      </w:pPr>
      <w:hyperlink w:anchor="_Toc81210051" w:history="1">
        <w:r w:rsidRPr="00BD57EC">
          <w:rPr>
            <w:rStyle w:val="Hyperlink"/>
          </w:rPr>
          <w:t>1.</w:t>
        </w:r>
        <w:r>
          <w:rPr>
            <w:rFonts w:asciiTheme="minorHAnsi" w:eastAsiaTheme="minorEastAsia" w:hAnsiTheme="minorHAnsi" w:cstheme="minorBidi"/>
            <w:sz w:val="22"/>
            <w:szCs w:val="22"/>
            <w:lang w:eastAsia="en-AU"/>
          </w:rPr>
          <w:tab/>
        </w:r>
        <w:r w:rsidRPr="00BD57EC">
          <w:rPr>
            <w:rStyle w:val="Hyperlink"/>
          </w:rPr>
          <w:t>Why change the approach to registration now?</w:t>
        </w:r>
        <w:r>
          <w:rPr>
            <w:webHidden/>
          </w:rPr>
          <w:tab/>
        </w:r>
        <w:r>
          <w:rPr>
            <w:webHidden/>
          </w:rPr>
          <w:fldChar w:fldCharType="begin"/>
        </w:r>
        <w:r>
          <w:rPr>
            <w:webHidden/>
          </w:rPr>
          <w:instrText xml:space="preserve"> PAGEREF _Toc81210051 \h </w:instrText>
        </w:r>
        <w:r>
          <w:rPr>
            <w:webHidden/>
          </w:rPr>
        </w:r>
        <w:r>
          <w:rPr>
            <w:webHidden/>
          </w:rPr>
          <w:fldChar w:fldCharType="separate"/>
        </w:r>
        <w:r>
          <w:rPr>
            <w:webHidden/>
          </w:rPr>
          <w:t>4</w:t>
        </w:r>
        <w:r>
          <w:rPr>
            <w:webHidden/>
          </w:rPr>
          <w:fldChar w:fldCharType="end"/>
        </w:r>
      </w:hyperlink>
    </w:p>
    <w:p w14:paraId="260F885C" w14:textId="7A5D47A2" w:rsidR="00BB0CCC" w:rsidRDefault="00BB0CCC">
      <w:pPr>
        <w:pStyle w:val="TOC2"/>
        <w:tabs>
          <w:tab w:val="left" w:pos="567"/>
        </w:tabs>
        <w:rPr>
          <w:rFonts w:asciiTheme="minorHAnsi" w:eastAsiaTheme="minorEastAsia" w:hAnsiTheme="minorHAnsi" w:cstheme="minorBidi"/>
          <w:sz w:val="22"/>
          <w:szCs w:val="22"/>
          <w:lang w:eastAsia="en-AU"/>
        </w:rPr>
      </w:pPr>
      <w:hyperlink w:anchor="_Toc81210052" w:history="1">
        <w:r w:rsidRPr="00BD57EC">
          <w:rPr>
            <w:rStyle w:val="Hyperlink"/>
          </w:rPr>
          <w:t>2.</w:t>
        </w:r>
        <w:r>
          <w:rPr>
            <w:rFonts w:asciiTheme="minorHAnsi" w:eastAsiaTheme="minorEastAsia" w:hAnsiTheme="minorHAnsi" w:cstheme="minorBidi"/>
            <w:sz w:val="22"/>
            <w:szCs w:val="22"/>
            <w:lang w:eastAsia="en-AU"/>
          </w:rPr>
          <w:tab/>
        </w:r>
        <w:r w:rsidRPr="00BD57EC">
          <w:rPr>
            <w:rStyle w:val="Hyperlink"/>
          </w:rPr>
          <w:t>What do the registration changes mean for area mental health services?</w:t>
        </w:r>
        <w:r>
          <w:rPr>
            <w:webHidden/>
          </w:rPr>
          <w:tab/>
        </w:r>
        <w:r>
          <w:rPr>
            <w:webHidden/>
          </w:rPr>
          <w:fldChar w:fldCharType="begin"/>
        </w:r>
        <w:r>
          <w:rPr>
            <w:webHidden/>
          </w:rPr>
          <w:instrText xml:space="preserve"> PAGEREF _Toc81210052 \h </w:instrText>
        </w:r>
        <w:r>
          <w:rPr>
            <w:webHidden/>
          </w:rPr>
        </w:r>
        <w:r>
          <w:rPr>
            <w:webHidden/>
          </w:rPr>
          <w:fldChar w:fldCharType="separate"/>
        </w:r>
        <w:r>
          <w:rPr>
            <w:webHidden/>
          </w:rPr>
          <w:t>4</w:t>
        </w:r>
        <w:r>
          <w:rPr>
            <w:webHidden/>
          </w:rPr>
          <w:fldChar w:fldCharType="end"/>
        </w:r>
      </w:hyperlink>
    </w:p>
    <w:p w14:paraId="3CEEFFB9" w14:textId="381AD5F2" w:rsidR="00BB0CCC" w:rsidRDefault="00BB0CCC">
      <w:pPr>
        <w:pStyle w:val="TOC2"/>
        <w:tabs>
          <w:tab w:val="left" w:pos="567"/>
        </w:tabs>
        <w:rPr>
          <w:rFonts w:asciiTheme="minorHAnsi" w:eastAsiaTheme="minorEastAsia" w:hAnsiTheme="minorHAnsi" w:cstheme="minorBidi"/>
          <w:sz w:val="22"/>
          <w:szCs w:val="22"/>
          <w:lang w:eastAsia="en-AU"/>
        </w:rPr>
      </w:pPr>
      <w:hyperlink w:anchor="_Toc81210053" w:history="1">
        <w:r w:rsidRPr="00BD57EC">
          <w:rPr>
            <w:rStyle w:val="Hyperlink"/>
          </w:rPr>
          <w:t>3.</w:t>
        </w:r>
        <w:r>
          <w:rPr>
            <w:rFonts w:asciiTheme="minorHAnsi" w:eastAsiaTheme="minorEastAsia" w:hAnsiTheme="minorHAnsi" w:cstheme="minorBidi"/>
            <w:sz w:val="22"/>
            <w:szCs w:val="22"/>
            <w:lang w:eastAsia="en-AU"/>
          </w:rPr>
          <w:tab/>
        </w:r>
        <w:r w:rsidRPr="00BD57EC">
          <w:rPr>
            <w:rStyle w:val="Hyperlink"/>
          </w:rPr>
          <w:t>Does face-to-face assessment include videoconferencing?</w:t>
        </w:r>
        <w:r>
          <w:rPr>
            <w:webHidden/>
          </w:rPr>
          <w:tab/>
        </w:r>
        <w:r>
          <w:rPr>
            <w:webHidden/>
          </w:rPr>
          <w:fldChar w:fldCharType="begin"/>
        </w:r>
        <w:r>
          <w:rPr>
            <w:webHidden/>
          </w:rPr>
          <w:instrText xml:space="preserve"> PAGEREF _Toc81210053 \h </w:instrText>
        </w:r>
        <w:r>
          <w:rPr>
            <w:webHidden/>
          </w:rPr>
        </w:r>
        <w:r>
          <w:rPr>
            <w:webHidden/>
          </w:rPr>
          <w:fldChar w:fldCharType="separate"/>
        </w:r>
        <w:r>
          <w:rPr>
            <w:webHidden/>
          </w:rPr>
          <w:t>5</w:t>
        </w:r>
        <w:r>
          <w:rPr>
            <w:webHidden/>
          </w:rPr>
          <w:fldChar w:fldCharType="end"/>
        </w:r>
      </w:hyperlink>
    </w:p>
    <w:p w14:paraId="37D52EEE" w14:textId="56204DAA" w:rsidR="00BB0CCC" w:rsidRDefault="00BB0CCC">
      <w:pPr>
        <w:pStyle w:val="TOC2"/>
        <w:tabs>
          <w:tab w:val="left" w:pos="567"/>
        </w:tabs>
        <w:rPr>
          <w:rFonts w:asciiTheme="minorHAnsi" w:eastAsiaTheme="minorEastAsia" w:hAnsiTheme="minorHAnsi" w:cstheme="minorBidi"/>
          <w:sz w:val="22"/>
          <w:szCs w:val="22"/>
          <w:lang w:eastAsia="en-AU"/>
        </w:rPr>
      </w:pPr>
      <w:hyperlink w:anchor="_Toc81210054" w:history="1">
        <w:r w:rsidRPr="00BD57EC">
          <w:rPr>
            <w:rStyle w:val="Hyperlink"/>
          </w:rPr>
          <w:t>4.</w:t>
        </w:r>
        <w:r>
          <w:rPr>
            <w:rFonts w:asciiTheme="minorHAnsi" w:eastAsiaTheme="minorEastAsia" w:hAnsiTheme="minorHAnsi" w:cstheme="minorBidi"/>
            <w:sz w:val="22"/>
            <w:szCs w:val="22"/>
            <w:lang w:eastAsia="en-AU"/>
          </w:rPr>
          <w:tab/>
        </w:r>
        <w:r w:rsidRPr="00BD57EC">
          <w:rPr>
            <w:rStyle w:val="Hyperlink"/>
          </w:rPr>
          <w:t>If a program is not listed in the scope section of the registration PMC and we currently register consumers, do we stop?</w:t>
        </w:r>
        <w:r>
          <w:rPr>
            <w:webHidden/>
          </w:rPr>
          <w:tab/>
        </w:r>
        <w:r>
          <w:rPr>
            <w:webHidden/>
          </w:rPr>
          <w:fldChar w:fldCharType="begin"/>
        </w:r>
        <w:r>
          <w:rPr>
            <w:webHidden/>
          </w:rPr>
          <w:instrText xml:space="preserve"> PAGEREF _Toc81210054 \h </w:instrText>
        </w:r>
        <w:r>
          <w:rPr>
            <w:webHidden/>
          </w:rPr>
        </w:r>
        <w:r>
          <w:rPr>
            <w:webHidden/>
          </w:rPr>
          <w:fldChar w:fldCharType="separate"/>
        </w:r>
        <w:r>
          <w:rPr>
            <w:webHidden/>
          </w:rPr>
          <w:t>5</w:t>
        </w:r>
        <w:r>
          <w:rPr>
            <w:webHidden/>
          </w:rPr>
          <w:fldChar w:fldCharType="end"/>
        </w:r>
      </w:hyperlink>
    </w:p>
    <w:p w14:paraId="08762852" w14:textId="1D79FA69" w:rsidR="00BB0CCC" w:rsidRDefault="00BB0CCC">
      <w:pPr>
        <w:pStyle w:val="TOC2"/>
        <w:tabs>
          <w:tab w:val="left" w:pos="567"/>
        </w:tabs>
        <w:rPr>
          <w:rFonts w:asciiTheme="minorHAnsi" w:eastAsiaTheme="minorEastAsia" w:hAnsiTheme="minorHAnsi" w:cstheme="minorBidi"/>
          <w:sz w:val="22"/>
          <w:szCs w:val="22"/>
          <w:lang w:eastAsia="en-AU"/>
        </w:rPr>
      </w:pPr>
      <w:hyperlink w:anchor="_Toc81210055" w:history="1">
        <w:r w:rsidRPr="00BD57EC">
          <w:rPr>
            <w:rStyle w:val="Hyperlink"/>
          </w:rPr>
          <w:t>5.</w:t>
        </w:r>
        <w:r>
          <w:rPr>
            <w:rFonts w:asciiTheme="minorHAnsi" w:eastAsiaTheme="minorEastAsia" w:hAnsiTheme="minorHAnsi" w:cstheme="minorBidi"/>
            <w:sz w:val="22"/>
            <w:szCs w:val="22"/>
            <w:lang w:eastAsia="en-AU"/>
          </w:rPr>
          <w:tab/>
        </w:r>
        <w:r w:rsidRPr="00BD57EC">
          <w:rPr>
            <w:rStyle w:val="Hyperlink"/>
          </w:rPr>
          <w:t>What about programs that aren’t specifically listed in the scope section of the registration PMC?</w:t>
        </w:r>
        <w:r>
          <w:rPr>
            <w:webHidden/>
          </w:rPr>
          <w:tab/>
        </w:r>
        <w:r>
          <w:rPr>
            <w:webHidden/>
          </w:rPr>
          <w:fldChar w:fldCharType="begin"/>
        </w:r>
        <w:r>
          <w:rPr>
            <w:webHidden/>
          </w:rPr>
          <w:instrText xml:space="preserve"> PAGEREF _Toc81210055 \h </w:instrText>
        </w:r>
        <w:r>
          <w:rPr>
            <w:webHidden/>
          </w:rPr>
        </w:r>
        <w:r>
          <w:rPr>
            <w:webHidden/>
          </w:rPr>
          <w:fldChar w:fldCharType="separate"/>
        </w:r>
        <w:r>
          <w:rPr>
            <w:webHidden/>
          </w:rPr>
          <w:t>5</w:t>
        </w:r>
        <w:r>
          <w:rPr>
            <w:webHidden/>
          </w:rPr>
          <w:fldChar w:fldCharType="end"/>
        </w:r>
      </w:hyperlink>
    </w:p>
    <w:p w14:paraId="37F58CAF" w14:textId="7667AF5D" w:rsidR="00BB0CCC" w:rsidRDefault="00BB0CCC">
      <w:pPr>
        <w:pStyle w:val="TOC2"/>
        <w:tabs>
          <w:tab w:val="left" w:pos="567"/>
        </w:tabs>
        <w:rPr>
          <w:rFonts w:asciiTheme="minorHAnsi" w:eastAsiaTheme="minorEastAsia" w:hAnsiTheme="minorHAnsi" w:cstheme="minorBidi"/>
          <w:sz w:val="22"/>
          <w:szCs w:val="22"/>
          <w:lang w:eastAsia="en-AU"/>
        </w:rPr>
      </w:pPr>
      <w:hyperlink w:anchor="_Toc81210056" w:history="1">
        <w:r w:rsidRPr="00BD57EC">
          <w:rPr>
            <w:rStyle w:val="Hyperlink"/>
          </w:rPr>
          <w:t>6.</w:t>
        </w:r>
        <w:r>
          <w:rPr>
            <w:rFonts w:asciiTheme="minorHAnsi" w:eastAsiaTheme="minorEastAsia" w:hAnsiTheme="minorHAnsi" w:cstheme="minorBidi"/>
            <w:sz w:val="22"/>
            <w:szCs w:val="22"/>
            <w:lang w:eastAsia="en-AU"/>
          </w:rPr>
          <w:tab/>
        </w:r>
        <w:r w:rsidRPr="00BD57EC">
          <w:rPr>
            <w:rStyle w:val="Hyperlink"/>
          </w:rPr>
          <w:t>For some clients, there is a check of the ODS only, looking for previous activity- what to do in this instance?</w:t>
        </w:r>
        <w:r>
          <w:rPr>
            <w:webHidden/>
          </w:rPr>
          <w:tab/>
        </w:r>
        <w:r>
          <w:rPr>
            <w:webHidden/>
          </w:rPr>
          <w:fldChar w:fldCharType="begin"/>
        </w:r>
        <w:r>
          <w:rPr>
            <w:webHidden/>
          </w:rPr>
          <w:instrText xml:space="preserve"> PAGEREF _Toc81210056 \h </w:instrText>
        </w:r>
        <w:r>
          <w:rPr>
            <w:webHidden/>
          </w:rPr>
        </w:r>
        <w:r>
          <w:rPr>
            <w:webHidden/>
          </w:rPr>
          <w:fldChar w:fldCharType="separate"/>
        </w:r>
        <w:r>
          <w:rPr>
            <w:webHidden/>
          </w:rPr>
          <w:t>5</w:t>
        </w:r>
        <w:r>
          <w:rPr>
            <w:webHidden/>
          </w:rPr>
          <w:fldChar w:fldCharType="end"/>
        </w:r>
      </w:hyperlink>
    </w:p>
    <w:p w14:paraId="6222E692" w14:textId="49DBC8D9" w:rsidR="00BB0CCC" w:rsidRDefault="00BB0CCC">
      <w:pPr>
        <w:pStyle w:val="TOC2"/>
        <w:tabs>
          <w:tab w:val="left" w:pos="567"/>
        </w:tabs>
        <w:rPr>
          <w:rFonts w:asciiTheme="minorHAnsi" w:eastAsiaTheme="minorEastAsia" w:hAnsiTheme="minorHAnsi" w:cstheme="minorBidi"/>
          <w:sz w:val="22"/>
          <w:szCs w:val="22"/>
          <w:lang w:eastAsia="en-AU"/>
        </w:rPr>
      </w:pPr>
      <w:hyperlink w:anchor="_Toc81210057" w:history="1">
        <w:r w:rsidRPr="00BD57EC">
          <w:rPr>
            <w:rStyle w:val="Hyperlink"/>
          </w:rPr>
          <w:t>7.</w:t>
        </w:r>
        <w:r>
          <w:rPr>
            <w:rFonts w:asciiTheme="minorHAnsi" w:eastAsiaTheme="minorEastAsia" w:hAnsiTheme="minorHAnsi" w:cstheme="minorBidi"/>
            <w:sz w:val="22"/>
            <w:szCs w:val="22"/>
            <w:lang w:eastAsia="en-AU"/>
          </w:rPr>
          <w:tab/>
        </w:r>
        <w:r w:rsidRPr="00BD57EC">
          <w:rPr>
            <w:rStyle w:val="Hyperlink"/>
          </w:rPr>
          <w:t>With the changes to registration, when is data recorded in the Triage Minimum Data Set?</w:t>
        </w:r>
        <w:r>
          <w:rPr>
            <w:webHidden/>
          </w:rPr>
          <w:tab/>
        </w:r>
        <w:r>
          <w:rPr>
            <w:webHidden/>
          </w:rPr>
          <w:fldChar w:fldCharType="begin"/>
        </w:r>
        <w:r>
          <w:rPr>
            <w:webHidden/>
          </w:rPr>
          <w:instrText xml:space="preserve"> PAGEREF _Toc81210057 \h </w:instrText>
        </w:r>
        <w:r>
          <w:rPr>
            <w:webHidden/>
          </w:rPr>
        </w:r>
        <w:r>
          <w:rPr>
            <w:webHidden/>
          </w:rPr>
          <w:fldChar w:fldCharType="separate"/>
        </w:r>
        <w:r>
          <w:rPr>
            <w:webHidden/>
          </w:rPr>
          <w:t>5</w:t>
        </w:r>
        <w:r>
          <w:rPr>
            <w:webHidden/>
          </w:rPr>
          <w:fldChar w:fldCharType="end"/>
        </w:r>
      </w:hyperlink>
    </w:p>
    <w:p w14:paraId="6FF45670" w14:textId="035D09CF" w:rsidR="00BB0CCC" w:rsidRDefault="00BB0CCC">
      <w:pPr>
        <w:pStyle w:val="TOC2"/>
        <w:tabs>
          <w:tab w:val="left" w:pos="567"/>
        </w:tabs>
        <w:rPr>
          <w:rFonts w:asciiTheme="minorHAnsi" w:eastAsiaTheme="minorEastAsia" w:hAnsiTheme="minorHAnsi" w:cstheme="minorBidi"/>
          <w:sz w:val="22"/>
          <w:szCs w:val="22"/>
          <w:lang w:eastAsia="en-AU"/>
        </w:rPr>
      </w:pPr>
      <w:hyperlink w:anchor="_Toc81210058" w:history="1">
        <w:r w:rsidRPr="00BD57EC">
          <w:rPr>
            <w:rStyle w:val="Hyperlink"/>
          </w:rPr>
          <w:t>8.</w:t>
        </w:r>
        <w:r>
          <w:rPr>
            <w:rFonts w:asciiTheme="minorHAnsi" w:eastAsiaTheme="minorEastAsia" w:hAnsiTheme="minorHAnsi" w:cstheme="minorBidi"/>
            <w:sz w:val="22"/>
            <w:szCs w:val="22"/>
            <w:lang w:eastAsia="en-AU"/>
          </w:rPr>
          <w:tab/>
        </w:r>
        <w:r w:rsidRPr="00BD57EC">
          <w:rPr>
            <w:rStyle w:val="Hyperlink"/>
          </w:rPr>
          <w:t>Why should consultation-liaison psychiatry patients be registered?</w:t>
        </w:r>
        <w:r>
          <w:rPr>
            <w:webHidden/>
          </w:rPr>
          <w:tab/>
        </w:r>
        <w:r>
          <w:rPr>
            <w:webHidden/>
          </w:rPr>
          <w:fldChar w:fldCharType="begin"/>
        </w:r>
        <w:r>
          <w:rPr>
            <w:webHidden/>
          </w:rPr>
          <w:instrText xml:space="preserve"> PAGEREF _Toc81210058 \h </w:instrText>
        </w:r>
        <w:r>
          <w:rPr>
            <w:webHidden/>
          </w:rPr>
        </w:r>
        <w:r>
          <w:rPr>
            <w:webHidden/>
          </w:rPr>
          <w:fldChar w:fldCharType="separate"/>
        </w:r>
        <w:r>
          <w:rPr>
            <w:webHidden/>
          </w:rPr>
          <w:t>5</w:t>
        </w:r>
        <w:r>
          <w:rPr>
            <w:webHidden/>
          </w:rPr>
          <w:fldChar w:fldCharType="end"/>
        </w:r>
      </w:hyperlink>
    </w:p>
    <w:p w14:paraId="0BA4FA01" w14:textId="1691E25B" w:rsidR="00BB0CCC" w:rsidRDefault="00BB0CCC">
      <w:pPr>
        <w:pStyle w:val="TOC2"/>
        <w:tabs>
          <w:tab w:val="left" w:pos="567"/>
        </w:tabs>
        <w:rPr>
          <w:rFonts w:asciiTheme="minorHAnsi" w:eastAsiaTheme="minorEastAsia" w:hAnsiTheme="minorHAnsi" w:cstheme="minorBidi"/>
          <w:sz w:val="22"/>
          <w:szCs w:val="22"/>
          <w:lang w:eastAsia="en-AU"/>
        </w:rPr>
      </w:pPr>
      <w:hyperlink w:anchor="_Toc81210059" w:history="1">
        <w:r w:rsidRPr="00BD57EC">
          <w:rPr>
            <w:rStyle w:val="Hyperlink"/>
          </w:rPr>
          <w:t>9.</w:t>
        </w:r>
        <w:r>
          <w:rPr>
            <w:rFonts w:asciiTheme="minorHAnsi" w:eastAsiaTheme="minorEastAsia" w:hAnsiTheme="minorHAnsi" w:cstheme="minorBidi"/>
            <w:sz w:val="22"/>
            <w:szCs w:val="22"/>
            <w:lang w:eastAsia="en-AU"/>
          </w:rPr>
          <w:tab/>
        </w:r>
        <w:r w:rsidRPr="00BD57EC">
          <w:rPr>
            <w:rStyle w:val="Hyperlink"/>
            <w:shd w:val="clear" w:color="auto" w:fill="FFFFFF"/>
          </w:rPr>
          <w:t xml:space="preserve">What </w:t>
        </w:r>
        <w:r w:rsidRPr="00BD57EC">
          <w:rPr>
            <w:rStyle w:val="Hyperlink"/>
          </w:rPr>
          <w:t>about</w:t>
        </w:r>
        <w:r w:rsidRPr="00BD57EC">
          <w:rPr>
            <w:rStyle w:val="Hyperlink"/>
            <w:shd w:val="clear" w:color="auto" w:fill="FFFFFF"/>
          </w:rPr>
          <w:t xml:space="preserve"> clients on </w:t>
        </w:r>
        <w:r w:rsidRPr="00BD57EC">
          <w:rPr>
            <w:rStyle w:val="Hyperlink"/>
          </w:rPr>
          <w:t>clozapine</w:t>
        </w:r>
        <w:r w:rsidRPr="00BD57EC">
          <w:rPr>
            <w:rStyle w:val="Hyperlink"/>
            <w:shd w:val="clear" w:color="auto" w:fill="FFFFFF"/>
          </w:rPr>
          <w:t>?</w:t>
        </w:r>
        <w:r>
          <w:rPr>
            <w:webHidden/>
          </w:rPr>
          <w:tab/>
        </w:r>
        <w:r>
          <w:rPr>
            <w:webHidden/>
          </w:rPr>
          <w:fldChar w:fldCharType="begin"/>
        </w:r>
        <w:r>
          <w:rPr>
            <w:webHidden/>
          </w:rPr>
          <w:instrText xml:space="preserve"> PAGEREF _Toc81210059 \h </w:instrText>
        </w:r>
        <w:r>
          <w:rPr>
            <w:webHidden/>
          </w:rPr>
        </w:r>
        <w:r>
          <w:rPr>
            <w:webHidden/>
          </w:rPr>
          <w:fldChar w:fldCharType="separate"/>
        </w:r>
        <w:r>
          <w:rPr>
            <w:webHidden/>
          </w:rPr>
          <w:t>6</w:t>
        </w:r>
        <w:r>
          <w:rPr>
            <w:webHidden/>
          </w:rPr>
          <w:fldChar w:fldCharType="end"/>
        </w:r>
      </w:hyperlink>
    </w:p>
    <w:p w14:paraId="5317C0D1" w14:textId="710610EC" w:rsidR="00BB0CCC" w:rsidRDefault="00BB0CCC">
      <w:pPr>
        <w:pStyle w:val="TOC2"/>
        <w:tabs>
          <w:tab w:val="left" w:pos="567"/>
        </w:tabs>
        <w:rPr>
          <w:rFonts w:asciiTheme="minorHAnsi" w:eastAsiaTheme="minorEastAsia" w:hAnsiTheme="minorHAnsi" w:cstheme="minorBidi"/>
          <w:sz w:val="22"/>
          <w:szCs w:val="22"/>
          <w:lang w:eastAsia="en-AU"/>
        </w:rPr>
      </w:pPr>
      <w:hyperlink w:anchor="_Toc81210060" w:history="1">
        <w:r w:rsidRPr="00BD57EC">
          <w:rPr>
            <w:rStyle w:val="Hyperlink"/>
          </w:rPr>
          <w:t>10.</w:t>
        </w:r>
        <w:r>
          <w:rPr>
            <w:rFonts w:asciiTheme="minorHAnsi" w:eastAsiaTheme="minorEastAsia" w:hAnsiTheme="minorHAnsi" w:cstheme="minorBidi"/>
            <w:sz w:val="22"/>
            <w:szCs w:val="22"/>
            <w:lang w:eastAsia="en-AU"/>
          </w:rPr>
          <w:tab/>
        </w:r>
        <w:r w:rsidRPr="00BD57EC">
          <w:rPr>
            <w:rStyle w:val="Hyperlink"/>
          </w:rPr>
          <w:t>What do the registration changes mean for consumers?</w:t>
        </w:r>
        <w:r>
          <w:rPr>
            <w:webHidden/>
          </w:rPr>
          <w:tab/>
        </w:r>
        <w:r>
          <w:rPr>
            <w:webHidden/>
          </w:rPr>
          <w:fldChar w:fldCharType="begin"/>
        </w:r>
        <w:r>
          <w:rPr>
            <w:webHidden/>
          </w:rPr>
          <w:instrText xml:space="preserve"> PAGEREF _Toc81210060 \h </w:instrText>
        </w:r>
        <w:r>
          <w:rPr>
            <w:webHidden/>
          </w:rPr>
        </w:r>
        <w:r>
          <w:rPr>
            <w:webHidden/>
          </w:rPr>
          <w:fldChar w:fldCharType="separate"/>
        </w:r>
        <w:r>
          <w:rPr>
            <w:webHidden/>
          </w:rPr>
          <w:t>6</w:t>
        </w:r>
        <w:r>
          <w:rPr>
            <w:webHidden/>
          </w:rPr>
          <w:fldChar w:fldCharType="end"/>
        </w:r>
      </w:hyperlink>
    </w:p>
    <w:p w14:paraId="514D0491" w14:textId="22C24BD6" w:rsidR="00BB0CCC" w:rsidRDefault="00BB0CCC">
      <w:pPr>
        <w:pStyle w:val="TOC2"/>
        <w:tabs>
          <w:tab w:val="left" w:pos="567"/>
        </w:tabs>
        <w:rPr>
          <w:rFonts w:asciiTheme="minorHAnsi" w:eastAsiaTheme="minorEastAsia" w:hAnsiTheme="minorHAnsi" w:cstheme="minorBidi"/>
          <w:sz w:val="22"/>
          <w:szCs w:val="22"/>
          <w:lang w:eastAsia="en-AU"/>
        </w:rPr>
      </w:pPr>
      <w:hyperlink w:anchor="_Toc81210061" w:history="1">
        <w:r w:rsidRPr="00BD57EC">
          <w:rPr>
            <w:rStyle w:val="Hyperlink"/>
          </w:rPr>
          <w:t>11.</w:t>
        </w:r>
        <w:r>
          <w:rPr>
            <w:rFonts w:asciiTheme="minorHAnsi" w:eastAsiaTheme="minorEastAsia" w:hAnsiTheme="minorHAnsi" w:cstheme="minorBidi"/>
            <w:sz w:val="22"/>
            <w:szCs w:val="22"/>
            <w:lang w:eastAsia="en-AU"/>
          </w:rPr>
          <w:tab/>
        </w:r>
        <w:r w:rsidRPr="00BD57EC">
          <w:rPr>
            <w:rStyle w:val="Hyperlink"/>
          </w:rPr>
          <w:t>Is people’s information protected and secure?</w:t>
        </w:r>
        <w:r>
          <w:rPr>
            <w:webHidden/>
          </w:rPr>
          <w:tab/>
        </w:r>
        <w:r>
          <w:rPr>
            <w:webHidden/>
          </w:rPr>
          <w:fldChar w:fldCharType="begin"/>
        </w:r>
        <w:r>
          <w:rPr>
            <w:webHidden/>
          </w:rPr>
          <w:instrText xml:space="preserve"> PAGEREF _Toc81210061 \h </w:instrText>
        </w:r>
        <w:r>
          <w:rPr>
            <w:webHidden/>
          </w:rPr>
        </w:r>
        <w:r>
          <w:rPr>
            <w:webHidden/>
          </w:rPr>
          <w:fldChar w:fldCharType="separate"/>
        </w:r>
        <w:r>
          <w:rPr>
            <w:webHidden/>
          </w:rPr>
          <w:t>6</w:t>
        </w:r>
        <w:r>
          <w:rPr>
            <w:webHidden/>
          </w:rPr>
          <w:fldChar w:fldCharType="end"/>
        </w:r>
      </w:hyperlink>
    </w:p>
    <w:p w14:paraId="12B50512" w14:textId="5645B6D6" w:rsidR="00BB0CCC" w:rsidRDefault="00BB0CCC">
      <w:pPr>
        <w:pStyle w:val="TOC2"/>
        <w:tabs>
          <w:tab w:val="left" w:pos="567"/>
        </w:tabs>
        <w:rPr>
          <w:rFonts w:asciiTheme="minorHAnsi" w:eastAsiaTheme="minorEastAsia" w:hAnsiTheme="minorHAnsi" w:cstheme="minorBidi"/>
          <w:sz w:val="22"/>
          <w:szCs w:val="22"/>
          <w:lang w:eastAsia="en-AU"/>
        </w:rPr>
      </w:pPr>
      <w:hyperlink w:anchor="_Toc81210062" w:history="1">
        <w:r w:rsidRPr="00BD57EC">
          <w:rPr>
            <w:rStyle w:val="Hyperlink"/>
          </w:rPr>
          <w:t>12.</w:t>
        </w:r>
        <w:r>
          <w:rPr>
            <w:rFonts w:asciiTheme="minorHAnsi" w:eastAsiaTheme="minorEastAsia" w:hAnsiTheme="minorHAnsi" w:cstheme="minorBidi"/>
            <w:sz w:val="22"/>
            <w:szCs w:val="22"/>
            <w:lang w:eastAsia="en-AU"/>
          </w:rPr>
          <w:tab/>
        </w:r>
        <w:r w:rsidRPr="00BD57EC">
          <w:rPr>
            <w:rStyle w:val="Hyperlink"/>
          </w:rPr>
          <w:t>What privacy laws protect the information in CMI/ODS?</w:t>
        </w:r>
        <w:r>
          <w:rPr>
            <w:webHidden/>
          </w:rPr>
          <w:tab/>
        </w:r>
        <w:r>
          <w:rPr>
            <w:webHidden/>
          </w:rPr>
          <w:fldChar w:fldCharType="begin"/>
        </w:r>
        <w:r>
          <w:rPr>
            <w:webHidden/>
          </w:rPr>
          <w:instrText xml:space="preserve"> PAGEREF _Toc81210062 \h </w:instrText>
        </w:r>
        <w:r>
          <w:rPr>
            <w:webHidden/>
          </w:rPr>
        </w:r>
        <w:r>
          <w:rPr>
            <w:webHidden/>
          </w:rPr>
          <w:fldChar w:fldCharType="separate"/>
        </w:r>
        <w:r>
          <w:rPr>
            <w:webHidden/>
          </w:rPr>
          <w:t>6</w:t>
        </w:r>
        <w:r>
          <w:rPr>
            <w:webHidden/>
          </w:rPr>
          <w:fldChar w:fldCharType="end"/>
        </w:r>
      </w:hyperlink>
    </w:p>
    <w:p w14:paraId="45904793" w14:textId="50E96998" w:rsidR="00BB0CCC" w:rsidRDefault="00BB0CCC">
      <w:pPr>
        <w:pStyle w:val="TOC2"/>
        <w:tabs>
          <w:tab w:val="left" w:pos="567"/>
        </w:tabs>
        <w:rPr>
          <w:rFonts w:asciiTheme="minorHAnsi" w:eastAsiaTheme="minorEastAsia" w:hAnsiTheme="minorHAnsi" w:cstheme="minorBidi"/>
          <w:sz w:val="22"/>
          <w:szCs w:val="22"/>
          <w:lang w:eastAsia="en-AU"/>
        </w:rPr>
      </w:pPr>
      <w:hyperlink w:anchor="_Toc81210063" w:history="1">
        <w:r w:rsidRPr="00BD57EC">
          <w:rPr>
            <w:rStyle w:val="Hyperlink"/>
          </w:rPr>
          <w:t>13.</w:t>
        </w:r>
        <w:r>
          <w:rPr>
            <w:rFonts w:asciiTheme="minorHAnsi" w:eastAsiaTheme="minorEastAsia" w:hAnsiTheme="minorHAnsi" w:cstheme="minorBidi"/>
            <w:sz w:val="22"/>
            <w:szCs w:val="22"/>
            <w:lang w:eastAsia="en-AU"/>
          </w:rPr>
          <w:tab/>
        </w:r>
        <w:r w:rsidRPr="00BD57EC">
          <w:rPr>
            <w:rStyle w:val="Hyperlink"/>
          </w:rPr>
          <w:t>Will there be funding support for services to implement the registration, phase of care and updated outcome measurement program management circulars?</w:t>
        </w:r>
        <w:r>
          <w:rPr>
            <w:webHidden/>
          </w:rPr>
          <w:tab/>
        </w:r>
        <w:r>
          <w:rPr>
            <w:webHidden/>
          </w:rPr>
          <w:fldChar w:fldCharType="begin"/>
        </w:r>
        <w:r>
          <w:rPr>
            <w:webHidden/>
          </w:rPr>
          <w:instrText xml:space="preserve"> PAGEREF _Toc81210063 \h </w:instrText>
        </w:r>
        <w:r>
          <w:rPr>
            <w:webHidden/>
          </w:rPr>
        </w:r>
        <w:r>
          <w:rPr>
            <w:webHidden/>
          </w:rPr>
          <w:fldChar w:fldCharType="separate"/>
        </w:r>
        <w:r>
          <w:rPr>
            <w:webHidden/>
          </w:rPr>
          <w:t>7</w:t>
        </w:r>
        <w:r>
          <w:rPr>
            <w:webHidden/>
          </w:rPr>
          <w:fldChar w:fldCharType="end"/>
        </w:r>
      </w:hyperlink>
    </w:p>
    <w:p w14:paraId="4B16A98B" w14:textId="48699451" w:rsidR="00BB0CCC" w:rsidRDefault="00BB0CCC">
      <w:pPr>
        <w:pStyle w:val="TOC2"/>
        <w:tabs>
          <w:tab w:val="left" w:pos="567"/>
        </w:tabs>
        <w:rPr>
          <w:rFonts w:asciiTheme="minorHAnsi" w:eastAsiaTheme="minorEastAsia" w:hAnsiTheme="minorHAnsi" w:cstheme="minorBidi"/>
          <w:sz w:val="22"/>
          <w:szCs w:val="22"/>
          <w:lang w:eastAsia="en-AU"/>
        </w:rPr>
      </w:pPr>
      <w:hyperlink w:anchor="_Toc81210064" w:history="1">
        <w:r w:rsidRPr="00BD57EC">
          <w:rPr>
            <w:rStyle w:val="Hyperlink"/>
          </w:rPr>
          <w:t>14.</w:t>
        </w:r>
        <w:r>
          <w:rPr>
            <w:rFonts w:asciiTheme="minorHAnsi" w:eastAsiaTheme="minorEastAsia" w:hAnsiTheme="minorHAnsi" w:cstheme="minorBidi"/>
            <w:sz w:val="22"/>
            <w:szCs w:val="22"/>
            <w:lang w:eastAsia="en-AU"/>
          </w:rPr>
          <w:tab/>
        </w:r>
        <w:r w:rsidRPr="00BD57EC">
          <w:rPr>
            <w:rStyle w:val="Hyperlink"/>
          </w:rPr>
          <w:t>Do I need to register a consumer if it is a one-off assessment?</w:t>
        </w:r>
        <w:r>
          <w:rPr>
            <w:webHidden/>
          </w:rPr>
          <w:tab/>
        </w:r>
        <w:r>
          <w:rPr>
            <w:webHidden/>
          </w:rPr>
          <w:fldChar w:fldCharType="begin"/>
        </w:r>
        <w:r>
          <w:rPr>
            <w:webHidden/>
          </w:rPr>
          <w:instrText xml:space="preserve"> PAGEREF _Toc81210064 \h </w:instrText>
        </w:r>
        <w:r>
          <w:rPr>
            <w:webHidden/>
          </w:rPr>
        </w:r>
        <w:r>
          <w:rPr>
            <w:webHidden/>
          </w:rPr>
          <w:fldChar w:fldCharType="separate"/>
        </w:r>
        <w:r>
          <w:rPr>
            <w:webHidden/>
          </w:rPr>
          <w:t>7</w:t>
        </w:r>
        <w:r>
          <w:rPr>
            <w:webHidden/>
          </w:rPr>
          <w:fldChar w:fldCharType="end"/>
        </w:r>
      </w:hyperlink>
    </w:p>
    <w:p w14:paraId="3F731CDA" w14:textId="53762630" w:rsidR="00BB0CCC" w:rsidRDefault="00BB0CCC">
      <w:pPr>
        <w:pStyle w:val="TOC2"/>
        <w:tabs>
          <w:tab w:val="left" w:pos="567"/>
        </w:tabs>
        <w:rPr>
          <w:rFonts w:asciiTheme="minorHAnsi" w:eastAsiaTheme="minorEastAsia" w:hAnsiTheme="minorHAnsi" w:cstheme="minorBidi"/>
          <w:sz w:val="22"/>
          <w:szCs w:val="22"/>
          <w:lang w:eastAsia="en-AU"/>
        </w:rPr>
      </w:pPr>
      <w:hyperlink w:anchor="_Toc81210065" w:history="1">
        <w:r w:rsidRPr="00BD57EC">
          <w:rPr>
            <w:rStyle w:val="Hyperlink"/>
          </w:rPr>
          <w:t>15.</w:t>
        </w:r>
        <w:r>
          <w:rPr>
            <w:rFonts w:asciiTheme="minorHAnsi" w:eastAsiaTheme="minorEastAsia" w:hAnsiTheme="minorHAnsi" w:cstheme="minorBidi"/>
            <w:sz w:val="22"/>
            <w:szCs w:val="22"/>
            <w:lang w:eastAsia="en-AU"/>
          </w:rPr>
          <w:tab/>
        </w:r>
        <w:r w:rsidRPr="00BD57EC">
          <w:rPr>
            <w:rStyle w:val="Hyperlink"/>
          </w:rPr>
          <w:t>Do I have to open a case and episode if it is an assessment only case?</w:t>
        </w:r>
        <w:r>
          <w:rPr>
            <w:webHidden/>
          </w:rPr>
          <w:tab/>
        </w:r>
        <w:r>
          <w:rPr>
            <w:webHidden/>
          </w:rPr>
          <w:fldChar w:fldCharType="begin"/>
        </w:r>
        <w:r>
          <w:rPr>
            <w:webHidden/>
          </w:rPr>
          <w:instrText xml:space="preserve"> PAGEREF _Toc81210065 \h </w:instrText>
        </w:r>
        <w:r>
          <w:rPr>
            <w:webHidden/>
          </w:rPr>
        </w:r>
        <w:r>
          <w:rPr>
            <w:webHidden/>
          </w:rPr>
          <w:fldChar w:fldCharType="separate"/>
        </w:r>
        <w:r>
          <w:rPr>
            <w:webHidden/>
          </w:rPr>
          <w:t>7</w:t>
        </w:r>
        <w:r>
          <w:rPr>
            <w:webHidden/>
          </w:rPr>
          <w:fldChar w:fldCharType="end"/>
        </w:r>
      </w:hyperlink>
    </w:p>
    <w:p w14:paraId="3E26AB7D" w14:textId="45F7D2C7" w:rsidR="00BB0CCC" w:rsidRDefault="00BB0CCC">
      <w:pPr>
        <w:pStyle w:val="TOC2"/>
        <w:tabs>
          <w:tab w:val="left" w:pos="567"/>
        </w:tabs>
        <w:rPr>
          <w:rFonts w:asciiTheme="minorHAnsi" w:eastAsiaTheme="minorEastAsia" w:hAnsiTheme="minorHAnsi" w:cstheme="minorBidi"/>
          <w:sz w:val="22"/>
          <w:szCs w:val="22"/>
          <w:lang w:eastAsia="en-AU"/>
        </w:rPr>
      </w:pPr>
      <w:hyperlink w:anchor="_Toc81210066" w:history="1">
        <w:r w:rsidRPr="00BD57EC">
          <w:rPr>
            <w:rStyle w:val="Hyperlink"/>
          </w:rPr>
          <w:t>16.</w:t>
        </w:r>
        <w:r>
          <w:rPr>
            <w:rFonts w:asciiTheme="minorHAnsi" w:eastAsiaTheme="minorEastAsia" w:hAnsiTheme="minorHAnsi" w:cstheme="minorBidi"/>
            <w:sz w:val="22"/>
            <w:szCs w:val="22"/>
            <w:lang w:eastAsia="en-AU"/>
          </w:rPr>
          <w:tab/>
        </w:r>
        <w:r w:rsidRPr="00BD57EC">
          <w:rPr>
            <w:rStyle w:val="Hyperlink"/>
          </w:rPr>
          <w:t>Can I register the consumer on the second or subsequent contact following assessment?</w:t>
        </w:r>
        <w:r>
          <w:rPr>
            <w:webHidden/>
          </w:rPr>
          <w:tab/>
        </w:r>
        <w:r>
          <w:rPr>
            <w:webHidden/>
          </w:rPr>
          <w:fldChar w:fldCharType="begin"/>
        </w:r>
        <w:r>
          <w:rPr>
            <w:webHidden/>
          </w:rPr>
          <w:instrText xml:space="preserve"> PAGEREF _Toc81210066 \h </w:instrText>
        </w:r>
        <w:r>
          <w:rPr>
            <w:webHidden/>
          </w:rPr>
        </w:r>
        <w:r>
          <w:rPr>
            <w:webHidden/>
          </w:rPr>
          <w:fldChar w:fldCharType="separate"/>
        </w:r>
        <w:r>
          <w:rPr>
            <w:webHidden/>
          </w:rPr>
          <w:t>7</w:t>
        </w:r>
        <w:r>
          <w:rPr>
            <w:webHidden/>
          </w:rPr>
          <w:fldChar w:fldCharType="end"/>
        </w:r>
      </w:hyperlink>
    </w:p>
    <w:p w14:paraId="6C8DC182" w14:textId="65E88D7B" w:rsidR="00BB0CCC" w:rsidRDefault="00BB0CCC">
      <w:pPr>
        <w:pStyle w:val="TOC2"/>
        <w:tabs>
          <w:tab w:val="left" w:pos="567"/>
        </w:tabs>
        <w:rPr>
          <w:rFonts w:asciiTheme="minorHAnsi" w:eastAsiaTheme="minorEastAsia" w:hAnsiTheme="minorHAnsi" w:cstheme="minorBidi"/>
          <w:sz w:val="22"/>
          <w:szCs w:val="22"/>
          <w:lang w:eastAsia="en-AU"/>
        </w:rPr>
      </w:pPr>
      <w:hyperlink w:anchor="_Toc81210067" w:history="1">
        <w:r w:rsidRPr="00BD57EC">
          <w:rPr>
            <w:rStyle w:val="Hyperlink"/>
          </w:rPr>
          <w:t>17.</w:t>
        </w:r>
        <w:r>
          <w:rPr>
            <w:rFonts w:asciiTheme="minorHAnsi" w:eastAsiaTheme="minorEastAsia" w:hAnsiTheme="minorHAnsi" w:cstheme="minorBidi"/>
            <w:sz w:val="22"/>
            <w:szCs w:val="22"/>
            <w:lang w:eastAsia="en-AU"/>
          </w:rPr>
          <w:tab/>
        </w:r>
        <w:r w:rsidRPr="00BD57EC">
          <w:rPr>
            <w:rStyle w:val="Hyperlink"/>
          </w:rPr>
          <w:t>Do I have to register an infant or child aged 0-11 years?</w:t>
        </w:r>
        <w:r>
          <w:rPr>
            <w:webHidden/>
          </w:rPr>
          <w:tab/>
        </w:r>
        <w:r>
          <w:rPr>
            <w:webHidden/>
          </w:rPr>
          <w:fldChar w:fldCharType="begin"/>
        </w:r>
        <w:r>
          <w:rPr>
            <w:webHidden/>
          </w:rPr>
          <w:instrText xml:space="preserve"> PAGEREF _Toc81210067 \h </w:instrText>
        </w:r>
        <w:r>
          <w:rPr>
            <w:webHidden/>
          </w:rPr>
        </w:r>
        <w:r>
          <w:rPr>
            <w:webHidden/>
          </w:rPr>
          <w:fldChar w:fldCharType="separate"/>
        </w:r>
        <w:r>
          <w:rPr>
            <w:webHidden/>
          </w:rPr>
          <w:t>7</w:t>
        </w:r>
        <w:r>
          <w:rPr>
            <w:webHidden/>
          </w:rPr>
          <w:fldChar w:fldCharType="end"/>
        </w:r>
      </w:hyperlink>
    </w:p>
    <w:p w14:paraId="15459609" w14:textId="38295250" w:rsidR="00BB0CCC" w:rsidRDefault="00BB0CCC">
      <w:pPr>
        <w:pStyle w:val="TOC2"/>
        <w:tabs>
          <w:tab w:val="left" w:pos="567"/>
        </w:tabs>
        <w:rPr>
          <w:rFonts w:asciiTheme="minorHAnsi" w:eastAsiaTheme="minorEastAsia" w:hAnsiTheme="minorHAnsi" w:cstheme="minorBidi"/>
          <w:sz w:val="22"/>
          <w:szCs w:val="22"/>
          <w:lang w:eastAsia="en-AU"/>
        </w:rPr>
      </w:pPr>
      <w:hyperlink w:anchor="_Toc81210068" w:history="1">
        <w:r w:rsidRPr="00BD57EC">
          <w:rPr>
            <w:rStyle w:val="Hyperlink"/>
          </w:rPr>
          <w:t>18.</w:t>
        </w:r>
        <w:r>
          <w:rPr>
            <w:rFonts w:asciiTheme="minorHAnsi" w:eastAsiaTheme="minorEastAsia" w:hAnsiTheme="minorHAnsi" w:cstheme="minorBidi"/>
            <w:sz w:val="22"/>
            <w:szCs w:val="22"/>
            <w:lang w:eastAsia="en-AU"/>
          </w:rPr>
          <w:tab/>
        </w:r>
        <w:r w:rsidRPr="00BD57EC">
          <w:rPr>
            <w:rStyle w:val="Hyperlink"/>
          </w:rPr>
          <w:t>What is the approach to accompanying family members or carers?</w:t>
        </w:r>
        <w:r>
          <w:rPr>
            <w:webHidden/>
          </w:rPr>
          <w:tab/>
        </w:r>
        <w:r>
          <w:rPr>
            <w:webHidden/>
          </w:rPr>
          <w:fldChar w:fldCharType="begin"/>
        </w:r>
        <w:r>
          <w:rPr>
            <w:webHidden/>
          </w:rPr>
          <w:instrText xml:space="preserve"> PAGEREF _Toc81210068 \h </w:instrText>
        </w:r>
        <w:r>
          <w:rPr>
            <w:webHidden/>
          </w:rPr>
        </w:r>
        <w:r>
          <w:rPr>
            <w:webHidden/>
          </w:rPr>
          <w:fldChar w:fldCharType="separate"/>
        </w:r>
        <w:r>
          <w:rPr>
            <w:webHidden/>
          </w:rPr>
          <w:t>7</w:t>
        </w:r>
        <w:r>
          <w:rPr>
            <w:webHidden/>
          </w:rPr>
          <w:fldChar w:fldCharType="end"/>
        </w:r>
      </w:hyperlink>
    </w:p>
    <w:p w14:paraId="299989D9" w14:textId="1851BFB3" w:rsidR="00BB0CCC" w:rsidRDefault="00BB0CCC">
      <w:pPr>
        <w:pStyle w:val="TOC2"/>
        <w:tabs>
          <w:tab w:val="left" w:pos="567"/>
        </w:tabs>
        <w:rPr>
          <w:rFonts w:asciiTheme="minorHAnsi" w:eastAsiaTheme="minorEastAsia" w:hAnsiTheme="minorHAnsi" w:cstheme="minorBidi"/>
          <w:sz w:val="22"/>
          <w:szCs w:val="22"/>
          <w:lang w:eastAsia="en-AU"/>
        </w:rPr>
      </w:pPr>
      <w:hyperlink w:anchor="_Toc81210069" w:history="1">
        <w:r w:rsidRPr="00BD57EC">
          <w:rPr>
            <w:rStyle w:val="Hyperlink"/>
          </w:rPr>
          <w:t>19.</w:t>
        </w:r>
        <w:r>
          <w:rPr>
            <w:rFonts w:asciiTheme="minorHAnsi" w:eastAsiaTheme="minorEastAsia" w:hAnsiTheme="minorHAnsi" w:cstheme="minorBidi"/>
            <w:sz w:val="22"/>
            <w:szCs w:val="22"/>
            <w:lang w:eastAsia="en-AU"/>
          </w:rPr>
          <w:tab/>
        </w:r>
        <w:r w:rsidRPr="00BD57EC">
          <w:rPr>
            <w:rStyle w:val="Hyperlink"/>
          </w:rPr>
          <w:t>What is the approach with support groups for carers that are run by the AMHS?</w:t>
        </w:r>
        <w:r>
          <w:rPr>
            <w:webHidden/>
          </w:rPr>
          <w:tab/>
        </w:r>
        <w:r>
          <w:rPr>
            <w:webHidden/>
          </w:rPr>
          <w:fldChar w:fldCharType="begin"/>
        </w:r>
        <w:r>
          <w:rPr>
            <w:webHidden/>
          </w:rPr>
          <w:instrText xml:space="preserve"> PAGEREF _Toc81210069 \h </w:instrText>
        </w:r>
        <w:r>
          <w:rPr>
            <w:webHidden/>
          </w:rPr>
        </w:r>
        <w:r>
          <w:rPr>
            <w:webHidden/>
          </w:rPr>
          <w:fldChar w:fldCharType="separate"/>
        </w:r>
        <w:r>
          <w:rPr>
            <w:webHidden/>
          </w:rPr>
          <w:t>8</w:t>
        </w:r>
        <w:r>
          <w:rPr>
            <w:webHidden/>
          </w:rPr>
          <w:fldChar w:fldCharType="end"/>
        </w:r>
      </w:hyperlink>
    </w:p>
    <w:p w14:paraId="024A149D" w14:textId="58CDD445" w:rsidR="00BB0CCC" w:rsidRDefault="00BB0CCC">
      <w:pPr>
        <w:pStyle w:val="TOC2"/>
        <w:tabs>
          <w:tab w:val="left" w:pos="567"/>
        </w:tabs>
        <w:rPr>
          <w:rFonts w:asciiTheme="minorHAnsi" w:eastAsiaTheme="minorEastAsia" w:hAnsiTheme="minorHAnsi" w:cstheme="minorBidi"/>
          <w:sz w:val="22"/>
          <w:szCs w:val="22"/>
          <w:lang w:eastAsia="en-AU"/>
        </w:rPr>
      </w:pPr>
      <w:hyperlink w:anchor="_Toc81210070" w:history="1">
        <w:r w:rsidRPr="00BD57EC">
          <w:rPr>
            <w:rStyle w:val="Hyperlink"/>
          </w:rPr>
          <w:t>20.</w:t>
        </w:r>
        <w:r>
          <w:rPr>
            <w:rFonts w:asciiTheme="minorHAnsi" w:eastAsiaTheme="minorEastAsia" w:hAnsiTheme="minorHAnsi" w:cstheme="minorBidi"/>
            <w:sz w:val="22"/>
            <w:szCs w:val="22"/>
            <w:lang w:eastAsia="en-AU"/>
          </w:rPr>
          <w:tab/>
        </w:r>
        <w:r w:rsidRPr="00BD57EC">
          <w:rPr>
            <w:rStyle w:val="Hyperlink"/>
          </w:rPr>
          <w:t>Do I have to register a consumer who presents to an ED and receives mental health treatment as they are already registered as part of the emergency department care?</w:t>
        </w:r>
        <w:r>
          <w:rPr>
            <w:webHidden/>
          </w:rPr>
          <w:tab/>
        </w:r>
        <w:r>
          <w:rPr>
            <w:webHidden/>
          </w:rPr>
          <w:fldChar w:fldCharType="begin"/>
        </w:r>
        <w:r>
          <w:rPr>
            <w:webHidden/>
          </w:rPr>
          <w:instrText xml:space="preserve"> PAGEREF _Toc81210070 \h </w:instrText>
        </w:r>
        <w:r>
          <w:rPr>
            <w:webHidden/>
          </w:rPr>
        </w:r>
        <w:r>
          <w:rPr>
            <w:webHidden/>
          </w:rPr>
          <w:fldChar w:fldCharType="separate"/>
        </w:r>
        <w:r>
          <w:rPr>
            <w:webHidden/>
          </w:rPr>
          <w:t>8</w:t>
        </w:r>
        <w:r>
          <w:rPr>
            <w:webHidden/>
          </w:rPr>
          <w:fldChar w:fldCharType="end"/>
        </w:r>
      </w:hyperlink>
    </w:p>
    <w:p w14:paraId="6F058926" w14:textId="2E14D98A" w:rsidR="00BB0CCC" w:rsidRDefault="00BB0CCC">
      <w:pPr>
        <w:pStyle w:val="TOC2"/>
        <w:tabs>
          <w:tab w:val="left" w:pos="567"/>
        </w:tabs>
        <w:rPr>
          <w:rFonts w:asciiTheme="minorHAnsi" w:eastAsiaTheme="minorEastAsia" w:hAnsiTheme="minorHAnsi" w:cstheme="minorBidi"/>
          <w:sz w:val="22"/>
          <w:szCs w:val="22"/>
          <w:lang w:eastAsia="en-AU"/>
        </w:rPr>
      </w:pPr>
      <w:hyperlink w:anchor="_Toc81210071" w:history="1">
        <w:r w:rsidRPr="00BD57EC">
          <w:rPr>
            <w:rStyle w:val="Hyperlink"/>
          </w:rPr>
          <w:t>21.</w:t>
        </w:r>
        <w:r>
          <w:rPr>
            <w:rFonts w:asciiTheme="minorHAnsi" w:eastAsiaTheme="minorEastAsia" w:hAnsiTheme="minorHAnsi" w:cstheme="minorBidi"/>
            <w:sz w:val="22"/>
            <w:szCs w:val="22"/>
            <w:lang w:eastAsia="en-AU"/>
          </w:rPr>
          <w:tab/>
        </w:r>
        <w:r w:rsidRPr="00BD57EC">
          <w:rPr>
            <w:rStyle w:val="Hyperlink"/>
          </w:rPr>
          <w:t>Do I need to register the consumer within 24hrs?</w:t>
        </w:r>
        <w:r>
          <w:rPr>
            <w:webHidden/>
          </w:rPr>
          <w:tab/>
        </w:r>
        <w:r>
          <w:rPr>
            <w:webHidden/>
          </w:rPr>
          <w:fldChar w:fldCharType="begin"/>
        </w:r>
        <w:r>
          <w:rPr>
            <w:webHidden/>
          </w:rPr>
          <w:instrText xml:space="preserve"> PAGEREF _Toc81210071 \h </w:instrText>
        </w:r>
        <w:r>
          <w:rPr>
            <w:webHidden/>
          </w:rPr>
        </w:r>
        <w:r>
          <w:rPr>
            <w:webHidden/>
          </w:rPr>
          <w:fldChar w:fldCharType="separate"/>
        </w:r>
        <w:r>
          <w:rPr>
            <w:webHidden/>
          </w:rPr>
          <w:t>8</w:t>
        </w:r>
        <w:r>
          <w:rPr>
            <w:webHidden/>
          </w:rPr>
          <w:fldChar w:fldCharType="end"/>
        </w:r>
      </w:hyperlink>
    </w:p>
    <w:p w14:paraId="426B66E6" w14:textId="3C4F9DC6" w:rsidR="00BB0CCC" w:rsidRDefault="00BB0CCC">
      <w:pPr>
        <w:pStyle w:val="TOC2"/>
        <w:tabs>
          <w:tab w:val="left" w:pos="567"/>
        </w:tabs>
        <w:rPr>
          <w:rFonts w:asciiTheme="minorHAnsi" w:eastAsiaTheme="minorEastAsia" w:hAnsiTheme="minorHAnsi" w:cstheme="minorBidi"/>
          <w:sz w:val="22"/>
          <w:szCs w:val="22"/>
          <w:lang w:eastAsia="en-AU"/>
        </w:rPr>
      </w:pPr>
      <w:hyperlink w:anchor="_Toc81210072" w:history="1">
        <w:r w:rsidRPr="00BD57EC">
          <w:rPr>
            <w:rStyle w:val="Hyperlink"/>
          </w:rPr>
          <w:t>22.</w:t>
        </w:r>
        <w:r>
          <w:rPr>
            <w:rFonts w:asciiTheme="minorHAnsi" w:eastAsiaTheme="minorEastAsia" w:hAnsiTheme="minorHAnsi" w:cstheme="minorBidi"/>
            <w:sz w:val="22"/>
            <w:szCs w:val="22"/>
            <w:lang w:eastAsia="en-AU"/>
          </w:rPr>
          <w:tab/>
        </w:r>
        <w:r w:rsidRPr="00BD57EC">
          <w:rPr>
            <w:rStyle w:val="Hyperlink"/>
          </w:rPr>
          <w:t>Does a consumer need to provide consent to be registered?</w:t>
        </w:r>
        <w:r>
          <w:rPr>
            <w:webHidden/>
          </w:rPr>
          <w:tab/>
        </w:r>
        <w:r>
          <w:rPr>
            <w:webHidden/>
          </w:rPr>
          <w:fldChar w:fldCharType="begin"/>
        </w:r>
        <w:r>
          <w:rPr>
            <w:webHidden/>
          </w:rPr>
          <w:instrText xml:space="preserve"> PAGEREF _Toc81210072 \h </w:instrText>
        </w:r>
        <w:r>
          <w:rPr>
            <w:webHidden/>
          </w:rPr>
        </w:r>
        <w:r>
          <w:rPr>
            <w:webHidden/>
          </w:rPr>
          <w:fldChar w:fldCharType="separate"/>
        </w:r>
        <w:r>
          <w:rPr>
            <w:webHidden/>
          </w:rPr>
          <w:t>8</w:t>
        </w:r>
        <w:r>
          <w:rPr>
            <w:webHidden/>
          </w:rPr>
          <w:fldChar w:fldCharType="end"/>
        </w:r>
      </w:hyperlink>
    </w:p>
    <w:p w14:paraId="2D576C48" w14:textId="3D91C1D2" w:rsidR="00BB0CCC" w:rsidRDefault="00BB0CCC">
      <w:pPr>
        <w:pStyle w:val="TOC2"/>
        <w:tabs>
          <w:tab w:val="left" w:pos="567"/>
        </w:tabs>
        <w:rPr>
          <w:rFonts w:asciiTheme="minorHAnsi" w:eastAsiaTheme="minorEastAsia" w:hAnsiTheme="minorHAnsi" w:cstheme="minorBidi"/>
          <w:sz w:val="22"/>
          <w:szCs w:val="22"/>
          <w:lang w:eastAsia="en-AU"/>
        </w:rPr>
      </w:pPr>
      <w:hyperlink w:anchor="_Toc81210073" w:history="1">
        <w:r w:rsidRPr="00BD57EC">
          <w:rPr>
            <w:rStyle w:val="Hyperlink"/>
          </w:rPr>
          <w:t>23.</w:t>
        </w:r>
        <w:r>
          <w:rPr>
            <w:rFonts w:asciiTheme="minorHAnsi" w:eastAsiaTheme="minorEastAsia" w:hAnsiTheme="minorHAnsi" w:cstheme="minorBidi"/>
            <w:sz w:val="22"/>
            <w:szCs w:val="22"/>
            <w:lang w:eastAsia="en-AU"/>
          </w:rPr>
          <w:tab/>
        </w:r>
        <w:r w:rsidRPr="00BD57EC">
          <w:rPr>
            <w:rStyle w:val="Hyperlink"/>
          </w:rPr>
          <w:t>How do we configure our ECATT subcentres on CMI/ODS to be able to record multiple same day presentations and with episode end times on the same date?</w:t>
        </w:r>
        <w:r>
          <w:rPr>
            <w:webHidden/>
          </w:rPr>
          <w:tab/>
        </w:r>
        <w:r>
          <w:rPr>
            <w:webHidden/>
          </w:rPr>
          <w:fldChar w:fldCharType="begin"/>
        </w:r>
        <w:r>
          <w:rPr>
            <w:webHidden/>
          </w:rPr>
          <w:instrText xml:space="preserve"> PAGEREF _Toc81210073 \h </w:instrText>
        </w:r>
        <w:r>
          <w:rPr>
            <w:webHidden/>
          </w:rPr>
        </w:r>
        <w:r>
          <w:rPr>
            <w:webHidden/>
          </w:rPr>
          <w:fldChar w:fldCharType="separate"/>
        </w:r>
        <w:r>
          <w:rPr>
            <w:webHidden/>
          </w:rPr>
          <w:t>8</w:t>
        </w:r>
        <w:r>
          <w:rPr>
            <w:webHidden/>
          </w:rPr>
          <w:fldChar w:fldCharType="end"/>
        </w:r>
      </w:hyperlink>
    </w:p>
    <w:p w14:paraId="0DE1E11F" w14:textId="79504598" w:rsidR="00BB0CCC" w:rsidRDefault="00BB0CCC">
      <w:pPr>
        <w:pStyle w:val="TOC2"/>
        <w:tabs>
          <w:tab w:val="left" w:pos="567"/>
        </w:tabs>
        <w:rPr>
          <w:rFonts w:asciiTheme="minorHAnsi" w:eastAsiaTheme="minorEastAsia" w:hAnsiTheme="minorHAnsi" w:cstheme="minorBidi"/>
          <w:sz w:val="22"/>
          <w:szCs w:val="22"/>
          <w:lang w:eastAsia="en-AU"/>
        </w:rPr>
      </w:pPr>
      <w:hyperlink w:anchor="_Toc81210074" w:history="1">
        <w:r w:rsidRPr="00BD57EC">
          <w:rPr>
            <w:rStyle w:val="Hyperlink"/>
          </w:rPr>
          <w:t>24.</w:t>
        </w:r>
        <w:r>
          <w:rPr>
            <w:rFonts w:asciiTheme="minorHAnsi" w:eastAsiaTheme="minorEastAsia" w:hAnsiTheme="minorHAnsi" w:cstheme="minorBidi"/>
            <w:sz w:val="22"/>
            <w:szCs w:val="22"/>
            <w:lang w:eastAsia="en-AU"/>
          </w:rPr>
          <w:tab/>
        </w:r>
        <w:r w:rsidRPr="00BD57EC">
          <w:rPr>
            <w:rStyle w:val="Hyperlink"/>
          </w:rPr>
          <w:t>Our service previously reported Consultation Liaison and ECATT activity through Triage Minimum Dataset (TMDS), submissions, however from 01/07/2021 are now reporting this through CMI/ODS episodes, registrations and  outcome measures. Are we required to rport these services through both?</w:t>
        </w:r>
        <w:r>
          <w:rPr>
            <w:webHidden/>
          </w:rPr>
          <w:tab/>
        </w:r>
        <w:r>
          <w:rPr>
            <w:webHidden/>
          </w:rPr>
          <w:fldChar w:fldCharType="begin"/>
        </w:r>
        <w:r>
          <w:rPr>
            <w:webHidden/>
          </w:rPr>
          <w:instrText xml:space="preserve"> PAGEREF _Toc81210074 \h </w:instrText>
        </w:r>
        <w:r>
          <w:rPr>
            <w:webHidden/>
          </w:rPr>
        </w:r>
        <w:r>
          <w:rPr>
            <w:webHidden/>
          </w:rPr>
          <w:fldChar w:fldCharType="separate"/>
        </w:r>
        <w:r>
          <w:rPr>
            <w:webHidden/>
          </w:rPr>
          <w:t>9</w:t>
        </w:r>
        <w:r>
          <w:rPr>
            <w:webHidden/>
          </w:rPr>
          <w:fldChar w:fldCharType="end"/>
        </w:r>
      </w:hyperlink>
    </w:p>
    <w:p w14:paraId="2D86295F" w14:textId="14A96887" w:rsidR="00BB0CCC" w:rsidRDefault="00BB0CCC">
      <w:pPr>
        <w:pStyle w:val="TOC2"/>
        <w:tabs>
          <w:tab w:val="left" w:pos="567"/>
        </w:tabs>
        <w:rPr>
          <w:rFonts w:asciiTheme="minorHAnsi" w:eastAsiaTheme="minorEastAsia" w:hAnsiTheme="minorHAnsi" w:cstheme="minorBidi"/>
          <w:sz w:val="22"/>
          <w:szCs w:val="22"/>
          <w:lang w:eastAsia="en-AU"/>
        </w:rPr>
      </w:pPr>
      <w:hyperlink w:anchor="_Toc81210075" w:history="1">
        <w:r w:rsidRPr="00BD57EC">
          <w:rPr>
            <w:rStyle w:val="Hyperlink"/>
          </w:rPr>
          <w:t>25.</w:t>
        </w:r>
        <w:r>
          <w:rPr>
            <w:rFonts w:asciiTheme="minorHAnsi" w:eastAsiaTheme="minorEastAsia" w:hAnsiTheme="minorHAnsi" w:cstheme="minorBidi"/>
            <w:sz w:val="22"/>
            <w:szCs w:val="22"/>
            <w:lang w:eastAsia="en-AU"/>
          </w:rPr>
          <w:tab/>
        </w:r>
        <w:r w:rsidRPr="00BD57EC">
          <w:rPr>
            <w:rStyle w:val="Hyperlink"/>
          </w:rPr>
          <w:t>Our CL service and ECATT teams work across multiple hospital campuses. Is it acceptable if we create different subcentres for each hospital campus?</w:t>
        </w:r>
        <w:r>
          <w:rPr>
            <w:webHidden/>
          </w:rPr>
          <w:tab/>
        </w:r>
        <w:r>
          <w:rPr>
            <w:webHidden/>
          </w:rPr>
          <w:fldChar w:fldCharType="begin"/>
        </w:r>
        <w:r>
          <w:rPr>
            <w:webHidden/>
          </w:rPr>
          <w:instrText xml:space="preserve"> PAGEREF _Toc81210075 \h </w:instrText>
        </w:r>
        <w:r>
          <w:rPr>
            <w:webHidden/>
          </w:rPr>
        </w:r>
        <w:r>
          <w:rPr>
            <w:webHidden/>
          </w:rPr>
          <w:fldChar w:fldCharType="separate"/>
        </w:r>
        <w:r>
          <w:rPr>
            <w:webHidden/>
          </w:rPr>
          <w:t>9</w:t>
        </w:r>
        <w:r>
          <w:rPr>
            <w:webHidden/>
          </w:rPr>
          <w:fldChar w:fldCharType="end"/>
        </w:r>
      </w:hyperlink>
    </w:p>
    <w:p w14:paraId="0EEDE374" w14:textId="06C02707" w:rsidR="00BB0CCC" w:rsidRDefault="00BB0CCC">
      <w:pPr>
        <w:pStyle w:val="TOC1"/>
        <w:rPr>
          <w:rFonts w:asciiTheme="minorHAnsi" w:eastAsiaTheme="minorEastAsia" w:hAnsiTheme="minorHAnsi" w:cstheme="minorBidi"/>
          <w:b w:val="0"/>
          <w:sz w:val="22"/>
          <w:szCs w:val="22"/>
          <w:lang w:eastAsia="en-AU"/>
        </w:rPr>
      </w:pPr>
      <w:hyperlink w:anchor="_Toc81210076" w:history="1">
        <w:r w:rsidRPr="00BD57EC">
          <w:rPr>
            <w:rStyle w:val="Hyperlink"/>
          </w:rPr>
          <w:t>What is Phase of Care?</w:t>
        </w:r>
        <w:r>
          <w:rPr>
            <w:webHidden/>
          </w:rPr>
          <w:tab/>
        </w:r>
        <w:r>
          <w:rPr>
            <w:webHidden/>
          </w:rPr>
          <w:fldChar w:fldCharType="begin"/>
        </w:r>
        <w:r>
          <w:rPr>
            <w:webHidden/>
          </w:rPr>
          <w:instrText xml:space="preserve"> PAGEREF _Toc81210076 \h </w:instrText>
        </w:r>
        <w:r>
          <w:rPr>
            <w:webHidden/>
          </w:rPr>
        </w:r>
        <w:r>
          <w:rPr>
            <w:webHidden/>
          </w:rPr>
          <w:fldChar w:fldCharType="separate"/>
        </w:r>
        <w:r>
          <w:rPr>
            <w:webHidden/>
          </w:rPr>
          <w:t>10</w:t>
        </w:r>
        <w:r>
          <w:rPr>
            <w:webHidden/>
          </w:rPr>
          <w:fldChar w:fldCharType="end"/>
        </w:r>
      </w:hyperlink>
    </w:p>
    <w:p w14:paraId="573B869F" w14:textId="6D50BE5E" w:rsidR="00BB0CCC" w:rsidRDefault="00BB0CCC">
      <w:pPr>
        <w:pStyle w:val="TOC2"/>
        <w:tabs>
          <w:tab w:val="left" w:pos="567"/>
        </w:tabs>
        <w:rPr>
          <w:rFonts w:asciiTheme="minorHAnsi" w:eastAsiaTheme="minorEastAsia" w:hAnsiTheme="minorHAnsi" w:cstheme="minorBidi"/>
          <w:sz w:val="22"/>
          <w:szCs w:val="22"/>
          <w:lang w:eastAsia="en-AU"/>
        </w:rPr>
      </w:pPr>
      <w:hyperlink w:anchor="_Toc81210077" w:history="1">
        <w:r w:rsidRPr="00BD57EC">
          <w:rPr>
            <w:rStyle w:val="Hyperlink"/>
          </w:rPr>
          <w:t>26.</w:t>
        </w:r>
        <w:r>
          <w:rPr>
            <w:rFonts w:asciiTheme="minorHAnsi" w:eastAsiaTheme="minorEastAsia" w:hAnsiTheme="minorHAnsi" w:cstheme="minorBidi"/>
            <w:sz w:val="22"/>
            <w:szCs w:val="22"/>
            <w:lang w:eastAsia="en-AU"/>
          </w:rPr>
          <w:tab/>
        </w:r>
        <w:r w:rsidRPr="00BD57EC">
          <w:rPr>
            <w:rStyle w:val="Hyperlink"/>
          </w:rPr>
          <w:t>What are the possible phases of care?</w:t>
        </w:r>
        <w:r>
          <w:rPr>
            <w:webHidden/>
          </w:rPr>
          <w:tab/>
        </w:r>
        <w:r>
          <w:rPr>
            <w:webHidden/>
          </w:rPr>
          <w:fldChar w:fldCharType="begin"/>
        </w:r>
        <w:r>
          <w:rPr>
            <w:webHidden/>
          </w:rPr>
          <w:instrText xml:space="preserve"> PAGEREF _Toc81210077 \h </w:instrText>
        </w:r>
        <w:r>
          <w:rPr>
            <w:webHidden/>
          </w:rPr>
        </w:r>
        <w:r>
          <w:rPr>
            <w:webHidden/>
          </w:rPr>
          <w:fldChar w:fldCharType="separate"/>
        </w:r>
        <w:r>
          <w:rPr>
            <w:webHidden/>
          </w:rPr>
          <w:t>10</w:t>
        </w:r>
        <w:r>
          <w:rPr>
            <w:webHidden/>
          </w:rPr>
          <w:fldChar w:fldCharType="end"/>
        </w:r>
      </w:hyperlink>
    </w:p>
    <w:p w14:paraId="21A8656B" w14:textId="36B4C5C8" w:rsidR="00BB0CCC" w:rsidRDefault="00BB0CCC">
      <w:pPr>
        <w:pStyle w:val="TOC2"/>
        <w:tabs>
          <w:tab w:val="left" w:pos="567"/>
        </w:tabs>
        <w:rPr>
          <w:rFonts w:asciiTheme="minorHAnsi" w:eastAsiaTheme="minorEastAsia" w:hAnsiTheme="minorHAnsi" w:cstheme="minorBidi"/>
          <w:sz w:val="22"/>
          <w:szCs w:val="22"/>
          <w:lang w:eastAsia="en-AU"/>
        </w:rPr>
      </w:pPr>
      <w:hyperlink w:anchor="_Toc81210078" w:history="1">
        <w:r w:rsidRPr="00BD57EC">
          <w:rPr>
            <w:rStyle w:val="Hyperlink"/>
          </w:rPr>
          <w:t>27.</w:t>
        </w:r>
        <w:r>
          <w:rPr>
            <w:rFonts w:asciiTheme="minorHAnsi" w:eastAsiaTheme="minorEastAsia" w:hAnsiTheme="minorHAnsi" w:cstheme="minorBidi"/>
            <w:sz w:val="22"/>
            <w:szCs w:val="22"/>
            <w:lang w:eastAsia="en-AU"/>
          </w:rPr>
          <w:tab/>
        </w:r>
        <w:r w:rsidRPr="00BD57EC">
          <w:rPr>
            <w:rStyle w:val="Hyperlink"/>
          </w:rPr>
          <w:t>What happens to Focus of Care?</w:t>
        </w:r>
        <w:r>
          <w:rPr>
            <w:webHidden/>
          </w:rPr>
          <w:tab/>
        </w:r>
        <w:r>
          <w:rPr>
            <w:webHidden/>
          </w:rPr>
          <w:fldChar w:fldCharType="begin"/>
        </w:r>
        <w:r>
          <w:rPr>
            <w:webHidden/>
          </w:rPr>
          <w:instrText xml:space="preserve"> PAGEREF _Toc81210078 \h </w:instrText>
        </w:r>
        <w:r>
          <w:rPr>
            <w:webHidden/>
          </w:rPr>
        </w:r>
        <w:r>
          <w:rPr>
            <w:webHidden/>
          </w:rPr>
          <w:fldChar w:fldCharType="separate"/>
        </w:r>
        <w:r>
          <w:rPr>
            <w:webHidden/>
          </w:rPr>
          <w:t>10</w:t>
        </w:r>
        <w:r>
          <w:rPr>
            <w:webHidden/>
          </w:rPr>
          <w:fldChar w:fldCharType="end"/>
        </w:r>
      </w:hyperlink>
    </w:p>
    <w:p w14:paraId="544783AD" w14:textId="459CD625" w:rsidR="00BB0CCC" w:rsidRDefault="00BB0CCC">
      <w:pPr>
        <w:pStyle w:val="TOC2"/>
        <w:tabs>
          <w:tab w:val="left" w:pos="567"/>
        </w:tabs>
        <w:rPr>
          <w:rFonts w:asciiTheme="minorHAnsi" w:eastAsiaTheme="minorEastAsia" w:hAnsiTheme="minorHAnsi" w:cstheme="minorBidi"/>
          <w:sz w:val="22"/>
          <w:szCs w:val="22"/>
          <w:lang w:eastAsia="en-AU"/>
        </w:rPr>
      </w:pPr>
      <w:hyperlink w:anchor="_Toc81210079" w:history="1">
        <w:r w:rsidRPr="00BD57EC">
          <w:rPr>
            <w:rStyle w:val="Hyperlink"/>
          </w:rPr>
          <w:t>28.</w:t>
        </w:r>
        <w:r>
          <w:rPr>
            <w:rFonts w:asciiTheme="minorHAnsi" w:eastAsiaTheme="minorEastAsia" w:hAnsiTheme="minorHAnsi" w:cstheme="minorBidi"/>
            <w:sz w:val="22"/>
            <w:szCs w:val="22"/>
            <w:lang w:eastAsia="en-AU"/>
          </w:rPr>
          <w:tab/>
        </w:r>
        <w:r w:rsidRPr="00BD57EC">
          <w:rPr>
            <w:rStyle w:val="Hyperlink"/>
          </w:rPr>
          <w:t>Can lived experience team members assign phase of care measures?</w:t>
        </w:r>
        <w:r>
          <w:rPr>
            <w:webHidden/>
          </w:rPr>
          <w:tab/>
        </w:r>
        <w:r>
          <w:rPr>
            <w:webHidden/>
          </w:rPr>
          <w:fldChar w:fldCharType="begin"/>
        </w:r>
        <w:r>
          <w:rPr>
            <w:webHidden/>
          </w:rPr>
          <w:instrText xml:space="preserve"> PAGEREF _Toc81210079 \h </w:instrText>
        </w:r>
        <w:r>
          <w:rPr>
            <w:webHidden/>
          </w:rPr>
        </w:r>
        <w:r>
          <w:rPr>
            <w:webHidden/>
          </w:rPr>
          <w:fldChar w:fldCharType="separate"/>
        </w:r>
        <w:r>
          <w:rPr>
            <w:webHidden/>
          </w:rPr>
          <w:t>11</w:t>
        </w:r>
        <w:r>
          <w:rPr>
            <w:webHidden/>
          </w:rPr>
          <w:fldChar w:fldCharType="end"/>
        </w:r>
      </w:hyperlink>
    </w:p>
    <w:p w14:paraId="56935A77" w14:textId="347E3C33" w:rsidR="00BB0CCC" w:rsidRDefault="00BB0CCC">
      <w:pPr>
        <w:pStyle w:val="TOC2"/>
        <w:tabs>
          <w:tab w:val="left" w:pos="567"/>
        </w:tabs>
        <w:rPr>
          <w:rFonts w:asciiTheme="minorHAnsi" w:eastAsiaTheme="minorEastAsia" w:hAnsiTheme="minorHAnsi" w:cstheme="minorBidi"/>
          <w:sz w:val="22"/>
          <w:szCs w:val="22"/>
          <w:lang w:eastAsia="en-AU"/>
        </w:rPr>
      </w:pPr>
      <w:hyperlink w:anchor="_Toc81210080" w:history="1">
        <w:r w:rsidRPr="00BD57EC">
          <w:rPr>
            <w:rStyle w:val="Hyperlink"/>
          </w:rPr>
          <w:t>29.</w:t>
        </w:r>
        <w:r>
          <w:rPr>
            <w:rFonts w:asciiTheme="minorHAnsi" w:eastAsiaTheme="minorEastAsia" w:hAnsiTheme="minorHAnsi" w:cstheme="minorBidi"/>
            <w:sz w:val="22"/>
            <w:szCs w:val="22"/>
            <w:lang w:eastAsia="en-AU"/>
          </w:rPr>
          <w:tab/>
        </w:r>
        <w:r w:rsidRPr="00BD57EC">
          <w:rPr>
            <w:rStyle w:val="Hyperlink"/>
          </w:rPr>
          <w:t>Will Phase of Care be built into Client Management Interface/Operational Data Store collection occasions?</w:t>
        </w:r>
        <w:r>
          <w:rPr>
            <w:webHidden/>
          </w:rPr>
          <w:tab/>
        </w:r>
        <w:r>
          <w:rPr>
            <w:webHidden/>
          </w:rPr>
          <w:fldChar w:fldCharType="begin"/>
        </w:r>
        <w:r>
          <w:rPr>
            <w:webHidden/>
          </w:rPr>
          <w:instrText xml:space="preserve"> PAGEREF _Toc81210080 \h </w:instrText>
        </w:r>
        <w:r>
          <w:rPr>
            <w:webHidden/>
          </w:rPr>
        </w:r>
        <w:r>
          <w:rPr>
            <w:webHidden/>
          </w:rPr>
          <w:fldChar w:fldCharType="separate"/>
        </w:r>
        <w:r>
          <w:rPr>
            <w:webHidden/>
          </w:rPr>
          <w:t>11</w:t>
        </w:r>
        <w:r>
          <w:rPr>
            <w:webHidden/>
          </w:rPr>
          <w:fldChar w:fldCharType="end"/>
        </w:r>
      </w:hyperlink>
    </w:p>
    <w:p w14:paraId="6E02602B" w14:textId="7EF77D75" w:rsidR="00BB0CCC" w:rsidRDefault="00BB0CCC">
      <w:pPr>
        <w:pStyle w:val="TOC2"/>
        <w:tabs>
          <w:tab w:val="left" w:pos="567"/>
        </w:tabs>
        <w:rPr>
          <w:rFonts w:asciiTheme="minorHAnsi" w:eastAsiaTheme="minorEastAsia" w:hAnsiTheme="minorHAnsi" w:cstheme="minorBidi"/>
          <w:sz w:val="22"/>
          <w:szCs w:val="22"/>
          <w:lang w:eastAsia="en-AU"/>
        </w:rPr>
      </w:pPr>
      <w:hyperlink w:anchor="_Toc81210081" w:history="1">
        <w:r w:rsidRPr="00BD57EC">
          <w:rPr>
            <w:rStyle w:val="Hyperlink"/>
          </w:rPr>
          <w:t>30.</w:t>
        </w:r>
        <w:r>
          <w:rPr>
            <w:rFonts w:asciiTheme="minorHAnsi" w:eastAsiaTheme="minorEastAsia" w:hAnsiTheme="minorHAnsi" w:cstheme="minorBidi"/>
            <w:sz w:val="22"/>
            <w:szCs w:val="22"/>
            <w:lang w:eastAsia="en-AU"/>
          </w:rPr>
          <w:tab/>
        </w:r>
        <w:r w:rsidRPr="00BD57EC">
          <w:rPr>
            <w:rStyle w:val="Hyperlink"/>
          </w:rPr>
          <w:t>When is Phase of Care collected?</w:t>
        </w:r>
        <w:r>
          <w:rPr>
            <w:webHidden/>
          </w:rPr>
          <w:tab/>
        </w:r>
        <w:r>
          <w:rPr>
            <w:webHidden/>
          </w:rPr>
          <w:fldChar w:fldCharType="begin"/>
        </w:r>
        <w:r>
          <w:rPr>
            <w:webHidden/>
          </w:rPr>
          <w:instrText xml:space="preserve"> PAGEREF _Toc81210081 \h </w:instrText>
        </w:r>
        <w:r>
          <w:rPr>
            <w:webHidden/>
          </w:rPr>
        </w:r>
        <w:r>
          <w:rPr>
            <w:webHidden/>
          </w:rPr>
          <w:fldChar w:fldCharType="separate"/>
        </w:r>
        <w:r>
          <w:rPr>
            <w:webHidden/>
          </w:rPr>
          <w:t>11</w:t>
        </w:r>
        <w:r>
          <w:rPr>
            <w:webHidden/>
          </w:rPr>
          <w:fldChar w:fldCharType="end"/>
        </w:r>
      </w:hyperlink>
    </w:p>
    <w:p w14:paraId="6C3042C3" w14:textId="42112BD5" w:rsidR="00BB0CCC" w:rsidRDefault="00BB0CCC">
      <w:pPr>
        <w:pStyle w:val="TOC2"/>
        <w:tabs>
          <w:tab w:val="left" w:pos="567"/>
        </w:tabs>
        <w:rPr>
          <w:rFonts w:asciiTheme="minorHAnsi" w:eastAsiaTheme="minorEastAsia" w:hAnsiTheme="minorHAnsi" w:cstheme="minorBidi"/>
          <w:sz w:val="22"/>
          <w:szCs w:val="22"/>
          <w:lang w:eastAsia="en-AU"/>
        </w:rPr>
      </w:pPr>
      <w:hyperlink w:anchor="_Toc81210082" w:history="1">
        <w:r w:rsidRPr="00BD57EC">
          <w:rPr>
            <w:rStyle w:val="Hyperlink"/>
          </w:rPr>
          <w:t>31.</w:t>
        </w:r>
        <w:r>
          <w:rPr>
            <w:rFonts w:asciiTheme="minorHAnsi" w:eastAsiaTheme="minorEastAsia" w:hAnsiTheme="minorHAnsi" w:cstheme="minorBidi"/>
            <w:sz w:val="22"/>
            <w:szCs w:val="22"/>
            <w:lang w:eastAsia="en-AU"/>
          </w:rPr>
          <w:tab/>
        </w:r>
        <w:r w:rsidRPr="00BD57EC">
          <w:rPr>
            <w:rStyle w:val="Hyperlink"/>
          </w:rPr>
          <w:t>Will validations still occur for the Focus of Care?</w:t>
        </w:r>
        <w:r>
          <w:rPr>
            <w:webHidden/>
          </w:rPr>
          <w:tab/>
        </w:r>
        <w:r>
          <w:rPr>
            <w:webHidden/>
          </w:rPr>
          <w:fldChar w:fldCharType="begin"/>
        </w:r>
        <w:r>
          <w:rPr>
            <w:webHidden/>
          </w:rPr>
          <w:instrText xml:space="preserve"> PAGEREF _Toc81210082 \h </w:instrText>
        </w:r>
        <w:r>
          <w:rPr>
            <w:webHidden/>
          </w:rPr>
        </w:r>
        <w:r>
          <w:rPr>
            <w:webHidden/>
          </w:rPr>
          <w:fldChar w:fldCharType="separate"/>
        </w:r>
        <w:r>
          <w:rPr>
            <w:webHidden/>
          </w:rPr>
          <w:t>11</w:t>
        </w:r>
        <w:r>
          <w:rPr>
            <w:webHidden/>
          </w:rPr>
          <w:fldChar w:fldCharType="end"/>
        </w:r>
      </w:hyperlink>
    </w:p>
    <w:p w14:paraId="127E1779" w14:textId="12FA7354" w:rsidR="00BB0CCC" w:rsidRDefault="00BB0CCC">
      <w:pPr>
        <w:pStyle w:val="TOC2"/>
        <w:tabs>
          <w:tab w:val="left" w:pos="567"/>
        </w:tabs>
        <w:rPr>
          <w:rFonts w:asciiTheme="minorHAnsi" w:eastAsiaTheme="minorEastAsia" w:hAnsiTheme="minorHAnsi" w:cstheme="minorBidi"/>
          <w:sz w:val="22"/>
          <w:szCs w:val="22"/>
          <w:lang w:eastAsia="en-AU"/>
        </w:rPr>
      </w:pPr>
      <w:hyperlink w:anchor="_Toc81210083" w:history="1">
        <w:r w:rsidRPr="00BD57EC">
          <w:rPr>
            <w:rStyle w:val="Hyperlink"/>
          </w:rPr>
          <w:t>32.</w:t>
        </w:r>
        <w:r>
          <w:rPr>
            <w:rFonts w:asciiTheme="minorHAnsi" w:eastAsiaTheme="minorEastAsia" w:hAnsiTheme="minorHAnsi" w:cstheme="minorBidi"/>
            <w:sz w:val="22"/>
            <w:szCs w:val="22"/>
            <w:lang w:eastAsia="en-AU"/>
          </w:rPr>
          <w:tab/>
        </w:r>
        <w:r w:rsidRPr="00BD57EC">
          <w:rPr>
            <w:rStyle w:val="Hyperlink"/>
          </w:rPr>
          <w:t>Are assessment only cases required to report outcome measures?</w:t>
        </w:r>
        <w:r>
          <w:rPr>
            <w:webHidden/>
          </w:rPr>
          <w:tab/>
        </w:r>
        <w:r>
          <w:rPr>
            <w:webHidden/>
          </w:rPr>
          <w:fldChar w:fldCharType="begin"/>
        </w:r>
        <w:r>
          <w:rPr>
            <w:webHidden/>
          </w:rPr>
          <w:instrText xml:space="preserve"> PAGEREF _Toc81210083 \h </w:instrText>
        </w:r>
        <w:r>
          <w:rPr>
            <w:webHidden/>
          </w:rPr>
        </w:r>
        <w:r>
          <w:rPr>
            <w:webHidden/>
          </w:rPr>
          <w:fldChar w:fldCharType="separate"/>
        </w:r>
        <w:r>
          <w:rPr>
            <w:webHidden/>
          </w:rPr>
          <w:t>11</w:t>
        </w:r>
        <w:r>
          <w:rPr>
            <w:webHidden/>
          </w:rPr>
          <w:fldChar w:fldCharType="end"/>
        </w:r>
      </w:hyperlink>
    </w:p>
    <w:p w14:paraId="0A572E57" w14:textId="49F533B1" w:rsidR="00BB0CCC" w:rsidRDefault="00BB0CCC">
      <w:pPr>
        <w:pStyle w:val="TOC2"/>
        <w:tabs>
          <w:tab w:val="left" w:pos="567"/>
        </w:tabs>
        <w:rPr>
          <w:rFonts w:asciiTheme="minorHAnsi" w:eastAsiaTheme="minorEastAsia" w:hAnsiTheme="minorHAnsi" w:cstheme="minorBidi"/>
          <w:sz w:val="22"/>
          <w:szCs w:val="22"/>
          <w:lang w:eastAsia="en-AU"/>
        </w:rPr>
      </w:pPr>
      <w:hyperlink w:anchor="_Toc81210084" w:history="1">
        <w:r w:rsidRPr="00BD57EC">
          <w:rPr>
            <w:rStyle w:val="Hyperlink"/>
          </w:rPr>
          <w:t>33.</w:t>
        </w:r>
        <w:r>
          <w:rPr>
            <w:rFonts w:asciiTheme="minorHAnsi" w:eastAsiaTheme="minorEastAsia" w:hAnsiTheme="minorHAnsi" w:cstheme="minorBidi"/>
            <w:sz w:val="22"/>
            <w:szCs w:val="22"/>
            <w:lang w:eastAsia="en-AU"/>
          </w:rPr>
          <w:tab/>
        </w:r>
        <w:r w:rsidRPr="00BD57EC">
          <w:rPr>
            <w:rStyle w:val="Hyperlink"/>
          </w:rPr>
          <w:t>Will the department monitor compliance?</w:t>
        </w:r>
        <w:r>
          <w:rPr>
            <w:webHidden/>
          </w:rPr>
          <w:tab/>
        </w:r>
        <w:r>
          <w:rPr>
            <w:webHidden/>
          </w:rPr>
          <w:fldChar w:fldCharType="begin"/>
        </w:r>
        <w:r>
          <w:rPr>
            <w:webHidden/>
          </w:rPr>
          <w:instrText xml:space="preserve"> PAGEREF _Toc81210084 \h </w:instrText>
        </w:r>
        <w:r>
          <w:rPr>
            <w:webHidden/>
          </w:rPr>
        </w:r>
        <w:r>
          <w:rPr>
            <w:webHidden/>
          </w:rPr>
          <w:fldChar w:fldCharType="separate"/>
        </w:r>
        <w:r>
          <w:rPr>
            <w:webHidden/>
          </w:rPr>
          <w:t>11</w:t>
        </w:r>
        <w:r>
          <w:rPr>
            <w:webHidden/>
          </w:rPr>
          <w:fldChar w:fldCharType="end"/>
        </w:r>
      </w:hyperlink>
    </w:p>
    <w:p w14:paraId="4D99679E" w14:textId="13F89C08" w:rsidR="00BB0CCC" w:rsidRDefault="00BB0CCC">
      <w:pPr>
        <w:pStyle w:val="TOC2"/>
        <w:tabs>
          <w:tab w:val="left" w:pos="567"/>
        </w:tabs>
        <w:rPr>
          <w:rFonts w:asciiTheme="minorHAnsi" w:eastAsiaTheme="minorEastAsia" w:hAnsiTheme="minorHAnsi" w:cstheme="minorBidi"/>
          <w:sz w:val="22"/>
          <w:szCs w:val="22"/>
          <w:lang w:eastAsia="en-AU"/>
        </w:rPr>
      </w:pPr>
      <w:hyperlink w:anchor="_Toc81210085" w:history="1">
        <w:r w:rsidRPr="00BD57EC">
          <w:rPr>
            <w:rStyle w:val="Hyperlink"/>
          </w:rPr>
          <w:t>34.</w:t>
        </w:r>
        <w:r>
          <w:rPr>
            <w:rFonts w:asciiTheme="minorHAnsi" w:eastAsiaTheme="minorEastAsia" w:hAnsiTheme="minorHAnsi" w:cstheme="minorBidi"/>
            <w:sz w:val="22"/>
            <w:szCs w:val="22"/>
            <w:lang w:eastAsia="en-AU"/>
          </w:rPr>
          <w:tab/>
        </w:r>
        <w:r w:rsidRPr="00BD57EC">
          <w:rPr>
            <w:rStyle w:val="Hyperlink"/>
          </w:rPr>
          <w:t>If phase of care changes, do we have to do the other outcome measures?</w:t>
        </w:r>
        <w:r>
          <w:rPr>
            <w:webHidden/>
          </w:rPr>
          <w:tab/>
        </w:r>
        <w:r>
          <w:rPr>
            <w:webHidden/>
          </w:rPr>
          <w:fldChar w:fldCharType="begin"/>
        </w:r>
        <w:r>
          <w:rPr>
            <w:webHidden/>
          </w:rPr>
          <w:instrText xml:space="preserve"> PAGEREF _Toc81210085 \h </w:instrText>
        </w:r>
        <w:r>
          <w:rPr>
            <w:webHidden/>
          </w:rPr>
        </w:r>
        <w:r>
          <w:rPr>
            <w:webHidden/>
          </w:rPr>
          <w:fldChar w:fldCharType="separate"/>
        </w:r>
        <w:r>
          <w:rPr>
            <w:webHidden/>
          </w:rPr>
          <w:t>12</w:t>
        </w:r>
        <w:r>
          <w:rPr>
            <w:webHidden/>
          </w:rPr>
          <w:fldChar w:fldCharType="end"/>
        </w:r>
      </w:hyperlink>
    </w:p>
    <w:p w14:paraId="1128F217" w14:textId="1DCB47AC" w:rsidR="00BB0CCC" w:rsidRDefault="00BB0CCC">
      <w:pPr>
        <w:pStyle w:val="TOC2"/>
        <w:tabs>
          <w:tab w:val="left" w:pos="567"/>
        </w:tabs>
        <w:rPr>
          <w:rFonts w:asciiTheme="minorHAnsi" w:eastAsiaTheme="minorEastAsia" w:hAnsiTheme="minorHAnsi" w:cstheme="minorBidi"/>
          <w:sz w:val="22"/>
          <w:szCs w:val="22"/>
          <w:lang w:eastAsia="en-AU"/>
        </w:rPr>
      </w:pPr>
      <w:hyperlink w:anchor="_Toc81210086" w:history="1">
        <w:r w:rsidRPr="00BD57EC">
          <w:rPr>
            <w:rStyle w:val="Hyperlink"/>
          </w:rPr>
          <w:t>35.</w:t>
        </w:r>
        <w:r>
          <w:rPr>
            <w:rFonts w:asciiTheme="minorHAnsi" w:eastAsiaTheme="minorEastAsia" w:hAnsiTheme="minorHAnsi" w:cstheme="minorBidi"/>
            <w:sz w:val="22"/>
            <w:szCs w:val="22"/>
            <w:lang w:eastAsia="en-AU"/>
          </w:rPr>
          <w:tab/>
        </w:r>
        <w:r w:rsidRPr="00BD57EC">
          <w:rPr>
            <w:rStyle w:val="Hyperlink"/>
          </w:rPr>
          <w:t>When will the CMI training databases be updated to reflect the changes?</w:t>
        </w:r>
        <w:r>
          <w:rPr>
            <w:webHidden/>
          </w:rPr>
          <w:tab/>
        </w:r>
        <w:r>
          <w:rPr>
            <w:webHidden/>
          </w:rPr>
          <w:fldChar w:fldCharType="begin"/>
        </w:r>
        <w:r>
          <w:rPr>
            <w:webHidden/>
          </w:rPr>
          <w:instrText xml:space="preserve"> PAGEREF _Toc81210086 \h </w:instrText>
        </w:r>
        <w:r>
          <w:rPr>
            <w:webHidden/>
          </w:rPr>
        </w:r>
        <w:r>
          <w:rPr>
            <w:webHidden/>
          </w:rPr>
          <w:fldChar w:fldCharType="separate"/>
        </w:r>
        <w:r>
          <w:rPr>
            <w:webHidden/>
          </w:rPr>
          <w:t>12</w:t>
        </w:r>
        <w:r>
          <w:rPr>
            <w:webHidden/>
          </w:rPr>
          <w:fldChar w:fldCharType="end"/>
        </w:r>
      </w:hyperlink>
    </w:p>
    <w:p w14:paraId="6ADC2017" w14:textId="6D30EC43" w:rsidR="00BB0CCC" w:rsidRDefault="00BB0CCC">
      <w:pPr>
        <w:pStyle w:val="TOC1"/>
        <w:rPr>
          <w:rFonts w:asciiTheme="minorHAnsi" w:eastAsiaTheme="minorEastAsia" w:hAnsiTheme="minorHAnsi" w:cstheme="minorBidi"/>
          <w:b w:val="0"/>
          <w:sz w:val="22"/>
          <w:szCs w:val="22"/>
          <w:lang w:eastAsia="en-AU"/>
        </w:rPr>
      </w:pPr>
      <w:hyperlink w:anchor="_Toc81210087" w:history="1">
        <w:r w:rsidRPr="00BD57EC">
          <w:rPr>
            <w:rStyle w:val="Hyperlink"/>
          </w:rPr>
          <w:t>What are outcome measures?</w:t>
        </w:r>
        <w:r>
          <w:rPr>
            <w:webHidden/>
          </w:rPr>
          <w:tab/>
        </w:r>
        <w:r>
          <w:rPr>
            <w:webHidden/>
          </w:rPr>
          <w:fldChar w:fldCharType="begin"/>
        </w:r>
        <w:r>
          <w:rPr>
            <w:webHidden/>
          </w:rPr>
          <w:instrText xml:space="preserve"> PAGEREF _Toc81210087 \h </w:instrText>
        </w:r>
        <w:r>
          <w:rPr>
            <w:webHidden/>
          </w:rPr>
        </w:r>
        <w:r>
          <w:rPr>
            <w:webHidden/>
          </w:rPr>
          <w:fldChar w:fldCharType="separate"/>
        </w:r>
        <w:r>
          <w:rPr>
            <w:webHidden/>
          </w:rPr>
          <w:t>13</w:t>
        </w:r>
        <w:r>
          <w:rPr>
            <w:webHidden/>
          </w:rPr>
          <w:fldChar w:fldCharType="end"/>
        </w:r>
      </w:hyperlink>
    </w:p>
    <w:p w14:paraId="19C7F3FD" w14:textId="1DF986CB" w:rsidR="00BB0CCC" w:rsidRDefault="00BB0CCC">
      <w:pPr>
        <w:pStyle w:val="TOC2"/>
        <w:tabs>
          <w:tab w:val="left" w:pos="567"/>
        </w:tabs>
        <w:rPr>
          <w:rFonts w:asciiTheme="minorHAnsi" w:eastAsiaTheme="minorEastAsia" w:hAnsiTheme="minorHAnsi" w:cstheme="minorBidi"/>
          <w:sz w:val="22"/>
          <w:szCs w:val="22"/>
          <w:lang w:eastAsia="en-AU"/>
        </w:rPr>
      </w:pPr>
      <w:hyperlink w:anchor="_Toc81210088" w:history="1">
        <w:r w:rsidRPr="00BD57EC">
          <w:rPr>
            <w:rStyle w:val="Hyperlink"/>
          </w:rPr>
          <w:t>36.</w:t>
        </w:r>
        <w:r>
          <w:rPr>
            <w:rFonts w:asciiTheme="minorHAnsi" w:eastAsiaTheme="minorEastAsia" w:hAnsiTheme="minorHAnsi" w:cstheme="minorBidi"/>
            <w:sz w:val="22"/>
            <w:szCs w:val="22"/>
            <w:lang w:eastAsia="en-AU"/>
          </w:rPr>
          <w:tab/>
        </w:r>
        <w:r w:rsidRPr="00BD57EC">
          <w:rPr>
            <w:rStyle w:val="Hyperlink"/>
          </w:rPr>
          <w:t>What ages can HoNOSCA be reported for in relation to young people?</w:t>
        </w:r>
        <w:r>
          <w:rPr>
            <w:webHidden/>
          </w:rPr>
          <w:tab/>
        </w:r>
        <w:r>
          <w:rPr>
            <w:webHidden/>
          </w:rPr>
          <w:fldChar w:fldCharType="begin"/>
        </w:r>
        <w:r>
          <w:rPr>
            <w:webHidden/>
          </w:rPr>
          <w:instrText xml:space="preserve"> PAGEREF _Toc81210088 \h </w:instrText>
        </w:r>
        <w:r>
          <w:rPr>
            <w:webHidden/>
          </w:rPr>
        </w:r>
        <w:r>
          <w:rPr>
            <w:webHidden/>
          </w:rPr>
          <w:fldChar w:fldCharType="separate"/>
        </w:r>
        <w:r>
          <w:rPr>
            <w:webHidden/>
          </w:rPr>
          <w:t>13</w:t>
        </w:r>
        <w:r>
          <w:rPr>
            <w:webHidden/>
          </w:rPr>
          <w:fldChar w:fldCharType="end"/>
        </w:r>
      </w:hyperlink>
    </w:p>
    <w:p w14:paraId="26E7FE76" w14:textId="479D3CA1" w:rsidR="00BB0CCC" w:rsidRDefault="00BB0CCC">
      <w:pPr>
        <w:pStyle w:val="TOC2"/>
        <w:tabs>
          <w:tab w:val="left" w:pos="567"/>
        </w:tabs>
        <w:rPr>
          <w:rFonts w:asciiTheme="minorHAnsi" w:eastAsiaTheme="minorEastAsia" w:hAnsiTheme="minorHAnsi" w:cstheme="minorBidi"/>
          <w:sz w:val="22"/>
          <w:szCs w:val="22"/>
          <w:lang w:eastAsia="en-AU"/>
        </w:rPr>
      </w:pPr>
      <w:hyperlink w:anchor="_Toc81210089" w:history="1">
        <w:r w:rsidRPr="00BD57EC">
          <w:rPr>
            <w:rStyle w:val="Hyperlink"/>
          </w:rPr>
          <w:t>37.</w:t>
        </w:r>
        <w:r>
          <w:rPr>
            <w:rFonts w:asciiTheme="minorHAnsi" w:eastAsiaTheme="minorEastAsia" w:hAnsiTheme="minorHAnsi" w:cstheme="minorBidi"/>
            <w:sz w:val="22"/>
            <w:szCs w:val="22"/>
            <w:lang w:eastAsia="en-AU"/>
          </w:rPr>
          <w:tab/>
        </w:r>
        <w:r w:rsidRPr="00BD57EC">
          <w:rPr>
            <w:rStyle w:val="Hyperlink"/>
          </w:rPr>
          <w:t>Once the protected industrial action is resolved, will I need to retrospectively apply outcome measurements? E.g. 91 day review?</w:t>
        </w:r>
        <w:r>
          <w:rPr>
            <w:webHidden/>
          </w:rPr>
          <w:tab/>
        </w:r>
        <w:r>
          <w:rPr>
            <w:webHidden/>
          </w:rPr>
          <w:fldChar w:fldCharType="begin"/>
        </w:r>
        <w:r>
          <w:rPr>
            <w:webHidden/>
          </w:rPr>
          <w:instrText xml:space="preserve"> PAGEREF _Toc81210089 \h </w:instrText>
        </w:r>
        <w:r>
          <w:rPr>
            <w:webHidden/>
          </w:rPr>
        </w:r>
        <w:r>
          <w:rPr>
            <w:webHidden/>
          </w:rPr>
          <w:fldChar w:fldCharType="separate"/>
        </w:r>
        <w:r>
          <w:rPr>
            <w:webHidden/>
          </w:rPr>
          <w:t>13</w:t>
        </w:r>
        <w:r>
          <w:rPr>
            <w:webHidden/>
          </w:rPr>
          <w:fldChar w:fldCharType="end"/>
        </w:r>
      </w:hyperlink>
    </w:p>
    <w:p w14:paraId="2D19CEA2" w14:textId="6B9915A2" w:rsidR="00BB0CCC" w:rsidRDefault="00BB0CCC">
      <w:pPr>
        <w:pStyle w:val="TOC2"/>
        <w:tabs>
          <w:tab w:val="left" w:pos="567"/>
        </w:tabs>
        <w:rPr>
          <w:rFonts w:asciiTheme="minorHAnsi" w:eastAsiaTheme="minorEastAsia" w:hAnsiTheme="minorHAnsi" w:cstheme="minorBidi"/>
          <w:sz w:val="22"/>
          <w:szCs w:val="22"/>
          <w:lang w:eastAsia="en-AU"/>
        </w:rPr>
      </w:pPr>
      <w:hyperlink w:anchor="_Toc81210090" w:history="1">
        <w:r w:rsidRPr="00BD57EC">
          <w:rPr>
            <w:rStyle w:val="Hyperlink"/>
          </w:rPr>
          <w:t>38.</w:t>
        </w:r>
        <w:r>
          <w:rPr>
            <w:rFonts w:asciiTheme="minorHAnsi" w:eastAsiaTheme="minorEastAsia" w:hAnsiTheme="minorHAnsi" w:cstheme="minorBidi"/>
            <w:sz w:val="22"/>
            <w:szCs w:val="22"/>
            <w:lang w:eastAsia="en-AU"/>
          </w:rPr>
          <w:tab/>
        </w:r>
        <w:r w:rsidRPr="00BD57EC">
          <w:rPr>
            <w:rStyle w:val="Hyperlink"/>
          </w:rPr>
          <w:t>Is there an alternative to BASIS-32?</w:t>
        </w:r>
        <w:r>
          <w:rPr>
            <w:webHidden/>
          </w:rPr>
          <w:tab/>
        </w:r>
        <w:r>
          <w:rPr>
            <w:webHidden/>
          </w:rPr>
          <w:fldChar w:fldCharType="begin"/>
        </w:r>
        <w:r>
          <w:rPr>
            <w:webHidden/>
          </w:rPr>
          <w:instrText xml:space="preserve"> PAGEREF _Toc81210090 \h </w:instrText>
        </w:r>
        <w:r>
          <w:rPr>
            <w:webHidden/>
          </w:rPr>
        </w:r>
        <w:r>
          <w:rPr>
            <w:webHidden/>
          </w:rPr>
          <w:fldChar w:fldCharType="separate"/>
        </w:r>
        <w:r>
          <w:rPr>
            <w:webHidden/>
          </w:rPr>
          <w:t>13</w:t>
        </w:r>
        <w:r>
          <w:rPr>
            <w:webHidden/>
          </w:rPr>
          <w:fldChar w:fldCharType="end"/>
        </w:r>
      </w:hyperlink>
    </w:p>
    <w:p w14:paraId="5218E78E" w14:textId="61A5A03D" w:rsidR="00BB0CCC" w:rsidRDefault="00BB0CCC">
      <w:pPr>
        <w:pStyle w:val="TOC2"/>
        <w:tabs>
          <w:tab w:val="left" w:pos="567"/>
        </w:tabs>
        <w:rPr>
          <w:rFonts w:asciiTheme="minorHAnsi" w:eastAsiaTheme="minorEastAsia" w:hAnsiTheme="minorHAnsi" w:cstheme="minorBidi"/>
          <w:sz w:val="22"/>
          <w:szCs w:val="22"/>
          <w:lang w:eastAsia="en-AU"/>
        </w:rPr>
      </w:pPr>
      <w:hyperlink w:anchor="_Toc81210091" w:history="1">
        <w:r w:rsidRPr="00BD57EC">
          <w:rPr>
            <w:rStyle w:val="Hyperlink"/>
          </w:rPr>
          <w:t>39.</w:t>
        </w:r>
        <w:r>
          <w:rPr>
            <w:rFonts w:asciiTheme="minorHAnsi" w:eastAsiaTheme="minorEastAsia" w:hAnsiTheme="minorHAnsi" w:cstheme="minorBidi"/>
            <w:sz w:val="22"/>
            <w:szCs w:val="22"/>
            <w:lang w:eastAsia="en-AU"/>
          </w:rPr>
          <w:tab/>
        </w:r>
        <w:r w:rsidRPr="00BD57EC">
          <w:rPr>
            <w:rStyle w:val="Hyperlink"/>
          </w:rPr>
          <w:t>Are specialist services required to open episodes and report outcome measures?</w:t>
        </w:r>
        <w:r>
          <w:rPr>
            <w:webHidden/>
          </w:rPr>
          <w:tab/>
        </w:r>
        <w:r>
          <w:rPr>
            <w:webHidden/>
          </w:rPr>
          <w:fldChar w:fldCharType="begin"/>
        </w:r>
        <w:r>
          <w:rPr>
            <w:webHidden/>
          </w:rPr>
          <w:instrText xml:space="preserve"> PAGEREF _Toc81210091 \h </w:instrText>
        </w:r>
        <w:r>
          <w:rPr>
            <w:webHidden/>
          </w:rPr>
        </w:r>
        <w:r>
          <w:rPr>
            <w:webHidden/>
          </w:rPr>
          <w:fldChar w:fldCharType="separate"/>
        </w:r>
        <w:r>
          <w:rPr>
            <w:webHidden/>
          </w:rPr>
          <w:t>13</w:t>
        </w:r>
        <w:r>
          <w:rPr>
            <w:webHidden/>
          </w:rPr>
          <w:fldChar w:fldCharType="end"/>
        </w:r>
      </w:hyperlink>
    </w:p>
    <w:p w14:paraId="20781019" w14:textId="2795687B" w:rsidR="00BB0CCC" w:rsidRDefault="00BB0CCC">
      <w:pPr>
        <w:pStyle w:val="TOC2"/>
        <w:tabs>
          <w:tab w:val="left" w:pos="567"/>
        </w:tabs>
        <w:rPr>
          <w:rFonts w:asciiTheme="minorHAnsi" w:eastAsiaTheme="minorEastAsia" w:hAnsiTheme="minorHAnsi" w:cstheme="minorBidi"/>
          <w:sz w:val="22"/>
          <w:szCs w:val="22"/>
          <w:lang w:eastAsia="en-AU"/>
        </w:rPr>
      </w:pPr>
      <w:hyperlink w:anchor="_Toc81210092" w:history="1">
        <w:r w:rsidRPr="00BD57EC">
          <w:rPr>
            <w:rStyle w:val="Hyperlink"/>
          </w:rPr>
          <w:t>40.</w:t>
        </w:r>
        <w:r>
          <w:rPr>
            <w:rFonts w:asciiTheme="minorHAnsi" w:eastAsiaTheme="minorEastAsia" w:hAnsiTheme="minorHAnsi" w:cstheme="minorBidi"/>
            <w:sz w:val="22"/>
            <w:szCs w:val="22"/>
            <w:lang w:eastAsia="en-AU"/>
          </w:rPr>
          <w:tab/>
        </w:r>
        <w:r w:rsidRPr="00BD57EC">
          <w:rPr>
            <w:rStyle w:val="Hyperlink"/>
          </w:rPr>
          <w:t>If a person has a brief ambulatory episode, do outcome measures need to be recorded at discharge from the service?</w:t>
        </w:r>
        <w:r>
          <w:rPr>
            <w:webHidden/>
          </w:rPr>
          <w:tab/>
        </w:r>
        <w:r>
          <w:rPr>
            <w:webHidden/>
          </w:rPr>
          <w:fldChar w:fldCharType="begin"/>
        </w:r>
        <w:r>
          <w:rPr>
            <w:webHidden/>
          </w:rPr>
          <w:instrText xml:space="preserve"> PAGEREF _Toc81210092 \h </w:instrText>
        </w:r>
        <w:r>
          <w:rPr>
            <w:webHidden/>
          </w:rPr>
        </w:r>
        <w:r>
          <w:rPr>
            <w:webHidden/>
          </w:rPr>
          <w:fldChar w:fldCharType="separate"/>
        </w:r>
        <w:r>
          <w:rPr>
            <w:webHidden/>
          </w:rPr>
          <w:t>14</w:t>
        </w:r>
        <w:r>
          <w:rPr>
            <w:webHidden/>
          </w:rPr>
          <w:fldChar w:fldCharType="end"/>
        </w:r>
      </w:hyperlink>
    </w:p>
    <w:p w14:paraId="390E5CEF" w14:textId="071FBC99" w:rsidR="00BB0CCC" w:rsidRDefault="00BB0CCC">
      <w:pPr>
        <w:pStyle w:val="TOC2"/>
        <w:tabs>
          <w:tab w:val="left" w:pos="567"/>
        </w:tabs>
        <w:rPr>
          <w:rFonts w:asciiTheme="minorHAnsi" w:eastAsiaTheme="minorEastAsia" w:hAnsiTheme="minorHAnsi" w:cstheme="minorBidi"/>
          <w:sz w:val="22"/>
          <w:szCs w:val="22"/>
          <w:lang w:eastAsia="en-AU"/>
        </w:rPr>
      </w:pPr>
      <w:hyperlink w:anchor="_Toc81210093" w:history="1">
        <w:r w:rsidRPr="00BD57EC">
          <w:rPr>
            <w:rStyle w:val="Hyperlink"/>
          </w:rPr>
          <w:t>41.</w:t>
        </w:r>
        <w:r>
          <w:rPr>
            <w:rFonts w:asciiTheme="minorHAnsi" w:eastAsiaTheme="minorEastAsia" w:hAnsiTheme="minorHAnsi" w:cstheme="minorBidi"/>
            <w:sz w:val="22"/>
            <w:szCs w:val="22"/>
            <w:lang w:eastAsia="en-AU"/>
          </w:rPr>
          <w:tab/>
        </w:r>
        <w:r w:rsidRPr="00BD57EC">
          <w:rPr>
            <w:rStyle w:val="Hyperlink"/>
          </w:rPr>
          <w:t>Once the industrial bans are lifted, how do services go about recommencing the reporting of outcome measures for consumers?</w:t>
        </w:r>
        <w:r>
          <w:rPr>
            <w:webHidden/>
          </w:rPr>
          <w:tab/>
        </w:r>
        <w:r>
          <w:rPr>
            <w:webHidden/>
          </w:rPr>
          <w:fldChar w:fldCharType="begin"/>
        </w:r>
        <w:r>
          <w:rPr>
            <w:webHidden/>
          </w:rPr>
          <w:instrText xml:space="preserve"> PAGEREF _Toc81210093 \h </w:instrText>
        </w:r>
        <w:r>
          <w:rPr>
            <w:webHidden/>
          </w:rPr>
        </w:r>
        <w:r>
          <w:rPr>
            <w:webHidden/>
          </w:rPr>
          <w:fldChar w:fldCharType="separate"/>
        </w:r>
        <w:r>
          <w:rPr>
            <w:webHidden/>
          </w:rPr>
          <w:t>14</w:t>
        </w:r>
        <w:r>
          <w:rPr>
            <w:webHidden/>
          </w:rPr>
          <w:fldChar w:fldCharType="end"/>
        </w:r>
      </w:hyperlink>
    </w:p>
    <w:p w14:paraId="77100C18" w14:textId="672A87B4" w:rsidR="00BB0CCC" w:rsidRDefault="00BB0CCC">
      <w:pPr>
        <w:pStyle w:val="TOC2"/>
        <w:tabs>
          <w:tab w:val="left" w:pos="567"/>
        </w:tabs>
        <w:rPr>
          <w:rFonts w:asciiTheme="minorHAnsi" w:eastAsiaTheme="minorEastAsia" w:hAnsiTheme="minorHAnsi" w:cstheme="minorBidi"/>
          <w:sz w:val="22"/>
          <w:szCs w:val="22"/>
          <w:lang w:eastAsia="en-AU"/>
        </w:rPr>
      </w:pPr>
      <w:hyperlink w:anchor="_Toc81210094" w:history="1">
        <w:r w:rsidRPr="00BD57EC">
          <w:rPr>
            <w:rStyle w:val="Hyperlink"/>
          </w:rPr>
          <w:t>42.</w:t>
        </w:r>
        <w:r>
          <w:rPr>
            <w:rFonts w:asciiTheme="minorHAnsi" w:eastAsiaTheme="minorEastAsia" w:hAnsiTheme="minorHAnsi" w:cstheme="minorBidi"/>
            <w:sz w:val="22"/>
            <w:szCs w:val="22"/>
            <w:lang w:eastAsia="en-AU"/>
          </w:rPr>
          <w:tab/>
        </w:r>
        <w:r w:rsidRPr="00BD57EC">
          <w:rPr>
            <w:rStyle w:val="Hyperlink"/>
          </w:rPr>
          <w:t>If we have a community team that crosses multiple age groups, are we required to split the subcentres according to age groups to generate the appropriate Outcome measures?</w:t>
        </w:r>
        <w:r>
          <w:rPr>
            <w:webHidden/>
          </w:rPr>
          <w:tab/>
        </w:r>
        <w:r>
          <w:rPr>
            <w:webHidden/>
          </w:rPr>
          <w:fldChar w:fldCharType="begin"/>
        </w:r>
        <w:r>
          <w:rPr>
            <w:webHidden/>
          </w:rPr>
          <w:instrText xml:space="preserve"> PAGEREF _Toc81210094 \h </w:instrText>
        </w:r>
        <w:r>
          <w:rPr>
            <w:webHidden/>
          </w:rPr>
        </w:r>
        <w:r>
          <w:rPr>
            <w:webHidden/>
          </w:rPr>
          <w:fldChar w:fldCharType="separate"/>
        </w:r>
        <w:r>
          <w:rPr>
            <w:webHidden/>
          </w:rPr>
          <w:t>14</w:t>
        </w:r>
        <w:r>
          <w:rPr>
            <w:webHidden/>
          </w:rPr>
          <w:fldChar w:fldCharType="end"/>
        </w:r>
      </w:hyperlink>
    </w:p>
    <w:p w14:paraId="3DACFBAA" w14:textId="69DA0704" w:rsidR="00BB0CCC" w:rsidRDefault="00BB0CCC">
      <w:pPr>
        <w:pStyle w:val="TOC2"/>
        <w:tabs>
          <w:tab w:val="left" w:pos="567"/>
        </w:tabs>
        <w:rPr>
          <w:rFonts w:asciiTheme="minorHAnsi" w:eastAsiaTheme="minorEastAsia" w:hAnsiTheme="minorHAnsi" w:cstheme="minorBidi"/>
          <w:sz w:val="22"/>
          <w:szCs w:val="22"/>
          <w:lang w:eastAsia="en-AU"/>
        </w:rPr>
      </w:pPr>
      <w:hyperlink w:anchor="_Toc81210095" w:history="1">
        <w:r w:rsidRPr="00BD57EC">
          <w:rPr>
            <w:rStyle w:val="Hyperlink"/>
          </w:rPr>
          <w:t>43.</w:t>
        </w:r>
        <w:r>
          <w:rPr>
            <w:rFonts w:asciiTheme="minorHAnsi" w:eastAsiaTheme="minorEastAsia" w:hAnsiTheme="minorHAnsi" w:cstheme="minorBidi"/>
            <w:sz w:val="22"/>
            <w:szCs w:val="22"/>
            <w:lang w:eastAsia="en-AU"/>
          </w:rPr>
          <w:tab/>
        </w:r>
        <w:r w:rsidRPr="00BD57EC">
          <w:rPr>
            <w:rStyle w:val="Hyperlink"/>
          </w:rPr>
          <w:t>Do AOD services under the governance of Mental Health Programs, such as dual diagnosis AOD residential services, need to report outcome measures to CMI/ODS if they report outcome measures within VADC submissions?</w:t>
        </w:r>
        <w:r>
          <w:rPr>
            <w:webHidden/>
          </w:rPr>
          <w:tab/>
        </w:r>
        <w:r>
          <w:rPr>
            <w:webHidden/>
          </w:rPr>
          <w:fldChar w:fldCharType="begin"/>
        </w:r>
        <w:r>
          <w:rPr>
            <w:webHidden/>
          </w:rPr>
          <w:instrText xml:space="preserve"> PAGEREF _Toc81210095 \h </w:instrText>
        </w:r>
        <w:r>
          <w:rPr>
            <w:webHidden/>
          </w:rPr>
        </w:r>
        <w:r>
          <w:rPr>
            <w:webHidden/>
          </w:rPr>
          <w:fldChar w:fldCharType="separate"/>
        </w:r>
        <w:r>
          <w:rPr>
            <w:webHidden/>
          </w:rPr>
          <w:t>14</w:t>
        </w:r>
        <w:r>
          <w:rPr>
            <w:webHidden/>
          </w:rPr>
          <w:fldChar w:fldCharType="end"/>
        </w:r>
      </w:hyperlink>
    </w:p>
    <w:p w14:paraId="303F87D8" w14:textId="61179F35" w:rsidR="00BB0CCC" w:rsidRDefault="00BB0CCC">
      <w:pPr>
        <w:pStyle w:val="TOC2"/>
        <w:tabs>
          <w:tab w:val="left" w:pos="567"/>
        </w:tabs>
        <w:rPr>
          <w:rFonts w:asciiTheme="minorHAnsi" w:eastAsiaTheme="minorEastAsia" w:hAnsiTheme="minorHAnsi" w:cstheme="minorBidi"/>
          <w:sz w:val="22"/>
          <w:szCs w:val="22"/>
          <w:lang w:eastAsia="en-AU"/>
        </w:rPr>
      </w:pPr>
      <w:hyperlink w:anchor="_Toc81210096" w:history="1">
        <w:r w:rsidRPr="00BD57EC">
          <w:rPr>
            <w:rStyle w:val="Hyperlink"/>
            <w:rFonts w:eastAsia="MS Gothic"/>
          </w:rPr>
          <w:t>44.</w:t>
        </w:r>
        <w:r>
          <w:rPr>
            <w:rFonts w:asciiTheme="minorHAnsi" w:eastAsiaTheme="minorEastAsia" w:hAnsiTheme="minorHAnsi" w:cstheme="minorBidi"/>
            <w:sz w:val="22"/>
            <w:szCs w:val="22"/>
            <w:lang w:eastAsia="en-AU"/>
          </w:rPr>
          <w:tab/>
        </w:r>
        <w:r w:rsidRPr="00BD57EC">
          <w:rPr>
            <w:rStyle w:val="Hyperlink"/>
            <w:rFonts w:eastAsia="MS Gothic"/>
          </w:rPr>
          <w:t xml:space="preserve">Are older person’s </w:t>
        </w:r>
        <w:r w:rsidRPr="00BD57EC">
          <w:rPr>
            <w:rStyle w:val="Hyperlink"/>
          </w:rPr>
          <w:t>residential</w:t>
        </w:r>
        <w:r w:rsidRPr="00BD57EC">
          <w:rPr>
            <w:rStyle w:val="Hyperlink"/>
            <w:rFonts w:eastAsia="MS Gothic"/>
          </w:rPr>
          <w:t xml:space="preserve"> services in scope?</w:t>
        </w:r>
        <w:r>
          <w:rPr>
            <w:webHidden/>
          </w:rPr>
          <w:tab/>
        </w:r>
        <w:r>
          <w:rPr>
            <w:webHidden/>
          </w:rPr>
          <w:fldChar w:fldCharType="begin"/>
        </w:r>
        <w:r>
          <w:rPr>
            <w:webHidden/>
          </w:rPr>
          <w:instrText xml:space="preserve"> PAGEREF _Toc81210096 \h </w:instrText>
        </w:r>
        <w:r>
          <w:rPr>
            <w:webHidden/>
          </w:rPr>
        </w:r>
        <w:r>
          <w:rPr>
            <w:webHidden/>
          </w:rPr>
          <w:fldChar w:fldCharType="separate"/>
        </w:r>
        <w:r>
          <w:rPr>
            <w:webHidden/>
          </w:rPr>
          <w:t>15</w:t>
        </w:r>
        <w:r>
          <w:rPr>
            <w:webHidden/>
          </w:rPr>
          <w:fldChar w:fldCharType="end"/>
        </w:r>
      </w:hyperlink>
    </w:p>
    <w:p w14:paraId="104B3034" w14:textId="6F76AC7F" w:rsidR="00BB0CCC" w:rsidRDefault="00BB0CCC">
      <w:pPr>
        <w:pStyle w:val="TOC1"/>
        <w:rPr>
          <w:rFonts w:asciiTheme="minorHAnsi" w:eastAsiaTheme="minorEastAsia" w:hAnsiTheme="minorHAnsi" w:cstheme="minorBidi"/>
          <w:b w:val="0"/>
          <w:sz w:val="22"/>
          <w:szCs w:val="22"/>
          <w:lang w:eastAsia="en-AU"/>
        </w:rPr>
      </w:pPr>
      <w:hyperlink w:anchor="_Toc81210097" w:history="1">
        <w:r w:rsidRPr="00BD57EC">
          <w:rPr>
            <w:rStyle w:val="Hyperlink"/>
          </w:rPr>
          <w:t>Scenarios relating to implementation</w:t>
        </w:r>
        <w:r>
          <w:rPr>
            <w:webHidden/>
          </w:rPr>
          <w:tab/>
        </w:r>
        <w:r>
          <w:rPr>
            <w:webHidden/>
          </w:rPr>
          <w:fldChar w:fldCharType="begin"/>
        </w:r>
        <w:r>
          <w:rPr>
            <w:webHidden/>
          </w:rPr>
          <w:instrText xml:space="preserve"> PAGEREF _Toc81210097 \h </w:instrText>
        </w:r>
        <w:r>
          <w:rPr>
            <w:webHidden/>
          </w:rPr>
        </w:r>
        <w:r>
          <w:rPr>
            <w:webHidden/>
          </w:rPr>
          <w:fldChar w:fldCharType="separate"/>
        </w:r>
        <w:r>
          <w:rPr>
            <w:webHidden/>
          </w:rPr>
          <w:t>16</w:t>
        </w:r>
        <w:r>
          <w:rPr>
            <w:webHidden/>
          </w:rPr>
          <w:fldChar w:fldCharType="end"/>
        </w:r>
      </w:hyperlink>
    </w:p>
    <w:p w14:paraId="2F85005A" w14:textId="5EC09E4B" w:rsidR="00BB0CCC" w:rsidRDefault="00BB0CCC">
      <w:pPr>
        <w:pStyle w:val="TOC2"/>
        <w:rPr>
          <w:rFonts w:asciiTheme="minorHAnsi" w:eastAsiaTheme="minorEastAsia" w:hAnsiTheme="minorHAnsi" w:cstheme="minorBidi"/>
          <w:sz w:val="22"/>
          <w:szCs w:val="22"/>
          <w:lang w:eastAsia="en-AU"/>
        </w:rPr>
      </w:pPr>
      <w:hyperlink w:anchor="_Toc81210098" w:history="1">
        <w:r w:rsidRPr="00BD57EC">
          <w:rPr>
            <w:rStyle w:val="Hyperlink"/>
          </w:rPr>
          <w:t>Scenario 1: Consumer presents to the Emergency Department (not case-managed)</w:t>
        </w:r>
        <w:r>
          <w:rPr>
            <w:webHidden/>
          </w:rPr>
          <w:tab/>
        </w:r>
        <w:r>
          <w:rPr>
            <w:webHidden/>
          </w:rPr>
          <w:fldChar w:fldCharType="begin"/>
        </w:r>
        <w:r>
          <w:rPr>
            <w:webHidden/>
          </w:rPr>
          <w:instrText xml:space="preserve"> PAGEREF _Toc81210098 \h </w:instrText>
        </w:r>
        <w:r>
          <w:rPr>
            <w:webHidden/>
          </w:rPr>
        </w:r>
        <w:r>
          <w:rPr>
            <w:webHidden/>
          </w:rPr>
          <w:fldChar w:fldCharType="separate"/>
        </w:r>
        <w:r>
          <w:rPr>
            <w:webHidden/>
          </w:rPr>
          <w:t>16</w:t>
        </w:r>
        <w:r>
          <w:rPr>
            <w:webHidden/>
          </w:rPr>
          <w:fldChar w:fldCharType="end"/>
        </w:r>
      </w:hyperlink>
    </w:p>
    <w:p w14:paraId="1C6B3EC9" w14:textId="4E11551B" w:rsidR="00BB0CCC" w:rsidRDefault="00BB0CCC">
      <w:pPr>
        <w:pStyle w:val="TOC2"/>
        <w:rPr>
          <w:rFonts w:asciiTheme="minorHAnsi" w:eastAsiaTheme="minorEastAsia" w:hAnsiTheme="minorHAnsi" w:cstheme="minorBidi"/>
          <w:sz w:val="22"/>
          <w:szCs w:val="22"/>
          <w:lang w:eastAsia="en-AU"/>
        </w:rPr>
      </w:pPr>
      <w:hyperlink w:anchor="_Toc81210099" w:history="1">
        <w:r w:rsidRPr="00BD57EC">
          <w:rPr>
            <w:rStyle w:val="Hyperlink"/>
          </w:rPr>
          <w:t>Scenario 2: Consumer referred directly to a Community Care Team from another AMHS</w:t>
        </w:r>
        <w:r>
          <w:rPr>
            <w:webHidden/>
          </w:rPr>
          <w:tab/>
        </w:r>
        <w:r>
          <w:rPr>
            <w:webHidden/>
          </w:rPr>
          <w:fldChar w:fldCharType="begin"/>
        </w:r>
        <w:r>
          <w:rPr>
            <w:webHidden/>
          </w:rPr>
          <w:instrText xml:space="preserve"> PAGEREF _Toc81210099 \h </w:instrText>
        </w:r>
        <w:r>
          <w:rPr>
            <w:webHidden/>
          </w:rPr>
        </w:r>
        <w:r>
          <w:rPr>
            <w:webHidden/>
          </w:rPr>
          <w:fldChar w:fldCharType="separate"/>
        </w:r>
        <w:r>
          <w:rPr>
            <w:webHidden/>
          </w:rPr>
          <w:t>16</w:t>
        </w:r>
        <w:r>
          <w:rPr>
            <w:webHidden/>
          </w:rPr>
          <w:fldChar w:fldCharType="end"/>
        </w:r>
      </w:hyperlink>
    </w:p>
    <w:p w14:paraId="59546070" w14:textId="64A1BCE5" w:rsidR="00BB0CCC" w:rsidRDefault="00BB0CCC">
      <w:pPr>
        <w:pStyle w:val="TOC2"/>
        <w:rPr>
          <w:rFonts w:asciiTheme="minorHAnsi" w:eastAsiaTheme="minorEastAsia" w:hAnsiTheme="minorHAnsi" w:cstheme="minorBidi"/>
          <w:sz w:val="22"/>
          <w:szCs w:val="22"/>
          <w:lang w:eastAsia="en-AU"/>
        </w:rPr>
      </w:pPr>
      <w:hyperlink w:anchor="_Toc81210100" w:history="1">
        <w:r w:rsidRPr="00BD57EC">
          <w:rPr>
            <w:rStyle w:val="Hyperlink"/>
          </w:rPr>
          <w:t>Scenario 3: Case-managed consumer in the community</w:t>
        </w:r>
        <w:r>
          <w:rPr>
            <w:webHidden/>
          </w:rPr>
          <w:tab/>
        </w:r>
        <w:r>
          <w:rPr>
            <w:webHidden/>
          </w:rPr>
          <w:fldChar w:fldCharType="begin"/>
        </w:r>
        <w:r>
          <w:rPr>
            <w:webHidden/>
          </w:rPr>
          <w:instrText xml:space="preserve"> PAGEREF _Toc81210100 \h </w:instrText>
        </w:r>
        <w:r>
          <w:rPr>
            <w:webHidden/>
          </w:rPr>
        </w:r>
        <w:r>
          <w:rPr>
            <w:webHidden/>
          </w:rPr>
          <w:fldChar w:fldCharType="separate"/>
        </w:r>
        <w:r>
          <w:rPr>
            <w:webHidden/>
          </w:rPr>
          <w:t>16</w:t>
        </w:r>
        <w:r>
          <w:rPr>
            <w:webHidden/>
          </w:rPr>
          <w:fldChar w:fldCharType="end"/>
        </w:r>
      </w:hyperlink>
    </w:p>
    <w:p w14:paraId="1504841A" w14:textId="29D34B09" w:rsidR="00BB0CCC" w:rsidRDefault="00BB0CCC">
      <w:pPr>
        <w:pStyle w:val="TOC2"/>
        <w:rPr>
          <w:rFonts w:asciiTheme="minorHAnsi" w:eastAsiaTheme="minorEastAsia" w:hAnsiTheme="minorHAnsi" w:cstheme="minorBidi"/>
          <w:sz w:val="22"/>
          <w:szCs w:val="22"/>
          <w:lang w:eastAsia="en-AU"/>
        </w:rPr>
      </w:pPr>
      <w:hyperlink w:anchor="_Toc81210101" w:history="1">
        <w:r w:rsidRPr="00BD57EC">
          <w:rPr>
            <w:rStyle w:val="Hyperlink"/>
          </w:rPr>
          <w:t>Scenario 4: Consumer presents to the Emergency Department (currently case-managed)</w:t>
        </w:r>
        <w:r>
          <w:rPr>
            <w:webHidden/>
          </w:rPr>
          <w:tab/>
        </w:r>
        <w:r>
          <w:rPr>
            <w:webHidden/>
          </w:rPr>
          <w:fldChar w:fldCharType="begin"/>
        </w:r>
        <w:r>
          <w:rPr>
            <w:webHidden/>
          </w:rPr>
          <w:instrText xml:space="preserve"> PAGEREF _Toc81210101 \h </w:instrText>
        </w:r>
        <w:r>
          <w:rPr>
            <w:webHidden/>
          </w:rPr>
        </w:r>
        <w:r>
          <w:rPr>
            <w:webHidden/>
          </w:rPr>
          <w:fldChar w:fldCharType="separate"/>
        </w:r>
        <w:r>
          <w:rPr>
            <w:webHidden/>
          </w:rPr>
          <w:t>17</w:t>
        </w:r>
        <w:r>
          <w:rPr>
            <w:webHidden/>
          </w:rPr>
          <w:fldChar w:fldCharType="end"/>
        </w:r>
      </w:hyperlink>
    </w:p>
    <w:p w14:paraId="694CA3FF" w14:textId="7E8E922F" w:rsidR="00BB0CCC" w:rsidRDefault="00BB0CCC">
      <w:pPr>
        <w:pStyle w:val="TOC2"/>
        <w:rPr>
          <w:rFonts w:asciiTheme="minorHAnsi" w:eastAsiaTheme="minorEastAsia" w:hAnsiTheme="minorHAnsi" w:cstheme="minorBidi"/>
          <w:sz w:val="22"/>
          <w:szCs w:val="22"/>
          <w:lang w:eastAsia="en-AU"/>
        </w:rPr>
      </w:pPr>
      <w:hyperlink w:anchor="_Toc81210102" w:history="1">
        <w:r w:rsidRPr="00BD57EC">
          <w:rPr>
            <w:rStyle w:val="Hyperlink"/>
          </w:rPr>
          <w:t>Scenario 5: Case-managed consumer commences a secondary consultation service from a specialist team</w:t>
        </w:r>
        <w:r>
          <w:rPr>
            <w:webHidden/>
          </w:rPr>
          <w:tab/>
        </w:r>
        <w:r>
          <w:rPr>
            <w:webHidden/>
          </w:rPr>
          <w:fldChar w:fldCharType="begin"/>
        </w:r>
        <w:r>
          <w:rPr>
            <w:webHidden/>
          </w:rPr>
          <w:instrText xml:space="preserve"> PAGEREF _Toc81210102 \h </w:instrText>
        </w:r>
        <w:r>
          <w:rPr>
            <w:webHidden/>
          </w:rPr>
        </w:r>
        <w:r>
          <w:rPr>
            <w:webHidden/>
          </w:rPr>
          <w:fldChar w:fldCharType="separate"/>
        </w:r>
        <w:r>
          <w:rPr>
            <w:webHidden/>
          </w:rPr>
          <w:t>17</w:t>
        </w:r>
        <w:r>
          <w:rPr>
            <w:webHidden/>
          </w:rPr>
          <w:fldChar w:fldCharType="end"/>
        </w:r>
      </w:hyperlink>
    </w:p>
    <w:p w14:paraId="3C3C6393" w14:textId="77DB016B" w:rsidR="00BB0CCC" w:rsidRDefault="00BB0CCC">
      <w:pPr>
        <w:pStyle w:val="TOC2"/>
        <w:rPr>
          <w:rFonts w:asciiTheme="minorHAnsi" w:eastAsiaTheme="minorEastAsia" w:hAnsiTheme="minorHAnsi" w:cstheme="minorBidi"/>
          <w:sz w:val="22"/>
          <w:szCs w:val="22"/>
          <w:lang w:eastAsia="en-AU"/>
        </w:rPr>
      </w:pPr>
      <w:hyperlink w:anchor="_Toc81210103" w:history="1">
        <w:r w:rsidRPr="00BD57EC">
          <w:rPr>
            <w:rStyle w:val="Hyperlink"/>
          </w:rPr>
          <w:t>Scenario 6: Consumer is case-managed in the community, with services provided by multiple mental health teams</w:t>
        </w:r>
        <w:r>
          <w:rPr>
            <w:webHidden/>
          </w:rPr>
          <w:tab/>
        </w:r>
        <w:r>
          <w:rPr>
            <w:webHidden/>
          </w:rPr>
          <w:fldChar w:fldCharType="begin"/>
        </w:r>
        <w:r>
          <w:rPr>
            <w:webHidden/>
          </w:rPr>
          <w:instrText xml:space="preserve"> PAGEREF _Toc81210103 \h </w:instrText>
        </w:r>
        <w:r>
          <w:rPr>
            <w:webHidden/>
          </w:rPr>
        </w:r>
        <w:r>
          <w:rPr>
            <w:webHidden/>
          </w:rPr>
          <w:fldChar w:fldCharType="separate"/>
        </w:r>
        <w:r>
          <w:rPr>
            <w:webHidden/>
          </w:rPr>
          <w:t>17</w:t>
        </w:r>
        <w:r>
          <w:rPr>
            <w:webHidden/>
          </w:rPr>
          <w:fldChar w:fldCharType="end"/>
        </w:r>
      </w:hyperlink>
    </w:p>
    <w:p w14:paraId="73C4D47E" w14:textId="35E3509F" w:rsidR="00BB0CCC" w:rsidRDefault="00BB0CCC">
      <w:pPr>
        <w:pStyle w:val="TOC1"/>
        <w:rPr>
          <w:rFonts w:asciiTheme="minorHAnsi" w:eastAsiaTheme="minorEastAsia" w:hAnsiTheme="minorHAnsi" w:cstheme="minorBidi"/>
          <w:b w:val="0"/>
          <w:sz w:val="22"/>
          <w:szCs w:val="22"/>
          <w:lang w:eastAsia="en-AU"/>
        </w:rPr>
      </w:pPr>
      <w:hyperlink w:anchor="_Toc81210104" w:history="1">
        <w:r w:rsidRPr="00BD57EC">
          <w:rPr>
            <w:rStyle w:val="Hyperlink"/>
          </w:rPr>
          <w:t>Glossary</w:t>
        </w:r>
        <w:r>
          <w:rPr>
            <w:webHidden/>
          </w:rPr>
          <w:tab/>
        </w:r>
        <w:r>
          <w:rPr>
            <w:webHidden/>
          </w:rPr>
          <w:fldChar w:fldCharType="begin"/>
        </w:r>
        <w:r>
          <w:rPr>
            <w:webHidden/>
          </w:rPr>
          <w:instrText xml:space="preserve"> PAGEREF _Toc81210104 \h </w:instrText>
        </w:r>
        <w:r>
          <w:rPr>
            <w:webHidden/>
          </w:rPr>
        </w:r>
        <w:r>
          <w:rPr>
            <w:webHidden/>
          </w:rPr>
          <w:fldChar w:fldCharType="separate"/>
        </w:r>
        <w:r>
          <w:rPr>
            <w:webHidden/>
          </w:rPr>
          <w:t>18</w:t>
        </w:r>
        <w:r>
          <w:rPr>
            <w:webHidden/>
          </w:rPr>
          <w:fldChar w:fldCharType="end"/>
        </w:r>
      </w:hyperlink>
    </w:p>
    <w:p w14:paraId="6118DAA9" w14:textId="6C293CAF" w:rsidR="00BB0CCC" w:rsidRDefault="00BB0CCC">
      <w:pPr>
        <w:pStyle w:val="TOC1"/>
        <w:rPr>
          <w:rFonts w:asciiTheme="minorHAnsi" w:eastAsiaTheme="minorEastAsia" w:hAnsiTheme="minorHAnsi" w:cstheme="minorBidi"/>
          <w:b w:val="0"/>
          <w:sz w:val="22"/>
          <w:szCs w:val="22"/>
          <w:lang w:eastAsia="en-AU"/>
        </w:rPr>
      </w:pPr>
      <w:hyperlink w:anchor="_Toc81210105" w:history="1">
        <w:r w:rsidRPr="00BD57EC">
          <w:rPr>
            <w:rStyle w:val="Hyperlink"/>
          </w:rPr>
          <w:t>Note re new or amended questions</w:t>
        </w:r>
        <w:r>
          <w:rPr>
            <w:webHidden/>
          </w:rPr>
          <w:tab/>
        </w:r>
        <w:r>
          <w:rPr>
            <w:webHidden/>
          </w:rPr>
          <w:fldChar w:fldCharType="begin"/>
        </w:r>
        <w:r>
          <w:rPr>
            <w:webHidden/>
          </w:rPr>
          <w:instrText xml:space="preserve"> PAGEREF _Toc81210105 \h </w:instrText>
        </w:r>
        <w:r>
          <w:rPr>
            <w:webHidden/>
          </w:rPr>
        </w:r>
        <w:r>
          <w:rPr>
            <w:webHidden/>
          </w:rPr>
          <w:fldChar w:fldCharType="separate"/>
        </w:r>
        <w:r>
          <w:rPr>
            <w:webHidden/>
          </w:rPr>
          <w:t>18</w:t>
        </w:r>
        <w:r>
          <w:rPr>
            <w:webHidden/>
          </w:rPr>
          <w:fldChar w:fldCharType="end"/>
        </w:r>
      </w:hyperlink>
    </w:p>
    <w:p w14:paraId="49182201" w14:textId="63328CD7" w:rsidR="007173CA" w:rsidRDefault="00AD784C" w:rsidP="00D079AA">
      <w:pPr>
        <w:pStyle w:val="Body"/>
      </w:pPr>
      <w:r>
        <w:fldChar w:fldCharType="end"/>
      </w:r>
    </w:p>
    <w:p w14:paraId="3DDD6657" w14:textId="77777777" w:rsidR="00580394" w:rsidRPr="00B519CD" w:rsidRDefault="00580394" w:rsidP="007173CA">
      <w:pPr>
        <w:pStyle w:val="Body"/>
        <w:sectPr w:rsidR="00580394" w:rsidRPr="00B519CD" w:rsidSect="00E62622">
          <w:headerReference w:type="even" r:id="rId18"/>
          <w:headerReference w:type="default" r:id="rId19"/>
          <w:headerReference w:type="first" r:id="rId20"/>
          <w:type w:val="continuous"/>
          <w:pgSz w:w="11906" w:h="16838" w:code="9"/>
          <w:pgMar w:top="1418" w:right="851" w:bottom="1418" w:left="851" w:header="851" w:footer="851" w:gutter="0"/>
          <w:cols w:space="340"/>
          <w:titlePg/>
          <w:docGrid w:linePitch="360"/>
        </w:sectPr>
      </w:pPr>
    </w:p>
    <w:p w14:paraId="71ABF99C" w14:textId="77777777" w:rsidR="00F32368" w:rsidRPr="00F32368" w:rsidRDefault="00F32368" w:rsidP="00F32368">
      <w:pPr>
        <w:pStyle w:val="Body"/>
      </w:pPr>
      <w:bookmarkStart w:id="0" w:name="_Hlk41913885"/>
    </w:p>
    <w:p w14:paraId="7880009B" w14:textId="77777777" w:rsidR="00BA3356" w:rsidRDefault="00BA3356">
      <w:pPr>
        <w:spacing w:after="0" w:line="240" w:lineRule="auto"/>
        <w:rPr>
          <w:rFonts w:eastAsia="MS Gothic" w:cs="Arial"/>
          <w:bCs/>
          <w:color w:val="201547"/>
          <w:kern w:val="32"/>
          <w:sz w:val="40"/>
          <w:szCs w:val="40"/>
        </w:rPr>
      </w:pPr>
      <w:r>
        <w:br w:type="page"/>
      </w:r>
    </w:p>
    <w:p w14:paraId="26F5B83A" w14:textId="50C6DFAE" w:rsidR="00EE29AD" w:rsidRDefault="00225267" w:rsidP="00E261B3">
      <w:pPr>
        <w:pStyle w:val="Heading1"/>
      </w:pPr>
      <w:bookmarkStart w:id="1" w:name="_Toc81210049"/>
      <w:bookmarkEnd w:id="0"/>
      <w:r>
        <w:lastRenderedPageBreak/>
        <w:t>What is changing</w:t>
      </w:r>
      <w:bookmarkEnd w:id="1"/>
    </w:p>
    <w:p w14:paraId="2BB4E701" w14:textId="5246410A" w:rsidR="00CB7418" w:rsidRDefault="00225267" w:rsidP="00BC2725">
      <w:pPr>
        <w:pStyle w:val="Body"/>
      </w:pPr>
      <w:r>
        <w:t>The approach to registration of mental health consumers is currently variable across the state.</w:t>
      </w:r>
      <w:r w:rsidR="00CB7418">
        <w:t xml:space="preserve">  Registration of a consumer on the Client Management Interface/Operational Data Store (CMI/ODS) will now be required where a person receives a face-to-face mental health assessment.</w:t>
      </w:r>
      <w:r w:rsidR="00A4305F">
        <w:t xml:space="preserve">  The process </w:t>
      </w:r>
      <w:r w:rsidR="00253094">
        <w:t>also</w:t>
      </w:r>
      <w:r w:rsidR="00A4305F">
        <w:t xml:space="preserve"> requires a case and episode be opened at that time.</w:t>
      </w:r>
      <w:r w:rsidR="00CB7418">
        <w:t xml:space="preserve"> </w:t>
      </w:r>
      <w:r w:rsidR="00253094">
        <w:t xml:space="preserve"> </w:t>
      </w:r>
      <w:r w:rsidR="00CB7418">
        <w:t xml:space="preserve">It will continue to be required in a range of </w:t>
      </w:r>
      <w:r w:rsidR="00892627">
        <w:t xml:space="preserve">other </w:t>
      </w:r>
      <w:r w:rsidR="00CB7418">
        <w:t>circumstances, for example when a consumer is admitted.  Consistent registration practices su</w:t>
      </w:r>
      <w:r>
        <w:t xml:space="preserve">pport safety; coordinated care centred on the person; </w:t>
      </w:r>
      <w:r w:rsidR="00CB7418">
        <w:t>and</w:t>
      </w:r>
      <w:r>
        <w:t xml:space="preserve"> shar</w:t>
      </w:r>
      <w:r w:rsidR="00CB7418">
        <w:t>ing of</w:t>
      </w:r>
      <w:r>
        <w:t xml:space="preserve"> relevant information.  </w:t>
      </w:r>
    </w:p>
    <w:p w14:paraId="3BA94D7B" w14:textId="45B52F52" w:rsidR="00855920" w:rsidRDefault="00225267" w:rsidP="00BC2725">
      <w:pPr>
        <w:pStyle w:val="Body"/>
      </w:pPr>
      <w:r>
        <w:t>In addition</w:t>
      </w:r>
      <w:r w:rsidR="00CB7418">
        <w:t>,</w:t>
      </w:r>
      <w:r>
        <w:t xml:space="preserve"> a new outcome measure (Phase of Care) is being introduced</w:t>
      </w:r>
      <w:r w:rsidR="009470AA">
        <w:t xml:space="preserve"> for adults and older adults</w:t>
      </w:r>
      <w:r>
        <w:t>, replacing an existing measure</w:t>
      </w:r>
      <w:r w:rsidR="009470AA">
        <w:t xml:space="preserve"> (Focus of Care)</w:t>
      </w:r>
      <w:r>
        <w:t xml:space="preserve">.  </w:t>
      </w:r>
      <w:r w:rsidR="009470AA">
        <w:t>The Phase of Care element is new for child and adolescents.</w:t>
      </w:r>
      <w:r>
        <w:t xml:space="preserve"> Finally, services are being reminded about the importance of collecting outcome measures as required under national agreements. </w:t>
      </w:r>
      <w:r w:rsidRPr="00225267">
        <w:t xml:space="preserve"> </w:t>
      </w:r>
      <w:r>
        <w:t xml:space="preserve">Three new program management circulars (PMCs) </w:t>
      </w:r>
      <w:r w:rsidR="00CB7418">
        <w:t>outline the changes in detail.</w:t>
      </w:r>
    </w:p>
    <w:p w14:paraId="69CA6797" w14:textId="6F3FE61E" w:rsidR="008E4514" w:rsidRPr="00FD65E2" w:rsidRDefault="005E0DB7" w:rsidP="005F153E">
      <w:pPr>
        <w:pStyle w:val="Heading1"/>
      </w:pPr>
      <w:bookmarkStart w:id="2" w:name="_Toc81210050"/>
      <w:r>
        <w:t>Registration</w:t>
      </w:r>
      <w:bookmarkEnd w:id="2"/>
    </w:p>
    <w:p w14:paraId="22443D5D" w14:textId="59505CF9" w:rsidR="00BB29A1" w:rsidRDefault="00BB29A1" w:rsidP="00D46622">
      <w:pPr>
        <w:pStyle w:val="Heading2"/>
        <w:numPr>
          <w:ilvl w:val="0"/>
          <w:numId w:val="51"/>
        </w:numPr>
        <w:ind w:left="709" w:hanging="709"/>
      </w:pPr>
      <w:bookmarkStart w:id="3" w:name="_Toc81210051"/>
      <w:r>
        <w:t>Wh</w:t>
      </w:r>
      <w:r w:rsidR="00264085">
        <w:t xml:space="preserve">y change the approach to </w:t>
      </w:r>
      <w:r>
        <w:t>registration now?</w:t>
      </w:r>
      <w:bookmarkEnd w:id="3"/>
    </w:p>
    <w:p w14:paraId="3373596F" w14:textId="78AAA7C6" w:rsidR="00BB29A1" w:rsidRDefault="00BB29A1" w:rsidP="00BB29A1">
      <w:pPr>
        <w:pStyle w:val="Body"/>
      </w:pPr>
      <w:r>
        <w:t xml:space="preserve">Under the current approach, </w:t>
      </w:r>
      <w:r w:rsidR="004B5528">
        <w:t xml:space="preserve">consumers might be seen multiple times but not registered.  If this occurs at different services, then clinicians may have incomplete information for decision-making. </w:t>
      </w:r>
      <w:r w:rsidR="004B5528" w:rsidRPr="008862C7">
        <w:t xml:space="preserve">Both intentional self-harm and some mental illnesses are associated with a higher risk of suicide.  </w:t>
      </w:r>
      <w:proofErr w:type="gramStart"/>
      <w:r w:rsidR="004B5528" w:rsidRPr="008862C7">
        <w:t>A number of</w:t>
      </w:r>
      <w:proofErr w:type="gramEnd"/>
      <w:r w:rsidR="004B5528" w:rsidRPr="008862C7">
        <w:t xml:space="preserve"> coronial recommendations in Victoria have noted that improving the information available to treating mental health clinicians about previous presentations is important to improve safety. Consistent registration of consumers who receive a face-to-face mental health assessment</w:t>
      </w:r>
      <w:r w:rsidR="004B5528">
        <w:t xml:space="preserve">, </w:t>
      </w:r>
      <w:r w:rsidR="004B5528" w:rsidRPr="006F31B1">
        <w:t>(including family, children and carer information as per the Chief Psychiatrist’s guidelines) will impr</w:t>
      </w:r>
      <w:r w:rsidR="004B5528" w:rsidRPr="008862C7">
        <w:t>ove the availability of information to mental health clinicians on second or subsequent presentations</w:t>
      </w:r>
      <w:r w:rsidR="004B5528">
        <w:t>.</w:t>
      </w:r>
    </w:p>
    <w:p w14:paraId="45F34F31" w14:textId="4C7D8B8F" w:rsidR="00DC7CC8" w:rsidRDefault="00DC7CC8" w:rsidP="00BB29A1">
      <w:pPr>
        <w:pStyle w:val="Body"/>
      </w:pPr>
      <w:r>
        <w:t>The new approach to registration will also allow a better assessment of demand for mental health services</w:t>
      </w:r>
      <w:r w:rsidR="00DE1545">
        <w:t xml:space="preserve">.  A better understanding of those seeking access to care will support improved planning to meet demand. </w:t>
      </w:r>
    </w:p>
    <w:p w14:paraId="4B711EAE" w14:textId="4757389A" w:rsidR="00BB29A1" w:rsidRDefault="00892627" w:rsidP="00D46622">
      <w:pPr>
        <w:pStyle w:val="Heading2"/>
        <w:numPr>
          <w:ilvl w:val="0"/>
          <w:numId w:val="51"/>
        </w:numPr>
        <w:ind w:left="709" w:hanging="709"/>
      </w:pPr>
      <w:bookmarkStart w:id="4" w:name="_Toc81210052"/>
      <w:r>
        <w:t>What do the registration changes mean for area mental health services?</w:t>
      </w:r>
      <w:bookmarkEnd w:id="4"/>
    </w:p>
    <w:p w14:paraId="10A557D4" w14:textId="0826C826" w:rsidR="008E3BED" w:rsidRPr="008E3BED" w:rsidRDefault="008E3BED" w:rsidP="008E3BED">
      <w:pPr>
        <w:pStyle w:val="Introtext"/>
        <w:rPr>
          <w:color w:val="auto"/>
          <w:sz w:val="21"/>
        </w:rPr>
      </w:pPr>
      <w:r w:rsidRPr="008E3BED">
        <w:rPr>
          <w:color w:val="auto"/>
          <w:sz w:val="21"/>
        </w:rPr>
        <w:t xml:space="preserve">Under the new </w:t>
      </w:r>
      <w:r w:rsidR="009B38D3">
        <w:rPr>
          <w:color w:val="auto"/>
          <w:sz w:val="21"/>
        </w:rPr>
        <w:t>PMC</w:t>
      </w:r>
      <w:r w:rsidRPr="008E3BED">
        <w:rPr>
          <w:color w:val="auto"/>
          <w:sz w:val="21"/>
        </w:rPr>
        <w:t xml:space="preserve"> business rules, </w:t>
      </w:r>
      <w:r w:rsidR="00C2342C">
        <w:rPr>
          <w:color w:val="auto"/>
          <w:sz w:val="21"/>
        </w:rPr>
        <w:t>the scope</w:t>
      </w:r>
      <w:r w:rsidR="003465E3">
        <w:rPr>
          <w:color w:val="auto"/>
          <w:sz w:val="21"/>
        </w:rPr>
        <w:t xml:space="preserve"> of registration</w:t>
      </w:r>
      <w:r w:rsidR="00C2342C">
        <w:rPr>
          <w:color w:val="auto"/>
          <w:sz w:val="21"/>
        </w:rPr>
        <w:t xml:space="preserve"> is </w:t>
      </w:r>
      <w:r w:rsidRPr="008E3BED">
        <w:rPr>
          <w:color w:val="auto"/>
          <w:sz w:val="21"/>
        </w:rPr>
        <w:t>expand</w:t>
      </w:r>
      <w:r w:rsidR="00C2342C">
        <w:rPr>
          <w:color w:val="auto"/>
          <w:sz w:val="21"/>
        </w:rPr>
        <w:t>ed</w:t>
      </w:r>
      <w:r w:rsidRPr="008E3BED">
        <w:rPr>
          <w:color w:val="auto"/>
          <w:sz w:val="21"/>
        </w:rPr>
        <w:t xml:space="preserve"> to </w:t>
      </w:r>
      <w:r w:rsidR="0016118F">
        <w:rPr>
          <w:color w:val="auto"/>
          <w:sz w:val="21"/>
        </w:rPr>
        <w:t>include people</w:t>
      </w:r>
      <w:r w:rsidRPr="008E3BED">
        <w:rPr>
          <w:color w:val="auto"/>
          <w:sz w:val="21"/>
        </w:rPr>
        <w:t xml:space="preserve"> who have received services</w:t>
      </w:r>
      <w:r w:rsidR="00D33393">
        <w:rPr>
          <w:color w:val="auto"/>
          <w:sz w:val="21"/>
        </w:rPr>
        <w:t>, including assessment,</w:t>
      </w:r>
      <w:r w:rsidRPr="008E3BED">
        <w:rPr>
          <w:color w:val="auto"/>
          <w:sz w:val="21"/>
        </w:rPr>
        <w:t xml:space="preserve"> from a public clinical mental health service.</w:t>
      </w:r>
      <w:r w:rsidR="007C69DB">
        <w:rPr>
          <w:color w:val="auto"/>
          <w:sz w:val="21"/>
        </w:rPr>
        <w:t xml:space="preserve">  This is a similar approach to other Australian states and territories.</w:t>
      </w:r>
      <w:r w:rsidR="00871402">
        <w:rPr>
          <w:color w:val="auto"/>
          <w:sz w:val="21"/>
        </w:rPr>
        <w:t xml:space="preserve">  </w:t>
      </w:r>
      <w:r w:rsidR="0012724F">
        <w:rPr>
          <w:color w:val="auto"/>
          <w:sz w:val="21"/>
        </w:rPr>
        <w:t xml:space="preserve">Previously, </w:t>
      </w:r>
      <w:r w:rsidR="00E12D69">
        <w:rPr>
          <w:color w:val="auto"/>
          <w:sz w:val="21"/>
        </w:rPr>
        <w:t xml:space="preserve">registration scope was </w:t>
      </w:r>
      <w:r w:rsidR="00E311AF">
        <w:rPr>
          <w:color w:val="auto"/>
          <w:sz w:val="21"/>
        </w:rPr>
        <w:t>focussed on</w:t>
      </w:r>
      <w:r w:rsidR="0012724F">
        <w:rPr>
          <w:color w:val="auto"/>
          <w:sz w:val="21"/>
        </w:rPr>
        <w:t xml:space="preserve"> people receiving ongoing mental health </w:t>
      </w:r>
      <w:proofErr w:type="gramStart"/>
      <w:r w:rsidR="0012724F">
        <w:rPr>
          <w:color w:val="auto"/>
          <w:sz w:val="21"/>
        </w:rPr>
        <w:t>treatment</w:t>
      </w:r>
      <w:r w:rsidR="00966304">
        <w:rPr>
          <w:color w:val="auto"/>
          <w:sz w:val="21"/>
        </w:rPr>
        <w:t>, but</w:t>
      </w:r>
      <w:proofErr w:type="gramEnd"/>
      <w:r w:rsidR="00966304">
        <w:rPr>
          <w:color w:val="auto"/>
          <w:sz w:val="21"/>
        </w:rPr>
        <w:t xml:space="preserve"> varied in practice across services</w:t>
      </w:r>
      <w:r w:rsidR="0012724F">
        <w:rPr>
          <w:color w:val="auto"/>
          <w:sz w:val="21"/>
        </w:rPr>
        <w:t>.</w:t>
      </w:r>
    </w:p>
    <w:p w14:paraId="0046E494" w14:textId="2558A280" w:rsidR="00892627" w:rsidRDefault="00FE1947" w:rsidP="00892627">
      <w:pPr>
        <w:pStyle w:val="Body"/>
      </w:pPr>
      <w:r>
        <w:t>Area mental health services (AMHS) need to prepare to implement these changes.  Each service will be different</w:t>
      </w:r>
      <w:r w:rsidR="00A06BFB">
        <w:t>—</w:t>
      </w:r>
      <w:r>
        <w:t xml:space="preserve"> for some services the changes will be substantial, for others they may not be as significant</w:t>
      </w:r>
      <w:r w:rsidR="00DE1545">
        <w:t>, depending on current registration practices</w:t>
      </w:r>
      <w:r>
        <w:t>.  Planning to meet local needs will be required, and discussion with clinical staff, information staff</w:t>
      </w:r>
      <w:r w:rsidR="00A06BFB">
        <w:t>, administration staff</w:t>
      </w:r>
      <w:r>
        <w:t xml:space="preserve"> and educators.</w:t>
      </w:r>
      <w:r w:rsidR="00DE1545">
        <w:t xml:space="preserve">  Forms and systems may </w:t>
      </w:r>
      <w:r w:rsidR="00C2342C">
        <w:t>also</w:t>
      </w:r>
      <w:r w:rsidR="00DE1545">
        <w:t xml:space="preserve"> need to be changed.</w:t>
      </w:r>
    </w:p>
    <w:p w14:paraId="020F418D" w14:textId="52D90E1B" w:rsidR="00DE1545" w:rsidRDefault="00DE1545" w:rsidP="00892627">
      <w:pPr>
        <w:pStyle w:val="Body"/>
      </w:pPr>
      <w:r>
        <w:t xml:space="preserve">These changes mean that some services, such as consultation-liaison psychiatry, that may have not previously registered consumers, will now need to do so.  A list of services that are in-scope is in the </w:t>
      </w:r>
      <w:r w:rsidR="00FC137A">
        <w:t xml:space="preserve">registration </w:t>
      </w:r>
      <w:r>
        <w:t>PMC.</w:t>
      </w:r>
    </w:p>
    <w:p w14:paraId="6CC3B70C" w14:textId="01342F94" w:rsidR="00FB14FE" w:rsidRDefault="00FB14FE" w:rsidP="00D46622">
      <w:pPr>
        <w:pStyle w:val="Heading2"/>
        <w:numPr>
          <w:ilvl w:val="0"/>
          <w:numId w:val="51"/>
        </w:numPr>
        <w:ind w:left="709" w:hanging="709"/>
      </w:pPr>
      <w:bookmarkStart w:id="5" w:name="_Toc81210053"/>
      <w:r>
        <w:lastRenderedPageBreak/>
        <w:t xml:space="preserve">Does face-to-face assessment include </w:t>
      </w:r>
      <w:r w:rsidR="000B7289">
        <w:t>videoconferencing?</w:t>
      </w:r>
      <w:bookmarkEnd w:id="5"/>
    </w:p>
    <w:p w14:paraId="3DCBF138" w14:textId="42ABA4D1" w:rsidR="000B7289" w:rsidRDefault="000B7289" w:rsidP="00892627">
      <w:pPr>
        <w:pStyle w:val="Body"/>
      </w:pPr>
      <w:r>
        <w:t>Yes.</w:t>
      </w:r>
    </w:p>
    <w:p w14:paraId="0E62FA9D" w14:textId="18D206B4" w:rsidR="00C03CED" w:rsidRDefault="00C03CED" w:rsidP="00D46622">
      <w:pPr>
        <w:pStyle w:val="Heading2"/>
        <w:numPr>
          <w:ilvl w:val="0"/>
          <w:numId w:val="51"/>
        </w:numPr>
        <w:ind w:left="709" w:hanging="709"/>
      </w:pPr>
      <w:bookmarkStart w:id="6" w:name="_Toc81210054"/>
      <w:r>
        <w:t>If a program is not listed in the scope section of the</w:t>
      </w:r>
      <w:r w:rsidR="00F11750">
        <w:t xml:space="preserve"> registration</w:t>
      </w:r>
      <w:r>
        <w:t xml:space="preserve"> PMC and we currently register consumers, do we stop?</w:t>
      </w:r>
      <w:bookmarkEnd w:id="6"/>
    </w:p>
    <w:p w14:paraId="1BA33EEC" w14:textId="139B0B31" w:rsidR="00C03CED" w:rsidRDefault="00C03CED" w:rsidP="00C03CED">
      <w:r>
        <w:t>No.  T</w:t>
      </w:r>
      <w:r w:rsidR="009F53C3">
        <w:t>o improve safety and quality, t</w:t>
      </w:r>
      <w:r>
        <w:t xml:space="preserve">he registration changes are intended to increase the scope of registration to </w:t>
      </w:r>
      <w:r w:rsidR="008C1B86">
        <w:t xml:space="preserve">collect information on all </w:t>
      </w:r>
      <w:r w:rsidR="00B04370">
        <w:t xml:space="preserve">consumers </w:t>
      </w:r>
      <w:r w:rsidR="00394190">
        <w:t>who receive services</w:t>
      </w:r>
      <w:r w:rsidR="00B60570">
        <w:t>,</w:t>
      </w:r>
      <w:r w:rsidR="00394190">
        <w:t xml:space="preserve"> including assessment</w:t>
      </w:r>
      <w:r>
        <w:t xml:space="preserve">. The </w:t>
      </w:r>
      <w:r w:rsidR="008C1B86">
        <w:t>p</w:t>
      </w:r>
      <w:r>
        <w:t xml:space="preserve">rogram </w:t>
      </w:r>
      <w:r w:rsidR="008C1B86">
        <w:t>m</w:t>
      </w:r>
      <w:r>
        <w:t xml:space="preserve">anagement </w:t>
      </w:r>
      <w:r w:rsidR="008C1B86">
        <w:t>c</w:t>
      </w:r>
      <w:r>
        <w:t>ircular’s advice on the scope of registration is not exhaustive. We have tried to be explicit but inevitably not every type of program (or program name) will have been included.  Services should not reduce their scope of reporting.</w:t>
      </w:r>
    </w:p>
    <w:p w14:paraId="5BED111D" w14:textId="5F53AAB6" w:rsidR="000D6FE7" w:rsidRDefault="000D6FE7" w:rsidP="00D46622">
      <w:pPr>
        <w:pStyle w:val="Heading2"/>
        <w:numPr>
          <w:ilvl w:val="0"/>
          <w:numId w:val="51"/>
        </w:numPr>
        <w:ind w:left="709" w:hanging="709"/>
      </w:pPr>
      <w:bookmarkStart w:id="7" w:name="_Toc81210055"/>
      <w:r w:rsidRPr="00451202">
        <w:t>What about programs that aren’t specifically listed in the scope section of the</w:t>
      </w:r>
      <w:r w:rsidR="00CE4A26">
        <w:t xml:space="preserve"> registration</w:t>
      </w:r>
      <w:r w:rsidRPr="00EA364B">
        <w:rPr>
          <w:color w:val="7030A0"/>
        </w:rPr>
        <w:t xml:space="preserve"> </w:t>
      </w:r>
      <w:r w:rsidRPr="00451202">
        <w:rPr>
          <w:color w:val="595959" w:themeColor="text1" w:themeTint="A6"/>
        </w:rPr>
        <w:t>PMC</w:t>
      </w:r>
      <w:r>
        <w:t>?</w:t>
      </w:r>
      <w:bookmarkEnd w:id="7"/>
    </w:p>
    <w:p w14:paraId="3BF69819" w14:textId="30D81A49" w:rsidR="000D6FE7" w:rsidRDefault="000D6FE7" w:rsidP="000D6FE7">
      <w:pPr>
        <w:pStyle w:val="Body"/>
      </w:pPr>
      <w:r>
        <w:t>Clients using early intervention and diversion programs</w:t>
      </w:r>
      <w:r w:rsidR="00F84F10">
        <w:t>,</w:t>
      </w:r>
      <w:r w:rsidR="00337A12">
        <w:t xml:space="preserve"> </w:t>
      </w:r>
      <w:r w:rsidR="00F84F10">
        <w:t xml:space="preserve">including </w:t>
      </w:r>
      <w:r w:rsidR="00CB3F8E">
        <w:t>triage</w:t>
      </w:r>
      <w:r w:rsidR="00260B22">
        <w:t>-</w:t>
      </w:r>
      <w:r w:rsidR="00337A12">
        <w:t>type</w:t>
      </w:r>
      <w:r w:rsidR="00CB3F8E">
        <w:t xml:space="preserve"> services delivered </w:t>
      </w:r>
      <w:r w:rsidR="00191C35">
        <w:t>face-to-face</w:t>
      </w:r>
      <w:r w:rsidR="00A341E7">
        <w:t>,</w:t>
      </w:r>
      <w:r>
        <w:t xml:space="preserve"> should be registered, even though this may not have occurred previously.  </w:t>
      </w:r>
      <w:r w:rsidRPr="00273901">
        <w:t xml:space="preserve">For example, </w:t>
      </w:r>
      <w:r w:rsidR="005A595C" w:rsidRPr="00273901">
        <w:t xml:space="preserve">consumers of </w:t>
      </w:r>
      <w:r w:rsidR="00AB574A" w:rsidRPr="00273901">
        <w:t>programs such as:</w:t>
      </w:r>
      <w:r>
        <w:t xml:space="preserve"> CYMHS and Schools Early Action (CASEA)</w:t>
      </w:r>
      <w:r w:rsidR="00191C35">
        <w:t>,</w:t>
      </w:r>
      <w:r w:rsidR="00FC25EE">
        <w:t xml:space="preserve"> Perinatal Emotional Health</w:t>
      </w:r>
      <w:r w:rsidR="00520443">
        <w:t xml:space="preserve"> (PEHP)</w:t>
      </w:r>
      <w:r w:rsidR="00FC25EE">
        <w:t xml:space="preserve">, </w:t>
      </w:r>
      <w:r>
        <w:t>and Mental Health and Response Service (MHARS) should be registered</w:t>
      </w:r>
      <w:r w:rsidR="00FB70F8">
        <w:t xml:space="preserve"> if they receive </w:t>
      </w:r>
      <w:r w:rsidR="00191C35">
        <w:t>a face-to-face</w:t>
      </w:r>
      <w:r w:rsidR="00FB70F8" w:rsidRPr="00273901">
        <w:t xml:space="preserve"> </w:t>
      </w:r>
      <w:r w:rsidR="00DB1993" w:rsidRPr="00273901">
        <w:t>m</w:t>
      </w:r>
      <w:r w:rsidR="00BC45AF" w:rsidRPr="00273901">
        <w:t xml:space="preserve">ental </w:t>
      </w:r>
      <w:r w:rsidR="00DB1993" w:rsidRPr="00273901">
        <w:t>h</w:t>
      </w:r>
      <w:r w:rsidR="00BC45AF" w:rsidRPr="00273901">
        <w:t>ealth</w:t>
      </w:r>
      <w:r w:rsidR="00BC45AF">
        <w:t xml:space="preserve"> </w:t>
      </w:r>
      <w:r w:rsidR="00FD65E2">
        <w:t>a</w:t>
      </w:r>
      <w:r w:rsidR="00BC45AF">
        <w:t>ssessment</w:t>
      </w:r>
      <w:r>
        <w:t>.</w:t>
      </w:r>
      <w:r w:rsidR="006B75A5">
        <w:t xml:space="preserve">  For MHARS this would include</w:t>
      </w:r>
      <w:r w:rsidR="00E56B44">
        <w:t xml:space="preserve"> the</w:t>
      </w:r>
      <w:r w:rsidR="006B75A5">
        <w:t xml:space="preserve"> </w:t>
      </w:r>
      <w:r w:rsidR="006B75A5" w:rsidRPr="000917C5">
        <w:t>Court Liaison Service (CLS) function</w:t>
      </w:r>
      <w:r w:rsidR="00E56B44" w:rsidRPr="000917C5">
        <w:t xml:space="preserve"> and the </w:t>
      </w:r>
      <w:r w:rsidR="006B75A5" w:rsidRPr="000917C5">
        <w:t>Community Corrections Order Screening (CCOS) function</w:t>
      </w:r>
      <w:r w:rsidR="00E56B44" w:rsidRPr="000917C5">
        <w:t>.</w:t>
      </w:r>
      <w:r w:rsidR="00334AFB">
        <w:t xml:space="preserve">  Not every type of program</w:t>
      </w:r>
      <w:r w:rsidR="00FE6843">
        <w:t xml:space="preserve"> that meets the criteria</w:t>
      </w:r>
      <w:r w:rsidR="00D31637">
        <w:t xml:space="preserve"> for registration</w:t>
      </w:r>
      <w:r w:rsidR="00FE6843">
        <w:t xml:space="preserve"> </w:t>
      </w:r>
      <w:r w:rsidR="009F7C89">
        <w:t xml:space="preserve">in the PMC </w:t>
      </w:r>
      <w:r w:rsidR="00FE6843">
        <w:t>(like face-to-face assessment</w:t>
      </w:r>
      <w:r w:rsidR="0030127B">
        <w:t>) can be listed individually</w:t>
      </w:r>
      <w:r w:rsidR="00D31637">
        <w:t>.</w:t>
      </w:r>
    </w:p>
    <w:p w14:paraId="6B846D89" w14:textId="4FD4C616" w:rsidR="00AA0510" w:rsidRPr="00CC1314" w:rsidRDefault="004028BE" w:rsidP="00D46622">
      <w:pPr>
        <w:pStyle w:val="Heading2"/>
        <w:numPr>
          <w:ilvl w:val="0"/>
          <w:numId w:val="51"/>
        </w:numPr>
        <w:ind w:left="709" w:hanging="709"/>
      </w:pPr>
      <w:bookmarkStart w:id="8" w:name="_Toc81210056"/>
      <w:r>
        <w:t>For some clients, there is a check of the ODS only</w:t>
      </w:r>
      <w:r w:rsidR="004832ED">
        <w:t>, looking for previous activity</w:t>
      </w:r>
      <w:r>
        <w:t>- what to do</w:t>
      </w:r>
      <w:r w:rsidR="004A0630">
        <w:t xml:space="preserve"> in this instance</w:t>
      </w:r>
      <w:r>
        <w:t>?</w:t>
      </w:r>
      <w:bookmarkEnd w:id="8"/>
    </w:p>
    <w:p w14:paraId="6506CFBB" w14:textId="3A271442" w:rsidR="00273901" w:rsidRDefault="004A0630" w:rsidP="000D6FE7">
      <w:pPr>
        <w:pStyle w:val="Body"/>
      </w:pPr>
      <w:r>
        <w:t>In this situation, use the Triage Minimum Data Set</w:t>
      </w:r>
      <w:r w:rsidR="00D131C3">
        <w:t xml:space="preserve"> (TMDS)</w:t>
      </w:r>
      <w:r>
        <w:t>, and specifically Triage category G “ODS lookup only.” Do not register the person, and report</w:t>
      </w:r>
      <w:r w:rsidR="00D131C3">
        <w:t xml:space="preserve"> data only</w:t>
      </w:r>
      <w:r>
        <w:t xml:space="preserve"> to TMDS</w:t>
      </w:r>
      <w:r w:rsidR="00D131C3">
        <w:t>.</w:t>
      </w:r>
    </w:p>
    <w:p w14:paraId="084100D8" w14:textId="6FCA9696" w:rsidR="00C955E3" w:rsidRDefault="005B64DD" w:rsidP="00D46622">
      <w:pPr>
        <w:pStyle w:val="Heading2"/>
        <w:numPr>
          <w:ilvl w:val="0"/>
          <w:numId w:val="51"/>
        </w:numPr>
        <w:ind w:left="709" w:hanging="709"/>
      </w:pPr>
      <w:bookmarkStart w:id="9" w:name="_Toc81210057"/>
      <w:r>
        <w:t>With the changes to registration, when is data recorded in the Triage Minimum Data Set</w:t>
      </w:r>
      <w:r w:rsidR="00C955E3">
        <w:t>?</w:t>
      </w:r>
      <w:bookmarkEnd w:id="9"/>
    </w:p>
    <w:p w14:paraId="0AED9076" w14:textId="1C0C4E7A" w:rsidR="00C955E3" w:rsidRDefault="00C955E3" w:rsidP="000D6FE7">
      <w:pPr>
        <w:pStyle w:val="Body"/>
      </w:pPr>
      <w:r>
        <w:t>Most phone contacts to mental health triage services will result in data being recorded in the TMDS.  If the person is seen face-to-face then they will be registered on CMI/ODS.</w:t>
      </w:r>
      <w:r w:rsidR="005B64DD">
        <w:t xml:space="preserve">  TMDS should </w:t>
      </w:r>
      <w:r w:rsidR="005B64DD" w:rsidRPr="005B64DD">
        <w:rPr>
          <w:b/>
          <w:bCs/>
        </w:rPr>
        <w:t>not</w:t>
      </w:r>
      <w:r w:rsidR="005B64DD">
        <w:t xml:space="preserve"> be used to record consultation-liaison data or MHARS data, as these clients must now be registered.  It is expected that all services will have moved to using the TMDS for phone triage and look ups only, by the end of quarter 1, 2021-22.</w:t>
      </w:r>
    </w:p>
    <w:p w14:paraId="5BBFC467" w14:textId="44710046" w:rsidR="000D6FE7" w:rsidRDefault="00EF3AB1" w:rsidP="00D46622">
      <w:pPr>
        <w:pStyle w:val="Heading2"/>
        <w:numPr>
          <w:ilvl w:val="0"/>
          <w:numId w:val="51"/>
        </w:numPr>
        <w:ind w:left="709" w:hanging="709"/>
      </w:pPr>
      <w:bookmarkStart w:id="10" w:name="_Toc81210058"/>
      <w:r>
        <w:t>Why should consultation-liaison psychiatry patients be registered?</w:t>
      </w:r>
      <w:bookmarkEnd w:id="10"/>
    </w:p>
    <w:p w14:paraId="69C24C16" w14:textId="17C87789" w:rsidR="00EF3AB1" w:rsidRDefault="00827DEC" w:rsidP="000917C5">
      <w:pPr>
        <w:pStyle w:val="Body"/>
        <w:rPr>
          <w:rFonts w:ascii="Georgia" w:hAnsi="Georgia"/>
          <w:sz w:val="27"/>
          <w:szCs w:val="27"/>
          <w:shd w:val="clear" w:color="auto" w:fill="FFFFFF"/>
        </w:rPr>
      </w:pPr>
      <w:r w:rsidRPr="00667262">
        <w:rPr>
          <w:shd w:val="clear" w:color="auto" w:fill="FFFFFF"/>
        </w:rPr>
        <w:t>Consultation-Liaison Psychiatry (C</w:t>
      </w:r>
      <w:r w:rsidR="000835C2">
        <w:rPr>
          <w:shd w:val="clear" w:color="auto" w:fill="FFFFFF"/>
        </w:rPr>
        <w:t>-</w:t>
      </w:r>
      <w:r w:rsidRPr="00667262">
        <w:rPr>
          <w:shd w:val="clear" w:color="auto" w:fill="FFFFFF"/>
        </w:rPr>
        <w:t>L) is a subspecialty that provides care to inpatients under medical, surgical or other non-psychiatric care.</w:t>
      </w:r>
      <w:r w:rsidR="00E4749B">
        <w:rPr>
          <w:shd w:val="clear" w:color="auto" w:fill="FFFFFF"/>
        </w:rPr>
        <w:t xml:space="preserve"> Comorbid mental and physical illnesses are common, and it is not surprising that some people with, for example, heart problems or kidney disease should experience </w:t>
      </w:r>
      <w:r w:rsidR="00F83F7A">
        <w:rPr>
          <w:shd w:val="clear" w:color="auto" w:fill="FFFFFF"/>
        </w:rPr>
        <w:t xml:space="preserve">issues with </w:t>
      </w:r>
      <w:r w:rsidR="642CDD66">
        <w:rPr>
          <w:shd w:val="clear" w:color="auto" w:fill="FFFFFF"/>
        </w:rPr>
        <w:t>anxiety, depression</w:t>
      </w:r>
      <w:r w:rsidR="00593160">
        <w:rPr>
          <w:shd w:val="clear" w:color="auto" w:fill="FFFFFF"/>
        </w:rPr>
        <w:t xml:space="preserve"> or other mental illness</w:t>
      </w:r>
      <w:r w:rsidR="00F83F7A">
        <w:rPr>
          <w:shd w:val="clear" w:color="auto" w:fill="FFFFFF"/>
        </w:rPr>
        <w:t xml:space="preserve">.  The physical health of people with severe mental illness is often poor, and </w:t>
      </w:r>
      <w:r w:rsidR="00372520">
        <w:rPr>
          <w:shd w:val="clear" w:color="auto" w:fill="FFFFFF"/>
        </w:rPr>
        <w:t>someone with schizophrenia may also have</w:t>
      </w:r>
      <w:r w:rsidR="004A1252">
        <w:rPr>
          <w:shd w:val="clear" w:color="auto" w:fill="FFFFFF"/>
        </w:rPr>
        <w:t>, for example,</w:t>
      </w:r>
      <w:r w:rsidR="00372520">
        <w:rPr>
          <w:shd w:val="clear" w:color="auto" w:fill="FFFFFF"/>
        </w:rPr>
        <w:t xml:space="preserve"> </w:t>
      </w:r>
      <w:r w:rsidR="00FE438B">
        <w:rPr>
          <w:shd w:val="clear" w:color="auto" w:fill="FFFFFF"/>
        </w:rPr>
        <w:t>lung</w:t>
      </w:r>
      <w:r w:rsidR="00372520">
        <w:rPr>
          <w:shd w:val="clear" w:color="auto" w:fill="FFFFFF"/>
        </w:rPr>
        <w:t xml:space="preserve"> disease or diabetes.</w:t>
      </w:r>
      <w:r w:rsidRPr="00667262">
        <w:rPr>
          <w:shd w:val="clear" w:color="auto" w:fill="FFFFFF"/>
        </w:rPr>
        <w:t xml:space="preserve">  </w:t>
      </w:r>
      <w:r w:rsidR="00FD31F3" w:rsidRPr="00667262">
        <w:rPr>
          <w:shd w:val="clear" w:color="auto" w:fill="FFFFFF"/>
        </w:rPr>
        <w:t>The prevalence of mental illness among hospital inpatients has been estimated to range from 26.1 to 38.7%</w:t>
      </w:r>
      <w:r w:rsidR="00567197" w:rsidRPr="31C71B6F">
        <w:rPr>
          <w:rStyle w:val="EndnoteReference"/>
          <w:rFonts w:cs="Arial"/>
          <w:color w:val="333333"/>
          <w:shd w:val="clear" w:color="auto" w:fill="FFFFFF"/>
        </w:rPr>
        <w:endnoteReference w:id="2"/>
      </w:r>
      <w:r w:rsidR="00FD31F3" w:rsidRPr="00667262">
        <w:rPr>
          <w:shd w:val="clear" w:color="auto" w:fill="FFFFFF"/>
        </w:rPr>
        <w:t>.</w:t>
      </w:r>
    </w:p>
    <w:p w14:paraId="5C68A362" w14:textId="29A1E77E" w:rsidR="00FD31F3" w:rsidRDefault="002424A9" w:rsidP="00FE438B">
      <w:pPr>
        <w:pStyle w:val="Body"/>
      </w:pPr>
      <w:r>
        <w:lastRenderedPageBreak/>
        <w:t>Patients admitted to i</w:t>
      </w:r>
      <w:r w:rsidR="00C42451" w:rsidRPr="00667262">
        <w:t>npatient</w:t>
      </w:r>
      <w:r>
        <w:t xml:space="preserve"> wards</w:t>
      </w:r>
      <w:r w:rsidR="00C42451" w:rsidRPr="00667262">
        <w:t xml:space="preserve"> are registered on the local </w:t>
      </w:r>
      <w:r w:rsidR="00E7050D" w:rsidRPr="00667262">
        <w:t>Patient Administration System (</w:t>
      </w:r>
      <w:r w:rsidR="00C42451" w:rsidRPr="00667262">
        <w:t>PAS</w:t>
      </w:r>
      <w:r w:rsidR="00E7050D" w:rsidRPr="00667262">
        <w:t>).  They also need to be registered on CMI</w:t>
      </w:r>
      <w:r w:rsidR="00BB6E4E">
        <w:t>/ODS</w:t>
      </w:r>
      <w:r w:rsidR="00E7050D" w:rsidRPr="00667262">
        <w:t>, if they meet the registration criteria</w:t>
      </w:r>
      <w:r w:rsidR="00FE438B" w:rsidRPr="00667262">
        <w:t xml:space="preserve"> in th</w:t>
      </w:r>
      <w:r>
        <w:t>e</w:t>
      </w:r>
      <w:r w:rsidR="00F9771B">
        <w:t xml:space="preserve"> PMC</w:t>
      </w:r>
      <w:r w:rsidR="00D33A0D" w:rsidRPr="00667262">
        <w:t xml:space="preserve">, for example, face-to-face assessment by mental health clinicians.  </w:t>
      </w:r>
      <w:r w:rsidR="00524931" w:rsidRPr="00667262">
        <w:t>Documentation is part of patient safety</w:t>
      </w:r>
      <w:r w:rsidR="00941CED" w:rsidRPr="00667262">
        <w:t>, as noted in the National Safety and Quality Health Service Standards</w:t>
      </w:r>
      <w:r w:rsidR="0006073E" w:rsidRPr="00667262">
        <w:t xml:space="preserve">- see </w:t>
      </w:r>
      <w:hyperlink r:id="rId21" w:history="1">
        <w:r w:rsidR="0006073E" w:rsidRPr="00667262">
          <w:rPr>
            <w:rStyle w:val="Hyperlink"/>
            <w:color w:val="auto"/>
            <w:u w:val="none"/>
          </w:rPr>
          <w:t>https://www.safetyandquality.gov.au/standards/nsqhs-standards/communicating-safety-standard/documentation-information</w:t>
        </w:r>
      </w:hyperlink>
      <w:r w:rsidR="00DE3FBD">
        <w:t>.</w:t>
      </w:r>
    </w:p>
    <w:p w14:paraId="6ACDADFC" w14:textId="3709DD31" w:rsidR="000C517F" w:rsidRPr="00667262" w:rsidRDefault="000835C2" w:rsidP="00667262">
      <w:pPr>
        <w:pStyle w:val="Body"/>
      </w:pPr>
      <w:r>
        <w:t>Although C-L psychiatry has been shown to improve outcomes for patients, some</w:t>
      </w:r>
      <w:r w:rsidR="009B4754">
        <w:t xml:space="preserve"> medical staff may be reluctant to refer patients to C-L.  Stigma can play a part in this reluctance, and</w:t>
      </w:r>
      <w:r w:rsidR="009D5470">
        <w:t xml:space="preserve"> </w:t>
      </w:r>
      <w:r w:rsidR="00F30AB3">
        <w:t xml:space="preserve">both stigma and patient preference </w:t>
      </w:r>
      <w:r w:rsidR="009D5470">
        <w:t xml:space="preserve">have been raised as referral barriers by hospital doctors.  However, </w:t>
      </w:r>
      <w:r w:rsidR="000B719D" w:rsidRPr="00BC730B">
        <w:t xml:space="preserve">as </w:t>
      </w:r>
      <w:r w:rsidR="009D5470" w:rsidRPr="00667262">
        <w:t xml:space="preserve">illustrated by Klein’s study on medical inpatients, patients often do not hold the same view as their </w:t>
      </w:r>
      <w:r w:rsidR="007F65B9">
        <w:t>treating professionals</w:t>
      </w:r>
      <w:r w:rsidR="00B03353">
        <w:rPr>
          <w:rStyle w:val="EndnoteReference"/>
        </w:rPr>
        <w:endnoteReference w:id="3"/>
      </w:r>
      <w:r w:rsidR="009D5470" w:rsidRPr="00667262">
        <w:t xml:space="preserve">. </w:t>
      </w:r>
      <w:r w:rsidR="001D0844" w:rsidRPr="00667262">
        <w:t>R</w:t>
      </w:r>
      <w:r w:rsidR="009D5470" w:rsidRPr="00667262">
        <w:t xml:space="preserve">eferrals </w:t>
      </w:r>
      <w:r w:rsidR="001D0844" w:rsidRPr="00667262">
        <w:t>should</w:t>
      </w:r>
      <w:r w:rsidR="009D5470" w:rsidRPr="00667262">
        <w:t xml:space="preserve"> not </w:t>
      </w:r>
      <w:r w:rsidR="000B719D" w:rsidRPr="00667262">
        <w:t xml:space="preserve">be </w:t>
      </w:r>
      <w:r w:rsidR="009D5470" w:rsidRPr="00667262">
        <w:t>obstructed by the</w:t>
      </w:r>
      <w:r w:rsidR="00F30AB3" w:rsidRPr="00667262">
        <w:t xml:space="preserve"> </w:t>
      </w:r>
      <w:r w:rsidR="009D5470" w:rsidRPr="00667262">
        <w:t>perception of mental illness stigma</w:t>
      </w:r>
      <w:r w:rsidR="00BC730B" w:rsidRPr="00667262">
        <w:t xml:space="preserve"> by hospital staff</w:t>
      </w:r>
      <w:r w:rsidR="009D5470" w:rsidRPr="00667262">
        <w:t>.</w:t>
      </w:r>
      <w:r w:rsidRPr="00BC730B">
        <w:t xml:space="preserve"> </w:t>
      </w:r>
      <w:r w:rsidR="00667262" w:rsidRPr="00667262">
        <w:t>Klein found that m</w:t>
      </w:r>
      <w:r w:rsidR="00AE7BB5" w:rsidRPr="00667262">
        <w:t>edical inpatients are generally accepting of psychiatric consultation, that consultation does not pose a threat to the doctor-patient relationship, and that careful preparation of the patient by the provider can improve patients' attitudes toward the consultation</w:t>
      </w:r>
      <w:r w:rsidR="00667262" w:rsidRPr="00667262">
        <w:t>.</w:t>
      </w:r>
    </w:p>
    <w:p w14:paraId="7EE24FC3" w14:textId="455AEB57" w:rsidR="0006073E" w:rsidRDefault="00FF0DFE" w:rsidP="00D46622">
      <w:pPr>
        <w:pStyle w:val="Heading2"/>
        <w:numPr>
          <w:ilvl w:val="0"/>
          <w:numId w:val="51"/>
        </w:numPr>
        <w:ind w:left="709" w:hanging="709"/>
        <w:rPr>
          <w:shd w:val="clear" w:color="auto" w:fill="FFFFFF"/>
        </w:rPr>
      </w:pPr>
      <w:bookmarkStart w:id="11" w:name="_Toc81210059"/>
      <w:r>
        <w:rPr>
          <w:shd w:val="clear" w:color="auto" w:fill="FFFFFF"/>
        </w:rPr>
        <w:t xml:space="preserve">What </w:t>
      </w:r>
      <w:r w:rsidRPr="00D46622">
        <w:t>about</w:t>
      </w:r>
      <w:r>
        <w:rPr>
          <w:shd w:val="clear" w:color="auto" w:fill="FFFFFF"/>
        </w:rPr>
        <w:t xml:space="preserve"> clients on </w:t>
      </w:r>
      <w:r w:rsidRPr="00D46622">
        <w:t>clozapine</w:t>
      </w:r>
      <w:r>
        <w:rPr>
          <w:shd w:val="clear" w:color="auto" w:fill="FFFFFF"/>
        </w:rPr>
        <w:t>?</w:t>
      </w:r>
      <w:bookmarkEnd w:id="11"/>
    </w:p>
    <w:p w14:paraId="773E11D9" w14:textId="3D24A0CF" w:rsidR="00FD31F3" w:rsidRPr="00E4749B" w:rsidRDefault="00F629F9" w:rsidP="00C03CED">
      <w:pPr>
        <w:rPr>
          <w:rFonts w:cs="Arial"/>
          <w:szCs w:val="21"/>
        </w:rPr>
      </w:pPr>
      <w:r>
        <w:rPr>
          <w:rFonts w:cs="Arial"/>
          <w:szCs w:val="21"/>
        </w:rPr>
        <w:t>These consumers must be registered.</w:t>
      </w:r>
    </w:p>
    <w:p w14:paraId="58D3049C" w14:textId="539962B0" w:rsidR="00892627" w:rsidRDefault="00892627" w:rsidP="00D46622">
      <w:pPr>
        <w:pStyle w:val="Heading2"/>
        <w:numPr>
          <w:ilvl w:val="0"/>
          <w:numId w:val="51"/>
        </w:numPr>
        <w:ind w:left="709" w:hanging="709"/>
      </w:pPr>
      <w:bookmarkStart w:id="12" w:name="_Toc81210060"/>
      <w:r>
        <w:t>What do the registration changes mean for consumers?</w:t>
      </w:r>
      <w:bookmarkEnd w:id="12"/>
    </w:p>
    <w:p w14:paraId="0B1B9B4C" w14:textId="4FB9023E" w:rsidR="00DE1545" w:rsidRDefault="00DE1545" w:rsidP="002424A9">
      <w:pPr>
        <w:pStyle w:val="Body"/>
      </w:pPr>
      <w:r>
        <w:t xml:space="preserve">Consumers of public clinical mental health services will be registered in the CMI/ODS and issued a </w:t>
      </w:r>
      <w:r w:rsidR="0056495B">
        <w:t>m</w:t>
      </w:r>
      <w:r>
        <w:t xml:space="preserve">ental </w:t>
      </w:r>
      <w:r w:rsidR="0056495B">
        <w:t>h</w:t>
      </w:r>
      <w:r>
        <w:t xml:space="preserve">ealth </w:t>
      </w:r>
      <w:r w:rsidR="0056495B">
        <w:t>s</w:t>
      </w:r>
      <w:r>
        <w:t xml:space="preserve">tate-wide </w:t>
      </w:r>
      <w:r w:rsidR="0056495B">
        <w:t>p</w:t>
      </w:r>
      <w:r>
        <w:t xml:space="preserve">atient </w:t>
      </w:r>
      <w:r w:rsidR="0056495B">
        <w:t>i</w:t>
      </w:r>
      <w:r>
        <w:t>dentifier number at the point of face</w:t>
      </w:r>
      <w:r w:rsidR="00DE7AFB">
        <w:t>-</w:t>
      </w:r>
      <w:r>
        <w:t>to</w:t>
      </w:r>
      <w:r w:rsidR="00DE7AFB">
        <w:t>-</w:t>
      </w:r>
      <w:r>
        <w:t>face assessment, rather than when a decision is made to provide ongoing treatment.  For consumers who are admitted there is no change</w:t>
      </w:r>
      <w:r w:rsidR="00DE7AFB">
        <w:t xml:space="preserve"> in practice</w:t>
      </w:r>
      <w:r>
        <w:t xml:space="preserve">.  In both cases, registration should improve continuity of </w:t>
      </w:r>
      <w:proofErr w:type="gramStart"/>
      <w:r>
        <w:t>care;</w:t>
      </w:r>
      <w:proofErr w:type="gramEnd"/>
      <w:r>
        <w:t xml:space="preserve"> safety and improved planning.</w:t>
      </w:r>
      <w:r w:rsidR="00CC6B52">
        <w:t xml:space="preserve"> </w:t>
      </w:r>
      <w:r w:rsidR="006B28B5">
        <w:t xml:space="preserve">Services should have systems in place to </w:t>
      </w:r>
      <w:r w:rsidR="006901A4">
        <w:t xml:space="preserve">identify carers and </w:t>
      </w:r>
      <w:r w:rsidR="00277C1A">
        <w:t xml:space="preserve">dependents, and to </w:t>
      </w:r>
      <w:r w:rsidR="006B28B5">
        <w:t xml:space="preserve">discuss </w:t>
      </w:r>
      <w:r w:rsidR="007D0F3C">
        <w:t xml:space="preserve">and encourage </w:t>
      </w:r>
      <w:r w:rsidR="00FC56DA">
        <w:t xml:space="preserve">use of </w:t>
      </w:r>
      <w:r w:rsidR="00036AFD">
        <w:t xml:space="preserve">consumer </w:t>
      </w:r>
      <w:r w:rsidR="00CD4505">
        <w:t xml:space="preserve">tools including </w:t>
      </w:r>
      <w:r w:rsidR="006B28B5">
        <w:t>Advance Statements and Nominated Person</w:t>
      </w:r>
      <w:r w:rsidR="00795E03">
        <w:t>s</w:t>
      </w:r>
      <w:r w:rsidR="002A276C">
        <w:t xml:space="preserve"> </w:t>
      </w:r>
      <w:r w:rsidR="00022842">
        <w:t>as part of registering clients.</w:t>
      </w:r>
    </w:p>
    <w:p w14:paraId="188B982A" w14:textId="64C080CD" w:rsidR="00A62D44" w:rsidRPr="00B57329" w:rsidRDefault="00FE1947" w:rsidP="00D46622">
      <w:pPr>
        <w:pStyle w:val="Heading2"/>
        <w:numPr>
          <w:ilvl w:val="0"/>
          <w:numId w:val="51"/>
        </w:numPr>
        <w:ind w:left="709" w:hanging="709"/>
      </w:pPr>
      <w:bookmarkStart w:id="13" w:name="_Toc81210061"/>
      <w:r>
        <w:t>Is people’s information protected and secure?</w:t>
      </w:r>
      <w:bookmarkEnd w:id="13"/>
    </w:p>
    <w:p w14:paraId="4D1C2948" w14:textId="023E12DD" w:rsidR="00E51E4B" w:rsidRDefault="00DC7CC8" w:rsidP="00632074">
      <w:pPr>
        <w:pStyle w:val="Body"/>
      </w:pPr>
      <w:r>
        <w:t xml:space="preserve">Maintaining the privacy and confidentiality of people’s personal and health information is important.  The law governs how this information must be collected, used, disclosed and stored. </w:t>
      </w:r>
      <w:r w:rsidR="00E51E4B">
        <w:t xml:space="preserve">People with a mental illness have a right to privacy, and in most cases their health information must not </w:t>
      </w:r>
      <w:r>
        <w:t xml:space="preserve">be </w:t>
      </w:r>
      <w:r w:rsidR="00E51E4B">
        <w:t>disclosed without their consent.</w:t>
      </w:r>
    </w:p>
    <w:p w14:paraId="428B20A7" w14:textId="4B0DD196" w:rsidR="00DE1545" w:rsidRDefault="00DC7CC8" w:rsidP="31C71B6F">
      <w:pPr>
        <w:pStyle w:val="Body"/>
        <w:rPr>
          <w:rFonts w:cs="Arial"/>
        </w:rPr>
      </w:pPr>
      <w:r w:rsidRPr="31C71B6F">
        <w:rPr>
          <w:lang w:eastAsia="en-AU"/>
        </w:rPr>
        <w:t>The CMI/ODS has audit trails in place to pick up unauthorised activity.  The data store has controlled access with procedures and controls in place.</w:t>
      </w:r>
      <w:r w:rsidR="00DE1545" w:rsidRPr="31C71B6F">
        <w:rPr>
          <w:lang w:eastAsia="en-AU"/>
        </w:rPr>
        <w:t xml:space="preserve"> </w:t>
      </w:r>
      <w:r w:rsidR="00DE1545" w:rsidRPr="31C71B6F">
        <w:rPr>
          <w:rFonts w:cs="Arial"/>
        </w:rPr>
        <w:t>Designated mental health services (including staff members) are</w:t>
      </w:r>
      <w:r w:rsidR="00C6519A" w:rsidRPr="31C71B6F">
        <w:rPr>
          <w:rFonts w:cs="Arial"/>
        </w:rPr>
        <w:t xml:space="preserve"> only permitted to disclose </w:t>
      </w:r>
      <w:r w:rsidR="00DE1545" w:rsidRPr="31C71B6F">
        <w:rPr>
          <w:rFonts w:cs="Arial"/>
        </w:rPr>
        <w:t xml:space="preserve">health information about consumers under </w:t>
      </w:r>
      <w:r w:rsidR="00F80F39" w:rsidRPr="31C71B6F">
        <w:rPr>
          <w:rFonts w:cs="Arial"/>
        </w:rPr>
        <w:t xml:space="preserve">specific circumstances outlined in </w:t>
      </w:r>
      <w:r w:rsidR="00DE1545" w:rsidRPr="31C71B6F">
        <w:rPr>
          <w:rFonts w:cs="Arial"/>
        </w:rPr>
        <w:t xml:space="preserve">the </w:t>
      </w:r>
      <w:r w:rsidR="00DE1545" w:rsidRPr="31C71B6F">
        <w:rPr>
          <w:rFonts w:cs="Arial"/>
          <w:i/>
          <w:iCs/>
        </w:rPr>
        <w:t>Mental Health Act 2014</w:t>
      </w:r>
      <w:r w:rsidR="00F80F39" w:rsidRPr="31C71B6F">
        <w:rPr>
          <w:rFonts w:cs="Arial"/>
        </w:rPr>
        <w:t xml:space="preserve">, such as for </w:t>
      </w:r>
      <w:r w:rsidR="00225B3C" w:rsidRPr="31C71B6F">
        <w:rPr>
          <w:rFonts w:cs="Arial"/>
        </w:rPr>
        <w:t>the purposes of providing treatment</w:t>
      </w:r>
      <w:r w:rsidR="00DE1545" w:rsidRPr="31C71B6F">
        <w:rPr>
          <w:rFonts w:cs="Arial"/>
        </w:rPr>
        <w:t xml:space="preserve">. </w:t>
      </w:r>
      <w:r w:rsidR="00407FCB" w:rsidRPr="31C71B6F">
        <w:rPr>
          <w:rFonts w:cs="Arial"/>
        </w:rPr>
        <w:t>A Privacy Impact Assessment found that existing privacy controls were current and working well.</w:t>
      </w:r>
    </w:p>
    <w:p w14:paraId="1F9E8F29" w14:textId="5F88086E" w:rsidR="002F3EC2" w:rsidRDefault="002F3EC2" w:rsidP="00D46622">
      <w:pPr>
        <w:pStyle w:val="Heading2"/>
        <w:numPr>
          <w:ilvl w:val="0"/>
          <w:numId w:val="51"/>
        </w:numPr>
        <w:ind w:left="709" w:hanging="709"/>
      </w:pPr>
      <w:bookmarkStart w:id="14" w:name="_Toc81210062"/>
      <w:r>
        <w:t>What privacy laws protect the information in CMI/ODS?</w:t>
      </w:r>
      <w:bookmarkEnd w:id="14"/>
    </w:p>
    <w:p w14:paraId="53ADE136" w14:textId="11978C8E" w:rsidR="002F3EC2" w:rsidRDefault="002F3EC2" w:rsidP="00C10089">
      <w:pPr>
        <w:pStyle w:val="Body"/>
      </w:pPr>
      <w:r>
        <w:rPr>
          <w:rFonts w:cs="Arial"/>
          <w:szCs w:val="21"/>
        </w:rPr>
        <w:t xml:space="preserve">The </w:t>
      </w:r>
      <w:r>
        <w:t xml:space="preserve">following privacy and health record laws apply to </w:t>
      </w:r>
      <w:r>
        <w:rPr>
          <w:rFonts w:cs="Arial"/>
          <w:szCs w:val="21"/>
        </w:rPr>
        <w:t>use of CMI/ODS</w:t>
      </w:r>
      <w:r>
        <w:t>:</w:t>
      </w:r>
    </w:p>
    <w:p w14:paraId="50A5A564" w14:textId="6C049F1B" w:rsidR="002F3EC2" w:rsidRDefault="002F3EC2" w:rsidP="00C10089">
      <w:pPr>
        <w:pStyle w:val="Body"/>
        <w:numPr>
          <w:ilvl w:val="0"/>
          <w:numId w:val="50"/>
        </w:numPr>
      </w:pPr>
      <w:r>
        <w:t xml:space="preserve">the </w:t>
      </w:r>
      <w:r w:rsidRPr="00185AF6">
        <w:t>Health Records Act 2001</w:t>
      </w:r>
      <w:r>
        <w:t xml:space="preserve"> (Vic) (</w:t>
      </w:r>
      <w:r w:rsidRPr="00C10089">
        <w:rPr>
          <w:bCs/>
          <w:i/>
          <w:iCs/>
        </w:rPr>
        <w:t>HRA</w:t>
      </w:r>
      <w:r>
        <w:t>); and</w:t>
      </w:r>
    </w:p>
    <w:p w14:paraId="7DC6BFD2" w14:textId="62E07CD5" w:rsidR="002F3EC2" w:rsidRPr="00C6690B" w:rsidRDefault="002F3EC2" w:rsidP="00C10089">
      <w:pPr>
        <w:pStyle w:val="Body"/>
        <w:numPr>
          <w:ilvl w:val="0"/>
          <w:numId w:val="50"/>
        </w:numPr>
      </w:pPr>
      <w:r>
        <w:t>the Privacy and Data Protection Act 2014 (Vic) (</w:t>
      </w:r>
      <w:r w:rsidRPr="00C10089">
        <w:rPr>
          <w:bCs/>
          <w:i/>
          <w:iCs/>
        </w:rPr>
        <w:t>PDP Act</w:t>
      </w:r>
      <w:proofErr w:type="gramStart"/>
      <w:r>
        <w:t>);</w:t>
      </w:r>
      <w:proofErr w:type="gramEnd"/>
    </w:p>
    <w:p w14:paraId="1112235B" w14:textId="6B85E99E" w:rsidR="002F3EC2" w:rsidRDefault="002F3EC2" w:rsidP="00DE7AFB">
      <w:pPr>
        <w:pStyle w:val="Body"/>
        <w:numPr>
          <w:ilvl w:val="0"/>
          <w:numId w:val="50"/>
        </w:numPr>
      </w:pPr>
      <w:r>
        <w:t>the Mental Health Act 2014 (Vic) (</w:t>
      </w:r>
      <w:r w:rsidRPr="00C10089">
        <w:rPr>
          <w:bCs/>
          <w:i/>
          <w:iCs/>
        </w:rPr>
        <w:t>Mental Health Act</w:t>
      </w:r>
      <w:r>
        <w:t>),</w:t>
      </w:r>
      <w:r w:rsidR="00DE7AFB">
        <w:t xml:space="preserve"> </w:t>
      </w:r>
      <w:r>
        <w:t xml:space="preserve">(together, the </w:t>
      </w:r>
      <w:r w:rsidRPr="00C10089">
        <w:rPr>
          <w:bCs/>
        </w:rPr>
        <w:t>Privacy Laws</w:t>
      </w:r>
      <w:r>
        <w:t>).</w:t>
      </w:r>
    </w:p>
    <w:p w14:paraId="3A154D9F" w14:textId="559C2887" w:rsidR="002F3EC2" w:rsidRDefault="00C03CED" w:rsidP="00D46622">
      <w:pPr>
        <w:pStyle w:val="Heading2"/>
        <w:numPr>
          <w:ilvl w:val="0"/>
          <w:numId w:val="51"/>
        </w:numPr>
        <w:ind w:left="709" w:hanging="709"/>
      </w:pPr>
      <w:bookmarkStart w:id="15" w:name="_Toc81210063"/>
      <w:r>
        <w:lastRenderedPageBreak/>
        <w:t>Will there be funding support for services to implement the registration, phase of care and updated outcome measurement program management circulars?</w:t>
      </w:r>
      <w:bookmarkEnd w:id="15"/>
    </w:p>
    <w:p w14:paraId="0B2C26C1" w14:textId="2D8B8B26" w:rsidR="00294BAC" w:rsidRDefault="005D4360" w:rsidP="0076248E">
      <w:r>
        <w:t>The impact of i</w:t>
      </w:r>
      <w:r w:rsidR="00C03CED">
        <w:t xml:space="preserve">mplementation of the </w:t>
      </w:r>
      <w:r w:rsidR="00BC05B8">
        <w:t>pr</w:t>
      </w:r>
      <w:r w:rsidR="00C03CED">
        <w:t xml:space="preserve">ogram </w:t>
      </w:r>
      <w:r w:rsidR="00BC05B8">
        <w:t>m</w:t>
      </w:r>
      <w:r w:rsidR="00C03CED">
        <w:t xml:space="preserve">anagement </w:t>
      </w:r>
      <w:r w:rsidR="00BC05B8">
        <w:t>c</w:t>
      </w:r>
      <w:r w:rsidR="00C03CED">
        <w:t xml:space="preserve">irculars </w:t>
      </w:r>
      <w:r>
        <w:t>will vary across services</w:t>
      </w:r>
      <w:r w:rsidR="00C03CED">
        <w:t>. Some services may already largely meet the revised requirements for registration,</w:t>
      </w:r>
      <w:r w:rsidR="0061288D">
        <w:t xml:space="preserve"> for example,</w:t>
      </w:r>
      <w:r w:rsidR="00C03CED">
        <w:t xml:space="preserve"> but others will have substantial work to do.</w:t>
      </w:r>
      <w:r>
        <w:t xml:space="preserve">  Funding support for data quality and integrity was provided during 2020-21 as part of the</w:t>
      </w:r>
      <w:r w:rsidR="0061288D">
        <w:t xml:space="preserve"> Adult Intensive Complex Care Packages funding.</w:t>
      </w:r>
      <w:r w:rsidR="00205CB2">
        <w:t xml:space="preserve"> </w:t>
      </w:r>
      <w:r w:rsidR="000E7CF5">
        <w:t>In addition, t</w:t>
      </w:r>
      <w:r w:rsidR="0061288D">
        <w:t xml:space="preserve">he </w:t>
      </w:r>
      <w:r w:rsidR="00415FD4">
        <w:t xml:space="preserve">department has provided </w:t>
      </w:r>
      <w:r w:rsidR="003764E7">
        <w:t xml:space="preserve">further </w:t>
      </w:r>
      <w:r w:rsidR="00415FD4">
        <w:t xml:space="preserve">funding for dedicated resources and technical improvements to existing data and information systems in </w:t>
      </w:r>
      <w:r w:rsidR="0076248E">
        <w:t xml:space="preserve">2020-21.  </w:t>
      </w:r>
    </w:p>
    <w:p w14:paraId="409FF1AE" w14:textId="3D76A1DB" w:rsidR="0076248E" w:rsidRDefault="0076248E" w:rsidP="0076248E">
      <w:pPr>
        <w:rPr>
          <w:rFonts w:ascii="Calibri" w:hAnsi="Calibri"/>
          <w:sz w:val="22"/>
        </w:rPr>
      </w:pPr>
      <w:r>
        <w:t>The dedicated funding is provided for health services to improve their data and information management quality and integrity, including implementation of changes for Registration, Episodes of Care, Phase of Care and Outcome Measures, and to support general upgrades to the collection, management and reporting of mental health data. Health services will be required to complete a transition plan and demonstrate progress toward improving data management capabilities.</w:t>
      </w:r>
    </w:p>
    <w:p w14:paraId="39743A4B" w14:textId="7B12AA82" w:rsidR="00C03CED" w:rsidRDefault="00C03CED" w:rsidP="31C71B6F">
      <w:pPr>
        <w:pStyle w:val="Body"/>
        <w:rPr>
          <w:rFonts w:cs="Arial"/>
        </w:rPr>
      </w:pPr>
    </w:p>
    <w:p w14:paraId="4FE94AAF" w14:textId="33E9E484" w:rsidR="00387E62" w:rsidRDefault="00387E62" w:rsidP="00D46622">
      <w:pPr>
        <w:pStyle w:val="Heading2"/>
        <w:numPr>
          <w:ilvl w:val="0"/>
          <w:numId w:val="51"/>
        </w:numPr>
        <w:ind w:left="709" w:hanging="709"/>
      </w:pPr>
      <w:bookmarkStart w:id="16" w:name="_Toc81210064"/>
      <w:r>
        <w:t>Do I need to register a consumer if it is a one-off assessment?</w:t>
      </w:r>
      <w:bookmarkEnd w:id="16"/>
    </w:p>
    <w:p w14:paraId="51B41040" w14:textId="0E5D8025" w:rsidR="00387E62" w:rsidRDefault="00387E62">
      <w:pPr>
        <w:spacing w:after="0" w:line="240" w:lineRule="auto"/>
      </w:pPr>
      <w:r>
        <w:t xml:space="preserve">Yes. All face-to-face consultations meeting the criteria/threshold for registration must be </w:t>
      </w:r>
      <w:r w:rsidR="00EF27D9">
        <w:t>registered</w:t>
      </w:r>
      <w:r>
        <w:t>.</w:t>
      </w:r>
    </w:p>
    <w:p w14:paraId="4BFA4EDD" w14:textId="163EFCD8" w:rsidR="00387E62" w:rsidRDefault="00387E62">
      <w:pPr>
        <w:spacing w:after="0" w:line="240" w:lineRule="auto"/>
      </w:pPr>
    </w:p>
    <w:p w14:paraId="0976A571" w14:textId="18FD971D" w:rsidR="008873DE" w:rsidRDefault="008873DE" w:rsidP="00D46622">
      <w:pPr>
        <w:pStyle w:val="Heading2"/>
        <w:numPr>
          <w:ilvl w:val="0"/>
          <w:numId w:val="51"/>
        </w:numPr>
        <w:ind w:left="709" w:hanging="709"/>
      </w:pPr>
      <w:bookmarkStart w:id="17" w:name="_Toc81210065"/>
      <w:r>
        <w:t>Do I have to open a case</w:t>
      </w:r>
      <w:r w:rsidR="009C46A0">
        <w:t xml:space="preserve"> and episode</w:t>
      </w:r>
      <w:r>
        <w:t xml:space="preserve"> if it is an assessment </w:t>
      </w:r>
      <w:r w:rsidR="001F129D">
        <w:t>only case?</w:t>
      </w:r>
      <w:bookmarkEnd w:id="17"/>
    </w:p>
    <w:p w14:paraId="41E95ED9" w14:textId="20552C39" w:rsidR="001F129D" w:rsidRDefault="001F129D" w:rsidP="00C37B77">
      <w:pPr>
        <w:pStyle w:val="Body"/>
      </w:pPr>
      <w:r>
        <w:t>Yes. All face-to-face consultations</w:t>
      </w:r>
      <w:r w:rsidR="00AA3342">
        <w:t xml:space="preserve"> or other presentations</w:t>
      </w:r>
      <w:r>
        <w:t xml:space="preserve"> meeting the criteria/threshold for registration </w:t>
      </w:r>
      <w:r w:rsidR="000226F8">
        <w:t xml:space="preserve">must </w:t>
      </w:r>
      <w:r>
        <w:t>have a</w:t>
      </w:r>
      <w:r w:rsidR="00065BA3">
        <w:t>n episode and</w:t>
      </w:r>
      <w:r>
        <w:t xml:space="preserve"> case opened.</w:t>
      </w:r>
      <w:r w:rsidR="00A418F4">
        <w:t xml:space="preserve">  </w:t>
      </w:r>
      <w:proofErr w:type="gramStart"/>
      <w:r w:rsidR="00A418F4">
        <w:t>Otherwise</w:t>
      </w:r>
      <w:proofErr w:type="gramEnd"/>
      <w:r w:rsidR="00A418F4">
        <w:t xml:space="preserve"> information does not flow to the Operational Data </w:t>
      </w:r>
      <w:proofErr w:type="gramStart"/>
      <w:r w:rsidR="00A418F4">
        <w:t>Store, and</w:t>
      </w:r>
      <w:proofErr w:type="gramEnd"/>
      <w:r w:rsidR="00A418F4">
        <w:t xml:space="preserve"> </w:t>
      </w:r>
      <w:r w:rsidR="004D2E38">
        <w:t>will</w:t>
      </w:r>
      <w:r w:rsidR="00A418F4">
        <w:t xml:space="preserve"> not be visible to other clinicians </w:t>
      </w:r>
      <w:r w:rsidR="004D2E38">
        <w:t>o</w:t>
      </w:r>
      <w:r w:rsidR="00A418F4">
        <w:t>n second or subsequent presentations.</w:t>
      </w:r>
    </w:p>
    <w:p w14:paraId="21E40109" w14:textId="4209BBAF" w:rsidR="00EF27D9" w:rsidRDefault="00387E62" w:rsidP="00D46622">
      <w:pPr>
        <w:pStyle w:val="Heading2"/>
        <w:numPr>
          <w:ilvl w:val="0"/>
          <w:numId w:val="51"/>
        </w:numPr>
        <w:ind w:left="709" w:hanging="709"/>
      </w:pPr>
      <w:bookmarkStart w:id="18" w:name="_Toc81210066"/>
      <w:r>
        <w:t xml:space="preserve">Can I register the consumer on the second or subsequent </w:t>
      </w:r>
      <w:r w:rsidR="00EF27D9">
        <w:t>contact following assessment</w:t>
      </w:r>
      <w:r w:rsidR="00AF3A2C">
        <w:t>?</w:t>
      </w:r>
      <w:bookmarkEnd w:id="18"/>
    </w:p>
    <w:p w14:paraId="3D7E9EA4" w14:textId="644E4BBB" w:rsidR="009F540D" w:rsidRDefault="00EF27D9">
      <w:pPr>
        <w:spacing w:after="0" w:line="240" w:lineRule="auto"/>
      </w:pPr>
      <w:r>
        <w:t>No. A consumer who receives face-to-face mental health treatment, care or support must be registered at the time of the contact.</w:t>
      </w:r>
      <w:r w:rsidR="00247389">
        <w:t xml:space="preserve">  Timelines are specified at the end of the registration PMC.</w:t>
      </w:r>
    </w:p>
    <w:p w14:paraId="5305DCB7" w14:textId="6E2CE445" w:rsidR="009F540D" w:rsidRDefault="009F540D" w:rsidP="00D46622">
      <w:pPr>
        <w:pStyle w:val="Heading2"/>
        <w:numPr>
          <w:ilvl w:val="0"/>
          <w:numId w:val="51"/>
        </w:numPr>
        <w:ind w:left="709" w:hanging="709"/>
      </w:pPr>
      <w:bookmarkStart w:id="19" w:name="_Toc81210067"/>
      <w:r>
        <w:t>Do I have to register an infant</w:t>
      </w:r>
      <w:r w:rsidR="00E44B94">
        <w:t xml:space="preserve"> or child</w:t>
      </w:r>
      <w:r>
        <w:t xml:space="preserve"> aged 0-11</w:t>
      </w:r>
      <w:r w:rsidR="00E44B94">
        <w:t xml:space="preserve"> years</w:t>
      </w:r>
      <w:r>
        <w:t>?</w:t>
      </w:r>
      <w:bookmarkEnd w:id="19"/>
    </w:p>
    <w:p w14:paraId="6FCCECD5" w14:textId="55C086BA" w:rsidR="00795370" w:rsidRDefault="00E44B94">
      <w:pPr>
        <w:spacing w:after="0" w:line="240" w:lineRule="auto"/>
      </w:pPr>
      <w:r>
        <w:t xml:space="preserve">Yes. </w:t>
      </w:r>
      <w:r w:rsidR="009F540D">
        <w:t xml:space="preserve">Consumers who receive a face-to-face contact will be required to </w:t>
      </w:r>
      <w:r w:rsidR="00CC21CD">
        <w:t xml:space="preserve">be registered irrespective of age. </w:t>
      </w:r>
      <w:r w:rsidR="00BC34B2">
        <w:t xml:space="preserve">This means that </w:t>
      </w:r>
      <w:r w:rsidR="004043F3">
        <w:t xml:space="preserve">consumers of programs such as CASEA will now need to be registered.  </w:t>
      </w:r>
    </w:p>
    <w:p w14:paraId="02933703" w14:textId="038984B3" w:rsidR="004C38AB" w:rsidRDefault="004C38AB" w:rsidP="00D46622">
      <w:pPr>
        <w:pStyle w:val="Heading2"/>
        <w:numPr>
          <w:ilvl w:val="0"/>
          <w:numId w:val="51"/>
        </w:numPr>
        <w:ind w:left="709" w:hanging="709"/>
      </w:pPr>
      <w:bookmarkStart w:id="20" w:name="_Toc81210068"/>
      <w:r>
        <w:t>What is the approach to accompanying family members or carers?</w:t>
      </w:r>
      <w:bookmarkEnd w:id="20"/>
    </w:p>
    <w:p w14:paraId="63070235" w14:textId="2FA4E8AC" w:rsidR="004C38AB" w:rsidRDefault="004C38AB" w:rsidP="004C38AB">
      <w:pPr>
        <w:spacing w:after="0" w:line="240" w:lineRule="auto"/>
      </w:pPr>
      <w:r>
        <w:t>Family members or carers who accompany a consumer who receives mental health treatment, care or support do not need to be registered if they are not receiving mental health treatment and care. For example, a mother and baby may be admitted to a parent-infant unit. If both mother and baby receive mental health treatment, both are to be registered. However, if only the mother receives mental health treatment, the baby is considered a boarder and is not registered.</w:t>
      </w:r>
    </w:p>
    <w:p w14:paraId="75D222F1" w14:textId="77777777" w:rsidR="00860097" w:rsidRDefault="00860097" w:rsidP="004C38AB">
      <w:pPr>
        <w:spacing w:after="0" w:line="240" w:lineRule="auto"/>
      </w:pPr>
    </w:p>
    <w:p w14:paraId="46975931" w14:textId="58CC065B" w:rsidR="00860097" w:rsidRDefault="00860097" w:rsidP="00D46622">
      <w:pPr>
        <w:pStyle w:val="Heading2"/>
        <w:numPr>
          <w:ilvl w:val="0"/>
          <w:numId w:val="51"/>
        </w:numPr>
        <w:ind w:left="709" w:hanging="709"/>
      </w:pPr>
      <w:bookmarkStart w:id="21" w:name="_Toc81210069"/>
      <w:r>
        <w:lastRenderedPageBreak/>
        <w:t>What is the approach with support groups for carers that are run by the AMHS?</w:t>
      </w:r>
      <w:bookmarkEnd w:id="21"/>
    </w:p>
    <w:p w14:paraId="29870C1E" w14:textId="6DBA3016" w:rsidR="00860097" w:rsidRDefault="00860097" w:rsidP="004C38AB">
      <w:pPr>
        <w:spacing w:after="0" w:line="240" w:lineRule="auto"/>
      </w:pPr>
      <w:r>
        <w:t>If the participants meet the registration criteria they should be registered.  Carers can carry a heavy burden and have legitimate health needs of their own.</w:t>
      </w:r>
    </w:p>
    <w:p w14:paraId="28E516B3" w14:textId="066C8BD6" w:rsidR="006672EE" w:rsidRDefault="006672EE" w:rsidP="00D46622">
      <w:pPr>
        <w:pStyle w:val="Heading2"/>
        <w:numPr>
          <w:ilvl w:val="0"/>
          <w:numId w:val="51"/>
        </w:numPr>
        <w:ind w:left="709" w:hanging="709"/>
      </w:pPr>
      <w:bookmarkStart w:id="22" w:name="_Toc81210070"/>
      <w:r>
        <w:t>Do I have to register a consumer who presents to an ED and receives mental health treatment as they are already registered as part of the emergency department care?</w:t>
      </w:r>
      <w:bookmarkEnd w:id="22"/>
    </w:p>
    <w:p w14:paraId="1C85AB9D" w14:textId="0C68B01C" w:rsidR="00093EF2" w:rsidRDefault="006672EE">
      <w:pPr>
        <w:spacing w:after="0" w:line="240" w:lineRule="auto"/>
      </w:pPr>
      <w:r>
        <w:t xml:space="preserve">Yes. If mental health services are provided to a consumer who presents to ED, they </w:t>
      </w:r>
      <w:r w:rsidR="00EA2C65">
        <w:t>must</w:t>
      </w:r>
      <w:r>
        <w:t xml:space="preserve"> be registered</w:t>
      </w:r>
      <w:r w:rsidR="005636D9">
        <w:t xml:space="preserve"> on CMI/ODS</w:t>
      </w:r>
      <w:r>
        <w:t xml:space="preserve"> and a case </w:t>
      </w:r>
      <w:r w:rsidR="006C7865">
        <w:t>and episode opened</w:t>
      </w:r>
      <w:r>
        <w:t xml:space="preserve"> accordingly.</w:t>
      </w:r>
    </w:p>
    <w:p w14:paraId="64C3BC7A" w14:textId="36126A54" w:rsidR="00C6655F" w:rsidRDefault="00EC7CD1" w:rsidP="00D46622">
      <w:pPr>
        <w:pStyle w:val="Heading2"/>
        <w:numPr>
          <w:ilvl w:val="0"/>
          <w:numId w:val="51"/>
        </w:numPr>
        <w:ind w:left="709" w:hanging="709"/>
      </w:pPr>
      <w:bookmarkStart w:id="23" w:name="_Toc81210071"/>
      <w:r>
        <w:t>D</w:t>
      </w:r>
      <w:r w:rsidR="00C6655F">
        <w:t xml:space="preserve">o I need to register the </w:t>
      </w:r>
      <w:r w:rsidR="008E2432">
        <w:t>consumer</w:t>
      </w:r>
      <w:r w:rsidR="00C6655F">
        <w:t xml:space="preserve"> within 24hrs?</w:t>
      </w:r>
      <w:bookmarkEnd w:id="23"/>
    </w:p>
    <w:p w14:paraId="4A7E2BB7" w14:textId="4A51002E" w:rsidR="009E4CBF" w:rsidRDefault="000D21F9" w:rsidP="004C0EFF">
      <w:pPr>
        <w:spacing w:after="0" w:line="240" w:lineRule="auto"/>
      </w:pPr>
      <w:r>
        <w:t>Yes</w:t>
      </w:r>
      <w:r w:rsidR="00346303">
        <w:t xml:space="preserve">.  </w:t>
      </w:r>
      <w:r w:rsidR="009E4CBF">
        <w:t>To enable continuity of care, CMI</w:t>
      </w:r>
      <w:r w:rsidR="00993A02">
        <w:t>/</w:t>
      </w:r>
      <w:r w:rsidR="009E4CBF">
        <w:t xml:space="preserve">ODS client registration, case and episode data </w:t>
      </w:r>
      <w:r w:rsidR="00993A02">
        <w:t>must</w:t>
      </w:r>
      <w:r w:rsidR="009E4CBF">
        <w:t xml:space="preserve"> be entered into CMI/ODS close to real time. At a minimum this data must be entered within the following timeframes, includ</w:t>
      </w:r>
      <w:r w:rsidR="007B2BDA">
        <w:t>ing</w:t>
      </w:r>
      <w:r w:rsidR="009E4CBF">
        <w:t xml:space="preserve"> </w:t>
      </w:r>
      <w:r w:rsidR="009E4CBF" w:rsidRPr="008862C7">
        <w:t>afterhours and weekend presentations</w:t>
      </w:r>
      <w:r w:rsidR="002D7610">
        <w:t>:</w:t>
      </w:r>
      <w:r w:rsidR="009E4CBF">
        <w:t xml:space="preserve"> </w:t>
      </w:r>
    </w:p>
    <w:p w14:paraId="655FEFBC" w14:textId="77777777" w:rsidR="009E4CBF" w:rsidRPr="008862C7" w:rsidRDefault="009E4CBF" w:rsidP="009E4CBF">
      <w:pPr>
        <w:pStyle w:val="Bullet1"/>
      </w:pPr>
      <w:r w:rsidRPr="008862C7">
        <w:t xml:space="preserve">within </w:t>
      </w:r>
      <w:r>
        <w:t>24</w:t>
      </w:r>
      <w:r w:rsidRPr="008862C7">
        <w:t xml:space="preserve"> hours of mental state assessment being completed for Emergency Mental Health presentations, </w:t>
      </w:r>
    </w:p>
    <w:p w14:paraId="2C7CDA7C" w14:textId="77777777" w:rsidR="009E4CBF" w:rsidRPr="008862C7" w:rsidRDefault="009E4CBF" w:rsidP="009E4CBF">
      <w:pPr>
        <w:pStyle w:val="Bullet1"/>
      </w:pPr>
      <w:r w:rsidRPr="008862C7">
        <w:t>within 24 hours of mental state assessment being completed for other ambulatory Mental Health services</w:t>
      </w:r>
    </w:p>
    <w:p w14:paraId="4CD6A30F" w14:textId="77777777" w:rsidR="009E4CBF" w:rsidRDefault="009E4CBF" w:rsidP="009E4CBF">
      <w:pPr>
        <w:pStyle w:val="Bullet1"/>
      </w:pPr>
      <w:r>
        <w:t xml:space="preserve">as close to real time as possible </w:t>
      </w:r>
      <w:r w:rsidRPr="00304237">
        <w:t>for residential and admitted services</w:t>
      </w:r>
      <w:r>
        <w:t xml:space="preserve"> (must be </w:t>
      </w:r>
      <w:r w:rsidRPr="00304237">
        <w:t xml:space="preserve">within </w:t>
      </w:r>
      <w:r>
        <w:t>24</w:t>
      </w:r>
      <w:r w:rsidRPr="00304237">
        <w:t xml:space="preserve"> hours</w:t>
      </w:r>
      <w:r>
        <w:t>).</w:t>
      </w:r>
      <w:r w:rsidRPr="00304237">
        <w:t xml:space="preserve"> </w:t>
      </w:r>
    </w:p>
    <w:p w14:paraId="61A322E2" w14:textId="77777777" w:rsidR="009E4CBF" w:rsidRDefault="009E4CBF">
      <w:pPr>
        <w:spacing w:after="0" w:line="240" w:lineRule="auto"/>
      </w:pPr>
    </w:p>
    <w:p w14:paraId="341D8420" w14:textId="2080C452" w:rsidR="008873DE" w:rsidRDefault="00D42BD4">
      <w:pPr>
        <w:spacing w:after="0" w:line="240" w:lineRule="auto"/>
      </w:pPr>
      <w:r>
        <w:t xml:space="preserve">A key </w:t>
      </w:r>
      <w:r w:rsidR="00E46EB6">
        <w:t>reason for th</w:t>
      </w:r>
      <w:r w:rsidR="004A691F">
        <w:t>e timeline</w:t>
      </w:r>
      <w:r w:rsidR="00E46EB6">
        <w:t xml:space="preserve"> is that </w:t>
      </w:r>
      <w:r w:rsidR="00E43771">
        <w:t>there have been occasions where a person has had multiple presentations to</w:t>
      </w:r>
      <w:r w:rsidR="00485906">
        <w:t xml:space="preserve"> one or more</w:t>
      </w:r>
      <w:r w:rsidR="00E43771">
        <w:t xml:space="preserve"> ED but not been registered.  </w:t>
      </w:r>
      <w:r w:rsidR="00BF4901">
        <w:t xml:space="preserve">Victorian coronial recommendations have supported </w:t>
      </w:r>
      <w:r w:rsidR="00FB2A21">
        <w:t xml:space="preserve">mental health clinicians </w:t>
      </w:r>
      <w:r w:rsidR="00AD1EF7">
        <w:t xml:space="preserve">having access </w:t>
      </w:r>
      <w:r w:rsidR="001175F5">
        <w:t>to</w:t>
      </w:r>
      <w:r w:rsidR="00AD1EF7">
        <w:t xml:space="preserve"> information on previous mental health presentations</w:t>
      </w:r>
      <w:r w:rsidR="00482D35">
        <w:t>, to improve safety</w:t>
      </w:r>
      <w:r w:rsidR="00AD1EF7">
        <w:t>.</w:t>
      </w:r>
      <w:r w:rsidR="00FE557F">
        <w:t xml:space="preserve"> </w:t>
      </w:r>
    </w:p>
    <w:p w14:paraId="167EFAF3" w14:textId="4C00527D" w:rsidR="001D3865" w:rsidRDefault="001D3865" w:rsidP="00D46622">
      <w:pPr>
        <w:pStyle w:val="Heading2"/>
        <w:numPr>
          <w:ilvl w:val="0"/>
          <w:numId w:val="51"/>
        </w:numPr>
        <w:ind w:left="709" w:hanging="709"/>
      </w:pPr>
      <w:bookmarkStart w:id="24" w:name="_Toc81210072"/>
      <w:r>
        <w:t>Does a consumer need to provide consent to be registered?</w:t>
      </w:r>
      <w:bookmarkEnd w:id="24"/>
    </w:p>
    <w:p w14:paraId="740AA5DF" w14:textId="449B624C" w:rsidR="002C702C" w:rsidRDefault="001D3865" w:rsidP="003E22A5">
      <w:pPr>
        <w:pStyle w:val="Body"/>
      </w:pPr>
      <w:r>
        <w:t>No</w:t>
      </w:r>
      <w:r w:rsidR="00853EC3">
        <w:t xml:space="preserve">. </w:t>
      </w:r>
      <w:r w:rsidR="00853EC3" w:rsidRPr="004C0EFF">
        <w:t>A</w:t>
      </w:r>
      <w:r w:rsidR="00024349">
        <w:t xml:space="preserve">s with the provision of </w:t>
      </w:r>
      <w:r w:rsidR="00024349" w:rsidRPr="007A3F3A">
        <w:rPr>
          <w:u w:val="single"/>
        </w:rPr>
        <w:t>any</w:t>
      </w:r>
      <w:r w:rsidR="00024349">
        <w:t xml:space="preserve"> health service, a</w:t>
      </w:r>
      <w:r w:rsidR="00853EC3" w:rsidRPr="004C0EFF">
        <w:t xml:space="preserve"> person must be </w:t>
      </w:r>
      <w:r w:rsidR="005F29D3">
        <w:t>advised</w:t>
      </w:r>
      <w:r w:rsidR="00853EC3" w:rsidRPr="004C0EFF">
        <w:t xml:space="preserve"> of their registration under the provisions of HPP 1.4 of the </w:t>
      </w:r>
      <w:r w:rsidR="00853EC3" w:rsidRPr="004C0EFF">
        <w:rPr>
          <w:i/>
          <w:iCs/>
        </w:rPr>
        <w:t>Health Records Act 2001</w:t>
      </w:r>
      <w:r w:rsidR="003356D7">
        <w:rPr>
          <w:i/>
          <w:iCs/>
        </w:rPr>
        <w:t>.</w:t>
      </w:r>
      <w:r w:rsidR="00853EC3" w:rsidRPr="004C0EFF">
        <w:t xml:space="preserve"> </w:t>
      </w:r>
      <w:r w:rsidR="003356D7">
        <w:t>However, they do</w:t>
      </w:r>
      <w:r w:rsidR="00853EC3" w:rsidRPr="004C0EFF">
        <w:t xml:space="preserve"> not need to provide consent to registration. Authority to register is expressly permitted under the provisions of s.347 (1) of the </w:t>
      </w:r>
      <w:r w:rsidR="00853EC3" w:rsidRPr="004C0EFF">
        <w:rPr>
          <w:i/>
          <w:iCs/>
        </w:rPr>
        <w:t>Mental Health Act 2014</w:t>
      </w:r>
      <w:r w:rsidR="00853EC3" w:rsidRPr="004C0EFF">
        <w:t>.</w:t>
      </w:r>
      <w:r w:rsidR="00853EC3" w:rsidRPr="005260A5">
        <w:rPr>
          <w:b/>
          <w:bCs/>
        </w:rPr>
        <w:t xml:space="preserve">  </w:t>
      </w:r>
      <w:r>
        <w:t xml:space="preserve"> </w:t>
      </w:r>
    </w:p>
    <w:p w14:paraId="26404C5C" w14:textId="096C2337" w:rsidR="0070033B" w:rsidRDefault="0070033B" w:rsidP="00D46622">
      <w:pPr>
        <w:pStyle w:val="Heading2"/>
        <w:numPr>
          <w:ilvl w:val="0"/>
          <w:numId w:val="51"/>
        </w:numPr>
        <w:ind w:left="709" w:hanging="709"/>
      </w:pPr>
      <w:bookmarkStart w:id="25" w:name="_Toc81210073"/>
      <w:r>
        <w:t>How do we configure our ECATT subcentres on CMI/ODS to be able to record multiple same day presentations and with episode end times on the same date?</w:t>
      </w:r>
      <w:bookmarkEnd w:id="25"/>
    </w:p>
    <w:p w14:paraId="0BBE3693" w14:textId="36B3EE4A" w:rsidR="0070033B" w:rsidRPr="00ED02B3" w:rsidRDefault="0070033B" w:rsidP="00ED02B3">
      <w:pPr>
        <w:pStyle w:val="Body"/>
      </w:pPr>
      <w:r w:rsidRPr="00ED02B3">
        <w:t xml:space="preserve">CMI/ODS subcentres for episodes that commence in Emergency Departments can be configured with an OM rating of </w:t>
      </w:r>
      <w:r w:rsidRPr="007B23FC">
        <w:t>“Generalist Not Applicable", and all outcome measures completed by these teams can be recorded against the “Additional measures” task.</w:t>
      </w:r>
    </w:p>
    <w:p w14:paraId="0CFDB42A" w14:textId="1C0A8442" w:rsidR="0070033B" w:rsidRDefault="0070033B" w:rsidP="00D46622">
      <w:pPr>
        <w:pStyle w:val="Heading2"/>
        <w:numPr>
          <w:ilvl w:val="0"/>
          <w:numId w:val="51"/>
        </w:numPr>
        <w:ind w:left="709" w:hanging="709"/>
        <w:rPr>
          <w:sz w:val="24"/>
          <w:szCs w:val="24"/>
        </w:rPr>
      </w:pPr>
      <w:bookmarkStart w:id="26" w:name="_Toc81210074"/>
      <w:r>
        <w:lastRenderedPageBreak/>
        <w:t xml:space="preserve">Our service previously reported Consultation Liaison and ECATT activity through Triage Minimum Dataset (TMDS), submissions, however from 01/07/2021 are now reporting this through CMI/ODS episodes, registrations </w:t>
      </w:r>
      <w:proofErr w:type="gramStart"/>
      <w:r>
        <w:t>and  outcome</w:t>
      </w:r>
      <w:proofErr w:type="gramEnd"/>
      <w:r>
        <w:t xml:space="preserve"> measures. Are we required to report these services through both?</w:t>
      </w:r>
      <w:bookmarkEnd w:id="26"/>
    </w:p>
    <w:p w14:paraId="7BF57862" w14:textId="6BA2425A" w:rsidR="0070033B" w:rsidRDefault="0070033B" w:rsidP="00ED02B3">
      <w:pPr>
        <w:pStyle w:val="Body"/>
      </w:pPr>
      <w:r>
        <w:t>No, from 01 July 2021, community mental health teams that provide in person assessment services should be reported through CMI/</w:t>
      </w:r>
      <w:proofErr w:type="gramStart"/>
      <w:r>
        <w:t>ODS, and</w:t>
      </w:r>
      <w:proofErr w:type="gramEnd"/>
      <w:r>
        <w:t xml:space="preserve"> should not </w:t>
      </w:r>
      <w:r w:rsidR="007B23FC">
        <w:t>report</w:t>
      </w:r>
      <w:r>
        <w:t xml:space="preserve"> through TMDS.</w:t>
      </w:r>
    </w:p>
    <w:p w14:paraId="13185299" w14:textId="77777777" w:rsidR="0070033B" w:rsidRDefault="0070033B" w:rsidP="0070033B">
      <w:pPr>
        <w:rPr>
          <w:rFonts w:ascii="Segoe UI" w:hAnsi="Segoe UI" w:cs="Segoe UI"/>
          <w:sz w:val="24"/>
          <w:szCs w:val="24"/>
        </w:rPr>
      </w:pPr>
    </w:p>
    <w:p w14:paraId="272568F6" w14:textId="4641F20D" w:rsidR="0070033B" w:rsidRDefault="0070033B" w:rsidP="00D46622">
      <w:pPr>
        <w:pStyle w:val="Heading2"/>
        <w:numPr>
          <w:ilvl w:val="0"/>
          <w:numId w:val="51"/>
        </w:numPr>
        <w:ind w:left="709" w:hanging="709"/>
      </w:pPr>
      <w:bookmarkStart w:id="27" w:name="_Toc81210075"/>
      <w:r>
        <w:t>Our CL service and ECATT teams work across multiple hospital campuses. Is it acceptable if we create different subcentres for each hospital campus?</w:t>
      </w:r>
      <w:bookmarkEnd w:id="27"/>
    </w:p>
    <w:p w14:paraId="613873BE" w14:textId="782E35D1" w:rsidR="0070033B" w:rsidRDefault="0070033B" w:rsidP="00ED02B3">
      <w:pPr>
        <w:pStyle w:val="Body"/>
      </w:pPr>
      <w:r>
        <w:t xml:space="preserve">The </w:t>
      </w:r>
      <w:r w:rsidR="00C11F37">
        <w:t>department</w:t>
      </w:r>
      <w:r>
        <w:t xml:space="preserve"> recommends that services create a separate subcentre for each hospital campus that your ECATT or Consultation Liaison service operates across, however this is not a mandatory requirement.</w:t>
      </w:r>
    </w:p>
    <w:p w14:paraId="4DBD19B6" w14:textId="77777777" w:rsidR="0070033B" w:rsidRDefault="0070033B" w:rsidP="0070033B">
      <w:pPr>
        <w:rPr>
          <w:rFonts w:ascii="Segoe UI" w:hAnsi="Segoe UI" w:cs="Segoe UI"/>
          <w:sz w:val="24"/>
          <w:szCs w:val="24"/>
        </w:rPr>
      </w:pPr>
    </w:p>
    <w:p w14:paraId="1EADA2FE" w14:textId="31D0A541" w:rsidR="000D21F9" w:rsidRDefault="000D21F9">
      <w:pPr>
        <w:spacing w:after="0" w:line="240" w:lineRule="auto"/>
        <w:rPr>
          <w:rFonts w:eastAsia="MS Gothic" w:cs="Arial"/>
          <w:bCs/>
          <w:color w:val="201547"/>
          <w:kern w:val="32"/>
          <w:sz w:val="40"/>
          <w:szCs w:val="40"/>
        </w:rPr>
      </w:pPr>
    </w:p>
    <w:p w14:paraId="5A474122" w14:textId="77777777" w:rsidR="00BA3356" w:rsidRDefault="00BA3356">
      <w:pPr>
        <w:spacing w:after="0" w:line="240" w:lineRule="auto"/>
        <w:rPr>
          <w:rFonts w:eastAsia="MS Gothic" w:cs="Arial"/>
          <w:bCs/>
          <w:color w:val="201547"/>
          <w:kern w:val="32"/>
          <w:sz w:val="40"/>
          <w:szCs w:val="40"/>
        </w:rPr>
      </w:pPr>
      <w:r>
        <w:br w:type="page"/>
      </w:r>
    </w:p>
    <w:p w14:paraId="20807EF4" w14:textId="5DAD3E98" w:rsidR="00F00AE3" w:rsidRDefault="00F00AE3" w:rsidP="008702A7">
      <w:pPr>
        <w:pStyle w:val="Heading1"/>
      </w:pPr>
      <w:bookmarkStart w:id="28" w:name="_Toc81210076"/>
      <w:r>
        <w:lastRenderedPageBreak/>
        <w:t>What is Phase of Care?</w:t>
      </w:r>
      <w:bookmarkEnd w:id="28"/>
    </w:p>
    <w:p w14:paraId="78297A99" w14:textId="655C7380" w:rsidR="00F00AE3" w:rsidRDefault="00407FCB" w:rsidP="00C82523">
      <w:pPr>
        <w:pStyle w:val="Body"/>
      </w:pPr>
      <w:r>
        <w:t>Mental health phase of care is defined as the primary goal of treatment within the episode of care in</w:t>
      </w:r>
      <w:r w:rsidR="00935D8E">
        <w:t xml:space="preserve"> </w:t>
      </w:r>
      <w:r>
        <w:t>terms of the recognised phases of mental health care.  It is the prospective (or forward looking) description of the primary goal of care for a consumer at a point of time.</w:t>
      </w:r>
    </w:p>
    <w:p w14:paraId="08303729" w14:textId="68FEA46A" w:rsidR="00407FCB" w:rsidRDefault="00407FCB" w:rsidP="00C82523">
      <w:pPr>
        <w:pStyle w:val="Body"/>
      </w:pPr>
      <w:r w:rsidRPr="00407FCB">
        <w:t>Mental health phase of care is intended to identify the primary goal of care by the treating professional(s) through engagement with the consumer. The mental health phase of care is independent of both the treatment setting and the designation of the treating service and does not reflect service unit type.</w:t>
      </w:r>
    </w:p>
    <w:p w14:paraId="53A9C91E" w14:textId="77777777" w:rsidR="00935D8E" w:rsidRPr="00935D8E" w:rsidRDefault="00935D8E" w:rsidP="00C82523">
      <w:pPr>
        <w:pStyle w:val="Body"/>
      </w:pPr>
      <w:r w:rsidRPr="00935D8E">
        <w:t xml:space="preserve">A new mental health phase of care may begin either when a consumer commences an episode of care or when the primary goal of care changes in an existing episode of care. </w:t>
      </w:r>
    </w:p>
    <w:p w14:paraId="4E919AF9" w14:textId="3356A912" w:rsidR="00935D8E" w:rsidRDefault="00935D8E" w:rsidP="00156AF9">
      <w:pPr>
        <w:pStyle w:val="Body"/>
      </w:pPr>
      <w:r w:rsidRPr="00935D8E">
        <w:t>The mental health phase of care should therefore be considered as a subset of an episode of care, meaning that for each episode there can be multiple mental health phases of care</w:t>
      </w:r>
      <w:r>
        <w:t>.</w:t>
      </w:r>
    </w:p>
    <w:p w14:paraId="1EA0E671" w14:textId="77777777" w:rsidR="00156AF9" w:rsidRDefault="00156AF9" w:rsidP="00C82523">
      <w:pPr>
        <w:pStyle w:val="Body"/>
      </w:pPr>
    </w:p>
    <w:p w14:paraId="2BE86B55" w14:textId="39907914" w:rsidR="00935D8E" w:rsidRDefault="00935D8E" w:rsidP="00D46622">
      <w:pPr>
        <w:pStyle w:val="Heading2"/>
        <w:numPr>
          <w:ilvl w:val="0"/>
          <w:numId w:val="51"/>
        </w:numPr>
        <w:ind w:left="709" w:hanging="709"/>
      </w:pPr>
      <w:bookmarkStart w:id="29" w:name="_Toc81210077"/>
      <w:r>
        <w:t>What are the possible phases</w:t>
      </w:r>
      <w:r w:rsidR="00156AF9">
        <w:t xml:space="preserve"> of care</w:t>
      </w:r>
      <w:r>
        <w:t>?</w:t>
      </w:r>
      <w:bookmarkEnd w:id="29"/>
    </w:p>
    <w:p w14:paraId="0E952815" w14:textId="01E19FDB" w:rsidR="00935D8E" w:rsidRDefault="00935D8E" w:rsidP="00935D8E">
      <w:pPr>
        <w:pStyle w:val="Bodyafterbullets"/>
      </w:pPr>
      <w:r>
        <w:t>There are five mental health phases of care:</w:t>
      </w:r>
    </w:p>
    <w:p w14:paraId="1DB1826B" w14:textId="060B6070" w:rsidR="000F1F1E" w:rsidRDefault="0056495B" w:rsidP="000F1F1E">
      <w:pPr>
        <w:pStyle w:val="Tablecaption"/>
      </w:pPr>
      <w:r>
        <w:t>Table1: Phases of care</w:t>
      </w:r>
    </w:p>
    <w:tbl>
      <w:tblPr>
        <w:tblStyle w:val="TableGrid"/>
        <w:tblW w:w="10055" w:type="dxa"/>
        <w:tblLook w:val="06A0" w:firstRow="1" w:lastRow="0" w:firstColumn="1" w:lastColumn="0" w:noHBand="1" w:noVBand="1"/>
      </w:tblPr>
      <w:tblGrid>
        <w:gridCol w:w="1980"/>
        <w:gridCol w:w="8075"/>
      </w:tblGrid>
      <w:tr w:rsidR="00935D8E" w14:paraId="714A3421" w14:textId="77777777" w:rsidTr="0056495B">
        <w:trPr>
          <w:tblHeader/>
        </w:trPr>
        <w:tc>
          <w:tcPr>
            <w:tcW w:w="1980" w:type="dxa"/>
          </w:tcPr>
          <w:p w14:paraId="3DE4F479" w14:textId="466350F4" w:rsidR="00935D8E" w:rsidRPr="00CB3285" w:rsidRDefault="00935D8E" w:rsidP="002365B4">
            <w:pPr>
              <w:pStyle w:val="Tablecolhead"/>
            </w:pPr>
            <w:r>
              <w:t>Phase</w:t>
            </w:r>
          </w:p>
        </w:tc>
        <w:tc>
          <w:tcPr>
            <w:tcW w:w="8075" w:type="dxa"/>
          </w:tcPr>
          <w:p w14:paraId="1383A93D" w14:textId="7C24B26B" w:rsidR="00935D8E" w:rsidRDefault="00935D8E" w:rsidP="002365B4">
            <w:pPr>
              <w:pStyle w:val="Tablecolhead"/>
            </w:pPr>
            <w:r>
              <w:t>Primary goal</w:t>
            </w:r>
          </w:p>
        </w:tc>
      </w:tr>
      <w:tr w:rsidR="00935D8E" w14:paraId="5E38034A" w14:textId="77777777" w:rsidTr="0056495B">
        <w:tc>
          <w:tcPr>
            <w:tcW w:w="1980" w:type="dxa"/>
          </w:tcPr>
          <w:p w14:paraId="228DA327" w14:textId="15E6DF4B" w:rsidR="00935D8E" w:rsidRDefault="00935D8E" w:rsidP="00C82523">
            <w:pPr>
              <w:pStyle w:val="Body"/>
            </w:pPr>
            <w:r>
              <w:t>Assessment only</w:t>
            </w:r>
          </w:p>
        </w:tc>
        <w:tc>
          <w:tcPr>
            <w:tcW w:w="8075" w:type="dxa"/>
          </w:tcPr>
          <w:p w14:paraId="0409C359" w14:textId="57CF42AD" w:rsidR="00935D8E" w:rsidRDefault="00935D8E" w:rsidP="00C82523">
            <w:pPr>
              <w:pStyle w:val="Body"/>
            </w:pPr>
            <w:r>
              <w:t xml:space="preserve">The primary goal is to obtain information including collateral information where possible, </w:t>
            </w:r>
            <w:proofErr w:type="gramStart"/>
            <w:r>
              <w:t>in order to</w:t>
            </w:r>
            <w:proofErr w:type="gramEnd"/>
            <w:r>
              <w:t xml:space="preserve"> determine the intervention/ trea</w:t>
            </w:r>
            <w:r w:rsidR="008B281D">
              <w:t>t</w:t>
            </w:r>
            <w:r>
              <w:t>m</w:t>
            </w:r>
            <w:r w:rsidR="008B281D">
              <w:t>ent</w:t>
            </w:r>
            <w:r>
              <w:t xml:space="preserve"> needs and to arrange for this to occur (includes brief history,</w:t>
            </w:r>
            <w:r w:rsidR="00156AF9">
              <w:t xml:space="preserve"> </w:t>
            </w:r>
            <w:r>
              <w:t>risk assessment, referral to treating team or other service).</w:t>
            </w:r>
          </w:p>
        </w:tc>
      </w:tr>
      <w:tr w:rsidR="00935D8E" w14:paraId="31CAF55B" w14:textId="77777777" w:rsidTr="0056495B">
        <w:trPr>
          <w:trHeight w:val="756"/>
        </w:trPr>
        <w:tc>
          <w:tcPr>
            <w:tcW w:w="1980" w:type="dxa"/>
          </w:tcPr>
          <w:p w14:paraId="25E310B7" w14:textId="3FF3F7FE" w:rsidR="00935D8E" w:rsidRPr="002365B4" w:rsidRDefault="00935D8E" w:rsidP="00C82523">
            <w:pPr>
              <w:pStyle w:val="Body"/>
            </w:pPr>
            <w:r>
              <w:t>Acute</w:t>
            </w:r>
          </w:p>
        </w:tc>
        <w:tc>
          <w:tcPr>
            <w:tcW w:w="8075" w:type="dxa"/>
          </w:tcPr>
          <w:p w14:paraId="42D1D502" w14:textId="453DDC69" w:rsidR="00935D8E" w:rsidRPr="002365B4" w:rsidRDefault="00935D8E" w:rsidP="00C82523">
            <w:pPr>
              <w:pStyle w:val="Body"/>
            </w:pPr>
            <w:r>
              <w:t xml:space="preserve">The primary goal is the </w:t>
            </w:r>
            <w:r w:rsidR="00156AF9">
              <w:t>short-term</w:t>
            </w:r>
            <w:r>
              <w:t xml:space="preserve"> reduction in severity of symptoms and/or personal distress associated with the recent onset or exacerbation of a psychiatric disorder.</w:t>
            </w:r>
            <w:r w:rsidRPr="002365B4">
              <w:t xml:space="preserve"> </w:t>
            </w:r>
          </w:p>
        </w:tc>
      </w:tr>
      <w:tr w:rsidR="0056495B" w14:paraId="7B2A62ED" w14:textId="77777777" w:rsidTr="0056495B">
        <w:trPr>
          <w:trHeight w:val="756"/>
        </w:trPr>
        <w:tc>
          <w:tcPr>
            <w:tcW w:w="1980" w:type="dxa"/>
          </w:tcPr>
          <w:p w14:paraId="056F4992" w14:textId="13878D1C" w:rsidR="0056495B" w:rsidRDefault="0056495B" w:rsidP="00C82523">
            <w:pPr>
              <w:pStyle w:val="Body"/>
            </w:pPr>
            <w:r>
              <w:t>Functional gain</w:t>
            </w:r>
          </w:p>
        </w:tc>
        <w:tc>
          <w:tcPr>
            <w:tcW w:w="8075" w:type="dxa"/>
          </w:tcPr>
          <w:p w14:paraId="19660DC1" w14:textId="79ED7EF0" w:rsidR="0056495B" w:rsidRDefault="0056495B" w:rsidP="00C82523">
            <w:pPr>
              <w:pStyle w:val="Body"/>
            </w:pPr>
            <w:r>
              <w:t>The primary goal is to improve personal, social or occupational functioning or promote psychosocial adaptation in a consumer with impairment arising from a psychiatric disorder.</w:t>
            </w:r>
          </w:p>
        </w:tc>
      </w:tr>
      <w:tr w:rsidR="0056495B" w14:paraId="32CF2A88" w14:textId="77777777" w:rsidTr="0056495B">
        <w:trPr>
          <w:trHeight w:val="756"/>
        </w:trPr>
        <w:tc>
          <w:tcPr>
            <w:tcW w:w="1980" w:type="dxa"/>
          </w:tcPr>
          <w:p w14:paraId="242218AF" w14:textId="0AACDD9F" w:rsidR="0056495B" w:rsidRDefault="0056495B" w:rsidP="00C82523">
            <w:pPr>
              <w:pStyle w:val="Body"/>
            </w:pPr>
            <w:r>
              <w:t>Intensive extended</w:t>
            </w:r>
          </w:p>
        </w:tc>
        <w:tc>
          <w:tcPr>
            <w:tcW w:w="8075" w:type="dxa"/>
          </w:tcPr>
          <w:p w14:paraId="4B19AB58" w14:textId="12EA720F" w:rsidR="0056495B" w:rsidRDefault="0056495B" w:rsidP="00C82523">
            <w:pPr>
              <w:pStyle w:val="Body"/>
            </w:pPr>
            <w:r>
              <w:t>The primary goal is prevention or minimisation of further deterioration and reduction of risk of harm in a consumer who has a stable pattern of severe symptoms, frequent relapses or severe inability to function independently and is judged to require care over an indefinite period.</w:t>
            </w:r>
          </w:p>
        </w:tc>
      </w:tr>
      <w:tr w:rsidR="0056495B" w14:paraId="55FEC37D" w14:textId="77777777" w:rsidTr="0056495B">
        <w:trPr>
          <w:trHeight w:val="756"/>
        </w:trPr>
        <w:tc>
          <w:tcPr>
            <w:tcW w:w="1980" w:type="dxa"/>
          </w:tcPr>
          <w:p w14:paraId="4E92F44E" w14:textId="1DAB188C" w:rsidR="0056495B" w:rsidRDefault="0056495B" w:rsidP="00C82523">
            <w:pPr>
              <w:pStyle w:val="Body"/>
            </w:pPr>
            <w:r>
              <w:t>Consolidating gain</w:t>
            </w:r>
          </w:p>
        </w:tc>
        <w:tc>
          <w:tcPr>
            <w:tcW w:w="8075" w:type="dxa"/>
          </w:tcPr>
          <w:p w14:paraId="76B3422E" w14:textId="6E55314F" w:rsidR="0056495B" w:rsidRDefault="0056495B" w:rsidP="00C82523">
            <w:pPr>
              <w:pStyle w:val="Body"/>
            </w:pPr>
            <w:r>
              <w:t>The primary goal is to maintain the level of functioning or improving functioning during a period of recovery, minimise deterioration or prevent relapse where the consumer has stabilised and functions relatively independently. Consolidating gain may also be known as maintenance.</w:t>
            </w:r>
          </w:p>
        </w:tc>
      </w:tr>
    </w:tbl>
    <w:p w14:paraId="5BA44F60" w14:textId="77777777" w:rsidR="00156AF9" w:rsidRDefault="00156AF9" w:rsidP="00C82523">
      <w:pPr>
        <w:pStyle w:val="Body"/>
      </w:pPr>
      <w:bookmarkStart w:id="30" w:name="_Toc256778633"/>
    </w:p>
    <w:p w14:paraId="1BFFC974" w14:textId="069A0D73" w:rsidR="00DE2D04" w:rsidRDefault="0056495B" w:rsidP="00D46622">
      <w:pPr>
        <w:pStyle w:val="Heading2"/>
        <w:numPr>
          <w:ilvl w:val="0"/>
          <w:numId w:val="51"/>
        </w:numPr>
        <w:ind w:left="709" w:hanging="709"/>
      </w:pPr>
      <w:bookmarkStart w:id="31" w:name="_Toc81210078"/>
      <w:r>
        <w:t xml:space="preserve">What </w:t>
      </w:r>
      <w:r w:rsidR="00156AF9">
        <w:t xml:space="preserve">happens to </w:t>
      </w:r>
      <w:r>
        <w:t>Focus of Care?</w:t>
      </w:r>
      <w:bookmarkEnd w:id="30"/>
      <w:bookmarkEnd w:id="31"/>
    </w:p>
    <w:p w14:paraId="3EE03A29" w14:textId="0CAAD1FE" w:rsidR="009A3490" w:rsidRPr="002365B4" w:rsidRDefault="00156AF9" w:rsidP="009A3490">
      <w:pPr>
        <w:pStyle w:val="Body"/>
      </w:pPr>
      <w:r>
        <w:t>From 1 July 2021, f</w:t>
      </w:r>
      <w:r w:rsidR="0056495B">
        <w:t xml:space="preserve">ocus of care will no longer be collected </w:t>
      </w:r>
      <w:r>
        <w:t>by Victorian Area Mental Health Services</w:t>
      </w:r>
      <w:r w:rsidR="0056495B">
        <w:t xml:space="preserve">.  Other states and territories have already made the change from Focus of care to Phase of Care.  For most </w:t>
      </w:r>
      <w:r>
        <w:t xml:space="preserve">adult </w:t>
      </w:r>
      <w:r>
        <w:lastRenderedPageBreak/>
        <w:t xml:space="preserve">and older adult </w:t>
      </w:r>
      <w:r w:rsidR="0056495B">
        <w:t xml:space="preserve">services, this is a change of </w:t>
      </w:r>
      <w:r>
        <w:t xml:space="preserve">an existing data element and is not </w:t>
      </w:r>
      <w:r w:rsidR="0056495B">
        <w:t xml:space="preserve">an additional </w:t>
      </w:r>
      <w:r>
        <w:t xml:space="preserve">collection </w:t>
      </w:r>
      <w:r w:rsidR="0056495B">
        <w:t>requirement.</w:t>
      </w:r>
    </w:p>
    <w:p w14:paraId="4763391F" w14:textId="658D8823" w:rsidR="00E0537F" w:rsidRDefault="00E0537F" w:rsidP="00D46622">
      <w:pPr>
        <w:pStyle w:val="Heading2"/>
        <w:numPr>
          <w:ilvl w:val="0"/>
          <w:numId w:val="51"/>
        </w:numPr>
        <w:ind w:left="709" w:hanging="709"/>
      </w:pPr>
      <w:bookmarkStart w:id="32" w:name="_Toc81210079"/>
      <w:r>
        <w:t xml:space="preserve">Can lived experience team members </w:t>
      </w:r>
      <w:r w:rsidR="00F81828">
        <w:t>assign</w:t>
      </w:r>
      <w:r>
        <w:t xml:space="preserve"> </w:t>
      </w:r>
      <w:r w:rsidR="007C416F">
        <w:t>phase of care</w:t>
      </w:r>
      <w:r>
        <w:t xml:space="preserve"> measures?</w:t>
      </w:r>
      <w:bookmarkEnd w:id="32"/>
    </w:p>
    <w:p w14:paraId="7BE2D06F" w14:textId="3AF8B429" w:rsidR="00E0537F" w:rsidRDefault="00EE293B" w:rsidP="009A3490">
      <w:pPr>
        <w:pStyle w:val="Body"/>
      </w:pPr>
      <w:r>
        <w:t xml:space="preserve">Peer workers can do the online training to understand phase of </w:t>
      </w:r>
      <w:proofErr w:type="gramStart"/>
      <w:r>
        <w:t>care,</w:t>
      </w:r>
      <w:proofErr w:type="gramEnd"/>
      <w:r>
        <w:t xml:space="preserve"> however, it is not their role to complete the </w:t>
      </w:r>
      <w:r w:rsidR="00F81828">
        <w:t xml:space="preserve">phase of care </w:t>
      </w:r>
      <w:r>
        <w:t xml:space="preserve">measure.  The training can </w:t>
      </w:r>
      <w:r w:rsidR="008A1AD3">
        <w:t xml:space="preserve">and should </w:t>
      </w:r>
      <w:r>
        <w:t xml:space="preserve">support peer workers to </w:t>
      </w:r>
      <w:r w:rsidR="0006514A">
        <w:t>work with the case manager and the consumer in a collaborative process.</w:t>
      </w:r>
    </w:p>
    <w:p w14:paraId="2ABEF742" w14:textId="3C7EAD8D" w:rsidR="007C416F" w:rsidRDefault="007C416F" w:rsidP="00D46622">
      <w:pPr>
        <w:pStyle w:val="Heading2"/>
        <w:numPr>
          <w:ilvl w:val="0"/>
          <w:numId w:val="51"/>
        </w:numPr>
        <w:ind w:left="709" w:hanging="709"/>
      </w:pPr>
      <w:bookmarkStart w:id="33" w:name="_Toc81210080"/>
      <w:r>
        <w:t xml:space="preserve">Will Phase of Care be built into </w:t>
      </w:r>
      <w:r w:rsidR="00F81828" w:rsidRPr="00F81828">
        <w:t xml:space="preserve">Client Management Interface/Operational Data Store </w:t>
      </w:r>
      <w:r w:rsidR="00C910EE">
        <w:t>collection occasions</w:t>
      </w:r>
      <w:r>
        <w:t>?</w:t>
      </w:r>
      <w:bookmarkEnd w:id="33"/>
    </w:p>
    <w:p w14:paraId="27EFF9CA" w14:textId="52993FF8" w:rsidR="007C416F" w:rsidRPr="002365B4" w:rsidRDefault="009A5378" w:rsidP="009A3490">
      <w:pPr>
        <w:pStyle w:val="Body"/>
      </w:pPr>
      <w:r>
        <w:t>The process to add P</w:t>
      </w:r>
      <w:r w:rsidR="00F81828">
        <w:t xml:space="preserve">hase </w:t>
      </w:r>
      <w:r>
        <w:t>o</w:t>
      </w:r>
      <w:r w:rsidR="00F81828">
        <w:t xml:space="preserve">f </w:t>
      </w:r>
      <w:r>
        <w:t>C</w:t>
      </w:r>
      <w:r w:rsidR="00F81828">
        <w:t>are</w:t>
      </w:r>
      <w:r>
        <w:t xml:space="preserve"> into </w:t>
      </w:r>
      <w:r w:rsidR="00C910EE">
        <w:t xml:space="preserve">outcome measure collection occasion </w:t>
      </w:r>
      <w:r>
        <w:t xml:space="preserve">workflows is underway.  </w:t>
      </w:r>
      <w:r w:rsidR="0054264D">
        <w:t xml:space="preserve">At present, it is in </w:t>
      </w:r>
      <w:r w:rsidR="00F81828" w:rsidRPr="008C1B86">
        <w:t>Client Management Interface</w:t>
      </w:r>
      <w:r w:rsidR="00F81828" w:rsidDel="00DE7AFB">
        <w:rPr>
          <w:lang w:eastAsia="en-AU"/>
        </w:rPr>
        <w:t xml:space="preserve"> </w:t>
      </w:r>
      <w:r w:rsidR="0054264D">
        <w:t>as an additional measure</w:t>
      </w:r>
      <w:r w:rsidR="00C87AB2">
        <w:t xml:space="preserve"> and must be manually created and recorded</w:t>
      </w:r>
      <w:r w:rsidR="000F2BBF">
        <w:t xml:space="preserve">. </w:t>
      </w:r>
    </w:p>
    <w:p w14:paraId="76818E5B" w14:textId="2A1A99BA" w:rsidR="002507D1" w:rsidRDefault="002507D1" w:rsidP="00D46622">
      <w:pPr>
        <w:pStyle w:val="Heading2"/>
        <w:numPr>
          <w:ilvl w:val="0"/>
          <w:numId w:val="51"/>
        </w:numPr>
        <w:ind w:left="709" w:hanging="709"/>
      </w:pPr>
      <w:bookmarkStart w:id="34" w:name="_Toc81210081"/>
      <w:r>
        <w:t>When is Phase of Care collected?</w:t>
      </w:r>
      <w:bookmarkEnd w:id="34"/>
    </w:p>
    <w:p w14:paraId="633F1D29" w14:textId="73BB5240" w:rsidR="002507D1" w:rsidRDefault="00A8556A" w:rsidP="002507D1">
      <w:pPr>
        <w:pStyle w:val="Bodyafterbullets"/>
      </w:pPr>
      <w:r>
        <w:t xml:space="preserve">Phase of care is collected at first assessment, and each time the client’s </w:t>
      </w:r>
      <w:r w:rsidR="00AA4AFC">
        <w:t xml:space="preserve">phase of care changes. </w:t>
      </w:r>
      <w:r w:rsidR="00735727">
        <w:t>Please refer to the outcome measurement PMC for further information on which outcome measures are to be collected when.</w:t>
      </w:r>
      <w:r w:rsidR="00795A72">
        <w:t xml:space="preserve">  Please refer to the Phase of Care PMC for further information.</w:t>
      </w:r>
    </w:p>
    <w:p w14:paraId="0CFA457F" w14:textId="5FC553DB" w:rsidR="002507D1" w:rsidRDefault="002507D1" w:rsidP="00D46622">
      <w:pPr>
        <w:pStyle w:val="Heading2"/>
        <w:numPr>
          <w:ilvl w:val="0"/>
          <w:numId w:val="51"/>
        </w:numPr>
        <w:ind w:left="709" w:hanging="709"/>
      </w:pPr>
      <w:bookmarkStart w:id="35" w:name="_Toc81210082"/>
      <w:r>
        <w:t xml:space="preserve">Will </w:t>
      </w:r>
      <w:r w:rsidR="003F070A">
        <w:t>validations still occur for the Focus of Care?</w:t>
      </w:r>
      <w:bookmarkEnd w:id="35"/>
    </w:p>
    <w:p w14:paraId="12E373A2" w14:textId="2779A7EA" w:rsidR="00A61C50" w:rsidRDefault="00B32A4C" w:rsidP="002507D1">
      <w:pPr>
        <w:pStyle w:val="Bodyafterbullets"/>
      </w:pPr>
      <w:r>
        <w:t>Yes</w:t>
      </w:r>
      <w:r w:rsidR="00D85759">
        <w:t>, in the short term.  The</w:t>
      </w:r>
      <w:r w:rsidR="00D95FE0">
        <w:t xml:space="preserve"> CMI/ODS</w:t>
      </w:r>
      <w:r w:rsidR="00D52425">
        <w:t xml:space="preserve"> application</w:t>
      </w:r>
      <w:r w:rsidR="007C598C">
        <w:t xml:space="preserve"> </w:t>
      </w:r>
      <w:r w:rsidR="003C2DAF">
        <w:t>will still prompt</w:t>
      </w:r>
      <w:r w:rsidR="00D85759">
        <w:t xml:space="preserve"> FoC collection</w:t>
      </w:r>
      <w:r>
        <w:t>, however, the</w:t>
      </w:r>
      <w:r w:rsidR="00D85759">
        <w:t xml:space="preserve"> prompts</w:t>
      </w:r>
      <w:r>
        <w:t xml:space="preserve"> are in the process of being removed.  </w:t>
      </w:r>
      <w:r w:rsidR="003F070A">
        <w:t xml:space="preserve">From 1 July 2021, Focus of Care </w:t>
      </w:r>
      <w:r w:rsidR="00DE6A6A">
        <w:t xml:space="preserve">will remain in the </w:t>
      </w:r>
      <w:r w:rsidR="00DE6A6A" w:rsidRPr="00DE6A6A">
        <w:t xml:space="preserve">Client Management Interface/Operational Data Store </w:t>
      </w:r>
      <w:r w:rsidR="00DE6A6A">
        <w:t xml:space="preserve">but </w:t>
      </w:r>
      <w:r w:rsidR="003F070A">
        <w:t xml:space="preserve">will no longer be </w:t>
      </w:r>
      <w:r w:rsidR="00EF6B02">
        <w:t xml:space="preserve">required to be </w:t>
      </w:r>
      <w:r w:rsidR="00DE6A6A">
        <w:t xml:space="preserve">entered. </w:t>
      </w:r>
    </w:p>
    <w:p w14:paraId="01740CF3" w14:textId="21B01606" w:rsidR="00A61C50" w:rsidRDefault="00A61C50" w:rsidP="002507D1">
      <w:pPr>
        <w:pStyle w:val="Bodyafterbullets"/>
      </w:pPr>
      <w:r>
        <w:t xml:space="preserve">The department will </w:t>
      </w:r>
      <w:r w:rsidRPr="00A61C50">
        <w:t xml:space="preserve">remove it from </w:t>
      </w:r>
      <w:r w:rsidR="00290206">
        <w:t>CMI</w:t>
      </w:r>
      <w:r w:rsidRPr="00A61C50">
        <w:t xml:space="preserve"> prompts</w:t>
      </w:r>
      <w:r>
        <w:t xml:space="preserve">. In the interim, </w:t>
      </w:r>
      <w:r w:rsidRPr="00A61C50">
        <w:t xml:space="preserve">collection occasions that require </w:t>
      </w:r>
      <w:r>
        <w:t>Focus of Care</w:t>
      </w:r>
      <w:r w:rsidRPr="00A61C50">
        <w:t xml:space="preserve">, like discharge from community, will be marked as "incomplete", which </w:t>
      </w:r>
      <w:r w:rsidR="005F1C0B">
        <w:t>s</w:t>
      </w:r>
      <w:r>
        <w:t>ervices will not need to remediate.</w:t>
      </w:r>
    </w:p>
    <w:p w14:paraId="63B1ACAF" w14:textId="0E83824C" w:rsidR="003F070A" w:rsidRDefault="0047624F" w:rsidP="002507D1">
      <w:pPr>
        <w:pStyle w:val="Bodyafterbullets"/>
      </w:pPr>
      <w:r>
        <w:t xml:space="preserve">The department will work with </w:t>
      </w:r>
      <w:r w:rsidR="00F10505">
        <w:t>the Mental Health Application</w:t>
      </w:r>
      <w:r w:rsidR="005130BC">
        <w:t>s</w:t>
      </w:r>
      <w:r w:rsidR="00F10505">
        <w:t xml:space="preserve"> </w:t>
      </w:r>
      <w:r w:rsidR="00AF7FED">
        <w:t>T</w:t>
      </w:r>
      <w:r w:rsidR="00F10505">
        <w:t>eam</w:t>
      </w:r>
      <w:r w:rsidR="00AF7FED">
        <w:t xml:space="preserve"> </w:t>
      </w:r>
      <w:r>
        <w:t xml:space="preserve">to ensure </w:t>
      </w:r>
      <w:r w:rsidR="00F10505">
        <w:t>collection requirements</w:t>
      </w:r>
      <w:r>
        <w:t xml:space="preserve"> associated with the Focus of Care </w:t>
      </w:r>
      <w:r w:rsidR="00385E52">
        <w:t xml:space="preserve">element </w:t>
      </w:r>
      <w:r w:rsidR="00CA78B1">
        <w:t>are</w:t>
      </w:r>
      <w:r w:rsidR="00385E52">
        <w:t xml:space="preserve"> removed</w:t>
      </w:r>
      <w:r w:rsidR="005130BC">
        <w:t xml:space="preserve"> from the system</w:t>
      </w:r>
      <w:r w:rsidR="00385E52">
        <w:t>.</w:t>
      </w:r>
      <w:r w:rsidR="000144FA">
        <w:t xml:space="preserve">  CMI is difficult to change, </w:t>
      </w:r>
      <w:r w:rsidR="00D75474">
        <w:t>so this may take some time.</w:t>
      </w:r>
    </w:p>
    <w:p w14:paraId="421B4737" w14:textId="088D5BC9" w:rsidR="00385E52" w:rsidRDefault="008D2C06" w:rsidP="00D46622">
      <w:pPr>
        <w:pStyle w:val="Heading2"/>
        <w:numPr>
          <w:ilvl w:val="0"/>
          <w:numId w:val="51"/>
        </w:numPr>
        <w:ind w:left="709" w:hanging="709"/>
      </w:pPr>
      <w:bookmarkStart w:id="36" w:name="_Toc81210083"/>
      <w:proofErr w:type="gramStart"/>
      <w:r>
        <w:t>Are</w:t>
      </w:r>
      <w:proofErr w:type="gramEnd"/>
      <w:r>
        <w:t xml:space="preserve"> assessment only cases required to report outcome measures?</w:t>
      </w:r>
      <w:bookmarkEnd w:id="36"/>
    </w:p>
    <w:p w14:paraId="722A773F" w14:textId="0152E0B6" w:rsidR="008D2C06" w:rsidRDefault="008D2C06" w:rsidP="005C0B45">
      <w:pPr>
        <w:pStyle w:val="Body"/>
      </w:pPr>
      <w:r>
        <w:t xml:space="preserve">Assessment only cases are </w:t>
      </w:r>
      <w:r w:rsidR="00A906A7">
        <w:t xml:space="preserve">only required to report Phase of </w:t>
      </w:r>
      <w:proofErr w:type="gramStart"/>
      <w:r w:rsidR="00A906A7">
        <w:t>Care, and</w:t>
      </w:r>
      <w:proofErr w:type="gramEnd"/>
      <w:r w:rsidR="00A906A7">
        <w:t xml:space="preserve"> are </w:t>
      </w:r>
      <w:r>
        <w:t>not required to report</w:t>
      </w:r>
      <w:r w:rsidR="00BD0F94">
        <w:t xml:space="preserve"> the</w:t>
      </w:r>
      <w:r>
        <w:t xml:space="preserve"> </w:t>
      </w:r>
      <w:r w:rsidR="00A906A7">
        <w:t>full suite of</w:t>
      </w:r>
      <w:r w:rsidR="00BD0F94">
        <w:t xml:space="preserve"> </w:t>
      </w:r>
      <w:r>
        <w:t>outcome measures</w:t>
      </w:r>
      <w:r w:rsidR="00BD0F94">
        <w:t>.</w:t>
      </w:r>
    </w:p>
    <w:p w14:paraId="3A4CEB93" w14:textId="3BD18C99" w:rsidR="008D2C06" w:rsidRDefault="00B0757A" w:rsidP="00D46622">
      <w:pPr>
        <w:pStyle w:val="Heading2"/>
        <w:numPr>
          <w:ilvl w:val="0"/>
          <w:numId w:val="51"/>
        </w:numPr>
        <w:ind w:left="709" w:hanging="709"/>
      </w:pPr>
      <w:bookmarkStart w:id="37" w:name="_Toc81210084"/>
      <w:r>
        <w:t>Will the department monitor compliance?</w:t>
      </w:r>
      <w:bookmarkEnd w:id="37"/>
    </w:p>
    <w:p w14:paraId="428C07EC" w14:textId="7BC8841C" w:rsidR="004F20FB" w:rsidRDefault="000F02E7">
      <w:pPr>
        <w:pStyle w:val="Body"/>
      </w:pPr>
      <w:r>
        <w:t xml:space="preserve">Yes. </w:t>
      </w:r>
      <w:r w:rsidR="004F20FB">
        <w:t>The department will support compliance by providing services with the relevant SQL scripts to monitor activity.</w:t>
      </w:r>
      <w:r w:rsidR="00B8647F">
        <w:t xml:space="preserve">  Services should be able to see </w:t>
      </w:r>
      <w:r w:rsidR="00D42D9A">
        <w:t>where</w:t>
      </w:r>
      <w:r w:rsidR="001E0E80">
        <w:t xml:space="preserve">, for example, Phase of Care and </w:t>
      </w:r>
      <w:proofErr w:type="spellStart"/>
      <w:r w:rsidR="001E0E80">
        <w:t>HoNOS</w:t>
      </w:r>
      <w:proofErr w:type="spellEnd"/>
      <w:r w:rsidR="001E0E80">
        <w:t xml:space="preserve"> are being reported and the proportion of </w:t>
      </w:r>
      <w:r w:rsidR="00716A78">
        <w:t>consumers who are having these and other measures completed as expected.</w:t>
      </w:r>
      <w:r w:rsidR="004F20FB">
        <w:t xml:space="preserve"> The department through the </w:t>
      </w:r>
      <w:r w:rsidR="006448ED">
        <w:t>Performance</w:t>
      </w:r>
      <w:r w:rsidR="004F20FB">
        <w:t xml:space="preserve"> and Accountability framework will also report </w:t>
      </w:r>
      <w:r w:rsidR="006448ED">
        <w:t>compliance</w:t>
      </w:r>
      <w:r w:rsidR="008859A5">
        <w:t xml:space="preserve"> with outcome measures</w:t>
      </w:r>
      <w:r w:rsidR="006448ED">
        <w:t>.</w:t>
      </w:r>
    </w:p>
    <w:p w14:paraId="743B5524" w14:textId="77060798" w:rsidR="0070033B" w:rsidRPr="008D4F85" w:rsidRDefault="0070033B" w:rsidP="00D46622">
      <w:pPr>
        <w:pStyle w:val="Heading2"/>
        <w:numPr>
          <w:ilvl w:val="0"/>
          <w:numId w:val="51"/>
        </w:numPr>
        <w:ind w:left="709" w:hanging="709"/>
      </w:pPr>
      <w:bookmarkStart w:id="38" w:name="_Toc81210085"/>
      <w:r w:rsidRPr="008D4F85">
        <w:lastRenderedPageBreak/>
        <w:t>If phase of care changes, do we have to do the other outcome measures?</w:t>
      </w:r>
      <w:bookmarkEnd w:id="38"/>
    </w:p>
    <w:p w14:paraId="233E45C2" w14:textId="14514EB9" w:rsidR="0070033B" w:rsidRPr="00D46622" w:rsidRDefault="0070033B" w:rsidP="00D46622">
      <w:pPr>
        <w:pStyle w:val="Body"/>
      </w:pPr>
      <w:r w:rsidRPr="00D46622">
        <w:t xml:space="preserve">Yes.  If there has been a sustained and significant change in the consumer's </w:t>
      </w:r>
      <w:proofErr w:type="gramStart"/>
      <w:r w:rsidRPr="00D46622">
        <w:t>presentation</w:t>
      </w:r>
      <w:proofErr w:type="gramEnd"/>
      <w:r w:rsidRPr="00D46622">
        <w:t xml:space="preserve"> then the phase of care changes.  This can occur within the same setting, such as when a consumer is being case managed in the community. For example, moving from an acute phase to functional gain phase you would expect to see changes in some </w:t>
      </w:r>
      <w:proofErr w:type="spellStart"/>
      <w:r w:rsidRPr="00D46622">
        <w:t>HoNOS</w:t>
      </w:r>
      <w:proofErr w:type="spellEnd"/>
      <w:r w:rsidRPr="00D46622">
        <w:t xml:space="preserve"> scales, perhaps lower scores on scales 1, 2 and 6. Alternatively, moving from intensive extended phase to acute phase you might expect increasing scores across the board.</w:t>
      </w:r>
    </w:p>
    <w:p w14:paraId="56812061" w14:textId="77777777" w:rsidR="0070033B" w:rsidRDefault="0070033B">
      <w:pPr>
        <w:pStyle w:val="Body"/>
      </w:pPr>
    </w:p>
    <w:p w14:paraId="38D20FCB" w14:textId="56A83784" w:rsidR="0070033B" w:rsidRDefault="0070033B" w:rsidP="00D46622">
      <w:pPr>
        <w:pStyle w:val="Heading2"/>
        <w:numPr>
          <w:ilvl w:val="0"/>
          <w:numId w:val="51"/>
        </w:numPr>
        <w:ind w:left="709" w:hanging="709"/>
      </w:pPr>
      <w:bookmarkStart w:id="39" w:name="_Toc81210086"/>
      <w:r>
        <w:t>When will the CMI training databases be updated to reflect the changes?</w:t>
      </w:r>
      <w:bookmarkEnd w:id="39"/>
    </w:p>
    <w:p w14:paraId="0D56517F" w14:textId="77777777" w:rsidR="0070033B" w:rsidRPr="008D4F85" w:rsidRDefault="0070033B" w:rsidP="0070033B">
      <w:pPr>
        <w:pStyle w:val="Body"/>
      </w:pPr>
      <w:r w:rsidRPr="008D4F85">
        <w:t xml:space="preserve">Updating CMI and updating the 18 CMI training databases is complex.  It was decided to focus on updating CMI as soon as possible to reflect the new PMC requirements, </w:t>
      </w:r>
      <w:proofErr w:type="gramStart"/>
      <w:r w:rsidRPr="008D4F85">
        <w:t>in particular to</w:t>
      </w:r>
      <w:proofErr w:type="gramEnd"/>
      <w:r w:rsidRPr="008D4F85">
        <w:t xml:space="preserve"> support Phase of Care as part of the auto-prompted outcome measures.</w:t>
      </w:r>
    </w:p>
    <w:p w14:paraId="43812B16" w14:textId="77777777" w:rsidR="0070033B" w:rsidRPr="008D4F85" w:rsidRDefault="0070033B" w:rsidP="0070033B">
      <w:pPr>
        <w:pStyle w:val="Body"/>
      </w:pPr>
      <w:r w:rsidRPr="008D4F85">
        <w:t>The eighteen CMI training databases will be updated subsequently to reflect current requirements.</w:t>
      </w:r>
      <w:r>
        <w:t xml:space="preserve">  Ideally updating the training databases would have occurred </w:t>
      </w:r>
      <w:proofErr w:type="gramStart"/>
      <w:r>
        <w:t>sooner,</w:t>
      </w:r>
      <w:proofErr w:type="gramEnd"/>
      <w:r>
        <w:t xml:space="preserve"> however this has not been possible.</w:t>
      </w:r>
    </w:p>
    <w:p w14:paraId="3DBBED90" w14:textId="77777777" w:rsidR="0070033B" w:rsidRDefault="0070033B">
      <w:pPr>
        <w:pStyle w:val="Body"/>
      </w:pPr>
    </w:p>
    <w:p w14:paraId="6935F31F" w14:textId="6D217056" w:rsidR="001D7176" w:rsidRDefault="001D7176" w:rsidP="008C6F4A">
      <w:pPr>
        <w:pStyle w:val="Body"/>
        <w:rPr>
          <w:rFonts w:eastAsia="MS Gothic" w:cs="Arial"/>
          <w:bCs/>
          <w:color w:val="201547"/>
          <w:kern w:val="32"/>
          <w:sz w:val="40"/>
          <w:szCs w:val="40"/>
        </w:rPr>
      </w:pPr>
    </w:p>
    <w:p w14:paraId="6515F1BF" w14:textId="77777777" w:rsidR="00D46622" w:rsidRDefault="00D46622">
      <w:pPr>
        <w:spacing w:after="0" w:line="240" w:lineRule="auto"/>
        <w:rPr>
          <w:rFonts w:eastAsia="MS Gothic" w:cs="Arial"/>
          <w:bCs/>
          <w:color w:val="201547"/>
          <w:kern w:val="32"/>
          <w:sz w:val="40"/>
          <w:szCs w:val="40"/>
        </w:rPr>
      </w:pPr>
      <w:r>
        <w:br w:type="page"/>
      </w:r>
    </w:p>
    <w:p w14:paraId="62A725F3" w14:textId="2F54D902" w:rsidR="00EE284A" w:rsidRDefault="00091A9F" w:rsidP="00EE284A">
      <w:pPr>
        <w:pStyle w:val="Heading1"/>
      </w:pPr>
      <w:bookmarkStart w:id="40" w:name="_Toc81210087"/>
      <w:r>
        <w:lastRenderedPageBreak/>
        <w:t>What are o</w:t>
      </w:r>
      <w:r w:rsidR="00EE284A">
        <w:t>utcome measures</w:t>
      </w:r>
      <w:r>
        <w:t>?</w:t>
      </w:r>
      <w:bookmarkEnd w:id="40"/>
    </w:p>
    <w:p w14:paraId="7C6AAF0A" w14:textId="3DFA8857" w:rsidR="005F16CF" w:rsidRDefault="00336101" w:rsidP="002365B4">
      <w:pPr>
        <w:pStyle w:val="Body"/>
      </w:pPr>
      <w:r>
        <w:t xml:space="preserve">The National Outcomes and </w:t>
      </w:r>
      <w:proofErr w:type="spellStart"/>
      <w:r>
        <w:t>Casemix</w:t>
      </w:r>
      <w:proofErr w:type="spellEnd"/>
      <w:r>
        <w:t xml:space="preserve"> Collectio</w:t>
      </w:r>
      <w:r w:rsidR="00F17611">
        <w:t>n (NOCC) is the national specification of a set of standardised measures of consumer symptoms and functioning</w:t>
      </w:r>
      <w:r w:rsidR="0044048B">
        <w:t>,</w:t>
      </w:r>
      <w:r w:rsidR="00F17611">
        <w:t xml:space="preserve"> and a protocol for their collection at key points of care within public specialised clinical mental health services.  The NOCC supports clinical care, dialogue and assessment of progress for individual consumers, carers and clinicians.  </w:t>
      </w:r>
      <w:r w:rsidR="0044048B">
        <w:t>The purpose of the NOCC is</w:t>
      </w:r>
      <w:r w:rsidR="00F17611">
        <w:t xml:space="preserve"> also</w:t>
      </w:r>
      <w:r w:rsidR="0044048B">
        <w:t xml:space="preserve"> to</w:t>
      </w:r>
      <w:r w:rsidR="00F17611">
        <w:t xml:space="preserve"> support service managers and leaders to implement reflective care, effective management and the identification and exploration of variations in clinical</w:t>
      </w:r>
      <w:r w:rsidR="0044048B">
        <w:t xml:space="preserve"> practice or outcomes.</w:t>
      </w:r>
    </w:p>
    <w:p w14:paraId="23FFA4A8" w14:textId="1CB233C2" w:rsidR="00F17611" w:rsidRDefault="00F17611" w:rsidP="00D46622">
      <w:pPr>
        <w:pStyle w:val="Heading2"/>
        <w:numPr>
          <w:ilvl w:val="0"/>
          <w:numId w:val="51"/>
        </w:numPr>
        <w:ind w:left="709" w:hanging="709"/>
      </w:pPr>
      <w:bookmarkStart w:id="41" w:name="_Toc81210088"/>
      <w:r>
        <w:t xml:space="preserve">What ages can </w:t>
      </w:r>
      <w:proofErr w:type="spellStart"/>
      <w:r>
        <w:t>HoNOSCA</w:t>
      </w:r>
      <w:proofErr w:type="spellEnd"/>
      <w:r>
        <w:t xml:space="preserve"> be reported for in relation to young people?</w:t>
      </w:r>
      <w:bookmarkEnd w:id="41"/>
    </w:p>
    <w:p w14:paraId="249C14B7" w14:textId="4D7D73F7" w:rsidR="00F4380A" w:rsidRDefault="00F17611" w:rsidP="002365B4">
      <w:pPr>
        <w:pStyle w:val="Body"/>
      </w:pPr>
      <w:r>
        <w:t xml:space="preserve">Some services </w:t>
      </w:r>
      <w:r w:rsidR="0044048B">
        <w:t xml:space="preserve">that </w:t>
      </w:r>
      <w:r>
        <w:t>may begin work with a young person when the</w:t>
      </w:r>
      <w:r w:rsidR="0044048B">
        <w:t xml:space="preserve"> consumer is</w:t>
      </w:r>
      <w:r>
        <w:t xml:space="preserve"> aged under </w:t>
      </w:r>
      <w:proofErr w:type="gramStart"/>
      <w:r>
        <w:t>18, and</w:t>
      </w:r>
      <w:proofErr w:type="gramEnd"/>
      <w:r>
        <w:t xml:space="preserve"> continue work with the young person after they turn 18, prefer to continue to use </w:t>
      </w:r>
      <w:proofErr w:type="spellStart"/>
      <w:r>
        <w:t>HoNOSCA</w:t>
      </w:r>
      <w:proofErr w:type="spellEnd"/>
      <w:r>
        <w:t xml:space="preserve"> and SDQ</w:t>
      </w:r>
      <w:r w:rsidR="0044048B">
        <w:t xml:space="preserve"> rather than switch to the adult suite of measures</w:t>
      </w:r>
      <w:r>
        <w:t xml:space="preserve">. </w:t>
      </w:r>
      <w:r w:rsidR="0044048B">
        <w:t>The department is currently consulting with stakeholders including AMHOCN, departmental staff (</w:t>
      </w:r>
      <w:r w:rsidR="005E68A9">
        <w:t>V</w:t>
      </w:r>
      <w:r w:rsidR="00B53A50">
        <w:t>ictorian Agency for Health Information</w:t>
      </w:r>
      <w:r w:rsidR="005E68A9">
        <w:t xml:space="preserve">, </w:t>
      </w:r>
      <w:r w:rsidR="00B53A50">
        <w:t>Health Services Data</w:t>
      </w:r>
      <w:r w:rsidR="0044048B">
        <w:t xml:space="preserve">), and the Independent Hospital Pricing Authority to understand the reporting requirements/system restrictions. NOCC is </w:t>
      </w:r>
      <w:proofErr w:type="gramStart"/>
      <w:r w:rsidR="0044048B">
        <w:t>by definition a</w:t>
      </w:r>
      <w:proofErr w:type="gramEnd"/>
      <w:r w:rsidR="0044048B">
        <w:t xml:space="preserve"> national collection, and there are </w:t>
      </w:r>
      <w:r w:rsidR="00F4380A">
        <w:t xml:space="preserve">business rules that need to be adhered to. </w:t>
      </w:r>
    </w:p>
    <w:p w14:paraId="5455182A" w14:textId="77777777" w:rsidR="00F4380A" w:rsidRDefault="0044048B" w:rsidP="002365B4">
      <w:pPr>
        <w:pStyle w:val="Body"/>
      </w:pPr>
      <w:r>
        <w:t>However, the Royal Commission has recommended Youth Area Mental Health Services are available for young people aged 12 to 25 (until a person’s 26</w:t>
      </w:r>
      <w:r w:rsidRPr="33F179C4">
        <w:rPr>
          <w:vertAlign w:val="superscript"/>
        </w:rPr>
        <w:t>th</w:t>
      </w:r>
      <w:r>
        <w:t xml:space="preserve"> birthday) with age boundaries and transitions to be applied flexibly by services in partnership with young people and their families, carers and supporters.</w:t>
      </w:r>
      <w:r w:rsidR="00C03CED">
        <w:t xml:space="preserve">  A more definitive response will be provided when it is possible to do so.</w:t>
      </w:r>
      <w:r w:rsidR="135CE050">
        <w:t xml:space="preserve"> </w:t>
      </w:r>
    </w:p>
    <w:p w14:paraId="1EBA9422" w14:textId="1C5BCBB2" w:rsidR="00F17611" w:rsidRDefault="00E909C6" w:rsidP="002365B4">
      <w:pPr>
        <w:pStyle w:val="Body"/>
      </w:pPr>
      <w:r>
        <w:t xml:space="preserve">Existing local AMHS </w:t>
      </w:r>
      <w:r w:rsidR="000645CF">
        <w:t xml:space="preserve">practice for reporting </w:t>
      </w:r>
      <w:proofErr w:type="spellStart"/>
      <w:r w:rsidR="0020577B">
        <w:t>HoNOS</w:t>
      </w:r>
      <w:proofErr w:type="spellEnd"/>
      <w:r w:rsidR="0020577B">
        <w:t xml:space="preserve"> or</w:t>
      </w:r>
      <w:r w:rsidR="000645CF">
        <w:t xml:space="preserve"> </w:t>
      </w:r>
      <w:proofErr w:type="spellStart"/>
      <w:r w:rsidR="000645CF">
        <w:t>HoNOSCA</w:t>
      </w:r>
      <w:proofErr w:type="spellEnd"/>
      <w:r w:rsidR="000645CF">
        <w:t xml:space="preserve"> should continue until further</w:t>
      </w:r>
      <w:r w:rsidR="00D16B93">
        <w:t xml:space="preserve"> direction is provided</w:t>
      </w:r>
      <w:r w:rsidR="00F4380A">
        <w:t xml:space="preserve"> by the department</w:t>
      </w:r>
      <w:r w:rsidR="00D16B93">
        <w:t>.</w:t>
      </w:r>
    </w:p>
    <w:p w14:paraId="1E93A096" w14:textId="405F9E9E" w:rsidR="0006121F" w:rsidRDefault="0006121F" w:rsidP="00D46622">
      <w:pPr>
        <w:pStyle w:val="Heading2"/>
        <w:numPr>
          <w:ilvl w:val="0"/>
          <w:numId w:val="51"/>
        </w:numPr>
        <w:ind w:left="709" w:hanging="709"/>
      </w:pPr>
      <w:bookmarkStart w:id="42" w:name="_Toc81210089"/>
      <w:r w:rsidRPr="00E14603">
        <w:t xml:space="preserve">Once the protected industrial action is resolved, will I need </w:t>
      </w:r>
      <w:r w:rsidR="00D85759">
        <w:t xml:space="preserve">to </w:t>
      </w:r>
      <w:r w:rsidRPr="00E14603">
        <w:t xml:space="preserve">retrospectively apply outcome measurements? E.g. </w:t>
      </w:r>
      <w:proofErr w:type="gramStart"/>
      <w:r w:rsidRPr="00E14603">
        <w:t>91</w:t>
      </w:r>
      <w:r w:rsidR="00DA114B">
        <w:t xml:space="preserve"> </w:t>
      </w:r>
      <w:r w:rsidRPr="00E14603">
        <w:t>day</w:t>
      </w:r>
      <w:proofErr w:type="gramEnd"/>
      <w:r w:rsidRPr="00E14603">
        <w:t xml:space="preserve"> review</w:t>
      </w:r>
      <w:r w:rsidR="00D46622">
        <w:t>?</w:t>
      </w:r>
      <w:bookmarkEnd w:id="42"/>
    </w:p>
    <w:p w14:paraId="24633811" w14:textId="349CAAFB" w:rsidR="00123165" w:rsidRDefault="0006121F" w:rsidP="004C2ECE">
      <w:pPr>
        <w:pStyle w:val="Body"/>
      </w:pPr>
      <w:r>
        <w:t xml:space="preserve">No. Services are not expected to retrospectively </w:t>
      </w:r>
      <w:r w:rsidR="00310596">
        <w:t xml:space="preserve">determine and </w:t>
      </w:r>
      <w:r>
        <w:t xml:space="preserve">apply outcome measurement to cases where </w:t>
      </w:r>
      <w:r w:rsidR="004C2ECE">
        <w:t xml:space="preserve">the </w:t>
      </w:r>
      <w:proofErr w:type="gramStart"/>
      <w:r w:rsidR="004C2ECE">
        <w:t>91 day</w:t>
      </w:r>
      <w:proofErr w:type="gramEnd"/>
      <w:r w:rsidR="004C2ECE">
        <w:t xml:space="preserve"> review occurred during the protected industrial action period. Following cessation of the protected industrial action, services are required to ensure the relevant outcome collection occurs. </w:t>
      </w:r>
      <w:r w:rsidR="00FA1370">
        <w:t>Guidance will be provided by the mental health applications team on how to recommence recording of outcome measurements within CMI/ODS.</w:t>
      </w:r>
    </w:p>
    <w:p w14:paraId="209D6206" w14:textId="4A3F608C" w:rsidR="00123165" w:rsidRPr="00E14603" w:rsidRDefault="00123165" w:rsidP="00D46622">
      <w:pPr>
        <w:pStyle w:val="Heading2"/>
        <w:numPr>
          <w:ilvl w:val="0"/>
          <w:numId w:val="51"/>
        </w:numPr>
        <w:ind w:left="709" w:hanging="709"/>
      </w:pPr>
      <w:bookmarkStart w:id="43" w:name="_Toc81210090"/>
      <w:r w:rsidRPr="00E14603">
        <w:t>Is there an alternative to BASIS-32?</w:t>
      </w:r>
      <w:bookmarkEnd w:id="43"/>
    </w:p>
    <w:p w14:paraId="22D8C53F" w14:textId="70D34B04" w:rsidR="00484637" w:rsidRDefault="00484637" w:rsidP="004C2ECE">
      <w:pPr>
        <w:pStyle w:val="Body"/>
      </w:pPr>
      <w:r>
        <w:t>No</w:t>
      </w:r>
      <w:r w:rsidR="00121F43">
        <w:t xml:space="preserve">.  Victoria chose to use BASIS-32 as the adult consumer-rated measure some years </w:t>
      </w:r>
      <w:proofErr w:type="gramStart"/>
      <w:r w:rsidR="00121F43">
        <w:t>ago, and</w:t>
      </w:r>
      <w:proofErr w:type="gramEnd"/>
      <w:r w:rsidR="00121F43">
        <w:t xml:space="preserve"> pays a fee for the instrument</w:t>
      </w:r>
      <w:r w:rsidR="00A66F13">
        <w:t xml:space="preserve"> each year</w:t>
      </w:r>
      <w:r w:rsidR="00121F43">
        <w:t xml:space="preserve">.  BASIS is </w:t>
      </w:r>
      <w:r w:rsidR="008461BD">
        <w:t>a required measure</w:t>
      </w:r>
      <w:r w:rsidR="002C7565">
        <w:t xml:space="preserve"> under the NOCC</w:t>
      </w:r>
      <w:r w:rsidR="00B914AC">
        <w:t xml:space="preserve"> and </w:t>
      </w:r>
      <w:r w:rsidR="008F3712">
        <w:t xml:space="preserve">supported by </w:t>
      </w:r>
      <w:r w:rsidR="00597E33">
        <w:t>health ministers.</w:t>
      </w:r>
      <w:r w:rsidR="003D7583">
        <w:t xml:space="preserve">  </w:t>
      </w:r>
      <w:r w:rsidR="00BE4D4A">
        <w:t xml:space="preserve">In the future, Victoria may </w:t>
      </w:r>
      <w:r w:rsidR="00C56348">
        <w:t xml:space="preserve">choose or develop a new consumer-rated </w:t>
      </w:r>
      <w:proofErr w:type="gramStart"/>
      <w:r w:rsidR="00C56348">
        <w:t>measure</w:t>
      </w:r>
      <w:proofErr w:type="gramEnd"/>
      <w:r w:rsidR="00C56348">
        <w:t xml:space="preserve"> but this will take some time.</w:t>
      </w:r>
    </w:p>
    <w:p w14:paraId="74F1C672" w14:textId="5570F649" w:rsidR="0070033B" w:rsidRDefault="0070033B" w:rsidP="00D46622">
      <w:pPr>
        <w:pStyle w:val="Heading2"/>
        <w:numPr>
          <w:ilvl w:val="0"/>
          <w:numId w:val="51"/>
        </w:numPr>
        <w:ind w:left="709" w:hanging="709"/>
      </w:pPr>
      <w:bookmarkStart w:id="44" w:name="_Toc81210091"/>
      <w:bookmarkStart w:id="45" w:name="_Hlk78987284"/>
      <w:r>
        <w:t xml:space="preserve">Are </w:t>
      </w:r>
      <w:r w:rsidR="00C34E48">
        <w:t xml:space="preserve">specialist </w:t>
      </w:r>
      <w:r>
        <w:t xml:space="preserve">services required to </w:t>
      </w:r>
      <w:r w:rsidR="00C34E48">
        <w:t xml:space="preserve">open episodes and </w:t>
      </w:r>
      <w:r>
        <w:t>report outcome measures?</w:t>
      </w:r>
      <w:bookmarkEnd w:id="44"/>
    </w:p>
    <w:p w14:paraId="2267A322" w14:textId="4B1CBFCE" w:rsidR="0070033B" w:rsidRPr="00ED02B3" w:rsidRDefault="0070033B" w:rsidP="0070033B">
      <w:pPr>
        <w:rPr>
          <w:rFonts w:cs="Arial"/>
          <w:szCs w:val="21"/>
        </w:rPr>
      </w:pPr>
      <w:r w:rsidRPr="00ED02B3">
        <w:rPr>
          <w:rFonts w:cs="Arial"/>
          <w:szCs w:val="21"/>
        </w:rPr>
        <w:t>All community MH teams that provide a face</w:t>
      </w:r>
      <w:r>
        <w:rPr>
          <w:rFonts w:cs="Arial"/>
          <w:szCs w:val="21"/>
        </w:rPr>
        <w:t>-</w:t>
      </w:r>
      <w:r w:rsidRPr="00ED02B3">
        <w:rPr>
          <w:rFonts w:cs="Arial"/>
          <w:szCs w:val="21"/>
        </w:rPr>
        <w:t>to</w:t>
      </w:r>
      <w:r>
        <w:rPr>
          <w:rFonts w:cs="Arial"/>
          <w:szCs w:val="21"/>
        </w:rPr>
        <w:t>-</w:t>
      </w:r>
      <w:r w:rsidRPr="00ED02B3">
        <w:rPr>
          <w:rFonts w:cs="Arial"/>
          <w:szCs w:val="21"/>
        </w:rPr>
        <w:t xml:space="preserve">face assessment service are in scope </w:t>
      </w:r>
      <w:r>
        <w:rPr>
          <w:rFonts w:cs="Arial"/>
          <w:szCs w:val="21"/>
        </w:rPr>
        <w:t xml:space="preserve">for </w:t>
      </w:r>
      <w:r w:rsidRPr="00ED02B3">
        <w:rPr>
          <w:rFonts w:cs="Arial"/>
          <w:szCs w:val="21"/>
        </w:rPr>
        <w:t xml:space="preserve">CMI/ODS registration, episode creation, and outcome measurement reporting as outlined in the recently published </w:t>
      </w:r>
      <w:r w:rsidRPr="00ED02B3">
        <w:rPr>
          <w:rFonts w:cs="Arial"/>
          <w:szCs w:val="21"/>
        </w:rPr>
        <w:lastRenderedPageBreak/>
        <w:t xml:space="preserve">PMCs. For </w:t>
      </w:r>
      <w:r w:rsidR="00C34E48">
        <w:rPr>
          <w:rFonts w:cs="Arial"/>
          <w:szCs w:val="21"/>
        </w:rPr>
        <w:t xml:space="preserve">specialist </w:t>
      </w:r>
      <w:r w:rsidR="00C34E48" w:rsidRPr="00ED02B3">
        <w:rPr>
          <w:rFonts w:cs="Arial"/>
          <w:szCs w:val="21"/>
        </w:rPr>
        <w:t>services</w:t>
      </w:r>
      <w:r w:rsidRPr="00ED02B3">
        <w:rPr>
          <w:rFonts w:cs="Arial"/>
          <w:szCs w:val="21"/>
        </w:rPr>
        <w:t xml:space="preserve"> </w:t>
      </w:r>
      <w:r w:rsidR="00DB6D21">
        <w:rPr>
          <w:rFonts w:cs="Arial"/>
          <w:szCs w:val="21"/>
        </w:rPr>
        <w:t>that undertake a secondary consult</w:t>
      </w:r>
      <w:r w:rsidR="008D412A">
        <w:rPr>
          <w:rFonts w:cs="Arial"/>
          <w:szCs w:val="21"/>
        </w:rPr>
        <w:t>,</w:t>
      </w:r>
      <w:r w:rsidR="00DB6D21">
        <w:rPr>
          <w:rFonts w:cs="Arial"/>
          <w:szCs w:val="21"/>
        </w:rPr>
        <w:t xml:space="preserve"> </w:t>
      </w:r>
      <w:r w:rsidRPr="00ED02B3">
        <w:rPr>
          <w:rFonts w:cs="Arial"/>
          <w:szCs w:val="21"/>
        </w:rPr>
        <w:t xml:space="preserve">to determine if outcome measurements are required for a specific consumer, they must consider if the consumer is in an open case at their campus and engaged with another community MH treating team that is primarily treating the consumer </w:t>
      </w:r>
      <w:r w:rsidR="00C34E48" w:rsidRPr="00ED02B3">
        <w:rPr>
          <w:rFonts w:cs="Arial"/>
          <w:szCs w:val="21"/>
        </w:rPr>
        <w:t>and completing</w:t>
      </w:r>
      <w:r w:rsidRPr="00ED02B3">
        <w:rPr>
          <w:rFonts w:cs="Arial"/>
          <w:szCs w:val="21"/>
        </w:rPr>
        <w:t xml:space="preserve"> community MH outcome measures. In this case, the </w:t>
      </w:r>
      <w:r w:rsidR="00C34E48">
        <w:rPr>
          <w:rFonts w:cs="Arial"/>
          <w:szCs w:val="21"/>
        </w:rPr>
        <w:t>specialist</w:t>
      </w:r>
      <w:r w:rsidRPr="00ED02B3">
        <w:rPr>
          <w:rFonts w:cs="Arial"/>
          <w:szCs w:val="21"/>
        </w:rPr>
        <w:t xml:space="preserve"> service only needs to complete </w:t>
      </w:r>
      <w:r w:rsidR="00C34E48">
        <w:rPr>
          <w:rFonts w:cs="Arial"/>
          <w:szCs w:val="21"/>
        </w:rPr>
        <w:t xml:space="preserve">concurrent </w:t>
      </w:r>
      <w:r w:rsidRPr="00ED02B3">
        <w:rPr>
          <w:rFonts w:cs="Arial"/>
          <w:szCs w:val="21"/>
        </w:rPr>
        <w:t xml:space="preserve">episode creation and confirm registration details are </w:t>
      </w:r>
      <w:proofErr w:type="gramStart"/>
      <w:r w:rsidRPr="00ED02B3">
        <w:rPr>
          <w:rFonts w:cs="Arial"/>
          <w:szCs w:val="21"/>
        </w:rPr>
        <w:t>current, and</w:t>
      </w:r>
      <w:proofErr w:type="gramEnd"/>
      <w:r w:rsidRPr="00ED02B3">
        <w:rPr>
          <w:rFonts w:cs="Arial"/>
          <w:szCs w:val="21"/>
        </w:rPr>
        <w:t xml:space="preserve"> play a supporting role in helping determine appropriate OM rating for the case management team. In all other situations, </w:t>
      </w:r>
      <w:r w:rsidR="00C34E48">
        <w:rPr>
          <w:rFonts w:cs="Arial"/>
          <w:szCs w:val="21"/>
        </w:rPr>
        <w:t xml:space="preserve">specialist </w:t>
      </w:r>
      <w:r w:rsidR="00C34E48" w:rsidRPr="00ED02B3">
        <w:rPr>
          <w:rFonts w:cs="Arial"/>
          <w:szCs w:val="21"/>
        </w:rPr>
        <w:t>services</w:t>
      </w:r>
      <w:r w:rsidRPr="00ED02B3">
        <w:rPr>
          <w:rFonts w:cs="Arial"/>
          <w:szCs w:val="21"/>
        </w:rPr>
        <w:t xml:space="preserve"> are required to complete full registration, episode creation, and outcome measurement reporting.</w:t>
      </w:r>
      <w:r w:rsidR="00C34E48">
        <w:rPr>
          <w:rFonts w:cs="Arial"/>
          <w:szCs w:val="21"/>
        </w:rPr>
        <w:t xml:space="preserve"> When the specialist service is involved with a subcentre in the role of capacity building</w:t>
      </w:r>
      <w:r w:rsidR="00D85759">
        <w:rPr>
          <w:rFonts w:cs="Arial"/>
          <w:szCs w:val="21"/>
        </w:rPr>
        <w:t>,</w:t>
      </w:r>
      <w:r w:rsidR="00C34E48">
        <w:rPr>
          <w:rFonts w:cs="Arial"/>
          <w:szCs w:val="21"/>
        </w:rPr>
        <w:t xml:space="preserve"> no registration or episode creation is required.</w:t>
      </w:r>
    </w:p>
    <w:p w14:paraId="5ABE93FB" w14:textId="178D1F3D" w:rsidR="00BC73BF" w:rsidRDefault="00F658BA" w:rsidP="00D46622">
      <w:pPr>
        <w:pStyle w:val="Heading2"/>
        <w:numPr>
          <w:ilvl w:val="0"/>
          <w:numId w:val="51"/>
        </w:numPr>
        <w:ind w:left="709" w:hanging="709"/>
      </w:pPr>
      <w:bookmarkStart w:id="46" w:name="_Toc81210092"/>
      <w:bookmarkEnd w:id="45"/>
      <w:r>
        <w:t>If a person has a brief ambulatory episode, do outcome measures need to be recorded at discharge</w:t>
      </w:r>
      <w:r w:rsidR="00986668">
        <w:t xml:space="preserve"> from the service</w:t>
      </w:r>
      <w:r>
        <w:t>?</w:t>
      </w:r>
      <w:bookmarkEnd w:id="46"/>
    </w:p>
    <w:p w14:paraId="0006A15A" w14:textId="77777777" w:rsidR="00301585" w:rsidRDefault="00301585" w:rsidP="00305B87">
      <w:pPr>
        <w:pStyle w:val="Body"/>
      </w:pPr>
      <w:r>
        <w:t>Under the NOCC protocol, there are limited exceptions in relation to discharge ratings not being required and one is due to episode brevity.</w:t>
      </w:r>
    </w:p>
    <w:p w14:paraId="5F5DE771" w14:textId="0D63821A" w:rsidR="00301585" w:rsidRDefault="00301585" w:rsidP="00305B87">
      <w:pPr>
        <w:pStyle w:val="Body"/>
      </w:pPr>
      <w:r>
        <w:t>On discharge from ambulatory care, where the episode was brief (14 days or less in duration) discharge ratings for clinician and consumer</w:t>
      </w:r>
      <w:r w:rsidR="00D01CCB">
        <w:t>-</w:t>
      </w:r>
      <w:r>
        <w:t>rated measures are not required.  The 14 days means the number of days from admission to and discharge from the NOCC ambulatory episode.  Mental health legal status and principal and additional diagnoses still need to be captured.</w:t>
      </w:r>
      <w:r w:rsidR="007A6C03">
        <w:t xml:space="preserve"> Please note that if the person is transferred to an inpatient </w:t>
      </w:r>
      <w:proofErr w:type="gramStart"/>
      <w:r w:rsidR="007A6C03">
        <w:t>service</w:t>
      </w:r>
      <w:proofErr w:type="gramEnd"/>
      <w:r w:rsidR="007A6C03">
        <w:t xml:space="preserve"> then discharge OM are required.</w:t>
      </w:r>
    </w:p>
    <w:p w14:paraId="3AF33121" w14:textId="07B23597" w:rsidR="0070033B" w:rsidRDefault="0070033B" w:rsidP="00D46622">
      <w:pPr>
        <w:pStyle w:val="Heading2"/>
        <w:numPr>
          <w:ilvl w:val="0"/>
          <w:numId w:val="51"/>
        </w:numPr>
        <w:ind w:left="709" w:hanging="709"/>
      </w:pPr>
      <w:bookmarkStart w:id="47" w:name="_Toc81210093"/>
      <w:r>
        <w:t>Once the industrial bans are lifted, how do services go about recommencing the reporting of outcome measures for consumers?</w:t>
      </w:r>
      <w:bookmarkEnd w:id="47"/>
    </w:p>
    <w:p w14:paraId="2EDB4412" w14:textId="2BE57504" w:rsidR="0070033B" w:rsidRPr="0070033B" w:rsidRDefault="0070033B">
      <w:pPr>
        <w:pStyle w:val="Body"/>
      </w:pPr>
      <w:r w:rsidRPr="00ED02B3">
        <w:t>Within 30 days of industrial bans being lifted, mental health services must put processes in place to ensure that all consumers missing outcome measures due to the bans, have a discretionary review completed by the clinicians, and reported into CMI/ODS as a discretionary review. This will retrigger the outcome measurement cycle in CMI/ODS and enable services to realign with outcome measurement reporting requirements</w:t>
      </w:r>
      <w:r>
        <w:t>.</w:t>
      </w:r>
    </w:p>
    <w:p w14:paraId="4598F442" w14:textId="24075819" w:rsidR="0070033B" w:rsidRDefault="0070033B" w:rsidP="00D46622">
      <w:pPr>
        <w:pStyle w:val="Heading2"/>
        <w:numPr>
          <w:ilvl w:val="0"/>
          <w:numId w:val="51"/>
        </w:numPr>
        <w:ind w:left="709" w:hanging="709"/>
      </w:pPr>
      <w:bookmarkStart w:id="48" w:name="_Toc81210094"/>
      <w:r>
        <w:t>If we have a community team that crosses multiple age groups, are we required to split the subcentres according to age groups to generate the appropriate Outcome measures?</w:t>
      </w:r>
      <w:bookmarkEnd w:id="48"/>
    </w:p>
    <w:p w14:paraId="17DF6C02" w14:textId="15D9B933" w:rsidR="0070033B" w:rsidRDefault="00547574" w:rsidP="00ED02B3">
      <w:pPr>
        <w:pStyle w:val="Body"/>
      </w:pPr>
      <w:r>
        <w:t xml:space="preserve">If currently subcentres are not split across age groups, change is not mandatory </w:t>
      </w:r>
      <w:proofErr w:type="gramStart"/>
      <w:r>
        <w:t>at this time</w:t>
      </w:r>
      <w:proofErr w:type="gramEnd"/>
      <w:r>
        <w:t xml:space="preserve">, while Royal Commission recommendations about age groups are still being worked through.  </w:t>
      </w:r>
      <w:r w:rsidR="003040F2">
        <w:t>Ideally y</w:t>
      </w:r>
      <w:r w:rsidR="0070033B">
        <w:t xml:space="preserve">es, subcentres </w:t>
      </w:r>
      <w:r w:rsidR="00AF778A">
        <w:t>should</w:t>
      </w:r>
      <w:r w:rsidR="0070033B">
        <w:t xml:space="preserve"> be split across the CAMHS/Adult/Older Persons age groups to generate the appropriate outcome measures, and to attribute the activity against the appropriate performance measures within the Performance and Accountability Framework (PAF).</w:t>
      </w:r>
      <w:r w:rsidR="00AF778A">
        <w:t xml:space="preserve"> </w:t>
      </w:r>
    </w:p>
    <w:p w14:paraId="24C6E81B" w14:textId="3BA60812" w:rsidR="0070033B" w:rsidRDefault="0070033B" w:rsidP="00D46622">
      <w:pPr>
        <w:pStyle w:val="Heading2"/>
        <w:numPr>
          <w:ilvl w:val="0"/>
          <w:numId w:val="51"/>
        </w:numPr>
        <w:ind w:left="709" w:hanging="709"/>
      </w:pPr>
      <w:r>
        <w:t xml:space="preserve"> </w:t>
      </w:r>
      <w:bookmarkStart w:id="49" w:name="_Toc81210095"/>
      <w:r>
        <w:t xml:space="preserve">Do </w:t>
      </w:r>
      <w:r w:rsidR="00846DB2">
        <w:t xml:space="preserve">AOD services under the governance of Mental Health Programs, such as </w:t>
      </w:r>
      <w:r>
        <w:t>dual diagnosis AOD residential services</w:t>
      </w:r>
      <w:r w:rsidR="00846DB2">
        <w:t>,</w:t>
      </w:r>
      <w:r>
        <w:t xml:space="preserve"> need to report outcome measures to CMI/ODS if they report outcome measures within VADC submissions?</w:t>
      </w:r>
      <w:bookmarkEnd w:id="49"/>
    </w:p>
    <w:p w14:paraId="7DC30854" w14:textId="7C236A21" w:rsidR="0070033B" w:rsidRDefault="0070033B" w:rsidP="00ED02B3">
      <w:pPr>
        <w:pStyle w:val="Body"/>
      </w:pPr>
      <w:r>
        <w:t>No, dual diagnosis residential services</w:t>
      </w:r>
      <w:r w:rsidR="00846DB2">
        <w:t>, and other AOD programs</w:t>
      </w:r>
      <w:r>
        <w:t xml:space="preserve"> can continue to report the VADC suite of outcome </w:t>
      </w:r>
      <w:proofErr w:type="gramStart"/>
      <w:r>
        <w:t>measures, and</w:t>
      </w:r>
      <w:proofErr w:type="gramEnd"/>
      <w:r>
        <w:t xml:space="preserve"> are out of scope for CMI/ODS adult residential service outcome measures.</w:t>
      </w:r>
    </w:p>
    <w:p w14:paraId="183D1C04" w14:textId="25787601" w:rsidR="00265292" w:rsidRDefault="007B23FC" w:rsidP="00D46622">
      <w:pPr>
        <w:pStyle w:val="Heading2"/>
        <w:numPr>
          <w:ilvl w:val="0"/>
          <w:numId w:val="51"/>
        </w:numPr>
        <w:ind w:left="709" w:hanging="709"/>
        <w:rPr>
          <w:rFonts w:eastAsia="MS Gothic"/>
        </w:rPr>
      </w:pPr>
      <w:bookmarkStart w:id="50" w:name="_Toc81210096"/>
      <w:r>
        <w:rPr>
          <w:rFonts w:eastAsia="MS Gothic"/>
        </w:rPr>
        <w:lastRenderedPageBreak/>
        <w:t xml:space="preserve">Are older person’s </w:t>
      </w:r>
      <w:r w:rsidRPr="00D46622">
        <w:t>residential</w:t>
      </w:r>
      <w:r>
        <w:rPr>
          <w:rFonts w:eastAsia="MS Gothic"/>
        </w:rPr>
        <w:t xml:space="preserve"> services in scope?</w:t>
      </w:r>
      <w:bookmarkEnd w:id="50"/>
    </w:p>
    <w:p w14:paraId="02349DC7" w14:textId="6986BD12" w:rsidR="007B23FC" w:rsidRPr="00ED02B3" w:rsidRDefault="007B23FC">
      <w:pPr>
        <w:pStyle w:val="Body"/>
      </w:pPr>
      <w:r w:rsidRPr="00ED02B3">
        <w:t>Older Person’s Residential service placements remain out of scope o</w:t>
      </w:r>
      <w:r>
        <w:t>f</w:t>
      </w:r>
      <w:r w:rsidRPr="00ED02B3">
        <w:t xml:space="preserve"> National Outcomes and </w:t>
      </w:r>
      <w:proofErr w:type="spellStart"/>
      <w:r w:rsidRPr="00ED02B3">
        <w:t>Casemix</w:t>
      </w:r>
      <w:proofErr w:type="spellEnd"/>
      <w:r w:rsidRPr="00ED02B3">
        <w:t xml:space="preserve"> Collection (NOCC) </w:t>
      </w:r>
      <w:proofErr w:type="gramStart"/>
      <w:r w:rsidRPr="00ED02B3">
        <w:t>reporting, and</w:t>
      </w:r>
      <w:proofErr w:type="gramEnd"/>
      <w:r w:rsidRPr="00ED02B3">
        <w:t xml:space="preserve"> are not required to report phase of care or other outcome measures.  Current usual CMI/ODS data reporting should continue for these services.  Appendix 2 of the outcome measure PMC confirms that residential services are out of scope.</w:t>
      </w:r>
    </w:p>
    <w:p w14:paraId="069C9728" w14:textId="77777777" w:rsidR="00D46622" w:rsidRDefault="00D46622">
      <w:pPr>
        <w:spacing w:after="0" w:line="240" w:lineRule="auto"/>
        <w:rPr>
          <w:rFonts w:eastAsia="MS Gothic" w:cs="Arial"/>
          <w:bCs/>
          <w:color w:val="201547"/>
          <w:kern w:val="32"/>
          <w:sz w:val="40"/>
          <w:szCs w:val="40"/>
        </w:rPr>
      </w:pPr>
      <w:r>
        <w:br w:type="page"/>
      </w:r>
    </w:p>
    <w:p w14:paraId="78B42BE9" w14:textId="1AA9FEB1" w:rsidR="0061288D" w:rsidRDefault="0061288D" w:rsidP="0061288D">
      <w:pPr>
        <w:pStyle w:val="Heading1"/>
      </w:pPr>
      <w:bookmarkStart w:id="51" w:name="_Toc81210097"/>
      <w:r>
        <w:lastRenderedPageBreak/>
        <w:t>Scenarios relating to implementation</w:t>
      </w:r>
      <w:bookmarkEnd w:id="51"/>
    </w:p>
    <w:p w14:paraId="79D1D5EA" w14:textId="17452E91" w:rsidR="002C5B39" w:rsidRDefault="002C5B39" w:rsidP="00EA7254">
      <w:pPr>
        <w:pStyle w:val="Body"/>
      </w:pPr>
      <w:r>
        <w:t xml:space="preserve">It is not possible to cover off every type of scenario that services may encounter.  The following scenarios are provided as a guide only.  Clinicians need to use the </w:t>
      </w:r>
      <w:r w:rsidR="00C56348">
        <w:t>information provided in the PMCs and to</w:t>
      </w:r>
      <w:r w:rsidR="00E80FA2">
        <w:t xml:space="preserve"> use the training resources available. </w:t>
      </w:r>
      <w:r>
        <w:t xml:space="preserve"> </w:t>
      </w:r>
      <w:r w:rsidR="00EA7254">
        <w:t>See for example www.amhocn.org</w:t>
      </w:r>
    </w:p>
    <w:p w14:paraId="168DA0F9" w14:textId="118B05BF" w:rsidR="0061288D" w:rsidRDefault="0061288D" w:rsidP="00C61690">
      <w:pPr>
        <w:pStyle w:val="Heading2"/>
      </w:pPr>
      <w:bookmarkStart w:id="52" w:name="_Toc81210098"/>
      <w:r>
        <w:t>Scenario 1: C</w:t>
      </w:r>
      <w:r w:rsidR="00C61690">
        <w:t>onsumer</w:t>
      </w:r>
      <w:r>
        <w:t xml:space="preserve"> presents to the Emergency Department (not case</w:t>
      </w:r>
      <w:r w:rsidR="00C61690">
        <w:t>-</w:t>
      </w:r>
      <w:r>
        <w:t>managed)</w:t>
      </w:r>
      <w:bookmarkEnd w:id="52"/>
    </w:p>
    <w:p w14:paraId="02F7B9C4" w14:textId="49632D4B" w:rsidR="00C61690" w:rsidRPr="00C61690" w:rsidRDefault="00C61690" w:rsidP="00537211">
      <w:pPr>
        <w:pStyle w:val="Bullet1"/>
      </w:pPr>
      <w:r w:rsidRPr="00C61690">
        <w:rPr>
          <w:lang w:val="en-GB"/>
        </w:rPr>
        <w:t>Face</w:t>
      </w:r>
      <w:r>
        <w:rPr>
          <w:lang w:val="en-GB"/>
        </w:rPr>
        <w:t>-</w:t>
      </w:r>
      <w:r w:rsidRPr="00C61690">
        <w:rPr>
          <w:lang w:val="en-GB"/>
        </w:rPr>
        <w:t>to</w:t>
      </w:r>
      <w:r>
        <w:rPr>
          <w:lang w:val="en-GB"/>
        </w:rPr>
        <w:t>-</w:t>
      </w:r>
      <w:r w:rsidRPr="00C61690">
        <w:rPr>
          <w:lang w:val="en-GB"/>
        </w:rPr>
        <w:t>face mental health assessment occurs</w:t>
      </w:r>
      <w:r w:rsidR="0097062C">
        <w:rPr>
          <w:lang w:val="en-GB"/>
        </w:rPr>
        <w:t xml:space="preserve">, but </w:t>
      </w:r>
      <w:r w:rsidR="00460ABC">
        <w:rPr>
          <w:lang w:val="en-GB"/>
        </w:rPr>
        <w:t>consumer assessed as appropriate for follow up in primary care</w:t>
      </w:r>
    </w:p>
    <w:p w14:paraId="749E443B" w14:textId="4987B978" w:rsidR="00C61690" w:rsidRPr="00C61690" w:rsidRDefault="00C61690" w:rsidP="00537211">
      <w:pPr>
        <w:pStyle w:val="Bullet1"/>
      </w:pPr>
      <w:r w:rsidRPr="00C61690">
        <w:rPr>
          <w:lang w:val="en-GB"/>
        </w:rPr>
        <w:t xml:space="preserve">Register client on CMI – Statewide </w:t>
      </w:r>
      <w:r w:rsidR="00EA13BF">
        <w:rPr>
          <w:lang w:val="en-GB"/>
        </w:rPr>
        <w:t xml:space="preserve">unit record </w:t>
      </w:r>
      <w:r w:rsidRPr="00C61690">
        <w:rPr>
          <w:lang w:val="en-GB"/>
        </w:rPr>
        <w:t>number</w:t>
      </w:r>
      <w:r w:rsidR="00EA13BF">
        <w:rPr>
          <w:lang w:val="en-GB"/>
        </w:rPr>
        <w:t xml:space="preserve"> (SW UR number)</w:t>
      </w:r>
      <w:r w:rsidRPr="00C61690">
        <w:rPr>
          <w:lang w:val="en-GB"/>
        </w:rPr>
        <w:t xml:space="preserve"> assigned/ current SW</w:t>
      </w:r>
      <w:r w:rsidR="00EA13BF">
        <w:rPr>
          <w:lang w:val="en-GB"/>
        </w:rPr>
        <w:t xml:space="preserve"> UR number</w:t>
      </w:r>
      <w:r w:rsidRPr="00C61690">
        <w:rPr>
          <w:lang w:val="en-GB"/>
        </w:rPr>
        <w:t xml:space="preserve"> updated  </w:t>
      </w:r>
    </w:p>
    <w:p w14:paraId="76AC75D5" w14:textId="2EEAE2AA" w:rsidR="00C61690" w:rsidRPr="00C61690" w:rsidRDefault="00C61690" w:rsidP="00537211">
      <w:pPr>
        <w:pStyle w:val="Bullet1"/>
      </w:pPr>
      <w:r w:rsidRPr="00C61690">
        <w:rPr>
          <w:lang w:val="en-GB"/>
        </w:rPr>
        <w:t xml:space="preserve">Case and episode opened on CMI to Emergency Department </w:t>
      </w:r>
      <w:r w:rsidR="00EA13BF">
        <w:rPr>
          <w:lang w:val="en-GB"/>
        </w:rPr>
        <w:t xml:space="preserve">Mental Health </w:t>
      </w:r>
      <w:r w:rsidRPr="00C61690">
        <w:rPr>
          <w:lang w:val="en-GB"/>
        </w:rPr>
        <w:t>team</w:t>
      </w:r>
    </w:p>
    <w:p w14:paraId="51315A99" w14:textId="77777777" w:rsidR="00C61690" w:rsidRPr="00C61690" w:rsidRDefault="00C61690" w:rsidP="00537211">
      <w:pPr>
        <w:pStyle w:val="Bullet1"/>
      </w:pPr>
      <w:r w:rsidRPr="00C61690">
        <w:t>Assessment Only PoC recorded</w:t>
      </w:r>
    </w:p>
    <w:p w14:paraId="6D6D80E9" w14:textId="77777777" w:rsidR="00C61690" w:rsidRPr="00C61690" w:rsidRDefault="00C61690" w:rsidP="00537211">
      <w:pPr>
        <w:pStyle w:val="Bullet1"/>
      </w:pPr>
      <w:r w:rsidRPr="00C61690">
        <w:t>No outcome measures required</w:t>
      </w:r>
    </w:p>
    <w:p w14:paraId="1CF768FA" w14:textId="77777777" w:rsidR="00C61690" w:rsidRPr="00C61690" w:rsidRDefault="00C61690" w:rsidP="00537211">
      <w:pPr>
        <w:pStyle w:val="Bullet1"/>
      </w:pPr>
      <w:r w:rsidRPr="00C61690">
        <w:rPr>
          <w:lang w:val="en-GB"/>
        </w:rPr>
        <w:t>Client D/C home and referred to GP</w:t>
      </w:r>
    </w:p>
    <w:p w14:paraId="5A82FBE3" w14:textId="7D5202BB" w:rsidR="00C61690" w:rsidRPr="00C61690" w:rsidRDefault="00C61690" w:rsidP="00537211">
      <w:pPr>
        <w:pStyle w:val="Bullet1"/>
      </w:pPr>
      <w:r w:rsidRPr="00C61690">
        <w:rPr>
          <w:lang w:val="en-GB"/>
        </w:rPr>
        <w:t>Case and episode closed on CMI (</w:t>
      </w:r>
      <w:r>
        <w:rPr>
          <w:lang w:val="en-GB"/>
        </w:rPr>
        <w:t>n</w:t>
      </w:r>
      <w:r w:rsidRPr="00C61690">
        <w:rPr>
          <w:lang w:val="en-GB"/>
        </w:rPr>
        <w:t>o outcome measures required as less than 14 days)</w:t>
      </w:r>
    </w:p>
    <w:p w14:paraId="00E4AAB9" w14:textId="0D314CFF" w:rsidR="00C61690" w:rsidRDefault="00C61690" w:rsidP="00C61690">
      <w:pPr>
        <w:pStyle w:val="Heading2"/>
      </w:pPr>
      <w:bookmarkStart w:id="53" w:name="_Toc81210099"/>
      <w:r w:rsidRPr="0054347D">
        <w:t>Scenario 2</w:t>
      </w:r>
      <w:r>
        <w:t>: Consumer referred directly to a Community Care Team from another AMHS</w:t>
      </w:r>
      <w:bookmarkEnd w:id="53"/>
    </w:p>
    <w:p w14:paraId="05CB25AD" w14:textId="520C365C" w:rsidR="00C61690" w:rsidRPr="00C61690" w:rsidRDefault="00C61690" w:rsidP="00537211">
      <w:pPr>
        <w:pStyle w:val="Bullet1"/>
      </w:pPr>
      <w:r w:rsidRPr="00C61690">
        <w:rPr>
          <w:lang w:val="en-GB"/>
        </w:rPr>
        <w:t xml:space="preserve">Register client on CMI – Statewide number assigned/ current SW </w:t>
      </w:r>
      <w:r w:rsidR="00EA13BF">
        <w:rPr>
          <w:lang w:val="en-GB"/>
        </w:rPr>
        <w:t xml:space="preserve">UR number </w:t>
      </w:r>
      <w:r w:rsidRPr="00C61690">
        <w:rPr>
          <w:lang w:val="en-GB"/>
        </w:rPr>
        <w:t xml:space="preserve">updated </w:t>
      </w:r>
    </w:p>
    <w:p w14:paraId="5D711452" w14:textId="77777777" w:rsidR="00C61690" w:rsidRPr="00C61690" w:rsidRDefault="00C61690" w:rsidP="00537211">
      <w:pPr>
        <w:pStyle w:val="Bullet1"/>
      </w:pPr>
      <w:r w:rsidRPr="00C61690">
        <w:rPr>
          <w:lang w:val="en-GB"/>
        </w:rPr>
        <w:t xml:space="preserve">Open episode to CCT on CMI </w:t>
      </w:r>
    </w:p>
    <w:p w14:paraId="2E40F255" w14:textId="77777777" w:rsidR="00C61690" w:rsidRPr="00C61690" w:rsidRDefault="00C61690" w:rsidP="00537211">
      <w:pPr>
        <w:pStyle w:val="Bullet1"/>
      </w:pPr>
      <w:r w:rsidRPr="00C61690">
        <w:rPr>
          <w:lang w:val="en-GB"/>
        </w:rPr>
        <w:t>Decision to provide further service delivery</w:t>
      </w:r>
    </w:p>
    <w:p w14:paraId="0C9D7F39" w14:textId="63F73BF8" w:rsidR="00C61690" w:rsidRPr="00C61690" w:rsidRDefault="00C61690" w:rsidP="00537211">
      <w:pPr>
        <w:pStyle w:val="Bullet1"/>
      </w:pPr>
      <w:r w:rsidRPr="00C61690">
        <w:rPr>
          <w:lang w:val="en-GB"/>
        </w:rPr>
        <w:t>New PoC selected e.g. Functional Gain</w:t>
      </w:r>
      <w:r w:rsidR="00116D94">
        <w:rPr>
          <w:lang w:val="en-GB"/>
        </w:rPr>
        <w:t>, Acute, Intensive extended or Consolidating Gain</w:t>
      </w:r>
      <w:r w:rsidRPr="00C61690">
        <w:rPr>
          <w:lang w:val="en-GB"/>
        </w:rPr>
        <w:t xml:space="preserve"> PoC </w:t>
      </w:r>
      <w:r w:rsidR="00F513A2">
        <w:rPr>
          <w:lang w:val="en-GB"/>
        </w:rPr>
        <w:t>as appropriate</w:t>
      </w:r>
    </w:p>
    <w:p w14:paraId="1126671B" w14:textId="5468425C" w:rsidR="00C61690" w:rsidRPr="00C61690" w:rsidRDefault="00C61690" w:rsidP="00537211">
      <w:pPr>
        <w:pStyle w:val="Bullet1"/>
      </w:pPr>
      <w:r w:rsidRPr="00C61690">
        <w:rPr>
          <w:lang w:val="en-GB"/>
        </w:rPr>
        <w:t xml:space="preserve">Full suite of outcome measures required </w:t>
      </w:r>
    </w:p>
    <w:p w14:paraId="094E2F88" w14:textId="5794582D" w:rsidR="00C61690" w:rsidRPr="00C61690" w:rsidRDefault="00C61690" w:rsidP="00537211">
      <w:pPr>
        <w:pStyle w:val="Bullet1"/>
      </w:pPr>
      <w:r w:rsidRPr="00C61690">
        <w:rPr>
          <w:lang w:val="en-GB"/>
        </w:rPr>
        <w:t xml:space="preserve">91day review </w:t>
      </w:r>
      <w:proofErr w:type="gramStart"/>
      <w:r w:rsidRPr="00C61690">
        <w:rPr>
          <w:lang w:val="en-GB"/>
        </w:rPr>
        <w:t xml:space="preserve">scheduled </w:t>
      </w:r>
      <w:r w:rsidR="00CD0984">
        <w:rPr>
          <w:lang w:val="en-GB"/>
        </w:rPr>
        <w:t xml:space="preserve"> automatically</w:t>
      </w:r>
      <w:proofErr w:type="gramEnd"/>
    </w:p>
    <w:p w14:paraId="3763898F" w14:textId="44A19D3D" w:rsidR="00C61690" w:rsidRDefault="00C61690" w:rsidP="00C61690">
      <w:pPr>
        <w:pStyle w:val="Heading2"/>
      </w:pPr>
      <w:bookmarkStart w:id="54" w:name="_Toc81210100"/>
      <w:r>
        <w:t>Scenario 3: Case-managed consumer in the community</w:t>
      </w:r>
      <w:bookmarkEnd w:id="54"/>
    </w:p>
    <w:p w14:paraId="66DC5715" w14:textId="77777777" w:rsidR="00C61690" w:rsidRPr="00C61690" w:rsidRDefault="00C61690" w:rsidP="00537211">
      <w:pPr>
        <w:pStyle w:val="Bullet1"/>
      </w:pPr>
      <w:r w:rsidRPr="00C61690">
        <w:t>Intake completed, PoC assigned as Intensive Extended and full suite of outcome measures completed</w:t>
      </w:r>
    </w:p>
    <w:p w14:paraId="2E05A290" w14:textId="77777777" w:rsidR="00C61690" w:rsidRPr="00C61690" w:rsidRDefault="00C61690" w:rsidP="00537211">
      <w:pPr>
        <w:pStyle w:val="Bullet1"/>
      </w:pPr>
      <w:r w:rsidRPr="00C61690">
        <w:t>Client is reviewed regularly and the PoC has remained the same for several 91 Day Reviews. Documented in CMI and medical record</w:t>
      </w:r>
    </w:p>
    <w:p w14:paraId="293A314D" w14:textId="77777777" w:rsidR="00C61690" w:rsidRPr="00C61690" w:rsidRDefault="00C61690" w:rsidP="00537211">
      <w:pPr>
        <w:pStyle w:val="Bullet1"/>
      </w:pPr>
      <w:proofErr w:type="gramStart"/>
      <w:r w:rsidRPr="00C61690">
        <w:t>Clients</w:t>
      </w:r>
      <w:proofErr w:type="gramEnd"/>
      <w:r w:rsidRPr="00C61690">
        <w:t xml:space="preserve"> symptoms and functioning improve the client is reviewed outside of the </w:t>
      </w:r>
      <w:proofErr w:type="gramStart"/>
      <w:r w:rsidRPr="00C61690">
        <w:t>91 day</w:t>
      </w:r>
      <w:proofErr w:type="gramEnd"/>
      <w:r w:rsidRPr="00C61690">
        <w:t xml:space="preserve"> review cycle. A Discretionary Review is entered in CMI and a new PoC is assigned as Functional Gain in line with the new treatment plan</w:t>
      </w:r>
    </w:p>
    <w:p w14:paraId="38821949" w14:textId="57151BFB" w:rsidR="00C61690" w:rsidRDefault="00C61690" w:rsidP="00537211">
      <w:pPr>
        <w:pStyle w:val="Bullet1"/>
      </w:pPr>
      <w:r w:rsidRPr="00C61690">
        <w:t>91 Day review has been pushed out</w:t>
      </w:r>
    </w:p>
    <w:p w14:paraId="16713C9B" w14:textId="77777777" w:rsidR="00BA3356" w:rsidRDefault="00BA3356">
      <w:pPr>
        <w:spacing w:after="0" w:line="240" w:lineRule="auto"/>
        <w:rPr>
          <w:b/>
          <w:color w:val="53565A"/>
          <w:sz w:val="32"/>
          <w:szCs w:val="28"/>
        </w:rPr>
      </w:pPr>
      <w:r>
        <w:br w:type="page"/>
      </w:r>
    </w:p>
    <w:p w14:paraId="5FDF5DA0" w14:textId="7A9A8F1D" w:rsidR="00C61690" w:rsidRDefault="00C61690" w:rsidP="00C61690">
      <w:pPr>
        <w:pStyle w:val="Heading2"/>
      </w:pPr>
      <w:bookmarkStart w:id="55" w:name="_Toc81210101"/>
      <w:r>
        <w:lastRenderedPageBreak/>
        <w:t>Scenario 4: Consumer presents to the Emergency Department (currently case-managed)</w:t>
      </w:r>
      <w:bookmarkEnd w:id="55"/>
    </w:p>
    <w:p w14:paraId="441A9520" w14:textId="77777777" w:rsidR="00C61690" w:rsidRPr="00C61690" w:rsidRDefault="00C61690" w:rsidP="00537211">
      <w:pPr>
        <w:pStyle w:val="Bullet1"/>
      </w:pPr>
      <w:r w:rsidRPr="00C61690">
        <w:rPr>
          <w:lang w:val="en-GB"/>
        </w:rPr>
        <w:t>Face to face mental health assessment occurs</w:t>
      </w:r>
    </w:p>
    <w:p w14:paraId="4AD7D3F3" w14:textId="791282AA" w:rsidR="00C61690" w:rsidRPr="00C61690" w:rsidRDefault="00C61690" w:rsidP="00537211">
      <w:pPr>
        <w:pStyle w:val="Bullet1"/>
      </w:pPr>
      <w:r w:rsidRPr="00C61690">
        <w:rPr>
          <w:lang w:val="en-GB"/>
        </w:rPr>
        <w:t xml:space="preserve">Current SW </w:t>
      </w:r>
      <w:r w:rsidR="00EA13BF">
        <w:rPr>
          <w:lang w:val="en-GB"/>
        </w:rPr>
        <w:t xml:space="preserve">UR number </w:t>
      </w:r>
      <w:r w:rsidRPr="00C61690">
        <w:rPr>
          <w:lang w:val="en-GB"/>
        </w:rPr>
        <w:t xml:space="preserve">updated  </w:t>
      </w:r>
    </w:p>
    <w:p w14:paraId="54EAFD9F" w14:textId="6B03733D" w:rsidR="00C61690" w:rsidRPr="00C61690" w:rsidRDefault="00C61690" w:rsidP="00537211">
      <w:pPr>
        <w:pStyle w:val="Bullet1"/>
      </w:pPr>
      <w:r w:rsidRPr="00C61690">
        <w:rPr>
          <w:lang w:val="en-GB"/>
        </w:rPr>
        <w:t xml:space="preserve">Concurrent episode opened on CMI to Emergency Department </w:t>
      </w:r>
      <w:r w:rsidR="00EA13BF">
        <w:rPr>
          <w:lang w:val="en-GB"/>
        </w:rPr>
        <w:t xml:space="preserve">Mental Health </w:t>
      </w:r>
      <w:r w:rsidRPr="00C61690">
        <w:rPr>
          <w:lang w:val="en-GB"/>
        </w:rPr>
        <w:t>team (displays service need)</w:t>
      </w:r>
    </w:p>
    <w:p w14:paraId="67D197D7" w14:textId="5946E861" w:rsidR="00B14B82" w:rsidRDefault="00C61690" w:rsidP="00537211">
      <w:pPr>
        <w:pStyle w:val="Bullet1"/>
      </w:pPr>
      <w:r w:rsidRPr="00C61690">
        <w:t xml:space="preserve">PoC recorded </w:t>
      </w:r>
      <w:r w:rsidR="00EC4CFC">
        <w:t xml:space="preserve">as determined by the </w:t>
      </w:r>
      <w:r w:rsidR="0034176C">
        <w:t xml:space="preserve">ED </w:t>
      </w:r>
      <w:r w:rsidR="00EC4CFC">
        <w:t>clinician</w:t>
      </w:r>
      <w:r w:rsidR="00CB6C4A">
        <w:t xml:space="preserve"> as follows:</w:t>
      </w:r>
    </w:p>
    <w:p w14:paraId="4871EA79" w14:textId="35C72E11" w:rsidR="0034176C" w:rsidRDefault="00B14B82" w:rsidP="00BD5CB1">
      <w:pPr>
        <w:pStyle w:val="Bullet2"/>
      </w:pPr>
      <w:r>
        <w:t>PoC recorded</w:t>
      </w:r>
      <w:r w:rsidR="00EC4CFC">
        <w:t xml:space="preserve"> </w:t>
      </w:r>
      <w:r w:rsidR="0034176C">
        <w:t xml:space="preserve">if the </w:t>
      </w:r>
      <w:r>
        <w:t xml:space="preserve">PoC changes, </w:t>
      </w:r>
      <w:r w:rsidR="0034176C">
        <w:t xml:space="preserve">in consultation with the </w:t>
      </w:r>
      <w:r>
        <w:t>treating</w:t>
      </w:r>
      <w:r w:rsidR="0034176C">
        <w:t xml:space="preserve"> team</w:t>
      </w:r>
    </w:p>
    <w:p w14:paraId="592E786C" w14:textId="2BD62ABC" w:rsidR="00C61690" w:rsidRPr="00C61690" w:rsidRDefault="00B14B82" w:rsidP="00BD5CB1">
      <w:pPr>
        <w:pStyle w:val="Bullet2"/>
      </w:pPr>
      <w:r>
        <w:t>Additional PoC</w:t>
      </w:r>
      <w:r w:rsidR="0034176C">
        <w:t xml:space="preserve"> not required if the phase has not changed </w:t>
      </w:r>
      <w:r>
        <w:t>from the last recorded by the treating team</w:t>
      </w:r>
    </w:p>
    <w:p w14:paraId="66CEA544" w14:textId="77777777" w:rsidR="00C61690" w:rsidRPr="00C61690" w:rsidRDefault="00C61690" w:rsidP="00537211">
      <w:pPr>
        <w:pStyle w:val="Bullet1"/>
      </w:pPr>
      <w:r w:rsidRPr="00C61690">
        <w:rPr>
          <w:lang w:val="en-GB"/>
        </w:rPr>
        <w:t xml:space="preserve">Client D/C home and </w:t>
      </w:r>
      <w:proofErr w:type="gramStart"/>
      <w:r w:rsidRPr="00C61690">
        <w:rPr>
          <w:lang w:val="en-GB"/>
        </w:rPr>
        <w:t>referred back</w:t>
      </w:r>
      <w:proofErr w:type="gramEnd"/>
      <w:r w:rsidRPr="00C61690">
        <w:rPr>
          <w:lang w:val="en-GB"/>
        </w:rPr>
        <w:t xml:space="preserve"> to CCT </w:t>
      </w:r>
    </w:p>
    <w:p w14:paraId="20A72056" w14:textId="77777777" w:rsidR="00C61690" w:rsidRPr="00C61690" w:rsidRDefault="00C61690" w:rsidP="00537211">
      <w:pPr>
        <w:pStyle w:val="Bullet1"/>
      </w:pPr>
      <w:r w:rsidRPr="00C61690">
        <w:rPr>
          <w:lang w:val="en-GB"/>
        </w:rPr>
        <w:t xml:space="preserve">ED team episode closed on </w:t>
      </w:r>
      <w:proofErr w:type="gramStart"/>
      <w:r w:rsidRPr="00C61690">
        <w:rPr>
          <w:lang w:val="en-GB"/>
        </w:rPr>
        <w:t>CMI,(</w:t>
      </w:r>
      <w:proofErr w:type="gramEnd"/>
      <w:r w:rsidRPr="00C61690">
        <w:rPr>
          <w:lang w:val="en-GB"/>
        </w:rPr>
        <w:t xml:space="preserve"> no outcome measures required) CCT episode remains open </w:t>
      </w:r>
    </w:p>
    <w:p w14:paraId="0778141F" w14:textId="77777777" w:rsidR="00C61690" w:rsidRPr="00C61690" w:rsidRDefault="00C61690" w:rsidP="00C61690">
      <w:pPr>
        <w:pStyle w:val="Body"/>
      </w:pPr>
    </w:p>
    <w:p w14:paraId="0719FED6" w14:textId="2898DE04" w:rsidR="00C61690" w:rsidRDefault="00C61690" w:rsidP="00C61690">
      <w:pPr>
        <w:pStyle w:val="Heading2"/>
      </w:pPr>
      <w:bookmarkStart w:id="56" w:name="_Toc81210102"/>
      <w:r w:rsidRPr="00FD64D3">
        <w:t>Scenario 5</w:t>
      </w:r>
      <w:r>
        <w:t xml:space="preserve">: Case-managed consumer </w:t>
      </w:r>
      <w:r w:rsidR="00D2742D">
        <w:t xml:space="preserve">commences </w:t>
      </w:r>
      <w:r>
        <w:t>a secondary consultation</w:t>
      </w:r>
      <w:r w:rsidR="00D2742D">
        <w:t xml:space="preserve"> service</w:t>
      </w:r>
      <w:r>
        <w:t xml:space="preserve"> from a specialist team</w:t>
      </w:r>
      <w:bookmarkEnd w:id="56"/>
    </w:p>
    <w:p w14:paraId="6645FE90" w14:textId="23AB68E6" w:rsidR="00C61690" w:rsidRPr="00C61690" w:rsidRDefault="00C61690" w:rsidP="00537211">
      <w:pPr>
        <w:pStyle w:val="Bullet1"/>
      </w:pPr>
      <w:r w:rsidRPr="00C61690">
        <w:t>Client has a current episode opened to CCT</w:t>
      </w:r>
    </w:p>
    <w:p w14:paraId="01E415CD" w14:textId="666D1A2C" w:rsidR="009B1B6C" w:rsidRDefault="009B1B6C" w:rsidP="00537211">
      <w:pPr>
        <w:pStyle w:val="Bullet1"/>
      </w:pPr>
      <w:r>
        <w:t>Concurrent episode opened on CMI to the specialist team, e.g. FAPMI, Family Violence, SUMMIT</w:t>
      </w:r>
      <w:r w:rsidR="00023061">
        <w:t xml:space="preserve"> (displays</w:t>
      </w:r>
      <w:r w:rsidR="00B0465A">
        <w:t xml:space="preserve"> </w:t>
      </w:r>
      <w:r w:rsidR="00714361">
        <w:t>consumer</w:t>
      </w:r>
      <w:r w:rsidR="00B0465A">
        <w:t xml:space="preserve"> and </w:t>
      </w:r>
      <w:r w:rsidR="00023061">
        <w:t>service need)</w:t>
      </w:r>
    </w:p>
    <w:p w14:paraId="7DDB4719" w14:textId="73383657" w:rsidR="00091A9F" w:rsidRPr="00C61690" w:rsidRDefault="00023061" w:rsidP="00537211">
      <w:pPr>
        <w:pStyle w:val="Bullet1"/>
      </w:pPr>
      <w:r>
        <w:t>PoC recorded as determined by</w:t>
      </w:r>
      <w:r w:rsidR="00A5660C">
        <w:t xml:space="preserve"> case managing</w:t>
      </w:r>
      <w:r>
        <w:t xml:space="preserve"> clinician</w:t>
      </w:r>
    </w:p>
    <w:p w14:paraId="2E9157ED" w14:textId="77777777" w:rsidR="00537211" w:rsidRDefault="00C61690" w:rsidP="00537211">
      <w:pPr>
        <w:pStyle w:val="Bullet1"/>
        <w:rPr>
          <w:lang w:val="en-GB"/>
        </w:rPr>
      </w:pPr>
      <w:r w:rsidRPr="00C61690">
        <w:t xml:space="preserve">Specialist </w:t>
      </w:r>
      <w:r w:rsidR="00716975" w:rsidRPr="00C61690">
        <w:rPr>
          <w:lang w:val="en-GB"/>
        </w:rPr>
        <w:t>episode closed on CMI,</w:t>
      </w:r>
      <w:r w:rsidR="00537211">
        <w:rPr>
          <w:lang w:val="en-GB"/>
        </w:rPr>
        <w:t xml:space="preserve"> </w:t>
      </w:r>
      <w:r w:rsidR="00716975" w:rsidRPr="00C61690">
        <w:rPr>
          <w:lang w:val="en-GB"/>
        </w:rPr>
        <w:t xml:space="preserve">(no outcome measures required) CCT episode remains open </w:t>
      </w:r>
    </w:p>
    <w:p w14:paraId="2812388D" w14:textId="022A5F29" w:rsidR="00C61690" w:rsidRDefault="00C61690" w:rsidP="00C61690">
      <w:pPr>
        <w:pStyle w:val="Heading2"/>
      </w:pPr>
      <w:bookmarkStart w:id="57" w:name="_Toc81210103"/>
      <w:r>
        <w:t xml:space="preserve">Scenario 6: Consumer is </w:t>
      </w:r>
      <w:proofErr w:type="gramStart"/>
      <w:r>
        <w:t>case-managed</w:t>
      </w:r>
      <w:proofErr w:type="gramEnd"/>
      <w:r>
        <w:t xml:space="preserve"> in the community, with services provided by multiple mental health teams</w:t>
      </w:r>
      <w:bookmarkEnd w:id="57"/>
    </w:p>
    <w:p w14:paraId="2DF942BD" w14:textId="77777777" w:rsidR="00C61690" w:rsidRPr="00C61690" w:rsidRDefault="00C61690" w:rsidP="00537211">
      <w:pPr>
        <w:pStyle w:val="Bullet1"/>
      </w:pPr>
      <w:r w:rsidRPr="00C61690">
        <w:t>Open concurrent community episodes in CMI</w:t>
      </w:r>
    </w:p>
    <w:p w14:paraId="4E821A0F" w14:textId="77777777" w:rsidR="00C61690" w:rsidRPr="00C61690" w:rsidRDefault="00C61690" w:rsidP="00537211">
      <w:pPr>
        <w:pStyle w:val="Bullet1"/>
      </w:pPr>
      <w:r w:rsidRPr="00C61690">
        <w:t>The PoC should be agreed upon by the various treatment providers</w:t>
      </w:r>
    </w:p>
    <w:p w14:paraId="702EA3A3" w14:textId="374F4453" w:rsidR="00C61690" w:rsidRDefault="00C61690" w:rsidP="00537211">
      <w:pPr>
        <w:pStyle w:val="Bullet1"/>
      </w:pPr>
      <w:r w:rsidRPr="00C61690">
        <w:t>PoC and outcome measures to be recorded by primary team</w:t>
      </w:r>
    </w:p>
    <w:p w14:paraId="18885324" w14:textId="40EA555C" w:rsidR="00A4305F" w:rsidRDefault="00A4305F" w:rsidP="00A4305F">
      <w:pPr>
        <w:pStyle w:val="Body"/>
      </w:pPr>
    </w:p>
    <w:p w14:paraId="364E0561" w14:textId="77777777" w:rsidR="00091A9F" w:rsidRDefault="00091A9F">
      <w:pPr>
        <w:spacing w:after="0" w:line="240" w:lineRule="auto"/>
        <w:rPr>
          <w:rFonts w:eastAsia="MS Gothic" w:cs="Arial"/>
          <w:bCs/>
          <w:color w:val="201547"/>
          <w:kern w:val="32"/>
          <w:sz w:val="40"/>
          <w:szCs w:val="40"/>
        </w:rPr>
      </w:pPr>
      <w:r>
        <w:br w:type="page"/>
      </w:r>
    </w:p>
    <w:p w14:paraId="78D9769F" w14:textId="05A216B6" w:rsidR="00A4305F" w:rsidRDefault="00A4305F" w:rsidP="005716A6">
      <w:pPr>
        <w:pStyle w:val="Heading1"/>
      </w:pPr>
      <w:bookmarkStart w:id="58" w:name="_Toc81210104"/>
      <w:r>
        <w:lastRenderedPageBreak/>
        <w:t>Glossary</w:t>
      </w:r>
      <w:bookmarkEnd w:id="58"/>
    </w:p>
    <w:p w14:paraId="53DBEA4E" w14:textId="6185069A" w:rsidR="00723676" w:rsidRDefault="00723676">
      <w:pPr>
        <w:pStyle w:val="Body"/>
      </w:pPr>
      <w:r w:rsidRPr="002A55C1">
        <w:rPr>
          <w:b/>
          <w:bCs/>
        </w:rPr>
        <w:t>Case</w:t>
      </w:r>
      <w:r>
        <w:t xml:space="preserve">- </w:t>
      </w:r>
      <w:r w:rsidR="00F57C3A">
        <w:t>From July 1</w:t>
      </w:r>
      <w:proofErr w:type="gramStart"/>
      <w:r w:rsidR="00F57C3A">
        <w:t xml:space="preserve"> 2021</w:t>
      </w:r>
      <w:proofErr w:type="gramEnd"/>
      <w:r w:rsidR="00F57C3A">
        <w:t xml:space="preserve">, a case will be defined as </w:t>
      </w:r>
      <w:r w:rsidR="00F57C3A" w:rsidRPr="00847CB4">
        <w:t xml:space="preserve">a period of clinical care that commences from the point of assessment within a mental health </w:t>
      </w:r>
      <w:proofErr w:type="gramStart"/>
      <w:r w:rsidR="00F57C3A" w:rsidRPr="00847CB4">
        <w:t>service, and</w:t>
      </w:r>
      <w:proofErr w:type="gramEnd"/>
      <w:r w:rsidR="00F57C3A" w:rsidRPr="00847CB4">
        <w:t xml:space="preserve"> may progress to include a period of ongoing care within a framework of multidisciplinary care in community, outpatient/ambulatory, inpatient and/or residential mental health service settings</w:t>
      </w:r>
      <w:r w:rsidR="00A23A7C">
        <w:t>.</w:t>
      </w:r>
    </w:p>
    <w:p w14:paraId="475B1E42" w14:textId="704BDAD8" w:rsidR="00FC2BB1" w:rsidRPr="00A23A7C" w:rsidRDefault="00FC2BB1">
      <w:pPr>
        <w:pStyle w:val="Body"/>
      </w:pPr>
      <w:r w:rsidRPr="002A55C1">
        <w:rPr>
          <w:b/>
          <w:bCs/>
        </w:rPr>
        <w:t>Secondary consultation</w:t>
      </w:r>
      <w:r>
        <w:t>- a discussion, usually via phone, between a specialist team clinician and a mental health service clinician about a specific client.  The client is not present during the consultation.  The aim of the discussion is to clarify relevant issues and provide advice from the specialist team about the client’s ongoing management</w:t>
      </w:r>
      <w:r w:rsidR="001C02FB">
        <w:t xml:space="preserve"> or treatment options</w:t>
      </w:r>
      <w:r>
        <w:t>.</w:t>
      </w:r>
      <w:r w:rsidR="001C02FB">
        <w:t xml:space="preserve">  Questions about clinical formulation or crisis management may also be addressed.</w:t>
      </w:r>
      <w:r>
        <w:t xml:space="preserve">  At times a secondary consultation may lead to a primary consultation, when appropriate.</w:t>
      </w:r>
    </w:p>
    <w:p w14:paraId="729CFFD7" w14:textId="2FABAB9F" w:rsidR="00013B31" w:rsidRPr="003650A0" w:rsidRDefault="000E1207" w:rsidP="00847CB4">
      <w:pPr>
        <w:pStyle w:val="Body"/>
        <w:rPr>
          <w:rFonts w:cs="Arial"/>
        </w:rPr>
      </w:pPr>
      <w:r w:rsidRPr="002A55C1">
        <w:rPr>
          <w:b/>
          <w:bCs/>
        </w:rPr>
        <w:t>Specialist team</w:t>
      </w:r>
      <w:r w:rsidR="00013B31">
        <w:t xml:space="preserve">- </w:t>
      </w:r>
      <w:r w:rsidR="00013B31" w:rsidRPr="003650A0">
        <w:rPr>
          <w:rFonts w:cs="Arial"/>
        </w:rPr>
        <w:t xml:space="preserve">A range of specialist mental health services provide highly </w:t>
      </w:r>
      <w:r w:rsidR="00013B31">
        <w:rPr>
          <w:rFonts w:cs="Arial"/>
        </w:rPr>
        <w:t>specialised</w:t>
      </w:r>
      <w:r w:rsidR="00013B31" w:rsidRPr="003650A0">
        <w:rPr>
          <w:rFonts w:cs="Arial"/>
        </w:rPr>
        <w:t xml:space="preserve"> treatment and care to Victorians with severe and complex illnesses. These services include </w:t>
      </w:r>
      <w:r w:rsidR="00013B31">
        <w:rPr>
          <w:rFonts w:cs="Arial"/>
        </w:rPr>
        <w:t xml:space="preserve">but are not limited to </w:t>
      </w:r>
      <w:r w:rsidR="00013B31" w:rsidRPr="003650A0">
        <w:rPr>
          <w:rFonts w:cs="Arial"/>
        </w:rPr>
        <w:t>perinatal mental health services</w:t>
      </w:r>
      <w:r w:rsidR="00013B31">
        <w:rPr>
          <w:rFonts w:cs="Arial"/>
        </w:rPr>
        <w:t>,</w:t>
      </w:r>
      <w:r w:rsidR="00013B31" w:rsidRPr="003650A0">
        <w:rPr>
          <w:rFonts w:cs="Arial"/>
        </w:rPr>
        <w:t xml:space="preserve"> personality disorder service</w:t>
      </w:r>
      <w:r w:rsidR="00013B31">
        <w:rPr>
          <w:rFonts w:cs="Arial"/>
        </w:rPr>
        <w:t>s</w:t>
      </w:r>
      <w:r w:rsidR="00013B31" w:rsidRPr="003650A0">
        <w:rPr>
          <w:rFonts w:cs="Arial"/>
        </w:rPr>
        <w:t xml:space="preserve"> (Spectrum)</w:t>
      </w:r>
      <w:r w:rsidR="00013B31">
        <w:rPr>
          <w:rFonts w:cs="Arial"/>
        </w:rPr>
        <w:t>,</w:t>
      </w:r>
      <w:r w:rsidR="00013B31" w:rsidRPr="003650A0">
        <w:rPr>
          <w:rFonts w:cs="Arial"/>
        </w:rPr>
        <w:t xml:space="preserve"> eating disorder services and a dual disability service (for people with both mental illness and an intellectual disability or </w:t>
      </w:r>
      <w:proofErr w:type="gramStart"/>
      <w:r w:rsidR="00013B31">
        <w:rPr>
          <w:rFonts w:cs="Arial"/>
        </w:rPr>
        <w:t>A</w:t>
      </w:r>
      <w:r w:rsidR="00276BEB">
        <w:rPr>
          <w:rFonts w:cs="Arial"/>
        </w:rPr>
        <w:t xml:space="preserve">utism </w:t>
      </w:r>
      <w:r w:rsidR="00013B31">
        <w:rPr>
          <w:rFonts w:cs="Arial"/>
        </w:rPr>
        <w:t>S</w:t>
      </w:r>
      <w:r w:rsidR="00276BEB">
        <w:rPr>
          <w:rFonts w:cs="Arial"/>
        </w:rPr>
        <w:t xml:space="preserve">pectrum </w:t>
      </w:r>
      <w:r w:rsidR="00013B31">
        <w:rPr>
          <w:rFonts w:cs="Arial"/>
        </w:rPr>
        <w:t>D</w:t>
      </w:r>
      <w:r w:rsidR="00276BEB">
        <w:rPr>
          <w:rFonts w:cs="Arial"/>
        </w:rPr>
        <w:t>isorder</w:t>
      </w:r>
      <w:proofErr w:type="gramEnd"/>
      <w:r w:rsidR="00013B31" w:rsidRPr="003650A0">
        <w:rPr>
          <w:rFonts w:cs="Arial"/>
        </w:rPr>
        <w:t>).</w:t>
      </w:r>
    </w:p>
    <w:p w14:paraId="196A0B3D" w14:textId="0C0FD937" w:rsidR="000E1207" w:rsidRPr="00C61690" w:rsidRDefault="000E1207" w:rsidP="00C95DC3">
      <w:pPr>
        <w:pStyle w:val="Body"/>
        <w:spacing w:after="0"/>
      </w:pPr>
    </w:p>
    <w:p w14:paraId="6B5599AE" w14:textId="2F06E4AB" w:rsidR="00C61690" w:rsidRDefault="00157479" w:rsidP="00C95DC3">
      <w:pPr>
        <w:pStyle w:val="Heading1"/>
        <w:spacing w:before="120" w:after="0"/>
      </w:pPr>
      <w:bookmarkStart w:id="59" w:name="_Toc81210105"/>
      <w:r>
        <w:t>Note re new or amended questions</w:t>
      </w:r>
      <w:bookmarkEnd w:id="59"/>
    </w:p>
    <w:p w14:paraId="7FE65AF2" w14:textId="77777777" w:rsidR="001C7225" w:rsidRDefault="000954D8" w:rsidP="00C95DC3">
      <w:pPr>
        <w:spacing w:after="0"/>
      </w:pPr>
      <w:r>
        <w:t>The following questions have had amendments or clarifications made:</w:t>
      </w:r>
      <w:r w:rsidR="001C7225">
        <w:t xml:space="preserve"> 13 (funding support); 42 (subcentres); scenario 4 (case-managed consumer presents to ED)</w:t>
      </w:r>
    </w:p>
    <w:p w14:paraId="6573F5CA" w14:textId="433BEB54" w:rsidR="00C61690" w:rsidRDefault="00C61690" w:rsidP="00C95DC3">
      <w:pPr>
        <w:pStyle w:val="Body"/>
        <w:spacing w:after="0"/>
      </w:pPr>
    </w:p>
    <w:p w14:paraId="7A22B404" w14:textId="0BF9E568" w:rsidR="000954D8" w:rsidRPr="00C61690" w:rsidRDefault="000954D8" w:rsidP="00C95DC3">
      <w:pPr>
        <w:pStyle w:val="Body"/>
        <w:spacing w:after="0"/>
      </w:pPr>
      <w:r>
        <w:t xml:space="preserve">The following questions have been added since the first edition of the FAQs on 25 May 2021: </w:t>
      </w:r>
      <w:r w:rsidR="002A55C1">
        <w:t>7 (triage data set); 23 (ECATT subcentres); 24 (C-L and ECATT activity); 25 (C-L and ECATT); 34 (phase of care); 35 (CMI/ODS training databases); 39 (specialist services); 40 (brief ambulatory episodes and outcome measures); 41 (recommending measures); 42 (age groups and subcentres); 43 (AOD services and outcome measures); 44 (older person’s residential services); Glossary (definition of secondary consultation).</w:t>
      </w:r>
    </w:p>
    <w:p w14:paraId="2DD9F044" w14:textId="77777777" w:rsidR="00C95DC3" w:rsidRPr="00200176" w:rsidRDefault="00C95DC3" w:rsidP="00C95DC3">
      <w:pPr>
        <w:pStyle w:val="Body"/>
      </w:pPr>
    </w:p>
    <w:tbl>
      <w:tblPr>
        <w:tblStyle w:val="TableGrid"/>
        <w:tblW w:w="0" w:type="auto"/>
        <w:tblCellMar>
          <w:bottom w:w="108" w:type="dxa"/>
        </w:tblCellMar>
        <w:tblLook w:val="0600" w:firstRow="0" w:lastRow="0" w:firstColumn="0" w:lastColumn="0" w:noHBand="1" w:noVBand="1"/>
      </w:tblPr>
      <w:tblGrid>
        <w:gridCol w:w="10194"/>
      </w:tblGrid>
      <w:tr w:rsidR="00C95DC3" w14:paraId="50D3F32A" w14:textId="77777777" w:rsidTr="00873FE6">
        <w:tc>
          <w:tcPr>
            <w:tcW w:w="10194" w:type="dxa"/>
          </w:tcPr>
          <w:p w14:paraId="1CE32198" w14:textId="2561DD5A" w:rsidR="00C95DC3" w:rsidRPr="0055119B" w:rsidRDefault="00C95DC3" w:rsidP="00873FE6">
            <w:pPr>
              <w:pStyle w:val="Accessibilitypara"/>
            </w:pPr>
            <w:bookmarkStart w:id="60" w:name="_Hlk37240926"/>
            <w:r w:rsidRPr="0055119B">
              <w:t>To receive this document in another format</w:t>
            </w:r>
            <w:r>
              <w:t xml:space="preserve"> </w:t>
            </w:r>
            <w:r w:rsidRPr="0055119B">
              <w:t xml:space="preserve">email </w:t>
            </w:r>
            <w:hyperlink r:id="rId22" w:history="1">
              <w:r w:rsidRPr="00B222D8">
                <w:rPr>
                  <w:rStyle w:val="Hyperlink"/>
                </w:rPr>
                <w:t>MHDReporting@health.vic.gov.au</w:t>
              </w:r>
            </w:hyperlink>
            <w:r>
              <w:rPr>
                <w:color w:val="004C97"/>
              </w:rPr>
              <w:t xml:space="preserve"> </w:t>
            </w:r>
            <w:r w:rsidRPr="0055119B">
              <w:rPr>
                <w:color w:val="004C97"/>
              </w:rPr>
              <w:t xml:space="preserve"> </w:t>
            </w:r>
            <w:r w:rsidRPr="0055119B">
              <w:t>&lt;</w:t>
            </w:r>
            <w:r>
              <w:t>MHDReporting@health.vic.gov.au</w:t>
            </w:r>
            <w:r w:rsidRPr="0055119B">
              <w:t>&gt;.</w:t>
            </w:r>
          </w:p>
          <w:p w14:paraId="508C833C" w14:textId="77777777" w:rsidR="00C95DC3" w:rsidRPr="0055119B" w:rsidRDefault="00C95DC3" w:rsidP="00873FE6">
            <w:pPr>
              <w:pStyle w:val="Imprint"/>
            </w:pPr>
            <w:r w:rsidRPr="0055119B">
              <w:t>Authorised and published by the Victorian Government, 1 Treasury Place, Melbourne.</w:t>
            </w:r>
          </w:p>
          <w:p w14:paraId="3993656C" w14:textId="7CAA0188" w:rsidR="00C95DC3" w:rsidRPr="0055119B" w:rsidRDefault="00C95DC3" w:rsidP="00873FE6">
            <w:pPr>
              <w:pStyle w:val="Imprint"/>
            </w:pPr>
            <w:r w:rsidRPr="0055119B">
              <w:t xml:space="preserve">© State of Victoria, Australia, </w:t>
            </w:r>
            <w:r w:rsidRPr="001E2A36">
              <w:t>Department of Health</w:t>
            </w:r>
            <w:r w:rsidRPr="0055119B">
              <w:t xml:space="preserve">, </w:t>
            </w:r>
            <w:r>
              <w:rPr>
                <w:color w:val="004C97"/>
              </w:rPr>
              <w:t>September 2021</w:t>
            </w:r>
            <w:r w:rsidRPr="0055119B">
              <w:t>.</w:t>
            </w:r>
          </w:p>
          <w:p w14:paraId="46373D5C" w14:textId="6FC1BD85" w:rsidR="00B03AD7" w:rsidRDefault="00C95DC3" w:rsidP="00873FE6">
            <w:pPr>
              <w:pStyle w:val="Imprint"/>
              <w:rPr>
                <w:rFonts w:cs="Arial"/>
                <w:b/>
                <w:bCs/>
                <w:color w:val="000000"/>
              </w:rPr>
            </w:pPr>
            <w:r>
              <w:rPr>
                <w:rFonts w:cs="Arial"/>
                <w:b/>
                <w:bCs/>
                <w:color w:val="000000"/>
              </w:rPr>
              <w:t xml:space="preserve">ISBN </w:t>
            </w:r>
            <w:r>
              <w:rPr>
                <w:rFonts w:cs="Arial"/>
                <w:color w:val="000000"/>
              </w:rPr>
              <w:t>978-1-76096-533-4</w:t>
            </w:r>
            <w:r>
              <w:rPr>
                <w:rFonts w:cs="Arial"/>
                <w:b/>
                <w:bCs/>
                <w:color w:val="000000"/>
              </w:rPr>
              <w:t xml:space="preserve"> (pdf/online/MS word)</w:t>
            </w:r>
          </w:p>
          <w:p w14:paraId="3CC0F06A" w14:textId="67880F8C" w:rsidR="00B03AD7" w:rsidRDefault="00B03AD7" w:rsidP="00873FE6">
            <w:pPr>
              <w:pStyle w:val="Imprint"/>
            </w:pPr>
            <w:r>
              <w:rPr>
                <w:szCs w:val="19"/>
              </w:rPr>
              <w:t xml:space="preserve">Available at </w:t>
            </w:r>
            <w:hyperlink r:id="rId23" w:history="1">
              <w:r w:rsidRPr="00B42133">
                <w:rPr>
                  <w:rStyle w:val="Hyperlink"/>
                  <w:szCs w:val="19"/>
                </w:rPr>
                <w:t>Bulletins and Program Management</w:t>
              </w:r>
            </w:hyperlink>
            <w:r>
              <w:rPr>
                <w:szCs w:val="19"/>
              </w:rPr>
              <w:t xml:space="preserve"> Circulars &lt;</w:t>
            </w:r>
            <w:r>
              <w:t xml:space="preserve"> </w:t>
            </w:r>
            <w:r w:rsidRPr="00B42133">
              <w:rPr>
                <w:szCs w:val="19"/>
              </w:rPr>
              <w:t>https://www.health.vic.gov.au/research-and-reporting/bulletins-and-program-management-circulars-pmc</w:t>
            </w:r>
            <w:r>
              <w:rPr>
                <w:szCs w:val="19"/>
              </w:rPr>
              <w:t>&gt;</w:t>
            </w:r>
          </w:p>
        </w:tc>
      </w:tr>
      <w:bookmarkEnd w:id="60"/>
    </w:tbl>
    <w:p w14:paraId="27CC2AFA" w14:textId="77777777" w:rsidR="00C61690" w:rsidRPr="0061288D" w:rsidRDefault="00C61690" w:rsidP="00C95DC3">
      <w:pPr>
        <w:pStyle w:val="Body"/>
      </w:pPr>
    </w:p>
    <w:sectPr w:rsidR="00C61690" w:rsidRPr="0061288D" w:rsidSect="00C95DC3">
      <w:headerReference w:type="even" r:id="rId24"/>
      <w:headerReference w:type="default" r:id="rId25"/>
      <w:footerReference w:type="default" r:id="rId26"/>
      <w:headerReference w:type="first" r:id="rId27"/>
      <w:type w:val="continuous"/>
      <w:pgSz w:w="11906" w:h="16838" w:code="9"/>
      <w:pgMar w:top="1418" w:right="851" w:bottom="1134"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D77D4" w14:textId="77777777" w:rsidR="00876763" w:rsidRDefault="00876763">
      <w:r>
        <w:separator/>
      </w:r>
    </w:p>
  </w:endnote>
  <w:endnote w:type="continuationSeparator" w:id="0">
    <w:p w14:paraId="6C225F9B" w14:textId="77777777" w:rsidR="00876763" w:rsidRDefault="00876763">
      <w:r>
        <w:continuationSeparator/>
      </w:r>
    </w:p>
  </w:endnote>
  <w:endnote w:type="continuationNotice" w:id="1">
    <w:p w14:paraId="7B61F1D2" w14:textId="77777777" w:rsidR="00876763" w:rsidRDefault="00876763">
      <w:pPr>
        <w:spacing w:after="0" w:line="240" w:lineRule="auto"/>
      </w:pPr>
    </w:p>
  </w:endnote>
  <w:endnote w:id="2">
    <w:p w14:paraId="35DEC73D" w14:textId="08339814" w:rsidR="00AF778A" w:rsidRPr="00976F48" w:rsidRDefault="00AF778A" w:rsidP="00976F48">
      <w:pPr>
        <w:pStyle w:val="Body"/>
        <w:rPr>
          <w:sz w:val="16"/>
          <w:szCs w:val="16"/>
        </w:rPr>
      </w:pPr>
      <w:r w:rsidRPr="00976F48">
        <w:rPr>
          <w:rStyle w:val="EndnoteReference"/>
          <w:sz w:val="16"/>
          <w:szCs w:val="16"/>
        </w:rPr>
        <w:endnoteRef/>
      </w:r>
      <w:r w:rsidRPr="00976F48">
        <w:rPr>
          <w:sz w:val="16"/>
          <w:szCs w:val="16"/>
        </w:rPr>
        <w:t xml:space="preserve"> </w:t>
      </w:r>
      <w:r w:rsidRPr="00976F48">
        <w:rPr>
          <w:sz w:val="16"/>
          <w:szCs w:val="16"/>
          <w:shd w:val="clear" w:color="auto" w:fill="FFFFFF"/>
        </w:rPr>
        <w:t xml:space="preserve">Hansen MS, Fink P, Frydenberg M, Oxhøj M-L, Søndergaard L, Munk-Jørgensen P. Mental disorders among internal medical inpatients: prevalence, detection, and treatment status. J </w:t>
      </w:r>
      <w:proofErr w:type="spellStart"/>
      <w:r w:rsidRPr="00976F48">
        <w:rPr>
          <w:sz w:val="16"/>
          <w:szCs w:val="16"/>
          <w:shd w:val="clear" w:color="auto" w:fill="FFFFFF"/>
        </w:rPr>
        <w:t>Psychosom</w:t>
      </w:r>
      <w:proofErr w:type="spellEnd"/>
      <w:r w:rsidRPr="00976F48">
        <w:rPr>
          <w:sz w:val="16"/>
          <w:szCs w:val="16"/>
          <w:shd w:val="clear" w:color="auto" w:fill="FFFFFF"/>
        </w:rPr>
        <w:t xml:space="preserve"> Res. 2001;50(4):199–204; Martucci M, Balestrieri M, </w:t>
      </w:r>
      <w:proofErr w:type="spellStart"/>
      <w:r w:rsidRPr="00976F48">
        <w:rPr>
          <w:sz w:val="16"/>
          <w:szCs w:val="16"/>
          <w:shd w:val="clear" w:color="auto" w:fill="FFFFFF"/>
        </w:rPr>
        <w:t>Bisoffi</w:t>
      </w:r>
      <w:proofErr w:type="spellEnd"/>
      <w:r w:rsidRPr="00976F48">
        <w:rPr>
          <w:sz w:val="16"/>
          <w:szCs w:val="16"/>
          <w:shd w:val="clear" w:color="auto" w:fill="FFFFFF"/>
        </w:rPr>
        <w:t xml:space="preserve"> G, </w:t>
      </w:r>
      <w:proofErr w:type="spellStart"/>
      <w:r w:rsidRPr="00976F48">
        <w:rPr>
          <w:sz w:val="16"/>
          <w:szCs w:val="16"/>
          <w:shd w:val="clear" w:color="auto" w:fill="FFFFFF"/>
        </w:rPr>
        <w:t>Bonizzato</w:t>
      </w:r>
      <w:proofErr w:type="spellEnd"/>
      <w:r w:rsidRPr="00976F48">
        <w:rPr>
          <w:sz w:val="16"/>
          <w:szCs w:val="16"/>
          <w:shd w:val="clear" w:color="auto" w:fill="FFFFFF"/>
        </w:rPr>
        <w:t xml:space="preserve"> P, Covre MG, Cunico L, De Francesco M, Marinoni MG, </w:t>
      </w:r>
      <w:proofErr w:type="spellStart"/>
      <w:r w:rsidRPr="00976F48">
        <w:rPr>
          <w:sz w:val="16"/>
          <w:szCs w:val="16"/>
          <w:shd w:val="clear" w:color="auto" w:fill="FFFFFF"/>
        </w:rPr>
        <w:t>Mosciaro</w:t>
      </w:r>
      <w:proofErr w:type="spellEnd"/>
      <w:r w:rsidRPr="00976F48">
        <w:rPr>
          <w:sz w:val="16"/>
          <w:szCs w:val="16"/>
          <w:shd w:val="clear" w:color="auto" w:fill="FFFFFF"/>
        </w:rPr>
        <w:t xml:space="preserve"> C, </w:t>
      </w:r>
      <w:proofErr w:type="spellStart"/>
      <w:r w:rsidRPr="00976F48">
        <w:rPr>
          <w:sz w:val="16"/>
          <w:szCs w:val="16"/>
          <w:shd w:val="clear" w:color="auto" w:fill="FFFFFF"/>
        </w:rPr>
        <w:t>Piccinelli</w:t>
      </w:r>
      <w:proofErr w:type="spellEnd"/>
      <w:r w:rsidRPr="00976F48">
        <w:rPr>
          <w:sz w:val="16"/>
          <w:szCs w:val="16"/>
          <w:shd w:val="clear" w:color="auto" w:fill="FFFFFF"/>
        </w:rPr>
        <w:t xml:space="preserve"> M, et al. Evaluating psychiatric morbidity in a general hospital: a two-phase epidemiological survey. Psychol Med. 1999;29(4):823–32.</w:t>
      </w:r>
    </w:p>
  </w:endnote>
  <w:endnote w:id="3">
    <w:p w14:paraId="5E729E1B" w14:textId="33F57DAB" w:rsidR="00AF778A" w:rsidRDefault="00AF778A" w:rsidP="00976F48">
      <w:pPr>
        <w:pStyle w:val="Body"/>
        <w:rPr>
          <w:sz w:val="16"/>
          <w:szCs w:val="16"/>
          <w:shd w:val="clear" w:color="auto" w:fill="FFFFFF"/>
        </w:rPr>
      </w:pPr>
      <w:r w:rsidRPr="00976F48">
        <w:rPr>
          <w:rStyle w:val="EndnoteReference"/>
          <w:sz w:val="16"/>
          <w:szCs w:val="16"/>
        </w:rPr>
        <w:endnoteRef/>
      </w:r>
      <w:r w:rsidRPr="00976F48">
        <w:rPr>
          <w:sz w:val="16"/>
          <w:szCs w:val="16"/>
        </w:rPr>
        <w:t xml:space="preserve"> </w:t>
      </w:r>
      <w:r w:rsidRPr="00976F48">
        <w:rPr>
          <w:sz w:val="16"/>
          <w:szCs w:val="16"/>
          <w:shd w:val="clear" w:color="auto" w:fill="FFFFFF"/>
        </w:rPr>
        <w:t xml:space="preserve">Klein DA, </w:t>
      </w:r>
      <w:proofErr w:type="spellStart"/>
      <w:r w:rsidRPr="00976F48">
        <w:rPr>
          <w:sz w:val="16"/>
          <w:szCs w:val="16"/>
          <w:shd w:val="clear" w:color="auto" w:fill="FFFFFF"/>
        </w:rPr>
        <w:t>Saravay</w:t>
      </w:r>
      <w:proofErr w:type="spellEnd"/>
      <w:r w:rsidRPr="00976F48">
        <w:rPr>
          <w:sz w:val="16"/>
          <w:szCs w:val="16"/>
          <w:shd w:val="clear" w:color="auto" w:fill="FFFFFF"/>
        </w:rPr>
        <w:t xml:space="preserve"> SM, Pollack S. The attitudes of medical inpatients toward psychiatric consultation: a re-examination. Int J Psychiatry Med. 1996;26(3):287–93</w:t>
      </w:r>
    </w:p>
    <w:p w14:paraId="6BE2D64B" w14:textId="77777777" w:rsidR="00C95DC3" w:rsidRPr="00976F48" w:rsidRDefault="00C95DC3" w:rsidP="00976F48">
      <w:pPr>
        <w:pStyle w:val="Body"/>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Bold">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0B2F3" w14:textId="77777777" w:rsidR="004359DC" w:rsidRDefault="00435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CF95D" w14:textId="77777777" w:rsidR="00AF778A" w:rsidRPr="00F65AA9" w:rsidRDefault="00AF778A" w:rsidP="00F84FA0">
    <w:pPr>
      <w:pStyle w:val="Footer"/>
    </w:pPr>
    <w:r>
      <w:rPr>
        <w:noProof/>
        <w:lang w:eastAsia="en-AU"/>
      </w:rPr>
      <w:drawing>
        <wp:anchor distT="0" distB="0" distL="114300" distR="114300" simplePos="0" relativeHeight="251671040" behindDoc="1" locked="1" layoutInCell="1" allowOverlap="1" wp14:anchorId="6E2E7E18" wp14:editId="08A84839">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2608" behindDoc="0" locked="0" layoutInCell="0" allowOverlap="1" wp14:anchorId="3AE75C98" wp14:editId="58D7FB4C">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ADC9DC" w14:textId="77777777" w:rsidR="00AF778A" w:rsidRPr="00B21F90" w:rsidRDefault="00AF778A"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E75C9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26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0ADC9DC" w14:textId="77777777" w:rsidR="00AF778A" w:rsidRPr="00B21F90" w:rsidRDefault="00AF778A"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EF72E" w14:textId="77777777" w:rsidR="00AF778A" w:rsidRDefault="00AF778A">
    <w:pPr>
      <w:pStyle w:val="Footer"/>
    </w:pPr>
    <w:r>
      <w:rPr>
        <w:noProof/>
        <w:lang w:eastAsia="en-AU"/>
      </w:rPr>
      <mc:AlternateContent>
        <mc:Choice Requires="wps">
          <w:drawing>
            <wp:anchor distT="0" distB="0" distL="114300" distR="114300" simplePos="1" relativeHeight="251661824" behindDoc="0" locked="0" layoutInCell="0" allowOverlap="1" wp14:anchorId="70D088C5" wp14:editId="0B1BD891">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C65054" w14:textId="77777777" w:rsidR="00AF778A" w:rsidRPr="00B21F90" w:rsidRDefault="00AF778A"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D088C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6C65054" w14:textId="77777777" w:rsidR="00AF778A" w:rsidRPr="00B21F90" w:rsidRDefault="00AF778A"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EDC59" w14:textId="1D7023C7" w:rsidR="00AF778A" w:rsidRDefault="00AF778A">
    <w:pPr>
      <w:pStyle w:val="Footer"/>
      <w:jc w:val="center"/>
    </w:pPr>
    <w:r>
      <w:rPr>
        <w:noProof/>
        <w:lang w:eastAsia="en-AU"/>
      </w:rPr>
      <mc:AlternateContent>
        <mc:Choice Requires="wps">
          <w:drawing>
            <wp:anchor distT="0" distB="0" distL="114300" distR="114300" simplePos="0" relativeHeight="251656704" behindDoc="0" locked="0" layoutInCell="0" allowOverlap="1" wp14:anchorId="72194DA0" wp14:editId="7D56702E">
              <wp:simplePos x="0" y="0"/>
              <wp:positionH relativeFrom="page">
                <wp:posOffset>0</wp:posOffset>
              </wp:positionH>
              <wp:positionV relativeFrom="page">
                <wp:posOffset>10189210</wp:posOffset>
              </wp:positionV>
              <wp:extent cx="7560310" cy="311785"/>
              <wp:effectExtent l="0" t="0" r="0" b="12065"/>
              <wp:wrapNone/>
              <wp:docPr id="1" name="MSIPCMb0c44d4f99c73799cc70459a"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99B0F2" w14:textId="5085F256" w:rsidR="00AF778A" w:rsidRPr="00F7597A" w:rsidRDefault="00AF778A" w:rsidP="00F7597A">
                          <w:pPr>
                            <w:spacing w:after="0"/>
                            <w:jc w:val="center"/>
                            <w:rPr>
                              <w:rFonts w:ascii="Arial Black" w:hAnsi="Arial Black"/>
                              <w:color w:val="000000"/>
                              <w:sz w:val="20"/>
                            </w:rPr>
                          </w:pPr>
                          <w:r w:rsidRPr="00F7597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194DA0" id="_x0000_t202" coordsize="21600,21600" o:spt="202" path="m,l,21600r21600,l21600,xe">
              <v:stroke joinstyle="miter"/>
              <v:path gradientshapeok="t" o:connecttype="rect"/>
            </v:shapetype>
            <v:shape id="MSIPCMb0c44d4f99c73799cc70459a"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099B0F2" w14:textId="5085F256" w:rsidR="00AF778A" w:rsidRPr="00F7597A" w:rsidRDefault="00AF778A" w:rsidP="00F7597A">
                    <w:pPr>
                      <w:spacing w:after="0"/>
                      <w:jc w:val="center"/>
                      <w:rPr>
                        <w:rFonts w:ascii="Arial Black" w:hAnsi="Arial Black"/>
                        <w:color w:val="000000"/>
                        <w:sz w:val="20"/>
                      </w:rPr>
                    </w:pPr>
                    <w:r w:rsidRPr="00F7597A">
                      <w:rPr>
                        <w:rFonts w:ascii="Arial Black" w:hAnsi="Arial Black"/>
                        <w:color w:val="000000"/>
                        <w:sz w:val="20"/>
                      </w:rPr>
                      <w:t>OFFICIAL</w:t>
                    </w:r>
                  </w:p>
                </w:txbxContent>
              </v:textbox>
              <w10:wrap anchorx="page" anchory="page"/>
            </v:shape>
          </w:pict>
        </mc:Fallback>
      </mc:AlternateContent>
    </w:r>
    <w:sdt>
      <w:sdtPr>
        <w:id w:val="11210328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14</w:t>
        </w:r>
        <w:r>
          <w:rPr>
            <w:noProof/>
          </w:rPr>
          <w:fldChar w:fldCharType="end"/>
        </w:r>
      </w:sdtContent>
    </w:sdt>
  </w:p>
  <w:p w14:paraId="0BCE2889" w14:textId="7F8172D2" w:rsidR="00AF778A" w:rsidRPr="00F65AA9" w:rsidRDefault="00AF778A"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6A09B" w14:textId="77777777" w:rsidR="00876763" w:rsidRDefault="00876763" w:rsidP="002862F1">
      <w:pPr>
        <w:spacing w:before="120"/>
      </w:pPr>
      <w:r>
        <w:separator/>
      </w:r>
    </w:p>
  </w:footnote>
  <w:footnote w:type="continuationSeparator" w:id="0">
    <w:p w14:paraId="2C835B45" w14:textId="77777777" w:rsidR="00876763" w:rsidRDefault="00876763">
      <w:r>
        <w:continuationSeparator/>
      </w:r>
    </w:p>
  </w:footnote>
  <w:footnote w:type="continuationNotice" w:id="1">
    <w:p w14:paraId="333639AC" w14:textId="77777777" w:rsidR="00876763" w:rsidRDefault="008767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4E5EF" w14:textId="77777777" w:rsidR="004359DC" w:rsidRDefault="004359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23E4F" w14:textId="47E1CF2C" w:rsidR="00AF778A" w:rsidRDefault="00AF778A"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2E59C" w14:textId="77777777" w:rsidR="004359DC" w:rsidRDefault="004359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10E90" w14:textId="6DE144A3" w:rsidR="008E1760" w:rsidRDefault="008E17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8379D" w14:textId="761314C0" w:rsidR="00AF778A" w:rsidRPr="0051568D" w:rsidRDefault="00AF778A" w:rsidP="0011701A">
    <w:pPr>
      <w:pStyle w:val="Header"/>
    </w:pPr>
    <w:r>
      <w:t>Clinical mental health services: changes to registration and updates to outcome measurement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E1D41" w14:textId="3CD5B72E" w:rsidR="008E1760" w:rsidRDefault="008E17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B95FF" w14:textId="63E4A12E" w:rsidR="008E1760" w:rsidRDefault="008E176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39957" w14:textId="55083C13" w:rsidR="008E1760" w:rsidRDefault="008E17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36E1B" w14:textId="55100D8C" w:rsidR="008E1760" w:rsidRDefault="008E17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3B6063A"/>
    <w:multiLevelType w:val="hybridMultilevel"/>
    <w:tmpl w:val="3F4A5B84"/>
    <w:lvl w:ilvl="0" w:tplc="4E129732">
      <w:start w:val="1"/>
      <w:numFmt w:val="bullet"/>
      <w:lvlText w:val="•"/>
      <w:lvlJc w:val="left"/>
      <w:pPr>
        <w:tabs>
          <w:tab w:val="num" w:pos="720"/>
        </w:tabs>
        <w:ind w:left="720" w:hanging="360"/>
      </w:pPr>
      <w:rPr>
        <w:rFonts w:ascii="Arial" w:hAnsi="Arial" w:hint="default"/>
      </w:rPr>
    </w:lvl>
    <w:lvl w:ilvl="1" w:tplc="C9C63E78" w:tentative="1">
      <w:start w:val="1"/>
      <w:numFmt w:val="bullet"/>
      <w:lvlText w:val="•"/>
      <w:lvlJc w:val="left"/>
      <w:pPr>
        <w:tabs>
          <w:tab w:val="num" w:pos="1440"/>
        </w:tabs>
        <w:ind w:left="1440" w:hanging="360"/>
      </w:pPr>
      <w:rPr>
        <w:rFonts w:ascii="Arial" w:hAnsi="Arial" w:hint="default"/>
      </w:rPr>
    </w:lvl>
    <w:lvl w:ilvl="2" w:tplc="CE16CCA8" w:tentative="1">
      <w:start w:val="1"/>
      <w:numFmt w:val="bullet"/>
      <w:lvlText w:val="•"/>
      <w:lvlJc w:val="left"/>
      <w:pPr>
        <w:tabs>
          <w:tab w:val="num" w:pos="2160"/>
        </w:tabs>
        <w:ind w:left="2160" w:hanging="360"/>
      </w:pPr>
      <w:rPr>
        <w:rFonts w:ascii="Arial" w:hAnsi="Arial" w:hint="default"/>
      </w:rPr>
    </w:lvl>
    <w:lvl w:ilvl="3" w:tplc="FEB62D10" w:tentative="1">
      <w:start w:val="1"/>
      <w:numFmt w:val="bullet"/>
      <w:lvlText w:val="•"/>
      <w:lvlJc w:val="left"/>
      <w:pPr>
        <w:tabs>
          <w:tab w:val="num" w:pos="2880"/>
        </w:tabs>
        <w:ind w:left="2880" w:hanging="360"/>
      </w:pPr>
      <w:rPr>
        <w:rFonts w:ascii="Arial" w:hAnsi="Arial" w:hint="default"/>
      </w:rPr>
    </w:lvl>
    <w:lvl w:ilvl="4" w:tplc="34A63172" w:tentative="1">
      <w:start w:val="1"/>
      <w:numFmt w:val="bullet"/>
      <w:lvlText w:val="•"/>
      <w:lvlJc w:val="left"/>
      <w:pPr>
        <w:tabs>
          <w:tab w:val="num" w:pos="3600"/>
        </w:tabs>
        <w:ind w:left="3600" w:hanging="360"/>
      </w:pPr>
      <w:rPr>
        <w:rFonts w:ascii="Arial" w:hAnsi="Arial" w:hint="default"/>
      </w:rPr>
    </w:lvl>
    <w:lvl w:ilvl="5" w:tplc="3B6AB302" w:tentative="1">
      <w:start w:val="1"/>
      <w:numFmt w:val="bullet"/>
      <w:lvlText w:val="•"/>
      <w:lvlJc w:val="left"/>
      <w:pPr>
        <w:tabs>
          <w:tab w:val="num" w:pos="4320"/>
        </w:tabs>
        <w:ind w:left="4320" w:hanging="360"/>
      </w:pPr>
      <w:rPr>
        <w:rFonts w:ascii="Arial" w:hAnsi="Arial" w:hint="default"/>
      </w:rPr>
    </w:lvl>
    <w:lvl w:ilvl="6" w:tplc="DF66C7E0" w:tentative="1">
      <w:start w:val="1"/>
      <w:numFmt w:val="bullet"/>
      <w:lvlText w:val="•"/>
      <w:lvlJc w:val="left"/>
      <w:pPr>
        <w:tabs>
          <w:tab w:val="num" w:pos="5040"/>
        </w:tabs>
        <w:ind w:left="5040" w:hanging="360"/>
      </w:pPr>
      <w:rPr>
        <w:rFonts w:ascii="Arial" w:hAnsi="Arial" w:hint="default"/>
      </w:rPr>
    </w:lvl>
    <w:lvl w:ilvl="7" w:tplc="8312D99A" w:tentative="1">
      <w:start w:val="1"/>
      <w:numFmt w:val="bullet"/>
      <w:lvlText w:val="•"/>
      <w:lvlJc w:val="left"/>
      <w:pPr>
        <w:tabs>
          <w:tab w:val="num" w:pos="5760"/>
        </w:tabs>
        <w:ind w:left="5760" w:hanging="360"/>
      </w:pPr>
      <w:rPr>
        <w:rFonts w:ascii="Arial" w:hAnsi="Arial" w:hint="default"/>
      </w:rPr>
    </w:lvl>
    <w:lvl w:ilvl="8" w:tplc="958A3DB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08584E3E"/>
    <w:multiLevelType w:val="hybridMultilevel"/>
    <w:tmpl w:val="B8809BF8"/>
    <w:lvl w:ilvl="0" w:tplc="31DE6C7E">
      <w:start w:val="2021"/>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B8D43DB"/>
    <w:multiLevelType w:val="multilevel"/>
    <w:tmpl w:val="1D06E7FE"/>
    <w:numStyleLink w:val="ZZNumbersdigit"/>
  </w:abstractNum>
  <w:abstractNum w:abstractNumId="16"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2205592"/>
    <w:multiLevelType w:val="hybridMultilevel"/>
    <w:tmpl w:val="3568329E"/>
    <w:lvl w:ilvl="0" w:tplc="21D2C61C">
      <w:start w:val="1"/>
      <w:numFmt w:val="bullet"/>
      <w:lvlText w:val="•"/>
      <w:lvlJc w:val="left"/>
      <w:pPr>
        <w:tabs>
          <w:tab w:val="num" w:pos="720"/>
        </w:tabs>
        <w:ind w:left="720" w:hanging="360"/>
      </w:pPr>
      <w:rPr>
        <w:rFonts w:ascii="Arial" w:hAnsi="Arial" w:hint="default"/>
      </w:rPr>
    </w:lvl>
    <w:lvl w:ilvl="1" w:tplc="A894D3FE" w:tentative="1">
      <w:start w:val="1"/>
      <w:numFmt w:val="bullet"/>
      <w:lvlText w:val="•"/>
      <w:lvlJc w:val="left"/>
      <w:pPr>
        <w:tabs>
          <w:tab w:val="num" w:pos="1440"/>
        </w:tabs>
        <w:ind w:left="1440" w:hanging="360"/>
      </w:pPr>
      <w:rPr>
        <w:rFonts w:ascii="Arial" w:hAnsi="Arial" w:hint="default"/>
      </w:rPr>
    </w:lvl>
    <w:lvl w:ilvl="2" w:tplc="3CC2622C" w:tentative="1">
      <w:start w:val="1"/>
      <w:numFmt w:val="bullet"/>
      <w:lvlText w:val="•"/>
      <w:lvlJc w:val="left"/>
      <w:pPr>
        <w:tabs>
          <w:tab w:val="num" w:pos="2160"/>
        </w:tabs>
        <w:ind w:left="2160" w:hanging="360"/>
      </w:pPr>
      <w:rPr>
        <w:rFonts w:ascii="Arial" w:hAnsi="Arial" w:hint="default"/>
      </w:rPr>
    </w:lvl>
    <w:lvl w:ilvl="3" w:tplc="AD6CAEEA" w:tentative="1">
      <w:start w:val="1"/>
      <w:numFmt w:val="bullet"/>
      <w:lvlText w:val="•"/>
      <w:lvlJc w:val="left"/>
      <w:pPr>
        <w:tabs>
          <w:tab w:val="num" w:pos="2880"/>
        </w:tabs>
        <w:ind w:left="2880" w:hanging="360"/>
      </w:pPr>
      <w:rPr>
        <w:rFonts w:ascii="Arial" w:hAnsi="Arial" w:hint="default"/>
      </w:rPr>
    </w:lvl>
    <w:lvl w:ilvl="4" w:tplc="EFF05B5C" w:tentative="1">
      <w:start w:val="1"/>
      <w:numFmt w:val="bullet"/>
      <w:lvlText w:val="•"/>
      <w:lvlJc w:val="left"/>
      <w:pPr>
        <w:tabs>
          <w:tab w:val="num" w:pos="3600"/>
        </w:tabs>
        <w:ind w:left="3600" w:hanging="360"/>
      </w:pPr>
      <w:rPr>
        <w:rFonts w:ascii="Arial" w:hAnsi="Arial" w:hint="default"/>
      </w:rPr>
    </w:lvl>
    <w:lvl w:ilvl="5" w:tplc="6F2EBB66" w:tentative="1">
      <w:start w:val="1"/>
      <w:numFmt w:val="bullet"/>
      <w:lvlText w:val="•"/>
      <w:lvlJc w:val="left"/>
      <w:pPr>
        <w:tabs>
          <w:tab w:val="num" w:pos="4320"/>
        </w:tabs>
        <w:ind w:left="4320" w:hanging="360"/>
      </w:pPr>
      <w:rPr>
        <w:rFonts w:ascii="Arial" w:hAnsi="Arial" w:hint="default"/>
      </w:rPr>
    </w:lvl>
    <w:lvl w:ilvl="6" w:tplc="AFA008B2" w:tentative="1">
      <w:start w:val="1"/>
      <w:numFmt w:val="bullet"/>
      <w:lvlText w:val="•"/>
      <w:lvlJc w:val="left"/>
      <w:pPr>
        <w:tabs>
          <w:tab w:val="num" w:pos="5040"/>
        </w:tabs>
        <w:ind w:left="5040" w:hanging="360"/>
      </w:pPr>
      <w:rPr>
        <w:rFonts w:ascii="Arial" w:hAnsi="Arial" w:hint="default"/>
      </w:rPr>
    </w:lvl>
    <w:lvl w:ilvl="7" w:tplc="145C7F82" w:tentative="1">
      <w:start w:val="1"/>
      <w:numFmt w:val="bullet"/>
      <w:lvlText w:val="•"/>
      <w:lvlJc w:val="left"/>
      <w:pPr>
        <w:tabs>
          <w:tab w:val="num" w:pos="5760"/>
        </w:tabs>
        <w:ind w:left="5760" w:hanging="360"/>
      </w:pPr>
      <w:rPr>
        <w:rFonts w:ascii="Arial" w:hAnsi="Arial" w:hint="default"/>
      </w:rPr>
    </w:lvl>
    <w:lvl w:ilvl="8" w:tplc="186A1E6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9821E90"/>
    <w:multiLevelType w:val="hybridMultilevel"/>
    <w:tmpl w:val="879280C6"/>
    <w:lvl w:ilvl="0" w:tplc="88D26D62">
      <w:start w:val="1"/>
      <w:numFmt w:val="bullet"/>
      <w:lvlText w:val="•"/>
      <w:lvlJc w:val="left"/>
      <w:pPr>
        <w:tabs>
          <w:tab w:val="num" w:pos="720"/>
        </w:tabs>
        <w:ind w:left="720" w:hanging="360"/>
      </w:pPr>
      <w:rPr>
        <w:rFonts w:ascii="Arial" w:hAnsi="Arial" w:hint="default"/>
      </w:rPr>
    </w:lvl>
    <w:lvl w:ilvl="1" w:tplc="ABE60736" w:tentative="1">
      <w:start w:val="1"/>
      <w:numFmt w:val="bullet"/>
      <w:lvlText w:val="•"/>
      <w:lvlJc w:val="left"/>
      <w:pPr>
        <w:tabs>
          <w:tab w:val="num" w:pos="1440"/>
        </w:tabs>
        <w:ind w:left="1440" w:hanging="360"/>
      </w:pPr>
      <w:rPr>
        <w:rFonts w:ascii="Arial" w:hAnsi="Arial" w:hint="default"/>
      </w:rPr>
    </w:lvl>
    <w:lvl w:ilvl="2" w:tplc="0B8ECA1E" w:tentative="1">
      <w:start w:val="1"/>
      <w:numFmt w:val="bullet"/>
      <w:lvlText w:val="•"/>
      <w:lvlJc w:val="left"/>
      <w:pPr>
        <w:tabs>
          <w:tab w:val="num" w:pos="2160"/>
        </w:tabs>
        <w:ind w:left="2160" w:hanging="360"/>
      </w:pPr>
      <w:rPr>
        <w:rFonts w:ascii="Arial" w:hAnsi="Arial" w:hint="default"/>
      </w:rPr>
    </w:lvl>
    <w:lvl w:ilvl="3" w:tplc="55DE80E0" w:tentative="1">
      <w:start w:val="1"/>
      <w:numFmt w:val="bullet"/>
      <w:lvlText w:val="•"/>
      <w:lvlJc w:val="left"/>
      <w:pPr>
        <w:tabs>
          <w:tab w:val="num" w:pos="2880"/>
        </w:tabs>
        <w:ind w:left="2880" w:hanging="360"/>
      </w:pPr>
      <w:rPr>
        <w:rFonts w:ascii="Arial" w:hAnsi="Arial" w:hint="default"/>
      </w:rPr>
    </w:lvl>
    <w:lvl w:ilvl="4" w:tplc="B6324A82" w:tentative="1">
      <w:start w:val="1"/>
      <w:numFmt w:val="bullet"/>
      <w:lvlText w:val="•"/>
      <w:lvlJc w:val="left"/>
      <w:pPr>
        <w:tabs>
          <w:tab w:val="num" w:pos="3600"/>
        </w:tabs>
        <w:ind w:left="3600" w:hanging="360"/>
      </w:pPr>
      <w:rPr>
        <w:rFonts w:ascii="Arial" w:hAnsi="Arial" w:hint="default"/>
      </w:rPr>
    </w:lvl>
    <w:lvl w:ilvl="5" w:tplc="C188F9E4" w:tentative="1">
      <w:start w:val="1"/>
      <w:numFmt w:val="bullet"/>
      <w:lvlText w:val="•"/>
      <w:lvlJc w:val="left"/>
      <w:pPr>
        <w:tabs>
          <w:tab w:val="num" w:pos="4320"/>
        </w:tabs>
        <w:ind w:left="4320" w:hanging="360"/>
      </w:pPr>
      <w:rPr>
        <w:rFonts w:ascii="Arial" w:hAnsi="Arial" w:hint="default"/>
      </w:rPr>
    </w:lvl>
    <w:lvl w:ilvl="6" w:tplc="5D62F1EC" w:tentative="1">
      <w:start w:val="1"/>
      <w:numFmt w:val="bullet"/>
      <w:lvlText w:val="•"/>
      <w:lvlJc w:val="left"/>
      <w:pPr>
        <w:tabs>
          <w:tab w:val="num" w:pos="5040"/>
        </w:tabs>
        <w:ind w:left="5040" w:hanging="360"/>
      </w:pPr>
      <w:rPr>
        <w:rFonts w:ascii="Arial" w:hAnsi="Arial" w:hint="default"/>
      </w:rPr>
    </w:lvl>
    <w:lvl w:ilvl="7" w:tplc="AA786AD4" w:tentative="1">
      <w:start w:val="1"/>
      <w:numFmt w:val="bullet"/>
      <w:lvlText w:val="•"/>
      <w:lvlJc w:val="left"/>
      <w:pPr>
        <w:tabs>
          <w:tab w:val="num" w:pos="5760"/>
        </w:tabs>
        <w:ind w:left="5760" w:hanging="360"/>
      </w:pPr>
      <w:rPr>
        <w:rFonts w:ascii="Arial" w:hAnsi="Arial" w:hint="default"/>
      </w:rPr>
    </w:lvl>
    <w:lvl w:ilvl="8" w:tplc="D916E45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CD866B6"/>
    <w:multiLevelType w:val="hybridMultilevel"/>
    <w:tmpl w:val="4B30FD5E"/>
    <w:lvl w:ilvl="0" w:tplc="BADE77C6">
      <w:start w:val="1"/>
      <w:numFmt w:val="bullet"/>
      <w:lvlText w:val="•"/>
      <w:lvlJc w:val="left"/>
      <w:pPr>
        <w:tabs>
          <w:tab w:val="num" w:pos="720"/>
        </w:tabs>
        <w:ind w:left="720" w:hanging="360"/>
      </w:pPr>
      <w:rPr>
        <w:rFonts w:ascii="Arial" w:hAnsi="Arial" w:hint="default"/>
      </w:rPr>
    </w:lvl>
    <w:lvl w:ilvl="1" w:tplc="4D96FECC" w:tentative="1">
      <w:start w:val="1"/>
      <w:numFmt w:val="bullet"/>
      <w:lvlText w:val="•"/>
      <w:lvlJc w:val="left"/>
      <w:pPr>
        <w:tabs>
          <w:tab w:val="num" w:pos="1440"/>
        </w:tabs>
        <w:ind w:left="1440" w:hanging="360"/>
      </w:pPr>
      <w:rPr>
        <w:rFonts w:ascii="Arial" w:hAnsi="Arial" w:hint="default"/>
      </w:rPr>
    </w:lvl>
    <w:lvl w:ilvl="2" w:tplc="6EE47BFC" w:tentative="1">
      <w:start w:val="1"/>
      <w:numFmt w:val="bullet"/>
      <w:lvlText w:val="•"/>
      <w:lvlJc w:val="left"/>
      <w:pPr>
        <w:tabs>
          <w:tab w:val="num" w:pos="2160"/>
        </w:tabs>
        <w:ind w:left="2160" w:hanging="360"/>
      </w:pPr>
      <w:rPr>
        <w:rFonts w:ascii="Arial" w:hAnsi="Arial" w:hint="default"/>
      </w:rPr>
    </w:lvl>
    <w:lvl w:ilvl="3" w:tplc="F2762006" w:tentative="1">
      <w:start w:val="1"/>
      <w:numFmt w:val="bullet"/>
      <w:lvlText w:val="•"/>
      <w:lvlJc w:val="left"/>
      <w:pPr>
        <w:tabs>
          <w:tab w:val="num" w:pos="2880"/>
        </w:tabs>
        <w:ind w:left="2880" w:hanging="360"/>
      </w:pPr>
      <w:rPr>
        <w:rFonts w:ascii="Arial" w:hAnsi="Arial" w:hint="default"/>
      </w:rPr>
    </w:lvl>
    <w:lvl w:ilvl="4" w:tplc="F2CC2052" w:tentative="1">
      <w:start w:val="1"/>
      <w:numFmt w:val="bullet"/>
      <w:lvlText w:val="•"/>
      <w:lvlJc w:val="left"/>
      <w:pPr>
        <w:tabs>
          <w:tab w:val="num" w:pos="3600"/>
        </w:tabs>
        <w:ind w:left="3600" w:hanging="360"/>
      </w:pPr>
      <w:rPr>
        <w:rFonts w:ascii="Arial" w:hAnsi="Arial" w:hint="default"/>
      </w:rPr>
    </w:lvl>
    <w:lvl w:ilvl="5" w:tplc="6434B6A8" w:tentative="1">
      <w:start w:val="1"/>
      <w:numFmt w:val="bullet"/>
      <w:lvlText w:val="•"/>
      <w:lvlJc w:val="left"/>
      <w:pPr>
        <w:tabs>
          <w:tab w:val="num" w:pos="4320"/>
        </w:tabs>
        <w:ind w:left="4320" w:hanging="360"/>
      </w:pPr>
      <w:rPr>
        <w:rFonts w:ascii="Arial" w:hAnsi="Arial" w:hint="default"/>
      </w:rPr>
    </w:lvl>
    <w:lvl w:ilvl="6" w:tplc="BF7A6160" w:tentative="1">
      <w:start w:val="1"/>
      <w:numFmt w:val="bullet"/>
      <w:lvlText w:val="•"/>
      <w:lvlJc w:val="left"/>
      <w:pPr>
        <w:tabs>
          <w:tab w:val="num" w:pos="5040"/>
        </w:tabs>
        <w:ind w:left="5040" w:hanging="360"/>
      </w:pPr>
      <w:rPr>
        <w:rFonts w:ascii="Arial" w:hAnsi="Arial" w:hint="default"/>
      </w:rPr>
    </w:lvl>
    <w:lvl w:ilvl="7" w:tplc="FF8AE368" w:tentative="1">
      <w:start w:val="1"/>
      <w:numFmt w:val="bullet"/>
      <w:lvlText w:val="•"/>
      <w:lvlJc w:val="left"/>
      <w:pPr>
        <w:tabs>
          <w:tab w:val="num" w:pos="5760"/>
        </w:tabs>
        <w:ind w:left="5760" w:hanging="360"/>
      </w:pPr>
      <w:rPr>
        <w:rFonts w:ascii="Arial" w:hAnsi="Arial" w:hint="default"/>
      </w:rPr>
    </w:lvl>
    <w:lvl w:ilvl="8" w:tplc="A256309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01D5F41"/>
    <w:multiLevelType w:val="multilevel"/>
    <w:tmpl w:val="EB4A396A"/>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68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25"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AC63D1"/>
    <w:multiLevelType w:val="hybridMultilevel"/>
    <w:tmpl w:val="215C2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6F4A65"/>
    <w:multiLevelType w:val="hybridMultilevel"/>
    <w:tmpl w:val="A71EB9C6"/>
    <w:lvl w:ilvl="0" w:tplc="81B21068">
      <w:start w:val="1"/>
      <w:numFmt w:val="bullet"/>
      <w:lvlText w:val="•"/>
      <w:lvlJc w:val="left"/>
      <w:pPr>
        <w:tabs>
          <w:tab w:val="num" w:pos="720"/>
        </w:tabs>
        <w:ind w:left="720" w:hanging="360"/>
      </w:pPr>
      <w:rPr>
        <w:rFonts w:ascii="Arial" w:hAnsi="Arial" w:hint="default"/>
      </w:rPr>
    </w:lvl>
    <w:lvl w:ilvl="1" w:tplc="CE7C2776" w:tentative="1">
      <w:start w:val="1"/>
      <w:numFmt w:val="bullet"/>
      <w:lvlText w:val="•"/>
      <w:lvlJc w:val="left"/>
      <w:pPr>
        <w:tabs>
          <w:tab w:val="num" w:pos="1440"/>
        </w:tabs>
        <w:ind w:left="1440" w:hanging="360"/>
      </w:pPr>
      <w:rPr>
        <w:rFonts w:ascii="Arial" w:hAnsi="Arial" w:hint="default"/>
      </w:rPr>
    </w:lvl>
    <w:lvl w:ilvl="2" w:tplc="587263CE" w:tentative="1">
      <w:start w:val="1"/>
      <w:numFmt w:val="bullet"/>
      <w:lvlText w:val="•"/>
      <w:lvlJc w:val="left"/>
      <w:pPr>
        <w:tabs>
          <w:tab w:val="num" w:pos="2160"/>
        </w:tabs>
        <w:ind w:left="2160" w:hanging="360"/>
      </w:pPr>
      <w:rPr>
        <w:rFonts w:ascii="Arial" w:hAnsi="Arial" w:hint="default"/>
      </w:rPr>
    </w:lvl>
    <w:lvl w:ilvl="3" w:tplc="683888AA" w:tentative="1">
      <w:start w:val="1"/>
      <w:numFmt w:val="bullet"/>
      <w:lvlText w:val="•"/>
      <w:lvlJc w:val="left"/>
      <w:pPr>
        <w:tabs>
          <w:tab w:val="num" w:pos="2880"/>
        </w:tabs>
        <w:ind w:left="2880" w:hanging="360"/>
      </w:pPr>
      <w:rPr>
        <w:rFonts w:ascii="Arial" w:hAnsi="Arial" w:hint="default"/>
      </w:rPr>
    </w:lvl>
    <w:lvl w:ilvl="4" w:tplc="84E6E228" w:tentative="1">
      <w:start w:val="1"/>
      <w:numFmt w:val="bullet"/>
      <w:lvlText w:val="•"/>
      <w:lvlJc w:val="left"/>
      <w:pPr>
        <w:tabs>
          <w:tab w:val="num" w:pos="3600"/>
        </w:tabs>
        <w:ind w:left="3600" w:hanging="360"/>
      </w:pPr>
      <w:rPr>
        <w:rFonts w:ascii="Arial" w:hAnsi="Arial" w:hint="default"/>
      </w:rPr>
    </w:lvl>
    <w:lvl w:ilvl="5" w:tplc="B3E875C8" w:tentative="1">
      <w:start w:val="1"/>
      <w:numFmt w:val="bullet"/>
      <w:lvlText w:val="•"/>
      <w:lvlJc w:val="left"/>
      <w:pPr>
        <w:tabs>
          <w:tab w:val="num" w:pos="4320"/>
        </w:tabs>
        <w:ind w:left="4320" w:hanging="360"/>
      </w:pPr>
      <w:rPr>
        <w:rFonts w:ascii="Arial" w:hAnsi="Arial" w:hint="default"/>
      </w:rPr>
    </w:lvl>
    <w:lvl w:ilvl="6" w:tplc="D9623350" w:tentative="1">
      <w:start w:val="1"/>
      <w:numFmt w:val="bullet"/>
      <w:lvlText w:val="•"/>
      <w:lvlJc w:val="left"/>
      <w:pPr>
        <w:tabs>
          <w:tab w:val="num" w:pos="5040"/>
        </w:tabs>
        <w:ind w:left="5040" w:hanging="360"/>
      </w:pPr>
      <w:rPr>
        <w:rFonts w:ascii="Arial" w:hAnsi="Arial" w:hint="default"/>
      </w:rPr>
    </w:lvl>
    <w:lvl w:ilvl="7" w:tplc="00DE9620" w:tentative="1">
      <w:start w:val="1"/>
      <w:numFmt w:val="bullet"/>
      <w:lvlText w:val="•"/>
      <w:lvlJc w:val="left"/>
      <w:pPr>
        <w:tabs>
          <w:tab w:val="num" w:pos="5760"/>
        </w:tabs>
        <w:ind w:left="5760" w:hanging="360"/>
      </w:pPr>
      <w:rPr>
        <w:rFonts w:ascii="Arial" w:hAnsi="Arial" w:hint="default"/>
      </w:rPr>
    </w:lvl>
    <w:lvl w:ilvl="8" w:tplc="F1FAAF4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71C02FCF"/>
    <w:multiLevelType w:val="hybridMultilevel"/>
    <w:tmpl w:val="9FCE0E08"/>
    <w:lvl w:ilvl="0" w:tplc="C970788A">
      <w:start w:val="1"/>
      <w:numFmt w:val="bullet"/>
      <w:lvlText w:val="•"/>
      <w:lvlJc w:val="left"/>
      <w:pPr>
        <w:tabs>
          <w:tab w:val="num" w:pos="720"/>
        </w:tabs>
        <w:ind w:left="720" w:hanging="360"/>
      </w:pPr>
      <w:rPr>
        <w:rFonts w:ascii="Arial" w:hAnsi="Arial" w:hint="default"/>
      </w:rPr>
    </w:lvl>
    <w:lvl w:ilvl="1" w:tplc="C382CA56" w:tentative="1">
      <w:start w:val="1"/>
      <w:numFmt w:val="bullet"/>
      <w:lvlText w:val="•"/>
      <w:lvlJc w:val="left"/>
      <w:pPr>
        <w:tabs>
          <w:tab w:val="num" w:pos="1440"/>
        </w:tabs>
        <w:ind w:left="1440" w:hanging="360"/>
      </w:pPr>
      <w:rPr>
        <w:rFonts w:ascii="Arial" w:hAnsi="Arial" w:hint="default"/>
      </w:rPr>
    </w:lvl>
    <w:lvl w:ilvl="2" w:tplc="D1764DF2" w:tentative="1">
      <w:start w:val="1"/>
      <w:numFmt w:val="bullet"/>
      <w:lvlText w:val="•"/>
      <w:lvlJc w:val="left"/>
      <w:pPr>
        <w:tabs>
          <w:tab w:val="num" w:pos="2160"/>
        </w:tabs>
        <w:ind w:left="2160" w:hanging="360"/>
      </w:pPr>
      <w:rPr>
        <w:rFonts w:ascii="Arial" w:hAnsi="Arial" w:hint="default"/>
      </w:rPr>
    </w:lvl>
    <w:lvl w:ilvl="3" w:tplc="CD584968" w:tentative="1">
      <w:start w:val="1"/>
      <w:numFmt w:val="bullet"/>
      <w:lvlText w:val="•"/>
      <w:lvlJc w:val="left"/>
      <w:pPr>
        <w:tabs>
          <w:tab w:val="num" w:pos="2880"/>
        </w:tabs>
        <w:ind w:left="2880" w:hanging="360"/>
      </w:pPr>
      <w:rPr>
        <w:rFonts w:ascii="Arial" w:hAnsi="Arial" w:hint="default"/>
      </w:rPr>
    </w:lvl>
    <w:lvl w:ilvl="4" w:tplc="9E964DA4" w:tentative="1">
      <w:start w:val="1"/>
      <w:numFmt w:val="bullet"/>
      <w:lvlText w:val="•"/>
      <w:lvlJc w:val="left"/>
      <w:pPr>
        <w:tabs>
          <w:tab w:val="num" w:pos="3600"/>
        </w:tabs>
        <w:ind w:left="3600" w:hanging="360"/>
      </w:pPr>
      <w:rPr>
        <w:rFonts w:ascii="Arial" w:hAnsi="Arial" w:hint="default"/>
      </w:rPr>
    </w:lvl>
    <w:lvl w:ilvl="5" w:tplc="18FE1F9C" w:tentative="1">
      <w:start w:val="1"/>
      <w:numFmt w:val="bullet"/>
      <w:lvlText w:val="•"/>
      <w:lvlJc w:val="left"/>
      <w:pPr>
        <w:tabs>
          <w:tab w:val="num" w:pos="4320"/>
        </w:tabs>
        <w:ind w:left="4320" w:hanging="360"/>
      </w:pPr>
      <w:rPr>
        <w:rFonts w:ascii="Arial" w:hAnsi="Arial" w:hint="default"/>
      </w:rPr>
    </w:lvl>
    <w:lvl w:ilvl="6" w:tplc="F23C9512" w:tentative="1">
      <w:start w:val="1"/>
      <w:numFmt w:val="bullet"/>
      <w:lvlText w:val="•"/>
      <w:lvlJc w:val="left"/>
      <w:pPr>
        <w:tabs>
          <w:tab w:val="num" w:pos="5040"/>
        </w:tabs>
        <w:ind w:left="5040" w:hanging="360"/>
      </w:pPr>
      <w:rPr>
        <w:rFonts w:ascii="Arial" w:hAnsi="Arial" w:hint="default"/>
      </w:rPr>
    </w:lvl>
    <w:lvl w:ilvl="7" w:tplc="4A22535C" w:tentative="1">
      <w:start w:val="1"/>
      <w:numFmt w:val="bullet"/>
      <w:lvlText w:val="•"/>
      <w:lvlJc w:val="left"/>
      <w:pPr>
        <w:tabs>
          <w:tab w:val="num" w:pos="5760"/>
        </w:tabs>
        <w:ind w:left="5760" w:hanging="360"/>
      </w:pPr>
      <w:rPr>
        <w:rFonts w:ascii="Arial" w:hAnsi="Arial" w:hint="default"/>
      </w:rPr>
    </w:lvl>
    <w:lvl w:ilvl="8" w:tplc="855C924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B0A0874"/>
    <w:multiLevelType w:val="hybridMultilevel"/>
    <w:tmpl w:val="07267862"/>
    <w:lvl w:ilvl="0" w:tplc="BD6C6EBE">
      <w:start w:val="1"/>
      <w:numFmt w:val="decimal"/>
      <w:lvlText w:val="%1."/>
      <w:lvlJc w:val="left"/>
      <w:pPr>
        <w:ind w:left="644" w:hanging="360"/>
      </w:pPr>
      <w:rPr>
        <w:rFonts w:hint="default"/>
        <w:sz w:val="32"/>
        <w:szCs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C0C3E37"/>
    <w:multiLevelType w:val="hybridMultilevel"/>
    <w:tmpl w:val="0322B216"/>
    <w:lvl w:ilvl="0" w:tplc="A7EEF808">
      <w:start w:val="1"/>
      <w:numFmt w:val="bullet"/>
      <w:lvlText w:val="•"/>
      <w:lvlJc w:val="left"/>
      <w:pPr>
        <w:tabs>
          <w:tab w:val="num" w:pos="720"/>
        </w:tabs>
        <w:ind w:left="720" w:hanging="360"/>
      </w:pPr>
      <w:rPr>
        <w:rFonts w:ascii="Arial" w:hAnsi="Arial" w:hint="default"/>
      </w:rPr>
    </w:lvl>
    <w:lvl w:ilvl="1" w:tplc="F172678C" w:tentative="1">
      <w:start w:val="1"/>
      <w:numFmt w:val="bullet"/>
      <w:lvlText w:val="•"/>
      <w:lvlJc w:val="left"/>
      <w:pPr>
        <w:tabs>
          <w:tab w:val="num" w:pos="1440"/>
        </w:tabs>
        <w:ind w:left="1440" w:hanging="360"/>
      </w:pPr>
      <w:rPr>
        <w:rFonts w:ascii="Arial" w:hAnsi="Arial" w:hint="default"/>
      </w:rPr>
    </w:lvl>
    <w:lvl w:ilvl="2" w:tplc="E86296EE" w:tentative="1">
      <w:start w:val="1"/>
      <w:numFmt w:val="bullet"/>
      <w:lvlText w:val="•"/>
      <w:lvlJc w:val="left"/>
      <w:pPr>
        <w:tabs>
          <w:tab w:val="num" w:pos="2160"/>
        </w:tabs>
        <w:ind w:left="2160" w:hanging="360"/>
      </w:pPr>
      <w:rPr>
        <w:rFonts w:ascii="Arial" w:hAnsi="Arial" w:hint="default"/>
      </w:rPr>
    </w:lvl>
    <w:lvl w:ilvl="3" w:tplc="AFD64C52" w:tentative="1">
      <w:start w:val="1"/>
      <w:numFmt w:val="bullet"/>
      <w:lvlText w:val="•"/>
      <w:lvlJc w:val="left"/>
      <w:pPr>
        <w:tabs>
          <w:tab w:val="num" w:pos="2880"/>
        </w:tabs>
        <w:ind w:left="2880" w:hanging="360"/>
      </w:pPr>
      <w:rPr>
        <w:rFonts w:ascii="Arial" w:hAnsi="Arial" w:hint="default"/>
      </w:rPr>
    </w:lvl>
    <w:lvl w:ilvl="4" w:tplc="449CA9E2" w:tentative="1">
      <w:start w:val="1"/>
      <w:numFmt w:val="bullet"/>
      <w:lvlText w:val="•"/>
      <w:lvlJc w:val="left"/>
      <w:pPr>
        <w:tabs>
          <w:tab w:val="num" w:pos="3600"/>
        </w:tabs>
        <w:ind w:left="3600" w:hanging="360"/>
      </w:pPr>
      <w:rPr>
        <w:rFonts w:ascii="Arial" w:hAnsi="Arial" w:hint="default"/>
      </w:rPr>
    </w:lvl>
    <w:lvl w:ilvl="5" w:tplc="DFAA1F7C" w:tentative="1">
      <w:start w:val="1"/>
      <w:numFmt w:val="bullet"/>
      <w:lvlText w:val="•"/>
      <w:lvlJc w:val="left"/>
      <w:pPr>
        <w:tabs>
          <w:tab w:val="num" w:pos="4320"/>
        </w:tabs>
        <w:ind w:left="4320" w:hanging="360"/>
      </w:pPr>
      <w:rPr>
        <w:rFonts w:ascii="Arial" w:hAnsi="Arial" w:hint="default"/>
      </w:rPr>
    </w:lvl>
    <w:lvl w:ilvl="6" w:tplc="209C89F2" w:tentative="1">
      <w:start w:val="1"/>
      <w:numFmt w:val="bullet"/>
      <w:lvlText w:val="•"/>
      <w:lvlJc w:val="left"/>
      <w:pPr>
        <w:tabs>
          <w:tab w:val="num" w:pos="5040"/>
        </w:tabs>
        <w:ind w:left="5040" w:hanging="360"/>
      </w:pPr>
      <w:rPr>
        <w:rFonts w:ascii="Arial" w:hAnsi="Arial" w:hint="default"/>
      </w:rPr>
    </w:lvl>
    <w:lvl w:ilvl="7" w:tplc="9C365568" w:tentative="1">
      <w:start w:val="1"/>
      <w:numFmt w:val="bullet"/>
      <w:lvlText w:val="•"/>
      <w:lvlJc w:val="left"/>
      <w:pPr>
        <w:tabs>
          <w:tab w:val="num" w:pos="5760"/>
        </w:tabs>
        <w:ind w:left="5760" w:hanging="360"/>
      </w:pPr>
      <w:rPr>
        <w:rFonts w:ascii="Arial" w:hAnsi="Arial" w:hint="default"/>
      </w:rPr>
    </w:lvl>
    <w:lvl w:ilvl="8" w:tplc="F216C450" w:tentative="1">
      <w:start w:val="1"/>
      <w:numFmt w:val="bullet"/>
      <w:lvlText w:val="•"/>
      <w:lvlJc w:val="left"/>
      <w:pPr>
        <w:tabs>
          <w:tab w:val="num" w:pos="6480"/>
        </w:tabs>
        <w:ind w:left="6480" w:hanging="360"/>
      </w:pPr>
      <w:rPr>
        <w:rFonts w:ascii="Arial" w:hAnsi="Arial" w:hint="default"/>
      </w:rPr>
    </w:lvl>
  </w:abstractNum>
  <w:num w:numId="1" w16cid:durableId="1539664040">
    <w:abstractNumId w:val="10"/>
  </w:num>
  <w:num w:numId="2" w16cid:durableId="197671615">
    <w:abstractNumId w:val="22"/>
  </w:num>
  <w:num w:numId="3" w16cid:durableId="4704890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46834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74898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10702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08506">
    <w:abstractNumId w:val="28"/>
  </w:num>
  <w:num w:numId="8" w16cid:durableId="1703703790">
    <w:abstractNumId w:val="20"/>
  </w:num>
  <w:num w:numId="9" w16cid:durableId="1269658190">
    <w:abstractNumId w:val="27"/>
  </w:num>
  <w:num w:numId="10" w16cid:durableId="1637122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3861842">
    <w:abstractNumId w:val="29"/>
  </w:num>
  <w:num w:numId="12" w16cid:durableId="12847252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6928761">
    <w:abstractNumId w:val="23"/>
  </w:num>
  <w:num w:numId="14" w16cid:durableId="21044980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6568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0709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89159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01859740">
    <w:abstractNumId w:val="32"/>
  </w:num>
  <w:num w:numId="19" w16cid:durableId="16601843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8268973">
    <w:abstractNumId w:val="16"/>
  </w:num>
  <w:num w:numId="21" w16cid:durableId="1476487113">
    <w:abstractNumId w:val="12"/>
  </w:num>
  <w:num w:numId="22" w16cid:durableId="20512985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3697520">
    <w:abstractNumId w:val="17"/>
  </w:num>
  <w:num w:numId="24" w16cid:durableId="1387217798">
    <w:abstractNumId w:val="34"/>
  </w:num>
  <w:num w:numId="25" w16cid:durableId="1892496415">
    <w:abstractNumId w:val="30"/>
  </w:num>
  <w:num w:numId="26" w16cid:durableId="1217470271">
    <w:abstractNumId w:val="25"/>
  </w:num>
  <w:num w:numId="27" w16cid:durableId="645401033">
    <w:abstractNumId w:val="11"/>
  </w:num>
  <w:num w:numId="28" w16cid:durableId="1404061158">
    <w:abstractNumId w:val="35"/>
  </w:num>
  <w:num w:numId="29" w16cid:durableId="1579049852">
    <w:abstractNumId w:val="9"/>
  </w:num>
  <w:num w:numId="30" w16cid:durableId="107244649">
    <w:abstractNumId w:val="7"/>
  </w:num>
  <w:num w:numId="31" w16cid:durableId="1417903939">
    <w:abstractNumId w:val="6"/>
  </w:num>
  <w:num w:numId="32" w16cid:durableId="435102579">
    <w:abstractNumId w:val="5"/>
  </w:num>
  <w:num w:numId="33" w16cid:durableId="1702778494">
    <w:abstractNumId w:val="4"/>
  </w:num>
  <w:num w:numId="34" w16cid:durableId="149490488">
    <w:abstractNumId w:val="8"/>
  </w:num>
  <w:num w:numId="35" w16cid:durableId="91054072">
    <w:abstractNumId w:val="3"/>
  </w:num>
  <w:num w:numId="36" w16cid:durableId="362244791">
    <w:abstractNumId w:val="2"/>
  </w:num>
  <w:num w:numId="37" w16cid:durableId="75826069">
    <w:abstractNumId w:val="1"/>
  </w:num>
  <w:num w:numId="38" w16cid:durableId="1078794641">
    <w:abstractNumId w:val="0"/>
  </w:num>
  <w:num w:numId="39" w16cid:durableId="15051230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9256470">
    <w:abstractNumId w:val="21"/>
  </w:num>
  <w:num w:numId="41" w16cid:durableId="1581333372">
    <w:abstractNumId w:val="24"/>
    <w:lvlOverride w:ilvl="0">
      <w:lvl w:ilvl="0">
        <w:start w:val="1"/>
        <w:numFmt w:val="decimal"/>
        <w:pStyle w:val="MELegal1"/>
        <w:lvlText w:val="%1."/>
        <w:lvlJc w:val="left"/>
        <w:pPr>
          <w:ind w:left="680" w:hanging="680"/>
        </w:pPr>
        <w:rPr>
          <w:rFonts w:hint="default"/>
        </w:rPr>
      </w:lvl>
    </w:lvlOverride>
    <w:lvlOverride w:ilvl="1">
      <w:lvl w:ilvl="1">
        <w:start w:val="1"/>
        <w:numFmt w:val="decimal"/>
        <w:pStyle w:val="MELegal2"/>
        <w:lvlText w:val="%1.%2"/>
        <w:lvlJc w:val="left"/>
        <w:pPr>
          <w:ind w:left="680" w:hanging="680"/>
        </w:pPr>
        <w:rPr>
          <w:rFonts w:hint="default"/>
        </w:rPr>
      </w:lvl>
    </w:lvlOverride>
    <w:lvlOverride w:ilvl="2">
      <w:lvl w:ilvl="2">
        <w:start w:val="1"/>
        <w:numFmt w:val="lowerLetter"/>
        <w:pStyle w:val="MELegal3"/>
        <w:lvlText w:val="(%3)"/>
        <w:lvlJc w:val="left"/>
        <w:pPr>
          <w:ind w:left="681" w:hanging="681"/>
        </w:pPr>
        <w:rPr>
          <w:rFonts w:hint="default"/>
        </w:rPr>
      </w:lvl>
    </w:lvlOverride>
    <w:lvlOverride w:ilvl="3">
      <w:lvl w:ilvl="3">
        <w:start w:val="1"/>
        <w:numFmt w:val="lowerRoman"/>
        <w:pStyle w:val="MELegal4"/>
        <w:lvlText w:val="(%4)"/>
        <w:lvlJc w:val="left"/>
        <w:pPr>
          <w:ind w:left="2041" w:hanging="680"/>
        </w:pPr>
        <w:rPr>
          <w:rFonts w:hint="default"/>
        </w:rPr>
      </w:lvl>
    </w:lvlOverride>
    <w:lvlOverride w:ilvl="4">
      <w:lvl w:ilvl="4">
        <w:start w:val="1"/>
        <w:numFmt w:val="upperLetter"/>
        <w:pStyle w:val="MELegal5"/>
        <w:lvlText w:val="(%5)"/>
        <w:lvlJc w:val="left"/>
        <w:pPr>
          <w:tabs>
            <w:tab w:val="num" w:pos="2722"/>
          </w:tabs>
          <w:ind w:left="2722" w:hanging="681"/>
        </w:pPr>
        <w:rPr>
          <w:rFonts w:hint="default"/>
        </w:rPr>
      </w:lvl>
    </w:lvlOverride>
    <w:lvlOverride w:ilvl="5">
      <w:lvl w:ilvl="5">
        <w:start w:val="1"/>
        <w:numFmt w:val="upperRoman"/>
        <w:pStyle w:val="MELegal6"/>
        <w:lvlText w:val="(%6)"/>
        <w:lvlJc w:val="left"/>
        <w:pPr>
          <w:tabs>
            <w:tab w:val="num" w:pos="3402"/>
          </w:tabs>
          <w:ind w:left="3402" w:hanging="680"/>
        </w:pPr>
        <w:rPr>
          <w:rFonts w:hint="default"/>
        </w:rPr>
      </w:lvl>
    </w:lvlOverride>
    <w:lvlOverride w:ilvl="6">
      <w:lvl w:ilvl="6">
        <w:start w:val="1"/>
        <w:numFmt w:val="decimal"/>
        <w:pStyle w:val="MELegal7"/>
        <w:lvlText w:val="(%7)"/>
        <w:lvlJc w:val="left"/>
        <w:pPr>
          <w:tabs>
            <w:tab w:val="num" w:pos="4082"/>
          </w:tabs>
          <w:ind w:left="4082" w:hanging="680"/>
        </w:pPr>
        <w:rPr>
          <w:rFonts w:hint="default"/>
        </w:rPr>
      </w:lvl>
    </w:lvlOverride>
    <w:lvlOverride w:ilvl="7">
      <w:lvl w:ilvl="7">
        <w:start w:val="1"/>
        <w:numFmt w:val="upperLetter"/>
        <w:pStyle w:val="MELegal8"/>
        <w:lvlText w:val="%8."/>
        <w:lvlJc w:val="left"/>
        <w:pPr>
          <w:tabs>
            <w:tab w:val="num" w:pos="4763"/>
          </w:tabs>
          <w:ind w:left="4763" w:hanging="681"/>
        </w:pPr>
        <w:rPr>
          <w:rFonts w:hint="default"/>
        </w:rPr>
      </w:lvl>
    </w:lvlOverride>
    <w:lvlOverride w:ilvl="8">
      <w:lvl w:ilvl="8">
        <w:start w:val="1"/>
        <w:numFmt w:val="upperRoman"/>
        <w:pStyle w:val="MELegal9"/>
        <w:lvlText w:val="%9."/>
        <w:lvlJc w:val="left"/>
        <w:pPr>
          <w:tabs>
            <w:tab w:val="num" w:pos="5443"/>
          </w:tabs>
          <w:ind w:left="5443" w:hanging="680"/>
        </w:pPr>
        <w:rPr>
          <w:rFonts w:hint="default"/>
        </w:rPr>
      </w:lvl>
    </w:lvlOverride>
  </w:num>
  <w:num w:numId="42" w16cid:durableId="1941642446">
    <w:abstractNumId w:val="24"/>
  </w:num>
  <w:num w:numId="43" w16cid:durableId="1643660646">
    <w:abstractNumId w:val="31"/>
  </w:num>
  <w:num w:numId="44" w16cid:durableId="1022629105">
    <w:abstractNumId w:val="19"/>
  </w:num>
  <w:num w:numId="45" w16cid:durableId="198705591">
    <w:abstractNumId w:val="37"/>
  </w:num>
  <w:num w:numId="46" w16cid:durableId="1034622799">
    <w:abstractNumId w:val="18"/>
  </w:num>
  <w:num w:numId="47" w16cid:durableId="420877557">
    <w:abstractNumId w:val="13"/>
  </w:num>
  <w:num w:numId="48" w16cid:durableId="276449376">
    <w:abstractNumId w:val="33"/>
  </w:num>
  <w:num w:numId="49" w16cid:durableId="325281629">
    <w:abstractNumId w:val="26"/>
  </w:num>
  <w:num w:numId="50" w16cid:durableId="765077049">
    <w:abstractNumId w:val="14"/>
  </w:num>
  <w:num w:numId="51" w16cid:durableId="1942105417">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267"/>
    <w:rsid w:val="00000719"/>
    <w:rsid w:val="00003403"/>
    <w:rsid w:val="00005347"/>
    <w:rsid w:val="000072B6"/>
    <w:rsid w:val="0001021B"/>
    <w:rsid w:val="00011D89"/>
    <w:rsid w:val="0001360A"/>
    <w:rsid w:val="00013616"/>
    <w:rsid w:val="00013B31"/>
    <w:rsid w:val="000144FA"/>
    <w:rsid w:val="00014C53"/>
    <w:rsid w:val="000154FD"/>
    <w:rsid w:val="00016FBF"/>
    <w:rsid w:val="00022271"/>
    <w:rsid w:val="000226F8"/>
    <w:rsid w:val="00022842"/>
    <w:rsid w:val="00023061"/>
    <w:rsid w:val="000235E8"/>
    <w:rsid w:val="00024349"/>
    <w:rsid w:val="00024D89"/>
    <w:rsid w:val="000250B6"/>
    <w:rsid w:val="00030101"/>
    <w:rsid w:val="00033D81"/>
    <w:rsid w:val="00036AFD"/>
    <w:rsid w:val="00037366"/>
    <w:rsid w:val="00041BF0"/>
    <w:rsid w:val="00042C8A"/>
    <w:rsid w:val="0004536B"/>
    <w:rsid w:val="00046B68"/>
    <w:rsid w:val="00047A74"/>
    <w:rsid w:val="0005184A"/>
    <w:rsid w:val="000527DD"/>
    <w:rsid w:val="000578B2"/>
    <w:rsid w:val="00057AEC"/>
    <w:rsid w:val="0006073E"/>
    <w:rsid w:val="00060959"/>
    <w:rsid w:val="00060C8F"/>
    <w:rsid w:val="0006121F"/>
    <w:rsid w:val="0006298A"/>
    <w:rsid w:val="00063BD0"/>
    <w:rsid w:val="000645CF"/>
    <w:rsid w:val="0006514A"/>
    <w:rsid w:val="00065BA3"/>
    <w:rsid w:val="000663CD"/>
    <w:rsid w:val="0006701B"/>
    <w:rsid w:val="00071AE7"/>
    <w:rsid w:val="000733FE"/>
    <w:rsid w:val="000737ED"/>
    <w:rsid w:val="00074219"/>
    <w:rsid w:val="00074ED5"/>
    <w:rsid w:val="00075455"/>
    <w:rsid w:val="0007626F"/>
    <w:rsid w:val="000808C0"/>
    <w:rsid w:val="000835C2"/>
    <w:rsid w:val="000835C6"/>
    <w:rsid w:val="00083779"/>
    <w:rsid w:val="00084713"/>
    <w:rsid w:val="0008508E"/>
    <w:rsid w:val="000851BD"/>
    <w:rsid w:val="00087951"/>
    <w:rsid w:val="0009113B"/>
    <w:rsid w:val="000917C5"/>
    <w:rsid w:val="00091A9F"/>
    <w:rsid w:val="00093402"/>
    <w:rsid w:val="00093EF2"/>
    <w:rsid w:val="00094DA3"/>
    <w:rsid w:val="000954D8"/>
    <w:rsid w:val="000968D2"/>
    <w:rsid w:val="00096CD1"/>
    <w:rsid w:val="00097208"/>
    <w:rsid w:val="000A010A"/>
    <w:rsid w:val="000A012C"/>
    <w:rsid w:val="000A0EB9"/>
    <w:rsid w:val="000A186C"/>
    <w:rsid w:val="000A1EA4"/>
    <w:rsid w:val="000A2476"/>
    <w:rsid w:val="000A641A"/>
    <w:rsid w:val="000A728C"/>
    <w:rsid w:val="000B153E"/>
    <w:rsid w:val="000B3EDB"/>
    <w:rsid w:val="000B543D"/>
    <w:rsid w:val="000B55F9"/>
    <w:rsid w:val="000B5BF7"/>
    <w:rsid w:val="000B6BC8"/>
    <w:rsid w:val="000B719D"/>
    <w:rsid w:val="000B7289"/>
    <w:rsid w:val="000C0303"/>
    <w:rsid w:val="000C1136"/>
    <w:rsid w:val="000C1E2C"/>
    <w:rsid w:val="000C4117"/>
    <w:rsid w:val="000C42EA"/>
    <w:rsid w:val="000C4546"/>
    <w:rsid w:val="000C517F"/>
    <w:rsid w:val="000D1242"/>
    <w:rsid w:val="000D21F9"/>
    <w:rsid w:val="000D6FE7"/>
    <w:rsid w:val="000E0970"/>
    <w:rsid w:val="000E1207"/>
    <w:rsid w:val="000E1910"/>
    <w:rsid w:val="000E3CC7"/>
    <w:rsid w:val="000E6BD4"/>
    <w:rsid w:val="000E6D6D"/>
    <w:rsid w:val="000E7CF5"/>
    <w:rsid w:val="000F02E7"/>
    <w:rsid w:val="000F1F1E"/>
    <w:rsid w:val="000F2259"/>
    <w:rsid w:val="000F2BBF"/>
    <w:rsid w:val="000F2DDA"/>
    <w:rsid w:val="000F5213"/>
    <w:rsid w:val="000F765C"/>
    <w:rsid w:val="00101001"/>
    <w:rsid w:val="00103276"/>
    <w:rsid w:val="0010392D"/>
    <w:rsid w:val="0010447F"/>
    <w:rsid w:val="00104FE3"/>
    <w:rsid w:val="0010714F"/>
    <w:rsid w:val="001071D2"/>
    <w:rsid w:val="001102F2"/>
    <w:rsid w:val="001120C5"/>
    <w:rsid w:val="00116D94"/>
    <w:rsid w:val="0011701A"/>
    <w:rsid w:val="001175F5"/>
    <w:rsid w:val="00120BD3"/>
    <w:rsid w:val="00121135"/>
    <w:rsid w:val="00121F43"/>
    <w:rsid w:val="00122FEA"/>
    <w:rsid w:val="00123165"/>
    <w:rsid w:val="001232BD"/>
    <w:rsid w:val="00124ED5"/>
    <w:rsid w:val="0012724F"/>
    <w:rsid w:val="001276FA"/>
    <w:rsid w:val="0014255B"/>
    <w:rsid w:val="001447B3"/>
    <w:rsid w:val="00152073"/>
    <w:rsid w:val="00154E2D"/>
    <w:rsid w:val="00156598"/>
    <w:rsid w:val="00156AF9"/>
    <w:rsid w:val="00157479"/>
    <w:rsid w:val="0016110A"/>
    <w:rsid w:val="0016118F"/>
    <w:rsid w:val="0016129E"/>
    <w:rsid w:val="00161939"/>
    <w:rsid w:val="00161AA0"/>
    <w:rsid w:val="00161D2E"/>
    <w:rsid w:val="00161F3E"/>
    <w:rsid w:val="00162093"/>
    <w:rsid w:val="00162CA9"/>
    <w:rsid w:val="0016467E"/>
    <w:rsid w:val="00165459"/>
    <w:rsid w:val="001658D9"/>
    <w:rsid w:val="00165A57"/>
    <w:rsid w:val="001712C2"/>
    <w:rsid w:val="001721AF"/>
    <w:rsid w:val="00172BAF"/>
    <w:rsid w:val="00173104"/>
    <w:rsid w:val="001771DD"/>
    <w:rsid w:val="00177995"/>
    <w:rsid w:val="00177A8C"/>
    <w:rsid w:val="00180492"/>
    <w:rsid w:val="00186B33"/>
    <w:rsid w:val="00191C35"/>
    <w:rsid w:val="00192F9D"/>
    <w:rsid w:val="00196EB8"/>
    <w:rsid w:val="00196EFB"/>
    <w:rsid w:val="001979FF"/>
    <w:rsid w:val="00197B17"/>
    <w:rsid w:val="001A1950"/>
    <w:rsid w:val="001A1C54"/>
    <w:rsid w:val="001A3332"/>
    <w:rsid w:val="001A3ACE"/>
    <w:rsid w:val="001A7D86"/>
    <w:rsid w:val="001B058F"/>
    <w:rsid w:val="001B738B"/>
    <w:rsid w:val="001C02FB"/>
    <w:rsid w:val="001C09DB"/>
    <w:rsid w:val="001C277E"/>
    <w:rsid w:val="001C2A72"/>
    <w:rsid w:val="001C31B7"/>
    <w:rsid w:val="001C4D9D"/>
    <w:rsid w:val="001C4F78"/>
    <w:rsid w:val="001C6E96"/>
    <w:rsid w:val="001C7225"/>
    <w:rsid w:val="001D0444"/>
    <w:rsid w:val="001D0844"/>
    <w:rsid w:val="001D0B75"/>
    <w:rsid w:val="001D3865"/>
    <w:rsid w:val="001D39A5"/>
    <w:rsid w:val="001D3C09"/>
    <w:rsid w:val="001D44E8"/>
    <w:rsid w:val="001D5D56"/>
    <w:rsid w:val="001D60EC"/>
    <w:rsid w:val="001D6F59"/>
    <w:rsid w:val="001D7176"/>
    <w:rsid w:val="001E0C5D"/>
    <w:rsid w:val="001E0E80"/>
    <w:rsid w:val="001E2A36"/>
    <w:rsid w:val="001E44DF"/>
    <w:rsid w:val="001E5058"/>
    <w:rsid w:val="001E5CB5"/>
    <w:rsid w:val="001E68A5"/>
    <w:rsid w:val="001E6BB0"/>
    <w:rsid w:val="001E7282"/>
    <w:rsid w:val="001F129D"/>
    <w:rsid w:val="001F3826"/>
    <w:rsid w:val="001F6E46"/>
    <w:rsid w:val="001F7186"/>
    <w:rsid w:val="001F7C91"/>
    <w:rsid w:val="00200176"/>
    <w:rsid w:val="002033B7"/>
    <w:rsid w:val="002036F7"/>
    <w:rsid w:val="0020577B"/>
    <w:rsid w:val="00205CB2"/>
    <w:rsid w:val="00206463"/>
    <w:rsid w:val="00206F2F"/>
    <w:rsid w:val="0021053D"/>
    <w:rsid w:val="00210A92"/>
    <w:rsid w:val="00216C03"/>
    <w:rsid w:val="00220C04"/>
    <w:rsid w:val="0022278D"/>
    <w:rsid w:val="00224ACF"/>
    <w:rsid w:val="00225267"/>
    <w:rsid w:val="00225B3C"/>
    <w:rsid w:val="0022701F"/>
    <w:rsid w:val="00227C68"/>
    <w:rsid w:val="002333F5"/>
    <w:rsid w:val="00233724"/>
    <w:rsid w:val="002365B4"/>
    <w:rsid w:val="002424A9"/>
    <w:rsid w:val="002432E1"/>
    <w:rsid w:val="00246207"/>
    <w:rsid w:val="00246C5E"/>
    <w:rsid w:val="00247389"/>
    <w:rsid w:val="002507D1"/>
    <w:rsid w:val="00250960"/>
    <w:rsid w:val="00251343"/>
    <w:rsid w:val="00253094"/>
    <w:rsid w:val="002536A4"/>
    <w:rsid w:val="00254F58"/>
    <w:rsid w:val="0025664F"/>
    <w:rsid w:val="0025673C"/>
    <w:rsid w:val="00260B22"/>
    <w:rsid w:val="002620BC"/>
    <w:rsid w:val="00262802"/>
    <w:rsid w:val="00263A90"/>
    <w:rsid w:val="00263C1F"/>
    <w:rsid w:val="00264085"/>
    <w:rsid w:val="0026408B"/>
    <w:rsid w:val="00265292"/>
    <w:rsid w:val="002674B9"/>
    <w:rsid w:val="00267C3E"/>
    <w:rsid w:val="002709BB"/>
    <w:rsid w:val="0027113F"/>
    <w:rsid w:val="00273901"/>
    <w:rsid w:val="00273BAC"/>
    <w:rsid w:val="002754F3"/>
    <w:rsid w:val="00275A5D"/>
    <w:rsid w:val="002763B3"/>
    <w:rsid w:val="00276BEB"/>
    <w:rsid w:val="00277C1A"/>
    <w:rsid w:val="002802E3"/>
    <w:rsid w:val="0028213D"/>
    <w:rsid w:val="002862F1"/>
    <w:rsid w:val="00290206"/>
    <w:rsid w:val="00291373"/>
    <w:rsid w:val="00294BAC"/>
    <w:rsid w:val="0029597D"/>
    <w:rsid w:val="002962C3"/>
    <w:rsid w:val="0029752B"/>
    <w:rsid w:val="002A094E"/>
    <w:rsid w:val="002A0A9C"/>
    <w:rsid w:val="002A276C"/>
    <w:rsid w:val="002A483C"/>
    <w:rsid w:val="002A55C1"/>
    <w:rsid w:val="002B0C7C"/>
    <w:rsid w:val="002B1729"/>
    <w:rsid w:val="002B36C7"/>
    <w:rsid w:val="002B4DD4"/>
    <w:rsid w:val="002B5277"/>
    <w:rsid w:val="002B5375"/>
    <w:rsid w:val="002B77C1"/>
    <w:rsid w:val="002C0ED7"/>
    <w:rsid w:val="002C2728"/>
    <w:rsid w:val="002C5B39"/>
    <w:rsid w:val="002C702C"/>
    <w:rsid w:val="002C7565"/>
    <w:rsid w:val="002D1E0D"/>
    <w:rsid w:val="002D3858"/>
    <w:rsid w:val="002D4C22"/>
    <w:rsid w:val="002D5006"/>
    <w:rsid w:val="002D7585"/>
    <w:rsid w:val="002D7610"/>
    <w:rsid w:val="002E01D0"/>
    <w:rsid w:val="002E161D"/>
    <w:rsid w:val="002E3100"/>
    <w:rsid w:val="002E6C95"/>
    <w:rsid w:val="002E7C36"/>
    <w:rsid w:val="002F0107"/>
    <w:rsid w:val="002F3D32"/>
    <w:rsid w:val="002F3EC2"/>
    <w:rsid w:val="002F5F31"/>
    <w:rsid w:val="002F5F46"/>
    <w:rsid w:val="0030127B"/>
    <w:rsid w:val="00301585"/>
    <w:rsid w:val="00302203"/>
    <w:rsid w:val="00302216"/>
    <w:rsid w:val="00303E53"/>
    <w:rsid w:val="003040F2"/>
    <w:rsid w:val="00305B87"/>
    <w:rsid w:val="00305CC1"/>
    <w:rsid w:val="00306E5F"/>
    <w:rsid w:val="00307E14"/>
    <w:rsid w:val="00310596"/>
    <w:rsid w:val="00314054"/>
    <w:rsid w:val="00315BD8"/>
    <w:rsid w:val="00316F27"/>
    <w:rsid w:val="003214F1"/>
    <w:rsid w:val="00322E4B"/>
    <w:rsid w:val="00327870"/>
    <w:rsid w:val="0033259D"/>
    <w:rsid w:val="00332D32"/>
    <w:rsid w:val="003333D2"/>
    <w:rsid w:val="00334AFB"/>
    <w:rsid w:val="003356D7"/>
    <w:rsid w:val="00336101"/>
    <w:rsid w:val="00337A12"/>
    <w:rsid w:val="003406C6"/>
    <w:rsid w:val="0034176C"/>
    <w:rsid w:val="003418CC"/>
    <w:rsid w:val="003459BD"/>
    <w:rsid w:val="00346303"/>
    <w:rsid w:val="003465E3"/>
    <w:rsid w:val="00350D38"/>
    <w:rsid w:val="00351B36"/>
    <w:rsid w:val="00356F88"/>
    <w:rsid w:val="00357B4E"/>
    <w:rsid w:val="00357DF3"/>
    <w:rsid w:val="00362523"/>
    <w:rsid w:val="00363EEF"/>
    <w:rsid w:val="00366CCD"/>
    <w:rsid w:val="003705F0"/>
    <w:rsid w:val="003716FD"/>
    <w:rsid w:val="0037204B"/>
    <w:rsid w:val="00372520"/>
    <w:rsid w:val="00373890"/>
    <w:rsid w:val="003744CF"/>
    <w:rsid w:val="00374717"/>
    <w:rsid w:val="003764E7"/>
    <w:rsid w:val="0037676C"/>
    <w:rsid w:val="00381043"/>
    <w:rsid w:val="003810C1"/>
    <w:rsid w:val="0038253F"/>
    <w:rsid w:val="003829E5"/>
    <w:rsid w:val="0038378A"/>
    <w:rsid w:val="00384DA6"/>
    <w:rsid w:val="00385E52"/>
    <w:rsid w:val="00386109"/>
    <w:rsid w:val="00386724"/>
    <w:rsid w:val="00386944"/>
    <w:rsid w:val="00387225"/>
    <w:rsid w:val="00387E62"/>
    <w:rsid w:val="003907C8"/>
    <w:rsid w:val="00394190"/>
    <w:rsid w:val="003956CC"/>
    <w:rsid w:val="00395C9A"/>
    <w:rsid w:val="003A0853"/>
    <w:rsid w:val="003A20BC"/>
    <w:rsid w:val="003A6B1E"/>
    <w:rsid w:val="003A6B67"/>
    <w:rsid w:val="003B13B6"/>
    <w:rsid w:val="003B15E6"/>
    <w:rsid w:val="003B408A"/>
    <w:rsid w:val="003B5733"/>
    <w:rsid w:val="003C0331"/>
    <w:rsid w:val="003C08A2"/>
    <w:rsid w:val="003C2045"/>
    <w:rsid w:val="003C2DAF"/>
    <w:rsid w:val="003C399D"/>
    <w:rsid w:val="003C43A1"/>
    <w:rsid w:val="003C4FC0"/>
    <w:rsid w:val="003C55F4"/>
    <w:rsid w:val="003C7897"/>
    <w:rsid w:val="003C7A3F"/>
    <w:rsid w:val="003D2766"/>
    <w:rsid w:val="003D2A74"/>
    <w:rsid w:val="003D3E8F"/>
    <w:rsid w:val="003D6475"/>
    <w:rsid w:val="003D7583"/>
    <w:rsid w:val="003E22A5"/>
    <w:rsid w:val="003E2375"/>
    <w:rsid w:val="003E375C"/>
    <w:rsid w:val="003E4086"/>
    <w:rsid w:val="003E57B7"/>
    <w:rsid w:val="003E61B0"/>
    <w:rsid w:val="003E639E"/>
    <w:rsid w:val="003E71E5"/>
    <w:rsid w:val="003F0167"/>
    <w:rsid w:val="003F0445"/>
    <w:rsid w:val="003F070A"/>
    <w:rsid w:val="003F0CF0"/>
    <w:rsid w:val="003F14B1"/>
    <w:rsid w:val="003F2B20"/>
    <w:rsid w:val="003F2E38"/>
    <w:rsid w:val="003F3289"/>
    <w:rsid w:val="003F3612"/>
    <w:rsid w:val="003F5CB9"/>
    <w:rsid w:val="00400522"/>
    <w:rsid w:val="004013C7"/>
    <w:rsid w:val="00401FCF"/>
    <w:rsid w:val="0040248F"/>
    <w:rsid w:val="004028BE"/>
    <w:rsid w:val="004043F3"/>
    <w:rsid w:val="00406285"/>
    <w:rsid w:val="00407FCB"/>
    <w:rsid w:val="004112C6"/>
    <w:rsid w:val="004148F9"/>
    <w:rsid w:val="00414D4A"/>
    <w:rsid w:val="00415FD4"/>
    <w:rsid w:val="0042084E"/>
    <w:rsid w:val="00421EEF"/>
    <w:rsid w:val="00424D65"/>
    <w:rsid w:val="00432D05"/>
    <w:rsid w:val="004359DC"/>
    <w:rsid w:val="0044048B"/>
    <w:rsid w:val="00442C6C"/>
    <w:rsid w:val="00443CBE"/>
    <w:rsid w:val="00443E8A"/>
    <w:rsid w:val="004441BC"/>
    <w:rsid w:val="004468B4"/>
    <w:rsid w:val="00451202"/>
    <w:rsid w:val="0045230A"/>
    <w:rsid w:val="00454AD0"/>
    <w:rsid w:val="00457337"/>
    <w:rsid w:val="00460ABC"/>
    <w:rsid w:val="00462E3D"/>
    <w:rsid w:val="00466E79"/>
    <w:rsid w:val="00470D7D"/>
    <w:rsid w:val="0047372D"/>
    <w:rsid w:val="00473BA3"/>
    <w:rsid w:val="004743DD"/>
    <w:rsid w:val="00474CEA"/>
    <w:rsid w:val="0047624F"/>
    <w:rsid w:val="00480419"/>
    <w:rsid w:val="00482724"/>
    <w:rsid w:val="00482D35"/>
    <w:rsid w:val="004832ED"/>
    <w:rsid w:val="00483968"/>
    <w:rsid w:val="00484637"/>
    <w:rsid w:val="00484F86"/>
    <w:rsid w:val="00485906"/>
    <w:rsid w:val="00490746"/>
    <w:rsid w:val="00490852"/>
    <w:rsid w:val="0049107F"/>
    <w:rsid w:val="00491C9C"/>
    <w:rsid w:val="00492F30"/>
    <w:rsid w:val="004946F4"/>
    <w:rsid w:val="0049487E"/>
    <w:rsid w:val="00496CE6"/>
    <w:rsid w:val="004A0630"/>
    <w:rsid w:val="004A0DF8"/>
    <w:rsid w:val="004A1252"/>
    <w:rsid w:val="004A160D"/>
    <w:rsid w:val="004A3E81"/>
    <w:rsid w:val="004A4195"/>
    <w:rsid w:val="004A5C62"/>
    <w:rsid w:val="004A5CE5"/>
    <w:rsid w:val="004A691F"/>
    <w:rsid w:val="004A707D"/>
    <w:rsid w:val="004B5528"/>
    <w:rsid w:val="004C0EFF"/>
    <w:rsid w:val="004C2ECE"/>
    <w:rsid w:val="004C38AB"/>
    <w:rsid w:val="004C5541"/>
    <w:rsid w:val="004C6EEE"/>
    <w:rsid w:val="004C702B"/>
    <w:rsid w:val="004D0033"/>
    <w:rsid w:val="004D016B"/>
    <w:rsid w:val="004D1B22"/>
    <w:rsid w:val="004D23CC"/>
    <w:rsid w:val="004D2E38"/>
    <w:rsid w:val="004D36F2"/>
    <w:rsid w:val="004D543A"/>
    <w:rsid w:val="004E04E6"/>
    <w:rsid w:val="004E1106"/>
    <w:rsid w:val="004E138F"/>
    <w:rsid w:val="004E4649"/>
    <w:rsid w:val="004E5C2B"/>
    <w:rsid w:val="004F00DD"/>
    <w:rsid w:val="004F20FB"/>
    <w:rsid w:val="004F2133"/>
    <w:rsid w:val="004F4D39"/>
    <w:rsid w:val="004F5398"/>
    <w:rsid w:val="004F55F1"/>
    <w:rsid w:val="004F6936"/>
    <w:rsid w:val="00503DC6"/>
    <w:rsid w:val="00506F5D"/>
    <w:rsid w:val="00510C37"/>
    <w:rsid w:val="005126D0"/>
    <w:rsid w:val="005130BC"/>
    <w:rsid w:val="0051568D"/>
    <w:rsid w:val="0051578C"/>
    <w:rsid w:val="00516319"/>
    <w:rsid w:val="00520443"/>
    <w:rsid w:val="005215B1"/>
    <w:rsid w:val="0052391C"/>
    <w:rsid w:val="00524931"/>
    <w:rsid w:val="00526AC7"/>
    <w:rsid w:val="00526C15"/>
    <w:rsid w:val="0052762E"/>
    <w:rsid w:val="00532542"/>
    <w:rsid w:val="005357E2"/>
    <w:rsid w:val="00535E00"/>
    <w:rsid w:val="00536395"/>
    <w:rsid w:val="00536499"/>
    <w:rsid w:val="00537211"/>
    <w:rsid w:val="005402EB"/>
    <w:rsid w:val="0054264D"/>
    <w:rsid w:val="0054347D"/>
    <w:rsid w:val="00543903"/>
    <w:rsid w:val="00543F11"/>
    <w:rsid w:val="005449AD"/>
    <w:rsid w:val="00546305"/>
    <w:rsid w:val="00547574"/>
    <w:rsid w:val="00547A95"/>
    <w:rsid w:val="0055119B"/>
    <w:rsid w:val="005548B5"/>
    <w:rsid w:val="00554C28"/>
    <w:rsid w:val="005636D9"/>
    <w:rsid w:val="0056495B"/>
    <w:rsid w:val="00567197"/>
    <w:rsid w:val="005716A6"/>
    <w:rsid w:val="00572031"/>
    <w:rsid w:val="00572282"/>
    <w:rsid w:val="00573CE3"/>
    <w:rsid w:val="00574ACF"/>
    <w:rsid w:val="00576E84"/>
    <w:rsid w:val="00580394"/>
    <w:rsid w:val="005809CD"/>
    <w:rsid w:val="00582B8C"/>
    <w:rsid w:val="0058534B"/>
    <w:rsid w:val="0058757E"/>
    <w:rsid w:val="00593160"/>
    <w:rsid w:val="00596A4B"/>
    <w:rsid w:val="00597507"/>
    <w:rsid w:val="00597E33"/>
    <w:rsid w:val="005A2F2C"/>
    <w:rsid w:val="005A479D"/>
    <w:rsid w:val="005A595C"/>
    <w:rsid w:val="005B1C6D"/>
    <w:rsid w:val="005B21B6"/>
    <w:rsid w:val="005B3A08"/>
    <w:rsid w:val="005B3A86"/>
    <w:rsid w:val="005B5B7D"/>
    <w:rsid w:val="005B64DD"/>
    <w:rsid w:val="005B6785"/>
    <w:rsid w:val="005B7A63"/>
    <w:rsid w:val="005C0565"/>
    <w:rsid w:val="005C0955"/>
    <w:rsid w:val="005C0B45"/>
    <w:rsid w:val="005C49DA"/>
    <w:rsid w:val="005C50F3"/>
    <w:rsid w:val="005C5361"/>
    <w:rsid w:val="005C54B5"/>
    <w:rsid w:val="005C5D80"/>
    <w:rsid w:val="005C5D91"/>
    <w:rsid w:val="005D07B8"/>
    <w:rsid w:val="005D2066"/>
    <w:rsid w:val="005D4360"/>
    <w:rsid w:val="005D630B"/>
    <w:rsid w:val="005D6597"/>
    <w:rsid w:val="005D7BDD"/>
    <w:rsid w:val="005E0DB7"/>
    <w:rsid w:val="005E14E7"/>
    <w:rsid w:val="005E26A3"/>
    <w:rsid w:val="005E2ECB"/>
    <w:rsid w:val="005E447E"/>
    <w:rsid w:val="005E4FD1"/>
    <w:rsid w:val="005E68A9"/>
    <w:rsid w:val="005F0775"/>
    <w:rsid w:val="005F0CF5"/>
    <w:rsid w:val="005F153E"/>
    <w:rsid w:val="005F16CF"/>
    <w:rsid w:val="005F1C0B"/>
    <w:rsid w:val="005F21EB"/>
    <w:rsid w:val="005F29D3"/>
    <w:rsid w:val="00605908"/>
    <w:rsid w:val="006107D8"/>
    <w:rsid w:val="00610D7C"/>
    <w:rsid w:val="0061288D"/>
    <w:rsid w:val="00613414"/>
    <w:rsid w:val="00620154"/>
    <w:rsid w:val="00620690"/>
    <w:rsid w:val="00621E82"/>
    <w:rsid w:val="0062408D"/>
    <w:rsid w:val="006240CC"/>
    <w:rsid w:val="00624940"/>
    <w:rsid w:val="006254F8"/>
    <w:rsid w:val="00627DA7"/>
    <w:rsid w:val="00630DA4"/>
    <w:rsid w:val="00632074"/>
    <w:rsid w:val="00632406"/>
    <w:rsid w:val="00632597"/>
    <w:rsid w:val="006358B4"/>
    <w:rsid w:val="006361AF"/>
    <w:rsid w:val="0064106D"/>
    <w:rsid w:val="006419AA"/>
    <w:rsid w:val="006432C4"/>
    <w:rsid w:val="00643739"/>
    <w:rsid w:val="006448ED"/>
    <w:rsid w:val="00644B1F"/>
    <w:rsid w:val="00644B7E"/>
    <w:rsid w:val="006454E6"/>
    <w:rsid w:val="00645695"/>
    <w:rsid w:val="00646235"/>
    <w:rsid w:val="00646A68"/>
    <w:rsid w:val="006505BD"/>
    <w:rsid w:val="006508EA"/>
    <w:rsid w:val="0065092E"/>
    <w:rsid w:val="006557A7"/>
    <w:rsid w:val="00656290"/>
    <w:rsid w:val="00660880"/>
    <w:rsid w:val="006608D8"/>
    <w:rsid w:val="006621D7"/>
    <w:rsid w:val="0066302A"/>
    <w:rsid w:val="00667262"/>
    <w:rsid w:val="006672EE"/>
    <w:rsid w:val="00667770"/>
    <w:rsid w:val="00670597"/>
    <w:rsid w:val="006706D0"/>
    <w:rsid w:val="00677574"/>
    <w:rsid w:val="00682B24"/>
    <w:rsid w:val="0068454C"/>
    <w:rsid w:val="00684AF0"/>
    <w:rsid w:val="006901A4"/>
    <w:rsid w:val="00691B62"/>
    <w:rsid w:val="006933B5"/>
    <w:rsid w:val="00693D14"/>
    <w:rsid w:val="00696F27"/>
    <w:rsid w:val="006A18C2"/>
    <w:rsid w:val="006A2036"/>
    <w:rsid w:val="006A2B3A"/>
    <w:rsid w:val="006A3383"/>
    <w:rsid w:val="006A3F11"/>
    <w:rsid w:val="006B077C"/>
    <w:rsid w:val="006B28B5"/>
    <w:rsid w:val="006B6803"/>
    <w:rsid w:val="006B72EB"/>
    <w:rsid w:val="006B75A5"/>
    <w:rsid w:val="006C2839"/>
    <w:rsid w:val="006C3845"/>
    <w:rsid w:val="006C7865"/>
    <w:rsid w:val="006C7E75"/>
    <w:rsid w:val="006D0F16"/>
    <w:rsid w:val="006D2A3F"/>
    <w:rsid w:val="006D2FBC"/>
    <w:rsid w:val="006D447C"/>
    <w:rsid w:val="006E0541"/>
    <w:rsid w:val="006E0CCB"/>
    <w:rsid w:val="006E138B"/>
    <w:rsid w:val="006F0330"/>
    <w:rsid w:val="006F0435"/>
    <w:rsid w:val="006F1FDC"/>
    <w:rsid w:val="006F6B8C"/>
    <w:rsid w:val="0070033B"/>
    <w:rsid w:val="007013EF"/>
    <w:rsid w:val="007055BD"/>
    <w:rsid w:val="00707611"/>
    <w:rsid w:val="00712FE6"/>
    <w:rsid w:val="00714361"/>
    <w:rsid w:val="0071552A"/>
    <w:rsid w:val="00716975"/>
    <w:rsid w:val="00716A78"/>
    <w:rsid w:val="007173CA"/>
    <w:rsid w:val="007216AA"/>
    <w:rsid w:val="00721AB5"/>
    <w:rsid w:val="00721CFB"/>
    <w:rsid w:val="00721DEF"/>
    <w:rsid w:val="0072251A"/>
    <w:rsid w:val="00723676"/>
    <w:rsid w:val="00724A43"/>
    <w:rsid w:val="00724AD6"/>
    <w:rsid w:val="007273AC"/>
    <w:rsid w:val="00731AD4"/>
    <w:rsid w:val="00734331"/>
    <w:rsid w:val="007346E4"/>
    <w:rsid w:val="00734FCA"/>
    <w:rsid w:val="00735727"/>
    <w:rsid w:val="0073582E"/>
    <w:rsid w:val="00740F22"/>
    <w:rsid w:val="00741CF0"/>
    <w:rsid w:val="00741F1A"/>
    <w:rsid w:val="0074454B"/>
    <w:rsid w:val="007447DA"/>
    <w:rsid w:val="007450F8"/>
    <w:rsid w:val="0074696E"/>
    <w:rsid w:val="00750135"/>
    <w:rsid w:val="00750EC2"/>
    <w:rsid w:val="00752B28"/>
    <w:rsid w:val="007541A9"/>
    <w:rsid w:val="00754E36"/>
    <w:rsid w:val="00757CAF"/>
    <w:rsid w:val="007602BC"/>
    <w:rsid w:val="0076248E"/>
    <w:rsid w:val="00763139"/>
    <w:rsid w:val="00763813"/>
    <w:rsid w:val="00770F37"/>
    <w:rsid w:val="007711A0"/>
    <w:rsid w:val="00772D5E"/>
    <w:rsid w:val="00773843"/>
    <w:rsid w:val="0077463E"/>
    <w:rsid w:val="00776928"/>
    <w:rsid w:val="00776E0F"/>
    <w:rsid w:val="007774B1"/>
    <w:rsid w:val="00777BE1"/>
    <w:rsid w:val="007833D8"/>
    <w:rsid w:val="00785677"/>
    <w:rsid w:val="00786F16"/>
    <w:rsid w:val="00791BD7"/>
    <w:rsid w:val="00792A0F"/>
    <w:rsid w:val="007933F7"/>
    <w:rsid w:val="00795370"/>
    <w:rsid w:val="00795A72"/>
    <w:rsid w:val="00795E03"/>
    <w:rsid w:val="00796E20"/>
    <w:rsid w:val="00797C32"/>
    <w:rsid w:val="007A11E8"/>
    <w:rsid w:val="007A3F3A"/>
    <w:rsid w:val="007A6925"/>
    <w:rsid w:val="007A6C03"/>
    <w:rsid w:val="007B0914"/>
    <w:rsid w:val="007B0BA0"/>
    <w:rsid w:val="007B1374"/>
    <w:rsid w:val="007B23FC"/>
    <w:rsid w:val="007B2BDA"/>
    <w:rsid w:val="007B32E5"/>
    <w:rsid w:val="007B3DB9"/>
    <w:rsid w:val="007B3DBB"/>
    <w:rsid w:val="007B589F"/>
    <w:rsid w:val="007B6186"/>
    <w:rsid w:val="007B73BC"/>
    <w:rsid w:val="007C1838"/>
    <w:rsid w:val="007C20B9"/>
    <w:rsid w:val="007C3D50"/>
    <w:rsid w:val="007C416F"/>
    <w:rsid w:val="007C598C"/>
    <w:rsid w:val="007C69DB"/>
    <w:rsid w:val="007C7301"/>
    <w:rsid w:val="007C7859"/>
    <w:rsid w:val="007C7F28"/>
    <w:rsid w:val="007D0F3C"/>
    <w:rsid w:val="007D1466"/>
    <w:rsid w:val="007D2BDE"/>
    <w:rsid w:val="007D2FB6"/>
    <w:rsid w:val="007D49EB"/>
    <w:rsid w:val="007D5E1C"/>
    <w:rsid w:val="007E0DE2"/>
    <w:rsid w:val="007E1227"/>
    <w:rsid w:val="007E3B98"/>
    <w:rsid w:val="007E417A"/>
    <w:rsid w:val="007F0847"/>
    <w:rsid w:val="007F31B6"/>
    <w:rsid w:val="007F546C"/>
    <w:rsid w:val="007F625F"/>
    <w:rsid w:val="007F65B9"/>
    <w:rsid w:val="007F665E"/>
    <w:rsid w:val="00800412"/>
    <w:rsid w:val="008013E8"/>
    <w:rsid w:val="0080587B"/>
    <w:rsid w:val="00806468"/>
    <w:rsid w:val="008119CA"/>
    <w:rsid w:val="008130C4"/>
    <w:rsid w:val="008155F0"/>
    <w:rsid w:val="00816735"/>
    <w:rsid w:val="00820141"/>
    <w:rsid w:val="00820E0C"/>
    <w:rsid w:val="008213F0"/>
    <w:rsid w:val="00823275"/>
    <w:rsid w:val="0082366F"/>
    <w:rsid w:val="00827DEC"/>
    <w:rsid w:val="008338A2"/>
    <w:rsid w:val="00835FAF"/>
    <w:rsid w:val="00841AA9"/>
    <w:rsid w:val="008461BD"/>
    <w:rsid w:val="00846DB2"/>
    <w:rsid w:val="008474FE"/>
    <w:rsid w:val="00847CB4"/>
    <w:rsid w:val="00850EA0"/>
    <w:rsid w:val="00853EC3"/>
    <w:rsid w:val="00853EE4"/>
    <w:rsid w:val="00855535"/>
    <w:rsid w:val="00855920"/>
    <w:rsid w:val="00857C5A"/>
    <w:rsid w:val="00860097"/>
    <w:rsid w:val="0086255E"/>
    <w:rsid w:val="0086282E"/>
    <w:rsid w:val="008633F0"/>
    <w:rsid w:val="0086376B"/>
    <w:rsid w:val="00867D9D"/>
    <w:rsid w:val="008702A7"/>
    <w:rsid w:val="00871402"/>
    <w:rsid w:val="00872E0A"/>
    <w:rsid w:val="00873594"/>
    <w:rsid w:val="00875285"/>
    <w:rsid w:val="00876763"/>
    <w:rsid w:val="00881C90"/>
    <w:rsid w:val="008829C0"/>
    <w:rsid w:val="00884B62"/>
    <w:rsid w:val="0088529C"/>
    <w:rsid w:val="008859A5"/>
    <w:rsid w:val="008873DE"/>
    <w:rsid w:val="00887903"/>
    <w:rsid w:val="00891EDD"/>
    <w:rsid w:val="00892627"/>
    <w:rsid w:val="0089270A"/>
    <w:rsid w:val="00893AF6"/>
    <w:rsid w:val="00893E82"/>
    <w:rsid w:val="00894BC4"/>
    <w:rsid w:val="008A1AD3"/>
    <w:rsid w:val="008A28A8"/>
    <w:rsid w:val="008A5B32"/>
    <w:rsid w:val="008B281D"/>
    <w:rsid w:val="008B2EE4"/>
    <w:rsid w:val="008B4D3D"/>
    <w:rsid w:val="008B57C7"/>
    <w:rsid w:val="008B5CC0"/>
    <w:rsid w:val="008C1B86"/>
    <w:rsid w:val="008C2F92"/>
    <w:rsid w:val="008C3697"/>
    <w:rsid w:val="008C5557"/>
    <w:rsid w:val="008C589D"/>
    <w:rsid w:val="008C6D51"/>
    <w:rsid w:val="008C6F4A"/>
    <w:rsid w:val="008C7F4F"/>
    <w:rsid w:val="008D1F6D"/>
    <w:rsid w:val="008D2846"/>
    <w:rsid w:val="008D2C06"/>
    <w:rsid w:val="008D412A"/>
    <w:rsid w:val="008D4236"/>
    <w:rsid w:val="008D462F"/>
    <w:rsid w:val="008D6DCF"/>
    <w:rsid w:val="008E1760"/>
    <w:rsid w:val="008E2432"/>
    <w:rsid w:val="008E39C2"/>
    <w:rsid w:val="008E3BED"/>
    <w:rsid w:val="008E3DE9"/>
    <w:rsid w:val="008E4376"/>
    <w:rsid w:val="008E4514"/>
    <w:rsid w:val="008E56FF"/>
    <w:rsid w:val="008E5B69"/>
    <w:rsid w:val="008E5CD4"/>
    <w:rsid w:val="008E7A0A"/>
    <w:rsid w:val="008E7B49"/>
    <w:rsid w:val="008F3712"/>
    <w:rsid w:val="008F59F6"/>
    <w:rsid w:val="00900719"/>
    <w:rsid w:val="009017AC"/>
    <w:rsid w:val="00902A9A"/>
    <w:rsid w:val="00904A1C"/>
    <w:rsid w:val="00904AB4"/>
    <w:rsid w:val="00905030"/>
    <w:rsid w:val="00906490"/>
    <w:rsid w:val="009111B2"/>
    <w:rsid w:val="00913061"/>
    <w:rsid w:val="009151F5"/>
    <w:rsid w:val="009220CA"/>
    <w:rsid w:val="00924AE1"/>
    <w:rsid w:val="009269B1"/>
    <w:rsid w:val="0092724D"/>
    <w:rsid w:val="009272B3"/>
    <w:rsid w:val="009315BE"/>
    <w:rsid w:val="0093338F"/>
    <w:rsid w:val="00935D8E"/>
    <w:rsid w:val="00937BD9"/>
    <w:rsid w:val="00941CED"/>
    <w:rsid w:val="009440B0"/>
    <w:rsid w:val="009470AA"/>
    <w:rsid w:val="00950E2C"/>
    <w:rsid w:val="00951D50"/>
    <w:rsid w:val="009525EB"/>
    <w:rsid w:val="00952FB2"/>
    <w:rsid w:val="0095470B"/>
    <w:rsid w:val="00954874"/>
    <w:rsid w:val="009550A2"/>
    <w:rsid w:val="0095615A"/>
    <w:rsid w:val="00961400"/>
    <w:rsid w:val="00963646"/>
    <w:rsid w:val="009639BB"/>
    <w:rsid w:val="00966304"/>
    <w:rsid w:val="0096632D"/>
    <w:rsid w:val="0097062C"/>
    <w:rsid w:val="009718C7"/>
    <w:rsid w:val="0097559F"/>
    <w:rsid w:val="00976F48"/>
    <w:rsid w:val="0097761E"/>
    <w:rsid w:val="00982454"/>
    <w:rsid w:val="00982CF0"/>
    <w:rsid w:val="009853E1"/>
    <w:rsid w:val="00986668"/>
    <w:rsid w:val="00986E6B"/>
    <w:rsid w:val="00990032"/>
    <w:rsid w:val="00990B19"/>
    <w:rsid w:val="0099153B"/>
    <w:rsid w:val="00991769"/>
    <w:rsid w:val="0099232C"/>
    <w:rsid w:val="00993A02"/>
    <w:rsid w:val="00994386"/>
    <w:rsid w:val="009A13D8"/>
    <w:rsid w:val="009A279E"/>
    <w:rsid w:val="009A3015"/>
    <w:rsid w:val="009A3490"/>
    <w:rsid w:val="009A5378"/>
    <w:rsid w:val="009B0A6F"/>
    <w:rsid w:val="009B0A94"/>
    <w:rsid w:val="009B1B6C"/>
    <w:rsid w:val="009B2AE8"/>
    <w:rsid w:val="009B38D3"/>
    <w:rsid w:val="009B4754"/>
    <w:rsid w:val="009B59E9"/>
    <w:rsid w:val="009B70AA"/>
    <w:rsid w:val="009C46A0"/>
    <w:rsid w:val="009C5E77"/>
    <w:rsid w:val="009C7A7E"/>
    <w:rsid w:val="009D02E8"/>
    <w:rsid w:val="009D0DD0"/>
    <w:rsid w:val="009D51D0"/>
    <w:rsid w:val="009D5470"/>
    <w:rsid w:val="009D7036"/>
    <w:rsid w:val="009D70A4"/>
    <w:rsid w:val="009D7B14"/>
    <w:rsid w:val="009E08D1"/>
    <w:rsid w:val="009E1B95"/>
    <w:rsid w:val="009E496F"/>
    <w:rsid w:val="009E4B0D"/>
    <w:rsid w:val="009E4CBF"/>
    <w:rsid w:val="009E5250"/>
    <w:rsid w:val="009E7F92"/>
    <w:rsid w:val="009F02A3"/>
    <w:rsid w:val="009F2F27"/>
    <w:rsid w:val="009F34AA"/>
    <w:rsid w:val="009F53C3"/>
    <w:rsid w:val="009F540D"/>
    <w:rsid w:val="009F6BCB"/>
    <w:rsid w:val="009F7B78"/>
    <w:rsid w:val="009F7C7C"/>
    <w:rsid w:val="009F7C89"/>
    <w:rsid w:val="00A0057A"/>
    <w:rsid w:val="00A01235"/>
    <w:rsid w:val="00A01DF3"/>
    <w:rsid w:val="00A024C5"/>
    <w:rsid w:val="00A02FA1"/>
    <w:rsid w:val="00A04CCE"/>
    <w:rsid w:val="00A06BFB"/>
    <w:rsid w:val="00A07421"/>
    <w:rsid w:val="00A0776B"/>
    <w:rsid w:val="00A10FB9"/>
    <w:rsid w:val="00A11421"/>
    <w:rsid w:val="00A1389F"/>
    <w:rsid w:val="00A157B1"/>
    <w:rsid w:val="00A20C44"/>
    <w:rsid w:val="00A2168C"/>
    <w:rsid w:val="00A22229"/>
    <w:rsid w:val="00A23A7C"/>
    <w:rsid w:val="00A24442"/>
    <w:rsid w:val="00A330BB"/>
    <w:rsid w:val="00A341E7"/>
    <w:rsid w:val="00A418F4"/>
    <w:rsid w:val="00A4305F"/>
    <w:rsid w:val="00A444DF"/>
    <w:rsid w:val="00A44882"/>
    <w:rsid w:val="00A45125"/>
    <w:rsid w:val="00A51B77"/>
    <w:rsid w:val="00A54715"/>
    <w:rsid w:val="00A5660C"/>
    <w:rsid w:val="00A57BC7"/>
    <w:rsid w:val="00A6061C"/>
    <w:rsid w:val="00A61C50"/>
    <w:rsid w:val="00A62D44"/>
    <w:rsid w:val="00A65690"/>
    <w:rsid w:val="00A66F13"/>
    <w:rsid w:val="00A67263"/>
    <w:rsid w:val="00A7161C"/>
    <w:rsid w:val="00A77A27"/>
    <w:rsid w:val="00A77AA3"/>
    <w:rsid w:val="00A8236D"/>
    <w:rsid w:val="00A854EB"/>
    <w:rsid w:val="00A8556A"/>
    <w:rsid w:val="00A872E5"/>
    <w:rsid w:val="00A906A7"/>
    <w:rsid w:val="00A91406"/>
    <w:rsid w:val="00A91D3E"/>
    <w:rsid w:val="00A96E65"/>
    <w:rsid w:val="00A97C72"/>
    <w:rsid w:val="00AA0510"/>
    <w:rsid w:val="00AA0CAF"/>
    <w:rsid w:val="00AA268E"/>
    <w:rsid w:val="00AA310B"/>
    <w:rsid w:val="00AA3342"/>
    <w:rsid w:val="00AA38B0"/>
    <w:rsid w:val="00AA4AFC"/>
    <w:rsid w:val="00AA63D4"/>
    <w:rsid w:val="00AB06E8"/>
    <w:rsid w:val="00AB08A7"/>
    <w:rsid w:val="00AB1BCC"/>
    <w:rsid w:val="00AB1CD3"/>
    <w:rsid w:val="00AB352F"/>
    <w:rsid w:val="00AB574A"/>
    <w:rsid w:val="00AB7BAA"/>
    <w:rsid w:val="00AC274B"/>
    <w:rsid w:val="00AC4764"/>
    <w:rsid w:val="00AC6D36"/>
    <w:rsid w:val="00AC733A"/>
    <w:rsid w:val="00AD0800"/>
    <w:rsid w:val="00AD0CBA"/>
    <w:rsid w:val="00AD177A"/>
    <w:rsid w:val="00AD1EF7"/>
    <w:rsid w:val="00AD2087"/>
    <w:rsid w:val="00AD26E2"/>
    <w:rsid w:val="00AD6E82"/>
    <w:rsid w:val="00AD784C"/>
    <w:rsid w:val="00AE126A"/>
    <w:rsid w:val="00AE1BAE"/>
    <w:rsid w:val="00AE3005"/>
    <w:rsid w:val="00AE3BD5"/>
    <w:rsid w:val="00AE59A0"/>
    <w:rsid w:val="00AE6A0E"/>
    <w:rsid w:val="00AE7BB5"/>
    <w:rsid w:val="00AF0C57"/>
    <w:rsid w:val="00AF26F3"/>
    <w:rsid w:val="00AF3A2C"/>
    <w:rsid w:val="00AF5F04"/>
    <w:rsid w:val="00AF778A"/>
    <w:rsid w:val="00AF7FED"/>
    <w:rsid w:val="00B00672"/>
    <w:rsid w:val="00B01B4D"/>
    <w:rsid w:val="00B03353"/>
    <w:rsid w:val="00B03AD7"/>
    <w:rsid w:val="00B04370"/>
    <w:rsid w:val="00B0465A"/>
    <w:rsid w:val="00B06571"/>
    <w:rsid w:val="00B068BA"/>
    <w:rsid w:val="00B0757A"/>
    <w:rsid w:val="00B07FF7"/>
    <w:rsid w:val="00B13851"/>
    <w:rsid w:val="00B13B1C"/>
    <w:rsid w:val="00B14780"/>
    <w:rsid w:val="00B14B82"/>
    <w:rsid w:val="00B21F90"/>
    <w:rsid w:val="00B22291"/>
    <w:rsid w:val="00B23F9A"/>
    <w:rsid w:val="00B2417B"/>
    <w:rsid w:val="00B247CA"/>
    <w:rsid w:val="00B24E6F"/>
    <w:rsid w:val="00B26CB5"/>
    <w:rsid w:val="00B2752E"/>
    <w:rsid w:val="00B307CC"/>
    <w:rsid w:val="00B32243"/>
    <w:rsid w:val="00B326B7"/>
    <w:rsid w:val="00B32A4C"/>
    <w:rsid w:val="00B32F3E"/>
    <w:rsid w:val="00B3588E"/>
    <w:rsid w:val="00B41F3D"/>
    <w:rsid w:val="00B431E8"/>
    <w:rsid w:val="00B44EEB"/>
    <w:rsid w:val="00B45141"/>
    <w:rsid w:val="00B46DE7"/>
    <w:rsid w:val="00B519CD"/>
    <w:rsid w:val="00B5273A"/>
    <w:rsid w:val="00B53A50"/>
    <w:rsid w:val="00B53CB0"/>
    <w:rsid w:val="00B57329"/>
    <w:rsid w:val="00B6032D"/>
    <w:rsid w:val="00B60570"/>
    <w:rsid w:val="00B60E61"/>
    <w:rsid w:val="00B61C5A"/>
    <w:rsid w:val="00B62B50"/>
    <w:rsid w:val="00B635B7"/>
    <w:rsid w:val="00B63AE8"/>
    <w:rsid w:val="00B65950"/>
    <w:rsid w:val="00B66D83"/>
    <w:rsid w:val="00B672C0"/>
    <w:rsid w:val="00B676FD"/>
    <w:rsid w:val="00B75646"/>
    <w:rsid w:val="00B8647F"/>
    <w:rsid w:val="00B90729"/>
    <w:rsid w:val="00B907DA"/>
    <w:rsid w:val="00B914AC"/>
    <w:rsid w:val="00B91F2F"/>
    <w:rsid w:val="00B9268C"/>
    <w:rsid w:val="00B94CD5"/>
    <w:rsid w:val="00B950BC"/>
    <w:rsid w:val="00B96003"/>
    <w:rsid w:val="00B9714C"/>
    <w:rsid w:val="00BA29AD"/>
    <w:rsid w:val="00BA3356"/>
    <w:rsid w:val="00BA33CF"/>
    <w:rsid w:val="00BA3F8D"/>
    <w:rsid w:val="00BB0CCC"/>
    <w:rsid w:val="00BB29A1"/>
    <w:rsid w:val="00BB6E4E"/>
    <w:rsid w:val="00BB7A10"/>
    <w:rsid w:val="00BC05B8"/>
    <w:rsid w:val="00BC2725"/>
    <w:rsid w:val="00BC34B2"/>
    <w:rsid w:val="00BC3E8F"/>
    <w:rsid w:val="00BC45AF"/>
    <w:rsid w:val="00BC60BE"/>
    <w:rsid w:val="00BC69B1"/>
    <w:rsid w:val="00BC730B"/>
    <w:rsid w:val="00BC73BF"/>
    <w:rsid w:val="00BC7468"/>
    <w:rsid w:val="00BC7C0F"/>
    <w:rsid w:val="00BC7D4F"/>
    <w:rsid w:val="00BC7ED7"/>
    <w:rsid w:val="00BD0F43"/>
    <w:rsid w:val="00BD0F94"/>
    <w:rsid w:val="00BD2850"/>
    <w:rsid w:val="00BD4B8D"/>
    <w:rsid w:val="00BD5CB1"/>
    <w:rsid w:val="00BD7998"/>
    <w:rsid w:val="00BE03E3"/>
    <w:rsid w:val="00BE0D85"/>
    <w:rsid w:val="00BE28D2"/>
    <w:rsid w:val="00BE4263"/>
    <w:rsid w:val="00BE4A64"/>
    <w:rsid w:val="00BE4D4A"/>
    <w:rsid w:val="00BE4E5C"/>
    <w:rsid w:val="00BE5E43"/>
    <w:rsid w:val="00BF30B2"/>
    <w:rsid w:val="00BF4901"/>
    <w:rsid w:val="00BF5214"/>
    <w:rsid w:val="00BF557D"/>
    <w:rsid w:val="00BF7F58"/>
    <w:rsid w:val="00C00AF0"/>
    <w:rsid w:val="00C01381"/>
    <w:rsid w:val="00C014CF"/>
    <w:rsid w:val="00C01AB1"/>
    <w:rsid w:val="00C026A0"/>
    <w:rsid w:val="00C03CED"/>
    <w:rsid w:val="00C06137"/>
    <w:rsid w:val="00C072CD"/>
    <w:rsid w:val="00C07803"/>
    <w:rsid w:val="00C079B8"/>
    <w:rsid w:val="00C10037"/>
    <w:rsid w:val="00C10089"/>
    <w:rsid w:val="00C11F37"/>
    <w:rsid w:val="00C122C4"/>
    <w:rsid w:val="00C123EA"/>
    <w:rsid w:val="00C1298B"/>
    <w:rsid w:val="00C12A49"/>
    <w:rsid w:val="00C130E8"/>
    <w:rsid w:val="00C133EE"/>
    <w:rsid w:val="00C149D0"/>
    <w:rsid w:val="00C22E12"/>
    <w:rsid w:val="00C2342C"/>
    <w:rsid w:val="00C25661"/>
    <w:rsid w:val="00C26588"/>
    <w:rsid w:val="00C27DE9"/>
    <w:rsid w:val="00C3105D"/>
    <w:rsid w:val="00C31161"/>
    <w:rsid w:val="00C323AD"/>
    <w:rsid w:val="00C32989"/>
    <w:rsid w:val="00C33388"/>
    <w:rsid w:val="00C33D0E"/>
    <w:rsid w:val="00C341FD"/>
    <w:rsid w:val="00C34E48"/>
    <w:rsid w:val="00C35484"/>
    <w:rsid w:val="00C377F1"/>
    <w:rsid w:val="00C37B77"/>
    <w:rsid w:val="00C40AB1"/>
    <w:rsid w:val="00C4173A"/>
    <w:rsid w:val="00C42451"/>
    <w:rsid w:val="00C445E5"/>
    <w:rsid w:val="00C50DED"/>
    <w:rsid w:val="00C56348"/>
    <w:rsid w:val="00C602FF"/>
    <w:rsid w:val="00C61174"/>
    <w:rsid w:val="00C6148F"/>
    <w:rsid w:val="00C61690"/>
    <w:rsid w:val="00C621B1"/>
    <w:rsid w:val="00C62F7A"/>
    <w:rsid w:val="00C63B9C"/>
    <w:rsid w:val="00C6519A"/>
    <w:rsid w:val="00C6655F"/>
    <w:rsid w:val="00C6682F"/>
    <w:rsid w:val="00C67BF4"/>
    <w:rsid w:val="00C713B3"/>
    <w:rsid w:val="00C7275E"/>
    <w:rsid w:val="00C72D48"/>
    <w:rsid w:val="00C7459E"/>
    <w:rsid w:val="00C74C5D"/>
    <w:rsid w:val="00C82523"/>
    <w:rsid w:val="00C82A24"/>
    <w:rsid w:val="00C82BA9"/>
    <w:rsid w:val="00C863C4"/>
    <w:rsid w:val="00C8746D"/>
    <w:rsid w:val="00C87AB2"/>
    <w:rsid w:val="00C910EE"/>
    <w:rsid w:val="00C920EA"/>
    <w:rsid w:val="00C93C3E"/>
    <w:rsid w:val="00C9494E"/>
    <w:rsid w:val="00C955E3"/>
    <w:rsid w:val="00C95DC3"/>
    <w:rsid w:val="00C96C1D"/>
    <w:rsid w:val="00CA12E3"/>
    <w:rsid w:val="00CA1476"/>
    <w:rsid w:val="00CA65E1"/>
    <w:rsid w:val="00CA6611"/>
    <w:rsid w:val="00CA6AE6"/>
    <w:rsid w:val="00CA6F1A"/>
    <w:rsid w:val="00CA782F"/>
    <w:rsid w:val="00CA78B1"/>
    <w:rsid w:val="00CB0C07"/>
    <w:rsid w:val="00CB187B"/>
    <w:rsid w:val="00CB2835"/>
    <w:rsid w:val="00CB3285"/>
    <w:rsid w:val="00CB3F8E"/>
    <w:rsid w:val="00CB4500"/>
    <w:rsid w:val="00CB6C4A"/>
    <w:rsid w:val="00CB7418"/>
    <w:rsid w:val="00CB7800"/>
    <w:rsid w:val="00CC0C72"/>
    <w:rsid w:val="00CC1314"/>
    <w:rsid w:val="00CC21CD"/>
    <w:rsid w:val="00CC2BFD"/>
    <w:rsid w:val="00CC6B52"/>
    <w:rsid w:val="00CD0984"/>
    <w:rsid w:val="00CD3476"/>
    <w:rsid w:val="00CD4088"/>
    <w:rsid w:val="00CD4119"/>
    <w:rsid w:val="00CD4505"/>
    <w:rsid w:val="00CD64DF"/>
    <w:rsid w:val="00CD6B6A"/>
    <w:rsid w:val="00CE225F"/>
    <w:rsid w:val="00CE4A26"/>
    <w:rsid w:val="00CF2F50"/>
    <w:rsid w:val="00CF6198"/>
    <w:rsid w:val="00D01CCB"/>
    <w:rsid w:val="00D02919"/>
    <w:rsid w:val="00D04C61"/>
    <w:rsid w:val="00D05B8D"/>
    <w:rsid w:val="00D065A2"/>
    <w:rsid w:val="00D079AA"/>
    <w:rsid w:val="00D07F00"/>
    <w:rsid w:val="00D1130F"/>
    <w:rsid w:val="00D1219B"/>
    <w:rsid w:val="00D131C3"/>
    <w:rsid w:val="00D136D8"/>
    <w:rsid w:val="00D16B93"/>
    <w:rsid w:val="00D17B72"/>
    <w:rsid w:val="00D20EA1"/>
    <w:rsid w:val="00D2742D"/>
    <w:rsid w:val="00D31637"/>
    <w:rsid w:val="00D3185C"/>
    <w:rsid w:val="00D3205F"/>
    <w:rsid w:val="00D3318E"/>
    <w:rsid w:val="00D33393"/>
    <w:rsid w:val="00D33A0D"/>
    <w:rsid w:val="00D33E72"/>
    <w:rsid w:val="00D35BD6"/>
    <w:rsid w:val="00D361B5"/>
    <w:rsid w:val="00D405AC"/>
    <w:rsid w:val="00D411A2"/>
    <w:rsid w:val="00D42BD4"/>
    <w:rsid w:val="00D42D21"/>
    <w:rsid w:val="00D42D9A"/>
    <w:rsid w:val="00D42FB6"/>
    <w:rsid w:val="00D4606D"/>
    <w:rsid w:val="00D46622"/>
    <w:rsid w:val="00D46C92"/>
    <w:rsid w:val="00D50B9C"/>
    <w:rsid w:val="00D52425"/>
    <w:rsid w:val="00D52D73"/>
    <w:rsid w:val="00D52E58"/>
    <w:rsid w:val="00D56B20"/>
    <w:rsid w:val="00D578B3"/>
    <w:rsid w:val="00D618F4"/>
    <w:rsid w:val="00D61B2B"/>
    <w:rsid w:val="00D714CC"/>
    <w:rsid w:val="00D75474"/>
    <w:rsid w:val="00D75EA7"/>
    <w:rsid w:val="00D81ADF"/>
    <w:rsid w:val="00D81F21"/>
    <w:rsid w:val="00D84FEC"/>
    <w:rsid w:val="00D85759"/>
    <w:rsid w:val="00D864F2"/>
    <w:rsid w:val="00D92F95"/>
    <w:rsid w:val="00D943F8"/>
    <w:rsid w:val="00D9484D"/>
    <w:rsid w:val="00D95470"/>
    <w:rsid w:val="00D95FE0"/>
    <w:rsid w:val="00D968D9"/>
    <w:rsid w:val="00D96B55"/>
    <w:rsid w:val="00DA114B"/>
    <w:rsid w:val="00DA2619"/>
    <w:rsid w:val="00DA2ECC"/>
    <w:rsid w:val="00DA4239"/>
    <w:rsid w:val="00DA6497"/>
    <w:rsid w:val="00DA65DE"/>
    <w:rsid w:val="00DA7F22"/>
    <w:rsid w:val="00DB0B61"/>
    <w:rsid w:val="00DB1474"/>
    <w:rsid w:val="00DB1993"/>
    <w:rsid w:val="00DB2962"/>
    <w:rsid w:val="00DB52FB"/>
    <w:rsid w:val="00DB6D21"/>
    <w:rsid w:val="00DC013B"/>
    <w:rsid w:val="00DC090B"/>
    <w:rsid w:val="00DC1679"/>
    <w:rsid w:val="00DC219B"/>
    <w:rsid w:val="00DC2CF1"/>
    <w:rsid w:val="00DC4FCF"/>
    <w:rsid w:val="00DC50E0"/>
    <w:rsid w:val="00DC6386"/>
    <w:rsid w:val="00DC7CC8"/>
    <w:rsid w:val="00DD1130"/>
    <w:rsid w:val="00DD1951"/>
    <w:rsid w:val="00DD487D"/>
    <w:rsid w:val="00DD4E83"/>
    <w:rsid w:val="00DD6540"/>
    <w:rsid w:val="00DD6628"/>
    <w:rsid w:val="00DD6945"/>
    <w:rsid w:val="00DD75F5"/>
    <w:rsid w:val="00DD775E"/>
    <w:rsid w:val="00DE0272"/>
    <w:rsid w:val="00DE1545"/>
    <w:rsid w:val="00DE2D04"/>
    <w:rsid w:val="00DE3250"/>
    <w:rsid w:val="00DE3FBD"/>
    <w:rsid w:val="00DE451A"/>
    <w:rsid w:val="00DE6028"/>
    <w:rsid w:val="00DE6A6A"/>
    <w:rsid w:val="00DE78A3"/>
    <w:rsid w:val="00DE7AFB"/>
    <w:rsid w:val="00DF10C2"/>
    <w:rsid w:val="00DF1A71"/>
    <w:rsid w:val="00DF4B47"/>
    <w:rsid w:val="00DF50FC"/>
    <w:rsid w:val="00DF68C7"/>
    <w:rsid w:val="00DF731A"/>
    <w:rsid w:val="00E03BD5"/>
    <w:rsid w:val="00E0537F"/>
    <w:rsid w:val="00E06B75"/>
    <w:rsid w:val="00E10480"/>
    <w:rsid w:val="00E11332"/>
    <w:rsid w:val="00E11352"/>
    <w:rsid w:val="00E11E3F"/>
    <w:rsid w:val="00E12D69"/>
    <w:rsid w:val="00E14603"/>
    <w:rsid w:val="00E170DC"/>
    <w:rsid w:val="00E17546"/>
    <w:rsid w:val="00E210B5"/>
    <w:rsid w:val="00E261B3"/>
    <w:rsid w:val="00E26818"/>
    <w:rsid w:val="00E27FFC"/>
    <w:rsid w:val="00E30B15"/>
    <w:rsid w:val="00E311AF"/>
    <w:rsid w:val="00E33237"/>
    <w:rsid w:val="00E3441B"/>
    <w:rsid w:val="00E40181"/>
    <w:rsid w:val="00E43771"/>
    <w:rsid w:val="00E44B94"/>
    <w:rsid w:val="00E46EB6"/>
    <w:rsid w:val="00E4749B"/>
    <w:rsid w:val="00E50E04"/>
    <w:rsid w:val="00E51E4B"/>
    <w:rsid w:val="00E54950"/>
    <w:rsid w:val="00E55294"/>
    <w:rsid w:val="00E56A01"/>
    <w:rsid w:val="00E56B44"/>
    <w:rsid w:val="00E62622"/>
    <w:rsid w:val="00E629A1"/>
    <w:rsid w:val="00E62B1B"/>
    <w:rsid w:val="00E63AA6"/>
    <w:rsid w:val="00E6794C"/>
    <w:rsid w:val="00E7050D"/>
    <w:rsid w:val="00E71591"/>
    <w:rsid w:val="00E71CEB"/>
    <w:rsid w:val="00E72FA3"/>
    <w:rsid w:val="00E7474F"/>
    <w:rsid w:val="00E80DE3"/>
    <w:rsid w:val="00E80FA2"/>
    <w:rsid w:val="00E82C55"/>
    <w:rsid w:val="00E8688B"/>
    <w:rsid w:val="00E8787E"/>
    <w:rsid w:val="00E909C6"/>
    <w:rsid w:val="00E92AC3"/>
    <w:rsid w:val="00E92D02"/>
    <w:rsid w:val="00EA1360"/>
    <w:rsid w:val="00EA13BF"/>
    <w:rsid w:val="00EA2C65"/>
    <w:rsid w:val="00EA2F6A"/>
    <w:rsid w:val="00EA34FB"/>
    <w:rsid w:val="00EA364B"/>
    <w:rsid w:val="00EA54EB"/>
    <w:rsid w:val="00EA6FF5"/>
    <w:rsid w:val="00EA7254"/>
    <w:rsid w:val="00EB00E0"/>
    <w:rsid w:val="00EC059F"/>
    <w:rsid w:val="00EC0B9D"/>
    <w:rsid w:val="00EC1F24"/>
    <w:rsid w:val="00EC22F6"/>
    <w:rsid w:val="00EC3A64"/>
    <w:rsid w:val="00EC40D5"/>
    <w:rsid w:val="00EC4CFC"/>
    <w:rsid w:val="00EC6F3D"/>
    <w:rsid w:val="00EC7CD1"/>
    <w:rsid w:val="00ED02B3"/>
    <w:rsid w:val="00ED3B6F"/>
    <w:rsid w:val="00ED47AB"/>
    <w:rsid w:val="00ED5B9B"/>
    <w:rsid w:val="00ED6BAD"/>
    <w:rsid w:val="00ED7447"/>
    <w:rsid w:val="00EE00D6"/>
    <w:rsid w:val="00EE11E7"/>
    <w:rsid w:val="00EE1488"/>
    <w:rsid w:val="00EE284A"/>
    <w:rsid w:val="00EE293B"/>
    <w:rsid w:val="00EE29AD"/>
    <w:rsid w:val="00EE3E24"/>
    <w:rsid w:val="00EE4D5D"/>
    <w:rsid w:val="00EE5131"/>
    <w:rsid w:val="00EF109B"/>
    <w:rsid w:val="00EF201C"/>
    <w:rsid w:val="00EF27D9"/>
    <w:rsid w:val="00EF36AF"/>
    <w:rsid w:val="00EF3AB1"/>
    <w:rsid w:val="00EF59A3"/>
    <w:rsid w:val="00EF6675"/>
    <w:rsid w:val="00EF6B02"/>
    <w:rsid w:val="00F00AE3"/>
    <w:rsid w:val="00F00B79"/>
    <w:rsid w:val="00F00F9C"/>
    <w:rsid w:val="00F01E5F"/>
    <w:rsid w:val="00F024F3"/>
    <w:rsid w:val="00F02ABA"/>
    <w:rsid w:val="00F0437A"/>
    <w:rsid w:val="00F06BD6"/>
    <w:rsid w:val="00F101B8"/>
    <w:rsid w:val="00F10505"/>
    <w:rsid w:val="00F11037"/>
    <w:rsid w:val="00F11750"/>
    <w:rsid w:val="00F1409D"/>
    <w:rsid w:val="00F16F1B"/>
    <w:rsid w:val="00F17611"/>
    <w:rsid w:val="00F250A9"/>
    <w:rsid w:val="00F267AF"/>
    <w:rsid w:val="00F30AB3"/>
    <w:rsid w:val="00F30FF4"/>
    <w:rsid w:val="00F3122E"/>
    <w:rsid w:val="00F32368"/>
    <w:rsid w:val="00F331AD"/>
    <w:rsid w:val="00F33F2B"/>
    <w:rsid w:val="00F35287"/>
    <w:rsid w:val="00F40100"/>
    <w:rsid w:val="00F40A70"/>
    <w:rsid w:val="00F42153"/>
    <w:rsid w:val="00F4228B"/>
    <w:rsid w:val="00F4380A"/>
    <w:rsid w:val="00F43A37"/>
    <w:rsid w:val="00F451AB"/>
    <w:rsid w:val="00F4641B"/>
    <w:rsid w:val="00F46EB8"/>
    <w:rsid w:val="00F50CD1"/>
    <w:rsid w:val="00F511E4"/>
    <w:rsid w:val="00F513A2"/>
    <w:rsid w:val="00F52957"/>
    <w:rsid w:val="00F52D09"/>
    <w:rsid w:val="00F52E08"/>
    <w:rsid w:val="00F53A66"/>
    <w:rsid w:val="00F53C78"/>
    <w:rsid w:val="00F53DDD"/>
    <w:rsid w:val="00F543D7"/>
    <w:rsid w:val="00F5462D"/>
    <w:rsid w:val="00F55B21"/>
    <w:rsid w:val="00F56EF6"/>
    <w:rsid w:val="00F57C3A"/>
    <w:rsid w:val="00F60082"/>
    <w:rsid w:val="00F61A9F"/>
    <w:rsid w:val="00F61B5F"/>
    <w:rsid w:val="00F629F9"/>
    <w:rsid w:val="00F640B1"/>
    <w:rsid w:val="00F64696"/>
    <w:rsid w:val="00F658BA"/>
    <w:rsid w:val="00F65AA9"/>
    <w:rsid w:val="00F6768F"/>
    <w:rsid w:val="00F712D8"/>
    <w:rsid w:val="00F71BC4"/>
    <w:rsid w:val="00F72C2C"/>
    <w:rsid w:val="00F7597A"/>
    <w:rsid w:val="00F76CAB"/>
    <w:rsid w:val="00F772C6"/>
    <w:rsid w:val="00F80F39"/>
    <w:rsid w:val="00F815B5"/>
    <w:rsid w:val="00F81828"/>
    <w:rsid w:val="00F83F7A"/>
    <w:rsid w:val="00F84F10"/>
    <w:rsid w:val="00F84FA0"/>
    <w:rsid w:val="00F85195"/>
    <w:rsid w:val="00F860FD"/>
    <w:rsid w:val="00F868E3"/>
    <w:rsid w:val="00F87221"/>
    <w:rsid w:val="00F9082B"/>
    <w:rsid w:val="00F938BA"/>
    <w:rsid w:val="00F9771B"/>
    <w:rsid w:val="00F97919"/>
    <w:rsid w:val="00FA1370"/>
    <w:rsid w:val="00FA2C46"/>
    <w:rsid w:val="00FA3525"/>
    <w:rsid w:val="00FA5A53"/>
    <w:rsid w:val="00FB14FE"/>
    <w:rsid w:val="00FB1532"/>
    <w:rsid w:val="00FB2551"/>
    <w:rsid w:val="00FB2A21"/>
    <w:rsid w:val="00FB4769"/>
    <w:rsid w:val="00FB4CDA"/>
    <w:rsid w:val="00FB6481"/>
    <w:rsid w:val="00FB6D36"/>
    <w:rsid w:val="00FB70F8"/>
    <w:rsid w:val="00FC028D"/>
    <w:rsid w:val="00FC0965"/>
    <w:rsid w:val="00FC0F81"/>
    <w:rsid w:val="00FC137A"/>
    <w:rsid w:val="00FC252F"/>
    <w:rsid w:val="00FC25EE"/>
    <w:rsid w:val="00FC2BB1"/>
    <w:rsid w:val="00FC395C"/>
    <w:rsid w:val="00FC56DA"/>
    <w:rsid w:val="00FC5E8E"/>
    <w:rsid w:val="00FD31F3"/>
    <w:rsid w:val="00FD3766"/>
    <w:rsid w:val="00FD47C4"/>
    <w:rsid w:val="00FD64D3"/>
    <w:rsid w:val="00FD65E2"/>
    <w:rsid w:val="00FD722A"/>
    <w:rsid w:val="00FE1947"/>
    <w:rsid w:val="00FE2DCF"/>
    <w:rsid w:val="00FE3FA7"/>
    <w:rsid w:val="00FE438B"/>
    <w:rsid w:val="00FE557F"/>
    <w:rsid w:val="00FE6843"/>
    <w:rsid w:val="00FF0DFE"/>
    <w:rsid w:val="00FF2A4E"/>
    <w:rsid w:val="00FF2FCE"/>
    <w:rsid w:val="00FF4DE4"/>
    <w:rsid w:val="00FF4F7D"/>
    <w:rsid w:val="00FF54DF"/>
    <w:rsid w:val="00FF6D9D"/>
    <w:rsid w:val="00FF7DD5"/>
    <w:rsid w:val="135CE050"/>
    <w:rsid w:val="31C71B6F"/>
    <w:rsid w:val="33F179C4"/>
    <w:rsid w:val="3505FF8A"/>
    <w:rsid w:val="642CDD66"/>
    <w:rsid w:val="69B0497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D11CCE"/>
  <w15:docId w15:val="{EC15CC4B-000C-4330-A153-C635D9148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link w:val="DHHSbodyChar"/>
    <w:qFormat/>
    <w:rsid w:val="00E51E4B"/>
    <w:pPr>
      <w:spacing w:after="120" w:line="270" w:lineRule="atLeast"/>
    </w:pPr>
    <w:rPr>
      <w:rFonts w:ascii="Arial" w:eastAsia="Times" w:hAnsi="Arial"/>
      <w:lang w:eastAsia="en-US"/>
    </w:rPr>
  </w:style>
  <w:style w:type="paragraph" w:styleId="NormalWeb">
    <w:name w:val="Normal (Web)"/>
    <w:basedOn w:val="Normal"/>
    <w:uiPriority w:val="99"/>
    <w:semiHidden/>
    <w:unhideWhenUsed/>
    <w:rsid w:val="00E51E4B"/>
    <w:pPr>
      <w:spacing w:before="100" w:beforeAutospacing="1" w:after="100" w:afterAutospacing="1" w:line="240" w:lineRule="auto"/>
    </w:pPr>
    <w:rPr>
      <w:rFonts w:ascii="Times New Roman" w:hAnsi="Times New Roman"/>
      <w:sz w:val="24"/>
      <w:szCs w:val="24"/>
      <w:lang w:eastAsia="en-AU"/>
    </w:rPr>
  </w:style>
  <w:style w:type="character" w:customStyle="1" w:styleId="DHHSbodyChar">
    <w:name w:val="DHHS body Char"/>
    <w:basedOn w:val="DefaultParagraphFont"/>
    <w:link w:val="DHHSbody"/>
    <w:locked/>
    <w:rsid w:val="00DE1545"/>
    <w:rPr>
      <w:rFonts w:ascii="Arial" w:eastAsia="Times" w:hAnsi="Arial"/>
      <w:lang w:eastAsia="en-US"/>
    </w:rPr>
  </w:style>
  <w:style w:type="numbering" w:customStyle="1" w:styleId="MELegal">
    <w:name w:val="ME Legal"/>
    <w:uiPriority w:val="99"/>
    <w:rsid w:val="002F3EC2"/>
    <w:pPr>
      <w:numPr>
        <w:numId w:val="42"/>
      </w:numPr>
    </w:pPr>
  </w:style>
  <w:style w:type="paragraph" w:customStyle="1" w:styleId="MELegal1">
    <w:name w:val="ME Legal 1"/>
    <w:basedOn w:val="Normal"/>
    <w:next w:val="Normal"/>
    <w:qFormat/>
    <w:rsid w:val="002F3EC2"/>
    <w:pPr>
      <w:keepNext/>
      <w:numPr>
        <w:numId w:val="41"/>
      </w:numPr>
      <w:spacing w:before="480" w:after="60" w:line="240" w:lineRule="atLeast"/>
      <w:outlineLvl w:val="0"/>
    </w:pPr>
    <w:rPr>
      <w:rFonts w:cs="Angsana New"/>
      <w:spacing w:val="-6"/>
      <w:sz w:val="28"/>
      <w:szCs w:val="22"/>
      <w:lang w:eastAsia="zh-CN" w:bidi="th-TH"/>
    </w:rPr>
  </w:style>
  <w:style w:type="paragraph" w:customStyle="1" w:styleId="MELegal2">
    <w:name w:val="ME Legal 2"/>
    <w:basedOn w:val="Normal"/>
    <w:next w:val="Normal"/>
    <w:qFormat/>
    <w:rsid w:val="002F3EC2"/>
    <w:pPr>
      <w:keepNext/>
      <w:numPr>
        <w:ilvl w:val="1"/>
        <w:numId w:val="41"/>
      </w:numPr>
      <w:spacing w:before="240" w:after="60" w:line="240" w:lineRule="atLeast"/>
      <w:outlineLvl w:val="1"/>
    </w:pPr>
    <w:rPr>
      <w:rFonts w:ascii="Arial Bold" w:hAnsi="Arial Bold" w:cs="Angsana New"/>
      <w:b/>
      <w:spacing w:val="-6"/>
      <w:sz w:val="22"/>
      <w:szCs w:val="22"/>
      <w:lang w:eastAsia="zh-CN" w:bidi="th-TH"/>
    </w:rPr>
  </w:style>
  <w:style w:type="paragraph" w:customStyle="1" w:styleId="MELegal3">
    <w:name w:val="ME Legal 3"/>
    <w:basedOn w:val="Normal"/>
    <w:qFormat/>
    <w:rsid w:val="002F3EC2"/>
    <w:pPr>
      <w:numPr>
        <w:ilvl w:val="2"/>
        <w:numId w:val="41"/>
      </w:numPr>
      <w:spacing w:line="240" w:lineRule="atLeast"/>
      <w:outlineLvl w:val="2"/>
    </w:pPr>
    <w:rPr>
      <w:rFonts w:cs="Angsana New"/>
      <w:sz w:val="20"/>
      <w:szCs w:val="22"/>
      <w:lang w:eastAsia="zh-CN" w:bidi="th-TH"/>
    </w:rPr>
  </w:style>
  <w:style w:type="paragraph" w:customStyle="1" w:styleId="MELegal4">
    <w:name w:val="ME Legal 4"/>
    <w:basedOn w:val="Normal"/>
    <w:qFormat/>
    <w:rsid w:val="002F3EC2"/>
    <w:pPr>
      <w:numPr>
        <w:ilvl w:val="3"/>
        <w:numId w:val="41"/>
      </w:numPr>
      <w:spacing w:line="240" w:lineRule="atLeast"/>
      <w:outlineLvl w:val="3"/>
    </w:pPr>
    <w:rPr>
      <w:rFonts w:cs="Angsana New"/>
      <w:sz w:val="20"/>
      <w:szCs w:val="22"/>
      <w:lang w:eastAsia="zh-CN" w:bidi="th-TH"/>
    </w:rPr>
  </w:style>
  <w:style w:type="paragraph" w:customStyle="1" w:styleId="MELegal5">
    <w:name w:val="ME Legal 5"/>
    <w:basedOn w:val="Normal"/>
    <w:qFormat/>
    <w:rsid w:val="002F3EC2"/>
    <w:pPr>
      <w:numPr>
        <w:ilvl w:val="4"/>
        <w:numId w:val="41"/>
      </w:numPr>
      <w:spacing w:line="240" w:lineRule="atLeast"/>
      <w:outlineLvl w:val="4"/>
    </w:pPr>
    <w:rPr>
      <w:rFonts w:cs="Angsana New"/>
      <w:sz w:val="20"/>
      <w:szCs w:val="22"/>
      <w:lang w:eastAsia="zh-CN" w:bidi="th-TH"/>
    </w:rPr>
  </w:style>
  <w:style w:type="paragraph" w:customStyle="1" w:styleId="MELegal6">
    <w:name w:val="ME Legal 6"/>
    <w:basedOn w:val="Normal"/>
    <w:qFormat/>
    <w:rsid w:val="002F3EC2"/>
    <w:pPr>
      <w:numPr>
        <w:ilvl w:val="5"/>
        <w:numId w:val="41"/>
      </w:numPr>
      <w:spacing w:line="240" w:lineRule="atLeast"/>
      <w:outlineLvl w:val="5"/>
    </w:pPr>
    <w:rPr>
      <w:rFonts w:cs="Angsana New"/>
      <w:sz w:val="20"/>
      <w:szCs w:val="22"/>
      <w:lang w:eastAsia="zh-CN" w:bidi="th-TH"/>
    </w:rPr>
  </w:style>
  <w:style w:type="paragraph" w:customStyle="1" w:styleId="MELegal7">
    <w:name w:val="ME Legal 7"/>
    <w:basedOn w:val="Normal"/>
    <w:qFormat/>
    <w:rsid w:val="002F3EC2"/>
    <w:pPr>
      <w:numPr>
        <w:ilvl w:val="6"/>
        <w:numId w:val="41"/>
      </w:numPr>
      <w:spacing w:line="240" w:lineRule="atLeast"/>
    </w:pPr>
    <w:rPr>
      <w:rFonts w:cs="Angsana New"/>
      <w:sz w:val="20"/>
      <w:szCs w:val="22"/>
      <w:lang w:eastAsia="zh-CN" w:bidi="th-TH"/>
    </w:rPr>
  </w:style>
  <w:style w:type="paragraph" w:customStyle="1" w:styleId="MELegal8">
    <w:name w:val="ME Legal 8"/>
    <w:basedOn w:val="Normal"/>
    <w:unhideWhenUsed/>
    <w:qFormat/>
    <w:rsid w:val="002F3EC2"/>
    <w:pPr>
      <w:numPr>
        <w:ilvl w:val="7"/>
        <w:numId w:val="41"/>
      </w:numPr>
      <w:spacing w:line="240" w:lineRule="atLeast"/>
    </w:pPr>
    <w:rPr>
      <w:rFonts w:cs="Angsana New"/>
      <w:sz w:val="20"/>
      <w:szCs w:val="22"/>
      <w:lang w:eastAsia="zh-CN" w:bidi="th-TH"/>
    </w:rPr>
  </w:style>
  <w:style w:type="paragraph" w:customStyle="1" w:styleId="MELegal9">
    <w:name w:val="ME Legal 9"/>
    <w:basedOn w:val="Normal"/>
    <w:unhideWhenUsed/>
    <w:qFormat/>
    <w:rsid w:val="002F3EC2"/>
    <w:pPr>
      <w:numPr>
        <w:ilvl w:val="8"/>
        <w:numId w:val="41"/>
      </w:numPr>
      <w:spacing w:line="240" w:lineRule="atLeast"/>
    </w:pPr>
    <w:rPr>
      <w:rFonts w:cs="Angsana New"/>
      <w:sz w:val="20"/>
      <w:szCs w:val="22"/>
      <w:lang w:eastAsia="zh-CN" w:bidi="th-TH"/>
    </w:rPr>
  </w:style>
  <w:style w:type="paragraph" w:customStyle="1" w:styleId="Report3">
    <w:name w:val="Report 3"/>
    <w:basedOn w:val="MELegal3"/>
    <w:uiPriority w:val="2"/>
    <w:qFormat/>
    <w:rsid w:val="002F3EC2"/>
    <w:pPr>
      <w:spacing w:before="120"/>
      <w:ind w:left="1360" w:hanging="680"/>
    </w:pPr>
  </w:style>
  <w:style w:type="paragraph" w:customStyle="1" w:styleId="Report4">
    <w:name w:val="Report 4"/>
    <w:basedOn w:val="MELegal4"/>
    <w:uiPriority w:val="2"/>
    <w:qFormat/>
    <w:rsid w:val="002F3EC2"/>
    <w:pPr>
      <w:spacing w:before="120"/>
    </w:pPr>
  </w:style>
  <w:style w:type="character" w:customStyle="1" w:styleId="FooterChar">
    <w:name w:val="Footer Char"/>
    <w:basedOn w:val="DefaultParagraphFont"/>
    <w:link w:val="Footer"/>
    <w:uiPriority w:val="99"/>
    <w:rsid w:val="001C4D9D"/>
    <w:rPr>
      <w:rFonts w:ascii="Arial" w:hAnsi="Arial" w:cs="Arial"/>
      <w:szCs w:val="18"/>
      <w:lang w:eastAsia="en-US"/>
    </w:rPr>
  </w:style>
  <w:style w:type="paragraph" w:styleId="ListParagraph">
    <w:name w:val="List Paragraph"/>
    <w:basedOn w:val="Normal"/>
    <w:uiPriority w:val="34"/>
    <w:qFormat/>
    <w:rsid w:val="0070033B"/>
    <w:pPr>
      <w:spacing w:after="160" w:line="252" w:lineRule="auto"/>
      <w:ind w:left="720"/>
      <w:contextualSpacing/>
    </w:pPr>
    <w:rPr>
      <w:rFonts w:ascii="Calibri" w:eastAsiaTheme="minorHAnsi" w:hAnsi="Calibri" w:cs="Calibri"/>
      <w:sz w:val="22"/>
      <w:szCs w:val="22"/>
    </w:rPr>
  </w:style>
  <w:style w:type="paragraph" w:customStyle="1" w:styleId="xmsonormal">
    <w:name w:val="x_msonormal"/>
    <w:basedOn w:val="Normal"/>
    <w:uiPriority w:val="99"/>
    <w:semiHidden/>
    <w:rsid w:val="0070033B"/>
    <w:pPr>
      <w:spacing w:after="0" w:line="240" w:lineRule="auto"/>
    </w:pPr>
    <w:rPr>
      <w:rFonts w:ascii="Calibri" w:eastAsiaTheme="minorHAnsi" w:hAnsi="Calibri" w:cs="Calibri"/>
      <w:sz w:val="22"/>
      <w:szCs w:val="22"/>
      <w:lang w:eastAsia="en-AU"/>
    </w:rPr>
  </w:style>
  <w:style w:type="character" w:styleId="UnresolvedMention">
    <w:name w:val="Unresolved Mention"/>
    <w:basedOn w:val="DefaultParagraphFont"/>
    <w:uiPriority w:val="99"/>
    <w:semiHidden/>
    <w:unhideWhenUsed/>
    <w:rsid w:val="00C95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69382">
      <w:bodyDiv w:val="1"/>
      <w:marLeft w:val="0"/>
      <w:marRight w:val="0"/>
      <w:marTop w:val="0"/>
      <w:marBottom w:val="0"/>
      <w:divBdr>
        <w:top w:val="none" w:sz="0" w:space="0" w:color="auto"/>
        <w:left w:val="none" w:sz="0" w:space="0" w:color="auto"/>
        <w:bottom w:val="none" w:sz="0" w:space="0" w:color="auto"/>
        <w:right w:val="none" w:sz="0" w:space="0" w:color="auto"/>
      </w:divBdr>
      <w:divsChild>
        <w:div w:id="359822867">
          <w:marLeft w:val="0"/>
          <w:marRight w:val="0"/>
          <w:marTop w:val="160"/>
          <w:marBottom w:val="160"/>
          <w:divBdr>
            <w:top w:val="none" w:sz="0" w:space="0" w:color="auto"/>
            <w:left w:val="none" w:sz="0" w:space="0" w:color="auto"/>
            <w:bottom w:val="none" w:sz="0" w:space="0" w:color="auto"/>
            <w:right w:val="none" w:sz="0" w:space="0" w:color="auto"/>
          </w:divBdr>
        </w:div>
        <w:div w:id="707338210">
          <w:marLeft w:val="0"/>
          <w:marRight w:val="0"/>
          <w:marTop w:val="160"/>
          <w:marBottom w:val="160"/>
          <w:divBdr>
            <w:top w:val="none" w:sz="0" w:space="0" w:color="auto"/>
            <w:left w:val="none" w:sz="0" w:space="0" w:color="auto"/>
            <w:bottom w:val="none" w:sz="0" w:space="0" w:color="auto"/>
            <w:right w:val="none" w:sz="0" w:space="0" w:color="auto"/>
          </w:divBdr>
        </w:div>
        <w:div w:id="1279333808">
          <w:marLeft w:val="0"/>
          <w:marRight w:val="0"/>
          <w:marTop w:val="160"/>
          <w:marBottom w:val="160"/>
          <w:divBdr>
            <w:top w:val="none" w:sz="0" w:space="0" w:color="auto"/>
            <w:left w:val="none" w:sz="0" w:space="0" w:color="auto"/>
            <w:bottom w:val="none" w:sz="0" w:space="0" w:color="auto"/>
            <w:right w:val="none" w:sz="0" w:space="0" w:color="auto"/>
          </w:divBdr>
        </w:div>
        <w:div w:id="1841382963">
          <w:marLeft w:val="0"/>
          <w:marRight w:val="0"/>
          <w:marTop w:val="160"/>
          <w:marBottom w:val="160"/>
          <w:divBdr>
            <w:top w:val="none" w:sz="0" w:space="0" w:color="auto"/>
            <w:left w:val="none" w:sz="0" w:space="0" w:color="auto"/>
            <w:bottom w:val="none" w:sz="0" w:space="0" w:color="auto"/>
            <w:right w:val="none" w:sz="0" w:space="0" w:color="auto"/>
          </w:divBdr>
        </w:div>
        <w:div w:id="2029017556">
          <w:marLeft w:val="0"/>
          <w:marRight w:val="0"/>
          <w:marTop w:val="160"/>
          <w:marBottom w:val="160"/>
          <w:divBdr>
            <w:top w:val="none" w:sz="0" w:space="0" w:color="auto"/>
            <w:left w:val="none" w:sz="0" w:space="0" w:color="auto"/>
            <w:bottom w:val="none" w:sz="0" w:space="0" w:color="auto"/>
            <w:right w:val="none" w:sz="0" w:space="0" w:color="auto"/>
          </w:divBdr>
        </w:div>
        <w:div w:id="2049798923">
          <w:marLeft w:val="0"/>
          <w:marRight w:val="0"/>
          <w:marTop w:val="160"/>
          <w:marBottom w:val="160"/>
          <w:divBdr>
            <w:top w:val="none" w:sz="0" w:space="0" w:color="auto"/>
            <w:left w:val="none" w:sz="0" w:space="0" w:color="auto"/>
            <w:bottom w:val="none" w:sz="0" w:space="0" w:color="auto"/>
            <w:right w:val="none" w:sz="0" w:space="0" w:color="auto"/>
          </w:divBdr>
        </w:div>
        <w:div w:id="2103605160">
          <w:marLeft w:val="0"/>
          <w:marRight w:val="0"/>
          <w:marTop w:val="160"/>
          <w:marBottom w:val="160"/>
          <w:divBdr>
            <w:top w:val="none" w:sz="0" w:space="0" w:color="auto"/>
            <w:left w:val="none" w:sz="0" w:space="0" w:color="auto"/>
            <w:bottom w:val="none" w:sz="0" w:space="0" w:color="auto"/>
            <w:right w:val="none" w:sz="0" w:space="0" w:color="auto"/>
          </w:divBdr>
        </w:div>
        <w:div w:id="2108573459">
          <w:marLeft w:val="0"/>
          <w:marRight w:val="0"/>
          <w:marTop w:val="160"/>
          <w:marBottom w:val="16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87726252">
      <w:bodyDiv w:val="1"/>
      <w:marLeft w:val="0"/>
      <w:marRight w:val="0"/>
      <w:marTop w:val="0"/>
      <w:marBottom w:val="0"/>
      <w:divBdr>
        <w:top w:val="none" w:sz="0" w:space="0" w:color="auto"/>
        <w:left w:val="none" w:sz="0" w:space="0" w:color="auto"/>
        <w:bottom w:val="none" w:sz="0" w:space="0" w:color="auto"/>
        <w:right w:val="none" w:sz="0" w:space="0" w:color="auto"/>
      </w:divBdr>
    </w:div>
    <w:div w:id="668287291">
      <w:bodyDiv w:val="1"/>
      <w:marLeft w:val="0"/>
      <w:marRight w:val="0"/>
      <w:marTop w:val="0"/>
      <w:marBottom w:val="0"/>
      <w:divBdr>
        <w:top w:val="none" w:sz="0" w:space="0" w:color="auto"/>
        <w:left w:val="none" w:sz="0" w:space="0" w:color="auto"/>
        <w:bottom w:val="none" w:sz="0" w:space="0" w:color="auto"/>
        <w:right w:val="none" w:sz="0" w:space="0" w:color="auto"/>
      </w:divBdr>
      <w:divsChild>
        <w:div w:id="537857516">
          <w:marLeft w:val="0"/>
          <w:marRight w:val="0"/>
          <w:marTop w:val="0"/>
          <w:marBottom w:val="0"/>
          <w:divBdr>
            <w:top w:val="none" w:sz="0" w:space="0" w:color="auto"/>
            <w:left w:val="none" w:sz="0" w:space="0" w:color="auto"/>
            <w:bottom w:val="none" w:sz="0" w:space="0" w:color="auto"/>
            <w:right w:val="none" w:sz="0" w:space="0" w:color="auto"/>
          </w:divBdr>
        </w:div>
      </w:divsChild>
    </w:div>
    <w:div w:id="681590171">
      <w:bodyDiv w:val="1"/>
      <w:marLeft w:val="0"/>
      <w:marRight w:val="0"/>
      <w:marTop w:val="0"/>
      <w:marBottom w:val="0"/>
      <w:divBdr>
        <w:top w:val="none" w:sz="0" w:space="0" w:color="auto"/>
        <w:left w:val="none" w:sz="0" w:space="0" w:color="auto"/>
        <w:bottom w:val="none" w:sz="0" w:space="0" w:color="auto"/>
        <w:right w:val="none" w:sz="0" w:space="0" w:color="auto"/>
      </w:divBdr>
    </w:div>
    <w:div w:id="802046321">
      <w:bodyDiv w:val="1"/>
      <w:marLeft w:val="0"/>
      <w:marRight w:val="0"/>
      <w:marTop w:val="0"/>
      <w:marBottom w:val="0"/>
      <w:divBdr>
        <w:top w:val="none" w:sz="0" w:space="0" w:color="auto"/>
        <w:left w:val="none" w:sz="0" w:space="0" w:color="auto"/>
        <w:bottom w:val="none" w:sz="0" w:space="0" w:color="auto"/>
        <w:right w:val="none" w:sz="0" w:space="0" w:color="auto"/>
      </w:divBdr>
      <w:divsChild>
        <w:div w:id="1095054177">
          <w:marLeft w:val="547"/>
          <w:marRight w:val="0"/>
          <w:marTop w:val="160"/>
          <w:marBottom w:val="160"/>
          <w:divBdr>
            <w:top w:val="none" w:sz="0" w:space="0" w:color="auto"/>
            <w:left w:val="none" w:sz="0" w:space="0" w:color="auto"/>
            <w:bottom w:val="none" w:sz="0" w:space="0" w:color="auto"/>
            <w:right w:val="none" w:sz="0" w:space="0" w:color="auto"/>
          </w:divBdr>
        </w:div>
        <w:div w:id="1301575847">
          <w:marLeft w:val="547"/>
          <w:marRight w:val="0"/>
          <w:marTop w:val="160"/>
          <w:marBottom w:val="160"/>
          <w:divBdr>
            <w:top w:val="none" w:sz="0" w:space="0" w:color="auto"/>
            <w:left w:val="none" w:sz="0" w:space="0" w:color="auto"/>
            <w:bottom w:val="none" w:sz="0" w:space="0" w:color="auto"/>
            <w:right w:val="none" w:sz="0" w:space="0" w:color="auto"/>
          </w:divBdr>
        </w:div>
        <w:div w:id="1819298530">
          <w:marLeft w:val="547"/>
          <w:marRight w:val="0"/>
          <w:marTop w:val="160"/>
          <w:marBottom w:val="16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25502628">
      <w:bodyDiv w:val="1"/>
      <w:marLeft w:val="0"/>
      <w:marRight w:val="0"/>
      <w:marTop w:val="0"/>
      <w:marBottom w:val="0"/>
      <w:divBdr>
        <w:top w:val="none" w:sz="0" w:space="0" w:color="auto"/>
        <w:left w:val="none" w:sz="0" w:space="0" w:color="auto"/>
        <w:bottom w:val="none" w:sz="0" w:space="0" w:color="auto"/>
        <w:right w:val="none" w:sz="0" w:space="0" w:color="auto"/>
      </w:divBdr>
      <w:divsChild>
        <w:div w:id="112796530">
          <w:marLeft w:val="446"/>
          <w:marRight w:val="0"/>
          <w:marTop w:val="0"/>
          <w:marBottom w:val="0"/>
          <w:divBdr>
            <w:top w:val="none" w:sz="0" w:space="0" w:color="auto"/>
            <w:left w:val="none" w:sz="0" w:space="0" w:color="auto"/>
            <w:bottom w:val="none" w:sz="0" w:space="0" w:color="auto"/>
            <w:right w:val="none" w:sz="0" w:space="0" w:color="auto"/>
          </w:divBdr>
        </w:div>
        <w:div w:id="685059115">
          <w:marLeft w:val="446"/>
          <w:marRight w:val="0"/>
          <w:marTop w:val="0"/>
          <w:marBottom w:val="0"/>
          <w:divBdr>
            <w:top w:val="none" w:sz="0" w:space="0" w:color="auto"/>
            <w:left w:val="none" w:sz="0" w:space="0" w:color="auto"/>
            <w:bottom w:val="none" w:sz="0" w:space="0" w:color="auto"/>
            <w:right w:val="none" w:sz="0" w:space="0" w:color="auto"/>
          </w:divBdr>
        </w:div>
        <w:div w:id="1451899962">
          <w:marLeft w:val="446"/>
          <w:marRight w:val="0"/>
          <w:marTop w:val="0"/>
          <w:marBottom w:val="0"/>
          <w:divBdr>
            <w:top w:val="none" w:sz="0" w:space="0" w:color="auto"/>
            <w:left w:val="none" w:sz="0" w:space="0" w:color="auto"/>
            <w:bottom w:val="none" w:sz="0" w:space="0" w:color="auto"/>
            <w:right w:val="none" w:sz="0" w:space="0" w:color="auto"/>
          </w:divBdr>
        </w:div>
        <w:div w:id="1895656407">
          <w:marLeft w:val="446"/>
          <w:marRight w:val="0"/>
          <w:marTop w:val="0"/>
          <w:marBottom w:val="0"/>
          <w:divBdr>
            <w:top w:val="none" w:sz="0" w:space="0" w:color="auto"/>
            <w:left w:val="none" w:sz="0" w:space="0" w:color="auto"/>
            <w:bottom w:val="none" w:sz="0" w:space="0" w:color="auto"/>
            <w:right w:val="none" w:sz="0" w:space="0" w:color="auto"/>
          </w:divBdr>
        </w:div>
        <w:div w:id="2126846839">
          <w:marLeft w:val="446"/>
          <w:marRight w:val="0"/>
          <w:marTop w:val="0"/>
          <w:marBottom w:val="0"/>
          <w:divBdr>
            <w:top w:val="none" w:sz="0" w:space="0" w:color="auto"/>
            <w:left w:val="none" w:sz="0" w:space="0" w:color="auto"/>
            <w:bottom w:val="none" w:sz="0" w:space="0" w:color="auto"/>
            <w:right w:val="none" w:sz="0" w:space="0" w:color="auto"/>
          </w:divBdr>
        </w:div>
      </w:divsChild>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09795101">
      <w:bodyDiv w:val="1"/>
      <w:marLeft w:val="0"/>
      <w:marRight w:val="0"/>
      <w:marTop w:val="0"/>
      <w:marBottom w:val="0"/>
      <w:divBdr>
        <w:top w:val="none" w:sz="0" w:space="0" w:color="auto"/>
        <w:left w:val="none" w:sz="0" w:space="0" w:color="auto"/>
        <w:bottom w:val="none" w:sz="0" w:space="0" w:color="auto"/>
        <w:right w:val="none" w:sz="0" w:space="0" w:color="auto"/>
      </w:divBdr>
      <w:divsChild>
        <w:div w:id="507910921">
          <w:marLeft w:val="547"/>
          <w:marRight w:val="0"/>
          <w:marTop w:val="160"/>
          <w:marBottom w:val="160"/>
          <w:divBdr>
            <w:top w:val="none" w:sz="0" w:space="0" w:color="auto"/>
            <w:left w:val="none" w:sz="0" w:space="0" w:color="auto"/>
            <w:bottom w:val="none" w:sz="0" w:space="0" w:color="auto"/>
            <w:right w:val="none" w:sz="0" w:space="0" w:color="auto"/>
          </w:divBdr>
        </w:div>
        <w:div w:id="877199671">
          <w:marLeft w:val="547"/>
          <w:marRight w:val="0"/>
          <w:marTop w:val="160"/>
          <w:marBottom w:val="160"/>
          <w:divBdr>
            <w:top w:val="none" w:sz="0" w:space="0" w:color="auto"/>
            <w:left w:val="none" w:sz="0" w:space="0" w:color="auto"/>
            <w:bottom w:val="none" w:sz="0" w:space="0" w:color="auto"/>
            <w:right w:val="none" w:sz="0" w:space="0" w:color="auto"/>
          </w:divBdr>
        </w:div>
        <w:div w:id="880824686">
          <w:marLeft w:val="547"/>
          <w:marRight w:val="0"/>
          <w:marTop w:val="160"/>
          <w:marBottom w:val="160"/>
          <w:divBdr>
            <w:top w:val="none" w:sz="0" w:space="0" w:color="auto"/>
            <w:left w:val="none" w:sz="0" w:space="0" w:color="auto"/>
            <w:bottom w:val="none" w:sz="0" w:space="0" w:color="auto"/>
            <w:right w:val="none" w:sz="0" w:space="0" w:color="auto"/>
          </w:divBdr>
        </w:div>
      </w:divsChild>
    </w:div>
    <w:div w:id="1271625738">
      <w:bodyDiv w:val="1"/>
      <w:marLeft w:val="0"/>
      <w:marRight w:val="0"/>
      <w:marTop w:val="0"/>
      <w:marBottom w:val="0"/>
      <w:divBdr>
        <w:top w:val="none" w:sz="0" w:space="0" w:color="auto"/>
        <w:left w:val="none" w:sz="0" w:space="0" w:color="auto"/>
        <w:bottom w:val="none" w:sz="0" w:space="0" w:color="auto"/>
        <w:right w:val="none" w:sz="0" w:space="0" w:color="auto"/>
      </w:divBdr>
      <w:divsChild>
        <w:div w:id="435491292">
          <w:marLeft w:val="547"/>
          <w:marRight w:val="0"/>
          <w:marTop w:val="160"/>
          <w:marBottom w:val="160"/>
          <w:divBdr>
            <w:top w:val="none" w:sz="0" w:space="0" w:color="auto"/>
            <w:left w:val="none" w:sz="0" w:space="0" w:color="auto"/>
            <w:bottom w:val="none" w:sz="0" w:space="0" w:color="auto"/>
            <w:right w:val="none" w:sz="0" w:space="0" w:color="auto"/>
          </w:divBdr>
        </w:div>
        <w:div w:id="455608743">
          <w:marLeft w:val="547"/>
          <w:marRight w:val="0"/>
          <w:marTop w:val="160"/>
          <w:marBottom w:val="160"/>
          <w:divBdr>
            <w:top w:val="none" w:sz="0" w:space="0" w:color="auto"/>
            <w:left w:val="none" w:sz="0" w:space="0" w:color="auto"/>
            <w:bottom w:val="none" w:sz="0" w:space="0" w:color="auto"/>
            <w:right w:val="none" w:sz="0" w:space="0" w:color="auto"/>
          </w:divBdr>
        </w:div>
        <w:div w:id="1316422309">
          <w:marLeft w:val="547"/>
          <w:marRight w:val="0"/>
          <w:marTop w:val="160"/>
          <w:marBottom w:val="160"/>
          <w:divBdr>
            <w:top w:val="none" w:sz="0" w:space="0" w:color="auto"/>
            <w:left w:val="none" w:sz="0" w:space="0" w:color="auto"/>
            <w:bottom w:val="none" w:sz="0" w:space="0" w:color="auto"/>
            <w:right w:val="none" w:sz="0" w:space="0" w:color="auto"/>
          </w:divBdr>
        </w:div>
        <w:div w:id="1578049583">
          <w:marLeft w:val="547"/>
          <w:marRight w:val="0"/>
          <w:marTop w:val="160"/>
          <w:marBottom w:val="160"/>
          <w:divBdr>
            <w:top w:val="none" w:sz="0" w:space="0" w:color="auto"/>
            <w:left w:val="none" w:sz="0" w:space="0" w:color="auto"/>
            <w:bottom w:val="none" w:sz="0" w:space="0" w:color="auto"/>
            <w:right w:val="none" w:sz="0" w:space="0" w:color="auto"/>
          </w:divBdr>
        </w:div>
      </w:divsChild>
    </w:div>
    <w:div w:id="1277636847">
      <w:bodyDiv w:val="1"/>
      <w:marLeft w:val="0"/>
      <w:marRight w:val="0"/>
      <w:marTop w:val="0"/>
      <w:marBottom w:val="0"/>
      <w:divBdr>
        <w:top w:val="none" w:sz="0" w:space="0" w:color="auto"/>
        <w:left w:val="none" w:sz="0" w:space="0" w:color="auto"/>
        <w:bottom w:val="none" w:sz="0" w:space="0" w:color="auto"/>
        <w:right w:val="none" w:sz="0" w:space="0" w:color="auto"/>
      </w:divBdr>
      <w:divsChild>
        <w:div w:id="407116087">
          <w:marLeft w:val="0"/>
          <w:marRight w:val="0"/>
          <w:marTop w:val="160"/>
          <w:marBottom w:val="160"/>
          <w:divBdr>
            <w:top w:val="none" w:sz="0" w:space="0" w:color="auto"/>
            <w:left w:val="none" w:sz="0" w:space="0" w:color="auto"/>
            <w:bottom w:val="none" w:sz="0" w:space="0" w:color="auto"/>
            <w:right w:val="none" w:sz="0" w:space="0" w:color="auto"/>
          </w:divBdr>
        </w:div>
        <w:div w:id="726299427">
          <w:marLeft w:val="0"/>
          <w:marRight w:val="0"/>
          <w:marTop w:val="160"/>
          <w:marBottom w:val="160"/>
          <w:divBdr>
            <w:top w:val="none" w:sz="0" w:space="0" w:color="auto"/>
            <w:left w:val="none" w:sz="0" w:space="0" w:color="auto"/>
            <w:bottom w:val="none" w:sz="0" w:space="0" w:color="auto"/>
            <w:right w:val="none" w:sz="0" w:space="0" w:color="auto"/>
          </w:divBdr>
        </w:div>
        <w:div w:id="823395883">
          <w:marLeft w:val="0"/>
          <w:marRight w:val="0"/>
          <w:marTop w:val="160"/>
          <w:marBottom w:val="160"/>
          <w:divBdr>
            <w:top w:val="none" w:sz="0" w:space="0" w:color="auto"/>
            <w:left w:val="none" w:sz="0" w:space="0" w:color="auto"/>
            <w:bottom w:val="none" w:sz="0" w:space="0" w:color="auto"/>
            <w:right w:val="none" w:sz="0" w:space="0" w:color="auto"/>
          </w:divBdr>
        </w:div>
        <w:div w:id="1232157981">
          <w:marLeft w:val="0"/>
          <w:marRight w:val="0"/>
          <w:marTop w:val="160"/>
          <w:marBottom w:val="160"/>
          <w:divBdr>
            <w:top w:val="none" w:sz="0" w:space="0" w:color="auto"/>
            <w:left w:val="none" w:sz="0" w:space="0" w:color="auto"/>
            <w:bottom w:val="none" w:sz="0" w:space="0" w:color="auto"/>
            <w:right w:val="none" w:sz="0" w:space="0" w:color="auto"/>
          </w:divBdr>
        </w:div>
        <w:div w:id="1247501470">
          <w:marLeft w:val="0"/>
          <w:marRight w:val="0"/>
          <w:marTop w:val="160"/>
          <w:marBottom w:val="160"/>
          <w:divBdr>
            <w:top w:val="none" w:sz="0" w:space="0" w:color="auto"/>
            <w:left w:val="none" w:sz="0" w:space="0" w:color="auto"/>
            <w:bottom w:val="none" w:sz="0" w:space="0" w:color="auto"/>
            <w:right w:val="none" w:sz="0" w:space="0" w:color="auto"/>
          </w:divBdr>
        </w:div>
        <w:div w:id="1279600068">
          <w:marLeft w:val="0"/>
          <w:marRight w:val="0"/>
          <w:marTop w:val="160"/>
          <w:marBottom w:val="160"/>
          <w:divBdr>
            <w:top w:val="none" w:sz="0" w:space="0" w:color="auto"/>
            <w:left w:val="none" w:sz="0" w:space="0" w:color="auto"/>
            <w:bottom w:val="none" w:sz="0" w:space="0" w:color="auto"/>
            <w:right w:val="none" w:sz="0" w:space="0" w:color="auto"/>
          </w:divBdr>
        </w:div>
        <w:div w:id="1367440932">
          <w:marLeft w:val="0"/>
          <w:marRight w:val="0"/>
          <w:marTop w:val="160"/>
          <w:marBottom w:val="160"/>
          <w:divBdr>
            <w:top w:val="none" w:sz="0" w:space="0" w:color="auto"/>
            <w:left w:val="none" w:sz="0" w:space="0" w:color="auto"/>
            <w:bottom w:val="none" w:sz="0" w:space="0" w:color="auto"/>
            <w:right w:val="none" w:sz="0" w:space="0" w:color="auto"/>
          </w:divBdr>
        </w:div>
      </w:divsChild>
    </w:div>
    <w:div w:id="1299412705">
      <w:bodyDiv w:val="1"/>
      <w:marLeft w:val="0"/>
      <w:marRight w:val="0"/>
      <w:marTop w:val="0"/>
      <w:marBottom w:val="0"/>
      <w:divBdr>
        <w:top w:val="none" w:sz="0" w:space="0" w:color="auto"/>
        <w:left w:val="none" w:sz="0" w:space="0" w:color="auto"/>
        <w:bottom w:val="none" w:sz="0" w:space="0" w:color="auto"/>
        <w:right w:val="none" w:sz="0" w:space="0" w:color="auto"/>
      </w:divBdr>
    </w:div>
    <w:div w:id="1388065915">
      <w:bodyDiv w:val="1"/>
      <w:marLeft w:val="0"/>
      <w:marRight w:val="0"/>
      <w:marTop w:val="0"/>
      <w:marBottom w:val="0"/>
      <w:divBdr>
        <w:top w:val="none" w:sz="0" w:space="0" w:color="auto"/>
        <w:left w:val="none" w:sz="0" w:space="0" w:color="auto"/>
        <w:bottom w:val="none" w:sz="0" w:space="0" w:color="auto"/>
        <w:right w:val="none" w:sz="0" w:space="0" w:color="auto"/>
      </w:divBdr>
      <w:divsChild>
        <w:div w:id="872502283">
          <w:marLeft w:val="0"/>
          <w:marRight w:val="0"/>
          <w:marTop w:val="160"/>
          <w:marBottom w:val="160"/>
          <w:divBdr>
            <w:top w:val="none" w:sz="0" w:space="0" w:color="auto"/>
            <w:left w:val="none" w:sz="0" w:space="0" w:color="auto"/>
            <w:bottom w:val="none" w:sz="0" w:space="0" w:color="auto"/>
            <w:right w:val="none" w:sz="0" w:space="0" w:color="auto"/>
          </w:divBdr>
        </w:div>
        <w:div w:id="913003989">
          <w:marLeft w:val="0"/>
          <w:marRight w:val="0"/>
          <w:marTop w:val="160"/>
          <w:marBottom w:val="160"/>
          <w:divBdr>
            <w:top w:val="none" w:sz="0" w:space="0" w:color="auto"/>
            <w:left w:val="none" w:sz="0" w:space="0" w:color="auto"/>
            <w:bottom w:val="none" w:sz="0" w:space="0" w:color="auto"/>
            <w:right w:val="none" w:sz="0" w:space="0" w:color="auto"/>
          </w:divBdr>
        </w:div>
        <w:div w:id="1832404826">
          <w:marLeft w:val="0"/>
          <w:marRight w:val="0"/>
          <w:marTop w:val="160"/>
          <w:marBottom w:val="160"/>
          <w:divBdr>
            <w:top w:val="none" w:sz="0" w:space="0" w:color="auto"/>
            <w:left w:val="none" w:sz="0" w:space="0" w:color="auto"/>
            <w:bottom w:val="none" w:sz="0" w:space="0" w:color="auto"/>
            <w:right w:val="none" w:sz="0" w:space="0" w:color="auto"/>
          </w:divBdr>
        </w:div>
        <w:div w:id="1849635722">
          <w:marLeft w:val="0"/>
          <w:marRight w:val="0"/>
          <w:marTop w:val="160"/>
          <w:marBottom w:val="160"/>
          <w:divBdr>
            <w:top w:val="none" w:sz="0" w:space="0" w:color="auto"/>
            <w:left w:val="none" w:sz="0" w:space="0" w:color="auto"/>
            <w:bottom w:val="none" w:sz="0" w:space="0" w:color="auto"/>
            <w:right w:val="none" w:sz="0" w:space="0" w:color="auto"/>
          </w:divBdr>
        </w:div>
        <w:div w:id="1859659581">
          <w:marLeft w:val="0"/>
          <w:marRight w:val="0"/>
          <w:marTop w:val="160"/>
          <w:marBottom w:val="160"/>
          <w:divBdr>
            <w:top w:val="none" w:sz="0" w:space="0" w:color="auto"/>
            <w:left w:val="none" w:sz="0" w:space="0" w:color="auto"/>
            <w:bottom w:val="none" w:sz="0" w:space="0" w:color="auto"/>
            <w:right w:val="none" w:sz="0" w:space="0" w:color="auto"/>
          </w:divBdr>
        </w:div>
        <w:div w:id="2008897996">
          <w:marLeft w:val="0"/>
          <w:marRight w:val="0"/>
          <w:marTop w:val="160"/>
          <w:marBottom w:val="160"/>
          <w:divBdr>
            <w:top w:val="none" w:sz="0" w:space="0" w:color="auto"/>
            <w:left w:val="none" w:sz="0" w:space="0" w:color="auto"/>
            <w:bottom w:val="none" w:sz="0" w:space="0" w:color="auto"/>
            <w:right w:val="none" w:sz="0" w:space="0" w:color="auto"/>
          </w:divBdr>
        </w:div>
        <w:div w:id="2115706481">
          <w:marLeft w:val="0"/>
          <w:marRight w:val="0"/>
          <w:marTop w:val="160"/>
          <w:marBottom w:val="16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16734332">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9025384">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safetyandquality.gov.au/standards/nsqhs-standards/communicating-safety-standard/documentation-informatio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research-and-reporting/bulletins-and-program-management-circulars-pmc"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MHDReporting@health.vic.gov.au" TargetMode="External"/><Relationship Id="rId27" Type="http://schemas.openxmlformats.org/officeDocument/2006/relationships/header" Target="header9.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75FE1E9EC14E45A09B3C41B71CD680" ma:contentTypeVersion="6" ma:contentTypeDescription="Create a new document." ma:contentTypeScope="" ma:versionID="a6e0bf9834c908d736de9d3761ea97ed">
  <xsd:schema xmlns:xsd="http://www.w3.org/2001/XMLSchema" xmlns:xs="http://www.w3.org/2001/XMLSchema" xmlns:p="http://schemas.microsoft.com/office/2006/metadata/properties" xmlns:ns2="eac61555-571f-4634-8a87-e48820a8521a" xmlns:ns3="d3997371-33ce-486e-a268-17233fd2e88d" targetNamespace="http://schemas.microsoft.com/office/2006/metadata/properties" ma:root="true" ma:fieldsID="0930f89578104235c70a7d25ceca57dc" ns2:_="" ns3:_="">
    <xsd:import namespace="eac61555-571f-4634-8a87-e48820a8521a"/>
    <xsd:import namespace="d3997371-33ce-486e-a268-17233fd2e8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61555-571f-4634-8a87-e48820a852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997371-33ce-486e-a268-17233fd2e8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60BDEC-2710-4768-84F0-0582BEE4717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AEF3DDC3-DABE-4330-ABF5-652C5376E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61555-571f-4634-8a87-e48820a8521a"/>
    <ds:schemaRef ds:uri="d3997371-33ce-486e-a268-17233fd2e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6347</Words>
  <Characters>36181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Clinical mental health services changes to registration and updates to outcome measurement</vt:lpstr>
    </vt:vector>
  </TitlesOfParts>
  <Manager/>
  <Company>Victoria State Government, Department of Health</Company>
  <LinksUpToDate>false</LinksUpToDate>
  <CharactersWithSpaces>42444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mental health services changes to registration and updates to outcome measurement</dc:title>
  <dc:subject/>
  <dc:creator>Tyler McPherson (Health)</dc:creator>
  <cp:keywords/>
  <dc:description/>
  <cp:lastModifiedBy>Tyler McPherson (Health)</cp:lastModifiedBy>
  <cp:revision>3</cp:revision>
  <cp:lastPrinted>2021-07-05T14:26:00Z</cp:lastPrinted>
  <dcterms:created xsi:type="dcterms:W3CDTF">2025-07-17T23:48:00Z</dcterms:created>
  <dcterms:modified xsi:type="dcterms:W3CDTF">2025-07-17T23:48:00Z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0x0101009B75FE1E9EC14E45A09B3C41B71CD680</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2023-03-20T04:36:31Z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76922416-c069-4442-8ccb-9fb17faa282b</vt:lpwstr>
  </property>
  <property fmtid="{D5CDD505-2E9C-101B-9397-08002B2CF9AE}" pid="11" name="MSIP_Label_43e64453-338c-4f93-8a4d-0039a0a41f2a_ContentBits">
    <vt:lpwstr>2</vt:lpwstr>
  </property>
</Properties>
</file>