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721" w:tblpY="1070"/>
        <w:tblW w:w="9299" w:type="dxa"/>
        <w:tblLook w:val="04A0" w:firstRow="1" w:lastRow="0" w:firstColumn="1" w:lastColumn="0" w:noHBand="0" w:noVBand="1"/>
      </w:tblPr>
      <w:tblGrid>
        <w:gridCol w:w="9299"/>
      </w:tblGrid>
      <w:tr w:rsidR="000C7228" w14:paraId="63F27D64" w14:textId="77777777" w:rsidTr="00EA6323">
        <w:tc>
          <w:tcPr>
            <w:tcW w:w="0" w:type="auto"/>
          </w:tcPr>
          <w:p w14:paraId="278E60BE" w14:textId="77777777" w:rsidR="000C7228" w:rsidRDefault="000C7228" w:rsidP="000C7228">
            <w:pPr>
              <w:pStyle w:val="Documenttitle"/>
              <w:contextualSpacing/>
            </w:pPr>
            <w:r>
              <w:t xml:space="preserve">Chief Psychiatrist’s annual report </w:t>
            </w:r>
          </w:p>
          <w:p w14:paraId="1C221E56" w14:textId="01AEBE3F" w:rsidR="000C7228" w:rsidRPr="00431F42" w:rsidRDefault="000C7228" w:rsidP="000C7228">
            <w:pPr>
              <w:pStyle w:val="Documenttitle"/>
              <w:contextualSpacing/>
            </w:pPr>
            <w:r>
              <w:t>2023</w:t>
            </w:r>
            <w:bookmarkStart w:id="0" w:name="_Hlk178157753"/>
            <w:r w:rsidRPr="00A75687">
              <w:t>–</w:t>
            </w:r>
            <w:bookmarkEnd w:id="0"/>
            <w:r>
              <w:t>24</w:t>
            </w:r>
          </w:p>
        </w:tc>
      </w:tr>
    </w:tbl>
    <w:p w14:paraId="7DB95A52" w14:textId="4E28945F" w:rsidR="00B41C39" w:rsidRDefault="00B41C39" w:rsidP="009A5423">
      <w:pPr>
        <w:pStyle w:val="Body"/>
        <w:sectPr w:rsidR="00B41C39" w:rsidSect="00C450D0">
          <w:footerReference w:type="even" r:id="rId11"/>
          <w:footerReference w:type="default" r:id="rId12"/>
          <w:pgSz w:w="11906" w:h="16838"/>
          <w:pgMar w:top="1701" w:right="1304" w:bottom="1134" w:left="1304" w:header="454" w:footer="567" w:gutter="0"/>
          <w:cols w:space="720"/>
          <w:docGrid w:linePitch="360"/>
        </w:sectPr>
      </w:pPr>
      <w:r>
        <w:rPr>
          <w:noProof/>
        </w:rPr>
        <w:drawing>
          <wp:anchor distT="0" distB="0" distL="114300" distR="114300" simplePos="0" relativeHeight="251658241" behindDoc="1" locked="1" layoutInCell="1" allowOverlap="1" wp14:anchorId="318E2BA2" wp14:editId="0F7C335D">
            <wp:simplePos x="0" y="0"/>
            <wp:positionH relativeFrom="page">
              <wp:posOffset>0</wp:posOffset>
            </wp:positionH>
            <wp:positionV relativeFrom="page">
              <wp:posOffset>-1371600</wp:posOffset>
            </wp:positionV>
            <wp:extent cx="8539480" cy="12070080"/>
            <wp:effectExtent l="0" t="0" r="0" b="762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480" cy="12070080"/>
                    </a:xfrm>
                    <a:prstGeom prst="rect">
                      <a:avLst/>
                    </a:prstGeom>
                  </pic:spPr>
                </pic:pic>
              </a:graphicData>
            </a:graphic>
            <wp14:sizeRelH relativeFrom="margin">
              <wp14:pctWidth>0</wp14:pctWidth>
            </wp14:sizeRelH>
            <wp14:sizeRelV relativeFrom="margin">
              <wp14:pctHeight>0</wp14:pctHeight>
            </wp14:sizeRelV>
          </wp:anchor>
        </w:drawing>
      </w:r>
    </w:p>
    <w:p w14:paraId="39A63EAB" w14:textId="2A11EC17" w:rsidR="00363C00" w:rsidRPr="00F77D38" w:rsidRDefault="00073DB0" w:rsidP="00434B70">
      <w:pPr>
        <w:pStyle w:val="Body"/>
      </w:pPr>
      <w:r>
        <w:rPr>
          <w:noProof/>
          <w:lang w:eastAsia="en-AU"/>
        </w:rPr>
        <w:lastRenderedPageBreak/>
        <mc:AlternateContent>
          <mc:Choice Requires="wps">
            <w:drawing>
              <wp:anchor distT="0" distB="0" distL="114300" distR="114300" simplePos="0" relativeHeight="251658240" behindDoc="0" locked="0" layoutInCell="1" allowOverlap="1" wp14:anchorId="07C5B430" wp14:editId="444EE630">
                <wp:simplePos x="0" y="0"/>
                <wp:positionH relativeFrom="column">
                  <wp:posOffset>4572000</wp:posOffset>
                </wp:positionH>
                <wp:positionV relativeFrom="paragraph">
                  <wp:posOffset>10172700</wp:posOffset>
                </wp:positionV>
                <wp:extent cx="2514600" cy="342900"/>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a:solidFill>
                                <a:srgbClr val="FFFFFF"/>
                              </a:solidFill>
                            </a14:hiddenFill>
                          </a:ext>
                          <a:ext uri="{91240B29-F687-4f45-9708-019B960494DF}">
                            <a14:hiddenLine xmlns:pic="http://schemas.openxmlformats.org/drawingml/2006/pictur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xmlns:c="http://schemas.openxmlformats.org/drawingml/2006/chart" xmlns:a16="http://schemas.microsoft.com/office/drawing/2014/main" w="9525">
                              <a:solidFill>
                                <a:srgbClr val="000000"/>
                              </a:solidFill>
                              <a:miter lim="800000"/>
                              <a:headEnd/>
                              <a:tailEnd/>
                            </a14:hiddenLine>
                          </a:ext>
                        </a:extLst>
                      </wps:spPr>
                      <wps:txb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B430" id="_x0000_t202" coordsize="21600,21600" o:spt="202" path="m,l,21600r21600,l21600,xe">
                <v:stroke joinstyle="miter"/>
                <v:path gradientshapeok="t" o:connecttype="rect"/>
              </v:shapetype>
              <v:shape id="Text Box 3" o:spid="_x0000_s1026" type="#_x0000_t202" alt="&quot;&quot;" style="position:absolute;margin-left:5in;margin-top:801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" filled="f" stroked="f">
                <v:textbox>
                  <w:txbxContent>
                    <w:p w14:paraId="6559AD42" w14:textId="77777777" w:rsidR="00F33284" w:rsidRDefault="00F33284" w:rsidP="00AC0C3B">
                      <w:pPr>
                        <w:jc w:val="right"/>
                      </w:pPr>
                      <w:r w:rsidRPr="000147AF">
                        <w:rPr>
                          <w:rFonts w:ascii="Arial" w:hAnsi="Arial" w:cs="Arial"/>
                          <w:color w:val="808080"/>
                          <w:sz w:val="22"/>
                          <w:szCs w:val="22"/>
                        </w:rPr>
                        <w:t>Department of Health</w:t>
                      </w:r>
                    </w:p>
                  </w:txbxContent>
                </v:textbox>
              </v:shape>
            </w:pict>
          </mc:Fallback>
        </mc:AlternateContent>
      </w:r>
      <w:r w:rsidR="00363C00" w:rsidRPr="00605B5B">
        <w:t xml:space="preserve">To receive this publication in an accessible format phone </w:t>
      </w:r>
      <w:r w:rsidR="00363C00" w:rsidRPr="00F77D38">
        <w:t>1300 767 299</w:t>
      </w:r>
      <w:r w:rsidR="00363C00">
        <w:t>,</w:t>
      </w:r>
      <w:r w:rsidR="00363C00" w:rsidRPr="00605B5B">
        <w:t xml:space="preserve"> using the National Relay Service 13 36 77 if required, or </w:t>
      </w:r>
      <w:hyperlink r:id="rId14" w:history="1">
        <w:r w:rsidR="00363C00" w:rsidRPr="00843E13">
          <w:rPr>
            <w:rStyle w:val="Hyperlink"/>
          </w:rPr>
          <w:t>email the Office of the Chief Psychiatrist</w:t>
        </w:r>
      </w:hyperlink>
      <w:r w:rsidR="00363C00" w:rsidRPr="00F77D38">
        <w:t xml:space="preserve"> &lt;ocp@</w:t>
      </w:r>
      <w:r w:rsidR="00363C00">
        <w:t>health</w:t>
      </w:r>
      <w:r w:rsidR="00363C00" w:rsidRPr="00F77D38">
        <w:t>.vic.gov.au&gt;.</w:t>
      </w:r>
    </w:p>
    <w:p w14:paraId="39BEFA6B" w14:textId="77777777" w:rsidR="00363C00" w:rsidRPr="00605B5B" w:rsidRDefault="00363C00" w:rsidP="00563C62">
      <w:pPr>
        <w:pStyle w:val="Body"/>
      </w:pPr>
      <w:r w:rsidRPr="00605B5B">
        <w:t>Authorised and published by the Victorian Governmen</w:t>
      </w:r>
      <w:r>
        <w:t>t, 1 Treasury Place, Melbourne.</w:t>
      </w:r>
    </w:p>
    <w:p w14:paraId="6E999B9B" w14:textId="77777777" w:rsidR="00363C00" w:rsidRPr="00605B5B" w:rsidRDefault="00363C00" w:rsidP="00563C62">
      <w:pPr>
        <w:pStyle w:val="Body"/>
      </w:pPr>
      <w:r w:rsidRPr="00605B5B">
        <w:t>© State of Victoria, Department of Health</w:t>
      </w:r>
      <w:r>
        <w:t>, October 2024</w:t>
      </w:r>
      <w:r w:rsidRPr="00605B5B">
        <w:t>.</w:t>
      </w:r>
    </w:p>
    <w:p w14:paraId="15F3871E" w14:textId="77777777" w:rsidR="00363C00" w:rsidRDefault="00363C00" w:rsidP="00563C62">
      <w:pPr>
        <w:pStyle w:val="Body"/>
        <w:rPr>
          <w:rFonts w:eastAsia="Arial" w:cs="Arial"/>
          <w:color w:val="000000" w:themeColor="text1"/>
          <w:sz w:val="22"/>
          <w:szCs w:val="22"/>
        </w:rPr>
      </w:pPr>
      <w:r w:rsidRPr="0042538B">
        <w:t>ISBN/ISSN 2207-1482 (online/PDF/Word)</w:t>
      </w:r>
    </w:p>
    <w:p w14:paraId="3A933C7A" w14:textId="77777777" w:rsidR="00363C00" w:rsidRPr="00436843" w:rsidRDefault="00363C00" w:rsidP="00563C62">
      <w:pPr>
        <w:pStyle w:val="Body"/>
        <w:rPr>
          <w:color w:val="D50032"/>
        </w:rPr>
      </w:pPr>
      <w:r>
        <w:t xml:space="preserve">Available on the </w:t>
      </w:r>
      <w:hyperlink r:id="rId15" w:history="1">
        <w:r w:rsidRPr="00843E13">
          <w:rPr>
            <w:rStyle w:val="Hyperlink"/>
          </w:rPr>
          <w:t>Chief Psychiatrist’s webpage</w:t>
        </w:r>
      </w:hyperlink>
      <w:r>
        <w:t xml:space="preserve"> </w:t>
      </w:r>
      <w:r w:rsidRPr="00F77D38">
        <w:t>&lt;</w:t>
      </w:r>
      <w:r w:rsidRPr="00A51A3A">
        <w:t>https://www.health.vic.gov.au/key-staff/publications-from-the-chief-psychiatrist</w:t>
      </w:r>
      <w:r w:rsidRPr="00F77D38">
        <w:t>&gt;.</w:t>
      </w:r>
    </w:p>
    <w:p w14:paraId="20E5A133" w14:textId="0612E38B" w:rsidR="00AC0C3B" w:rsidRDefault="00381B2F" w:rsidP="00563C62">
      <w:pPr>
        <w:pStyle w:val="Body"/>
      </w:pPr>
      <w:r w:rsidRPr="00B07969">
        <w:br w:type="page"/>
      </w:r>
    </w:p>
    <w:p w14:paraId="3DB06C5A" w14:textId="77777777" w:rsidR="00B73919" w:rsidRPr="003072C6" w:rsidRDefault="00B73919" w:rsidP="00563C62">
      <w:pPr>
        <w:pStyle w:val="Body"/>
        <w:sectPr w:rsidR="00B73919" w:rsidRPr="003072C6" w:rsidSect="00C450D0">
          <w:pgSz w:w="11906" w:h="16838"/>
          <w:pgMar w:top="1701" w:right="1304" w:bottom="1134" w:left="1304" w:header="454" w:footer="567" w:gutter="0"/>
          <w:cols w:space="720"/>
          <w:docGrid w:linePitch="360"/>
        </w:sectPr>
      </w:pPr>
    </w:p>
    <w:p w14:paraId="7DC013BE" w14:textId="77777777" w:rsidR="00001F92" w:rsidRDefault="00001F92" w:rsidP="00001F92">
      <w:pPr>
        <w:pStyle w:val="Heading1"/>
        <w:rPr>
          <w:rStyle w:val="Heading3Char"/>
          <w:rFonts w:eastAsia="Times"/>
          <w:b/>
          <w:sz w:val="21"/>
          <w:szCs w:val="21"/>
        </w:rPr>
      </w:pPr>
      <w:bookmarkStart w:id="1" w:name="_Toc180660122"/>
      <w:bookmarkStart w:id="2" w:name="_Toc52886226"/>
      <w:bookmarkStart w:id="3" w:name="_Toc52886229"/>
      <w:r w:rsidRPr="004D66C3">
        <w:rPr>
          <w:rStyle w:val="Heading3Char"/>
          <w:rFonts w:eastAsia="Times"/>
          <w:bCs/>
          <w:sz w:val="44"/>
          <w:szCs w:val="44"/>
        </w:rPr>
        <w:lastRenderedPageBreak/>
        <w:t>Acknowledgements</w:t>
      </w:r>
      <w:bookmarkEnd w:id="1"/>
      <w:r w:rsidRPr="00FE0833">
        <w:rPr>
          <w:rStyle w:val="Heading3Char"/>
          <w:rFonts w:eastAsia="Times"/>
          <w:b/>
          <w:sz w:val="21"/>
          <w:szCs w:val="21"/>
        </w:rPr>
        <w:t xml:space="preserve"> </w:t>
      </w:r>
    </w:p>
    <w:p w14:paraId="4CC24AA5" w14:textId="77777777" w:rsidR="00001F92" w:rsidRPr="00433F44" w:rsidRDefault="00001F92" w:rsidP="00001F92">
      <w:pPr>
        <w:pStyle w:val="Heading2"/>
      </w:pPr>
      <w:bookmarkStart w:id="4" w:name="_Toc180660123"/>
      <w:r w:rsidRPr="004D66C3">
        <w:rPr>
          <w:rStyle w:val="Heading3Char"/>
          <w:rFonts w:eastAsia="Times"/>
          <w:bCs w:val="0"/>
          <w:sz w:val="32"/>
          <w:szCs w:val="28"/>
        </w:rPr>
        <w:t xml:space="preserve">Acknowledgement of </w:t>
      </w:r>
      <w:r>
        <w:rPr>
          <w:rStyle w:val="Heading3Char"/>
          <w:rFonts w:eastAsia="Times"/>
          <w:bCs w:val="0"/>
          <w:sz w:val="32"/>
          <w:szCs w:val="28"/>
        </w:rPr>
        <w:t>C</w:t>
      </w:r>
      <w:r w:rsidRPr="004D66C3">
        <w:rPr>
          <w:rStyle w:val="Heading3Char"/>
          <w:rFonts w:eastAsia="Times"/>
          <w:bCs w:val="0"/>
          <w:sz w:val="32"/>
          <w:szCs w:val="28"/>
        </w:rPr>
        <w:t>ountry</w:t>
      </w:r>
      <w:bookmarkEnd w:id="2"/>
      <w:bookmarkEnd w:id="4"/>
      <w:r w:rsidRPr="00433F44">
        <w:t xml:space="preserve"> </w:t>
      </w:r>
    </w:p>
    <w:p w14:paraId="54B68810" w14:textId="157ACAA6" w:rsidR="00001F92" w:rsidRPr="00FE0833" w:rsidRDefault="00001F92" w:rsidP="00001F92">
      <w:pPr>
        <w:pStyle w:val="Body"/>
        <w:rPr>
          <w:rStyle w:val="normaltextrun"/>
        </w:rPr>
      </w:pPr>
      <w:r w:rsidRPr="00FE0833">
        <w:rPr>
          <w:rStyle w:val="normaltextrun"/>
        </w:rPr>
        <w:t xml:space="preserve">The </w:t>
      </w:r>
      <w:r w:rsidR="001A6307">
        <w:rPr>
          <w:rStyle w:val="normaltextrun"/>
        </w:rPr>
        <w:t xml:space="preserve">Office of the Chief Psychiatrist </w:t>
      </w:r>
      <w:r w:rsidRPr="00FE0833">
        <w:rPr>
          <w:rStyle w:val="normaltextrun"/>
        </w:rPr>
        <w:t>proudly acknowledges Victoria’s Aboriginal communities and their rich culture and pays respect to their Elders past and present.</w:t>
      </w:r>
    </w:p>
    <w:p w14:paraId="798EABC5" w14:textId="77777777" w:rsidR="00001F92" w:rsidRPr="00FE0833" w:rsidRDefault="00001F92" w:rsidP="00001F92">
      <w:pPr>
        <w:pStyle w:val="Body"/>
        <w:rPr>
          <w:rStyle w:val="normaltextrun"/>
        </w:rPr>
      </w:pPr>
      <w:r w:rsidRPr="00FE0833">
        <w:rPr>
          <w:rStyle w:val="normaltextrun"/>
        </w:rPr>
        <w:t>We acknowledge Aboriginal peoples as Australia’s first peoples and as the Traditional Owners and custodians of the land and water on which we live, work and play.</w:t>
      </w:r>
    </w:p>
    <w:p w14:paraId="71609C39" w14:textId="77777777" w:rsidR="00001F92" w:rsidRPr="00FE0833" w:rsidRDefault="00001F92" w:rsidP="00001F92">
      <w:pPr>
        <w:pStyle w:val="Body"/>
        <w:rPr>
          <w:rStyle w:val="normaltextrun"/>
        </w:rPr>
      </w:pPr>
      <w:r w:rsidRPr="00FE0833">
        <w:rPr>
          <w:rStyle w:val="normaltextrun"/>
        </w:rPr>
        <w:t>We recognise and value the ongoing contribution of Aboriginal people and communities to Victorian life and how this enriches our society more broadly.</w:t>
      </w:r>
    </w:p>
    <w:p w14:paraId="22563A0F" w14:textId="77777777" w:rsidR="00001F92" w:rsidRPr="00FE0833" w:rsidRDefault="00001F92" w:rsidP="00001F92">
      <w:pPr>
        <w:pStyle w:val="Body"/>
        <w:rPr>
          <w:rStyle w:val="normaltextrun"/>
        </w:rPr>
      </w:pPr>
      <w:r w:rsidRPr="00FE0833">
        <w:rPr>
          <w:rStyle w:val="normaltextrun"/>
        </w:rPr>
        <w:t>We embrace self-determination and reconciliation, working towards equality of outcomes and ensuring an equitable voice.</w:t>
      </w:r>
    </w:p>
    <w:p w14:paraId="60FE14F5" w14:textId="3CF1BBB0" w:rsidR="00001F92" w:rsidRPr="00433F44" w:rsidRDefault="001A6307" w:rsidP="00001F92">
      <w:pPr>
        <w:pStyle w:val="Heading2"/>
      </w:pPr>
      <w:bookmarkStart w:id="5" w:name="_Toc52886227"/>
      <w:bookmarkStart w:id="6" w:name="_Toc180660124"/>
      <w:r>
        <w:rPr>
          <w:rStyle w:val="Heading3Char"/>
          <w:rFonts w:eastAsia="Times"/>
          <w:bCs w:val="0"/>
          <w:sz w:val="32"/>
          <w:szCs w:val="28"/>
        </w:rPr>
        <w:t>Recognition</w:t>
      </w:r>
      <w:r w:rsidR="00001F92" w:rsidRPr="004D66C3">
        <w:rPr>
          <w:rStyle w:val="Heading3Char"/>
          <w:rFonts w:eastAsia="Times"/>
          <w:bCs w:val="0"/>
          <w:sz w:val="32"/>
          <w:szCs w:val="28"/>
        </w:rPr>
        <w:t xml:space="preserve"> of lived and living experience</w:t>
      </w:r>
      <w:bookmarkEnd w:id="5"/>
      <w:bookmarkEnd w:id="6"/>
    </w:p>
    <w:p w14:paraId="0E76EE19" w14:textId="02410E95" w:rsidR="00001F92" w:rsidRDefault="00001F92" w:rsidP="0035791A">
      <w:pPr>
        <w:pStyle w:val="Body"/>
        <w:rPr>
          <w:rFonts w:eastAsia="Calibri Light"/>
        </w:rPr>
      </w:pPr>
      <w:r>
        <w:rPr>
          <w:rStyle w:val="normaltextrun"/>
        </w:rPr>
        <w:t>We</w:t>
      </w:r>
      <w:r w:rsidRPr="00B07478">
        <w:rPr>
          <w:rStyle w:val="normaltextrun"/>
        </w:rPr>
        <w:t xml:space="preserve"> would like to recognise all people with lived </w:t>
      </w:r>
      <w:r>
        <w:rPr>
          <w:rStyle w:val="normaltextrun"/>
        </w:rPr>
        <w:t xml:space="preserve">and living </w:t>
      </w:r>
      <w:r w:rsidRPr="00B07478">
        <w:rPr>
          <w:rStyle w:val="normaltextrun"/>
        </w:rPr>
        <w:t>experience of</w:t>
      </w:r>
      <w:r>
        <w:rPr>
          <w:rStyle w:val="normaltextrun"/>
        </w:rPr>
        <w:t xml:space="preserve"> mental illness, psychological distress and substance use, and their families</w:t>
      </w:r>
      <w:r w:rsidR="00F73CAB">
        <w:rPr>
          <w:rStyle w:val="normaltextrun"/>
        </w:rPr>
        <w:t>, carers</w:t>
      </w:r>
      <w:r>
        <w:rPr>
          <w:rStyle w:val="normaltextrun"/>
        </w:rPr>
        <w:t xml:space="preserve"> and supporters</w:t>
      </w:r>
      <w:r w:rsidRPr="00B07478">
        <w:rPr>
          <w:rStyle w:val="normaltextrun"/>
        </w:rPr>
        <w:t xml:space="preserve">. </w:t>
      </w:r>
      <w:r w:rsidR="00D35537" w:rsidRPr="00D35537">
        <w:rPr>
          <w:rStyle w:val="normaltextrun"/>
        </w:rPr>
        <w:t>We would like to thank them for working in partnership with the clinical and non-clinical workforces to transform the system</w:t>
      </w:r>
      <w:r>
        <w:rPr>
          <w:rStyle w:val="normaltextrun"/>
        </w:rPr>
        <w:t>.</w:t>
      </w:r>
    </w:p>
    <w:p w14:paraId="0398E890" w14:textId="77777777" w:rsidR="00001F92" w:rsidRDefault="00001F92" w:rsidP="00434B70">
      <w:pPr>
        <w:pStyle w:val="Body"/>
        <w:rPr>
          <w:color w:val="004EA8"/>
          <w:sz w:val="44"/>
          <w:szCs w:val="44"/>
        </w:rPr>
      </w:pPr>
      <w:r>
        <w:br w:type="page"/>
      </w:r>
    </w:p>
    <w:p w14:paraId="0B609E55" w14:textId="447D72CA" w:rsidR="00381B2F" w:rsidRPr="0045619A" w:rsidRDefault="00381B2F" w:rsidP="1AA722E5">
      <w:pPr>
        <w:pStyle w:val="Heading1"/>
        <w:rPr>
          <w:color w:val="000000" w:themeColor="text1"/>
          <w:sz w:val="22"/>
          <w:szCs w:val="22"/>
        </w:rPr>
      </w:pPr>
      <w:bookmarkStart w:id="7" w:name="_Toc180660125"/>
      <w:r>
        <w:lastRenderedPageBreak/>
        <w:t>Foreword from the</w:t>
      </w:r>
      <w:r w:rsidR="00C00155">
        <w:t xml:space="preserve"> </w:t>
      </w:r>
      <w:r>
        <w:t>Chief Psychiatrist</w:t>
      </w:r>
      <w:bookmarkEnd w:id="3"/>
      <w:bookmarkEnd w:id="7"/>
      <w:r w:rsidR="00BD7CAF">
        <w:t xml:space="preserve"> </w:t>
      </w:r>
    </w:p>
    <w:p w14:paraId="44B27857" w14:textId="50936F28" w:rsidR="00381B2F" w:rsidRPr="0035791A" w:rsidRDefault="6A4AEE37" w:rsidP="0035791A">
      <w:pPr>
        <w:pStyle w:val="Body"/>
      </w:pPr>
      <w:r w:rsidRPr="0035791A">
        <w:t xml:space="preserve">I am pleased to present the Chief Psychiatrist’s </w:t>
      </w:r>
      <w:r w:rsidR="00B73919">
        <w:t>a</w:t>
      </w:r>
      <w:r w:rsidRPr="0035791A">
        <w:t xml:space="preserve">nnual </w:t>
      </w:r>
      <w:r w:rsidR="00B73919">
        <w:t>r</w:t>
      </w:r>
      <w:r w:rsidRPr="0035791A">
        <w:t xml:space="preserve">eport for 2023–24. </w:t>
      </w:r>
    </w:p>
    <w:p w14:paraId="152492D7" w14:textId="5C9CDE81" w:rsidR="00381B2F" w:rsidRPr="0035791A" w:rsidRDefault="6A4AEE37" w:rsidP="0035791A">
      <w:pPr>
        <w:pStyle w:val="Body"/>
      </w:pPr>
      <w:r w:rsidRPr="0035791A">
        <w:t xml:space="preserve">The Office of the Chief Psychiatrist provides statutory oversight, clinical governance and leadership functions across Victoria’s clinical mental health services. </w:t>
      </w:r>
    </w:p>
    <w:p w14:paraId="022DD94A" w14:textId="668B1487" w:rsidR="00381B2F" w:rsidRPr="0045619A" w:rsidRDefault="6C8ED17F" w:rsidP="0035791A">
      <w:pPr>
        <w:pStyle w:val="Body"/>
      </w:pPr>
      <w:r w:rsidRPr="1AA722E5">
        <w:t xml:space="preserve">This year’s report marks a period of significant change with the new </w:t>
      </w:r>
      <w:r w:rsidRPr="1AA722E5">
        <w:rPr>
          <w:i/>
          <w:iCs/>
        </w:rPr>
        <w:t>Mental Health and Wellbeing Act 2022</w:t>
      </w:r>
      <w:r w:rsidRPr="1AA722E5">
        <w:t xml:space="preserve"> </w:t>
      </w:r>
      <w:r w:rsidR="00B73919">
        <w:t xml:space="preserve">taking effect </w:t>
      </w:r>
      <w:r w:rsidRPr="1AA722E5">
        <w:t>on 1 September 2023 and the ongoing work to realise the vision of the Royal Commission into Victoria’s Mental Health System to achieve transformative reform.</w:t>
      </w:r>
    </w:p>
    <w:p w14:paraId="1E6A333E" w14:textId="4FEDB145" w:rsidR="00381B2F" w:rsidRPr="0045619A" w:rsidRDefault="6C8ED17F" w:rsidP="0035791A">
      <w:pPr>
        <w:pStyle w:val="Body"/>
        <w:rPr>
          <w:sz w:val="22"/>
          <w:szCs w:val="22"/>
        </w:rPr>
      </w:pPr>
      <w:r w:rsidRPr="1AA722E5">
        <w:t xml:space="preserve">The implementation of the new Act has required shifts in approach with the formal introduction of mental health and wellbeing principles, a stronger focus on human rights, broadened requirements for reporting restrictive interventions </w:t>
      </w:r>
      <w:r w:rsidR="00B73919">
        <w:t>(</w:t>
      </w:r>
      <w:r w:rsidRPr="1AA722E5">
        <w:t>most notably with the introduction of new reporting obligations for chemical restraint</w:t>
      </w:r>
      <w:r w:rsidR="00B73919">
        <w:t>),</w:t>
      </w:r>
      <w:r w:rsidRPr="1AA722E5">
        <w:t xml:space="preserve"> the expansion of reporting obligations into physical health and custodial settings, and the adoption of new definitions of mental health service providers.</w:t>
      </w:r>
      <w:r w:rsidRPr="1AA722E5">
        <w:rPr>
          <w:sz w:val="22"/>
          <w:szCs w:val="22"/>
        </w:rPr>
        <w:t xml:space="preserve"> </w:t>
      </w:r>
    </w:p>
    <w:p w14:paraId="1FC50148" w14:textId="694F12B1" w:rsidR="00381B2F" w:rsidRPr="0045619A" w:rsidRDefault="72B899D1" w:rsidP="0035791A">
      <w:pPr>
        <w:pStyle w:val="Body"/>
      </w:pPr>
      <w:r w:rsidRPr="1AA722E5">
        <w:t xml:space="preserve">For the first time in Victoria, chemical restraint is defined as a restrictive intervention under the Mental Health and Wellbeing Act. This puts us </w:t>
      </w:r>
      <w:r w:rsidR="00B73919">
        <w:t>at</w:t>
      </w:r>
      <w:r w:rsidR="00B73919" w:rsidRPr="1AA722E5">
        <w:t xml:space="preserve"> </w:t>
      </w:r>
      <w:r w:rsidRPr="1AA722E5">
        <w:t>the forefront of work internationally to define, monitor and improve our therapeutic use of medications in acute settings. During this first year of regulating chemical restraint,</w:t>
      </w:r>
      <w:r w:rsidR="008D6D34">
        <w:t xml:space="preserve"> we have worked with the sector to</w:t>
      </w:r>
      <w:r w:rsidR="00FC47DE">
        <w:t xml:space="preserve"> </w:t>
      </w:r>
      <w:r w:rsidR="00BE11FD">
        <w:rPr>
          <w:lang w:val="en-GB"/>
        </w:rPr>
        <w:t xml:space="preserve">better understand </w:t>
      </w:r>
      <w:r w:rsidRPr="1AA722E5">
        <w:rPr>
          <w:lang w:val="en-GB"/>
        </w:rPr>
        <w:t xml:space="preserve">when medication is administered primarily for therapeutic purposes as distinct from limiting a person’s movement for their own safety or </w:t>
      </w:r>
      <w:r w:rsidR="00B73919">
        <w:rPr>
          <w:lang w:val="en-GB"/>
        </w:rPr>
        <w:t xml:space="preserve">the </w:t>
      </w:r>
      <w:r w:rsidRPr="1AA722E5">
        <w:rPr>
          <w:lang w:val="en-GB"/>
        </w:rPr>
        <w:t xml:space="preserve">safety of others. </w:t>
      </w:r>
      <w:r w:rsidRPr="1AA722E5">
        <w:t>For the first time</w:t>
      </w:r>
      <w:r w:rsidR="005355D3">
        <w:t>,</w:t>
      </w:r>
      <w:r w:rsidRPr="1AA722E5">
        <w:t xml:space="preserve"> we are expecting the general health sector, and in particular emergency department staff, to understand mental health approaches and to report alongside their mental health colleagues. </w:t>
      </w:r>
    </w:p>
    <w:p w14:paraId="00E3B5FE" w14:textId="1E3AB718" w:rsidR="00381B2F" w:rsidRPr="0045619A" w:rsidRDefault="36693653" w:rsidP="0035791A">
      <w:pPr>
        <w:pStyle w:val="Body"/>
      </w:pPr>
      <w:r w:rsidRPr="1AA722E5">
        <w:t>The Office of the Chief Psychiatrist has sought to address these implementation issues forthrightly. During this year, we led a restrictive interventions advisory committee made up of senior health clinicians and people with lived experience of mental illness</w:t>
      </w:r>
      <w:r w:rsidR="00A23C82">
        <w:t xml:space="preserve"> or psychological distress</w:t>
      </w:r>
      <w:r w:rsidRPr="1AA722E5">
        <w:t xml:space="preserve"> to work together to develop shared oversight. The committee was responsible for working towards a governance approach that will </w:t>
      </w:r>
      <w:r w:rsidR="00F91BF3">
        <w:t>enable</w:t>
      </w:r>
      <w:r w:rsidRPr="1AA722E5">
        <w:t xml:space="preserve"> chemical restraint to be consistently identified, reported</w:t>
      </w:r>
      <w:r w:rsidR="002C2AAF">
        <w:t xml:space="preserve"> and</w:t>
      </w:r>
      <w:r w:rsidRPr="1AA722E5">
        <w:t xml:space="preserve"> monitored with the intent that it is used only as a last resort.</w:t>
      </w:r>
    </w:p>
    <w:p w14:paraId="5D64DAC2" w14:textId="42C1500F" w:rsidR="00381B2F" w:rsidRPr="0045619A" w:rsidRDefault="36693653" w:rsidP="0035791A">
      <w:pPr>
        <w:pStyle w:val="Body"/>
      </w:pPr>
      <w:r w:rsidRPr="1AA722E5">
        <w:t xml:space="preserve">The new Act expands the scope of regulation into all health services that include a designated mental health service. This means that the reporting of restrictive interventions now extends to local emergency departments, hospital wards and </w:t>
      </w:r>
      <w:r w:rsidR="00CA6BDD">
        <w:t>intensive care units</w:t>
      </w:r>
      <w:r w:rsidRPr="1AA722E5">
        <w:t xml:space="preserve">. </w:t>
      </w:r>
      <w:r w:rsidR="007E1085">
        <w:t>It</w:t>
      </w:r>
      <w:r w:rsidRPr="1AA722E5">
        <w:t xml:space="preserve"> also means there are add</w:t>
      </w:r>
      <w:r w:rsidR="004E28CD">
        <w:t>ed</w:t>
      </w:r>
      <w:r w:rsidRPr="1AA722E5">
        <w:t xml:space="preserve"> expectations for reporting in emergency departments when people are brought in by police under the care and control aspects of the Act. The Office has held information sessions and developed information resources for emergency leaders, hospital executives and the sector more broadly to support this work.</w:t>
      </w:r>
    </w:p>
    <w:p w14:paraId="77D466BC" w14:textId="3EA5BA9C" w:rsidR="00381B2F" w:rsidRPr="0045619A" w:rsidRDefault="36693653" w:rsidP="0035791A">
      <w:pPr>
        <w:pStyle w:val="Body"/>
      </w:pPr>
      <w:r w:rsidRPr="1AA722E5">
        <w:t xml:space="preserve">The Office of the Chief Psychiatrist also continued to expand the Chief Psychiatrist’s functions and powers into custodial settings as recommended by the Royal Commission and defined in the Mental Health and Wellbeing Act. The Office has worked closely with partners in the Department of Justice and Community Safety to establish oversight processes </w:t>
      </w:r>
      <w:r w:rsidR="00470A56">
        <w:t>specific</w:t>
      </w:r>
      <w:r w:rsidRPr="1AA722E5">
        <w:t xml:space="preserve"> to custodial settings. These processes are evolving to reflect the clinical, legal and governance complexities of providing quality mental health</w:t>
      </w:r>
      <w:r w:rsidR="005255F1">
        <w:t xml:space="preserve"> treatment and care</w:t>
      </w:r>
      <w:r w:rsidRPr="1AA722E5">
        <w:t xml:space="preserve"> in custodial settings.</w:t>
      </w:r>
    </w:p>
    <w:p w14:paraId="6E3C4E22" w14:textId="71E598FB" w:rsidR="00381B2F" w:rsidRPr="0045619A" w:rsidRDefault="36693653" w:rsidP="0035791A">
      <w:pPr>
        <w:pStyle w:val="Body"/>
      </w:pPr>
      <w:r w:rsidRPr="1AA722E5">
        <w:t xml:space="preserve">In addition to addressing the evolving implications of the new Act, the Office of the Chief Psychiatrist has continued to provide support for the daily work of designated mental health services. We have continued to monitor restrictive interventions, sexual safety, electroconvulsive therapy and the deaths of people in the care of a mental health and wellbeing service. The Office also publishes clinical guidelines, supports the sector through regular meetings, provides clinical </w:t>
      </w:r>
      <w:r w:rsidRPr="1AA722E5">
        <w:lastRenderedPageBreak/>
        <w:t xml:space="preserve">leadership and support to services struggling with individual complex cases and responds to serious clinical incidents to improve the quality and safety of care. </w:t>
      </w:r>
    </w:p>
    <w:p w14:paraId="598A2C00" w14:textId="79CF48FE" w:rsidR="00381B2F" w:rsidRPr="0045619A" w:rsidRDefault="36693653" w:rsidP="0035791A">
      <w:pPr>
        <w:pStyle w:val="Body"/>
      </w:pPr>
      <w:r w:rsidRPr="1AA722E5">
        <w:t>This report reflects the significant contribution made to the people of Victoria by Dr Neil Coventry, Chief Psychiatrist of Victoria from 2016</w:t>
      </w:r>
      <w:r w:rsidR="005D75FC">
        <w:t xml:space="preserve"> to </w:t>
      </w:r>
      <w:r w:rsidRPr="1AA722E5">
        <w:t>2023. We are indebted to him for his consistent championing of both the mental health sector and people with lived and living experience of mental illness</w:t>
      </w:r>
      <w:r w:rsidR="00A23C82">
        <w:t xml:space="preserve"> or psychological distress</w:t>
      </w:r>
      <w:r w:rsidRPr="1AA722E5">
        <w:t xml:space="preserve">. He has been vocal in his belief that the lived experience voice is pivotal to instilling best practice in Victoria’s clinical mental health and wellbeing services, a conviction that I also hold and will endeavour </w:t>
      </w:r>
      <w:r w:rsidR="001D674C">
        <w:t xml:space="preserve">to </w:t>
      </w:r>
      <w:r w:rsidRPr="1AA722E5">
        <w:t>act on through continued collaboration with consumer and carer advocates and colleagues.</w:t>
      </w:r>
    </w:p>
    <w:p w14:paraId="0F254CA3" w14:textId="102AD8E9" w:rsidR="00381B2F" w:rsidRDefault="36693653" w:rsidP="0035791A">
      <w:pPr>
        <w:pStyle w:val="Body"/>
      </w:pPr>
      <w:r w:rsidRPr="1AA722E5">
        <w:t>I am fortunate to have inherited a multidisciplinary team of skilled and compassionate people who are dedicated to improving Victoria’s mental health and wellbeing system. I acknowledge and thank the staff of the Office of the Chief Psychiatrist for their enduring efforts to support the mental health and wellbeing sector. We will be working together in years to come to grow our role in clinical leadership and governance for those needing mental health support in Victoria to ensure compassionate, person</w:t>
      </w:r>
      <w:r w:rsidR="004E28CD">
        <w:t>-</w:t>
      </w:r>
      <w:r w:rsidRPr="1AA722E5">
        <w:t>centred and safe care wherever people need it.</w:t>
      </w:r>
    </w:p>
    <w:p w14:paraId="17622E4F" w14:textId="77777777" w:rsidR="00917A7B" w:rsidRDefault="00917A7B" w:rsidP="0035791A">
      <w:pPr>
        <w:pStyle w:val="Body"/>
      </w:pPr>
    </w:p>
    <w:p w14:paraId="70CE7415" w14:textId="1F22DC17" w:rsidR="0035791A" w:rsidRPr="00917A7B" w:rsidRDefault="0035791A" w:rsidP="00917A7B">
      <w:pPr>
        <w:pStyle w:val="Body"/>
        <w:contextualSpacing/>
        <w:rPr>
          <w:b/>
          <w:bCs/>
        </w:rPr>
      </w:pPr>
      <w:r w:rsidRPr="00917A7B">
        <w:rPr>
          <w:b/>
          <w:bCs/>
        </w:rPr>
        <w:t>Sophie Adams</w:t>
      </w:r>
    </w:p>
    <w:p w14:paraId="60EE9007" w14:textId="3C64C09A" w:rsidR="0035791A" w:rsidRDefault="0035791A" w:rsidP="00917A7B">
      <w:pPr>
        <w:pStyle w:val="Body"/>
        <w:contextualSpacing/>
      </w:pPr>
      <w:r>
        <w:t>Chief Psychiatrist</w:t>
      </w:r>
    </w:p>
    <w:p w14:paraId="395C2F34" w14:textId="3F3D5E49" w:rsidR="00381B2F" w:rsidRPr="0045619A" w:rsidRDefault="00381B2F" w:rsidP="00434B70">
      <w:pPr>
        <w:pStyle w:val="Body"/>
      </w:pPr>
      <w:r>
        <w:br w:type="page"/>
      </w:r>
    </w:p>
    <w:p w14:paraId="10340DD6" w14:textId="6219145F" w:rsidR="00436843" w:rsidRPr="00237D40" w:rsidRDefault="00436843" w:rsidP="00082CE8">
      <w:pPr>
        <w:pStyle w:val="TOCheadingreport"/>
        <w:tabs>
          <w:tab w:val="left" w:pos="2788"/>
        </w:tabs>
        <w:rPr>
          <w:sz w:val="21"/>
          <w:szCs w:val="21"/>
        </w:rPr>
      </w:pPr>
      <w:bookmarkStart w:id="8" w:name="_Toc52886231"/>
      <w:r w:rsidRPr="00636934">
        <w:lastRenderedPageBreak/>
        <w:t>Contents</w:t>
      </w:r>
    </w:p>
    <w:p w14:paraId="26FC7147" w14:textId="15D394B1" w:rsidR="0013746F" w:rsidRDefault="00436843">
      <w:pPr>
        <w:pStyle w:val="TOC1"/>
        <w:rPr>
          <w:rFonts w:asciiTheme="minorHAnsi" w:eastAsiaTheme="minorEastAsia" w:hAnsiTheme="minorHAnsi" w:cstheme="minorBidi"/>
          <w:b w:val="0"/>
          <w:kern w:val="2"/>
          <w:sz w:val="24"/>
          <w:szCs w:val="24"/>
          <w:lang w:eastAsia="en-AU"/>
          <w14:ligatures w14:val="standardContextual"/>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180660122" w:history="1">
        <w:r w:rsidR="0013746F" w:rsidRPr="00366E08">
          <w:rPr>
            <w:rStyle w:val="Hyperlink"/>
            <w:rFonts w:eastAsia="Times"/>
          </w:rPr>
          <w:t>Acknowledgements</w:t>
        </w:r>
        <w:r w:rsidR="0013746F">
          <w:rPr>
            <w:webHidden/>
          </w:rPr>
          <w:tab/>
        </w:r>
        <w:r w:rsidR="0013746F">
          <w:rPr>
            <w:webHidden/>
          </w:rPr>
          <w:fldChar w:fldCharType="begin"/>
        </w:r>
        <w:r w:rsidR="0013746F">
          <w:rPr>
            <w:webHidden/>
          </w:rPr>
          <w:instrText xml:space="preserve"> PAGEREF _Toc180660122 \h </w:instrText>
        </w:r>
        <w:r w:rsidR="0013746F">
          <w:rPr>
            <w:webHidden/>
          </w:rPr>
        </w:r>
        <w:r w:rsidR="0013746F">
          <w:rPr>
            <w:webHidden/>
          </w:rPr>
          <w:fldChar w:fldCharType="separate"/>
        </w:r>
        <w:r w:rsidR="002C5382">
          <w:rPr>
            <w:webHidden/>
          </w:rPr>
          <w:t>3</w:t>
        </w:r>
        <w:r w:rsidR="0013746F">
          <w:rPr>
            <w:webHidden/>
          </w:rPr>
          <w:fldChar w:fldCharType="end"/>
        </w:r>
      </w:hyperlink>
    </w:p>
    <w:p w14:paraId="3D927880" w14:textId="5C4B5E91"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23" w:history="1">
        <w:r w:rsidRPr="00366E08">
          <w:rPr>
            <w:rStyle w:val="Hyperlink"/>
            <w:rFonts w:eastAsia="Times"/>
          </w:rPr>
          <w:t>Acknowledgement of Country</w:t>
        </w:r>
        <w:r>
          <w:rPr>
            <w:webHidden/>
          </w:rPr>
          <w:tab/>
        </w:r>
        <w:r>
          <w:rPr>
            <w:webHidden/>
          </w:rPr>
          <w:fldChar w:fldCharType="begin"/>
        </w:r>
        <w:r>
          <w:rPr>
            <w:webHidden/>
          </w:rPr>
          <w:instrText xml:space="preserve"> PAGEREF _Toc180660123 \h </w:instrText>
        </w:r>
        <w:r>
          <w:rPr>
            <w:webHidden/>
          </w:rPr>
        </w:r>
        <w:r>
          <w:rPr>
            <w:webHidden/>
          </w:rPr>
          <w:fldChar w:fldCharType="separate"/>
        </w:r>
        <w:r w:rsidR="002C5382">
          <w:rPr>
            <w:webHidden/>
          </w:rPr>
          <w:t>3</w:t>
        </w:r>
        <w:r>
          <w:rPr>
            <w:webHidden/>
          </w:rPr>
          <w:fldChar w:fldCharType="end"/>
        </w:r>
      </w:hyperlink>
    </w:p>
    <w:p w14:paraId="372599D2" w14:textId="49A1F4EF"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24" w:history="1">
        <w:r w:rsidRPr="00366E08">
          <w:rPr>
            <w:rStyle w:val="Hyperlink"/>
            <w:rFonts w:eastAsia="Times"/>
          </w:rPr>
          <w:t>Recognition of lived and living experience</w:t>
        </w:r>
        <w:r>
          <w:rPr>
            <w:webHidden/>
          </w:rPr>
          <w:tab/>
        </w:r>
        <w:r>
          <w:rPr>
            <w:webHidden/>
          </w:rPr>
          <w:fldChar w:fldCharType="begin"/>
        </w:r>
        <w:r>
          <w:rPr>
            <w:webHidden/>
          </w:rPr>
          <w:instrText xml:space="preserve"> PAGEREF _Toc180660124 \h </w:instrText>
        </w:r>
        <w:r>
          <w:rPr>
            <w:webHidden/>
          </w:rPr>
        </w:r>
        <w:r>
          <w:rPr>
            <w:webHidden/>
          </w:rPr>
          <w:fldChar w:fldCharType="separate"/>
        </w:r>
        <w:r w:rsidR="002C5382">
          <w:rPr>
            <w:webHidden/>
          </w:rPr>
          <w:t>3</w:t>
        </w:r>
        <w:r>
          <w:rPr>
            <w:webHidden/>
          </w:rPr>
          <w:fldChar w:fldCharType="end"/>
        </w:r>
      </w:hyperlink>
    </w:p>
    <w:p w14:paraId="388AE688" w14:textId="05E99018" w:rsidR="0013746F" w:rsidRDefault="0013746F">
      <w:pPr>
        <w:pStyle w:val="TOC1"/>
        <w:rPr>
          <w:rFonts w:asciiTheme="minorHAnsi" w:eastAsiaTheme="minorEastAsia" w:hAnsiTheme="minorHAnsi" w:cstheme="minorBidi"/>
          <w:b w:val="0"/>
          <w:kern w:val="2"/>
          <w:sz w:val="24"/>
          <w:szCs w:val="24"/>
          <w:lang w:eastAsia="en-AU"/>
          <w14:ligatures w14:val="standardContextual"/>
        </w:rPr>
      </w:pPr>
      <w:hyperlink w:anchor="_Toc180660125" w:history="1">
        <w:r w:rsidRPr="00366E08">
          <w:rPr>
            <w:rStyle w:val="Hyperlink"/>
          </w:rPr>
          <w:t>Foreword from the Chief Psychiatrist</w:t>
        </w:r>
        <w:r>
          <w:rPr>
            <w:webHidden/>
          </w:rPr>
          <w:tab/>
        </w:r>
        <w:r>
          <w:rPr>
            <w:webHidden/>
          </w:rPr>
          <w:fldChar w:fldCharType="begin"/>
        </w:r>
        <w:r>
          <w:rPr>
            <w:webHidden/>
          </w:rPr>
          <w:instrText xml:space="preserve"> PAGEREF _Toc180660125 \h </w:instrText>
        </w:r>
        <w:r>
          <w:rPr>
            <w:webHidden/>
          </w:rPr>
        </w:r>
        <w:r>
          <w:rPr>
            <w:webHidden/>
          </w:rPr>
          <w:fldChar w:fldCharType="separate"/>
        </w:r>
        <w:r w:rsidR="002C5382">
          <w:rPr>
            <w:webHidden/>
          </w:rPr>
          <w:t>4</w:t>
        </w:r>
        <w:r>
          <w:rPr>
            <w:webHidden/>
          </w:rPr>
          <w:fldChar w:fldCharType="end"/>
        </w:r>
      </w:hyperlink>
    </w:p>
    <w:p w14:paraId="43BAAFB2" w14:textId="3B879B0C" w:rsidR="0013746F" w:rsidRDefault="0013746F">
      <w:pPr>
        <w:pStyle w:val="TOC1"/>
        <w:rPr>
          <w:rFonts w:asciiTheme="minorHAnsi" w:eastAsiaTheme="minorEastAsia" w:hAnsiTheme="minorHAnsi" w:cstheme="minorBidi"/>
          <w:b w:val="0"/>
          <w:kern w:val="2"/>
          <w:sz w:val="24"/>
          <w:szCs w:val="24"/>
          <w:lang w:eastAsia="en-AU"/>
          <w14:ligatures w14:val="standardContextual"/>
        </w:rPr>
      </w:pPr>
      <w:hyperlink w:anchor="_Toc180660126" w:history="1">
        <w:r w:rsidRPr="00366E08">
          <w:rPr>
            <w:rStyle w:val="Hyperlink"/>
            <w:rFonts w:eastAsia="Calibri Light"/>
          </w:rPr>
          <w:t>Overview</w:t>
        </w:r>
        <w:r>
          <w:rPr>
            <w:webHidden/>
          </w:rPr>
          <w:tab/>
        </w:r>
        <w:r>
          <w:rPr>
            <w:webHidden/>
          </w:rPr>
          <w:fldChar w:fldCharType="begin"/>
        </w:r>
        <w:r>
          <w:rPr>
            <w:webHidden/>
          </w:rPr>
          <w:instrText xml:space="preserve"> PAGEREF _Toc180660126 \h </w:instrText>
        </w:r>
        <w:r>
          <w:rPr>
            <w:webHidden/>
          </w:rPr>
        </w:r>
        <w:r>
          <w:rPr>
            <w:webHidden/>
          </w:rPr>
          <w:fldChar w:fldCharType="separate"/>
        </w:r>
        <w:r w:rsidR="002C5382">
          <w:rPr>
            <w:webHidden/>
          </w:rPr>
          <w:t>7</w:t>
        </w:r>
        <w:r>
          <w:rPr>
            <w:webHidden/>
          </w:rPr>
          <w:fldChar w:fldCharType="end"/>
        </w:r>
      </w:hyperlink>
    </w:p>
    <w:p w14:paraId="6BF313A8" w14:textId="6D2EE0D7"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27" w:history="1">
        <w:r w:rsidRPr="00366E08">
          <w:rPr>
            <w:rStyle w:val="Hyperlink"/>
            <w:rFonts w:eastAsia="MS Gothic"/>
          </w:rPr>
          <w:t>Aims of the report</w:t>
        </w:r>
        <w:r>
          <w:rPr>
            <w:webHidden/>
          </w:rPr>
          <w:tab/>
        </w:r>
        <w:r>
          <w:rPr>
            <w:webHidden/>
          </w:rPr>
          <w:fldChar w:fldCharType="begin"/>
        </w:r>
        <w:r>
          <w:rPr>
            <w:webHidden/>
          </w:rPr>
          <w:instrText xml:space="preserve"> PAGEREF _Toc180660127 \h </w:instrText>
        </w:r>
        <w:r>
          <w:rPr>
            <w:webHidden/>
          </w:rPr>
        </w:r>
        <w:r>
          <w:rPr>
            <w:webHidden/>
          </w:rPr>
          <w:fldChar w:fldCharType="separate"/>
        </w:r>
        <w:r w:rsidR="002C5382">
          <w:rPr>
            <w:webHidden/>
          </w:rPr>
          <w:t>7</w:t>
        </w:r>
        <w:r>
          <w:rPr>
            <w:webHidden/>
          </w:rPr>
          <w:fldChar w:fldCharType="end"/>
        </w:r>
      </w:hyperlink>
    </w:p>
    <w:p w14:paraId="6746059F" w14:textId="393F4040"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28" w:history="1">
        <w:r w:rsidRPr="00366E08">
          <w:rPr>
            <w:rStyle w:val="Hyperlink"/>
            <w:rFonts w:eastAsia="MS Gothic"/>
          </w:rPr>
          <w:t>Statutory framework and role of the Chief Psychiatrist</w:t>
        </w:r>
        <w:r>
          <w:rPr>
            <w:webHidden/>
          </w:rPr>
          <w:tab/>
        </w:r>
        <w:r>
          <w:rPr>
            <w:webHidden/>
          </w:rPr>
          <w:fldChar w:fldCharType="begin"/>
        </w:r>
        <w:r>
          <w:rPr>
            <w:webHidden/>
          </w:rPr>
          <w:instrText xml:space="preserve"> PAGEREF _Toc180660128 \h </w:instrText>
        </w:r>
        <w:r>
          <w:rPr>
            <w:webHidden/>
          </w:rPr>
        </w:r>
        <w:r>
          <w:rPr>
            <w:webHidden/>
          </w:rPr>
          <w:fldChar w:fldCharType="separate"/>
        </w:r>
        <w:r w:rsidR="002C5382">
          <w:rPr>
            <w:webHidden/>
          </w:rPr>
          <w:t>7</w:t>
        </w:r>
        <w:r>
          <w:rPr>
            <w:webHidden/>
          </w:rPr>
          <w:fldChar w:fldCharType="end"/>
        </w:r>
      </w:hyperlink>
    </w:p>
    <w:p w14:paraId="04528CB1" w14:textId="6BE0B1F3"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29" w:history="1">
        <w:r w:rsidRPr="00366E08">
          <w:rPr>
            <w:rStyle w:val="Hyperlink"/>
            <w:lang w:val="en-US"/>
          </w:rPr>
          <w:t>Mental health and wellbeing principles</w:t>
        </w:r>
        <w:r>
          <w:rPr>
            <w:webHidden/>
          </w:rPr>
          <w:tab/>
        </w:r>
        <w:r>
          <w:rPr>
            <w:webHidden/>
          </w:rPr>
          <w:fldChar w:fldCharType="begin"/>
        </w:r>
        <w:r>
          <w:rPr>
            <w:webHidden/>
          </w:rPr>
          <w:instrText xml:space="preserve"> PAGEREF _Toc180660129 \h </w:instrText>
        </w:r>
        <w:r>
          <w:rPr>
            <w:webHidden/>
          </w:rPr>
        </w:r>
        <w:r>
          <w:rPr>
            <w:webHidden/>
          </w:rPr>
          <w:fldChar w:fldCharType="separate"/>
        </w:r>
        <w:r w:rsidR="002C5382">
          <w:rPr>
            <w:webHidden/>
          </w:rPr>
          <w:t>8</w:t>
        </w:r>
        <w:r>
          <w:rPr>
            <w:webHidden/>
          </w:rPr>
          <w:fldChar w:fldCharType="end"/>
        </w:r>
      </w:hyperlink>
    </w:p>
    <w:p w14:paraId="6DEC134D" w14:textId="15D02923"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0" w:history="1">
        <w:r w:rsidRPr="00366E08">
          <w:rPr>
            <w:rStyle w:val="Hyperlink"/>
            <w:lang w:val="en-US"/>
          </w:rPr>
          <w:t>Promotion of the mental health and wellbeing principles</w:t>
        </w:r>
        <w:r>
          <w:rPr>
            <w:webHidden/>
          </w:rPr>
          <w:tab/>
        </w:r>
        <w:r>
          <w:rPr>
            <w:webHidden/>
          </w:rPr>
          <w:fldChar w:fldCharType="begin"/>
        </w:r>
        <w:r>
          <w:rPr>
            <w:webHidden/>
          </w:rPr>
          <w:instrText xml:space="preserve"> PAGEREF _Toc180660130 \h </w:instrText>
        </w:r>
        <w:r>
          <w:rPr>
            <w:webHidden/>
          </w:rPr>
        </w:r>
        <w:r>
          <w:rPr>
            <w:webHidden/>
          </w:rPr>
          <w:fldChar w:fldCharType="separate"/>
        </w:r>
        <w:r w:rsidR="002C5382">
          <w:rPr>
            <w:webHidden/>
          </w:rPr>
          <w:t>10</w:t>
        </w:r>
        <w:r>
          <w:rPr>
            <w:webHidden/>
          </w:rPr>
          <w:fldChar w:fldCharType="end"/>
        </w:r>
      </w:hyperlink>
    </w:p>
    <w:p w14:paraId="14AD693C" w14:textId="1F6F612F"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1" w:history="1">
        <w:r w:rsidRPr="00366E08">
          <w:rPr>
            <w:rStyle w:val="Hyperlink"/>
            <w:lang w:val="en-US"/>
          </w:rPr>
          <w:t>Functions of the Chief Psychiatrist</w:t>
        </w:r>
        <w:r>
          <w:rPr>
            <w:webHidden/>
          </w:rPr>
          <w:tab/>
        </w:r>
        <w:r>
          <w:rPr>
            <w:webHidden/>
          </w:rPr>
          <w:fldChar w:fldCharType="begin"/>
        </w:r>
        <w:r>
          <w:rPr>
            <w:webHidden/>
          </w:rPr>
          <w:instrText xml:space="preserve"> PAGEREF _Toc180660131 \h </w:instrText>
        </w:r>
        <w:r>
          <w:rPr>
            <w:webHidden/>
          </w:rPr>
        </w:r>
        <w:r>
          <w:rPr>
            <w:webHidden/>
          </w:rPr>
          <w:fldChar w:fldCharType="separate"/>
        </w:r>
        <w:r w:rsidR="002C5382">
          <w:rPr>
            <w:webHidden/>
          </w:rPr>
          <w:t>10</w:t>
        </w:r>
        <w:r>
          <w:rPr>
            <w:webHidden/>
          </w:rPr>
          <w:fldChar w:fldCharType="end"/>
        </w:r>
      </w:hyperlink>
    </w:p>
    <w:p w14:paraId="5BAAEACD" w14:textId="689716B0"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2" w:history="1">
        <w:r w:rsidRPr="00366E08">
          <w:rPr>
            <w:rStyle w:val="Hyperlink"/>
            <w:lang w:val="en-US"/>
          </w:rPr>
          <w:t>Office of the Chief Psychiatrist and the Department of Health</w:t>
        </w:r>
        <w:r>
          <w:rPr>
            <w:webHidden/>
          </w:rPr>
          <w:tab/>
        </w:r>
        <w:r>
          <w:rPr>
            <w:webHidden/>
          </w:rPr>
          <w:fldChar w:fldCharType="begin"/>
        </w:r>
        <w:r>
          <w:rPr>
            <w:webHidden/>
          </w:rPr>
          <w:instrText xml:space="preserve"> PAGEREF _Toc180660132 \h </w:instrText>
        </w:r>
        <w:r>
          <w:rPr>
            <w:webHidden/>
          </w:rPr>
        </w:r>
        <w:r>
          <w:rPr>
            <w:webHidden/>
          </w:rPr>
          <w:fldChar w:fldCharType="separate"/>
        </w:r>
        <w:r w:rsidR="002C5382">
          <w:rPr>
            <w:webHidden/>
          </w:rPr>
          <w:t>11</w:t>
        </w:r>
        <w:r>
          <w:rPr>
            <w:webHidden/>
          </w:rPr>
          <w:fldChar w:fldCharType="end"/>
        </w:r>
      </w:hyperlink>
    </w:p>
    <w:p w14:paraId="46FEA9AB" w14:textId="6EB5121D"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3" w:history="1">
        <w:r w:rsidRPr="00366E08">
          <w:rPr>
            <w:rStyle w:val="Hyperlink"/>
            <w:lang w:val="en-US"/>
          </w:rPr>
          <w:t>Clinical leadership activities in 2023–24</w:t>
        </w:r>
        <w:r>
          <w:rPr>
            <w:webHidden/>
          </w:rPr>
          <w:tab/>
        </w:r>
        <w:r>
          <w:rPr>
            <w:webHidden/>
          </w:rPr>
          <w:fldChar w:fldCharType="begin"/>
        </w:r>
        <w:r>
          <w:rPr>
            <w:webHidden/>
          </w:rPr>
          <w:instrText xml:space="preserve"> PAGEREF _Toc180660133 \h </w:instrText>
        </w:r>
        <w:r>
          <w:rPr>
            <w:webHidden/>
          </w:rPr>
        </w:r>
        <w:r>
          <w:rPr>
            <w:webHidden/>
          </w:rPr>
          <w:fldChar w:fldCharType="separate"/>
        </w:r>
        <w:r w:rsidR="002C5382">
          <w:rPr>
            <w:webHidden/>
          </w:rPr>
          <w:t>11</w:t>
        </w:r>
        <w:r>
          <w:rPr>
            <w:webHidden/>
          </w:rPr>
          <w:fldChar w:fldCharType="end"/>
        </w:r>
      </w:hyperlink>
    </w:p>
    <w:p w14:paraId="32BFCDE1" w14:textId="1F181611" w:rsidR="0013746F" w:rsidRDefault="0013746F">
      <w:pPr>
        <w:pStyle w:val="TOC1"/>
        <w:rPr>
          <w:rFonts w:asciiTheme="minorHAnsi" w:eastAsiaTheme="minorEastAsia" w:hAnsiTheme="minorHAnsi" w:cstheme="minorBidi"/>
          <w:b w:val="0"/>
          <w:kern w:val="2"/>
          <w:sz w:val="24"/>
          <w:szCs w:val="24"/>
          <w:lang w:eastAsia="en-AU"/>
          <w14:ligatures w14:val="standardContextual"/>
        </w:rPr>
      </w:pPr>
      <w:hyperlink w:anchor="_Toc180660134" w:history="1">
        <w:r w:rsidRPr="00366E08">
          <w:rPr>
            <w:rStyle w:val="Hyperlink"/>
          </w:rPr>
          <w:t>Statutory and oversight reporting</w:t>
        </w:r>
        <w:r>
          <w:rPr>
            <w:webHidden/>
          </w:rPr>
          <w:tab/>
        </w:r>
        <w:r>
          <w:rPr>
            <w:webHidden/>
          </w:rPr>
          <w:fldChar w:fldCharType="begin"/>
        </w:r>
        <w:r>
          <w:rPr>
            <w:webHidden/>
          </w:rPr>
          <w:instrText xml:space="preserve"> PAGEREF _Toc180660134 \h </w:instrText>
        </w:r>
        <w:r>
          <w:rPr>
            <w:webHidden/>
          </w:rPr>
        </w:r>
        <w:r>
          <w:rPr>
            <w:webHidden/>
          </w:rPr>
          <w:fldChar w:fldCharType="separate"/>
        </w:r>
        <w:r w:rsidR="002C5382">
          <w:rPr>
            <w:webHidden/>
          </w:rPr>
          <w:t>13</w:t>
        </w:r>
        <w:r>
          <w:rPr>
            <w:webHidden/>
          </w:rPr>
          <w:fldChar w:fldCharType="end"/>
        </w:r>
      </w:hyperlink>
    </w:p>
    <w:p w14:paraId="0349F288" w14:textId="74E3CFA3"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5" w:history="1">
        <w:r w:rsidRPr="00366E08">
          <w:rPr>
            <w:rStyle w:val="Hyperlink"/>
          </w:rPr>
          <w:t>Electroconvulsive treatment and neurosurgery</w:t>
        </w:r>
        <w:r>
          <w:rPr>
            <w:webHidden/>
          </w:rPr>
          <w:tab/>
        </w:r>
        <w:r>
          <w:rPr>
            <w:webHidden/>
          </w:rPr>
          <w:fldChar w:fldCharType="begin"/>
        </w:r>
        <w:r>
          <w:rPr>
            <w:webHidden/>
          </w:rPr>
          <w:instrText xml:space="preserve"> PAGEREF _Toc180660135 \h </w:instrText>
        </w:r>
        <w:r>
          <w:rPr>
            <w:webHidden/>
          </w:rPr>
        </w:r>
        <w:r>
          <w:rPr>
            <w:webHidden/>
          </w:rPr>
          <w:fldChar w:fldCharType="separate"/>
        </w:r>
        <w:r w:rsidR="002C5382">
          <w:rPr>
            <w:webHidden/>
          </w:rPr>
          <w:t>13</w:t>
        </w:r>
        <w:r>
          <w:rPr>
            <w:webHidden/>
          </w:rPr>
          <w:fldChar w:fldCharType="end"/>
        </w:r>
      </w:hyperlink>
    </w:p>
    <w:p w14:paraId="46E9EAF3" w14:textId="19FE4DC7"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6" w:history="1">
        <w:r w:rsidRPr="00366E08">
          <w:rPr>
            <w:rStyle w:val="Hyperlink"/>
            <w:rFonts w:eastAsia="Arial"/>
          </w:rPr>
          <w:t>Deaths of people receiving mental health treatment</w:t>
        </w:r>
        <w:r>
          <w:rPr>
            <w:webHidden/>
          </w:rPr>
          <w:tab/>
        </w:r>
        <w:r>
          <w:rPr>
            <w:webHidden/>
          </w:rPr>
          <w:fldChar w:fldCharType="begin"/>
        </w:r>
        <w:r>
          <w:rPr>
            <w:webHidden/>
          </w:rPr>
          <w:instrText xml:space="preserve"> PAGEREF _Toc180660136 \h </w:instrText>
        </w:r>
        <w:r>
          <w:rPr>
            <w:webHidden/>
          </w:rPr>
        </w:r>
        <w:r>
          <w:rPr>
            <w:webHidden/>
          </w:rPr>
          <w:fldChar w:fldCharType="separate"/>
        </w:r>
        <w:r w:rsidR="002C5382">
          <w:rPr>
            <w:webHidden/>
          </w:rPr>
          <w:t>15</w:t>
        </w:r>
        <w:r>
          <w:rPr>
            <w:webHidden/>
          </w:rPr>
          <w:fldChar w:fldCharType="end"/>
        </w:r>
      </w:hyperlink>
    </w:p>
    <w:p w14:paraId="16E7582E" w14:textId="2B9163F5"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7" w:history="1">
        <w:r w:rsidRPr="00366E08">
          <w:rPr>
            <w:rStyle w:val="Hyperlink"/>
          </w:rPr>
          <w:t>Restrictive interventions</w:t>
        </w:r>
        <w:r>
          <w:rPr>
            <w:webHidden/>
          </w:rPr>
          <w:tab/>
        </w:r>
        <w:r>
          <w:rPr>
            <w:webHidden/>
          </w:rPr>
          <w:fldChar w:fldCharType="begin"/>
        </w:r>
        <w:r>
          <w:rPr>
            <w:webHidden/>
          </w:rPr>
          <w:instrText xml:space="preserve"> PAGEREF _Toc180660137 \h </w:instrText>
        </w:r>
        <w:r>
          <w:rPr>
            <w:webHidden/>
          </w:rPr>
        </w:r>
        <w:r>
          <w:rPr>
            <w:webHidden/>
          </w:rPr>
          <w:fldChar w:fldCharType="separate"/>
        </w:r>
        <w:r w:rsidR="002C5382">
          <w:rPr>
            <w:webHidden/>
          </w:rPr>
          <w:t>18</w:t>
        </w:r>
        <w:r>
          <w:rPr>
            <w:webHidden/>
          </w:rPr>
          <w:fldChar w:fldCharType="end"/>
        </w:r>
      </w:hyperlink>
    </w:p>
    <w:p w14:paraId="442E9668" w14:textId="5DE75907"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8" w:history="1">
        <w:r w:rsidRPr="00366E08">
          <w:rPr>
            <w:rStyle w:val="Hyperlink"/>
          </w:rPr>
          <w:t>Restrictive interventions in emergency departments and urgent care centres</w:t>
        </w:r>
        <w:r>
          <w:rPr>
            <w:webHidden/>
          </w:rPr>
          <w:tab/>
        </w:r>
        <w:r>
          <w:rPr>
            <w:webHidden/>
          </w:rPr>
          <w:fldChar w:fldCharType="begin"/>
        </w:r>
        <w:r>
          <w:rPr>
            <w:webHidden/>
          </w:rPr>
          <w:instrText xml:space="preserve"> PAGEREF _Toc180660138 \h </w:instrText>
        </w:r>
        <w:r>
          <w:rPr>
            <w:webHidden/>
          </w:rPr>
        </w:r>
        <w:r>
          <w:rPr>
            <w:webHidden/>
          </w:rPr>
          <w:fldChar w:fldCharType="separate"/>
        </w:r>
        <w:r w:rsidR="002C5382">
          <w:rPr>
            <w:webHidden/>
          </w:rPr>
          <w:t>24</w:t>
        </w:r>
        <w:r>
          <w:rPr>
            <w:webHidden/>
          </w:rPr>
          <w:fldChar w:fldCharType="end"/>
        </w:r>
      </w:hyperlink>
    </w:p>
    <w:p w14:paraId="4A4CE860" w14:textId="5137770A"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39" w:history="1">
        <w:r w:rsidRPr="00366E08">
          <w:rPr>
            <w:rStyle w:val="Hyperlink"/>
          </w:rPr>
          <w:t>Chemical restraint</w:t>
        </w:r>
        <w:r>
          <w:rPr>
            <w:webHidden/>
          </w:rPr>
          <w:tab/>
        </w:r>
        <w:r>
          <w:rPr>
            <w:webHidden/>
          </w:rPr>
          <w:fldChar w:fldCharType="begin"/>
        </w:r>
        <w:r>
          <w:rPr>
            <w:webHidden/>
          </w:rPr>
          <w:instrText xml:space="preserve"> PAGEREF _Toc180660139 \h </w:instrText>
        </w:r>
        <w:r>
          <w:rPr>
            <w:webHidden/>
          </w:rPr>
        </w:r>
        <w:r>
          <w:rPr>
            <w:webHidden/>
          </w:rPr>
          <w:fldChar w:fldCharType="separate"/>
        </w:r>
        <w:r w:rsidR="002C5382">
          <w:rPr>
            <w:webHidden/>
          </w:rPr>
          <w:t>25</w:t>
        </w:r>
        <w:r>
          <w:rPr>
            <w:webHidden/>
          </w:rPr>
          <w:fldChar w:fldCharType="end"/>
        </w:r>
      </w:hyperlink>
    </w:p>
    <w:p w14:paraId="037B877E" w14:textId="47AF3626"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40" w:history="1">
        <w:r w:rsidRPr="00366E08">
          <w:rPr>
            <w:rStyle w:val="Hyperlink"/>
          </w:rPr>
          <w:t>Sexual safety</w:t>
        </w:r>
        <w:r>
          <w:rPr>
            <w:webHidden/>
          </w:rPr>
          <w:tab/>
        </w:r>
        <w:r>
          <w:rPr>
            <w:webHidden/>
          </w:rPr>
          <w:fldChar w:fldCharType="begin"/>
        </w:r>
        <w:r>
          <w:rPr>
            <w:webHidden/>
          </w:rPr>
          <w:instrText xml:space="preserve"> PAGEREF _Toc180660140 \h </w:instrText>
        </w:r>
        <w:r>
          <w:rPr>
            <w:webHidden/>
          </w:rPr>
        </w:r>
        <w:r>
          <w:rPr>
            <w:webHidden/>
          </w:rPr>
          <w:fldChar w:fldCharType="separate"/>
        </w:r>
        <w:r w:rsidR="002C5382">
          <w:rPr>
            <w:webHidden/>
          </w:rPr>
          <w:t>25</w:t>
        </w:r>
        <w:r>
          <w:rPr>
            <w:webHidden/>
          </w:rPr>
          <w:fldChar w:fldCharType="end"/>
        </w:r>
      </w:hyperlink>
    </w:p>
    <w:p w14:paraId="35098D5E" w14:textId="1E0696A5"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41" w:history="1">
        <w:r w:rsidRPr="00366E08">
          <w:rPr>
            <w:rStyle w:val="Hyperlink"/>
          </w:rPr>
          <w:t>Statewide Complex Needs Advisory Panel</w:t>
        </w:r>
        <w:r>
          <w:rPr>
            <w:webHidden/>
          </w:rPr>
          <w:tab/>
        </w:r>
        <w:r>
          <w:rPr>
            <w:webHidden/>
          </w:rPr>
          <w:fldChar w:fldCharType="begin"/>
        </w:r>
        <w:r>
          <w:rPr>
            <w:webHidden/>
          </w:rPr>
          <w:instrText xml:space="preserve"> PAGEREF _Toc180660141 \h </w:instrText>
        </w:r>
        <w:r>
          <w:rPr>
            <w:webHidden/>
          </w:rPr>
        </w:r>
        <w:r>
          <w:rPr>
            <w:webHidden/>
          </w:rPr>
          <w:fldChar w:fldCharType="separate"/>
        </w:r>
        <w:r w:rsidR="002C5382">
          <w:rPr>
            <w:webHidden/>
          </w:rPr>
          <w:t>28</w:t>
        </w:r>
        <w:r>
          <w:rPr>
            <w:webHidden/>
          </w:rPr>
          <w:fldChar w:fldCharType="end"/>
        </w:r>
      </w:hyperlink>
    </w:p>
    <w:p w14:paraId="4A812983" w14:textId="3025AAE2" w:rsidR="0013746F" w:rsidRDefault="0013746F">
      <w:pPr>
        <w:pStyle w:val="TOC2"/>
        <w:rPr>
          <w:rFonts w:asciiTheme="minorHAnsi" w:eastAsiaTheme="minorEastAsia" w:hAnsiTheme="minorHAnsi" w:cstheme="minorBidi"/>
          <w:kern w:val="2"/>
          <w:sz w:val="24"/>
          <w:szCs w:val="24"/>
          <w:lang w:eastAsia="en-AU"/>
          <w14:ligatures w14:val="standardContextual"/>
        </w:rPr>
      </w:pPr>
      <w:hyperlink w:anchor="_Toc180660142" w:history="1">
        <w:r w:rsidRPr="00366E08">
          <w:rPr>
            <w:rStyle w:val="Hyperlink"/>
          </w:rPr>
          <w:t>Custodial settings</w:t>
        </w:r>
        <w:r>
          <w:rPr>
            <w:webHidden/>
          </w:rPr>
          <w:tab/>
        </w:r>
        <w:r>
          <w:rPr>
            <w:webHidden/>
          </w:rPr>
          <w:fldChar w:fldCharType="begin"/>
        </w:r>
        <w:r>
          <w:rPr>
            <w:webHidden/>
          </w:rPr>
          <w:instrText xml:space="preserve"> PAGEREF _Toc180660142 \h </w:instrText>
        </w:r>
        <w:r>
          <w:rPr>
            <w:webHidden/>
          </w:rPr>
        </w:r>
        <w:r>
          <w:rPr>
            <w:webHidden/>
          </w:rPr>
          <w:fldChar w:fldCharType="separate"/>
        </w:r>
        <w:r w:rsidR="002C5382">
          <w:rPr>
            <w:webHidden/>
          </w:rPr>
          <w:t>29</w:t>
        </w:r>
        <w:r>
          <w:rPr>
            <w:webHidden/>
          </w:rPr>
          <w:fldChar w:fldCharType="end"/>
        </w:r>
      </w:hyperlink>
    </w:p>
    <w:p w14:paraId="3C7A79F1" w14:textId="582262AD" w:rsidR="00436843" w:rsidRPr="003072C6" w:rsidRDefault="00436843" w:rsidP="00436843">
      <w:pPr>
        <w:pStyle w:val="TOC2"/>
        <w:rPr>
          <w:noProof w:val="0"/>
        </w:rPr>
      </w:pPr>
      <w:r w:rsidRPr="003072C6">
        <w:rPr>
          <w:noProof w:val="0"/>
        </w:rPr>
        <w:fldChar w:fldCharType="end"/>
      </w:r>
    </w:p>
    <w:p w14:paraId="710A531B" w14:textId="77777777" w:rsidR="00436843" w:rsidRDefault="00436843" w:rsidP="00563C62">
      <w:pPr>
        <w:pStyle w:val="Body"/>
        <w:rPr>
          <w:color w:val="004EA8"/>
          <w:sz w:val="44"/>
          <w:szCs w:val="44"/>
        </w:rPr>
      </w:pPr>
      <w:r>
        <w:br w:type="page"/>
      </w:r>
    </w:p>
    <w:p w14:paraId="3AFD860F" w14:textId="018F4598" w:rsidR="00381B2F" w:rsidRPr="00CA1B76" w:rsidRDefault="00381B2F" w:rsidP="00381B2F">
      <w:pPr>
        <w:pStyle w:val="Heading1"/>
        <w:rPr>
          <w:rFonts w:eastAsia="Calibri Light"/>
          <w:sz w:val="20"/>
          <w:szCs w:val="20"/>
        </w:rPr>
      </w:pPr>
      <w:bookmarkStart w:id="9" w:name="_Toc180660126"/>
      <w:r w:rsidRPr="484CF834">
        <w:rPr>
          <w:rFonts w:eastAsia="Calibri Light"/>
        </w:rPr>
        <w:lastRenderedPageBreak/>
        <w:t>Overview</w:t>
      </w:r>
      <w:bookmarkEnd w:id="8"/>
      <w:bookmarkEnd w:id="9"/>
    </w:p>
    <w:p w14:paraId="2B0CC4F8" w14:textId="30207A76" w:rsidR="00381B2F" w:rsidRPr="0045619A" w:rsidRDefault="00381B2F" w:rsidP="004E11BD">
      <w:pPr>
        <w:pStyle w:val="Heading2"/>
        <w:tabs>
          <w:tab w:val="left" w:pos="2942"/>
        </w:tabs>
        <w:rPr>
          <w:b w:val="0"/>
          <w:bCs/>
          <w:color w:val="000000" w:themeColor="text1"/>
          <w:sz w:val="22"/>
          <w:szCs w:val="22"/>
        </w:rPr>
      </w:pPr>
      <w:bookmarkStart w:id="10" w:name="_Toc52886232"/>
      <w:bookmarkStart w:id="11" w:name="_Toc180660127"/>
      <w:r w:rsidRPr="00381B2F">
        <w:rPr>
          <w:rStyle w:val="Heading3Char"/>
          <w:bCs w:val="0"/>
          <w:sz w:val="28"/>
          <w:szCs w:val="28"/>
        </w:rPr>
        <w:t>Aims of the report</w:t>
      </w:r>
      <w:bookmarkStart w:id="12" w:name="_Hlk134521736"/>
      <w:bookmarkEnd w:id="10"/>
      <w:bookmarkEnd w:id="11"/>
      <w:r w:rsidR="004E11BD">
        <w:rPr>
          <w:rStyle w:val="Heading3Char"/>
          <w:bCs w:val="0"/>
          <w:sz w:val="28"/>
          <w:szCs w:val="28"/>
        </w:rPr>
        <w:t xml:space="preserve"> </w:t>
      </w:r>
    </w:p>
    <w:bookmarkEnd w:id="12"/>
    <w:p w14:paraId="23ED1791" w14:textId="2DEFFBEB" w:rsidR="00381B2F" w:rsidRDefault="00381B2F" w:rsidP="00F63383">
      <w:pPr>
        <w:pStyle w:val="Body"/>
        <w:spacing w:before="120"/>
        <w:rPr>
          <w:lang w:val="en-US"/>
        </w:rPr>
      </w:pPr>
      <w:r w:rsidRPr="00F04593">
        <w:rPr>
          <w:lang w:val="en-US"/>
        </w:rPr>
        <w:t xml:space="preserve">The aims of this annual report are to: </w:t>
      </w:r>
    </w:p>
    <w:p w14:paraId="59ADD55D" w14:textId="6C26E5BC" w:rsidR="00381B2F" w:rsidRPr="008F76E3" w:rsidRDefault="00381B2F" w:rsidP="00563C62">
      <w:pPr>
        <w:pStyle w:val="Bullet1"/>
      </w:pPr>
      <w:r w:rsidRPr="00F04593">
        <w:t xml:space="preserve">inform mental health consumers, carers, service providers and members of the public about the activities of the Office of the Chief Psychiatrist (OCP) in the </w:t>
      </w:r>
      <w:r w:rsidR="0004303E">
        <w:t>2023</w:t>
      </w:r>
      <w:r w:rsidR="005B0764">
        <w:t>–</w:t>
      </w:r>
      <w:r w:rsidR="0004303E">
        <w:t>24</w:t>
      </w:r>
      <w:r w:rsidR="0004303E" w:rsidRPr="00F04593">
        <w:t xml:space="preserve"> </w:t>
      </w:r>
      <w:r w:rsidRPr="00F04593">
        <w:t xml:space="preserve">financial year </w:t>
      </w:r>
    </w:p>
    <w:p w14:paraId="7CDF39C2" w14:textId="3F137659" w:rsidR="00381B2F" w:rsidRDefault="00381B2F" w:rsidP="00563C62">
      <w:pPr>
        <w:pStyle w:val="Bullet1"/>
      </w:pPr>
      <w:r w:rsidRPr="00F04593">
        <w:t xml:space="preserve">provide information about specific clinical practices that must be reported by health services to </w:t>
      </w:r>
      <w:r w:rsidR="00221C07">
        <w:t>t</w:t>
      </w:r>
      <w:r w:rsidRPr="00F04593">
        <w:t>he</w:t>
      </w:r>
      <w:r w:rsidRPr="008F76E3">
        <w:t xml:space="preserve"> </w:t>
      </w:r>
      <w:r w:rsidRPr="00F04593">
        <w:t xml:space="preserve">Chief Psychiatrist under the </w:t>
      </w:r>
      <w:r w:rsidRPr="00F04593">
        <w:rPr>
          <w:i/>
          <w:iCs/>
        </w:rPr>
        <w:t xml:space="preserve">Mental Health </w:t>
      </w:r>
      <w:r w:rsidR="00DE5934">
        <w:rPr>
          <w:i/>
          <w:iCs/>
        </w:rPr>
        <w:t xml:space="preserve">and Wellbeing </w:t>
      </w:r>
      <w:r w:rsidRPr="00F04593">
        <w:rPr>
          <w:i/>
          <w:iCs/>
        </w:rPr>
        <w:t>Act 20</w:t>
      </w:r>
      <w:r w:rsidR="00DE5934">
        <w:rPr>
          <w:i/>
          <w:iCs/>
        </w:rPr>
        <w:t>22</w:t>
      </w:r>
      <w:r w:rsidR="00F92629">
        <w:t xml:space="preserve"> (the Act)</w:t>
      </w:r>
    </w:p>
    <w:p w14:paraId="1AB7B3AD" w14:textId="6053BBD4" w:rsidR="00381B2F" w:rsidRDefault="00381B2F" w:rsidP="00563C62">
      <w:pPr>
        <w:pStyle w:val="Bullet1"/>
      </w:pPr>
      <w:r w:rsidRPr="00F04593">
        <w:t>contribute to ongoing improvement in the quality and safety of Victoria’s mental health services.</w:t>
      </w:r>
      <w:r w:rsidR="0057779F">
        <w:t xml:space="preserve"> </w:t>
      </w:r>
    </w:p>
    <w:p w14:paraId="5BED59AF" w14:textId="557D8BD2" w:rsidR="00381B2F" w:rsidRPr="004E11BD" w:rsidRDefault="00381B2F" w:rsidP="004E11BD">
      <w:pPr>
        <w:pStyle w:val="Heading2"/>
        <w:tabs>
          <w:tab w:val="left" w:pos="2942"/>
        </w:tabs>
        <w:rPr>
          <w:b w:val="0"/>
          <w:bCs/>
          <w:color w:val="000000" w:themeColor="text1"/>
          <w:sz w:val="22"/>
          <w:szCs w:val="22"/>
        </w:rPr>
      </w:pPr>
      <w:bookmarkStart w:id="13" w:name="_Toc52886233"/>
      <w:bookmarkStart w:id="14" w:name="_Toc180660128"/>
      <w:r w:rsidRPr="00381B2F">
        <w:rPr>
          <w:rStyle w:val="Heading3Char"/>
          <w:bCs w:val="0"/>
          <w:sz w:val="28"/>
          <w:szCs w:val="28"/>
        </w:rPr>
        <w:t>Statutory framework and role of the Chief Psychiatrist</w:t>
      </w:r>
      <w:bookmarkEnd w:id="13"/>
      <w:bookmarkEnd w:id="14"/>
      <w:r w:rsidR="007B776D">
        <w:rPr>
          <w:rStyle w:val="Heading3Char"/>
          <w:bCs w:val="0"/>
          <w:sz w:val="28"/>
          <w:szCs w:val="28"/>
        </w:rPr>
        <w:t xml:space="preserve"> </w:t>
      </w:r>
    </w:p>
    <w:p w14:paraId="3B966BDC" w14:textId="0B82B22F" w:rsidR="00381B2F" w:rsidRDefault="00381B2F" w:rsidP="00F63383">
      <w:pPr>
        <w:pStyle w:val="Body"/>
        <w:spacing w:before="120"/>
        <w:rPr>
          <w:lang w:val="en-US"/>
        </w:rPr>
      </w:pPr>
      <w:r w:rsidRPr="00F04593">
        <w:rPr>
          <w:lang w:val="en-US"/>
        </w:rPr>
        <w:t xml:space="preserve">The </w:t>
      </w:r>
      <w:r w:rsidRPr="00F91C20">
        <w:rPr>
          <w:lang w:val="en-US"/>
        </w:rPr>
        <w:t>Act</w:t>
      </w:r>
      <w:r w:rsidR="005027F9">
        <w:rPr>
          <w:lang w:val="en-US"/>
        </w:rPr>
        <w:t xml:space="preserve"> </w:t>
      </w:r>
      <w:r w:rsidRPr="00F04593">
        <w:rPr>
          <w:lang w:val="en-US"/>
        </w:rPr>
        <w:t>aims to improve the experience</w:t>
      </w:r>
      <w:r w:rsidR="00E54C26">
        <w:rPr>
          <w:lang w:val="en-US"/>
        </w:rPr>
        <w:t>s</w:t>
      </w:r>
      <w:r w:rsidRPr="00F04593">
        <w:rPr>
          <w:lang w:val="en-US"/>
        </w:rPr>
        <w:t xml:space="preserve"> of people </w:t>
      </w:r>
      <w:r w:rsidR="00AD23F1">
        <w:rPr>
          <w:lang w:val="en-US"/>
        </w:rPr>
        <w:t>using mental health and wellbeing services</w:t>
      </w:r>
      <w:r w:rsidRPr="00F04593">
        <w:rPr>
          <w:lang w:val="en-US"/>
        </w:rPr>
        <w:t xml:space="preserve"> by actively involving and supporting them, and their families and carers, in making decisions about their</w:t>
      </w:r>
      <w:r>
        <w:rPr>
          <w:lang w:val="en-US"/>
        </w:rPr>
        <w:t xml:space="preserve"> </w:t>
      </w:r>
      <w:r w:rsidRPr="00F04593">
        <w:rPr>
          <w:lang w:val="en-US"/>
        </w:rPr>
        <w:t>treatment and exercising their rights.</w:t>
      </w:r>
      <w:r w:rsidR="0057779F">
        <w:rPr>
          <w:lang w:val="en-US"/>
        </w:rPr>
        <w:t xml:space="preserve"> </w:t>
      </w:r>
    </w:p>
    <w:p w14:paraId="14B4B63C" w14:textId="69CD8CA9" w:rsidR="00381B2F" w:rsidRPr="00892ED8" w:rsidRDefault="00381B2F" w:rsidP="00563C62">
      <w:pPr>
        <w:pStyle w:val="Body"/>
      </w:pPr>
      <w:r w:rsidRPr="00892ED8">
        <w:t>The Act has several core principles and objectives</w:t>
      </w:r>
      <w:r w:rsidR="00661EDE">
        <w:t>,</w:t>
      </w:r>
      <w:r w:rsidRPr="00892ED8">
        <w:t xml:space="preserve"> including that: </w:t>
      </w:r>
    </w:p>
    <w:p w14:paraId="73BFD111" w14:textId="77777777" w:rsidR="00381B2F" w:rsidRPr="008F76E3" w:rsidRDefault="00381B2F" w:rsidP="00563C62">
      <w:pPr>
        <w:pStyle w:val="Bullet1"/>
      </w:pPr>
      <w:r w:rsidRPr="00F04593">
        <w:t xml:space="preserve">assessment and treatment are provided in the least intrusive and restrictive way </w:t>
      </w:r>
    </w:p>
    <w:p w14:paraId="20C47F00" w14:textId="4EABC3E2" w:rsidR="00381B2F" w:rsidRPr="008F76E3" w:rsidRDefault="00381B2F" w:rsidP="00563C62">
      <w:pPr>
        <w:pStyle w:val="Bullet1"/>
      </w:pPr>
      <w:r w:rsidRPr="00F04593">
        <w:t xml:space="preserve">people are supported to make and </w:t>
      </w:r>
      <w:r w:rsidR="005B0764">
        <w:t>take part</w:t>
      </w:r>
      <w:r w:rsidR="005B0764" w:rsidRPr="00F04593">
        <w:t xml:space="preserve"> </w:t>
      </w:r>
      <w:r w:rsidRPr="00F04593">
        <w:t xml:space="preserve">in decisions about their assessment, treatment and recovery </w:t>
      </w:r>
    </w:p>
    <w:p w14:paraId="2D48E65D" w14:textId="77777777" w:rsidR="00381B2F" w:rsidRPr="008F76E3" w:rsidRDefault="00381B2F" w:rsidP="00563C62">
      <w:pPr>
        <w:pStyle w:val="Bullet1"/>
      </w:pPr>
      <w:r w:rsidRPr="00F04593">
        <w:t xml:space="preserve">individuals’ rights, dignity and autonomy are protected and </w:t>
      </w:r>
      <w:proofErr w:type="gramStart"/>
      <w:r w:rsidRPr="00F04593">
        <w:t>promoted at all times</w:t>
      </w:r>
      <w:proofErr w:type="gramEnd"/>
      <w:r w:rsidRPr="00F04593">
        <w:t xml:space="preserve"> </w:t>
      </w:r>
    </w:p>
    <w:p w14:paraId="60BA3C93" w14:textId="6A9FBD4B" w:rsidR="00381B2F" w:rsidRPr="008F76E3" w:rsidRDefault="00381B2F" w:rsidP="00563C62">
      <w:pPr>
        <w:pStyle w:val="Bullet1"/>
      </w:pPr>
      <w:r w:rsidRPr="00F04593">
        <w:t>priority is given to holistic care and support options that respon</w:t>
      </w:r>
      <w:r w:rsidR="00B90937">
        <w:t>d</w:t>
      </w:r>
      <w:r w:rsidRPr="00F04593">
        <w:t xml:space="preserve"> to individual needs</w:t>
      </w:r>
    </w:p>
    <w:p w14:paraId="63B2B57B" w14:textId="77777777" w:rsidR="00381B2F" w:rsidRPr="008F76E3" w:rsidRDefault="00381B2F" w:rsidP="00563C62">
      <w:pPr>
        <w:pStyle w:val="Bullet1"/>
      </w:pPr>
      <w:r w:rsidRPr="00F04593">
        <w:t xml:space="preserve">the wellbeing and safety of children and young people are protected and prioritised </w:t>
      </w:r>
    </w:p>
    <w:p w14:paraId="59E926F8" w14:textId="77777777" w:rsidR="00381B2F" w:rsidRDefault="00381B2F" w:rsidP="00563C62">
      <w:pPr>
        <w:pStyle w:val="Bullet1"/>
        <w:rPr>
          <w:lang w:val="en-US"/>
        </w:rPr>
      </w:pPr>
      <w:r w:rsidRPr="00F04593">
        <w:t>carers are recognised</w:t>
      </w:r>
      <w:r w:rsidRPr="00F04593">
        <w:rPr>
          <w:lang w:val="en-US"/>
        </w:rPr>
        <w:t xml:space="preserve"> and supported in decisions about treatment and care. </w:t>
      </w:r>
    </w:p>
    <w:p w14:paraId="7CE7841D" w14:textId="285CC4BF" w:rsidR="00381B2F" w:rsidRPr="0032154F" w:rsidRDefault="00381B2F" w:rsidP="0032154F">
      <w:pPr>
        <w:pStyle w:val="Bodyafterbullets"/>
      </w:pPr>
      <w:bookmarkStart w:id="15" w:name="_Toc52886234"/>
      <w:r w:rsidRPr="0032154F">
        <w:rPr>
          <w:rStyle w:val="Heading3Char"/>
          <w:rFonts w:eastAsia="Times"/>
          <w:bCs w:val="0"/>
          <w:sz w:val="21"/>
          <w:szCs w:val="21"/>
        </w:rPr>
        <w:t>Under s</w:t>
      </w:r>
      <w:r w:rsidRPr="0032154F" w:rsidDel="00E749C9">
        <w:rPr>
          <w:rStyle w:val="Heading3Char"/>
          <w:rFonts w:eastAsia="Times"/>
          <w:bCs w:val="0"/>
          <w:sz w:val="21"/>
          <w:szCs w:val="21"/>
        </w:rPr>
        <w:t xml:space="preserve"> </w:t>
      </w:r>
      <w:r w:rsidR="00E749C9">
        <w:rPr>
          <w:rStyle w:val="Heading3Char"/>
          <w:rFonts w:eastAsia="Times"/>
          <w:bCs w:val="0"/>
          <w:sz w:val="21"/>
          <w:szCs w:val="21"/>
        </w:rPr>
        <w:t>265</w:t>
      </w:r>
      <w:r w:rsidR="00E749C9" w:rsidRPr="0032154F">
        <w:rPr>
          <w:rStyle w:val="Heading3Char"/>
          <w:rFonts w:eastAsia="Times"/>
          <w:bCs w:val="0"/>
          <w:sz w:val="21"/>
          <w:szCs w:val="21"/>
        </w:rPr>
        <w:t xml:space="preserve"> </w:t>
      </w:r>
      <w:r w:rsidRPr="0032154F">
        <w:rPr>
          <w:rStyle w:val="Heading3Char"/>
          <w:rFonts w:eastAsia="Times"/>
          <w:bCs w:val="0"/>
          <w:sz w:val="21"/>
          <w:szCs w:val="21"/>
        </w:rPr>
        <w:t xml:space="preserve">of the Act, the Secretary </w:t>
      </w:r>
      <w:r w:rsidR="00612485" w:rsidRPr="0032154F">
        <w:rPr>
          <w:rStyle w:val="Heading3Char"/>
          <w:rFonts w:eastAsia="Times"/>
          <w:bCs w:val="0"/>
          <w:sz w:val="21"/>
          <w:szCs w:val="21"/>
        </w:rPr>
        <w:t>of</w:t>
      </w:r>
      <w:r w:rsidRPr="0032154F">
        <w:rPr>
          <w:rStyle w:val="Heading3Char"/>
          <w:rFonts w:eastAsia="Times"/>
          <w:bCs w:val="0"/>
          <w:sz w:val="21"/>
          <w:szCs w:val="21"/>
        </w:rPr>
        <w:t xml:space="preserve"> the Department of Health can appoint a Chief Psychiatrist. The role of the Chief Psychiatrist, as described in s </w:t>
      </w:r>
      <w:r w:rsidR="006037DF">
        <w:rPr>
          <w:rStyle w:val="Heading3Char"/>
          <w:rFonts w:eastAsia="Times"/>
          <w:bCs w:val="0"/>
          <w:sz w:val="21"/>
          <w:szCs w:val="21"/>
        </w:rPr>
        <w:t>266</w:t>
      </w:r>
      <w:r w:rsidR="006037DF" w:rsidRPr="0032154F">
        <w:rPr>
          <w:rStyle w:val="Heading3Char"/>
          <w:rFonts w:eastAsia="Times"/>
          <w:bCs w:val="0"/>
          <w:sz w:val="21"/>
          <w:szCs w:val="21"/>
        </w:rPr>
        <w:t xml:space="preserve"> </w:t>
      </w:r>
      <w:r w:rsidRPr="0032154F">
        <w:rPr>
          <w:rStyle w:val="Heading3Char"/>
          <w:rFonts w:eastAsia="Times"/>
          <w:bCs w:val="0"/>
          <w:sz w:val="21"/>
          <w:szCs w:val="21"/>
        </w:rPr>
        <w:t>of the Act, is to:</w:t>
      </w:r>
      <w:bookmarkEnd w:id="15"/>
      <w:r w:rsidRPr="0032154F">
        <w:t xml:space="preserve"> </w:t>
      </w:r>
    </w:p>
    <w:p w14:paraId="58C43AE7" w14:textId="1F27EB38" w:rsidR="00381B2F" w:rsidRPr="008F76E3" w:rsidRDefault="00381B2F" w:rsidP="00563C62">
      <w:pPr>
        <w:pStyle w:val="Bullet1"/>
      </w:pPr>
      <w:r w:rsidRPr="00F04593">
        <w:t xml:space="preserve">provide clinical leadership and expert clinical advice to </w:t>
      </w:r>
      <w:r w:rsidR="00042218">
        <w:t xml:space="preserve">clinical </w:t>
      </w:r>
      <w:r w:rsidRPr="00F04593">
        <w:t>mental health service providers</w:t>
      </w:r>
    </w:p>
    <w:p w14:paraId="4F68A5ED" w14:textId="2E2CF6B1" w:rsidR="00B13ED9" w:rsidRDefault="00B13ED9" w:rsidP="00B13ED9">
      <w:pPr>
        <w:pStyle w:val="Bullet1"/>
      </w:pPr>
      <w:r w:rsidRPr="00B13ED9">
        <w:t>promote the highest standard of clinical practices and care provided by clinical mental health service providers</w:t>
      </w:r>
    </w:p>
    <w:p w14:paraId="5F41FA93" w14:textId="3A2489D1" w:rsidR="00423392" w:rsidRDefault="00423392" w:rsidP="00423392">
      <w:pPr>
        <w:pStyle w:val="Bullet1"/>
      </w:pPr>
      <w:r w:rsidRPr="00423392">
        <w:t>promote the rights of persons receiving services from clinical mental health service providers</w:t>
      </w:r>
    </w:p>
    <w:p w14:paraId="67113CEC" w14:textId="36D68568" w:rsidR="00381B2F" w:rsidRDefault="00381B2F" w:rsidP="00323789">
      <w:pPr>
        <w:pStyle w:val="Bullet1"/>
      </w:pPr>
      <w:r w:rsidRPr="00F04593">
        <w:t xml:space="preserve">provide advice to the </w:t>
      </w:r>
      <w:r w:rsidR="003A16A4">
        <w:t>Minister</w:t>
      </w:r>
      <w:r w:rsidRPr="00F04593">
        <w:t xml:space="preserve"> and </w:t>
      </w:r>
      <w:r w:rsidR="003A16A4">
        <w:t>Health</w:t>
      </w:r>
      <w:r w:rsidRPr="00F04593">
        <w:t xml:space="preserve"> Secretary </w:t>
      </w:r>
      <w:r w:rsidR="00323789" w:rsidRPr="00323789">
        <w:t>about the provision of services by clinical mental health service providers</w:t>
      </w:r>
      <w:r w:rsidRPr="00F04593">
        <w:t>.</w:t>
      </w:r>
      <w:r w:rsidR="0057779F">
        <w:t xml:space="preserve"> </w:t>
      </w:r>
    </w:p>
    <w:p w14:paraId="0495117C" w14:textId="586F0878" w:rsidR="0089134B" w:rsidRDefault="00381B2F" w:rsidP="00F13401">
      <w:pPr>
        <w:pStyle w:val="Bodyafterbullets"/>
        <w:rPr>
          <w:lang w:val="en-US"/>
        </w:rPr>
      </w:pPr>
      <w:r w:rsidRPr="00F04593">
        <w:rPr>
          <w:lang w:val="en-US"/>
        </w:rPr>
        <w:t xml:space="preserve">Under the Act, </w:t>
      </w:r>
      <w:r w:rsidR="00DB0462">
        <w:rPr>
          <w:lang w:val="en-US"/>
        </w:rPr>
        <w:t>‘clinical mental health service provider</w:t>
      </w:r>
      <w:r w:rsidR="001F6369">
        <w:rPr>
          <w:lang w:val="en-US"/>
        </w:rPr>
        <w:t>’</w:t>
      </w:r>
      <w:r w:rsidR="00DB0462">
        <w:rPr>
          <w:lang w:val="en-US"/>
        </w:rPr>
        <w:t xml:space="preserve"> means</w:t>
      </w:r>
      <w:r w:rsidR="0089134B">
        <w:rPr>
          <w:lang w:val="en-US"/>
        </w:rPr>
        <w:t>:</w:t>
      </w:r>
    </w:p>
    <w:p w14:paraId="0071CA47" w14:textId="780DD0E9" w:rsidR="0089134B" w:rsidRDefault="00F13401" w:rsidP="008A2D1B">
      <w:pPr>
        <w:pStyle w:val="Bodyafterbullets"/>
        <w:numPr>
          <w:ilvl w:val="0"/>
          <w:numId w:val="6"/>
        </w:numPr>
        <w:rPr>
          <w:lang w:val="en-US"/>
        </w:rPr>
      </w:pPr>
      <w:r w:rsidRPr="00F13401">
        <w:rPr>
          <w:lang w:val="en-US"/>
        </w:rPr>
        <w:t>a designated mental health service</w:t>
      </w:r>
    </w:p>
    <w:p w14:paraId="454524B3" w14:textId="3EF8BA4D" w:rsidR="00F13401" w:rsidRPr="00F13401" w:rsidRDefault="00F13401" w:rsidP="008A2D1B">
      <w:pPr>
        <w:pStyle w:val="Bodyafterbullets"/>
        <w:numPr>
          <w:ilvl w:val="0"/>
          <w:numId w:val="6"/>
        </w:numPr>
        <w:rPr>
          <w:lang w:val="en-US"/>
        </w:rPr>
      </w:pPr>
      <w:r w:rsidRPr="00F13401">
        <w:rPr>
          <w:lang w:val="en-US"/>
        </w:rPr>
        <w:t>a mental health and wellbeing service provider that provides mental health and wellbeing services in a custodial setting</w:t>
      </w:r>
      <w:r w:rsidR="0089134B">
        <w:rPr>
          <w:lang w:val="en-US"/>
        </w:rPr>
        <w:t>,</w:t>
      </w:r>
      <w:r w:rsidRPr="00F13401">
        <w:rPr>
          <w:lang w:val="en-US"/>
        </w:rPr>
        <w:t xml:space="preserve"> or</w:t>
      </w:r>
    </w:p>
    <w:p w14:paraId="75285F8A" w14:textId="2EF03E77" w:rsidR="00DB0462" w:rsidRDefault="00F13401" w:rsidP="008A2D1B">
      <w:pPr>
        <w:pStyle w:val="Bodyafterbullets"/>
        <w:numPr>
          <w:ilvl w:val="0"/>
          <w:numId w:val="6"/>
        </w:numPr>
        <w:rPr>
          <w:lang w:val="en-US"/>
        </w:rPr>
      </w:pPr>
      <w:r w:rsidRPr="00F13401">
        <w:rPr>
          <w:lang w:val="en-US"/>
        </w:rPr>
        <w:t>any other prescribed entity or prescribed class of entity</w:t>
      </w:r>
      <w:r w:rsidR="0089134B">
        <w:rPr>
          <w:lang w:val="en-US"/>
        </w:rPr>
        <w:t>.</w:t>
      </w:r>
    </w:p>
    <w:p w14:paraId="3CC0C9D1" w14:textId="41D1D40B" w:rsidR="00992202" w:rsidRDefault="00381B2F" w:rsidP="00363C00">
      <w:pPr>
        <w:pStyle w:val="Body"/>
        <w:rPr>
          <w:lang w:val="en-US"/>
        </w:rPr>
      </w:pPr>
      <w:r w:rsidRPr="00F04593">
        <w:rPr>
          <w:lang w:val="en-US"/>
        </w:rPr>
        <w:t>Often referred to jointly as ‘public mental health services’, these services include a range of hospital and</w:t>
      </w:r>
      <w:r>
        <w:rPr>
          <w:lang w:val="en-US"/>
        </w:rPr>
        <w:t xml:space="preserve"> </w:t>
      </w:r>
      <w:r w:rsidRPr="00F04593">
        <w:rPr>
          <w:lang w:val="en-US"/>
        </w:rPr>
        <w:t>community-based clinical mental health services and the Victorian Institute of Forensic Mental Health (known as ‘</w:t>
      </w:r>
      <w:proofErr w:type="spellStart"/>
      <w:r w:rsidRPr="00F04593">
        <w:rPr>
          <w:lang w:val="en-US"/>
        </w:rPr>
        <w:t>Forensicare</w:t>
      </w:r>
      <w:proofErr w:type="spellEnd"/>
      <w:r w:rsidRPr="00F04593">
        <w:rPr>
          <w:lang w:val="en-US"/>
        </w:rPr>
        <w:t xml:space="preserve">’). More information about the Act and how it relates to the role of the Chief Psychiatrist can be found on </w:t>
      </w:r>
      <w:hyperlink r:id="rId16" w:history="1">
        <w:r w:rsidR="00EE5025" w:rsidRPr="00433C13">
          <w:rPr>
            <w:rStyle w:val="Hyperlink"/>
            <w:lang w:val="en-US"/>
          </w:rPr>
          <w:t xml:space="preserve">the </w:t>
        </w:r>
        <w:r w:rsidR="00ED205E">
          <w:rPr>
            <w:rStyle w:val="Hyperlink"/>
            <w:lang w:val="en-US"/>
          </w:rPr>
          <w:t>d</w:t>
        </w:r>
        <w:r w:rsidR="00EE5025" w:rsidRPr="00433C13">
          <w:rPr>
            <w:rStyle w:val="Hyperlink"/>
            <w:lang w:val="en-US"/>
          </w:rPr>
          <w:t>epartment’s website</w:t>
        </w:r>
      </w:hyperlink>
      <w:r w:rsidRPr="00F04593">
        <w:rPr>
          <w:lang w:val="en-US"/>
        </w:rPr>
        <w:t xml:space="preserve"> </w:t>
      </w:r>
      <w:r w:rsidR="00500664">
        <w:rPr>
          <w:lang w:val="en-US"/>
        </w:rPr>
        <w:t>&lt;</w:t>
      </w:r>
      <w:r w:rsidR="004423F7" w:rsidRPr="004423F7">
        <w:t>https://www.health.vic.gov.au/mental-health-and-wellbeing-act</w:t>
      </w:r>
      <w:r w:rsidR="00500664">
        <w:rPr>
          <w:lang w:val="en-US"/>
        </w:rPr>
        <w:t>&gt;</w:t>
      </w:r>
      <w:r w:rsidRPr="00F04593">
        <w:rPr>
          <w:lang w:val="en-US"/>
        </w:rPr>
        <w:t>.</w:t>
      </w:r>
      <w:r w:rsidR="0057779F">
        <w:rPr>
          <w:lang w:val="en-US"/>
        </w:rPr>
        <w:t xml:space="preserve"> </w:t>
      </w:r>
    </w:p>
    <w:p w14:paraId="6056F5BA" w14:textId="19E14BD9" w:rsidR="0010626E" w:rsidRDefault="001F28F2" w:rsidP="004E11BD">
      <w:pPr>
        <w:pStyle w:val="Heading2"/>
        <w:tabs>
          <w:tab w:val="left" w:pos="2942"/>
        </w:tabs>
        <w:rPr>
          <w:lang w:val="en-US"/>
        </w:rPr>
      </w:pPr>
      <w:bookmarkStart w:id="16" w:name="_Toc180660129"/>
      <w:bookmarkStart w:id="17" w:name="_Toc52886235"/>
      <w:r w:rsidRPr="006255A2">
        <w:rPr>
          <w:lang w:val="en-US"/>
        </w:rPr>
        <w:lastRenderedPageBreak/>
        <w:t xml:space="preserve">Mental </w:t>
      </w:r>
      <w:r w:rsidR="009C5265">
        <w:rPr>
          <w:lang w:val="en-US"/>
        </w:rPr>
        <w:t>h</w:t>
      </w:r>
      <w:r w:rsidRPr="006255A2">
        <w:rPr>
          <w:lang w:val="en-US"/>
        </w:rPr>
        <w:t xml:space="preserve">ealth and </w:t>
      </w:r>
      <w:r w:rsidR="009C5265">
        <w:rPr>
          <w:lang w:val="en-US"/>
        </w:rPr>
        <w:t>w</w:t>
      </w:r>
      <w:r w:rsidRPr="006255A2">
        <w:rPr>
          <w:lang w:val="en-US"/>
        </w:rPr>
        <w:t xml:space="preserve">ellbeing </w:t>
      </w:r>
      <w:r w:rsidR="009C5265">
        <w:rPr>
          <w:lang w:val="en-US"/>
        </w:rPr>
        <w:t>p</w:t>
      </w:r>
      <w:r w:rsidR="0010626E" w:rsidRPr="006255A2">
        <w:rPr>
          <w:lang w:val="en-US"/>
        </w:rPr>
        <w:t>rinciples</w:t>
      </w:r>
      <w:bookmarkEnd w:id="16"/>
    </w:p>
    <w:p w14:paraId="15866E51" w14:textId="0DD5ECE4" w:rsidR="00E65F93" w:rsidRDefault="0007481E" w:rsidP="00991111">
      <w:pPr>
        <w:pStyle w:val="Body"/>
      </w:pPr>
      <w:r w:rsidRPr="1AA722E5">
        <w:rPr>
          <w:lang w:val="en-US"/>
        </w:rPr>
        <w:t>The Act has a set of core mental health and wellbeing principles</w:t>
      </w:r>
      <w:r w:rsidR="00E65F93" w:rsidRPr="1AA722E5">
        <w:rPr>
          <w:lang w:val="en-US"/>
        </w:rPr>
        <w:t xml:space="preserve">. </w:t>
      </w:r>
      <w:r w:rsidR="00306771" w:rsidRPr="1AA722E5">
        <w:rPr>
          <w:lang w:val="en-US"/>
        </w:rPr>
        <w:t xml:space="preserve">It </w:t>
      </w:r>
      <w:r w:rsidR="00E021FE" w:rsidRPr="1AA722E5">
        <w:rPr>
          <w:lang w:val="en-US"/>
        </w:rPr>
        <w:t xml:space="preserve">requires </w:t>
      </w:r>
      <w:r w:rsidR="00646A82">
        <w:t xml:space="preserve">mental health and wellbeing service providers </w:t>
      </w:r>
      <w:r w:rsidR="004915DD">
        <w:t xml:space="preserve">to </w:t>
      </w:r>
      <w:r w:rsidR="006818CD">
        <w:t xml:space="preserve">make </w:t>
      </w:r>
      <w:r w:rsidR="008C2961">
        <w:t xml:space="preserve">all reasonable efforts </w:t>
      </w:r>
      <w:r w:rsidR="008854A5">
        <w:t>to</w:t>
      </w:r>
      <w:r w:rsidR="008C2961">
        <w:t xml:space="preserve"> comply</w:t>
      </w:r>
      <w:r w:rsidR="00306771">
        <w:t xml:space="preserve"> </w:t>
      </w:r>
      <w:r w:rsidR="00D06490">
        <w:t xml:space="preserve">with and </w:t>
      </w:r>
      <w:proofErr w:type="gramStart"/>
      <w:r w:rsidR="00B358AA">
        <w:t xml:space="preserve">give proper consideration </w:t>
      </w:r>
      <w:r w:rsidR="002854A6">
        <w:t>to</w:t>
      </w:r>
      <w:proofErr w:type="gramEnd"/>
      <w:r w:rsidR="002854A6">
        <w:t xml:space="preserve"> the principles</w:t>
      </w:r>
      <w:r w:rsidR="0030703A">
        <w:t xml:space="preserve"> </w:t>
      </w:r>
      <w:r w:rsidR="00976682">
        <w:t xml:space="preserve">when making a decision under the Act. </w:t>
      </w:r>
    </w:p>
    <w:p w14:paraId="4F03167A" w14:textId="4E0A2CFF" w:rsidR="00C06F33" w:rsidRDefault="00C06F33" w:rsidP="00991111">
      <w:pPr>
        <w:pStyle w:val="Body"/>
        <w:rPr>
          <w:lang w:val="en-US"/>
        </w:rPr>
      </w:pPr>
      <w:r>
        <w:rPr>
          <w:lang w:val="en-US"/>
        </w:rPr>
        <w:t xml:space="preserve">The </w:t>
      </w:r>
      <w:r w:rsidR="00AD12EC">
        <w:rPr>
          <w:lang w:val="en-US"/>
        </w:rPr>
        <w:t xml:space="preserve">13 </w:t>
      </w:r>
      <w:r>
        <w:rPr>
          <w:lang w:val="en-US"/>
        </w:rPr>
        <w:t>prin</w:t>
      </w:r>
      <w:r w:rsidR="006B5F49">
        <w:rPr>
          <w:lang w:val="en-US"/>
        </w:rPr>
        <w:t>ciples</w:t>
      </w:r>
      <w:r w:rsidR="00B623D4">
        <w:rPr>
          <w:lang w:val="en-US"/>
        </w:rPr>
        <w:t>,</w:t>
      </w:r>
      <w:r w:rsidR="006B5F49">
        <w:rPr>
          <w:lang w:val="en-US"/>
        </w:rPr>
        <w:t xml:space="preserve"> </w:t>
      </w:r>
      <w:r w:rsidR="009C479E">
        <w:rPr>
          <w:lang w:val="en-US"/>
        </w:rPr>
        <w:t>set out in s</w:t>
      </w:r>
      <w:r w:rsidR="00964E15">
        <w:rPr>
          <w:lang w:val="en-US"/>
        </w:rPr>
        <w:t>s</w:t>
      </w:r>
      <w:r w:rsidR="00B8586F">
        <w:rPr>
          <w:lang w:val="en-US"/>
        </w:rPr>
        <w:t xml:space="preserve"> 1</w:t>
      </w:r>
      <w:r w:rsidR="005C393B">
        <w:rPr>
          <w:lang w:val="en-US"/>
        </w:rPr>
        <w:t>6</w:t>
      </w:r>
      <w:r w:rsidR="00964E15">
        <w:rPr>
          <w:lang w:val="en-US"/>
        </w:rPr>
        <w:t xml:space="preserve"> to </w:t>
      </w:r>
      <w:r w:rsidR="00B8586F">
        <w:rPr>
          <w:lang w:val="en-US"/>
        </w:rPr>
        <w:t xml:space="preserve">28 </w:t>
      </w:r>
      <w:r w:rsidR="00404651">
        <w:rPr>
          <w:lang w:val="en-US"/>
        </w:rPr>
        <w:t>of the Act</w:t>
      </w:r>
      <w:r w:rsidR="00B623D4">
        <w:rPr>
          <w:lang w:val="en-US"/>
        </w:rPr>
        <w:t>,</w:t>
      </w:r>
      <w:r w:rsidR="00404651">
        <w:rPr>
          <w:lang w:val="en-US"/>
        </w:rPr>
        <w:t xml:space="preserve"> </w:t>
      </w:r>
      <w:r w:rsidR="006B5F49">
        <w:rPr>
          <w:lang w:val="en-US"/>
        </w:rPr>
        <w:t>are</w:t>
      </w:r>
      <w:r w:rsidR="00A26366">
        <w:rPr>
          <w:lang w:val="en-US"/>
        </w:rPr>
        <w:t xml:space="preserve"> </w:t>
      </w:r>
      <w:proofErr w:type="spellStart"/>
      <w:r w:rsidR="00A26366">
        <w:rPr>
          <w:lang w:val="en-US"/>
        </w:rPr>
        <w:t>summarised</w:t>
      </w:r>
      <w:proofErr w:type="spellEnd"/>
      <w:r w:rsidR="00A26366">
        <w:rPr>
          <w:lang w:val="en-US"/>
        </w:rPr>
        <w:t xml:space="preserve"> below.</w:t>
      </w:r>
    </w:p>
    <w:p w14:paraId="5CB51054" w14:textId="77777777" w:rsidR="00F00522" w:rsidRDefault="00A412F3" w:rsidP="00A26366">
      <w:pPr>
        <w:pStyle w:val="Heading3"/>
      </w:pPr>
      <w:r w:rsidRPr="00EA1B2C">
        <w:t>Dignity and autonomy principle</w:t>
      </w:r>
    </w:p>
    <w:p w14:paraId="719E281B" w14:textId="6DE60D3F" w:rsidR="00F00522" w:rsidRPr="00290575" w:rsidRDefault="00F00522" w:rsidP="00A26366">
      <w:pPr>
        <w:pStyle w:val="Body"/>
      </w:pPr>
      <w:r w:rsidRPr="00290575">
        <w:t xml:space="preserve">The rights, dignity and autonomy of a person living with mental illness or psychological distress </w:t>
      </w:r>
      <w:r w:rsidR="00E02364">
        <w:t>are</w:t>
      </w:r>
      <w:r w:rsidRPr="00290575">
        <w:t xml:space="preserve"> to be promoted and protected and the person is to be supported to exercise those rights. </w:t>
      </w:r>
    </w:p>
    <w:p w14:paraId="125C55D3" w14:textId="670A441F" w:rsidR="00A412F3" w:rsidRPr="00290575" w:rsidRDefault="00A412F3" w:rsidP="00A26366">
      <w:pPr>
        <w:pStyle w:val="Heading3"/>
      </w:pPr>
      <w:r>
        <w:t>Diversity of care principle</w:t>
      </w:r>
    </w:p>
    <w:p w14:paraId="6739D286" w14:textId="23DFDC72" w:rsidR="00836E18" w:rsidRPr="00290575" w:rsidRDefault="00836E18" w:rsidP="002139E3">
      <w:pPr>
        <w:pStyle w:val="Body"/>
      </w:pPr>
      <w:r w:rsidRPr="00290575">
        <w:t xml:space="preserve">A person living with mental illness or psychological distress is to be </w:t>
      </w:r>
      <w:r w:rsidR="00F73CAB">
        <w:t>given</w:t>
      </w:r>
      <w:r w:rsidRPr="00290575">
        <w:t xml:space="preserve"> access to a diverse mix of care and support services. This is to be determined, as much as possible, by the needs and preferences of the person living with mental illness or psychological distress including their accessibility requirements, relationships, living situation, any experience of trauma, level of education, financial circumstances and employment status. </w:t>
      </w:r>
    </w:p>
    <w:p w14:paraId="46F1B3BB" w14:textId="77777777" w:rsidR="00355E3B" w:rsidRDefault="00A412F3" w:rsidP="00A26366">
      <w:pPr>
        <w:pStyle w:val="Heading3"/>
      </w:pPr>
      <w:r w:rsidRPr="00EA1B2C">
        <w:t>Least restrictive principle</w:t>
      </w:r>
    </w:p>
    <w:p w14:paraId="6FECABF4" w14:textId="4F181283" w:rsidR="00703967" w:rsidRPr="00290575" w:rsidRDefault="00703967" w:rsidP="002139E3">
      <w:pPr>
        <w:pStyle w:val="Body"/>
      </w:pPr>
      <w:r w:rsidRPr="00290575">
        <w:t>Mental health and wellbeing services are to be provided to a person living with mental illness or psychological distress with the least possible restriction of their rights, dignity and autonomy</w:t>
      </w:r>
      <w:r w:rsidR="00F73CAB">
        <w:t>,</w:t>
      </w:r>
      <w:r w:rsidRPr="00290575">
        <w:t xml:space="preserve"> with the aim of promoting their recovery and full participation in community life. The views and preferences of the person should be key determinants of the nature of this recovery and participation.</w:t>
      </w:r>
    </w:p>
    <w:p w14:paraId="35B88F70" w14:textId="77777777" w:rsidR="00703967" w:rsidRDefault="00A412F3" w:rsidP="00A26366">
      <w:pPr>
        <w:pStyle w:val="Heading3"/>
      </w:pPr>
      <w:r w:rsidRPr="00EA1B2C">
        <w:t>Supported decision making principle</w:t>
      </w:r>
    </w:p>
    <w:p w14:paraId="3DE0AA84" w14:textId="33198142" w:rsidR="00047B7B" w:rsidRPr="00290575" w:rsidRDefault="00047B7B" w:rsidP="002139E3">
      <w:pPr>
        <w:pStyle w:val="Body"/>
      </w:pPr>
      <w:r w:rsidRPr="00290575">
        <w:t xml:space="preserve">Supported decision making practices are to be promoted. </w:t>
      </w:r>
      <w:r w:rsidR="00F73CAB">
        <w:t>People</w:t>
      </w:r>
      <w:r w:rsidR="00F73CAB" w:rsidRPr="00290575">
        <w:t xml:space="preserve"> </w:t>
      </w:r>
      <w:r w:rsidRPr="00290575">
        <w:t>receiving mental health and wellbeing services are to be supported to make decisions and to be involved in decisions about their assessment, treatment and recovery including when they are receiving compulsory treatment. The views and preferences of the person receiving mental health and wellbeing services are to be priorit</w:t>
      </w:r>
      <w:r w:rsidR="00F73CAB">
        <w:t>ised</w:t>
      </w:r>
      <w:r w:rsidRPr="00290575">
        <w:t xml:space="preserve">. </w:t>
      </w:r>
    </w:p>
    <w:p w14:paraId="6BE60659" w14:textId="77777777" w:rsidR="00047B7B" w:rsidRDefault="00A412F3" w:rsidP="00A26366">
      <w:pPr>
        <w:pStyle w:val="Heading3"/>
      </w:pPr>
      <w:r w:rsidRPr="00EA1B2C">
        <w:t>Family and carers principle</w:t>
      </w:r>
    </w:p>
    <w:p w14:paraId="4FD9FDF9" w14:textId="74809737" w:rsidR="0076019F" w:rsidRPr="00290575" w:rsidRDefault="0076019F" w:rsidP="002139E3">
      <w:pPr>
        <w:pStyle w:val="Body"/>
      </w:pPr>
      <w:r w:rsidRPr="00290575">
        <w:t>Families, carers and supporters (including children) of a person receiving mental health and wellbeing services are to be supported in their role in decisions about the person</w:t>
      </w:r>
      <w:r w:rsidR="00F73CAB">
        <w:t>’</w:t>
      </w:r>
      <w:r w:rsidRPr="00290575">
        <w:t xml:space="preserve">s assessment, treatment and recovery. </w:t>
      </w:r>
    </w:p>
    <w:p w14:paraId="52C64528" w14:textId="77777777" w:rsidR="0076019F" w:rsidRDefault="00A412F3" w:rsidP="00A26366">
      <w:pPr>
        <w:pStyle w:val="Heading3"/>
      </w:pPr>
      <w:r w:rsidRPr="00EA1B2C">
        <w:t>Lived experience principle</w:t>
      </w:r>
    </w:p>
    <w:p w14:paraId="6614B08D" w14:textId="04361BCF" w:rsidR="001E2A7D" w:rsidRPr="00290575" w:rsidRDefault="001E2A7D" w:rsidP="002139E3">
      <w:pPr>
        <w:pStyle w:val="Body"/>
      </w:pPr>
      <w:r w:rsidRPr="00290575">
        <w:t>The lived experience of a person with mental illness or psychological distress and their families</w:t>
      </w:r>
      <w:r w:rsidR="00F73CAB">
        <w:t>, carers</w:t>
      </w:r>
      <w:r w:rsidRPr="00290575">
        <w:t xml:space="preserve"> and supporters is to be recognised and valued as experience that makes them valuable leaders and active partners in the mental health and wellbeing service system. </w:t>
      </w:r>
    </w:p>
    <w:p w14:paraId="3B973276" w14:textId="77DEE042" w:rsidR="00A412F3" w:rsidRPr="00EA1B2C" w:rsidRDefault="00A412F3" w:rsidP="00A26366">
      <w:pPr>
        <w:pStyle w:val="Heading3"/>
      </w:pPr>
      <w:r w:rsidRPr="00EA1B2C">
        <w:t>Health needs principle</w:t>
      </w:r>
    </w:p>
    <w:p w14:paraId="3CB18480" w14:textId="2AD58D5F" w:rsidR="00944AF4" w:rsidRPr="00B77A04" w:rsidRDefault="00944AF4" w:rsidP="002139E3">
      <w:pPr>
        <w:pStyle w:val="Body"/>
      </w:pPr>
      <w:r w:rsidRPr="00B77A04">
        <w:t xml:space="preserve">The medical and other health needs of people living with mental illness or psychological distress are to be identified and responded to, including any medical or health needs that are related to the use </w:t>
      </w:r>
      <w:r w:rsidRPr="00B77A04">
        <w:lastRenderedPageBreak/>
        <w:t>of alcohol or other drugs. In doing so, the ways in which a person</w:t>
      </w:r>
      <w:r w:rsidR="00F73CAB">
        <w:t>’</w:t>
      </w:r>
      <w:r w:rsidRPr="00B77A04">
        <w:t>s physical and mental health needs may intersect should be considered.</w:t>
      </w:r>
    </w:p>
    <w:p w14:paraId="535EE6D4" w14:textId="77777777" w:rsidR="00944AF4" w:rsidRDefault="00A412F3" w:rsidP="00A26366">
      <w:pPr>
        <w:pStyle w:val="Heading3"/>
      </w:pPr>
      <w:r w:rsidRPr="00EA1B2C">
        <w:t>Dignity of risk principle</w:t>
      </w:r>
    </w:p>
    <w:p w14:paraId="1BAF3214" w14:textId="5D9D3FB0" w:rsidR="00EE336C" w:rsidRPr="00290575" w:rsidRDefault="00EE336C" w:rsidP="002139E3">
      <w:pPr>
        <w:pStyle w:val="Body"/>
      </w:pPr>
      <w:r w:rsidRPr="00290575">
        <w:t xml:space="preserve">A person receiving mental health and wellbeing services has the right to take reasonable risks to achieve personal growth, self-esteem and overall quality of life. Respecting this right in providing mental health and wellbeing services involves balancing the duty of care owed to all people experiencing mental illness or psychological distress with actions to afford each person the dignity of risk. </w:t>
      </w:r>
    </w:p>
    <w:p w14:paraId="2B0FD0A0" w14:textId="3B091648" w:rsidR="00A412F3" w:rsidRPr="00EA1B2C" w:rsidRDefault="00A412F3" w:rsidP="00A26366">
      <w:pPr>
        <w:pStyle w:val="Heading3"/>
      </w:pPr>
      <w:r w:rsidRPr="00EA1B2C">
        <w:t xml:space="preserve">Wellbeing of young people principle </w:t>
      </w:r>
    </w:p>
    <w:p w14:paraId="157BDBEF" w14:textId="77777777" w:rsidR="002525A7" w:rsidRPr="00290575" w:rsidRDefault="002525A7" w:rsidP="002139E3">
      <w:pPr>
        <w:pStyle w:val="Body"/>
      </w:pPr>
      <w:r w:rsidRPr="00290575">
        <w:t xml:space="preserve">The health, wellbeing and autonomy of children and young people receiving mental health and wellbeing services are to be promoted and supported, including by providing treatment and support in age and developmentally appropriate settings and ways. It is recognised that their lived experience makes them valuable leaders and active partners in the mental health and wellbeing service system. </w:t>
      </w:r>
    </w:p>
    <w:p w14:paraId="7724660D" w14:textId="77777777" w:rsidR="002525A7" w:rsidRDefault="00A412F3" w:rsidP="002139E3">
      <w:pPr>
        <w:pStyle w:val="Heading3"/>
      </w:pPr>
      <w:r w:rsidRPr="00EA1B2C">
        <w:t>Diversity principle</w:t>
      </w:r>
    </w:p>
    <w:p w14:paraId="7E7D4125" w14:textId="78E63B49" w:rsidR="00FA26DC" w:rsidRPr="00290575" w:rsidRDefault="00FA26DC" w:rsidP="00D771E1">
      <w:pPr>
        <w:pStyle w:val="Body"/>
      </w:pPr>
      <w:r w:rsidRPr="00290575">
        <w:t>The diverse needs and experiences of a person receiving mental health and wellbeing services are to be actively considered</w:t>
      </w:r>
      <w:r w:rsidR="007656CB">
        <w:t>,</w:t>
      </w:r>
      <w:r w:rsidRPr="00290575">
        <w:t xml:space="preserve"> noting that such diversity may be due to a variety of attributes including any of the following</w:t>
      </w:r>
      <w:r w:rsidR="00D771E1">
        <w:t>:</w:t>
      </w:r>
    </w:p>
    <w:p w14:paraId="26392D97" w14:textId="4426302E" w:rsidR="00FA26DC" w:rsidRPr="008931D3" w:rsidRDefault="00FA26DC" w:rsidP="00AD12EC">
      <w:pPr>
        <w:pStyle w:val="Bullet1"/>
      </w:pPr>
      <w:r w:rsidRPr="008931D3">
        <w:t>gender identity</w:t>
      </w:r>
    </w:p>
    <w:p w14:paraId="7A96CB26" w14:textId="621BD255" w:rsidR="00FA26DC" w:rsidRPr="008931D3" w:rsidRDefault="00FA26DC" w:rsidP="00AD12EC">
      <w:pPr>
        <w:pStyle w:val="Bullet1"/>
      </w:pPr>
      <w:r w:rsidRPr="008931D3">
        <w:t>sexual orientation</w:t>
      </w:r>
    </w:p>
    <w:p w14:paraId="05FC7415" w14:textId="045F6D8E" w:rsidR="00FA26DC" w:rsidRPr="008931D3" w:rsidRDefault="00FA26DC" w:rsidP="00AD12EC">
      <w:pPr>
        <w:pStyle w:val="Bullet1"/>
      </w:pPr>
      <w:r w:rsidRPr="008931D3">
        <w:t>sex</w:t>
      </w:r>
    </w:p>
    <w:p w14:paraId="40FE0619" w14:textId="38FA855F" w:rsidR="00FA26DC" w:rsidRPr="008931D3" w:rsidRDefault="00FA26DC" w:rsidP="00AD12EC">
      <w:pPr>
        <w:pStyle w:val="Bullet1"/>
      </w:pPr>
      <w:r w:rsidRPr="008931D3">
        <w:t>ethnicity</w:t>
      </w:r>
    </w:p>
    <w:p w14:paraId="6C3CB6F5" w14:textId="62E83295" w:rsidR="00FA26DC" w:rsidRPr="008931D3" w:rsidRDefault="00FA26DC" w:rsidP="00AD12EC">
      <w:pPr>
        <w:pStyle w:val="Bullet1"/>
      </w:pPr>
      <w:r w:rsidRPr="008931D3">
        <w:t>language</w:t>
      </w:r>
    </w:p>
    <w:p w14:paraId="7043D8F3" w14:textId="184458B1" w:rsidR="00FA26DC" w:rsidRPr="008931D3" w:rsidRDefault="00FA26DC" w:rsidP="00AD12EC">
      <w:pPr>
        <w:pStyle w:val="Bullet1"/>
      </w:pPr>
      <w:r w:rsidRPr="008931D3">
        <w:t>race</w:t>
      </w:r>
    </w:p>
    <w:p w14:paraId="75E6DD88" w14:textId="110B421E" w:rsidR="00FA26DC" w:rsidRPr="008931D3" w:rsidRDefault="00FA26DC" w:rsidP="00AD12EC">
      <w:pPr>
        <w:pStyle w:val="Bullet1"/>
      </w:pPr>
      <w:r w:rsidRPr="008931D3">
        <w:t>religion, faith or spirituality</w:t>
      </w:r>
    </w:p>
    <w:p w14:paraId="34CDA2F8" w14:textId="6B86F56E" w:rsidR="00FA26DC" w:rsidRPr="008931D3" w:rsidRDefault="00FA26DC" w:rsidP="00AD12EC">
      <w:pPr>
        <w:pStyle w:val="Bullet1"/>
      </w:pPr>
      <w:r w:rsidRPr="008931D3">
        <w:t>class</w:t>
      </w:r>
    </w:p>
    <w:p w14:paraId="4FF1C19C" w14:textId="2F1CD09C" w:rsidR="00FA26DC" w:rsidRPr="008931D3" w:rsidRDefault="00FA26DC" w:rsidP="00AD12EC">
      <w:pPr>
        <w:pStyle w:val="Bullet1"/>
      </w:pPr>
      <w:r w:rsidRPr="008931D3">
        <w:t>socioeconomic status</w:t>
      </w:r>
    </w:p>
    <w:p w14:paraId="089D5C63" w14:textId="4AF536AF" w:rsidR="00FA26DC" w:rsidRPr="008931D3" w:rsidRDefault="00FA26DC" w:rsidP="00AD12EC">
      <w:pPr>
        <w:pStyle w:val="Bullet1"/>
      </w:pPr>
      <w:r w:rsidRPr="008931D3">
        <w:t>age</w:t>
      </w:r>
    </w:p>
    <w:p w14:paraId="17EDE5DC" w14:textId="7382F5CC" w:rsidR="00FA26DC" w:rsidRPr="008931D3" w:rsidRDefault="00FA26DC" w:rsidP="00AD12EC">
      <w:pPr>
        <w:pStyle w:val="Bullet1"/>
      </w:pPr>
      <w:r w:rsidRPr="008931D3">
        <w:t>disability</w:t>
      </w:r>
    </w:p>
    <w:p w14:paraId="1C97DCA0" w14:textId="1AA01497" w:rsidR="00FA26DC" w:rsidRPr="008931D3" w:rsidRDefault="00FA26DC" w:rsidP="00AD12EC">
      <w:pPr>
        <w:pStyle w:val="Bullet1"/>
      </w:pPr>
      <w:r w:rsidRPr="008931D3">
        <w:t>neurodiversity</w:t>
      </w:r>
    </w:p>
    <w:p w14:paraId="08F7A658" w14:textId="3C168CCC" w:rsidR="00FA26DC" w:rsidRPr="008931D3" w:rsidRDefault="00FA26DC" w:rsidP="00AD12EC">
      <w:pPr>
        <w:pStyle w:val="Bullet1"/>
      </w:pPr>
      <w:r w:rsidRPr="008931D3">
        <w:t>culture</w:t>
      </w:r>
    </w:p>
    <w:p w14:paraId="1FB524A2" w14:textId="345EB623" w:rsidR="00FA26DC" w:rsidRPr="008931D3" w:rsidRDefault="00FA26DC" w:rsidP="00AD12EC">
      <w:pPr>
        <w:pStyle w:val="Bullet1"/>
      </w:pPr>
      <w:r w:rsidRPr="008931D3">
        <w:t>residency status</w:t>
      </w:r>
    </w:p>
    <w:p w14:paraId="034B2A34" w14:textId="3D13EAE0" w:rsidR="00FA26DC" w:rsidRPr="008931D3" w:rsidRDefault="00FA26DC" w:rsidP="00AD12EC">
      <w:pPr>
        <w:pStyle w:val="Bullet1"/>
      </w:pPr>
      <w:r w:rsidRPr="008931D3">
        <w:t>geographic</w:t>
      </w:r>
      <w:r w:rsidR="007656CB">
        <w:t>al</w:t>
      </w:r>
      <w:r w:rsidRPr="008931D3">
        <w:t xml:space="preserve"> disadvantage. </w:t>
      </w:r>
    </w:p>
    <w:p w14:paraId="759ECE13" w14:textId="74A13C65" w:rsidR="00FA26DC" w:rsidRPr="00290575" w:rsidRDefault="00FA26DC" w:rsidP="008931D3">
      <w:pPr>
        <w:pStyle w:val="Body"/>
        <w:spacing w:before="160" w:after="120"/>
      </w:pPr>
      <w:r w:rsidRPr="00290575">
        <w:t xml:space="preserve">Mental health and wellbeing services are to be provided in a </w:t>
      </w:r>
      <w:r w:rsidR="007656CB">
        <w:t>way</w:t>
      </w:r>
      <w:r w:rsidR="007656CB" w:rsidRPr="00290575">
        <w:t xml:space="preserve"> </w:t>
      </w:r>
      <w:r w:rsidRPr="00290575">
        <w:t>that</w:t>
      </w:r>
      <w:r w:rsidR="008931D3">
        <w:t>:</w:t>
      </w:r>
    </w:p>
    <w:p w14:paraId="6854B027" w14:textId="6896D963" w:rsidR="00FA26DC" w:rsidRPr="008931D3" w:rsidRDefault="00FA26DC" w:rsidP="00AD12EC">
      <w:pPr>
        <w:pStyle w:val="Bullet1"/>
      </w:pPr>
      <w:r w:rsidRPr="008931D3">
        <w:t xml:space="preserve">is safe, sensitive and responsive to the diverse abilities, needs and experiences of the person including any experience of trauma </w:t>
      </w:r>
    </w:p>
    <w:p w14:paraId="13F6C5AD" w14:textId="7E1E9DFA" w:rsidR="00FA26DC" w:rsidRPr="008931D3" w:rsidRDefault="00FA26DC" w:rsidP="00AD12EC">
      <w:pPr>
        <w:pStyle w:val="Bullet1"/>
      </w:pPr>
      <w:r w:rsidRPr="008931D3">
        <w:t>considers how those needs and experiences intersect with each other and with the person</w:t>
      </w:r>
      <w:r w:rsidR="007656CB">
        <w:t>’</w:t>
      </w:r>
      <w:r w:rsidRPr="008931D3">
        <w:t xml:space="preserve">s mental health. </w:t>
      </w:r>
    </w:p>
    <w:p w14:paraId="1AE5EDD0" w14:textId="77777777" w:rsidR="00B901E4" w:rsidRDefault="00A412F3" w:rsidP="002139E3">
      <w:pPr>
        <w:pStyle w:val="Heading3"/>
      </w:pPr>
      <w:r w:rsidRPr="00EA1B2C">
        <w:lastRenderedPageBreak/>
        <w:t>Gender safety principle</w:t>
      </w:r>
    </w:p>
    <w:p w14:paraId="5068CFBE" w14:textId="4984D5B7" w:rsidR="005A6991" w:rsidRPr="00290575" w:rsidRDefault="005A6991" w:rsidP="00C21BEB">
      <w:pPr>
        <w:pStyle w:val="Body"/>
      </w:pPr>
      <w:r w:rsidRPr="00290575">
        <w:t>People receiving mental health and wellbeing services may have specific safety needs or concerns based on their gender. Consideration is therefore to be given to these needs and concerns and access is to be provided to services that</w:t>
      </w:r>
      <w:r w:rsidR="00C21BEB">
        <w:t>:</w:t>
      </w:r>
      <w:r w:rsidRPr="00290575">
        <w:t xml:space="preserve"> </w:t>
      </w:r>
    </w:p>
    <w:p w14:paraId="5FF6845D" w14:textId="3BF3E407" w:rsidR="005A6991" w:rsidRPr="00C21BEB" w:rsidRDefault="005A6991" w:rsidP="00AD12EC">
      <w:pPr>
        <w:pStyle w:val="Bullet1"/>
      </w:pPr>
      <w:r w:rsidRPr="00C21BEB">
        <w:t>are safe</w:t>
      </w:r>
    </w:p>
    <w:p w14:paraId="0F40C38C" w14:textId="167FC792" w:rsidR="005A6991" w:rsidRPr="00C21BEB" w:rsidRDefault="005A6991" w:rsidP="00AD12EC">
      <w:pPr>
        <w:pStyle w:val="Bullet1"/>
      </w:pPr>
      <w:r w:rsidRPr="00C21BEB">
        <w:t>are responsive to any current experience of family violence and trauma or any history of family violence and trauma</w:t>
      </w:r>
    </w:p>
    <w:p w14:paraId="429A8A95" w14:textId="3F17FC83" w:rsidR="005A6991" w:rsidRPr="00C21BEB" w:rsidRDefault="005A6991" w:rsidP="00AD12EC">
      <w:pPr>
        <w:pStyle w:val="Bullet1"/>
      </w:pPr>
      <w:r w:rsidRPr="00C21BEB">
        <w:t>recognise and respond to the ways gender dynamics may affect service delivery, treatment and recovery</w:t>
      </w:r>
    </w:p>
    <w:p w14:paraId="3DC33CDD" w14:textId="5D55A71D" w:rsidR="005A6991" w:rsidRPr="00C21BEB" w:rsidRDefault="005A6991" w:rsidP="00AD12EC">
      <w:pPr>
        <w:pStyle w:val="Bullet1"/>
      </w:pPr>
      <w:r w:rsidRPr="00C21BEB">
        <w:t xml:space="preserve">recognise and respond to the ways in which gender intersects with other types of discrimination and disadvantage. </w:t>
      </w:r>
    </w:p>
    <w:p w14:paraId="49774F13" w14:textId="77777777" w:rsidR="000A474C" w:rsidRDefault="00A412F3" w:rsidP="002139E3">
      <w:pPr>
        <w:pStyle w:val="Heading3"/>
      </w:pPr>
      <w:r w:rsidRPr="00EA1B2C">
        <w:t>Cultural safety principle</w:t>
      </w:r>
    </w:p>
    <w:p w14:paraId="7B2E5B25" w14:textId="71357FE5" w:rsidR="00FB6AA9" w:rsidRPr="00290575" w:rsidRDefault="00FB6AA9" w:rsidP="00C21BEB">
      <w:pPr>
        <w:pStyle w:val="Body"/>
      </w:pPr>
      <w:r w:rsidRPr="00290575">
        <w:t xml:space="preserve">Mental health and wellbeing services are to be culturally safe and responsive to people of all racial, ethnic, faith-based and cultural backgrounds. </w:t>
      </w:r>
    </w:p>
    <w:p w14:paraId="3C6B9241" w14:textId="39B19115" w:rsidR="00FB6AA9" w:rsidRPr="00290575" w:rsidRDefault="00FB6AA9" w:rsidP="00C21BEB">
      <w:pPr>
        <w:pStyle w:val="Body"/>
      </w:pPr>
      <w:r w:rsidRPr="00290575">
        <w:t xml:space="preserve">Treatment and care </w:t>
      </w:r>
      <w:proofErr w:type="gramStart"/>
      <w:r w:rsidRPr="00290575">
        <w:t>is</w:t>
      </w:r>
      <w:proofErr w:type="gramEnd"/>
      <w:r w:rsidRPr="00290575">
        <w:t xml:space="preserve"> to be appropriate for, and consistent with, the cultural and spiritual beliefs and practices of a person living with mental illness or psychological distress. Regard is to be given to the views of the person</w:t>
      </w:r>
      <w:r w:rsidR="007656CB">
        <w:t>’</w:t>
      </w:r>
      <w:r w:rsidRPr="00290575">
        <w:t>s family and, to the extent that it is practicable and appropriate to do so, the views of significant members of the person</w:t>
      </w:r>
      <w:r w:rsidR="007656CB">
        <w:t>’</w:t>
      </w:r>
      <w:r w:rsidRPr="00290575">
        <w:t>s community. Regard is to be given to Aboriginal and Torres Strait Islander people</w:t>
      </w:r>
      <w:r w:rsidR="007656CB">
        <w:t>’</w:t>
      </w:r>
      <w:r w:rsidRPr="00290575">
        <w:t xml:space="preserve">s unique culture and identity, including connections to family and kinship, community, Country and waters. </w:t>
      </w:r>
    </w:p>
    <w:p w14:paraId="05D68C2D" w14:textId="6C17934A" w:rsidR="00FB6AA9" w:rsidRPr="00290575" w:rsidRDefault="00FB6AA9" w:rsidP="00C21BEB">
      <w:pPr>
        <w:pStyle w:val="Body"/>
      </w:pPr>
      <w:r w:rsidRPr="00290575">
        <w:t>Treatment and care for Aboriginal and Torres Strait Islander peoples is, to the extent that it is practicable and appropriate to do so, to be decided and given</w:t>
      </w:r>
      <w:r w:rsidR="007656CB">
        <w:t>,</w:t>
      </w:r>
      <w:r w:rsidRPr="00290575">
        <w:t xml:space="preserve"> having regard to the views of </w:t>
      </w:r>
      <w:r w:rsidR="007656CB">
        <w:t>E</w:t>
      </w:r>
      <w:r w:rsidRPr="00290575">
        <w:t xml:space="preserve">lders, traditional healers and Aboriginal and Torres Strait Islander mental health workers. </w:t>
      </w:r>
    </w:p>
    <w:p w14:paraId="5723E98F" w14:textId="5F7A74B8" w:rsidR="00FB6AA9" w:rsidRDefault="00A412F3" w:rsidP="002139E3">
      <w:pPr>
        <w:pStyle w:val="Heading3"/>
      </w:pPr>
      <w:r>
        <w:t xml:space="preserve">Wellbeing of </w:t>
      </w:r>
      <w:proofErr w:type="gramStart"/>
      <w:r>
        <w:t>depend</w:t>
      </w:r>
      <w:r w:rsidR="007656CB">
        <w:t>a</w:t>
      </w:r>
      <w:r>
        <w:t>nts</w:t>
      </w:r>
      <w:proofErr w:type="gramEnd"/>
      <w:r>
        <w:t xml:space="preserve"> principle</w:t>
      </w:r>
    </w:p>
    <w:p w14:paraId="1B27CC72" w14:textId="77DC93FA" w:rsidR="00A412F3" w:rsidRPr="00506721" w:rsidRDefault="0017008C" w:rsidP="00506721">
      <w:pPr>
        <w:pStyle w:val="Body"/>
      </w:pPr>
      <w:r w:rsidRPr="00506721">
        <w:t>The needs, wellbeing and safety of children, young people and other depend</w:t>
      </w:r>
      <w:r w:rsidR="007656CB">
        <w:t>a</w:t>
      </w:r>
      <w:r w:rsidRPr="00506721">
        <w:t>nts of people receiving mental health and wellbeing services are to be protected.</w:t>
      </w:r>
    </w:p>
    <w:p w14:paraId="4D3AF222" w14:textId="4EACE4E5" w:rsidR="004C1CE7" w:rsidRPr="00000B21" w:rsidRDefault="00241F99" w:rsidP="000E6BC0">
      <w:pPr>
        <w:pStyle w:val="Heading2"/>
        <w:rPr>
          <w:lang w:val="en-US"/>
        </w:rPr>
      </w:pPr>
      <w:bookmarkStart w:id="18" w:name="_Toc180660130"/>
      <w:r>
        <w:rPr>
          <w:lang w:val="en-US"/>
        </w:rPr>
        <w:t>Promotion of</w:t>
      </w:r>
      <w:r w:rsidR="006A7520">
        <w:rPr>
          <w:lang w:val="en-US"/>
        </w:rPr>
        <w:t xml:space="preserve"> the </w:t>
      </w:r>
      <w:r w:rsidR="000E6BC0">
        <w:rPr>
          <w:lang w:val="en-US"/>
        </w:rPr>
        <w:t>mental health and wellbeing principles</w:t>
      </w:r>
      <w:bookmarkEnd w:id="18"/>
    </w:p>
    <w:p w14:paraId="5E2602C5" w14:textId="73821076" w:rsidR="000E6BC0" w:rsidRPr="000E6BC0" w:rsidRDefault="00D50B9C" w:rsidP="00946245">
      <w:pPr>
        <w:pStyle w:val="Body"/>
        <w:rPr>
          <w:lang w:val="en-US"/>
        </w:rPr>
      </w:pPr>
      <w:r>
        <w:rPr>
          <w:lang w:val="en-US"/>
        </w:rPr>
        <w:t>The Chief Psychiatrist</w:t>
      </w:r>
      <w:r w:rsidR="00B22499">
        <w:rPr>
          <w:lang w:val="en-US"/>
        </w:rPr>
        <w:t xml:space="preserve"> </w:t>
      </w:r>
      <w:r w:rsidR="00241F99">
        <w:rPr>
          <w:lang w:val="en-US"/>
        </w:rPr>
        <w:t>promote</w:t>
      </w:r>
      <w:r w:rsidR="00D41ADF">
        <w:rPr>
          <w:lang w:val="en-US"/>
        </w:rPr>
        <w:t>s</w:t>
      </w:r>
      <w:r w:rsidR="0093646F">
        <w:rPr>
          <w:lang w:val="en-US"/>
        </w:rPr>
        <w:t xml:space="preserve"> </w:t>
      </w:r>
      <w:r w:rsidR="00B937A4">
        <w:rPr>
          <w:lang w:val="en-US"/>
        </w:rPr>
        <w:t>the</w:t>
      </w:r>
      <w:r w:rsidR="0093646F">
        <w:rPr>
          <w:lang w:val="en-US"/>
        </w:rPr>
        <w:t xml:space="preserve"> </w:t>
      </w:r>
      <w:r w:rsidR="00AA5623">
        <w:rPr>
          <w:lang w:val="en-US"/>
        </w:rPr>
        <w:t xml:space="preserve">mental health and wellbeing </w:t>
      </w:r>
      <w:r w:rsidR="0093646F">
        <w:rPr>
          <w:lang w:val="en-US"/>
        </w:rPr>
        <w:t>principles</w:t>
      </w:r>
      <w:r w:rsidR="00D41ADF">
        <w:rPr>
          <w:lang w:val="en-US"/>
        </w:rPr>
        <w:t xml:space="preserve"> </w:t>
      </w:r>
      <w:r w:rsidR="00B47093">
        <w:rPr>
          <w:lang w:val="en-US"/>
        </w:rPr>
        <w:t xml:space="preserve">in </w:t>
      </w:r>
      <w:r w:rsidR="005B4EEC">
        <w:rPr>
          <w:lang w:val="en-US"/>
        </w:rPr>
        <w:t>their</w:t>
      </w:r>
      <w:r w:rsidR="00B47093">
        <w:rPr>
          <w:lang w:val="en-US"/>
        </w:rPr>
        <w:t xml:space="preserve"> various clinical oversight and leadership</w:t>
      </w:r>
      <w:r w:rsidR="00D41ADF">
        <w:rPr>
          <w:lang w:val="en-US"/>
        </w:rPr>
        <w:t xml:space="preserve"> activities</w:t>
      </w:r>
      <w:r w:rsidR="006A5E9C">
        <w:rPr>
          <w:lang w:val="en-US"/>
        </w:rPr>
        <w:t xml:space="preserve">. </w:t>
      </w:r>
      <w:r w:rsidR="00822DE3">
        <w:rPr>
          <w:lang w:val="en-US"/>
        </w:rPr>
        <w:t>This includes ensuring</w:t>
      </w:r>
      <w:r w:rsidR="00D41ADF">
        <w:rPr>
          <w:lang w:val="en-US"/>
        </w:rPr>
        <w:t xml:space="preserve"> the </w:t>
      </w:r>
      <w:r w:rsidR="00B836CD">
        <w:rPr>
          <w:lang w:val="en-US"/>
        </w:rPr>
        <w:t xml:space="preserve">principles are embedded in </w:t>
      </w:r>
      <w:r w:rsidR="00F6476F">
        <w:rPr>
          <w:lang w:val="en-US"/>
        </w:rPr>
        <w:t xml:space="preserve">the </w:t>
      </w:r>
      <w:r w:rsidR="00785445">
        <w:rPr>
          <w:lang w:val="en-US"/>
        </w:rPr>
        <w:t>key pub</w:t>
      </w:r>
      <w:r w:rsidR="00F6476F">
        <w:rPr>
          <w:lang w:val="en-US"/>
        </w:rPr>
        <w:t>lication</w:t>
      </w:r>
      <w:r w:rsidR="001F1DD0">
        <w:rPr>
          <w:lang w:val="en-US"/>
        </w:rPr>
        <w:t>s</w:t>
      </w:r>
      <w:r w:rsidR="00D41ADF">
        <w:rPr>
          <w:lang w:val="en-US"/>
        </w:rPr>
        <w:t xml:space="preserve"> </w:t>
      </w:r>
      <w:r w:rsidR="005033BF">
        <w:rPr>
          <w:lang w:val="en-US"/>
        </w:rPr>
        <w:t xml:space="preserve">of the Chief </w:t>
      </w:r>
      <w:r w:rsidR="004121F4">
        <w:rPr>
          <w:lang w:val="en-US"/>
        </w:rPr>
        <w:t>P</w:t>
      </w:r>
      <w:r w:rsidR="005033BF">
        <w:rPr>
          <w:lang w:val="en-US"/>
        </w:rPr>
        <w:t xml:space="preserve">sychiatrist, such as revised and newly developed guidelines, </w:t>
      </w:r>
      <w:r w:rsidR="00D60C4C">
        <w:rPr>
          <w:lang w:val="en-US"/>
        </w:rPr>
        <w:t xml:space="preserve">and </w:t>
      </w:r>
      <w:r w:rsidR="00026BA7">
        <w:rPr>
          <w:lang w:val="en-US"/>
        </w:rPr>
        <w:t xml:space="preserve">alerting clinical mental health services of </w:t>
      </w:r>
      <w:r w:rsidR="0037109B">
        <w:rPr>
          <w:lang w:val="en-US"/>
        </w:rPr>
        <w:t>the obligation</w:t>
      </w:r>
      <w:r w:rsidR="00B710C4">
        <w:rPr>
          <w:lang w:val="en-US"/>
        </w:rPr>
        <w:t xml:space="preserve"> to make</w:t>
      </w:r>
      <w:r w:rsidR="00D41ADF">
        <w:rPr>
          <w:lang w:val="en-US"/>
        </w:rPr>
        <w:t xml:space="preserve"> the </w:t>
      </w:r>
      <w:r w:rsidR="00026BA7">
        <w:rPr>
          <w:lang w:val="en-US"/>
        </w:rPr>
        <w:t>principles a central part</w:t>
      </w:r>
      <w:r w:rsidR="008878D0">
        <w:rPr>
          <w:lang w:val="en-US"/>
        </w:rPr>
        <w:t xml:space="preserve"> of </w:t>
      </w:r>
      <w:r w:rsidR="00026BA7">
        <w:rPr>
          <w:lang w:val="en-US"/>
        </w:rPr>
        <w:t>their treatment and care.</w:t>
      </w:r>
    </w:p>
    <w:p w14:paraId="2D4EE82A" w14:textId="12DB9EEA" w:rsidR="00381B2F" w:rsidRPr="004E11BD" w:rsidRDefault="00381B2F" w:rsidP="004E11BD">
      <w:pPr>
        <w:pStyle w:val="Heading2"/>
        <w:tabs>
          <w:tab w:val="left" w:pos="2942"/>
        </w:tabs>
        <w:rPr>
          <w:b w:val="0"/>
          <w:bCs/>
          <w:color w:val="000000" w:themeColor="text1"/>
          <w:sz w:val="22"/>
          <w:szCs w:val="22"/>
        </w:rPr>
      </w:pPr>
      <w:bookmarkStart w:id="19" w:name="_Toc180660131"/>
      <w:r w:rsidRPr="00F04593">
        <w:rPr>
          <w:lang w:val="en-US"/>
        </w:rPr>
        <w:t>Functions of the Chief Psychiatrist</w:t>
      </w:r>
      <w:bookmarkEnd w:id="17"/>
      <w:bookmarkEnd w:id="19"/>
      <w:r w:rsidR="003B4D50">
        <w:rPr>
          <w:lang w:val="en-US"/>
        </w:rPr>
        <w:t xml:space="preserve"> </w:t>
      </w:r>
    </w:p>
    <w:p w14:paraId="472D6A53" w14:textId="2DF12172" w:rsidR="00381B2F" w:rsidRDefault="00381B2F" w:rsidP="00F63383">
      <w:pPr>
        <w:pStyle w:val="Body"/>
        <w:spacing w:before="120"/>
        <w:rPr>
          <w:lang w:val="en-US"/>
        </w:rPr>
      </w:pPr>
      <w:r w:rsidRPr="00F04593">
        <w:rPr>
          <w:lang w:val="en-US"/>
        </w:rPr>
        <w:t xml:space="preserve">The Chief Psychiatrist provides system-wide oversight of Victoria’s public mental health </w:t>
      </w:r>
      <w:r w:rsidR="004514A6">
        <w:rPr>
          <w:lang w:val="en-US"/>
        </w:rPr>
        <w:t xml:space="preserve">and wellbeing </w:t>
      </w:r>
      <w:r w:rsidRPr="00F04593">
        <w:rPr>
          <w:lang w:val="en-US"/>
        </w:rPr>
        <w:t xml:space="preserve">services. Supported by the OCP, the role promotes quality and safety in services </w:t>
      </w:r>
      <w:r w:rsidR="00751A64">
        <w:rPr>
          <w:lang w:val="en-US"/>
        </w:rPr>
        <w:t xml:space="preserve">that are </w:t>
      </w:r>
      <w:r w:rsidRPr="00F04593">
        <w:rPr>
          <w:lang w:val="en-US"/>
        </w:rPr>
        <w:t xml:space="preserve">provided to some of </w:t>
      </w:r>
      <w:r w:rsidR="000846DB">
        <w:rPr>
          <w:lang w:val="en-US"/>
        </w:rPr>
        <w:t>the state’s</w:t>
      </w:r>
      <w:r w:rsidR="000846DB" w:rsidRPr="00F04593">
        <w:rPr>
          <w:lang w:val="en-US"/>
        </w:rPr>
        <w:t xml:space="preserve"> </w:t>
      </w:r>
      <w:r w:rsidRPr="00F04593">
        <w:rPr>
          <w:lang w:val="en-US"/>
        </w:rPr>
        <w:t xml:space="preserve">most vulnerable people. The functions of the Chief Psychiatrist, as </w:t>
      </w:r>
      <w:proofErr w:type="spellStart"/>
      <w:r w:rsidRPr="00F04593">
        <w:rPr>
          <w:lang w:val="en-US"/>
        </w:rPr>
        <w:t>summarised</w:t>
      </w:r>
      <w:proofErr w:type="spellEnd"/>
      <w:r w:rsidRPr="00F04593">
        <w:rPr>
          <w:lang w:val="en-US"/>
        </w:rPr>
        <w:t xml:space="preserve"> under s </w:t>
      </w:r>
      <w:r w:rsidR="00CB2727">
        <w:rPr>
          <w:lang w:val="en-US"/>
        </w:rPr>
        <w:t>267</w:t>
      </w:r>
      <w:r w:rsidR="00CB2727" w:rsidRPr="00F04593">
        <w:rPr>
          <w:lang w:val="en-US"/>
        </w:rPr>
        <w:t xml:space="preserve"> </w:t>
      </w:r>
      <w:r w:rsidRPr="00F04593">
        <w:rPr>
          <w:lang w:val="en-US"/>
        </w:rPr>
        <w:t xml:space="preserve">of </w:t>
      </w:r>
      <w:r w:rsidR="00477392">
        <w:rPr>
          <w:lang w:val="en-US"/>
        </w:rPr>
        <w:t>the</w:t>
      </w:r>
      <w:r w:rsidR="005E58D9">
        <w:rPr>
          <w:lang w:val="en-US"/>
        </w:rPr>
        <w:t xml:space="preserve"> </w:t>
      </w:r>
      <w:r w:rsidRPr="00F04593">
        <w:rPr>
          <w:lang w:val="en-US"/>
        </w:rPr>
        <w:t xml:space="preserve">Act, </w:t>
      </w:r>
      <w:r w:rsidR="006B395F">
        <w:rPr>
          <w:lang w:val="en-US"/>
        </w:rPr>
        <w:t xml:space="preserve">are </w:t>
      </w:r>
      <w:r w:rsidRPr="00F04593">
        <w:rPr>
          <w:lang w:val="en-US"/>
        </w:rPr>
        <w:t xml:space="preserve">to: </w:t>
      </w:r>
    </w:p>
    <w:p w14:paraId="027E8F56" w14:textId="5EE7DABA" w:rsidR="006B395F" w:rsidRDefault="006B395F" w:rsidP="006B395F">
      <w:pPr>
        <w:pStyle w:val="Bullet1"/>
      </w:pPr>
      <w:r>
        <w:t>develop, publish and promote standards, guidelines and practice directions for mental health and wellbeing services</w:t>
      </w:r>
    </w:p>
    <w:p w14:paraId="4C4D897E" w14:textId="54C6FB6B" w:rsidR="006B395F" w:rsidRDefault="006B395F" w:rsidP="006B395F">
      <w:pPr>
        <w:pStyle w:val="Bullet1"/>
      </w:pPr>
      <w:r>
        <w:t xml:space="preserve">assist clinical mental health service providers to comply with the standards, guidelines and practice directions issued by the </w:t>
      </w:r>
      <w:r w:rsidR="00547457">
        <w:t>C</w:t>
      </w:r>
      <w:r>
        <w:t xml:space="preserve">hief </w:t>
      </w:r>
      <w:r w:rsidR="00547457">
        <w:t>P</w:t>
      </w:r>
      <w:r>
        <w:t>sychiatrist</w:t>
      </w:r>
    </w:p>
    <w:p w14:paraId="55A089E8" w14:textId="752D3BE4" w:rsidR="006B395F" w:rsidRDefault="006B395F" w:rsidP="006B395F">
      <w:pPr>
        <w:pStyle w:val="Bullet1"/>
      </w:pPr>
      <w:r>
        <w:lastRenderedPageBreak/>
        <w:t>assist clinical mental health service providers to develop and maintain clinical governance frameworks to improve the quality and safety of those services</w:t>
      </w:r>
    </w:p>
    <w:p w14:paraId="0AD75FAD" w14:textId="13B36564" w:rsidR="006B395F" w:rsidRDefault="006B395F" w:rsidP="006B395F">
      <w:pPr>
        <w:pStyle w:val="Bullet1"/>
      </w:pPr>
      <w:r>
        <w:t>provide clinical leadership to clinical mental health service providers in relation to their obligations under th</w:t>
      </w:r>
      <w:r w:rsidR="007D6DF1">
        <w:t>e</w:t>
      </w:r>
      <w:r>
        <w:t xml:space="preserve"> Act, the regulations and any Codes of Practice</w:t>
      </w:r>
    </w:p>
    <w:p w14:paraId="037E33E3" w14:textId="74CBBBA7" w:rsidR="006B395F" w:rsidRDefault="006B395F" w:rsidP="006B395F">
      <w:pPr>
        <w:pStyle w:val="Bullet1"/>
      </w:pPr>
      <w:r>
        <w:t>conduct clinical reviews of clinical mental health service providers</w:t>
      </w:r>
    </w:p>
    <w:p w14:paraId="1B993C3F" w14:textId="4B0B3E41" w:rsidR="006B395F" w:rsidRDefault="006B395F" w:rsidP="006B395F">
      <w:pPr>
        <w:pStyle w:val="Bullet1"/>
      </w:pPr>
      <w:r>
        <w:t>analyse data, undertake research and publish information about mental health and wellbeing services</w:t>
      </w:r>
    </w:p>
    <w:p w14:paraId="199C93C4" w14:textId="6B703E6E" w:rsidR="006B395F" w:rsidRDefault="00701C85" w:rsidP="006B395F">
      <w:pPr>
        <w:pStyle w:val="Bullet1"/>
      </w:pPr>
      <w:proofErr w:type="gramStart"/>
      <w:r>
        <w:t xml:space="preserve">prepare </w:t>
      </w:r>
      <w:r w:rsidR="006B395F">
        <w:t xml:space="preserve"> an</w:t>
      </w:r>
      <w:proofErr w:type="gramEnd"/>
      <w:r w:rsidR="006B395F">
        <w:t xml:space="preserve"> annual report</w:t>
      </w:r>
      <w:r>
        <w:t xml:space="preserve"> for publication</w:t>
      </w:r>
    </w:p>
    <w:p w14:paraId="7574C7DC" w14:textId="0BE966C6" w:rsidR="003B5B6B" w:rsidRDefault="003B5B6B" w:rsidP="003B5B6B">
      <w:pPr>
        <w:pStyle w:val="Bullet1"/>
      </w:pPr>
      <w:r>
        <w:t xml:space="preserve">conduct investigations </w:t>
      </w:r>
      <w:r w:rsidR="00BB3B12">
        <w:t xml:space="preserve">into how </w:t>
      </w:r>
      <w:r>
        <w:t>clinical mental health service providers</w:t>
      </w:r>
      <w:r w:rsidR="00BB3B12" w:rsidRPr="00BB3B12">
        <w:t xml:space="preserve"> </w:t>
      </w:r>
      <w:r w:rsidR="00BB3B12">
        <w:t>deliver mental health and wellbeing services</w:t>
      </w:r>
    </w:p>
    <w:p w14:paraId="1C242ED2" w14:textId="0F608AE1" w:rsidR="003B5B6B" w:rsidRDefault="003B5B6B" w:rsidP="003B5B6B">
      <w:pPr>
        <w:pStyle w:val="Bullet1"/>
      </w:pPr>
      <w:r>
        <w:t xml:space="preserve">give directions to clinical mental health service providers </w:t>
      </w:r>
      <w:r w:rsidR="00BB3B12">
        <w:t>for providing</w:t>
      </w:r>
      <w:r>
        <w:t xml:space="preserve"> mental health and wellbeing services</w:t>
      </w:r>
    </w:p>
    <w:p w14:paraId="1D159168" w14:textId="476E8C8E" w:rsidR="006B395F" w:rsidRDefault="003B5B6B" w:rsidP="003B5B6B">
      <w:pPr>
        <w:pStyle w:val="Bullet1"/>
      </w:pPr>
      <w:r>
        <w:t>promote cooperation and coordination between clinical mental health service providers and providers of health, disability and community support services.</w:t>
      </w:r>
    </w:p>
    <w:p w14:paraId="0362C57D" w14:textId="705D4EF2" w:rsidR="00C2527A" w:rsidRPr="004E11BD" w:rsidRDefault="00381B2F" w:rsidP="004E11BD">
      <w:pPr>
        <w:pStyle w:val="Heading2"/>
        <w:tabs>
          <w:tab w:val="left" w:pos="2942"/>
        </w:tabs>
        <w:rPr>
          <w:b w:val="0"/>
          <w:bCs/>
          <w:color w:val="000000" w:themeColor="text1"/>
          <w:sz w:val="22"/>
          <w:szCs w:val="22"/>
        </w:rPr>
      </w:pPr>
      <w:bookmarkStart w:id="20" w:name="_Toc52886236"/>
      <w:bookmarkStart w:id="21" w:name="_Toc180660132"/>
      <w:r w:rsidRPr="00F04593">
        <w:rPr>
          <w:lang w:val="en-US"/>
        </w:rPr>
        <w:t>Office of the Chief Psychiatrist and the Department of Health</w:t>
      </w:r>
      <w:bookmarkEnd w:id="20"/>
      <w:bookmarkEnd w:id="21"/>
    </w:p>
    <w:p w14:paraId="17291058" w14:textId="44B42391" w:rsidR="00381B2F" w:rsidRDefault="00381B2F" w:rsidP="1AA722E5">
      <w:pPr>
        <w:pStyle w:val="Body"/>
        <w:spacing w:before="120"/>
        <w:rPr>
          <w:lang w:val="en-US"/>
        </w:rPr>
      </w:pPr>
      <w:r w:rsidRPr="1AA722E5">
        <w:rPr>
          <w:lang w:val="en-US"/>
        </w:rPr>
        <w:t xml:space="preserve">As the </w:t>
      </w:r>
      <w:r w:rsidR="00ED205E" w:rsidRPr="1AA722E5">
        <w:rPr>
          <w:lang w:val="en-US"/>
        </w:rPr>
        <w:t>d</w:t>
      </w:r>
      <w:r w:rsidRPr="1AA722E5">
        <w:rPr>
          <w:lang w:val="en-US"/>
        </w:rPr>
        <w:t xml:space="preserve">epartment’s quality and safety arm in </w:t>
      </w:r>
      <w:r w:rsidR="00B90937" w:rsidRPr="1AA722E5">
        <w:rPr>
          <w:lang w:val="en-US"/>
        </w:rPr>
        <w:t xml:space="preserve">guiding </w:t>
      </w:r>
      <w:r w:rsidRPr="1AA722E5">
        <w:rPr>
          <w:lang w:val="en-US"/>
        </w:rPr>
        <w:t xml:space="preserve">clinical mental health services, the OCP supports the Chief Psychiatrist’s responsibility to provide clinical leadership to the sector. </w:t>
      </w:r>
    </w:p>
    <w:p w14:paraId="5234DE7A" w14:textId="1B284B7E" w:rsidR="00381B2F" w:rsidRDefault="00381B2F" w:rsidP="00F63383">
      <w:pPr>
        <w:pStyle w:val="Body"/>
        <w:spacing w:before="120"/>
        <w:rPr>
          <w:lang w:val="en-US"/>
        </w:rPr>
      </w:pPr>
      <w:r w:rsidRPr="1AA722E5">
        <w:rPr>
          <w:lang w:val="en-US"/>
        </w:rPr>
        <w:t>The OCP undertakes a wide range of activities including:</w:t>
      </w:r>
      <w:r w:rsidR="0057779F" w:rsidRPr="1AA722E5">
        <w:rPr>
          <w:lang w:val="en-US"/>
        </w:rPr>
        <w:t xml:space="preserve"> </w:t>
      </w:r>
    </w:p>
    <w:p w14:paraId="5147CB88" w14:textId="77777777" w:rsidR="00381B2F" w:rsidRPr="00F04593" w:rsidRDefault="00381B2F" w:rsidP="00563C62">
      <w:pPr>
        <w:pStyle w:val="Bullet1"/>
      </w:pPr>
      <w:r w:rsidRPr="00F04593">
        <w:t xml:space="preserve">monitoring restrictive and invasive interventions, which include seclusion, restraint and electroconvulsive treatment (ECT) </w:t>
      </w:r>
    </w:p>
    <w:p w14:paraId="4A57F8BF" w14:textId="510E5722" w:rsidR="00381B2F" w:rsidRPr="00F04593" w:rsidRDefault="00381B2F" w:rsidP="00563C62">
      <w:pPr>
        <w:pStyle w:val="Bullet1"/>
      </w:pPr>
      <w:r w:rsidRPr="00F04593">
        <w:t>responding to serious clinical incidents</w:t>
      </w:r>
      <w:r w:rsidR="0057779F">
        <w:t xml:space="preserve"> </w:t>
      </w:r>
    </w:p>
    <w:p w14:paraId="2BEE9726" w14:textId="40106ACE" w:rsidR="00381B2F" w:rsidRPr="00F04593" w:rsidRDefault="00381B2F" w:rsidP="00563C62">
      <w:pPr>
        <w:pStyle w:val="Bullet1"/>
      </w:pPr>
      <w:r w:rsidRPr="00F04593">
        <w:t>working with mental health and other service providers to improve care for individual consumers</w:t>
      </w:r>
      <w:r w:rsidR="0057779F">
        <w:t xml:space="preserve"> </w:t>
      </w:r>
    </w:p>
    <w:p w14:paraId="7B294586" w14:textId="77777777" w:rsidR="00381B2F" w:rsidRDefault="00381B2F" w:rsidP="00563C62">
      <w:pPr>
        <w:pStyle w:val="Bullet1"/>
      </w:pPr>
      <w:r w:rsidRPr="00F04593">
        <w:t>helping to embed new practices and models of care.</w:t>
      </w:r>
    </w:p>
    <w:p w14:paraId="21A52B76" w14:textId="5DB2582B" w:rsidR="004A1104" w:rsidRDefault="00CB3D7A" w:rsidP="0032154F">
      <w:pPr>
        <w:pStyle w:val="Bodyafterbullets"/>
        <w:rPr>
          <w:lang w:val="en-US"/>
        </w:rPr>
      </w:pPr>
      <w:r>
        <w:rPr>
          <w:lang w:val="en-US"/>
        </w:rPr>
        <w:t>The OCP works closely with Safer Care Victoria to</w:t>
      </w:r>
      <w:r w:rsidR="004871F0">
        <w:rPr>
          <w:lang w:val="en-US"/>
        </w:rPr>
        <w:t xml:space="preserve"> ensure mental health service</w:t>
      </w:r>
      <w:r w:rsidR="003860F8">
        <w:rPr>
          <w:lang w:val="en-US"/>
        </w:rPr>
        <w:t>s</w:t>
      </w:r>
      <w:r w:rsidR="004871F0">
        <w:rPr>
          <w:lang w:val="en-US"/>
        </w:rPr>
        <w:t xml:space="preserve"> </w:t>
      </w:r>
      <w:r w:rsidR="003860F8">
        <w:rPr>
          <w:lang w:val="en-US"/>
        </w:rPr>
        <w:t>are</w:t>
      </w:r>
      <w:r w:rsidR="004871F0">
        <w:rPr>
          <w:lang w:val="en-US"/>
        </w:rPr>
        <w:t xml:space="preserve"> safe and of a high standard. </w:t>
      </w:r>
      <w:r w:rsidR="00017299">
        <w:rPr>
          <w:lang w:val="en-US"/>
        </w:rPr>
        <w:t xml:space="preserve">In the new mental health and wellbeing system recommended by the Royal Commission, quality and safety governance is </w:t>
      </w:r>
      <w:r w:rsidR="00FC032F">
        <w:rPr>
          <w:lang w:val="en-US"/>
        </w:rPr>
        <w:t>a</w:t>
      </w:r>
      <w:r w:rsidR="00017299">
        <w:rPr>
          <w:lang w:val="en-US"/>
        </w:rPr>
        <w:t xml:space="preserve"> responsibility </w:t>
      </w:r>
      <w:r w:rsidR="00FC032F">
        <w:rPr>
          <w:lang w:val="en-US"/>
        </w:rPr>
        <w:t xml:space="preserve">shared </w:t>
      </w:r>
      <w:r w:rsidR="00017299">
        <w:rPr>
          <w:lang w:val="en-US"/>
        </w:rPr>
        <w:t xml:space="preserve">between </w:t>
      </w:r>
      <w:r w:rsidR="00FC032F">
        <w:rPr>
          <w:lang w:val="en-US"/>
        </w:rPr>
        <w:t>each body</w:t>
      </w:r>
      <w:r w:rsidR="003860F8">
        <w:rPr>
          <w:lang w:val="en-US"/>
        </w:rPr>
        <w:t>.</w:t>
      </w:r>
      <w:r w:rsidR="00FC032F">
        <w:rPr>
          <w:lang w:val="en-US"/>
        </w:rPr>
        <w:t xml:space="preserve"> </w:t>
      </w:r>
      <w:r w:rsidR="003860F8">
        <w:rPr>
          <w:lang w:val="en-US"/>
        </w:rPr>
        <w:t>T</w:t>
      </w:r>
      <w:r w:rsidR="00FC032F">
        <w:rPr>
          <w:lang w:val="en-US"/>
        </w:rPr>
        <w:t xml:space="preserve">he </w:t>
      </w:r>
      <w:r w:rsidR="0040158E">
        <w:rPr>
          <w:lang w:val="en-US"/>
        </w:rPr>
        <w:t>OCP undertak</w:t>
      </w:r>
      <w:r w:rsidR="002A2773">
        <w:rPr>
          <w:lang w:val="en-US"/>
        </w:rPr>
        <w:t>es</w:t>
      </w:r>
      <w:r w:rsidR="0040158E">
        <w:rPr>
          <w:lang w:val="en-US"/>
        </w:rPr>
        <w:t xml:space="preserve"> </w:t>
      </w:r>
      <w:r w:rsidR="00507A5E">
        <w:rPr>
          <w:lang w:val="en-US"/>
        </w:rPr>
        <w:t xml:space="preserve">clinical leadership and </w:t>
      </w:r>
      <w:r w:rsidR="00FC032F">
        <w:rPr>
          <w:lang w:val="en-US"/>
        </w:rPr>
        <w:t xml:space="preserve">oversight activities </w:t>
      </w:r>
      <w:r w:rsidR="0040158E">
        <w:rPr>
          <w:lang w:val="en-US"/>
        </w:rPr>
        <w:t xml:space="preserve">alongside </w:t>
      </w:r>
      <w:r w:rsidR="00294135">
        <w:rPr>
          <w:lang w:val="en-US"/>
        </w:rPr>
        <w:t xml:space="preserve">Safer Care Victoria’s </w:t>
      </w:r>
      <w:r w:rsidR="00FC032F">
        <w:rPr>
          <w:lang w:val="en-US"/>
        </w:rPr>
        <w:t xml:space="preserve">training </w:t>
      </w:r>
      <w:r w:rsidR="000A559C">
        <w:rPr>
          <w:lang w:val="en-US"/>
        </w:rPr>
        <w:t xml:space="preserve">and education activities </w:t>
      </w:r>
      <w:r w:rsidR="00FC032F">
        <w:rPr>
          <w:lang w:val="en-US"/>
        </w:rPr>
        <w:t xml:space="preserve">to </w:t>
      </w:r>
      <w:r w:rsidR="00FA2B04">
        <w:rPr>
          <w:lang w:val="en-US"/>
        </w:rPr>
        <w:t>embed</w:t>
      </w:r>
      <w:r w:rsidR="00FC032F">
        <w:rPr>
          <w:lang w:val="en-US"/>
        </w:rPr>
        <w:t xml:space="preserve"> contemporary approaches to treatment and care</w:t>
      </w:r>
      <w:r w:rsidR="00017299">
        <w:rPr>
          <w:lang w:val="en-US"/>
        </w:rPr>
        <w:t xml:space="preserve">. </w:t>
      </w:r>
      <w:r w:rsidR="008C4D68">
        <w:rPr>
          <w:lang w:val="en-US"/>
        </w:rPr>
        <w:t xml:space="preserve">Regular meetings </w:t>
      </w:r>
      <w:r w:rsidR="00CA5340">
        <w:rPr>
          <w:lang w:val="en-US"/>
        </w:rPr>
        <w:t>with Safer Care Victoria</w:t>
      </w:r>
      <w:r w:rsidR="008B2E78">
        <w:rPr>
          <w:lang w:val="en-US"/>
        </w:rPr>
        <w:t xml:space="preserve"> </w:t>
      </w:r>
      <w:r w:rsidR="003860F8">
        <w:rPr>
          <w:lang w:val="en-US"/>
        </w:rPr>
        <w:t xml:space="preserve">help </w:t>
      </w:r>
      <w:r w:rsidR="00E777D3">
        <w:rPr>
          <w:lang w:val="en-US"/>
        </w:rPr>
        <w:t>align</w:t>
      </w:r>
      <w:r w:rsidR="00C85EAC">
        <w:rPr>
          <w:lang w:val="en-US"/>
        </w:rPr>
        <w:t xml:space="preserve"> these</w:t>
      </w:r>
      <w:r w:rsidR="00017299">
        <w:rPr>
          <w:lang w:val="en-US"/>
        </w:rPr>
        <w:t xml:space="preserve"> </w:t>
      </w:r>
      <w:r w:rsidR="00FC032F">
        <w:rPr>
          <w:lang w:val="en-US"/>
        </w:rPr>
        <w:t>activities</w:t>
      </w:r>
      <w:r w:rsidR="00017299">
        <w:rPr>
          <w:lang w:val="en-US"/>
        </w:rPr>
        <w:t xml:space="preserve"> </w:t>
      </w:r>
      <w:r w:rsidR="00FA2B04">
        <w:rPr>
          <w:lang w:val="en-US"/>
        </w:rPr>
        <w:t>and ensure mental health governance is integrated and effective.</w:t>
      </w:r>
    </w:p>
    <w:p w14:paraId="14A0CAAB" w14:textId="6D3C3825" w:rsidR="00E3273B" w:rsidRDefault="004070CE" w:rsidP="00D027A0">
      <w:pPr>
        <w:pStyle w:val="Heading2"/>
        <w:rPr>
          <w:lang w:val="en-US"/>
        </w:rPr>
      </w:pPr>
      <w:bookmarkStart w:id="22" w:name="_Toc180660133"/>
      <w:r>
        <w:rPr>
          <w:lang w:val="en-US"/>
        </w:rPr>
        <w:t xml:space="preserve">Clinical </w:t>
      </w:r>
      <w:r w:rsidR="00D027A0">
        <w:rPr>
          <w:lang w:val="en-US"/>
        </w:rPr>
        <w:t>l</w:t>
      </w:r>
      <w:r>
        <w:rPr>
          <w:lang w:val="en-US"/>
        </w:rPr>
        <w:t xml:space="preserve">eadership </w:t>
      </w:r>
      <w:r w:rsidR="00D027A0">
        <w:rPr>
          <w:lang w:val="en-US"/>
        </w:rPr>
        <w:t>a</w:t>
      </w:r>
      <w:r>
        <w:rPr>
          <w:lang w:val="en-US"/>
        </w:rPr>
        <w:t>ctivities in 202</w:t>
      </w:r>
      <w:r w:rsidR="008C661D">
        <w:rPr>
          <w:lang w:val="en-US"/>
        </w:rPr>
        <w:t>3</w:t>
      </w:r>
      <w:r w:rsidR="00D7458D">
        <w:rPr>
          <w:lang w:val="en-US"/>
        </w:rPr>
        <w:t>–</w:t>
      </w:r>
      <w:r w:rsidR="00D027A0">
        <w:rPr>
          <w:lang w:val="en-US"/>
        </w:rPr>
        <w:t>2</w:t>
      </w:r>
      <w:r w:rsidR="008C661D">
        <w:rPr>
          <w:lang w:val="en-US"/>
        </w:rPr>
        <w:t>4</w:t>
      </w:r>
      <w:bookmarkEnd w:id="22"/>
    </w:p>
    <w:p w14:paraId="2BBACB31" w14:textId="12A57F5B" w:rsidR="00E70A64" w:rsidRPr="00F81B48" w:rsidRDefault="008563BC" w:rsidP="00434B70">
      <w:pPr>
        <w:pStyle w:val="Body"/>
        <w:rPr>
          <w:lang w:val="en-US"/>
        </w:rPr>
      </w:pPr>
      <w:r w:rsidRPr="00D310E4">
        <w:rPr>
          <w:lang w:val="en-US"/>
        </w:rPr>
        <w:t xml:space="preserve">In the </w:t>
      </w:r>
      <w:r w:rsidR="00E70A64" w:rsidRPr="00D310E4">
        <w:rPr>
          <w:lang w:val="en-US"/>
        </w:rPr>
        <w:t>202</w:t>
      </w:r>
      <w:r w:rsidR="00D316EC" w:rsidRPr="00D310E4">
        <w:rPr>
          <w:lang w:val="en-US"/>
        </w:rPr>
        <w:t>3</w:t>
      </w:r>
      <w:r w:rsidR="00D7458D" w:rsidRPr="00D310E4">
        <w:rPr>
          <w:lang w:val="en-US"/>
        </w:rPr>
        <w:t>–</w:t>
      </w:r>
      <w:r w:rsidR="00E70A64" w:rsidRPr="00D310E4">
        <w:rPr>
          <w:lang w:val="en-US"/>
        </w:rPr>
        <w:t>2</w:t>
      </w:r>
      <w:r w:rsidR="00D316EC" w:rsidRPr="00D310E4">
        <w:rPr>
          <w:lang w:val="en-US"/>
        </w:rPr>
        <w:t>4</w:t>
      </w:r>
      <w:r w:rsidR="00E70A64" w:rsidRPr="00D310E4">
        <w:rPr>
          <w:lang w:val="en-US"/>
        </w:rPr>
        <w:t xml:space="preserve"> financial year, the OCP carried out the following clinical leadership activities</w:t>
      </w:r>
      <w:r w:rsidR="00E70A64" w:rsidRPr="00F81B48" w:rsidDel="00B802A7">
        <w:rPr>
          <w:lang w:val="en-US"/>
        </w:rPr>
        <w:t>:</w:t>
      </w:r>
    </w:p>
    <w:p w14:paraId="726B1FB7" w14:textId="25A39E58" w:rsidR="002A2419" w:rsidRDefault="00C66A87" w:rsidP="00AD12EC">
      <w:pPr>
        <w:pStyle w:val="Bullet1"/>
        <w:rPr>
          <w:lang w:val="en-US"/>
        </w:rPr>
      </w:pPr>
      <w:r>
        <w:rPr>
          <w:lang w:val="en-US"/>
        </w:rPr>
        <w:t xml:space="preserve">implemented </w:t>
      </w:r>
      <w:r w:rsidR="00CA46E0">
        <w:rPr>
          <w:lang w:val="en-US"/>
        </w:rPr>
        <w:t>components</w:t>
      </w:r>
      <w:r w:rsidR="00CA6F2D">
        <w:rPr>
          <w:lang w:val="en-US"/>
        </w:rPr>
        <w:t xml:space="preserve"> of the Act</w:t>
      </w:r>
      <w:r w:rsidR="00551C0C">
        <w:rPr>
          <w:lang w:val="en-US"/>
        </w:rPr>
        <w:t xml:space="preserve"> relevant to the Chief Psychiatrist role</w:t>
      </w:r>
      <w:r w:rsidR="00B07B10">
        <w:rPr>
          <w:lang w:val="en-US"/>
        </w:rPr>
        <w:t>,</w:t>
      </w:r>
      <w:r w:rsidR="005E1C87">
        <w:rPr>
          <w:lang w:val="en-US"/>
        </w:rPr>
        <w:t xml:space="preserve"> </w:t>
      </w:r>
      <w:r w:rsidR="00DD6837">
        <w:rPr>
          <w:lang w:val="en-US"/>
        </w:rPr>
        <w:t>most notably</w:t>
      </w:r>
      <w:r w:rsidR="00021148">
        <w:rPr>
          <w:lang w:val="en-US"/>
        </w:rPr>
        <w:t>,</w:t>
      </w:r>
      <w:r w:rsidR="005E1C87">
        <w:rPr>
          <w:lang w:val="en-US"/>
        </w:rPr>
        <w:t xml:space="preserve"> </w:t>
      </w:r>
      <w:r w:rsidR="006A3411">
        <w:rPr>
          <w:lang w:val="en-US"/>
        </w:rPr>
        <w:t>expan</w:t>
      </w:r>
      <w:r w:rsidR="00835847">
        <w:rPr>
          <w:lang w:val="en-US"/>
        </w:rPr>
        <w:t>ding</w:t>
      </w:r>
      <w:r w:rsidR="006A3411">
        <w:rPr>
          <w:lang w:val="en-US"/>
        </w:rPr>
        <w:t xml:space="preserve"> the </w:t>
      </w:r>
      <w:r w:rsidR="00072ED9">
        <w:rPr>
          <w:lang w:val="en-US"/>
        </w:rPr>
        <w:t>role’s jurisdiction to encompass</w:t>
      </w:r>
      <w:r w:rsidR="005830AC">
        <w:rPr>
          <w:lang w:val="en-US"/>
        </w:rPr>
        <w:t xml:space="preserve"> mental health service</w:t>
      </w:r>
      <w:r w:rsidR="00BB3B12">
        <w:rPr>
          <w:lang w:val="en-US"/>
        </w:rPr>
        <w:t>s</w:t>
      </w:r>
      <w:r w:rsidR="005830AC">
        <w:rPr>
          <w:lang w:val="en-US"/>
        </w:rPr>
        <w:t xml:space="preserve"> in </w:t>
      </w:r>
      <w:r w:rsidR="000B4C42">
        <w:rPr>
          <w:lang w:val="en-US"/>
        </w:rPr>
        <w:t>custodial sett</w:t>
      </w:r>
      <w:r w:rsidR="005830AC">
        <w:rPr>
          <w:lang w:val="en-US"/>
        </w:rPr>
        <w:t xml:space="preserve">ings and </w:t>
      </w:r>
      <w:r w:rsidR="006256B6">
        <w:rPr>
          <w:lang w:val="en-US"/>
        </w:rPr>
        <w:t>the use of chemical restraint</w:t>
      </w:r>
    </w:p>
    <w:p w14:paraId="35109284" w14:textId="0A3A9FD5" w:rsidR="00A16A76" w:rsidRDefault="00965ABA" w:rsidP="00AD12EC">
      <w:pPr>
        <w:pStyle w:val="Bullet1"/>
        <w:rPr>
          <w:lang w:val="en-US"/>
        </w:rPr>
      </w:pPr>
      <w:r>
        <w:rPr>
          <w:lang w:val="en-US"/>
        </w:rPr>
        <w:t>s</w:t>
      </w:r>
      <w:r w:rsidR="008273F5">
        <w:rPr>
          <w:lang w:val="en-US"/>
        </w:rPr>
        <w:t>upport</w:t>
      </w:r>
      <w:r w:rsidR="003F6B58">
        <w:rPr>
          <w:lang w:val="en-US"/>
        </w:rPr>
        <w:t>ed</w:t>
      </w:r>
      <w:r w:rsidR="008273F5">
        <w:rPr>
          <w:lang w:val="en-US"/>
        </w:rPr>
        <w:t xml:space="preserve"> the</w:t>
      </w:r>
      <w:r>
        <w:rPr>
          <w:lang w:val="en-US"/>
        </w:rPr>
        <w:t xml:space="preserve"> </w:t>
      </w:r>
      <w:r w:rsidR="00EC7056">
        <w:rPr>
          <w:lang w:val="en-US"/>
        </w:rPr>
        <w:t xml:space="preserve">mental health and wellbeing sector transition to the </w:t>
      </w:r>
      <w:r w:rsidR="00F442FC">
        <w:rPr>
          <w:lang w:val="en-US"/>
        </w:rPr>
        <w:t>Act</w:t>
      </w:r>
      <w:r w:rsidR="00017193">
        <w:rPr>
          <w:lang w:val="en-US"/>
        </w:rPr>
        <w:t xml:space="preserve"> </w:t>
      </w:r>
      <w:r w:rsidR="00590848">
        <w:rPr>
          <w:lang w:val="en-US"/>
        </w:rPr>
        <w:t>by</w:t>
      </w:r>
      <w:r w:rsidR="00A16A76">
        <w:rPr>
          <w:lang w:val="en-US"/>
        </w:rPr>
        <w:t>:</w:t>
      </w:r>
    </w:p>
    <w:p w14:paraId="7836D42F" w14:textId="326010A2" w:rsidR="00A16A76" w:rsidRDefault="002569B2" w:rsidP="00021148">
      <w:pPr>
        <w:pStyle w:val="Bullet2"/>
        <w:ind w:left="540"/>
      </w:pPr>
      <w:r w:rsidRPr="002569B2">
        <w:t>conven</w:t>
      </w:r>
      <w:r>
        <w:t>ing</w:t>
      </w:r>
      <w:r w:rsidRPr="002569B2">
        <w:t xml:space="preserve"> an expert advisory group of health professionals and people with lived experience of mental illness </w:t>
      </w:r>
      <w:r w:rsidR="00FF7EC2">
        <w:t xml:space="preserve">or psychological distress </w:t>
      </w:r>
      <w:r w:rsidRPr="002569B2">
        <w:t>to</w:t>
      </w:r>
      <w:r>
        <w:t xml:space="preserve"> </w:t>
      </w:r>
      <w:r w:rsidR="00F63025">
        <w:t>prepare</w:t>
      </w:r>
      <w:r w:rsidR="007B216E">
        <w:t xml:space="preserve"> emergency departments and urgent care </w:t>
      </w:r>
      <w:proofErr w:type="spellStart"/>
      <w:r w:rsidR="006C61C2">
        <w:t>centr</w:t>
      </w:r>
      <w:r w:rsidR="00835847">
        <w:t>e</w:t>
      </w:r>
      <w:r w:rsidR="006C61C2">
        <w:t>s</w:t>
      </w:r>
      <w:proofErr w:type="spellEnd"/>
      <w:r w:rsidR="007B216E">
        <w:t xml:space="preserve"> </w:t>
      </w:r>
      <w:r w:rsidR="006C61C2">
        <w:t xml:space="preserve">to comply with new legislative requirements on </w:t>
      </w:r>
      <w:r w:rsidR="00C43165">
        <w:t xml:space="preserve">using </w:t>
      </w:r>
      <w:r w:rsidR="006C61C2">
        <w:t>restrictive interventions</w:t>
      </w:r>
    </w:p>
    <w:p w14:paraId="622CD79D" w14:textId="6F120A32" w:rsidR="00AF39C3" w:rsidRDefault="00E6288E" w:rsidP="00021148">
      <w:pPr>
        <w:pStyle w:val="Bullet2"/>
        <w:ind w:left="540"/>
      </w:pPr>
      <w:r>
        <w:t xml:space="preserve">briefing </w:t>
      </w:r>
      <w:r w:rsidR="00CC28AE">
        <w:t xml:space="preserve">Act Implementation Leads </w:t>
      </w:r>
      <w:r w:rsidR="00B7119F">
        <w:t xml:space="preserve">working </w:t>
      </w:r>
      <w:r w:rsidR="00C43165">
        <w:t xml:space="preserve">directly </w:t>
      </w:r>
      <w:r w:rsidR="00B7119F">
        <w:t xml:space="preserve">with services </w:t>
      </w:r>
      <w:r w:rsidR="000A5504">
        <w:t>to establish operational readiness</w:t>
      </w:r>
    </w:p>
    <w:p w14:paraId="2D58A6A8" w14:textId="2318B46A" w:rsidR="00792DE8" w:rsidRPr="00A16A76" w:rsidRDefault="00A16A76" w:rsidP="00021148">
      <w:pPr>
        <w:pStyle w:val="Bullet2"/>
        <w:ind w:left="540"/>
      </w:pPr>
      <w:r>
        <w:t>d</w:t>
      </w:r>
      <w:r w:rsidR="00671E7C" w:rsidRPr="00A16A76">
        <w:t>eveloping fact sheets and an e</w:t>
      </w:r>
      <w:r w:rsidR="00C43165">
        <w:t>-l</w:t>
      </w:r>
      <w:r w:rsidR="00671E7C" w:rsidRPr="00A16A76">
        <w:t>earning modul</w:t>
      </w:r>
      <w:r w:rsidR="00C240B3">
        <w:t>e</w:t>
      </w:r>
      <w:r w:rsidR="00B17DEB">
        <w:t xml:space="preserve"> explaining </w:t>
      </w:r>
      <w:r w:rsidR="005048FB">
        <w:t>rights and obligations</w:t>
      </w:r>
      <w:r w:rsidR="003B0F06">
        <w:t xml:space="preserve"> relevant to </w:t>
      </w:r>
      <w:r w:rsidR="00BB3B12">
        <w:t xml:space="preserve">providing </w:t>
      </w:r>
      <w:r w:rsidR="003B0F06">
        <w:t xml:space="preserve">mental </w:t>
      </w:r>
      <w:r w:rsidR="00DA46A7">
        <w:t>clinical service</w:t>
      </w:r>
      <w:r w:rsidR="00BB3B12">
        <w:t>s</w:t>
      </w:r>
    </w:p>
    <w:p w14:paraId="21097860" w14:textId="5E83B4A8" w:rsidR="007449F9" w:rsidRDefault="0088212A" w:rsidP="00AD12EC">
      <w:pPr>
        <w:pStyle w:val="Bullet1"/>
        <w:rPr>
          <w:lang w:val="en-US"/>
        </w:rPr>
      </w:pPr>
      <w:r>
        <w:rPr>
          <w:lang w:val="en-US"/>
        </w:rPr>
        <w:lastRenderedPageBreak/>
        <w:t>consolidated and improved</w:t>
      </w:r>
      <w:r w:rsidR="007449F9" w:rsidRPr="00F81B48">
        <w:rPr>
          <w:lang w:val="en-US"/>
        </w:rPr>
        <w:t xml:space="preserve"> oversight arrangements for sexual safety in clinical mental health services, including protocols for reporting sexual safety incidents and a clinical guideline on sexual safety</w:t>
      </w:r>
    </w:p>
    <w:p w14:paraId="000CF402" w14:textId="729CFB39" w:rsidR="002D604B" w:rsidRDefault="00EB682F" w:rsidP="00AD12EC">
      <w:pPr>
        <w:pStyle w:val="Bullet1"/>
        <w:rPr>
          <w:lang w:val="en-US"/>
        </w:rPr>
      </w:pPr>
      <w:r>
        <w:rPr>
          <w:lang w:val="en-US"/>
        </w:rPr>
        <w:t>p</w:t>
      </w:r>
      <w:r w:rsidR="002D604B" w:rsidRPr="002D604B">
        <w:rPr>
          <w:lang w:val="en-US"/>
        </w:rPr>
        <w:t>rovided clinical advice into Department</w:t>
      </w:r>
      <w:r w:rsidR="002D604B">
        <w:rPr>
          <w:lang w:val="en-US"/>
        </w:rPr>
        <w:t xml:space="preserve"> of Health</w:t>
      </w:r>
      <w:r w:rsidR="002D604B" w:rsidRPr="002D604B">
        <w:rPr>
          <w:lang w:val="en-US"/>
        </w:rPr>
        <w:t xml:space="preserve"> activities </w:t>
      </w:r>
      <w:r w:rsidR="002D604B">
        <w:rPr>
          <w:lang w:val="en-US"/>
        </w:rPr>
        <w:t>to</w:t>
      </w:r>
      <w:r w:rsidR="002D604B" w:rsidRPr="002D604B">
        <w:rPr>
          <w:lang w:val="en-US"/>
        </w:rPr>
        <w:t xml:space="preserve"> guid</w:t>
      </w:r>
      <w:r w:rsidR="002D604B">
        <w:rPr>
          <w:lang w:val="en-US"/>
        </w:rPr>
        <w:t>e</w:t>
      </w:r>
      <w:r w:rsidR="002D604B" w:rsidRPr="002D604B">
        <w:rPr>
          <w:lang w:val="en-US"/>
        </w:rPr>
        <w:t xml:space="preserve"> the transformation of the mental health service sector in response to the </w:t>
      </w:r>
      <w:r w:rsidR="002D604B">
        <w:rPr>
          <w:lang w:val="en-US"/>
        </w:rPr>
        <w:t>recommendation</w:t>
      </w:r>
      <w:r w:rsidR="00897982">
        <w:rPr>
          <w:lang w:val="en-US"/>
        </w:rPr>
        <w:t xml:space="preserve">s of the </w:t>
      </w:r>
      <w:r w:rsidR="002D604B" w:rsidRPr="002D604B">
        <w:rPr>
          <w:lang w:val="en-US"/>
        </w:rPr>
        <w:t>Royal Commission</w:t>
      </w:r>
    </w:p>
    <w:p w14:paraId="160ED749" w14:textId="5F8570BF" w:rsidR="000E14B3" w:rsidRDefault="008158AD" w:rsidP="00AD12EC">
      <w:pPr>
        <w:pStyle w:val="Bullet1"/>
        <w:rPr>
          <w:lang w:val="en-US"/>
        </w:rPr>
      </w:pPr>
      <w:r w:rsidRPr="1AA722E5">
        <w:rPr>
          <w:lang w:val="en-US"/>
        </w:rPr>
        <w:t>r</w:t>
      </w:r>
      <w:r w:rsidR="00115378" w:rsidRPr="1AA722E5">
        <w:rPr>
          <w:lang w:val="en-US"/>
        </w:rPr>
        <w:t>evise</w:t>
      </w:r>
      <w:r w:rsidR="00162A71" w:rsidRPr="1AA722E5">
        <w:rPr>
          <w:lang w:val="en-US"/>
        </w:rPr>
        <w:t>d</w:t>
      </w:r>
      <w:r w:rsidR="00115378" w:rsidRPr="1AA722E5">
        <w:rPr>
          <w:lang w:val="en-US"/>
        </w:rPr>
        <w:t xml:space="preserve"> existing</w:t>
      </w:r>
      <w:r w:rsidR="00B220BB" w:rsidRPr="1AA722E5">
        <w:rPr>
          <w:lang w:val="en-US"/>
        </w:rPr>
        <w:t xml:space="preserve"> </w:t>
      </w:r>
      <w:r w:rsidR="00E512B5" w:rsidRPr="1AA722E5">
        <w:rPr>
          <w:lang w:val="en-US"/>
        </w:rPr>
        <w:t>Chief Psychiatrist</w:t>
      </w:r>
      <w:r w:rsidR="00115378" w:rsidRPr="1AA722E5">
        <w:rPr>
          <w:lang w:val="en-US"/>
        </w:rPr>
        <w:t xml:space="preserve"> guidelines and develop</w:t>
      </w:r>
      <w:r w:rsidR="00162A71" w:rsidRPr="1AA722E5">
        <w:rPr>
          <w:lang w:val="en-US"/>
        </w:rPr>
        <w:t>ed</w:t>
      </w:r>
      <w:r w:rsidR="00115378" w:rsidRPr="1AA722E5">
        <w:rPr>
          <w:lang w:val="en-US"/>
        </w:rPr>
        <w:t xml:space="preserve"> new </w:t>
      </w:r>
      <w:r w:rsidR="003320E6" w:rsidRPr="1AA722E5">
        <w:rPr>
          <w:lang w:val="en-US"/>
        </w:rPr>
        <w:t>one</w:t>
      </w:r>
      <w:r w:rsidR="00676A72" w:rsidRPr="1AA722E5">
        <w:rPr>
          <w:lang w:val="en-US"/>
        </w:rPr>
        <w:t>s to embody contemporary understanding</w:t>
      </w:r>
      <w:r w:rsidR="00FA4A75" w:rsidRPr="1AA722E5">
        <w:rPr>
          <w:lang w:val="en-US"/>
        </w:rPr>
        <w:t>s</w:t>
      </w:r>
      <w:r w:rsidR="00676A72" w:rsidRPr="1AA722E5">
        <w:rPr>
          <w:lang w:val="en-US"/>
        </w:rPr>
        <w:t xml:space="preserve"> of clinical best practice</w:t>
      </w:r>
      <w:r w:rsidR="00EB682F" w:rsidRPr="1AA722E5">
        <w:rPr>
          <w:lang w:val="en-US"/>
        </w:rPr>
        <w:t xml:space="preserve"> – t</w:t>
      </w:r>
      <w:r w:rsidR="00676A72" w:rsidRPr="1AA722E5">
        <w:rPr>
          <w:lang w:val="en-US"/>
        </w:rPr>
        <w:t>his include</w:t>
      </w:r>
      <w:r w:rsidR="00C85AF7" w:rsidRPr="1AA722E5">
        <w:rPr>
          <w:lang w:val="en-US"/>
        </w:rPr>
        <w:t>d</w:t>
      </w:r>
      <w:r w:rsidR="00676A72" w:rsidRPr="1AA722E5">
        <w:rPr>
          <w:lang w:val="en-US"/>
        </w:rPr>
        <w:t xml:space="preserve"> </w:t>
      </w:r>
      <w:r w:rsidR="00162A71" w:rsidRPr="1AA722E5">
        <w:rPr>
          <w:lang w:val="en-US"/>
        </w:rPr>
        <w:t xml:space="preserve">publishing </w:t>
      </w:r>
      <w:r w:rsidR="00A465D5" w:rsidRPr="1AA722E5">
        <w:rPr>
          <w:lang w:val="en-US"/>
        </w:rPr>
        <w:t xml:space="preserve">a new guideline on restrictive interventions </w:t>
      </w:r>
      <w:r w:rsidR="00C85AF7" w:rsidRPr="1AA722E5">
        <w:rPr>
          <w:lang w:val="en-US"/>
        </w:rPr>
        <w:t>that</w:t>
      </w:r>
      <w:r w:rsidR="00A465D5" w:rsidRPr="1AA722E5">
        <w:rPr>
          <w:lang w:val="en-US"/>
        </w:rPr>
        <w:t xml:space="preserve"> </w:t>
      </w:r>
      <w:r w:rsidR="00FA4A75" w:rsidRPr="1AA722E5">
        <w:rPr>
          <w:lang w:val="en-US"/>
        </w:rPr>
        <w:t>outlines compliance obligations and best practice advice on us</w:t>
      </w:r>
      <w:r w:rsidR="00EB682F" w:rsidRPr="1AA722E5">
        <w:rPr>
          <w:lang w:val="en-US"/>
        </w:rPr>
        <w:t>ing</w:t>
      </w:r>
      <w:r w:rsidR="00FA4A75" w:rsidRPr="1AA722E5">
        <w:rPr>
          <w:lang w:val="en-US"/>
        </w:rPr>
        <w:t xml:space="preserve"> </w:t>
      </w:r>
      <w:r w:rsidR="00657503" w:rsidRPr="1AA722E5">
        <w:rPr>
          <w:lang w:val="en-US"/>
        </w:rPr>
        <w:t>chemical restraint</w:t>
      </w:r>
      <w:r w:rsidR="00162A71" w:rsidRPr="1AA722E5">
        <w:rPr>
          <w:lang w:val="en-US"/>
        </w:rPr>
        <w:t xml:space="preserve"> </w:t>
      </w:r>
      <w:r w:rsidR="00BB74AA" w:rsidRPr="1AA722E5">
        <w:rPr>
          <w:lang w:val="en-US"/>
        </w:rPr>
        <w:t xml:space="preserve">and </w:t>
      </w:r>
      <w:r w:rsidR="00C06D16" w:rsidRPr="1AA722E5">
        <w:rPr>
          <w:lang w:val="en-US"/>
        </w:rPr>
        <w:t xml:space="preserve">a revised </w:t>
      </w:r>
      <w:r w:rsidR="00BB74AA" w:rsidRPr="1AA722E5">
        <w:rPr>
          <w:lang w:val="en-US"/>
        </w:rPr>
        <w:t>sexual safety</w:t>
      </w:r>
      <w:r w:rsidR="4C765CE9" w:rsidRPr="1AA722E5">
        <w:rPr>
          <w:lang w:val="en-US"/>
        </w:rPr>
        <w:t xml:space="preserve"> guideline</w:t>
      </w:r>
      <w:r w:rsidR="00BB74AA" w:rsidRPr="1AA722E5">
        <w:rPr>
          <w:lang w:val="en-US"/>
        </w:rPr>
        <w:t xml:space="preserve"> </w:t>
      </w:r>
      <w:r w:rsidR="007448FB" w:rsidRPr="1AA722E5">
        <w:rPr>
          <w:lang w:val="en-US"/>
        </w:rPr>
        <w:t>that establishes minimum standards for prevention strategies and responses to sexual safety incidents</w:t>
      </w:r>
    </w:p>
    <w:p w14:paraId="51428A2A" w14:textId="16194739" w:rsidR="00AA2303" w:rsidRDefault="00EB682F" w:rsidP="00AD12EC">
      <w:pPr>
        <w:pStyle w:val="Bullet1"/>
        <w:rPr>
          <w:lang w:val="en-US"/>
        </w:rPr>
      </w:pPr>
      <w:r>
        <w:rPr>
          <w:lang w:val="en-US"/>
        </w:rPr>
        <w:t>c</w:t>
      </w:r>
      <w:r w:rsidR="00AA2303">
        <w:rPr>
          <w:lang w:val="en-US"/>
        </w:rPr>
        <w:t xml:space="preserve">onvened </w:t>
      </w:r>
      <w:r w:rsidR="00777CB5">
        <w:rPr>
          <w:lang w:val="en-US"/>
        </w:rPr>
        <w:t>the Statewide Complex Needs Advisory Panel</w:t>
      </w:r>
      <w:r w:rsidR="00EE6087">
        <w:rPr>
          <w:lang w:val="en-US"/>
        </w:rPr>
        <w:t xml:space="preserve">, </w:t>
      </w:r>
      <w:r w:rsidR="009A36A6">
        <w:rPr>
          <w:lang w:val="en-US"/>
        </w:rPr>
        <w:t xml:space="preserve">providing pathways into </w:t>
      </w:r>
      <w:r w:rsidR="00E34149">
        <w:rPr>
          <w:lang w:val="en-US"/>
        </w:rPr>
        <w:t xml:space="preserve">mental health and wellbeing services for </w:t>
      </w:r>
      <w:r>
        <w:rPr>
          <w:lang w:val="en-US"/>
        </w:rPr>
        <w:t xml:space="preserve">people </w:t>
      </w:r>
      <w:r w:rsidR="00B27E9A">
        <w:rPr>
          <w:lang w:val="en-US"/>
        </w:rPr>
        <w:t xml:space="preserve">who fall outside standard service responses </w:t>
      </w:r>
      <w:r w:rsidR="00F041A9">
        <w:rPr>
          <w:lang w:val="en-US"/>
        </w:rPr>
        <w:t xml:space="preserve">and pose a serious </w:t>
      </w:r>
      <w:r w:rsidR="00E576F7">
        <w:rPr>
          <w:lang w:val="en-US"/>
        </w:rPr>
        <w:t xml:space="preserve">risk to </w:t>
      </w:r>
      <w:r w:rsidR="00795953">
        <w:rPr>
          <w:lang w:val="en-US"/>
        </w:rPr>
        <w:t>themselves</w:t>
      </w:r>
      <w:r w:rsidR="00C43165">
        <w:rPr>
          <w:lang w:val="en-US"/>
        </w:rPr>
        <w:t xml:space="preserve"> or others</w:t>
      </w:r>
    </w:p>
    <w:p w14:paraId="33AA8AFD" w14:textId="6A8F7C9F" w:rsidR="005F02A2" w:rsidRPr="002D604B" w:rsidRDefault="00EB682F" w:rsidP="00AD12EC">
      <w:pPr>
        <w:pStyle w:val="Bullet1"/>
        <w:rPr>
          <w:lang w:val="en-US"/>
        </w:rPr>
      </w:pPr>
      <w:r>
        <w:rPr>
          <w:lang w:val="en-US"/>
        </w:rPr>
        <w:t>c</w:t>
      </w:r>
      <w:r w:rsidR="00C85AF7">
        <w:rPr>
          <w:lang w:val="en-US"/>
        </w:rPr>
        <w:t xml:space="preserve">onvened an expert advisory group </w:t>
      </w:r>
      <w:r w:rsidR="00632421">
        <w:rPr>
          <w:lang w:val="en-US"/>
        </w:rPr>
        <w:t xml:space="preserve">of health professionals and </w:t>
      </w:r>
      <w:r w:rsidR="00653D4F">
        <w:rPr>
          <w:lang w:val="en-US"/>
        </w:rPr>
        <w:t>people with lived experience of mental illness</w:t>
      </w:r>
      <w:r w:rsidR="00645835">
        <w:rPr>
          <w:lang w:val="en-US"/>
        </w:rPr>
        <w:t xml:space="preserve"> or psychological distress</w:t>
      </w:r>
      <w:r w:rsidR="00653D4F">
        <w:rPr>
          <w:lang w:val="en-US"/>
        </w:rPr>
        <w:t xml:space="preserve"> to </w:t>
      </w:r>
      <w:r w:rsidR="00C43165">
        <w:rPr>
          <w:lang w:val="en-US"/>
        </w:rPr>
        <w:t xml:space="preserve">help </w:t>
      </w:r>
      <w:r w:rsidR="00653D4F">
        <w:rPr>
          <w:lang w:val="en-US"/>
        </w:rPr>
        <w:t xml:space="preserve">implement </w:t>
      </w:r>
      <w:r w:rsidR="008E76AC">
        <w:rPr>
          <w:lang w:val="en-US"/>
        </w:rPr>
        <w:t>an oversight regime for chemical restraint</w:t>
      </w:r>
      <w:r w:rsidR="002C216F">
        <w:rPr>
          <w:lang w:val="en-US"/>
        </w:rPr>
        <w:t xml:space="preserve"> by the Chief </w:t>
      </w:r>
      <w:r w:rsidR="005945F2">
        <w:rPr>
          <w:lang w:val="en-US"/>
        </w:rPr>
        <w:t>Psychiatrist</w:t>
      </w:r>
    </w:p>
    <w:p w14:paraId="2C2C867F" w14:textId="6CF02644" w:rsidR="004844F5" w:rsidRPr="002D604B" w:rsidRDefault="00AB1940" w:rsidP="00AD12EC">
      <w:pPr>
        <w:pStyle w:val="Bullet1"/>
        <w:rPr>
          <w:lang w:val="en-US"/>
        </w:rPr>
      </w:pPr>
      <w:r>
        <w:rPr>
          <w:lang w:val="en-US"/>
        </w:rPr>
        <w:t xml:space="preserve">participated as </w:t>
      </w:r>
      <w:r w:rsidR="00C62030">
        <w:rPr>
          <w:lang w:val="en-US"/>
        </w:rPr>
        <w:t xml:space="preserve">a </w:t>
      </w:r>
      <w:r>
        <w:rPr>
          <w:lang w:val="en-US"/>
        </w:rPr>
        <w:t xml:space="preserve">standing member of </w:t>
      </w:r>
      <w:r w:rsidR="004E5B71">
        <w:rPr>
          <w:lang w:val="en-US"/>
        </w:rPr>
        <w:t xml:space="preserve">the </w:t>
      </w:r>
      <w:r w:rsidR="007F1E29">
        <w:rPr>
          <w:lang w:val="en-US"/>
        </w:rPr>
        <w:t>F</w:t>
      </w:r>
      <w:r w:rsidR="0002659E">
        <w:rPr>
          <w:lang w:val="en-US"/>
        </w:rPr>
        <w:t>orensic Leave Panel</w:t>
      </w:r>
      <w:r w:rsidR="008C030C">
        <w:rPr>
          <w:lang w:val="en-US"/>
        </w:rPr>
        <w:t xml:space="preserve">, </w:t>
      </w:r>
      <w:r w:rsidR="00D80EFB">
        <w:rPr>
          <w:lang w:val="en-US"/>
        </w:rPr>
        <w:t xml:space="preserve">assessing </w:t>
      </w:r>
      <w:r w:rsidR="004E5B71">
        <w:rPr>
          <w:lang w:val="en-US"/>
        </w:rPr>
        <w:t xml:space="preserve">the </w:t>
      </w:r>
      <w:r w:rsidR="00E022A9">
        <w:rPr>
          <w:lang w:val="en-US"/>
        </w:rPr>
        <w:t xml:space="preserve">leave </w:t>
      </w:r>
      <w:r w:rsidR="00BA13B2">
        <w:rPr>
          <w:lang w:val="en-US"/>
        </w:rPr>
        <w:t xml:space="preserve">applications </w:t>
      </w:r>
      <w:r w:rsidR="00E022A9">
        <w:rPr>
          <w:lang w:val="en-US"/>
        </w:rPr>
        <w:t xml:space="preserve">of forensic patients at Thomas </w:t>
      </w:r>
      <w:proofErr w:type="spellStart"/>
      <w:r w:rsidR="00E022A9">
        <w:rPr>
          <w:lang w:val="en-US"/>
        </w:rPr>
        <w:t>Embling</w:t>
      </w:r>
      <w:proofErr w:type="spellEnd"/>
      <w:r w:rsidR="00E022A9">
        <w:rPr>
          <w:lang w:val="en-US"/>
        </w:rPr>
        <w:t xml:space="preserve"> Hospital</w:t>
      </w:r>
    </w:p>
    <w:p w14:paraId="4282848A" w14:textId="55DC16AF" w:rsidR="00021A94" w:rsidRPr="00EE3195" w:rsidRDefault="00EB682F" w:rsidP="00AD12EC">
      <w:pPr>
        <w:pStyle w:val="Bullet1"/>
        <w:rPr>
          <w:lang w:val="en-US"/>
        </w:rPr>
      </w:pPr>
      <w:r>
        <w:rPr>
          <w:lang w:val="en-US"/>
        </w:rPr>
        <w:t>c</w:t>
      </w:r>
      <w:r w:rsidR="002D4D54" w:rsidRPr="00EE3195">
        <w:rPr>
          <w:lang w:val="en-US"/>
        </w:rPr>
        <w:t>onvened</w:t>
      </w:r>
      <w:r w:rsidR="00557A28" w:rsidRPr="00EE3195">
        <w:rPr>
          <w:lang w:val="en-US"/>
        </w:rPr>
        <w:t xml:space="preserve"> a weekly statewide </w:t>
      </w:r>
      <w:r w:rsidR="003D41A9" w:rsidRPr="00EE3195">
        <w:rPr>
          <w:lang w:val="en-US"/>
        </w:rPr>
        <w:t>a</w:t>
      </w:r>
      <w:r w:rsidR="00557A28" w:rsidRPr="00EE3195">
        <w:rPr>
          <w:lang w:val="en-US"/>
        </w:rPr>
        <w:t xml:space="preserve">dolescent </w:t>
      </w:r>
      <w:r w:rsidR="003D41A9" w:rsidRPr="00EE3195">
        <w:rPr>
          <w:lang w:val="en-US"/>
        </w:rPr>
        <w:t>i</w:t>
      </w:r>
      <w:r w:rsidR="00557A28" w:rsidRPr="00EE3195">
        <w:rPr>
          <w:lang w:val="en-US"/>
        </w:rPr>
        <w:t xml:space="preserve">npatient </w:t>
      </w:r>
      <w:r w:rsidR="003D41A9" w:rsidRPr="00EE3195">
        <w:rPr>
          <w:lang w:val="en-US"/>
        </w:rPr>
        <w:t>p</w:t>
      </w:r>
      <w:r w:rsidR="00557A28" w:rsidRPr="00EE3195">
        <w:rPr>
          <w:lang w:val="en-US"/>
        </w:rPr>
        <w:t xml:space="preserve">sychiatric </w:t>
      </w:r>
      <w:r w:rsidR="003D41A9" w:rsidRPr="00EE3195">
        <w:rPr>
          <w:lang w:val="en-US"/>
        </w:rPr>
        <w:t>u</w:t>
      </w:r>
      <w:r w:rsidR="00557A28" w:rsidRPr="00EE3195">
        <w:rPr>
          <w:lang w:val="en-US"/>
        </w:rPr>
        <w:t xml:space="preserve">nit huddle </w:t>
      </w:r>
      <w:r w:rsidR="00663CE5" w:rsidRPr="00EE3195">
        <w:rPr>
          <w:lang w:val="en-US"/>
        </w:rPr>
        <w:t>to support</w:t>
      </w:r>
      <w:r w:rsidR="00557A28" w:rsidRPr="00EE3195">
        <w:rPr>
          <w:lang w:val="en-US"/>
        </w:rPr>
        <w:t xml:space="preserve"> urgent inpatient care </w:t>
      </w:r>
      <w:r w:rsidR="00675E77" w:rsidRPr="00EE3195">
        <w:rPr>
          <w:lang w:val="en-US"/>
        </w:rPr>
        <w:t xml:space="preserve">for adolescents </w:t>
      </w:r>
      <w:r w:rsidR="00365C33" w:rsidRPr="00EE3195">
        <w:rPr>
          <w:lang w:val="en-US"/>
        </w:rPr>
        <w:t>through manag</w:t>
      </w:r>
      <w:r w:rsidR="00151777">
        <w:rPr>
          <w:lang w:val="en-US"/>
        </w:rPr>
        <w:t>ing</w:t>
      </w:r>
      <w:r w:rsidR="00365C33" w:rsidRPr="00EE3195">
        <w:rPr>
          <w:lang w:val="en-US"/>
        </w:rPr>
        <w:t xml:space="preserve"> demand across services</w:t>
      </w:r>
    </w:p>
    <w:p w14:paraId="218F4C50" w14:textId="73F802DC" w:rsidR="009A668C" w:rsidRPr="00534A83" w:rsidRDefault="00C43165" w:rsidP="00AD12EC">
      <w:pPr>
        <w:pStyle w:val="Bullet1"/>
        <w:rPr>
          <w:lang w:val="en-US"/>
        </w:rPr>
      </w:pPr>
      <w:r>
        <w:rPr>
          <w:lang w:val="en-US"/>
        </w:rPr>
        <w:t xml:space="preserve">began overseeing </w:t>
      </w:r>
      <w:r w:rsidR="00CF0C44">
        <w:rPr>
          <w:lang w:val="en-US"/>
        </w:rPr>
        <w:t xml:space="preserve">mental health </w:t>
      </w:r>
      <w:r w:rsidR="00CF0C44" w:rsidRPr="45B36C01">
        <w:rPr>
          <w:lang w:val="en-US"/>
        </w:rPr>
        <w:t>service</w:t>
      </w:r>
      <w:r w:rsidR="00FD0BCC">
        <w:rPr>
          <w:lang w:val="en-US"/>
        </w:rPr>
        <w:t>s</w:t>
      </w:r>
      <w:r w:rsidR="7CD034BA" w:rsidRPr="45B36C01">
        <w:rPr>
          <w:lang w:val="en-US"/>
        </w:rPr>
        <w:t xml:space="preserve"> </w:t>
      </w:r>
      <w:r w:rsidR="00CF0C44">
        <w:rPr>
          <w:lang w:val="en-US"/>
        </w:rPr>
        <w:t>in custodial settings</w:t>
      </w:r>
      <w:r w:rsidR="00910C33">
        <w:rPr>
          <w:lang w:val="en-US"/>
        </w:rPr>
        <w:t xml:space="preserve"> </w:t>
      </w:r>
      <w:r w:rsidR="00B17768">
        <w:rPr>
          <w:lang w:val="en-US"/>
        </w:rPr>
        <w:t xml:space="preserve">in collaboration </w:t>
      </w:r>
      <w:r w:rsidR="00147C6E">
        <w:rPr>
          <w:lang w:val="en-US"/>
        </w:rPr>
        <w:t>with</w:t>
      </w:r>
      <w:r w:rsidR="6E8C945A" w:rsidRPr="2C5B42D8">
        <w:rPr>
          <w:lang w:val="en-US"/>
        </w:rPr>
        <w:t xml:space="preserve"> </w:t>
      </w:r>
      <w:proofErr w:type="spellStart"/>
      <w:r w:rsidR="00534A83" w:rsidRPr="1E362516">
        <w:rPr>
          <w:lang w:val="en-US"/>
        </w:rPr>
        <w:t>Forensicare</w:t>
      </w:r>
      <w:proofErr w:type="spellEnd"/>
      <w:r w:rsidR="00534A83" w:rsidRPr="2C5B42D8">
        <w:rPr>
          <w:lang w:val="en-US"/>
        </w:rPr>
        <w:t xml:space="preserve">, </w:t>
      </w:r>
      <w:r w:rsidR="695EF2DC" w:rsidRPr="2C5B42D8">
        <w:rPr>
          <w:lang w:val="en-US"/>
        </w:rPr>
        <w:t>the</w:t>
      </w:r>
      <w:r w:rsidR="00534A83" w:rsidRPr="00534A83">
        <w:rPr>
          <w:lang w:val="en-US"/>
        </w:rPr>
        <w:t xml:space="preserve"> D</w:t>
      </w:r>
      <w:r w:rsidR="00910C33">
        <w:rPr>
          <w:lang w:val="en-US"/>
        </w:rPr>
        <w:t xml:space="preserve">epartment of </w:t>
      </w:r>
      <w:r w:rsidR="00534A83" w:rsidRPr="00534A83">
        <w:rPr>
          <w:lang w:val="en-US"/>
        </w:rPr>
        <w:t>J</w:t>
      </w:r>
      <w:r w:rsidR="00910C33">
        <w:rPr>
          <w:lang w:val="en-US"/>
        </w:rPr>
        <w:t xml:space="preserve">ustice and </w:t>
      </w:r>
      <w:r w:rsidR="00534A83" w:rsidRPr="00534A83">
        <w:rPr>
          <w:lang w:val="en-US"/>
        </w:rPr>
        <w:t>C</w:t>
      </w:r>
      <w:r w:rsidR="00910C33">
        <w:rPr>
          <w:lang w:val="en-US"/>
        </w:rPr>
        <w:t xml:space="preserve">ommunity </w:t>
      </w:r>
      <w:r w:rsidR="00534A83" w:rsidRPr="00534A83">
        <w:rPr>
          <w:lang w:val="en-US"/>
        </w:rPr>
        <w:t>S</w:t>
      </w:r>
      <w:r w:rsidR="00910C33">
        <w:rPr>
          <w:lang w:val="en-US"/>
        </w:rPr>
        <w:t>afety</w:t>
      </w:r>
      <w:r w:rsidR="3F5551FF" w:rsidRPr="2C5B42D8">
        <w:rPr>
          <w:lang w:val="en-US"/>
        </w:rPr>
        <w:t xml:space="preserve">, </w:t>
      </w:r>
      <w:r w:rsidR="00534A83" w:rsidRPr="00534A83">
        <w:rPr>
          <w:lang w:val="en-US"/>
        </w:rPr>
        <w:t xml:space="preserve">Corrections Victoria </w:t>
      </w:r>
      <w:r w:rsidR="78A60076" w:rsidRPr="15C0A6A4">
        <w:rPr>
          <w:lang w:val="en-US"/>
        </w:rPr>
        <w:t xml:space="preserve">and </w:t>
      </w:r>
      <w:r w:rsidR="00567D11">
        <w:rPr>
          <w:lang w:val="en-US"/>
        </w:rPr>
        <w:t xml:space="preserve">the </w:t>
      </w:r>
      <w:r w:rsidR="00534A83" w:rsidRPr="00534A83">
        <w:rPr>
          <w:lang w:val="en-US"/>
        </w:rPr>
        <w:t xml:space="preserve">Commission for </w:t>
      </w:r>
      <w:r w:rsidR="00C15078">
        <w:rPr>
          <w:lang w:val="en-US"/>
        </w:rPr>
        <w:t xml:space="preserve">Children and </w:t>
      </w:r>
      <w:r w:rsidR="00534A83" w:rsidRPr="00534A83">
        <w:rPr>
          <w:lang w:val="en-US"/>
        </w:rPr>
        <w:t>Young People</w:t>
      </w:r>
    </w:p>
    <w:p w14:paraId="1FABEC11" w14:textId="6F806DD2" w:rsidR="00431DB9" w:rsidRPr="00431DB9" w:rsidRDefault="00EB682F" w:rsidP="00AD12EC">
      <w:pPr>
        <w:pStyle w:val="Bullet1"/>
        <w:rPr>
          <w:lang w:val="en-US"/>
        </w:rPr>
      </w:pPr>
      <w:r>
        <w:rPr>
          <w:lang w:val="en-US"/>
        </w:rPr>
        <w:t>c</w:t>
      </w:r>
      <w:r w:rsidR="002D4D54">
        <w:rPr>
          <w:lang w:val="en-US"/>
        </w:rPr>
        <w:t>onvened</w:t>
      </w:r>
      <w:r w:rsidR="0098212F">
        <w:rPr>
          <w:lang w:val="en-US"/>
        </w:rPr>
        <w:t xml:space="preserve"> </w:t>
      </w:r>
      <w:r w:rsidR="00BB310A">
        <w:rPr>
          <w:lang w:val="en-US"/>
        </w:rPr>
        <w:t>regular</w:t>
      </w:r>
      <w:r w:rsidR="0098212F">
        <w:rPr>
          <w:lang w:val="en-US"/>
        </w:rPr>
        <w:t xml:space="preserve"> </w:t>
      </w:r>
      <w:r w:rsidR="003D41A9">
        <w:rPr>
          <w:lang w:val="en-US"/>
        </w:rPr>
        <w:t>i</w:t>
      </w:r>
      <w:r w:rsidR="00431DB9" w:rsidRPr="00431DB9">
        <w:rPr>
          <w:lang w:val="en-US"/>
        </w:rPr>
        <w:t>nfa</w:t>
      </w:r>
      <w:r w:rsidR="0098212F">
        <w:rPr>
          <w:lang w:val="en-US"/>
        </w:rPr>
        <w:t>nt</w:t>
      </w:r>
      <w:r w:rsidR="00431DB9" w:rsidRPr="00431DB9">
        <w:rPr>
          <w:lang w:val="en-US"/>
        </w:rPr>
        <w:t xml:space="preserve">, </w:t>
      </w:r>
      <w:r w:rsidR="003D41A9">
        <w:rPr>
          <w:lang w:val="en-US"/>
        </w:rPr>
        <w:t>c</w:t>
      </w:r>
      <w:r w:rsidR="00431DB9" w:rsidRPr="00431DB9">
        <w:rPr>
          <w:lang w:val="en-US"/>
        </w:rPr>
        <w:t xml:space="preserve">hild and </w:t>
      </w:r>
      <w:r w:rsidR="003D41A9">
        <w:rPr>
          <w:lang w:val="en-US"/>
        </w:rPr>
        <w:t>y</w:t>
      </w:r>
      <w:r w:rsidR="00431DB9" w:rsidRPr="00431DB9">
        <w:rPr>
          <w:lang w:val="en-US"/>
        </w:rPr>
        <w:t xml:space="preserve">outh </w:t>
      </w:r>
      <w:r w:rsidR="00CF6CE1">
        <w:rPr>
          <w:lang w:val="en-US"/>
        </w:rPr>
        <w:t>clinical leaders’</w:t>
      </w:r>
      <w:r w:rsidR="00431DB9" w:rsidRPr="00431DB9">
        <w:rPr>
          <w:lang w:val="en-US"/>
        </w:rPr>
        <w:t xml:space="preserve"> </w:t>
      </w:r>
      <w:r w:rsidR="003D41A9">
        <w:rPr>
          <w:lang w:val="en-US"/>
        </w:rPr>
        <w:t>meeting</w:t>
      </w:r>
      <w:r w:rsidR="002E6E2C">
        <w:rPr>
          <w:lang w:val="en-US"/>
        </w:rPr>
        <w:t>s</w:t>
      </w:r>
      <w:r w:rsidR="0074129B">
        <w:rPr>
          <w:lang w:val="en-US"/>
        </w:rPr>
        <w:t xml:space="preserve"> with area mental health services to s</w:t>
      </w:r>
      <w:r w:rsidR="00431DB9" w:rsidRPr="00431DB9">
        <w:rPr>
          <w:lang w:val="en-US"/>
        </w:rPr>
        <w:t>upport coordination and care across the infant, child and youth sector</w:t>
      </w:r>
    </w:p>
    <w:p w14:paraId="596F3617" w14:textId="33395A96" w:rsidR="005D4146" w:rsidRPr="00164C5F" w:rsidRDefault="00EB682F" w:rsidP="00AD12EC">
      <w:pPr>
        <w:pStyle w:val="Bullet1"/>
        <w:rPr>
          <w:lang w:val="en-US"/>
        </w:rPr>
      </w:pPr>
      <w:r>
        <w:rPr>
          <w:lang w:val="en-US"/>
        </w:rPr>
        <w:t>c</w:t>
      </w:r>
      <w:r w:rsidR="002D4D54" w:rsidRPr="00164C5F">
        <w:rPr>
          <w:lang w:val="en-US"/>
        </w:rPr>
        <w:t xml:space="preserve">onvened </w:t>
      </w:r>
      <w:r w:rsidR="00887D1C" w:rsidRPr="00164C5F">
        <w:rPr>
          <w:lang w:val="en-US"/>
        </w:rPr>
        <w:t xml:space="preserve">regular </w:t>
      </w:r>
      <w:r w:rsidR="00E9575E" w:rsidRPr="00164C5F">
        <w:rPr>
          <w:lang w:val="en-US"/>
        </w:rPr>
        <w:t xml:space="preserve">older </w:t>
      </w:r>
      <w:r w:rsidR="00BA76E0" w:rsidRPr="00164C5F">
        <w:rPr>
          <w:lang w:val="en-US"/>
        </w:rPr>
        <w:t>adults’</w:t>
      </w:r>
      <w:r w:rsidR="00E9575E" w:rsidRPr="00164C5F">
        <w:rPr>
          <w:lang w:val="en-US"/>
        </w:rPr>
        <w:t xml:space="preserve"> mental health service </w:t>
      </w:r>
      <w:r w:rsidR="006904DD" w:rsidRPr="00164C5F">
        <w:rPr>
          <w:lang w:val="en-US"/>
        </w:rPr>
        <w:t>clinical leaders</w:t>
      </w:r>
      <w:r w:rsidR="000B1822" w:rsidRPr="00164C5F">
        <w:rPr>
          <w:lang w:val="en-US"/>
        </w:rPr>
        <w:t>’</w:t>
      </w:r>
      <w:r w:rsidR="006904DD" w:rsidRPr="00164C5F">
        <w:rPr>
          <w:lang w:val="en-US"/>
        </w:rPr>
        <w:t xml:space="preserve"> meeting</w:t>
      </w:r>
      <w:r w:rsidR="000B1822" w:rsidRPr="00164C5F">
        <w:rPr>
          <w:lang w:val="en-US"/>
        </w:rPr>
        <w:t>s</w:t>
      </w:r>
      <w:r w:rsidR="00A810C4" w:rsidRPr="00164C5F">
        <w:rPr>
          <w:lang w:val="en-US"/>
        </w:rPr>
        <w:t xml:space="preserve">, </w:t>
      </w:r>
      <w:r w:rsidR="00EE630A" w:rsidRPr="00164C5F">
        <w:rPr>
          <w:lang w:val="en-US"/>
        </w:rPr>
        <w:t>foster</w:t>
      </w:r>
      <w:r w:rsidR="00A810C4" w:rsidRPr="00164C5F">
        <w:rPr>
          <w:lang w:val="en-US"/>
        </w:rPr>
        <w:t>ing</w:t>
      </w:r>
      <w:r w:rsidR="00EE630A" w:rsidRPr="00164C5F">
        <w:rPr>
          <w:lang w:val="en-US"/>
        </w:rPr>
        <w:t xml:space="preserve"> collaboration</w:t>
      </w:r>
      <w:r w:rsidR="00A810C4" w:rsidRPr="00164C5F">
        <w:rPr>
          <w:lang w:val="en-US"/>
        </w:rPr>
        <w:t xml:space="preserve"> between services to </w:t>
      </w:r>
      <w:r w:rsidR="009318B4" w:rsidRPr="00164C5F">
        <w:rPr>
          <w:lang w:val="en-US"/>
        </w:rPr>
        <w:t>improve</w:t>
      </w:r>
      <w:r w:rsidR="001E3501" w:rsidRPr="00164C5F">
        <w:rPr>
          <w:lang w:val="en-US"/>
        </w:rPr>
        <w:t xml:space="preserve"> </w:t>
      </w:r>
      <w:r w:rsidR="00245692" w:rsidRPr="00164C5F">
        <w:rPr>
          <w:lang w:val="en-US"/>
        </w:rPr>
        <w:t>treatment and care</w:t>
      </w:r>
      <w:r w:rsidR="007F0AE0" w:rsidRPr="00164C5F">
        <w:rPr>
          <w:lang w:val="en-US"/>
        </w:rPr>
        <w:t xml:space="preserve"> for </w:t>
      </w:r>
      <w:r w:rsidR="004C3CB9" w:rsidRPr="00164C5F">
        <w:rPr>
          <w:lang w:val="en-US"/>
        </w:rPr>
        <w:t>older adults</w:t>
      </w:r>
    </w:p>
    <w:p w14:paraId="5C6EDD48" w14:textId="46C7A0A8" w:rsidR="00F835D7" w:rsidRPr="00F81B48" w:rsidRDefault="00EB682F" w:rsidP="00AD12EC">
      <w:pPr>
        <w:pStyle w:val="Bullet1"/>
        <w:rPr>
          <w:lang w:val="en-US"/>
        </w:rPr>
      </w:pPr>
      <w:r w:rsidRPr="1AA722E5">
        <w:rPr>
          <w:lang w:val="en-US"/>
        </w:rPr>
        <w:t>w</w:t>
      </w:r>
      <w:r w:rsidR="003A4C68" w:rsidRPr="1AA722E5">
        <w:rPr>
          <w:lang w:val="en-US"/>
        </w:rPr>
        <w:t>ork</w:t>
      </w:r>
      <w:r w:rsidR="00AB04BC" w:rsidRPr="1AA722E5">
        <w:rPr>
          <w:lang w:val="en-US"/>
        </w:rPr>
        <w:t>ed</w:t>
      </w:r>
      <w:r w:rsidR="003A4C68" w:rsidRPr="1AA722E5">
        <w:rPr>
          <w:lang w:val="en-US"/>
        </w:rPr>
        <w:t xml:space="preserve"> with </w:t>
      </w:r>
      <w:proofErr w:type="spellStart"/>
      <w:r w:rsidR="0ECD791E" w:rsidRPr="1AA722E5">
        <w:rPr>
          <w:lang w:val="en-US"/>
        </w:rPr>
        <w:t>A</w:t>
      </w:r>
      <w:r w:rsidR="003A4C68" w:rsidRPr="1AA722E5">
        <w:rPr>
          <w:lang w:val="en-US"/>
        </w:rPr>
        <w:t>uthorised</w:t>
      </w:r>
      <w:proofErr w:type="spellEnd"/>
      <w:r w:rsidR="003A4C68" w:rsidRPr="1AA722E5">
        <w:rPr>
          <w:lang w:val="en-US"/>
        </w:rPr>
        <w:t xml:space="preserve"> </w:t>
      </w:r>
      <w:r w:rsidR="65D74A40" w:rsidRPr="1AA722E5">
        <w:rPr>
          <w:lang w:val="en-US"/>
        </w:rPr>
        <w:t>P</w:t>
      </w:r>
      <w:r w:rsidR="003A4C68" w:rsidRPr="1AA722E5">
        <w:rPr>
          <w:lang w:val="en-US"/>
        </w:rPr>
        <w:t xml:space="preserve">sychiatrists to </w:t>
      </w:r>
      <w:r w:rsidR="00451F4A" w:rsidRPr="1AA722E5">
        <w:rPr>
          <w:lang w:val="en-US"/>
        </w:rPr>
        <w:t xml:space="preserve">identify issues </w:t>
      </w:r>
      <w:r w:rsidR="004850BC" w:rsidRPr="1AA722E5">
        <w:rPr>
          <w:lang w:val="en-US"/>
        </w:rPr>
        <w:t xml:space="preserve">in the clinical mental health and wellbeing system </w:t>
      </w:r>
      <w:r w:rsidR="00A61CDC" w:rsidRPr="1AA722E5">
        <w:rPr>
          <w:lang w:val="en-US"/>
        </w:rPr>
        <w:t xml:space="preserve">via </w:t>
      </w:r>
      <w:r w:rsidR="00B92585" w:rsidRPr="1AA722E5">
        <w:rPr>
          <w:lang w:val="en-US"/>
        </w:rPr>
        <w:t xml:space="preserve">a series of ongoing </w:t>
      </w:r>
      <w:r w:rsidR="5D4CA9C9" w:rsidRPr="1AA722E5">
        <w:rPr>
          <w:lang w:val="en-US"/>
        </w:rPr>
        <w:t>forums</w:t>
      </w:r>
      <w:r w:rsidRPr="1AA722E5">
        <w:rPr>
          <w:lang w:val="en-US"/>
        </w:rPr>
        <w:t xml:space="preserve"> (t</w:t>
      </w:r>
      <w:r w:rsidR="00C63F7C" w:rsidRPr="1AA722E5">
        <w:rPr>
          <w:lang w:val="en-US"/>
        </w:rPr>
        <w:t>opics included</w:t>
      </w:r>
      <w:r w:rsidR="00905988" w:rsidRPr="1AA722E5">
        <w:rPr>
          <w:lang w:val="en-US"/>
        </w:rPr>
        <w:t xml:space="preserve"> briefings on emerging reforms and compliance requirements relating to Royal Commission recommendations and the Act</w:t>
      </w:r>
      <w:r w:rsidRPr="1AA722E5">
        <w:rPr>
          <w:lang w:val="en-US"/>
        </w:rPr>
        <w:t>)</w:t>
      </w:r>
    </w:p>
    <w:p w14:paraId="5A1C08A2" w14:textId="63C44E27" w:rsidR="00F46959" w:rsidRDefault="00AE4749" w:rsidP="00AD12EC">
      <w:pPr>
        <w:pStyle w:val="Bullet1"/>
        <w:rPr>
          <w:lang w:val="en-US"/>
        </w:rPr>
      </w:pPr>
      <w:r w:rsidRPr="5568912C">
        <w:rPr>
          <w:lang w:val="en-US"/>
        </w:rPr>
        <w:t>provid</w:t>
      </w:r>
      <w:r w:rsidR="297CA448" w:rsidRPr="5568912C">
        <w:rPr>
          <w:lang w:val="en-US"/>
        </w:rPr>
        <w:t>ed</w:t>
      </w:r>
      <w:r>
        <w:rPr>
          <w:lang w:val="en-US"/>
        </w:rPr>
        <w:t xml:space="preserve"> </w:t>
      </w:r>
      <w:r w:rsidR="00054623">
        <w:rPr>
          <w:lang w:val="en-US"/>
        </w:rPr>
        <w:t xml:space="preserve">a submission and oral </w:t>
      </w:r>
      <w:r>
        <w:rPr>
          <w:lang w:val="en-US"/>
        </w:rPr>
        <w:t xml:space="preserve">evidence </w:t>
      </w:r>
      <w:r w:rsidR="00E21720">
        <w:rPr>
          <w:lang w:val="en-US"/>
        </w:rPr>
        <w:t xml:space="preserve">to </w:t>
      </w:r>
      <w:r w:rsidR="000321D3">
        <w:rPr>
          <w:lang w:val="en-US"/>
        </w:rPr>
        <w:t xml:space="preserve">assist the </w:t>
      </w:r>
      <w:r w:rsidR="00E21720">
        <w:rPr>
          <w:lang w:val="en-US"/>
        </w:rPr>
        <w:t>Coroner</w:t>
      </w:r>
      <w:r w:rsidR="00236909">
        <w:rPr>
          <w:lang w:val="en-US"/>
        </w:rPr>
        <w:t>s</w:t>
      </w:r>
      <w:r w:rsidR="00E21720">
        <w:rPr>
          <w:lang w:val="en-US"/>
        </w:rPr>
        <w:t xml:space="preserve"> Court </w:t>
      </w:r>
      <w:r w:rsidR="008C005D">
        <w:rPr>
          <w:lang w:val="en-US"/>
        </w:rPr>
        <w:t xml:space="preserve">of Victoria </w:t>
      </w:r>
      <w:r w:rsidR="00C43165">
        <w:rPr>
          <w:lang w:val="en-US"/>
        </w:rPr>
        <w:t xml:space="preserve">to </w:t>
      </w:r>
      <w:r w:rsidR="00236909">
        <w:rPr>
          <w:lang w:val="en-US"/>
        </w:rPr>
        <w:t xml:space="preserve">make findings </w:t>
      </w:r>
      <w:r w:rsidR="00766490">
        <w:rPr>
          <w:lang w:val="en-US"/>
        </w:rPr>
        <w:t xml:space="preserve">in its </w:t>
      </w:r>
      <w:r w:rsidR="0059786D">
        <w:rPr>
          <w:lang w:val="en-US"/>
        </w:rPr>
        <w:t>Trans and Gender Diverse Suicide Cluster Inquest</w:t>
      </w:r>
    </w:p>
    <w:p w14:paraId="724C3967" w14:textId="0EA7E580" w:rsidR="003C5FC0" w:rsidRDefault="00384ADD" w:rsidP="00AD12EC">
      <w:pPr>
        <w:pStyle w:val="Bullet1"/>
        <w:rPr>
          <w:lang w:val="en-US"/>
        </w:rPr>
      </w:pPr>
      <w:r>
        <w:rPr>
          <w:lang w:val="en-US"/>
        </w:rPr>
        <w:t xml:space="preserve">continued to </w:t>
      </w:r>
      <w:proofErr w:type="spellStart"/>
      <w:r w:rsidR="00EB682F">
        <w:rPr>
          <w:lang w:val="en-US"/>
        </w:rPr>
        <w:t>m</w:t>
      </w:r>
      <w:r w:rsidR="003C5FC0" w:rsidRPr="003C5FC0">
        <w:rPr>
          <w:lang w:val="en-US"/>
        </w:rPr>
        <w:t>odernise</w:t>
      </w:r>
      <w:proofErr w:type="spellEnd"/>
      <w:r w:rsidR="003C5FC0" w:rsidRPr="003C5FC0">
        <w:rPr>
          <w:lang w:val="en-US"/>
        </w:rPr>
        <w:t xml:space="preserve"> systems to ease the administrative burden on services reporting clinical incidents and practices to the OCP</w:t>
      </w:r>
    </w:p>
    <w:p w14:paraId="5418E181" w14:textId="16A638AC" w:rsidR="00096850" w:rsidRPr="00D44152" w:rsidRDefault="00D91191" w:rsidP="00AD12EC">
      <w:pPr>
        <w:pStyle w:val="Bullet1"/>
        <w:rPr>
          <w:lang w:val="en-US"/>
        </w:rPr>
      </w:pPr>
      <w:r w:rsidRPr="1AA722E5">
        <w:rPr>
          <w:lang w:val="en-US"/>
        </w:rPr>
        <w:t xml:space="preserve">chaired a statewide </w:t>
      </w:r>
      <w:r w:rsidR="2474BE6F" w:rsidRPr="1AA722E5">
        <w:rPr>
          <w:lang w:val="en-US"/>
        </w:rPr>
        <w:t>E</w:t>
      </w:r>
      <w:r w:rsidRPr="1AA722E5">
        <w:rPr>
          <w:lang w:val="en-US"/>
        </w:rPr>
        <w:t xml:space="preserve">mergency </w:t>
      </w:r>
      <w:r w:rsidR="14A1F655" w:rsidRPr="1AA722E5">
        <w:rPr>
          <w:lang w:val="en-US"/>
        </w:rPr>
        <w:t>S</w:t>
      </w:r>
      <w:r w:rsidRPr="1AA722E5">
        <w:rPr>
          <w:lang w:val="en-US"/>
        </w:rPr>
        <w:t xml:space="preserve">ervices </w:t>
      </w:r>
      <w:r w:rsidR="3C5AACC1" w:rsidRPr="1AA722E5">
        <w:rPr>
          <w:lang w:val="en-US"/>
        </w:rPr>
        <w:t>L</w:t>
      </w:r>
      <w:r w:rsidRPr="1AA722E5">
        <w:rPr>
          <w:lang w:val="en-US"/>
        </w:rPr>
        <w:t xml:space="preserve">iaison </w:t>
      </w:r>
      <w:r w:rsidR="6C728E67" w:rsidRPr="1AA722E5">
        <w:rPr>
          <w:lang w:val="en-US"/>
        </w:rPr>
        <w:t>C</w:t>
      </w:r>
      <w:r w:rsidRPr="1AA722E5">
        <w:rPr>
          <w:lang w:val="en-US"/>
        </w:rPr>
        <w:t xml:space="preserve">ommittee </w:t>
      </w:r>
      <w:r w:rsidR="00973B5A" w:rsidRPr="1AA722E5">
        <w:rPr>
          <w:lang w:val="en-US"/>
        </w:rPr>
        <w:t>made up</w:t>
      </w:r>
      <w:r w:rsidR="00C43165">
        <w:rPr>
          <w:lang w:val="en-US"/>
        </w:rPr>
        <w:t xml:space="preserve"> of</w:t>
      </w:r>
      <w:r w:rsidRPr="1AA722E5">
        <w:rPr>
          <w:lang w:val="en-US"/>
        </w:rPr>
        <w:t xml:space="preserve"> Victoria </w:t>
      </w:r>
      <w:r w:rsidR="00AC0A34" w:rsidRPr="1AA722E5">
        <w:rPr>
          <w:lang w:val="en-US"/>
        </w:rPr>
        <w:t>Police</w:t>
      </w:r>
      <w:r w:rsidRPr="1AA722E5">
        <w:rPr>
          <w:lang w:val="en-US"/>
        </w:rPr>
        <w:t xml:space="preserve">, </w:t>
      </w:r>
      <w:r w:rsidR="00AC0A34" w:rsidRPr="1AA722E5">
        <w:rPr>
          <w:lang w:val="en-US"/>
        </w:rPr>
        <w:t>A</w:t>
      </w:r>
      <w:r w:rsidRPr="1AA722E5">
        <w:rPr>
          <w:lang w:val="en-US"/>
        </w:rPr>
        <w:t xml:space="preserve">mbulance </w:t>
      </w:r>
      <w:r w:rsidR="00AC0A34" w:rsidRPr="1AA722E5">
        <w:rPr>
          <w:lang w:val="en-US"/>
        </w:rPr>
        <w:t>V</w:t>
      </w:r>
      <w:r w:rsidRPr="1AA722E5">
        <w:rPr>
          <w:lang w:val="en-US"/>
        </w:rPr>
        <w:t>ictoria, Act Implementation Lea</w:t>
      </w:r>
      <w:r w:rsidR="00EB1EB5" w:rsidRPr="1AA722E5">
        <w:rPr>
          <w:lang w:val="en-US"/>
        </w:rPr>
        <w:t xml:space="preserve">ds and </w:t>
      </w:r>
      <w:r w:rsidR="34DC0344" w:rsidRPr="1AA722E5">
        <w:rPr>
          <w:lang w:val="en-US"/>
        </w:rPr>
        <w:t>d</w:t>
      </w:r>
      <w:r w:rsidR="00FF4EEC" w:rsidRPr="1AA722E5">
        <w:rPr>
          <w:lang w:val="en-US"/>
        </w:rPr>
        <w:t>ivis</w:t>
      </w:r>
      <w:r w:rsidR="4C82B882" w:rsidRPr="1AA722E5">
        <w:rPr>
          <w:lang w:val="en-US"/>
        </w:rPr>
        <w:t>i</w:t>
      </w:r>
      <w:r w:rsidR="00FF4EEC" w:rsidRPr="1AA722E5">
        <w:rPr>
          <w:lang w:val="en-US"/>
        </w:rPr>
        <w:t xml:space="preserve">onal colleagues, </w:t>
      </w:r>
      <w:r w:rsidR="007110D1" w:rsidRPr="1AA722E5">
        <w:rPr>
          <w:lang w:val="en-US"/>
        </w:rPr>
        <w:t xml:space="preserve">addressing systemic issues related to the health-led response </w:t>
      </w:r>
      <w:r w:rsidR="00973B5A" w:rsidRPr="1AA722E5">
        <w:rPr>
          <w:lang w:val="en-US"/>
        </w:rPr>
        <w:t>of people experiencing a mental health crisis.</w:t>
      </w:r>
    </w:p>
    <w:p w14:paraId="6AF65568" w14:textId="77777777" w:rsidR="00C43165" w:rsidRDefault="00C43165" w:rsidP="00434B70">
      <w:pPr>
        <w:pStyle w:val="Body"/>
        <w:rPr>
          <w:color w:val="004EA8"/>
          <w:sz w:val="44"/>
          <w:szCs w:val="44"/>
        </w:rPr>
      </w:pPr>
      <w:bookmarkStart w:id="23" w:name="_Toc52886239"/>
      <w:r>
        <w:br w:type="page"/>
      </w:r>
    </w:p>
    <w:p w14:paraId="4DAF748C" w14:textId="288E022E" w:rsidR="00381B2F" w:rsidRPr="002F6D1F" w:rsidRDefault="00381B2F" w:rsidP="00155E2B">
      <w:pPr>
        <w:pStyle w:val="Heading1"/>
        <w:spacing w:before="360" w:after="120"/>
        <w:rPr>
          <w:color w:val="auto"/>
          <w:sz w:val="22"/>
          <w:szCs w:val="22"/>
        </w:rPr>
      </w:pPr>
      <w:bookmarkStart w:id="24" w:name="_Toc180660134"/>
      <w:r w:rsidRPr="00155E2B">
        <w:lastRenderedPageBreak/>
        <w:t>Statutory</w:t>
      </w:r>
      <w:r w:rsidRPr="00182DBC">
        <w:t xml:space="preserve"> </w:t>
      </w:r>
      <w:r w:rsidR="00723B86">
        <w:t xml:space="preserve">and oversight </w:t>
      </w:r>
      <w:r w:rsidR="00F06C75">
        <w:t>r</w:t>
      </w:r>
      <w:r w:rsidRPr="00182DBC">
        <w:t>eporting</w:t>
      </w:r>
      <w:bookmarkEnd w:id="23"/>
      <w:bookmarkEnd w:id="24"/>
    </w:p>
    <w:p w14:paraId="297B38E2" w14:textId="2BE2EDEF" w:rsidR="00381B2F" w:rsidRPr="00EC49D8" w:rsidRDefault="00381B2F" w:rsidP="00563C62">
      <w:pPr>
        <w:pStyle w:val="Body"/>
        <w:rPr>
          <w:rFonts w:eastAsia="Arial" w:cs="Arial"/>
          <w:color w:val="000000" w:themeColor="text1"/>
        </w:rPr>
      </w:pPr>
      <w:r>
        <w:t xml:space="preserve">Under the </w:t>
      </w:r>
      <w:r w:rsidRPr="0003685A">
        <w:t>Act</w:t>
      </w:r>
      <w:r>
        <w:t xml:space="preserve">, mental health services must report to the Chief Psychiatrist </w:t>
      </w:r>
      <w:r w:rsidR="006D10E2">
        <w:t xml:space="preserve">on </w:t>
      </w:r>
      <w:r>
        <w:t>their use of restrictive interventions</w:t>
      </w:r>
      <w:r w:rsidR="49981377">
        <w:t>, ECT and neurosurgery</w:t>
      </w:r>
      <w:r>
        <w:t>. They must also report the deaths of mental health consumers. The Chief Psychiatrist understands that the loss of a loved one or the use of restrictive practices</w:t>
      </w:r>
      <w:r w:rsidR="005A0956">
        <w:t xml:space="preserve"> has</w:t>
      </w:r>
      <w:r>
        <w:t xml:space="preserve"> impacts on people, their families and the workforce and is </w:t>
      </w:r>
      <w:r w:rsidR="374319EE" w:rsidRPr="00EC49D8">
        <w:rPr>
          <w:rFonts w:eastAsia="Arial" w:cs="Arial"/>
          <w:color w:val="000000" w:themeColor="text1"/>
        </w:rPr>
        <w:t>working with</w:t>
      </w:r>
      <w:r w:rsidR="0A7FB939" w:rsidRPr="00EC49D8">
        <w:rPr>
          <w:rFonts w:eastAsia="Arial" w:cs="Arial"/>
          <w:color w:val="000000" w:themeColor="text1"/>
        </w:rPr>
        <w:t xml:space="preserve"> services to improve consumers’ physical wellbeing and minimise the use of restrictive practices.</w:t>
      </w:r>
    </w:p>
    <w:p w14:paraId="7952D87B" w14:textId="1A7BA454" w:rsidR="3266B38D" w:rsidRDefault="00FD0BCC" w:rsidP="00563C62">
      <w:pPr>
        <w:pStyle w:val="Body"/>
      </w:pPr>
      <w:r>
        <w:t>T</w:t>
      </w:r>
      <w:r w:rsidR="3266B38D" w:rsidRPr="00EC49D8">
        <w:t xml:space="preserve">he Chief Psychiatrist </w:t>
      </w:r>
      <w:r>
        <w:t xml:space="preserve">collects data </w:t>
      </w:r>
      <w:r w:rsidR="3266B38D" w:rsidRPr="00EC49D8">
        <w:t xml:space="preserve">to </w:t>
      </w:r>
      <w:r>
        <w:t xml:space="preserve">help </w:t>
      </w:r>
      <w:r w:rsidR="3266B38D" w:rsidRPr="00EC49D8">
        <w:t xml:space="preserve">monitor trends, identify issues and improve quality and safety in clinical services. This section of the report provides data and analysis </w:t>
      </w:r>
      <w:bookmarkStart w:id="25" w:name="_Hlk82767354"/>
      <w:r w:rsidR="00920F37">
        <w:t>for</w:t>
      </w:r>
      <w:r w:rsidR="00920F37" w:rsidRPr="00EC49D8">
        <w:t xml:space="preserve"> </w:t>
      </w:r>
      <w:r w:rsidR="3266B38D" w:rsidRPr="00EC49D8">
        <w:t xml:space="preserve">ECT, restrictive interventions and consumers’ deaths </w:t>
      </w:r>
      <w:bookmarkEnd w:id="25"/>
      <w:r w:rsidR="00920F37">
        <w:t>in</w:t>
      </w:r>
      <w:r w:rsidR="3266B38D" w:rsidRPr="00EC49D8">
        <w:t xml:space="preserve"> </w:t>
      </w:r>
      <w:r w:rsidR="00037739" w:rsidRPr="00EC49D8">
        <w:t>20</w:t>
      </w:r>
      <w:r w:rsidR="00037739">
        <w:t>23</w:t>
      </w:r>
      <w:r w:rsidR="3266B38D" w:rsidRPr="00EC49D8">
        <w:t>–</w:t>
      </w:r>
      <w:r w:rsidR="00037739">
        <w:t>24</w:t>
      </w:r>
      <w:r w:rsidR="3266B38D" w:rsidRPr="00EC49D8">
        <w:t>.</w:t>
      </w:r>
    </w:p>
    <w:p w14:paraId="45235E71" w14:textId="1EF15B5B" w:rsidR="00033301" w:rsidRDefault="00617164" w:rsidP="00563C62">
      <w:pPr>
        <w:pStyle w:val="Body"/>
      </w:pPr>
      <w:r>
        <w:t xml:space="preserve">The </w:t>
      </w:r>
      <w:r w:rsidR="006013F0">
        <w:t xml:space="preserve">data </w:t>
      </w:r>
      <w:r w:rsidR="00B573E4">
        <w:t>in this section</w:t>
      </w:r>
      <w:r w:rsidR="00736250">
        <w:t xml:space="preserve"> </w:t>
      </w:r>
      <w:r w:rsidR="00042503">
        <w:t>is grouped</w:t>
      </w:r>
      <w:r w:rsidR="00E933FC">
        <w:t xml:space="preserve"> </w:t>
      </w:r>
      <w:r w:rsidR="00E933FC" w:rsidRPr="00EC2812">
        <w:rPr>
          <w:i/>
          <w:iCs/>
        </w:rPr>
        <w:t>female</w:t>
      </w:r>
      <w:r w:rsidR="00E933FC">
        <w:t xml:space="preserve"> and </w:t>
      </w:r>
      <w:r w:rsidR="00E933FC" w:rsidRPr="00EC2812">
        <w:rPr>
          <w:i/>
          <w:iCs/>
        </w:rPr>
        <w:t>male</w:t>
      </w:r>
      <w:r w:rsidR="00E933FC">
        <w:t xml:space="preserve">. </w:t>
      </w:r>
      <w:r w:rsidR="00E62729">
        <w:t>T</w:t>
      </w:r>
      <w:r w:rsidR="00272F9A">
        <w:t xml:space="preserve">he </w:t>
      </w:r>
      <w:r w:rsidR="00E62729">
        <w:t>OCP</w:t>
      </w:r>
      <w:r w:rsidR="001501ED">
        <w:t xml:space="preserve"> acknowledge</w:t>
      </w:r>
      <w:r w:rsidR="00AD4311">
        <w:t>s</w:t>
      </w:r>
      <w:r w:rsidR="001501ED">
        <w:t xml:space="preserve"> that</w:t>
      </w:r>
      <w:r w:rsidR="00272F9A">
        <w:t xml:space="preserve"> </w:t>
      </w:r>
      <w:r w:rsidR="00AD4311">
        <w:t>some</w:t>
      </w:r>
      <w:r w:rsidR="001E000C">
        <w:t xml:space="preserve"> </w:t>
      </w:r>
      <w:r w:rsidR="001501ED">
        <w:t>people</w:t>
      </w:r>
      <w:r w:rsidR="001E000C">
        <w:t xml:space="preserve"> </w:t>
      </w:r>
      <w:r w:rsidR="001501ED">
        <w:t xml:space="preserve">express their </w:t>
      </w:r>
      <w:r w:rsidR="005112BA">
        <w:t xml:space="preserve">gender in ways that do not correspond with </w:t>
      </w:r>
      <w:r w:rsidR="0075166E">
        <w:t>the</w:t>
      </w:r>
      <w:r w:rsidR="00503EA2">
        <w:t>se</w:t>
      </w:r>
      <w:r w:rsidR="004D4154">
        <w:t xml:space="preserve"> </w:t>
      </w:r>
      <w:r w:rsidR="002F0E43">
        <w:t xml:space="preserve">binary </w:t>
      </w:r>
      <w:r w:rsidR="004D4154">
        <w:t>differences</w:t>
      </w:r>
      <w:r w:rsidR="005112BA">
        <w:t xml:space="preserve">. </w:t>
      </w:r>
      <w:r w:rsidR="00F95BCD">
        <w:t xml:space="preserve">This includes people who </w:t>
      </w:r>
      <w:r w:rsidR="00FC0384">
        <w:t>are gender non-binary, gender queer, agender or gender fluid</w:t>
      </w:r>
      <w:r w:rsidR="001B0934">
        <w:t>/diverse</w:t>
      </w:r>
      <w:r w:rsidR="002E63ED">
        <w:t xml:space="preserve">. </w:t>
      </w:r>
      <w:r w:rsidR="007767A1">
        <w:t xml:space="preserve">The OCP data systems are </w:t>
      </w:r>
      <w:r w:rsidR="00033301">
        <w:t>operating under</w:t>
      </w:r>
      <w:r w:rsidR="00B6028D">
        <w:t xml:space="preserve"> historical and current data</w:t>
      </w:r>
      <w:r w:rsidR="002510D3">
        <w:t>-</w:t>
      </w:r>
      <w:r w:rsidR="00B6028D">
        <w:t>gathering methods, wh</w:t>
      </w:r>
      <w:r w:rsidR="001D3A39">
        <w:t xml:space="preserve">ich </w:t>
      </w:r>
      <w:r w:rsidR="0042798C">
        <w:t xml:space="preserve">typically </w:t>
      </w:r>
      <w:r w:rsidR="001D3A39">
        <w:t>group</w:t>
      </w:r>
      <w:r w:rsidR="00B6028D">
        <w:t xml:space="preserve"> </w:t>
      </w:r>
      <w:r w:rsidR="00CC0B35">
        <w:t xml:space="preserve">data </w:t>
      </w:r>
      <w:r w:rsidR="00872012">
        <w:t>according to</w:t>
      </w:r>
      <w:r w:rsidR="00F22CC3">
        <w:t xml:space="preserve"> categories</w:t>
      </w:r>
      <w:r w:rsidR="00BE6A70">
        <w:t xml:space="preserve"> of biological sex</w:t>
      </w:r>
      <w:r w:rsidR="00413593">
        <w:t xml:space="preserve">. The </w:t>
      </w:r>
      <w:r w:rsidR="00E62729">
        <w:t>OCP</w:t>
      </w:r>
      <w:r w:rsidR="00413593">
        <w:t xml:space="preserve"> acknowledges th</w:t>
      </w:r>
      <w:r w:rsidR="009F56E1">
        <w:t>at th</w:t>
      </w:r>
      <w:r w:rsidR="00CC7252">
        <w:t xml:space="preserve">is binary approach does not provide a full picture of </w:t>
      </w:r>
      <w:r w:rsidR="00C91B49">
        <w:t>the experiences of consumers</w:t>
      </w:r>
      <w:r w:rsidR="005911AB">
        <w:t xml:space="preserve"> and</w:t>
      </w:r>
      <w:r w:rsidR="00C91B49">
        <w:t xml:space="preserve"> </w:t>
      </w:r>
      <w:r w:rsidR="00D93E4E">
        <w:t xml:space="preserve">is currently working towards adopting a more </w:t>
      </w:r>
      <w:r w:rsidR="00E7277E">
        <w:t>inclusive</w:t>
      </w:r>
      <w:r w:rsidR="00D93E4E">
        <w:t xml:space="preserve"> approach that better captures </w:t>
      </w:r>
      <w:r w:rsidR="0007442C">
        <w:t xml:space="preserve">the </w:t>
      </w:r>
      <w:r w:rsidR="00E549B7">
        <w:t xml:space="preserve">diverse ways people </w:t>
      </w:r>
      <w:r w:rsidR="00E7277E">
        <w:t xml:space="preserve">express </w:t>
      </w:r>
      <w:r w:rsidR="00E549B7">
        <w:t>their gender</w:t>
      </w:r>
      <w:r w:rsidR="00D93E4E">
        <w:t>.</w:t>
      </w:r>
    </w:p>
    <w:p w14:paraId="12633735" w14:textId="333A3036" w:rsidR="00381B2F" w:rsidRPr="002F6D1F" w:rsidRDefault="00381B2F" w:rsidP="00381B2F">
      <w:pPr>
        <w:pStyle w:val="Heading2"/>
        <w:rPr>
          <w:rFonts w:ascii="Calibri" w:eastAsia="Calibri" w:hAnsi="Calibri"/>
          <w:b w:val="0"/>
          <w:bCs/>
          <w:color w:val="auto"/>
          <w:sz w:val="22"/>
          <w:szCs w:val="22"/>
          <w:highlight w:val="magenta"/>
        </w:rPr>
      </w:pPr>
      <w:bookmarkStart w:id="26" w:name="_Toc52886240"/>
      <w:bookmarkStart w:id="27" w:name="_Toc180660135"/>
      <w:r>
        <w:t xml:space="preserve">Electroconvulsive </w:t>
      </w:r>
      <w:r w:rsidR="009C5265">
        <w:t>t</w:t>
      </w:r>
      <w:r w:rsidR="00CD424E">
        <w:t>reatment</w:t>
      </w:r>
      <w:r w:rsidR="0085233D">
        <w:t xml:space="preserve"> and </w:t>
      </w:r>
      <w:r w:rsidR="009C5265">
        <w:t>n</w:t>
      </w:r>
      <w:r w:rsidR="0085233D">
        <w:t>eurosurge</w:t>
      </w:r>
      <w:r w:rsidR="004C6694">
        <w:t>r</w:t>
      </w:r>
      <w:r w:rsidR="0085233D">
        <w:t>y</w:t>
      </w:r>
      <w:bookmarkEnd w:id="26"/>
      <w:bookmarkEnd w:id="27"/>
    </w:p>
    <w:p w14:paraId="42610908" w14:textId="372187D7" w:rsidR="00EF4255" w:rsidRDefault="00EF4255" w:rsidP="00BA76E0">
      <w:pPr>
        <w:pStyle w:val="Body"/>
        <w:spacing w:before="120"/>
      </w:pPr>
      <w:r>
        <w:t>ECT is a</w:t>
      </w:r>
      <w:r w:rsidR="003F511A">
        <w:t>n established,</w:t>
      </w:r>
      <w:r>
        <w:t xml:space="preserve"> safe, effective, evidence-based treatment </w:t>
      </w:r>
      <w:r w:rsidR="00612276">
        <w:t>for</w:t>
      </w:r>
      <w:r>
        <w:t xml:space="preserve"> mood disorders, psychosis and catatonia. It may be recommended when other medical treatments have not worked, take too long to work or cannot be undertaken safely. It might also be recommended to people for whom the treatment has worked well previously. </w:t>
      </w:r>
    </w:p>
    <w:p w14:paraId="6FE823EA" w14:textId="4BE115D9" w:rsidR="00EF4255" w:rsidRDefault="00EF4255" w:rsidP="00EF4255">
      <w:pPr>
        <w:pStyle w:val="Body"/>
      </w:pPr>
      <w:r>
        <w:t xml:space="preserve">ECT is now highly advanced and individually tailored to maximise its benefits and reduce side effects, including cognitive impairment. Adverse effects are minimised by preferentially applying stimulation to one side of the head (unilateral ECT) with the smallest possible dose of electrical stimulation. Bilateral ECT is used </w:t>
      </w:r>
      <w:r w:rsidR="181AD42D">
        <w:t xml:space="preserve">only </w:t>
      </w:r>
      <w:r>
        <w:t xml:space="preserve">when clinically indicated. </w:t>
      </w:r>
      <w:r w:rsidR="00475247">
        <w:t>Acute t</w:t>
      </w:r>
      <w:r>
        <w:t xml:space="preserve">reatments are typically administered on </w:t>
      </w:r>
      <w:r w:rsidR="00AD12EC">
        <w:t xml:space="preserve">2 </w:t>
      </w:r>
      <w:r>
        <w:t xml:space="preserve">or </w:t>
      </w:r>
      <w:r w:rsidR="00AD12EC">
        <w:t xml:space="preserve">3 </w:t>
      </w:r>
      <w:r>
        <w:t xml:space="preserve">occasions per week over </w:t>
      </w:r>
      <w:r w:rsidR="00AD12EC">
        <w:t xml:space="preserve">2 </w:t>
      </w:r>
      <w:r>
        <w:t xml:space="preserve">or more weeks. A small proportion of people benefit from ongoing </w:t>
      </w:r>
      <w:r w:rsidR="00475247">
        <w:t xml:space="preserve">or maintenance </w:t>
      </w:r>
      <w:r>
        <w:t>treatments to prevent relapse.</w:t>
      </w:r>
    </w:p>
    <w:p w14:paraId="5418E983" w14:textId="0DDC7A9B" w:rsidR="00833E5A" w:rsidRDefault="00475247" w:rsidP="47505B26">
      <w:pPr>
        <w:pStyle w:val="Body"/>
      </w:pPr>
      <w:r>
        <w:t>Both t</w:t>
      </w:r>
      <w:r w:rsidR="00381B2F">
        <w:t>he Chief Psychiatrist and the Mental Health Tribunal</w:t>
      </w:r>
      <w:r w:rsidR="00AF34B7">
        <w:t xml:space="preserve"> </w:t>
      </w:r>
      <w:r>
        <w:t>have a role in</w:t>
      </w:r>
      <w:r w:rsidR="00381B2F">
        <w:t xml:space="preserve"> overs</w:t>
      </w:r>
      <w:r w:rsidR="00931782">
        <w:t>eeing</w:t>
      </w:r>
      <w:r w:rsidR="00381B2F">
        <w:t xml:space="preserve"> ECT. </w:t>
      </w:r>
      <w:r w:rsidR="008B544A">
        <w:t>Public mental healt</w:t>
      </w:r>
      <w:r w:rsidR="00591B7A">
        <w:t>h and wellbeing s</w:t>
      </w:r>
      <w:r w:rsidR="00381B2F">
        <w:t>ervices must inform the Chief Psychiatrist of each treatment, stipulating the type of treatment and the reason for its use</w:t>
      </w:r>
      <w:r w:rsidR="003B73C1">
        <w:t>.</w:t>
      </w:r>
      <w:r w:rsidR="006C3FA5">
        <w:t xml:space="preserve"> D</w:t>
      </w:r>
      <w:r w:rsidR="00EB3635">
        <w:t xml:space="preserve">ata is reported </w:t>
      </w:r>
      <w:r w:rsidR="0072497C">
        <w:t>as amalgamated</w:t>
      </w:r>
      <w:r w:rsidR="00931782">
        <w:t xml:space="preserve"> and</w:t>
      </w:r>
      <w:r w:rsidR="0072497C">
        <w:t xml:space="preserve"> deidentified</w:t>
      </w:r>
      <w:r w:rsidR="00931782">
        <w:t>,</w:t>
      </w:r>
      <w:r w:rsidR="0072497C">
        <w:t xml:space="preserve"> some of which is provided below</w:t>
      </w:r>
      <w:r w:rsidR="00381B2F">
        <w:t>.</w:t>
      </w:r>
      <w:r w:rsidR="0057779F">
        <w:t xml:space="preserve"> </w:t>
      </w:r>
      <w:r w:rsidR="5EF0BD43">
        <w:t xml:space="preserve">Clinical decision making for </w:t>
      </w:r>
      <w:r w:rsidR="00931782">
        <w:t xml:space="preserve">people </w:t>
      </w:r>
      <w:r w:rsidR="00B33601">
        <w:t xml:space="preserve">receiving ECT may also be reviewed by the Chief Psychiatrist </w:t>
      </w:r>
      <w:r w:rsidR="23AFB97A">
        <w:t>on request</w:t>
      </w:r>
      <w:r w:rsidR="00B33601">
        <w:t xml:space="preserve"> </w:t>
      </w:r>
      <w:r w:rsidR="00931782">
        <w:t xml:space="preserve">– </w:t>
      </w:r>
      <w:r w:rsidR="00B33601">
        <w:t>for example</w:t>
      </w:r>
      <w:r w:rsidR="00931782">
        <w:t>,</w:t>
      </w:r>
      <w:r w:rsidR="00B33601">
        <w:t xml:space="preserve"> if there are adverse outcomes or complex clinical</w:t>
      </w:r>
      <w:r w:rsidR="00410F28">
        <w:t>, legal</w:t>
      </w:r>
      <w:r w:rsidR="00B33601">
        <w:t xml:space="preserve"> or ethical considerations</w:t>
      </w:r>
      <w:r w:rsidR="00381B2F">
        <w:t>.</w:t>
      </w:r>
      <w:r w:rsidR="0057779F">
        <w:t xml:space="preserve"> </w:t>
      </w:r>
    </w:p>
    <w:p w14:paraId="54640B7B" w14:textId="16DE1EB6" w:rsidR="009A189B" w:rsidRDefault="00931782" w:rsidP="47505B26">
      <w:pPr>
        <w:pStyle w:val="Body"/>
      </w:pPr>
      <w:r>
        <w:t>In 2023 t</w:t>
      </w:r>
      <w:r w:rsidR="3336CBE3">
        <w:t xml:space="preserve">he Chief Psychiatrist </w:t>
      </w:r>
      <w:r>
        <w:t xml:space="preserve">set up </w:t>
      </w:r>
      <w:r w:rsidR="3336CBE3">
        <w:t xml:space="preserve">the ECT Complex Consultation Expert Panel to discuss clinically, legally and ethically complex matters related to </w:t>
      </w:r>
      <w:r w:rsidR="006D10E2">
        <w:t>ECT</w:t>
      </w:r>
      <w:r>
        <w:t xml:space="preserve">. The panel’s intent is </w:t>
      </w:r>
      <w:r w:rsidR="003D7B60">
        <w:t xml:space="preserve">to </w:t>
      </w:r>
      <w:r>
        <w:t>help consolidate</w:t>
      </w:r>
      <w:r w:rsidR="00496FAA">
        <w:t xml:space="preserve"> </w:t>
      </w:r>
      <w:r w:rsidR="003D7B60">
        <w:t>learnings and provid</w:t>
      </w:r>
      <w:r>
        <w:t>e</w:t>
      </w:r>
      <w:r w:rsidR="003D7B60">
        <w:t xml:space="preserve"> advice to the sector</w:t>
      </w:r>
      <w:r w:rsidR="3336CBE3">
        <w:t xml:space="preserve">. </w:t>
      </w:r>
      <w:r w:rsidR="00CA1371">
        <w:t xml:space="preserve">To date it has considered </w:t>
      </w:r>
      <w:r w:rsidR="00AD12EC">
        <w:t xml:space="preserve">3 </w:t>
      </w:r>
      <w:r w:rsidR="00CA1371">
        <w:t>such cases</w:t>
      </w:r>
      <w:r>
        <w:t>,</w:t>
      </w:r>
      <w:r w:rsidR="00CA1371">
        <w:t xml:space="preserve"> and </w:t>
      </w:r>
      <w:r>
        <w:t xml:space="preserve">lessons </w:t>
      </w:r>
      <w:r w:rsidR="00CA1371">
        <w:t>have been fed</w:t>
      </w:r>
      <w:r>
        <w:t xml:space="preserve"> </w:t>
      </w:r>
      <w:r w:rsidR="00CA1371">
        <w:t xml:space="preserve">back to the sector via various </w:t>
      </w:r>
      <w:r w:rsidR="009A189B">
        <w:t xml:space="preserve">means. </w:t>
      </w:r>
      <w:r w:rsidR="00327ADD">
        <w:t>T</w:t>
      </w:r>
      <w:r w:rsidR="00496FAA">
        <w:t xml:space="preserve">he panel </w:t>
      </w:r>
      <w:r w:rsidR="00E57F0A">
        <w:t>wa</w:t>
      </w:r>
      <w:r w:rsidR="00BF2A7D">
        <w:t xml:space="preserve">s not </w:t>
      </w:r>
      <w:r>
        <w:t xml:space="preserve">set up </w:t>
      </w:r>
      <w:r w:rsidR="00BF2A7D">
        <w:t>to give urgent clinical opinions</w:t>
      </w:r>
      <w:r w:rsidR="773AF33C">
        <w:t>,</w:t>
      </w:r>
      <w:r w:rsidR="00BF2A7D">
        <w:t xml:space="preserve"> </w:t>
      </w:r>
      <w:r w:rsidR="005B2C79">
        <w:t xml:space="preserve">and </w:t>
      </w:r>
      <w:r w:rsidR="002439B9">
        <w:t xml:space="preserve">clinical governance </w:t>
      </w:r>
      <w:r w:rsidR="5EA32C49">
        <w:t>still</w:t>
      </w:r>
      <w:r w:rsidR="002439B9">
        <w:t xml:space="preserve"> sits with the treating service.</w:t>
      </w:r>
      <w:r w:rsidR="3336CBE3">
        <w:t xml:space="preserve"> </w:t>
      </w:r>
    </w:p>
    <w:p w14:paraId="63D40430" w14:textId="73D9BF82" w:rsidR="009A189B" w:rsidRDefault="00931782" w:rsidP="47505B26">
      <w:pPr>
        <w:pStyle w:val="Body"/>
      </w:pPr>
      <w:r>
        <w:t>Also</w:t>
      </w:r>
      <w:r w:rsidR="3336CBE3">
        <w:t xml:space="preserve">, ongoing </w:t>
      </w:r>
      <w:r w:rsidR="009A189B">
        <w:t xml:space="preserve">individual </w:t>
      </w:r>
      <w:r w:rsidR="3336CBE3">
        <w:t xml:space="preserve">monitoring of ECT </w:t>
      </w:r>
      <w:r w:rsidR="009A189B">
        <w:t xml:space="preserve">for </w:t>
      </w:r>
      <w:r w:rsidR="3336CBE3">
        <w:t xml:space="preserve">young people under 18 is maintained to enhance oversight for this vulnerable </w:t>
      </w:r>
      <w:r w:rsidR="625C512D">
        <w:t>cohort</w:t>
      </w:r>
      <w:r w:rsidR="3336CBE3">
        <w:t xml:space="preserve">. </w:t>
      </w:r>
      <w:r w:rsidR="004D383C">
        <w:t xml:space="preserve">The </w:t>
      </w:r>
      <w:r w:rsidR="007B5B5D">
        <w:t xml:space="preserve">Mental Health Tribunal </w:t>
      </w:r>
      <w:r w:rsidR="004D383C">
        <w:t>is responsible for authori</w:t>
      </w:r>
      <w:r w:rsidR="7B97288A">
        <w:t>s</w:t>
      </w:r>
      <w:r>
        <w:t>ing</w:t>
      </w:r>
      <w:r w:rsidR="004D383C">
        <w:t xml:space="preserve"> ECT </w:t>
      </w:r>
      <w:r w:rsidR="6AA7E674">
        <w:t xml:space="preserve">for </w:t>
      </w:r>
      <w:r>
        <w:t xml:space="preserve">people </w:t>
      </w:r>
      <w:r w:rsidR="4C222CAD">
        <w:t xml:space="preserve">who lack the capacity </w:t>
      </w:r>
      <w:r w:rsidR="004D383C">
        <w:t>to provide consent</w:t>
      </w:r>
      <w:r w:rsidR="0879E1FA">
        <w:t>. C</w:t>
      </w:r>
      <w:r w:rsidR="004D383C">
        <w:t xml:space="preserve">onsent is provided through the </w:t>
      </w:r>
      <w:r w:rsidR="0039654A">
        <w:t>Act</w:t>
      </w:r>
      <w:r w:rsidR="004D383C">
        <w:t xml:space="preserve"> or through the medical decision</w:t>
      </w:r>
      <w:r>
        <w:t>-</w:t>
      </w:r>
      <w:r w:rsidR="004D383C">
        <w:t xml:space="preserve">maker, for all </w:t>
      </w:r>
      <w:r>
        <w:t xml:space="preserve">people </w:t>
      </w:r>
      <w:r w:rsidR="004D383C">
        <w:t xml:space="preserve">under 18 years of age. </w:t>
      </w:r>
    </w:p>
    <w:p w14:paraId="67023905" w14:textId="3010C24C" w:rsidR="00291409" w:rsidRDefault="00931782" w:rsidP="47505B26">
      <w:pPr>
        <w:pStyle w:val="Body"/>
      </w:pPr>
      <w:r>
        <w:lastRenderedPageBreak/>
        <w:t>T</w:t>
      </w:r>
      <w:r w:rsidR="3336CBE3">
        <w:t xml:space="preserve">he Chief Psychiatrist </w:t>
      </w:r>
      <w:r>
        <w:t xml:space="preserve">also </w:t>
      </w:r>
      <w:r w:rsidR="00233403">
        <w:t>receives</w:t>
      </w:r>
      <w:r w:rsidR="4FB807C8">
        <w:t xml:space="preserve"> </w:t>
      </w:r>
      <w:r w:rsidR="3336CBE3">
        <w:t xml:space="preserve">notifications from the </w:t>
      </w:r>
      <w:r w:rsidR="007B5B5D">
        <w:t xml:space="preserve">Mental Health Tribunal </w:t>
      </w:r>
      <w:r w:rsidR="00D239DF">
        <w:t xml:space="preserve">about </w:t>
      </w:r>
      <w:r w:rsidR="3336CBE3">
        <w:t>approv</w:t>
      </w:r>
      <w:r w:rsidR="008E5CC0">
        <w:t>al for</w:t>
      </w:r>
      <w:r w:rsidR="3336CBE3">
        <w:t xml:space="preserve"> ne</w:t>
      </w:r>
      <w:r w:rsidR="40D71CD9">
        <w:t>urosurgery for mental health consumers</w:t>
      </w:r>
      <w:r w:rsidR="0039654A">
        <w:t>. T</w:t>
      </w:r>
      <w:r w:rsidR="40D71CD9">
        <w:t xml:space="preserve">he OCP </w:t>
      </w:r>
      <w:r w:rsidR="008E5CC0">
        <w:t>engages</w:t>
      </w:r>
      <w:r w:rsidR="3336CBE3">
        <w:t xml:space="preserve"> with relevant services to </w:t>
      </w:r>
      <w:r w:rsidR="7ECECED3">
        <w:t>ensur</w:t>
      </w:r>
      <w:r w:rsidR="3336CBE3">
        <w:t>e quality care and improved oversight.</w:t>
      </w:r>
      <w:r w:rsidR="079DB04B">
        <w:t xml:space="preserve"> </w:t>
      </w:r>
    </w:p>
    <w:p w14:paraId="5C071976" w14:textId="75C2DDAC" w:rsidR="3336CBE3" w:rsidRDefault="079DB04B" w:rsidP="47505B26">
      <w:pPr>
        <w:pStyle w:val="Body"/>
      </w:pPr>
      <w:r>
        <w:t>The Chief Psychiatrist plan</w:t>
      </w:r>
      <w:r w:rsidR="004A7B2D">
        <w:t>s</w:t>
      </w:r>
      <w:r>
        <w:t xml:space="preserve"> to re-commence </w:t>
      </w:r>
      <w:r w:rsidR="00F25734">
        <w:t xml:space="preserve">the </w:t>
      </w:r>
      <w:r>
        <w:t xml:space="preserve">ECT </w:t>
      </w:r>
      <w:r w:rsidR="5B33C430">
        <w:t>Education</w:t>
      </w:r>
      <w:r>
        <w:t xml:space="preserve"> Forum </w:t>
      </w:r>
      <w:r w:rsidR="00D239DF">
        <w:t xml:space="preserve">in </w:t>
      </w:r>
      <w:r>
        <w:t>2025 to bring knowledge and build ca</w:t>
      </w:r>
      <w:r w:rsidR="17F1FC0D">
        <w:t xml:space="preserve">pacity for the sector. </w:t>
      </w:r>
    </w:p>
    <w:p w14:paraId="3DDB76B2" w14:textId="2DDC3536" w:rsidR="00381B2F" w:rsidRPr="00477ED3" w:rsidRDefault="00381B2F" w:rsidP="00381B2F">
      <w:pPr>
        <w:pStyle w:val="Heading3"/>
        <w:rPr>
          <w:sz w:val="22"/>
          <w:szCs w:val="22"/>
        </w:rPr>
      </w:pPr>
      <w:bookmarkStart w:id="28" w:name="_Toc52886241"/>
      <w:r w:rsidRPr="33B77389">
        <w:t>Electroconvulsive treatment in public mental health services</w:t>
      </w:r>
      <w:bookmarkEnd w:id="28"/>
    </w:p>
    <w:p w14:paraId="62F03045" w14:textId="3A92DBED" w:rsidR="006B3F7E" w:rsidRDefault="00381B2F" w:rsidP="00233403">
      <w:pPr>
        <w:pStyle w:val="Body"/>
        <w:spacing w:before="120"/>
        <w:rPr>
          <w:rFonts w:eastAsia="Arial"/>
          <w:b/>
        </w:rPr>
      </w:pPr>
      <w:r w:rsidRPr="00A809FE">
        <w:t xml:space="preserve">In </w:t>
      </w:r>
      <w:r w:rsidR="002233A8" w:rsidRPr="00A809FE">
        <w:t>20</w:t>
      </w:r>
      <w:r w:rsidR="002233A8">
        <w:t>2</w:t>
      </w:r>
      <w:r w:rsidR="00310E8F">
        <w:t>3</w:t>
      </w:r>
      <w:r w:rsidR="002233A8">
        <w:t>–2</w:t>
      </w:r>
      <w:r w:rsidR="00310E8F">
        <w:t>4</w:t>
      </w:r>
      <w:r w:rsidR="000D300F">
        <w:t>,</w:t>
      </w:r>
      <w:r w:rsidRPr="00A809FE">
        <w:t xml:space="preserve"> </w:t>
      </w:r>
      <w:r w:rsidR="00310E8F">
        <w:t>942</w:t>
      </w:r>
      <w:r w:rsidR="00310E8F" w:rsidRPr="00A809FE">
        <w:t xml:space="preserve"> </w:t>
      </w:r>
      <w:r w:rsidRPr="00A809FE">
        <w:t>people received ECT</w:t>
      </w:r>
      <w:r w:rsidR="00EB7F4C">
        <w:t xml:space="preserve"> (Table </w:t>
      </w:r>
      <w:r w:rsidR="00BC0D9B">
        <w:t>1</w:t>
      </w:r>
      <w:r w:rsidR="00280C7F">
        <w:t>)</w:t>
      </w:r>
      <w:r w:rsidR="000D300F">
        <w:t>,</w:t>
      </w:r>
      <w:r w:rsidR="00413A67">
        <w:t xml:space="preserve"> w</w:t>
      </w:r>
      <w:r w:rsidR="00D37BD5" w:rsidRPr="00D37BD5">
        <w:t>ith 11,</w:t>
      </w:r>
      <w:r w:rsidR="00FA3150">
        <w:t>860</w:t>
      </w:r>
      <w:r w:rsidR="00D37BD5" w:rsidRPr="00D37BD5">
        <w:t xml:space="preserve"> </w:t>
      </w:r>
      <w:r w:rsidR="00887F92">
        <w:t xml:space="preserve">individual </w:t>
      </w:r>
      <w:r w:rsidR="00D37BD5" w:rsidRPr="00D37BD5">
        <w:t>ECT treatments delivered</w:t>
      </w:r>
      <w:r w:rsidR="003E42D4">
        <w:t>. T</w:t>
      </w:r>
      <w:r w:rsidR="00D37BD5" w:rsidRPr="00D37BD5">
        <w:t xml:space="preserve">he </w:t>
      </w:r>
      <w:r w:rsidR="00887F92">
        <w:t>average</w:t>
      </w:r>
      <w:r w:rsidR="00D37BD5" w:rsidRPr="00D37BD5">
        <w:t xml:space="preserve"> rate of treatments delivered per person was </w:t>
      </w:r>
      <w:r w:rsidR="00EE4EC1">
        <w:t>12.6</w:t>
      </w:r>
      <w:r w:rsidR="00BB011A">
        <w:t>.</w:t>
      </w:r>
    </w:p>
    <w:p w14:paraId="157F05A1" w14:textId="739A5FDD" w:rsidR="00453D9E" w:rsidRPr="00453D9E" w:rsidRDefault="00381B2F" w:rsidP="00453D9E">
      <w:pPr>
        <w:pStyle w:val="Tablecaption"/>
        <w:spacing w:after="0"/>
        <w:rPr>
          <w:rFonts w:eastAsia="Arial"/>
        </w:rPr>
      </w:pPr>
      <w:r w:rsidRPr="00E9A183">
        <w:rPr>
          <w:rFonts w:eastAsia="Arial"/>
        </w:rPr>
        <w:t xml:space="preserve">Table </w:t>
      </w:r>
      <w:r w:rsidR="00BC0D9B">
        <w:rPr>
          <w:rFonts w:eastAsia="Arial"/>
        </w:rPr>
        <w:t>1</w:t>
      </w:r>
      <w:r w:rsidRPr="00E9A183">
        <w:rPr>
          <w:rFonts w:eastAsia="Arial"/>
          <w:iCs/>
        </w:rPr>
        <w:t>:</w:t>
      </w:r>
      <w:r w:rsidRPr="00E9A183">
        <w:rPr>
          <w:rFonts w:eastAsia="Arial"/>
        </w:rPr>
        <w:t xml:space="preserve"> Number of treatments and people treated by ECT</w:t>
      </w:r>
      <w:r w:rsidR="00D437C5">
        <w:rPr>
          <w:rFonts w:eastAsia="Arial"/>
        </w:rPr>
        <w:t xml:space="preserve"> in public hospitals</w:t>
      </w:r>
      <w:r w:rsidRPr="00E9A183">
        <w:rPr>
          <w:rFonts w:eastAsia="Arial"/>
        </w:rPr>
        <w:t>, 201</w:t>
      </w:r>
      <w:r w:rsidR="00540D28">
        <w:rPr>
          <w:rFonts w:eastAsia="Arial"/>
        </w:rPr>
        <w:t>9</w:t>
      </w:r>
      <w:r w:rsidR="0012686C">
        <w:rPr>
          <w:rFonts w:eastAsia="Arial"/>
        </w:rPr>
        <w:t>–</w:t>
      </w:r>
      <w:r w:rsidR="00540D28">
        <w:rPr>
          <w:rFonts w:eastAsia="Arial"/>
        </w:rPr>
        <w:t>20</w:t>
      </w:r>
      <w:r w:rsidRPr="00E9A183">
        <w:rPr>
          <w:rFonts w:eastAsia="Arial"/>
        </w:rPr>
        <w:t xml:space="preserve"> to 20</w:t>
      </w:r>
      <w:r w:rsidR="00E93616">
        <w:rPr>
          <w:rFonts w:eastAsia="Arial"/>
        </w:rPr>
        <w:t>23</w:t>
      </w:r>
      <w:r w:rsidR="0012686C">
        <w:rPr>
          <w:rFonts w:eastAsia="Arial"/>
        </w:rPr>
        <w:t>–</w:t>
      </w:r>
      <w:r w:rsidRPr="002D796E">
        <w:rPr>
          <w:rFonts w:eastAsia="Arial"/>
        </w:rPr>
        <w:t>2</w:t>
      </w:r>
      <w:r w:rsidR="00E93616">
        <w:rPr>
          <w:rFonts w:eastAsia="Arial"/>
        </w:rPr>
        <w:t>4</w:t>
      </w:r>
    </w:p>
    <w:tbl>
      <w:tblPr>
        <w:tblStyle w:val="TableGrid"/>
        <w:tblpPr w:leftFromText="180" w:rightFromText="180" w:vertAnchor="text" w:horzAnchor="page" w:tblpX="1316" w:tblpY="279"/>
        <w:tblOverlap w:val="never"/>
        <w:tblW w:w="9351"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72"/>
        <w:gridCol w:w="1275"/>
        <w:gridCol w:w="1276"/>
        <w:gridCol w:w="1276"/>
        <w:gridCol w:w="1276"/>
        <w:gridCol w:w="1276"/>
      </w:tblGrid>
      <w:tr w:rsidR="009C4798" w14:paraId="3E223330" w14:textId="77777777" w:rsidTr="00D665F6">
        <w:trPr>
          <w:tblHeader/>
        </w:trPr>
        <w:tc>
          <w:tcPr>
            <w:tcW w:w="2972" w:type="dxa"/>
            <w:shd w:val="clear" w:color="auto" w:fill="244C5A"/>
          </w:tcPr>
          <w:p w14:paraId="70251D8C" w14:textId="0C54D437" w:rsidR="009C4798" w:rsidRPr="007A09B2" w:rsidRDefault="009C4798" w:rsidP="00226A89">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Measure</w:t>
            </w:r>
          </w:p>
        </w:tc>
        <w:tc>
          <w:tcPr>
            <w:tcW w:w="1275" w:type="dxa"/>
            <w:shd w:val="clear" w:color="auto" w:fill="244C5A"/>
          </w:tcPr>
          <w:p w14:paraId="1864297E" w14:textId="77777777" w:rsidR="009C4798" w:rsidRPr="007A09B2" w:rsidRDefault="009C4798" w:rsidP="00226A89">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2019–20</w:t>
            </w:r>
          </w:p>
        </w:tc>
        <w:tc>
          <w:tcPr>
            <w:tcW w:w="1276" w:type="dxa"/>
            <w:shd w:val="clear" w:color="auto" w:fill="244C5A"/>
          </w:tcPr>
          <w:p w14:paraId="55988B8E" w14:textId="77777777" w:rsidR="009C4798" w:rsidRPr="007A09B2" w:rsidRDefault="009C4798" w:rsidP="00226A89">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2020–21</w:t>
            </w:r>
          </w:p>
        </w:tc>
        <w:tc>
          <w:tcPr>
            <w:tcW w:w="1276" w:type="dxa"/>
            <w:shd w:val="clear" w:color="auto" w:fill="244C5A"/>
          </w:tcPr>
          <w:p w14:paraId="582EBD0C" w14:textId="77777777" w:rsidR="009C4798" w:rsidRPr="007A09B2" w:rsidRDefault="009C4798" w:rsidP="00226A89">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2021–22</w:t>
            </w:r>
          </w:p>
        </w:tc>
        <w:tc>
          <w:tcPr>
            <w:tcW w:w="1276" w:type="dxa"/>
            <w:shd w:val="clear" w:color="auto" w:fill="244C5A"/>
          </w:tcPr>
          <w:p w14:paraId="141755DF" w14:textId="77777777" w:rsidR="009C4798" w:rsidRPr="007A09B2" w:rsidRDefault="009C4798" w:rsidP="00226A89">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2022–23</w:t>
            </w:r>
          </w:p>
        </w:tc>
        <w:tc>
          <w:tcPr>
            <w:tcW w:w="1276" w:type="dxa"/>
            <w:shd w:val="clear" w:color="auto" w:fill="244C5A"/>
          </w:tcPr>
          <w:p w14:paraId="5E45FDB0" w14:textId="77777777" w:rsidR="009C4798" w:rsidRPr="007A09B2" w:rsidRDefault="009C4798" w:rsidP="00226A89">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2023–24</w:t>
            </w:r>
          </w:p>
        </w:tc>
      </w:tr>
      <w:tr w:rsidR="009C4798" w14:paraId="5D22F8AB" w14:textId="77777777" w:rsidTr="009C4798">
        <w:tc>
          <w:tcPr>
            <w:tcW w:w="2972" w:type="dxa"/>
          </w:tcPr>
          <w:p w14:paraId="411281A5" w14:textId="77777777" w:rsidR="009C4798" w:rsidRPr="00185026" w:rsidRDefault="009C4798" w:rsidP="00226A89">
            <w:pPr>
              <w:pStyle w:val="EmptyLayoutCell"/>
              <w:spacing w:before="60" w:after="60"/>
              <w:rPr>
                <w:rFonts w:ascii="Arial" w:hAnsi="Arial" w:cs="Arial"/>
                <w:sz w:val="18"/>
                <w:szCs w:val="18"/>
              </w:rPr>
            </w:pPr>
            <w:r w:rsidRPr="00185026">
              <w:rPr>
                <w:rFonts w:ascii="Arial" w:hAnsi="Arial" w:cs="Arial"/>
                <w:sz w:val="18"/>
                <w:szCs w:val="18"/>
              </w:rPr>
              <w:t>Number of ECT treatments</w:t>
            </w:r>
          </w:p>
        </w:tc>
        <w:tc>
          <w:tcPr>
            <w:tcW w:w="1275" w:type="dxa"/>
          </w:tcPr>
          <w:p w14:paraId="0850FDE5"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12,107</w:t>
            </w:r>
          </w:p>
        </w:tc>
        <w:tc>
          <w:tcPr>
            <w:tcW w:w="1276" w:type="dxa"/>
          </w:tcPr>
          <w:p w14:paraId="2629020D"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11,982</w:t>
            </w:r>
          </w:p>
        </w:tc>
        <w:tc>
          <w:tcPr>
            <w:tcW w:w="1276" w:type="dxa"/>
          </w:tcPr>
          <w:p w14:paraId="0E40679F"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11,947</w:t>
            </w:r>
          </w:p>
        </w:tc>
        <w:tc>
          <w:tcPr>
            <w:tcW w:w="1276" w:type="dxa"/>
          </w:tcPr>
          <w:p w14:paraId="57D3E965"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11,787</w:t>
            </w:r>
          </w:p>
        </w:tc>
        <w:tc>
          <w:tcPr>
            <w:tcW w:w="1276" w:type="dxa"/>
          </w:tcPr>
          <w:p w14:paraId="77ADAF17"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11,860</w:t>
            </w:r>
          </w:p>
        </w:tc>
      </w:tr>
      <w:tr w:rsidR="009C4798" w14:paraId="3A1E330E" w14:textId="77777777" w:rsidTr="009C4798">
        <w:tc>
          <w:tcPr>
            <w:tcW w:w="2972" w:type="dxa"/>
          </w:tcPr>
          <w:p w14:paraId="21AAA6F1" w14:textId="77777777" w:rsidR="009C4798" w:rsidRPr="00185026" w:rsidRDefault="009C4798" w:rsidP="00226A89">
            <w:pPr>
              <w:pStyle w:val="EmptyLayoutCell"/>
              <w:spacing w:before="60" w:after="60"/>
              <w:rPr>
                <w:rFonts w:ascii="Arial" w:hAnsi="Arial" w:cs="Arial"/>
                <w:sz w:val="18"/>
                <w:szCs w:val="18"/>
              </w:rPr>
            </w:pPr>
            <w:r w:rsidRPr="00185026">
              <w:rPr>
                <w:rFonts w:ascii="Arial" w:hAnsi="Arial" w:cs="Arial"/>
                <w:sz w:val="18"/>
                <w:szCs w:val="18"/>
              </w:rPr>
              <w:t>Number of people receiving ECT</w:t>
            </w:r>
          </w:p>
        </w:tc>
        <w:tc>
          <w:tcPr>
            <w:tcW w:w="1275" w:type="dxa"/>
          </w:tcPr>
          <w:p w14:paraId="04119669"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893</w:t>
            </w:r>
          </w:p>
        </w:tc>
        <w:tc>
          <w:tcPr>
            <w:tcW w:w="1276" w:type="dxa"/>
          </w:tcPr>
          <w:p w14:paraId="31C3FE2E"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910</w:t>
            </w:r>
          </w:p>
        </w:tc>
        <w:tc>
          <w:tcPr>
            <w:tcW w:w="1276" w:type="dxa"/>
          </w:tcPr>
          <w:p w14:paraId="46FB01DA"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894</w:t>
            </w:r>
          </w:p>
        </w:tc>
        <w:tc>
          <w:tcPr>
            <w:tcW w:w="1276" w:type="dxa"/>
          </w:tcPr>
          <w:p w14:paraId="2682EB8D"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887</w:t>
            </w:r>
          </w:p>
        </w:tc>
        <w:tc>
          <w:tcPr>
            <w:tcW w:w="1276" w:type="dxa"/>
          </w:tcPr>
          <w:p w14:paraId="07935485" w14:textId="77777777" w:rsidR="009C4798" w:rsidRPr="00185026" w:rsidRDefault="009C4798" w:rsidP="00226A89">
            <w:pPr>
              <w:pStyle w:val="EmptyLayoutCell"/>
              <w:spacing w:before="60" w:after="60"/>
              <w:rPr>
                <w:rFonts w:ascii="Arial" w:hAnsi="Arial" w:cs="Arial"/>
                <w:sz w:val="18"/>
                <w:szCs w:val="18"/>
              </w:rPr>
            </w:pPr>
            <w:r w:rsidRPr="00397395">
              <w:rPr>
                <w:rFonts w:ascii="Arial" w:eastAsia="Verdana" w:hAnsi="Arial" w:cs="Arial"/>
                <w:color w:val="000000"/>
                <w:sz w:val="18"/>
                <w:szCs w:val="18"/>
              </w:rPr>
              <w:t>942</w:t>
            </w:r>
          </w:p>
        </w:tc>
      </w:tr>
    </w:tbl>
    <w:p w14:paraId="4B067B9C" w14:textId="45F08EEE" w:rsidR="00381B2F" w:rsidRPr="00A809FE" w:rsidRDefault="008C005D" w:rsidP="00643556">
      <w:pPr>
        <w:pStyle w:val="Bodyaftertable"/>
      </w:pPr>
      <w:r>
        <w:t>V</w:t>
      </w:r>
      <w:r w:rsidR="005315DD">
        <w:t>ariation</w:t>
      </w:r>
      <w:r w:rsidR="00381B2F">
        <w:t xml:space="preserve"> </w:t>
      </w:r>
      <w:r w:rsidR="002F6358">
        <w:t xml:space="preserve">from </w:t>
      </w:r>
      <w:r w:rsidR="00416589">
        <w:t>20</w:t>
      </w:r>
      <w:r w:rsidR="00E43980">
        <w:t>19–</w:t>
      </w:r>
      <w:r w:rsidR="00416589">
        <w:t>20</w:t>
      </w:r>
      <w:r w:rsidR="00E43980">
        <w:t xml:space="preserve"> t</w:t>
      </w:r>
      <w:r w:rsidR="003A3954">
        <w:t xml:space="preserve">o </w:t>
      </w:r>
      <w:r w:rsidR="002F6358">
        <w:t>202</w:t>
      </w:r>
      <w:r w:rsidR="00416589">
        <w:t>3</w:t>
      </w:r>
      <w:r w:rsidR="002F6358">
        <w:t>–</w:t>
      </w:r>
      <w:r w:rsidR="00416589">
        <w:t xml:space="preserve">24 </w:t>
      </w:r>
      <w:r w:rsidR="00764165">
        <w:t xml:space="preserve">is </w:t>
      </w:r>
      <w:r w:rsidR="0008025C">
        <w:t>not significant</w:t>
      </w:r>
      <w:r w:rsidR="00764165">
        <w:t xml:space="preserve"> despite the impact on practice</w:t>
      </w:r>
      <w:r w:rsidR="00381B2F">
        <w:t xml:space="preserve"> due to COVI</w:t>
      </w:r>
      <w:r w:rsidR="00892ED8">
        <w:t>D-19</w:t>
      </w:r>
      <w:r w:rsidR="00764165">
        <w:t xml:space="preserve"> during this time</w:t>
      </w:r>
      <w:r w:rsidR="00381B2F">
        <w:t>.</w:t>
      </w:r>
      <w:r w:rsidR="0057779F">
        <w:t xml:space="preserve"> </w:t>
      </w:r>
    </w:p>
    <w:p w14:paraId="52C0FC04" w14:textId="32BEBC34" w:rsidR="00381B2F" w:rsidRDefault="00381B2F" w:rsidP="00563C62">
      <w:pPr>
        <w:pStyle w:val="Body"/>
      </w:pPr>
      <w:r>
        <w:t>M</w:t>
      </w:r>
      <w:r w:rsidR="7EE267EB">
        <w:t>ajor affective and other mood disorders</w:t>
      </w:r>
      <w:r>
        <w:t xml:space="preserve"> accounted for </w:t>
      </w:r>
      <w:r w:rsidR="005505E8" w:rsidRPr="008361BE">
        <w:t>60</w:t>
      </w:r>
      <w:r w:rsidR="0094775C">
        <w:t>%</w:t>
      </w:r>
      <w:r w:rsidR="003C3A4C">
        <w:t xml:space="preserve"> </w:t>
      </w:r>
      <w:r>
        <w:t>of treatments in 20</w:t>
      </w:r>
      <w:r w:rsidR="00BB18EE">
        <w:t>2</w:t>
      </w:r>
      <w:r w:rsidR="00FA3150">
        <w:t>3</w:t>
      </w:r>
      <w:r>
        <w:t>–</w:t>
      </w:r>
      <w:r w:rsidR="00BB18EE">
        <w:t>2</w:t>
      </w:r>
      <w:r w:rsidR="00FA3150">
        <w:t>4</w:t>
      </w:r>
      <w:r>
        <w:t>, followed by schizophrenia and other psychoses</w:t>
      </w:r>
      <w:r w:rsidR="00C81282">
        <w:t>,</w:t>
      </w:r>
      <w:r w:rsidR="00A57F59">
        <w:t xml:space="preserve"> which accounted for 36%</w:t>
      </w:r>
      <w:r w:rsidR="00C81282">
        <w:t xml:space="preserve"> of treatments</w:t>
      </w:r>
      <w:r>
        <w:t xml:space="preserve"> (Table </w:t>
      </w:r>
      <w:r w:rsidR="0061119B">
        <w:t>2</w:t>
      </w:r>
      <w:r>
        <w:t>).</w:t>
      </w:r>
      <w:r w:rsidR="5348A4EF">
        <w:t xml:space="preserve"> </w:t>
      </w:r>
      <w:r w:rsidR="00B028AB">
        <w:t>T</w:t>
      </w:r>
      <w:r w:rsidR="5348A4EF">
        <w:t xml:space="preserve">he </w:t>
      </w:r>
      <w:r w:rsidR="00E1011C">
        <w:t>‘</w:t>
      </w:r>
      <w:r w:rsidR="5348A4EF">
        <w:t>no mental health diagnosis recorded</w:t>
      </w:r>
      <w:r w:rsidR="00E1011C">
        <w:t>’</w:t>
      </w:r>
      <w:r w:rsidR="5348A4EF">
        <w:t xml:space="preserve"> </w:t>
      </w:r>
      <w:r w:rsidR="00C37083">
        <w:t xml:space="preserve">component of Table 2 </w:t>
      </w:r>
      <w:r w:rsidR="5348A4EF">
        <w:t>is</w:t>
      </w:r>
      <w:r w:rsidR="6D5D8B63">
        <w:t xml:space="preserve"> predominantly</w:t>
      </w:r>
      <w:r w:rsidR="469B3E2F">
        <w:t xml:space="preserve"> </w:t>
      </w:r>
      <w:r w:rsidR="00E26470">
        <w:t xml:space="preserve">a </w:t>
      </w:r>
      <w:r w:rsidR="5348A4EF">
        <w:t>data collection limitation</w:t>
      </w:r>
      <w:r w:rsidR="000C70A0">
        <w:t xml:space="preserve"> because</w:t>
      </w:r>
      <w:r w:rsidR="5348A4EF">
        <w:t xml:space="preserve"> </w:t>
      </w:r>
      <w:r w:rsidR="102D8E27">
        <w:t xml:space="preserve">there are very few indications for </w:t>
      </w:r>
      <w:r w:rsidR="5348A4EF">
        <w:t>ECT without a mental health diagnosis.</w:t>
      </w:r>
      <w:r w:rsidR="25B8BB15">
        <w:t xml:space="preserve"> These include in rare circumstances some acute neurological conditions.</w:t>
      </w:r>
    </w:p>
    <w:p w14:paraId="78D66B02" w14:textId="40C5EB44" w:rsidR="00932FC3" w:rsidRDefault="00BE653B" w:rsidP="00363C00">
      <w:pPr>
        <w:pStyle w:val="Figurecaption"/>
        <w:rPr>
          <w:rFonts w:eastAsia="Arial"/>
        </w:rPr>
      </w:pPr>
      <w:r>
        <w:rPr>
          <w:rFonts w:eastAsia="Arial"/>
          <w:bCs/>
        </w:rPr>
        <w:t>Figure</w:t>
      </w:r>
      <w:r w:rsidR="00932FC3" w:rsidRPr="00F307F1">
        <w:rPr>
          <w:rFonts w:eastAsia="Arial"/>
        </w:rPr>
        <w:t xml:space="preserve"> </w:t>
      </w:r>
      <w:r w:rsidR="008527EA">
        <w:rPr>
          <w:rFonts w:eastAsia="Arial"/>
          <w:bCs/>
        </w:rPr>
        <w:t>1</w:t>
      </w:r>
      <w:r w:rsidR="00932FC3" w:rsidRPr="00F307F1">
        <w:rPr>
          <w:rFonts w:eastAsia="Arial"/>
        </w:rPr>
        <w:t>: Number of ECT treatments in a public hospital, by diagnosis, 2019–20 to 2023–24</w:t>
      </w:r>
    </w:p>
    <w:p w14:paraId="697E463B" w14:textId="07134166" w:rsidR="00F307F1" w:rsidRPr="00F307F1" w:rsidRDefault="00EF4C58" w:rsidP="00563C62">
      <w:pPr>
        <w:pStyle w:val="Body"/>
        <w:rPr>
          <w:b/>
          <w:bCs/>
        </w:rPr>
      </w:pPr>
      <w:r>
        <w:rPr>
          <w:noProof/>
        </w:rPr>
        <w:drawing>
          <wp:inline distT="0" distB="0" distL="0" distR="0" wp14:anchorId="08C09616" wp14:editId="2CB6E6CF">
            <wp:extent cx="4572000" cy="2733675"/>
            <wp:effectExtent l="0" t="0" r="0" b="9525"/>
            <wp:docPr id="929178014" name="Chart 1" descr="For a breakdown of the data in this figure, refer to Table 2.">
              <a:extLst xmlns:a="http://schemas.openxmlformats.org/drawingml/2006/main">
                <a:ext uri="{FF2B5EF4-FFF2-40B4-BE49-F238E27FC236}">
                  <a16:creationId xmlns:a16="http://schemas.microsoft.com/office/drawing/2014/main" id="{D1C7A732-B960-608C-DA94-462A20B9B1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BE22ED" w14:textId="3C67CFD1" w:rsidR="00233403" w:rsidRDefault="00381B2F" w:rsidP="00697B5C">
      <w:pPr>
        <w:pStyle w:val="Tablecaption"/>
      </w:pPr>
      <w:r w:rsidRPr="00E9A183">
        <w:rPr>
          <w:rFonts w:eastAsia="Arial"/>
        </w:rPr>
        <w:t xml:space="preserve">Table </w:t>
      </w:r>
      <w:r w:rsidR="0061119B">
        <w:rPr>
          <w:rFonts w:eastAsia="Arial"/>
        </w:rPr>
        <w:t>2</w:t>
      </w:r>
      <w:r w:rsidRPr="00E9A183">
        <w:rPr>
          <w:rFonts w:eastAsia="Arial"/>
          <w:iCs/>
        </w:rPr>
        <w:t>:</w:t>
      </w:r>
      <w:r w:rsidRPr="00E9A183">
        <w:rPr>
          <w:rFonts w:eastAsia="Arial"/>
        </w:rPr>
        <w:t xml:space="preserve"> Number of ECT treatments</w:t>
      </w:r>
      <w:r w:rsidR="00D437C5">
        <w:rPr>
          <w:rFonts w:eastAsia="Arial"/>
        </w:rPr>
        <w:t xml:space="preserve"> in a public hospital</w:t>
      </w:r>
      <w:r w:rsidR="005A0956">
        <w:rPr>
          <w:rFonts w:eastAsia="Arial"/>
        </w:rPr>
        <w:t>,</w:t>
      </w:r>
      <w:r w:rsidRPr="00E9A183">
        <w:rPr>
          <w:rFonts w:eastAsia="Arial"/>
        </w:rPr>
        <w:t xml:space="preserve"> by diagnosis, 201</w:t>
      </w:r>
      <w:r w:rsidR="00697B5C">
        <w:rPr>
          <w:rFonts w:eastAsia="Arial"/>
        </w:rPr>
        <w:t>9</w:t>
      </w:r>
      <w:r w:rsidR="0012686C">
        <w:rPr>
          <w:rFonts w:eastAsia="Arial"/>
        </w:rPr>
        <w:t>–</w:t>
      </w:r>
      <w:r w:rsidR="00697B5C">
        <w:rPr>
          <w:rFonts w:eastAsia="Arial"/>
        </w:rPr>
        <w:t>20</w:t>
      </w:r>
      <w:r w:rsidRPr="00E9A183">
        <w:rPr>
          <w:rFonts w:eastAsia="Arial"/>
        </w:rPr>
        <w:t xml:space="preserve"> to 20</w:t>
      </w:r>
      <w:r w:rsidR="00EB58AA">
        <w:rPr>
          <w:rFonts w:eastAsia="Arial"/>
        </w:rPr>
        <w:t>2</w:t>
      </w:r>
      <w:r w:rsidR="009627E1">
        <w:rPr>
          <w:rFonts w:eastAsia="Arial"/>
        </w:rPr>
        <w:t>3</w:t>
      </w:r>
      <w:r w:rsidR="0012686C" w:rsidRPr="00A03C87">
        <w:rPr>
          <w:rFonts w:eastAsia="Arial"/>
        </w:rPr>
        <w:t>–</w:t>
      </w:r>
      <w:r w:rsidRPr="00A03C87">
        <w:rPr>
          <w:rFonts w:eastAsia="Arial"/>
        </w:rPr>
        <w:t>2</w:t>
      </w:r>
      <w:r w:rsidR="009627E1">
        <w:rPr>
          <w:rFonts w:eastAsia="Arial"/>
        </w:rPr>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544"/>
        <w:gridCol w:w="1134"/>
        <w:gridCol w:w="1134"/>
        <w:gridCol w:w="1134"/>
        <w:gridCol w:w="1134"/>
        <w:gridCol w:w="1134"/>
      </w:tblGrid>
      <w:tr w:rsidR="00E6785F" w14:paraId="165A4F60" w14:textId="77777777" w:rsidTr="00D665F6">
        <w:trPr>
          <w:tblHeader/>
        </w:trPr>
        <w:tc>
          <w:tcPr>
            <w:tcW w:w="3544" w:type="dxa"/>
            <w:shd w:val="clear" w:color="auto" w:fill="244C5A"/>
          </w:tcPr>
          <w:p w14:paraId="485FADF0" w14:textId="6139D510" w:rsidR="006E0E0B" w:rsidRPr="007A09B2" w:rsidRDefault="006E0E0B" w:rsidP="004110AE">
            <w:pPr>
              <w:pStyle w:val="EmptyLayoutCell"/>
              <w:spacing w:before="60" w:after="60"/>
              <w:rPr>
                <w:rFonts w:ascii="Arial" w:hAnsi="Arial" w:cs="Arial"/>
                <w:color w:val="FFFFFF"/>
                <w:sz w:val="18"/>
                <w:szCs w:val="18"/>
              </w:rPr>
            </w:pPr>
            <w:bookmarkStart w:id="29" w:name="_Hlk176527900"/>
            <w:r>
              <w:rPr>
                <w:rFonts w:ascii="Arial" w:hAnsi="Arial" w:cs="Arial"/>
                <w:color w:val="FFFFFF"/>
                <w:sz w:val="18"/>
                <w:szCs w:val="18"/>
              </w:rPr>
              <w:t>Health conditions</w:t>
            </w:r>
          </w:p>
        </w:tc>
        <w:tc>
          <w:tcPr>
            <w:tcW w:w="1134" w:type="dxa"/>
            <w:shd w:val="clear" w:color="auto" w:fill="244C5A"/>
          </w:tcPr>
          <w:p w14:paraId="4362A352" w14:textId="77777777" w:rsidR="006E0E0B" w:rsidRPr="007A09B2" w:rsidRDefault="006E0E0B"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134" w:type="dxa"/>
            <w:shd w:val="clear" w:color="auto" w:fill="244C5A"/>
          </w:tcPr>
          <w:p w14:paraId="3A2049FF" w14:textId="77777777" w:rsidR="006E0E0B" w:rsidRPr="007A09B2" w:rsidRDefault="006E0E0B"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134" w:type="dxa"/>
            <w:shd w:val="clear" w:color="auto" w:fill="244C5A"/>
          </w:tcPr>
          <w:p w14:paraId="03C380E0" w14:textId="77777777" w:rsidR="006E0E0B" w:rsidRPr="007A09B2" w:rsidRDefault="006E0E0B"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134" w:type="dxa"/>
            <w:shd w:val="clear" w:color="auto" w:fill="244C5A"/>
          </w:tcPr>
          <w:p w14:paraId="7E33BE8E" w14:textId="77777777" w:rsidR="006E0E0B" w:rsidRPr="007A09B2" w:rsidRDefault="006E0E0B"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134" w:type="dxa"/>
            <w:shd w:val="clear" w:color="auto" w:fill="244C5A"/>
          </w:tcPr>
          <w:p w14:paraId="22223BBC" w14:textId="77777777" w:rsidR="006E0E0B" w:rsidRPr="007A09B2" w:rsidRDefault="006E0E0B"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3348AB" w14:paraId="4F0D6D33" w14:textId="77777777" w:rsidTr="00150BA8">
        <w:tc>
          <w:tcPr>
            <w:tcW w:w="3544" w:type="dxa"/>
          </w:tcPr>
          <w:p w14:paraId="21A3D292" w14:textId="77777777" w:rsidR="006E0E0B" w:rsidRPr="00653F98" w:rsidRDefault="006E0E0B" w:rsidP="004110AE">
            <w:pPr>
              <w:pStyle w:val="EmptyLayoutCell"/>
              <w:spacing w:before="60" w:after="60"/>
              <w:rPr>
                <w:rFonts w:ascii="Arial" w:hAnsi="Arial" w:cs="Arial"/>
                <w:sz w:val="18"/>
                <w:szCs w:val="18"/>
              </w:rPr>
            </w:pPr>
            <w:r w:rsidRPr="00653F98">
              <w:rPr>
                <w:rFonts w:ascii="Arial" w:hAnsi="Arial" w:cs="Arial"/>
                <w:sz w:val="18"/>
                <w:szCs w:val="18"/>
              </w:rPr>
              <w:t>Major affective and other mood disorders</w:t>
            </w:r>
          </w:p>
        </w:tc>
        <w:tc>
          <w:tcPr>
            <w:tcW w:w="1134" w:type="dxa"/>
            <w:tcBorders>
              <w:top w:val="single" w:sz="7" w:space="0" w:color="D3D3D3"/>
              <w:left w:val="single" w:sz="7" w:space="0" w:color="D3D3D3"/>
              <w:bottom w:val="single" w:sz="7" w:space="0" w:color="D3D3D3"/>
              <w:right w:val="single" w:sz="7" w:space="0" w:color="D3D3D3"/>
            </w:tcBorders>
          </w:tcPr>
          <w:p w14:paraId="230FF717"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7,442</w:t>
            </w:r>
          </w:p>
        </w:tc>
        <w:tc>
          <w:tcPr>
            <w:tcW w:w="1134" w:type="dxa"/>
            <w:tcBorders>
              <w:top w:val="single" w:sz="7" w:space="0" w:color="D3D3D3"/>
              <w:left w:val="single" w:sz="7" w:space="0" w:color="D3D3D3"/>
              <w:bottom w:val="single" w:sz="7" w:space="0" w:color="D3D3D3"/>
              <w:right w:val="single" w:sz="7" w:space="0" w:color="D3D3D3"/>
            </w:tcBorders>
          </w:tcPr>
          <w:p w14:paraId="3687034D"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7,255</w:t>
            </w:r>
          </w:p>
        </w:tc>
        <w:tc>
          <w:tcPr>
            <w:tcW w:w="1134" w:type="dxa"/>
            <w:tcBorders>
              <w:top w:val="single" w:sz="7" w:space="0" w:color="D3D3D3"/>
              <w:left w:val="single" w:sz="7" w:space="0" w:color="D3D3D3"/>
              <w:bottom w:val="single" w:sz="7" w:space="0" w:color="D3D3D3"/>
              <w:right w:val="single" w:sz="7" w:space="0" w:color="D3D3D3"/>
            </w:tcBorders>
          </w:tcPr>
          <w:p w14:paraId="7496618F"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7,168</w:t>
            </w:r>
          </w:p>
        </w:tc>
        <w:tc>
          <w:tcPr>
            <w:tcW w:w="1134" w:type="dxa"/>
            <w:tcBorders>
              <w:top w:val="single" w:sz="7" w:space="0" w:color="D3D3D3"/>
              <w:left w:val="single" w:sz="7" w:space="0" w:color="D3D3D3"/>
              <w:bottom w:val="single" w:sz="7" w:space="0" w:color="D3D3D3"/>
              <w:right w:val="single" w:sz="7" w:space="0" w:color="D3D3D3"/>
            </w:tcBorders>
          </w:tcPr>
          <w:p w14:paraId="48299AD1"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7,074</w:t>
            </w:r>
          </w:p>
        </w:tc>
        <w:tc>
          <w:tcPr>
            <w:tcW w:w="1134" w:type="dxa"/>
            <w:tcBorders>
              <w:top w:val="single" w:sz="7" w:space="0" w:color="D3D3D3"/>
              <w:left w:val="single" w:sz="7" w:space="0" w:color="D3D3D3"/>
              <w:bottom w:val="single" w:sz="7" w:space="0" w:color="D3D3D3"/>
              <w:right w:val="single" w:sz="7" w:space="0" w:color="D3D3D3"/>
            </w:tcBorders>
          </w:tcPr>
          <w:p w14:paraId="7F25251B"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7,129</w:t>
            </w:r>
          </w:p>
        </w:tc>
      </w:tr>
      <w:tr w:rsidR="003348AB" w14:paraId="457A83F8" w14:textId="77777777" w:rsidTr="00150BA8">
        <w:tc>
          <w:tcPr>
            <w:tcW w:w="3544" w:type="dxa"/>
          </w:tcPr>
          <w:p w14:paraId="5123290C" w14:textId="77777777" w:rsidR="006E0E0B" w:rsidRDefault="006E0E0B" w:rsidP="004110AE">
            <w:pPr>
              <w:pStyle w:val="EmptyLayoutCell"/>
              <w:spacing w:before="60" w:after="60"/>
              <w:rPr>
                <w:rFonts w:ascii="Arial" w:hAnsi="Arial" w:cs="Arial"/>
                <w:sz w:val="18"/>
                <w:szCs w:val="18"/>
              </w:rPr>
            </w:pPr>
            <w:r w:rsidRPr="00653F98">
              <w:rPr>
                <w:rFonts w:ascii="Arial" w:hAnsi="Arial" w:cs="Arial"/>
                <w:sz w:val="18"/>
                <w:szCs w:val="18"/>
              </w:rPr>
              <w:t>Schizophrenia, schizoaffective and other psychotic disorders</w:t>
            </w:r>
          </w:p>
        </w:tc>
        <w:tc>
          <w:tcPr>
            <w:tcW w:w="1134" w:type="dxa"/>
            <w:tcBorders>
              <w:top w:val="single" w:sz="7" w:space="0" w:color="D3D3D3"/>
              <w:left w:val="single" w:sz="7" w:space="0" w:color="D3D3D3"/>
              <w:bottom w:val="single" w:sz="7" w:space="0" w:color="D3D3D3"/>
              <w:right w:val="single" w:sz="7" w:space="0" w:color="D3D3D3"/>
            </w:tcBorders>
          </w:tcPr>
          <w:p w14:paraId="60ADE9E0"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3,811</w:t>
            </w:r>
          </w:p>
        </w:tc>
        <w:tc>
          <w:tcPr>
            <w:tcW w:w="1134" w:type="dxa"/>
            <w:tcBorders>
              <w:top w:val="single" w:sz="7" w:space="0" w:color="D3D3D3"/>
              <w:left w:val="single" w:sz="7" w:space="0" w:color="D3D3D3"/>
              <w:bottom w:val="single" w:sz="7" w:space="0" w:color="D3D3D3"/>
              <w:right w:val="single" w:sz="7" w:space="0" w:color="D3D3D3"/>
            </w:tcBorders>
          </w:tcPr>
          <w:p w14:paraId="0AF2104B"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4,104</w:t>
            </w:r>
          </w:p>
        </w:tc>
        <w:tc>
          <w:tcPr>
            <w:tcW w:w="1134" w:type="dxa"/>
            <w:tcBorders>
              <w:top w:val="single" w:sz="7" w:space="0" w:color="D3D3D3"/>
              <w:left w:val="single" w:sz="7" w:space="0" w:color="D3D3D3"/>
              <w:bottom w:val="single" w:sz="7" w:space="0" w:color="D3D3D3"/>
              <w:right w:val="single" w:sz="7" w:space="0" w:color="D3D3D3"/>
            </w:tcBorders>
          </w:tcPr>
          <w:p w14:paraId="0367BF87"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4,215</w:t>
            </w:r>
          </w:p>
        </w:tc>
        <w:tc>
          <w:tcPr>
            <w:tcW w:w="1134" w:type="dxa"/>
            <w:tcBorders>
              <w:top w:val="single" w:sz="7" w:space="0" w:color="D3D3D3"/>
              <w:left w:val="single" w:sz="7" w:space="0" w:color="D3D3D3"/>
              <w:bottom w:val="single" w:sz="7" w:space="0" w:color="D3D3D3"/>
              <w:right w:val="single" w:sz="7" w:space="0" w:color="D3D3D3"/>
            </w:tcBorders>
          </w:tcPr>
          <w:p w14:paraId="3E2B4CF3"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3,941</w:t>
            </w:r>
          </w:p>
        </w:tc>
        <w:tc>
          <w:tcPr>
            <w:tcW w:w="1134" w:type="dxa"/>
            <w:tcBorders>
              <w:top w:val="single" w:sz="7" w:space="0" w:color="D3D3D3"/>
              <w:left w:val="single" w:sz="7" w:space="0" w:color="D3D3D3"/>
              <w:bottom w:val="single" w:sz="7" w:space="0" w:color="D3D3D3"/>
              <w:right w:val="single" w:sz="7" w:space="0" w:color="D3D3D3"/>
            </w:tcBorders>
          </w:tcPr>
          <w:p w14:paraId="1E33D4E1" w14:textId="77777777" w:rsidR="006E0E0B" w:rsidRPr="00132235"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4,214</w:t>
            </w:r>
          </w:p>
        </w:tc>
      </w:tr>
      <w:tr w:rsidR="003348AB" w14:paraId="0BCE0DC7" w14:textId="77777777" w:rsidTr="00150BA8">
        <w:tc>
          <w:tcPr>
            <w:tcW w:w="3544" w:type="dxa"/>
          </w:tcPr>
          <w:p w14:paraId="08259ED5" w14:textId="77777777" w:rsidR="006E0E0B" w:rsidRPr="007A09B2" w:rsidRDefault="006E0E0B" w:rsidP="004110AE">
            <w:pPr>
              <w:pStyle w:val="EmptyLayoutCell"/>
              <w:spacing w:before="60" w:after="60"/>
              <w:rPr>
                <w:rFonts w:ascii="Arial" w:hAnsi="Arial" w:cs="Arial"/>
                <w:sz w:val="18"/>
                <w:szCs w:val="18"/>
              </w:rPr>
            </w:pPr>
            <w:r w:rsidRPr="00653F98">
              <w:rPr>
                <w:rFonts w:ascii="Arial" w:hAnsi="Arial" w:cs="Arial"/>
                <w:sz w:val="18"/>
                <w:szCs w:val="18"/>
              </w:rPr>
              <w:t>Other mental health disorders</w:t>
            </w:r>
          </w:p>
        </w:tc>
        <w:tc>
          <w:tcPr>
            <w:tcW w:w="1134" w:type="dxa"/>
            <w:tcBorders>
              <w:top w:val="single" w:sz="7" w:space="0" w:color="D3D3D3"/>
              <w:left w:val="single" w:sz="7" w:space="0" w:color="D3D3D3"/>
              <w:bottom w:val="single" w:sz="7" w:space="0" w:color="D3D3D3"/>
              <w:right w:val="single" w:sz="7" w:space="0" w:color="D3D3D3"/>
            </w:tcBorders>
          </w:tcPr>
          <w:p w14:paraId="285C27D8"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233</w:t>
            </w:r>
          </w:p>
        </w:tc>
        <w:tc>
          <w:tcPr>
            <w:tcW w:w="1134" w:type="dxa"/>
            <w:tcBorders>
              <w:top w:val="single" w:sz="7" w:space="0" w:color="D3D3D3"/>
              <w:left w:val="single" w:sz="7" w:space="0" w:color="D3D3D3"/>
              <w:bottom w:val="single" w:sz="7" w:space="0" w:color="D3D3D3"/>
              <w:right w:val="single" w:sz="7" w:space="0" w:color="D3D3D3"/>
            </w:tcBorders>
          </w:tcPr>
          <w:p w14:paraId="727144CF"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167</w:t>
            </w:r>
          </w:p>
        </w:tc>
        <w:tc>
          <w:tcPr>
            <w:tcW w:w="1134" w:type="dxa"/>
            <w:tcBorders>
              <w:top w:val="single" w:sz="7" w:space="0" w:color="D3D3D3"/>
              <w:left w:val="single" w:sz="7" w:space="0" w:color="D3D3D3"/>
              <w:bottom w:val="single" w:sz="7" w:space="0" w:color="D3D3D3"/>
              <w:right w:val="single" w:sz="7" w:space="0" w:color="D3D3D3"/>
            </w:tcBorders>
          </w:tcPr>
          <w:p w14:paraId="7E69B401"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214</w:t>
            </w:r>
          </w:p>
        </w:tc>
        <w:tc>
          <w:tcPr>
            <w:tcW w:w="1134" w:type="dxa"/>
            <w:tcBorders>
              <w:top w:val="single" w:sz="7" w:space="0" w:color="D3D3D3"/>
              <w:left w:val="single" w:sz="7" w:space="0" w:color="D3D3D3"/>
              <w:bottom w:val="single" w:sz="7" w:space="0" w:color="D3D3D3"/>
              <w:right w:val="single" w:sz="7" w:space="0" w:color="D3D3D3"/>
            </w:tcBorders>
          </w:tcPr>
          <w:p w14:paraId="382B7F7A"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357</w:t>
            </w:r>
          </w:p>
        </w:tc>
        <w:tc>
          <w:tcPr>
            <w:tcW w:w="1134" w:type="dxa"/>
            <w:tcBorders>
              <w:top w:val="single" w:sz="7" w:space="0" w:color="D3D3D3"/>
              <w:left w:val="single" w:sz="7" w:space="0" w:color="D3D3D3"/>
              <w:bottom w:val="single" w:sz="7" w:space="0" w:color="D3D3D3"/>
              <w:right w:val="single" w:sz="7" w:space="0" w:color="D3D3D3"/>
            </w:tcBorders>
          </w:tcPr>
          <w:p w14:paraId="77C6418F"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304</w:t>
            </w:r>
          </w:p>
        </w:tc>
      </w:tr>
      <w:tr w:rsidR="003348AB" w14:paraId="4936FA89" w14:textId="77777777" w:rsidTr="00150BA8">
        <w:tc>
          <w:tcPr>
            <w:tcW w:w="3544" w:type="dxa"/>
          </w:tcPr>
          <w:p w14:paraId="7AF34476" w14:textId="77777777" w:rsidR="006E0E0B" w:rsidRPr="007A09B2" w:rsidRDefault="006E0E0B" w:rsidP="004110AE">
            <w:pPr>
              <w:pStyle w:val="EmptyLayoutCell"/>
              <w:spacing w:before="60" w:after="60"/>
              <w:rPr>
                <w:rFonts w:ascii="Arial" w:hAnsi="Arial" w:cs="Arial"/>
                <w:sz w:val="18"/>
                <w:szCs w:val="18"/>
              </w:rPr>
            </w:pPr>
            <w:r w:rsidRPr="00653F98">
              <w:rPr>
                <w:rFonts w:ascii="Arial" w:hAnsi="Arial" w:cs="Arial"/>
                <w:sz w:val="18"/>
                <w:szCs w:val="18"/>
              </w:rPr>
              <w:lastRenderedPageBreak/>
              <w:t>No mental health diagnosis recorded</w:t>
            </w:r>
          </w:p>
        </w:tc>
        <w:tc>
          <w:tcPr>
            <w:tcW w:w="1134" w:type="dxa"/>
            <w:tcBorders>
              <w:top w:val="single" w:sz="7" w:space="0" w:color="D3D3D3"/>
              <w:left w:val="single" w:sz="7" w:space="0" w:color="D3D3D3"/>
              <w:bottom w:val="single" w:sz="7" w:space="0" w:color="D3D3D3"/>
              <w:right w:val="single" w:sz="7" w:space="0" w:color="D3D3D3"/>
            </w:tcBorders>
          </w:tcPr>
          <w:p w14:paraId="5F0AB663"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621</w:t>
            </w:r>
          </w:p>
        </w:tc>
        <w:tc>
          <w:tcPr>
            <w:tcW w:w="1134" w:type="dxa"/>
            <w:tcBorders>
              <w:top w:val="single" w:sz="7" w:space="0" w:color="D3D3D3"/>
              <w:left w:val="single" w:sz="7" w:space="0" w:color="D3D3D3"/>
              <w:bottom w:val="single" w:sz="7" w:space="0" w:color="D3D3D3"/>
              <w:right w:val="single" w:sz="7" w:space="0" w:color="D3D3D3"/>
            </w:tcBorders>
          </w:tcPr>
          <w:p w14:paraId="3903EC9A"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456</w:t>
            </w:r>
          </w:p>
        </w:tc>
        <w:tc>
          <w:tcPr>
            <w:tcW w:w="1134" w:type="dxa"/>
            <w:tcBorders>
              <w:top w:val="single" w:sz="7" w:space="0" w:color="D3D3D3"/>
              <w:left w:val="single" w:sz="7" w:space="0" w:color="D3D3D3"/>
              <w:bottom w:val="single" w:sz="7" w:space="0" w:color="D3D3D3"/>
              <w:right w:val="single" w:sz="7" w:space="0" w:color="D3D3D3"/>
            </w:tcBorders>
          </w:tcPr>
          <w:p w14:paraId="6698945A"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350</w:t>
            </w:r>
          </w:p>
        </w:tc>
        <w:tc>
          <w:tcPr>
            <w:tcW w:w="1134" w:type="dxa"/>
            <w:tcBorders>
              <w:top w:val="single" w:sz="7" w:space="0" w:color="D3D3D3"/>
              <w:left w:val="single" w:sz="7" w:space="0" w:color="D3D3D3"/>
              <w:bottom w:val="single" w:sz="7" w:space="0" w:color="D3D3D3"/>
              <w:right w:val="single" w:sz="7" w:space="0" w:color="D3D3D3"/>
            </w:tcBorders>
          </w:tcPr>
          <w:p w14:paraId="06803AAF"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415</w:t>
            </w:r>
          </w:p>
        </w:tc>
        <w:tc>
          <w:tcPr>
            <w:tcW w:w="1134" w:type="dxa"/>
            <w:tcBorders>
              <w:top w:val="single" w:sz="7" w:space="0" w:color="D3D3D3"/>
              <w:left w:val="single" w:sz="7" w:space="0" w:color="D3D3D3"/>
              <w:bottom w:val="single" w:sz="7" w:space="0" w:color="D3D3D3"/>
              <w:right w:val="single" w:sz="7" w:space="0" w:color="D3D3D3"/>
            </w:tcBorders>
          </w:tcPr>
          <w:p w14:paraId="0057F3F7" w14:textId="77777777" w:rsidR="006E0E0B" w:rsidRPr="00FF7EFC" w:rsidRDefault="006E0E0B"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213</w:t>
            </w:r>
          </w:p>
        </w:tc>
      </w:tr>
    </w:tbl>
    <w:bookmarkEnd w:id="29"/>
    <w:p w14:paraId="5524C7B5" w14:textId="425C2CE5" w:rsidR="001E7CC7" w:rsidRDefault="001E7CC7" w:rsidP="00D75D4F">
      <w:pPr>
        <w:pStyle w:val="Bodyaftertable"/>
        <w:spacing w:before="120" w:after="120" w:line="240" w:lineRule="auto"/>
        <w:rPr>
          <w:sz w:val="18"/>
          <w:szCs w:val="18"/>
        </w:rPr>
      </w:pPr>
      <w:r w:rsidRPr="001E7CC7">
        <w:rPr>
          <w:sz w:val="18"/>
          <w:szCs w:val="18"/>
        </w:rPr>
        <w:t>Note</w:t>
      </w:r>
      <w:r w:rsidR="00127FD7">
        <w:rPr>
          <w:sz w:val="18"/>
          <w:szCs w:val="18"/>
        </w:rPr>
        <w:t>s</w:t>
      </w:r>
      <w:r w:rsidRPr="001E7CC7">
        <w:rPr>
          <w:sz w:val="18"/>
          <w:szCs w:val="18"/>
        </w:rPr>
        <w:t>: This table corresponds with the graph in Figure 1. It is included for purposes of accessibility.</w:t>
      </w:r>
    </w:p>
    <w:p w14:paraId="29F0D7FE" w14:textId="0A7F4C72" w:rsidR="0008025C" w:rsidRPr="001E7CC7" w:rsidRDefault="00112BC2" w:rsidP="00D75D4F">
      <w:pPr>
        <w:pStyle w:val="Bodyaftertable"/>
        <w:spacing w:before="0" w:after="80" w:line="240" w:lineRule="auto"/>
        <w:rPr>
          <w:sz w:val="18"/>
          <w:szCs w:val="18"/>
        </w:rPr>
      </w:pPr>
      <w:r w:rsidRPr="00112BC2">
        <w:rPr>
          <w:sz w:val="18"/>
          <w:szCs w:val="18"/>
        </w:rPr>
        <w:t>ECT data is continuously revised as new treatments are recorded in the data system used by mental health services. As such, figures may vary slightly between annual reports from previous years.</w:t>
      </w:r>
    </w:p>
    <w:p w14:paraId="62EFEA30" w14:textId="3B736635" w:rsidR="000C70A0" w:rsidRDefault="000C70A0" w:rsidP="00D7411C">
      <w:pPr>
        <w:pStyle w:val="Bodyaftertable"/>
        <w:rPr>
          <w:rFonts w:eastAsia="Arial"/>
        </w:rPr>
      </w:pPr>
      <w:r>
        <w:t xml:space="preserve">Figure 2 and </w:t>
      </w:r>
      <w:r w:rsidRPr="004074FA">
        <w:t xml:space="preserve">Table </w:t>
      </w:r>
      <w:r>
        <w:t>3</w:t>
      </w:r>
      <w:r w:rsidRPr="00A809FE">
        <w:t xml:space="preserve"> show </w:t>
      </w:r>
      <w:r>
        <w:t xml:space="preserve">the age range of those receiving ECT and </w:t>
      </w:r>
      <w:r w:rsidRPr="00A809FE">
        <w:t>that, overall, more women than men were treated with ECT across the life span</w:t>
      </w:r>
      <w:r>
        <w:t>.</w:t>
      </w:r>
    </w:p>
    <w:p w14:paraId="6C09A083" w14:textId="0E9E1DF5" w:rsidR="00715748" w:rsidRDefault="008527EA" w:rsidP="00363C00">
      <w:pPr>
        <w:pStyle w:val="Figurecaption"/>
        <w:rPr>
          <w:rFonts w:eastAsia="Arial"/>
        </w:rPr>
      </w:pPr>
      <w:r>
        <w:rPr>
          <w:rFonts w:eastAsia="Arial"/>
        </w:rPr>
        <w:t>Figure</w:t>
      </w:r>
      <w:r w:rsidR="00205B27" w:rsidRPr="00205B27">
        <w:rPr>
          <w:rFonts w:eastAsia="Arial"/>
        </w:rPr>
        <w:t xml:space="preserve"> </w:t>
      </w:r>
      <w:r>
        <w:rPr>
          <w:rFonts w:eastAsia="Arial"/>
        </w:rPr>
        <w:t>2</w:t>
      </w:r>
      <w:r w:rsidR="00205B27" w:rsidRPr="00205B27">
        <w:rPr>
          <w:rFonts w:eastAsia="Arial"/>
        </w:rPr>
        <w:t>: Number of ECT treatments, by age group and sex, 2023–24</w:t>
      </w:r>
    </w:p>
    <w:p w14:paraId="3FF77075" w14:textId="644B6B03" w:rsidR="00E24AE9" w:rsidRPr="00205B27" w:rsidRDefault="002F5323" w:rsidP="00643556">
      <w:pPr>
        <w:pStyle w:val="Bodyaftertable"/>
        <w:rPr>
          <w:b/>
          <w:bCs/>
        </w:rPr>
      </w:pPr>
      <w:r>
        <w:rPr>
          <w:noProof/>
        </w:rPr>
        <w:drawing>
          <wp:inline distT="0" distB="0" distL="0" distR="0" wp14:anchorId="50945680" wp14:editId="1560DB55">
            <wp:extent cx="4572000" cy="2740025"/>
            <wp:effectExtent l="0" t="0" r="0" b="3175"/>
            <wp:docPr id="2022686023" name="Chart 1" descr="For a breakdown of the data in this figure, refer to Table 3.">
              <a:extLst xmlns:a="http://schemas.openxmlformats.org/drawingml/2006/main">
                <a:ext uri="{FF2B5EF4-FFF2-40B4-BE49-F238E27FC236}">
                  <a16:creationId xmlns:a16="http://schemas.microsoft.com/office/drawing/2014/main" id="{3B45E568-1A41-F30F-9AF6-EFA9703504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DC224C" w14:textId="49062443" w:rsidR="00381B2F" w:rsidRDefault="00381B2F" w:rsidP="000C70A0">
      <w:pPr>
        <w:pStyle w:val="Tablecaption"/>
      </w:pPr>
      <w:r w:rsidRPr="4117A3B1">
        <w:rPr>
          <w:rFonts w:eastAsia="Arial"/>
        </w:rPr>
        <w:t xml:space="preserve">Table </w:t>
      </w:r>
      <w:r w:rsidR="004A116A">
        <w:rPr>
          <w:rFonts w:eastAsia="Arial"/>
        </w:rPr>
        <w:t>3</w:t>
      </w:r>
      <w:r w:rsidRPr="4117A3B1">
        <w:rPr>
          <w:rFonts w:eastAsia="Arial"/>
        </w:rPr>
        <w:t>: Number of ECT treatments</w:t>
      </w:r>
      <w:r w:rsidR="005A0956" w:rsidRPr="4117A3B1">
        <w:rPr>
          <w:rFonts w:eastAsia="Arial"/>
        </w:rPr>
        <w:t>,</w:t>
      </w:r>
      <w:r w:rsidRPr="4117A3B1">
        <w:rPr>
          <w:rFonts w:eastAsia="Arial"/>
        </w:rPr>
        <w:t xml:space="preserve"> by age group and </w:t>
      </w:r>
      <w:r w:rsidR="00505B12">
        <w:rPr>
          <w:rFonts w:eastAsia="Arial"/>
        </w:rPr>
        <w:t>sex</w:t>
      </w:r>
      <w:r w:rsidR="005A0956" w:rsidRPr="4117A3B1">
        <w:rPr>
          <w:rFonts w:eastAsia="Arial"/>
        </w:rPr>
        <w:t>,</w:t>
      </w:r>
      <w:r w:rsidRPr="4117A3B1">
        <w:rPr>
          <w:rFonts w:eastAsia="Arial"/>
        </w:rPr>
        <w:t xml:space="preserve"> </w:t>
      </w:r>
      <w:r w:rsidR="007B2175">
        <w:rPr>
          <w:rFonts w:eastAsia="Arial"/>
        </w:rPr>
        <w:t>202</w:t>
      </w:r>
      <w:r w:rsidR="001D5DD1">
        <w:rPr>
          <w:rFonts w:eastAsia="Arial"/>
        </w:rPr>
        <w:t>3</w:t>
      </w:r>
      <w:r w:rsidR="007B2175">
        <w:rPr>
          <w:rFonts w:eastAsia="Arial"/>
        </w:rPr>
        <w:t>–</w:t>
      </w:r>
      <w:r w:rsidR="007B2175" w:rsidRPr="002D796E">
        <w:rPr>
          <w:rFonts w:eastAsia="Arial"/>
        </w:rPr>
        <w:t>2</w:t>
      </w:r>
      <w:r w:rsidR="00A4051B">
        <w:rPr>
          <w:rFonts w:eastAsia="Arial"/>
        </w:rPr>
        <w:t>4</w:t>
      </w:r>
    </w:p>
    <w:tbl>
      <w:tblPr>
        <w:tblStyle w:val="TableGrid1"/>
        <w:tblW w:w="9276"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27"/>
        <w:gridCol w:w="853"/>
        <w:gridCol w:w="854"/>
        <w:gridCol w:w="885"/>
        <w:gridCol w:w="854"/>
        <w:gridCol w:w="885"/>
        <w:gridCol w:w="885"/>
        <w:gridCol w:w="885"/>
        <w:gridCol w:w="855"/>
        <w:gridCol w:w="793"/>
      </w:tblGrid>
      <w:tr w:rsidR="00FB6C3B" w:rsidRPr="00185026" w14:paraId="79660CD0" w14:textId="447B1D66" w:rsidTr="00D665F6">
        <w:trPr>
          <w:trHeight w:val="280"/>
          <w:tblHeader/>
        </w:trPr>
        <w:tc>
          <w:tcPr>
            <w:tcW w:w="1527" w:type="dxa"/>
            <w:shd w:val="clear" w:color="auto" w:fill="244C5A"/>
          </w:tcPr>
          <w:p w14:paraId="4D1F64E7" w14:textId="77777777" w:rsidR="00FB6C3B" w:rsidRPr="00185026" w:rsidRDefault="00FB6C3B" w:rsidP="004110AE">
            <w:pPr>
              <w:pStyle w:val="EmptyLayoutCell"/>
              <w:spacing w:before="60" w:after="60"/>
              <w:rPr>
                <w:rFonts w:ascii="Arial" w:hAnsi="Arial" w:cs="Arial"/>
                <w:color w:val="FFFFFF"/>
                <w:sz w:val="18"/>
                <w:szCs w:val="18"/>
              </w:rPr>
            </w:pPr>
          </w:p>
        </w:tc>
        <w:tc>
          <w:tcPr>
            <w:tcW w:w="853" w:type="dxa"/>
            <w:shd w:val="clear" w:color="auto" w:fill="244C5A"/>
          </w:tcPr>
          <w:p w14:paraId="486EDA11"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13–17</w:t>
            </w:r>
          </w:p>
        </w:tc>
        <w:tc>
          <w:tcPr>
            <w:tcW w:w="854" w:type="dxa"/>
            <w:shd w:val="clear" w:color="auto" w:fill="244C5A"/>
          </w:tcPr>
          <w:p w14:paraId="5FB0AA72"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18–29</w:t>
            </w:r>
          </w:p>
        </w:tc>
        <w:tc>
          <w:tcPr>
            <w:tcW w:w="885" w:type="dxa"/>
            <w:shd w:val="clear" w:color="auto" w:fill="244C5A"/>
          </w:tcPr>
          <w:p w14:paraId="1787C350"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30–39</w:t>
            </w:r>
          </w:p>
        </w:tc>
        <w:tc>
          <w:tcPr>
            <w:tcW w:w="854" w:type="dxa"/>
            <w:shd w:val="clear" w:color="auto" w:fill="244C5A"/>
          </w:tcPr>
          <w:p w14:paraId="4E5C9D1E"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40–49</w:t>
            </w:r>
          </w:p>
        </w:tc>
        <w:tc>
          <w:tcPr>
            <w:tcW w:w="885" w:type="dxa"/>
            <w:shd w:val="clear" w:color="auto" w:fill="244C5A"/>
          </w:tcPr>
          <w:p w14:paraId="5204658F"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50–59</w:t>
            </w:r>
          </w:p>
        </w:tc>
        <w:tc>
          <w:tcPr>
            <w:tcW w:w="885" w:type="dxa"/>
            <w:shd w:val="clear" w:color="auto" w:fill="244C5A"/>
          </w:tcPr>
          <w:p w14:paraId="0DB8FABD"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60–69</w:t>
            </w:r>
          </w:p>
        </w:tc>
        <w:tc>
          <w:tcPr>
            <w:tcW w:w="885" w:type="dxa"/>
            <w:shd w:val="clear" w:color="auto" w:fill="244C5A"/>
          </w:tcPr>
          <w:p w14:paraId="0C77EBB2"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70–79</w:t>
            </w:r>
          </w:p>
        </w:tc>
        <w:tc>
          <w:tcPr>
            <w:tcW w:w="855" w:type="dxa"/>
            <w:shd w:val="clear" w:color="auto" w:fill="244C5A"/>
          </w:tcPr>
          <w:p w14:paraId="6F99C6A1" w14:textId="77777777" w:rsidR="00FB6C3B" w:rsidRPr="00185026" w:rsidRDefault="00FB6C3B" w:rsidP="004110AE">
            <w:pPr>
              <w:pStyle w:val="EmptyLayoutCell"/>
              <w:spacing w:before="60" w:after="60"/>
              <w:rPr>
                <w:rFonts w:ascii="Arial" w:hAnsi="Arial" w:cs="Arial"/>
                <w:color w:val="FFFFFF"/>
                <w:sz w:val="18"/>
                <w:szCs w:val="18"/>
              </w:rPr>
            </w:pPr>
            <w:r w:rsidRPr="00185026">
              <w:rPr>
                <w:rFonts w:ascii="Arial" w:hAnsi="Arial" w:cs="Arial"/>
                <w:color w:val="FFFFFF"/>
                <w:sz w:val="18"/>
                <w:szCs w:val="18"/>
              </w:rPr>
              <w:t>80+</w:t>
            </w:r>
          </w:p>
        </w:tc>
        <w:tc>
          <w:tcPr>
            <w:tcW w:w="793" w:type="dxa"/>
            <w:shd w:val="clear" w:color="auto" w:fill="244C5A"/>
          </w:tcPr>
          <w:p w14:paraId="42239A49" w14:textId="37B2A988" w:rsidR="00FB6C3B" w:rsidRPr="00185026" w:rsidRDefault="00FB6C3B" w:rsidP="004110AE">
            <w:pPr>
              <w:pStyle w:val="EmptyLayoutCell"/>
              <w:spacing w:before="60" w:after="60"/>
              <w:rPr>
                <w:rFonts w:ascii="Arial" w:hAnsi="Arial" w:cs="Arial"/>
                <w:color w:val="FFFFFF"/>
                <w:sz w:val="18"/>
                <w:szCs w:val="18"/>
              </w:rPr>
            </w:pPr>
            <w:r>
              <w:rPr>
                <w:rFonts w:ascii="Arial" w:hAnsi="Arial" w:cs="Arial"/>
                <w:color w:val="FFFFFF"/>
                <w:sz w:val="18"/>
                <w:szCs w:val="18"/>
              </w:rPr>
              <w:t>Total</w:t>
            </w:r>
          </w:p>
        </w:tc>
      </w:tr>
      <w:tr w:rsidR="00FB6C3B" w:rsidRPr="00185026" w14:paraId="539A2207" w14:textId="61DBDF92" w:rsidTr="00FB6C3B">
        <w:trPr>
          <w:trHeight w:val="293"/>
        </w:trPr>
        <w:tc>
          <w:tcPr>
            <w:tcW w:w="1527" w:type="dxa"/>
          </w:tcPr>
          <w:p w14:paraId="5B06915B" w14:textId="77777777" w:rsidR="00FB6C3B" w:rsidRPr="00185026" w:rsidRDefault="00FB6C3B" w:rsidP="004110AE">
            <w:pPr>
              <w:pStyle w:val="EmptyLayoutCell"/>
              <w:spacing w:before="60" w:after="60"/>
              <w:rPr>
                <w:rFonts w:ascii="Arial" w:hAnsi="Arial" w:cs="Arial"/>
                <w:sz w:val="18"/>
                <w:szCs w:val="18"/>
              </w:rPr>
            </w:pPr>
            <w:r w:rsidRPr="00185026">
              <w:rPr>
                <w:rFonts w:ascii="Arial" w:hAnsi="Arial" w:cs="Arial"/>
                <w:sz w:val="18"/>
                <w:szCs w:val="18"/>
              </w:rPr>
              <w:t>Female</w:t>
            </w:r>
          </w:p>
        </w:tc>
        <w:tc>
          <w:tcPr>
            <w:tcW w:w="853" w:type="dxa"/>
            <w:vAlign w:val="bottom"/>
          </w:tcPr>
          <w:p w14:paraId="26032B66"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13</w:t>
            </w:r>
          </w:p>
        </w:tc>
        <w:tc>
          <w:tcPr>
            <w:tcW w:w="854" w:type="dxa"/>
            <w:vAlign w:val="bottom"/>
          </w:tcPr>
          <w:p w14:paraId="62A4ABA3"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727</w:t>
            </w:r>
          </w:p>
        </w:tc>
        <w:tc>
          <w:tcPr>
            <w:tcW w:w="885" w:type="dxa"/>
            <w:vAlign w:val="bottom"/>
          </w:tcPr>
          <w:p w14:paraId="62598645"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769</w:t>
            </w:r>
          </w:p>
        </w:tc>
        <w:tc>
          <w:tcPr>
            <w:tcW w:w="854" w:type="dxa"/>
            <w:vAlign w:val="bottom"/>
          </w:tcPr>
          <w:p w14:paraId="1F810126"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992</w:t>
            </w:r>
          </w:p>
        </w:tc>
        <w:tc>
          <w:tcPr>
            <w:tcW w:w="885" w:type="dxa"/>
            <w:vAlign w:val="bottom"/>
          </w:tcPr>
          <w:p w14:paraId="3315E0DA"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971</w:t>
            </w:r>
          </w:p>
        </w:tc>
        <w:tc>
          <w:tcPr>
            <w:tcW w:w="885" w:type="dxa"/>
            <w:vAlign w:val="bottom"/>
          </w:tcPr>
          <w:p w14:paraId="695FE110"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1,249</w:t>
            </w:r>
          </w:p>
        </w:tc>
        <w:tc>
          <w:tcPr>
            <w:tcW w:w="885" w:type="dxa"/>
            <w:vAlign w:val="bottom"/>
          </w:tcPr>
          <w:p w14:paraId="1E4A02CC"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1,182</w:t>
            </w:r>
          </w:p>
        </w:tc>
        <w:tc>
          <w:tcPr>
            <w:tcW w:w="855" w:type="dxa"/>
            <w:vAlign w:val="bottom"/>
          </w:tcPr>
          <w:p w14:paraId="185A19BD"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647</w:t>
            </w:r>
          </w:p>
        </w:tc>
        <w:tc>
          <w:tcPr>
            <w:tcW w:w="793" w:type="dxa"/>
          </w:tcPr>
          <w:p w14:paraId="4B1CD3AF" w14:textId="7F35C43B" w:rsidR="00FB6C3B" w:rsidRDefault="009A7A90" w:rsidP="004110AE">
            <w:pPr>
              <w:pStyle w:val="EmptyLayoutCell"/>
              <w:spacing w:before="60" w:after="60"/>
              <w:rPr>
                <w:rFonts w:ascii="Arial" w:hAnsi="Arial" w:cs="Arial"/>
                <w:sz w:val="18"/>
                <w:szCs w:val="18"/>
              </w:rPr>
            </w:pPr>
            <w:r>
              <w:rPr>
                <w:rFonts w:ascii="Arial" w:hAnsi="Arial" w:cs="Arial"/>
                <w:sz w:val="18"/>
                <w:szCs w:val="18"/>
              </w:rPr>
              <w:t>6</w:t>
            </w:r>
            <w:r w:rsidR="000C70A0">
              <w:rPr>
                <w:rFonts w:ascii="Arial" w:hAnsi="Arial" w:cs="Arial"/>
                <w:sz w:val="18"/>
                <w:szCs w:val="18"/>
              </w:rPr>
              <w:t>,</w:t>
            </w:r>
            <w:r>
              <w:rPr>
                <w:rFonts w:ascii="Arial" w:hAnsi="Arial" w:cs="Arial"/>
                <w:sz w:val="18"/>
                <w:szCs w:val="18"/>
              </w:rPr>
              <w:t>550</w:t>
            </w:r>
          </w:p>
        </w:tc>
      </w:tr>
      <w:tr w:rsidR="00FB6C3B" w:rsidRPr="00185026" w14:paraId="1B5AD015" w14:textId="0E46E401" w:rsidTr="00FB6C3B">
        <w:trPr>
          <w:trHeight w:val="280"/>
        </w:trPr>
        <w:tc>
          <w:tcPr>
            <w:tcW w:w="1527" w:type="dxa"/>
          </w:tcPr>
          <w:p w14:paraId="5B18537D" w14:textId="77777777" w:rsidR="00FB6C3B" w:rsidRPr="00185026" w:rsidRDefault="00FB6C3B" w:rsidP="004110AE">
            <w:pPr>
              <w:pStyle w:val="EmptyLayoutCell"/>
              <w:spacing w:before="60" w:after="60"/>
              <w:rPr>
                <w:rFonts w:ascii="Arial" w:hAnsi="Arial" w:cs="Arial"/>
                <w:sz w:val="18"/>
                <w:szCs w:val="18"/>
              </w:rPr>
            </w:pPr>
            <w:r w:rsidRPr="00185026">
              <w:rPr>
                <w:rFonts w:ascii="Arial" w:hAnsi="Arial" w:cs="Arial"/>
                <w:sz w:val="18"/>
                <w:szCs w:val="18"/>
              </w:rPr>
              <w:t>Male</w:t>
            </w:r>
          </w:p>
        </w:tc>
        <w:tc>
          <w:tcPr>
            <w:tcW w:w="853" w:type="dxa"/>
            <w:vAlign w:val="bottom"/>
          </w:tcPr>
          <w:p w14:paraId="4F47C04B"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12</w:t>
            </w:r>
          </w:p>
        </w:tc>
        <w:tc>
          <w:tcPr>
            <w:tcW w:w="854" w:type="dxa"/>
            <w:vAlign w:val="bottom"/>
          </w:tcPr>
          <w:p w14:paraId="0EA8EDF1"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526</w:t>
            </w:r>
          </w:p>
        </w:tc>
        <w:tc>
          <w:tcPr>
            <w:tcW w:w="885" w:type="dxa"/>
            <w:vAlign w:val="bottom"/>
          </w:tcPr>
          <w:p w14:paraId="01BCF139"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1,059</w:t>
            </w:r>
          </w:p>
        </w:tc>
        <w:tc>
          <w:tcPr>
            <w:tcW w:w="854" w:type="dxa"/>
            <w:vAlign w:val="bottom"/>
          </w:tcPr>
          <w:p w14:paraId="487ED3CD"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776</w:t>
            </w:r>
          </w:p>
        </w:tc>
        <w:tc>
          <w:tcPr>
            <w:tcW w:w="885" w:type="dxa"/>
            <w:vAlign w:val="bottom"/>
          </w:tcPr>
          <w:p w14:paraId="44902CE0"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1,122</w:t>
            </w:r>
          </w:p>
        </w:tc>
        <w:tc>
          <w:tcPr>
            <w:tcW w:w="885" w:type="dxa"/>
            <w:vAlign w:val="bottom"/>
          </w:tcPr>
          <w:p w14:paraId="6A167034"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751</w:t>
            </w:r>
          </w:p>
        </w:tc>
        <w:tc>
          <w:tcPr>
            <w:tcW w:w="885" w:type="dxa"/>
            <w:vAlign w:val="bottom"/>
          </w:tcPr>
          <w:p w14:paraId="79DB6B21"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657</w:t>
            </w:r>
          </w:p>
        </w:tc>
        <w:tc>
          <w:tcPr>
            <w:tcW w:w="855" w:type="dxa"/>
            <w:vAlign w:val="bottom"/>
          </w:tcPr>
          <w:p w14:paraId="71A9D4EF"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401</w:t>
            </w:r>
          </w:p>
        </w:tc>
        <w:tc>
          <w:tcPr>
            <w:tcW w:w="793" w:type="dxa"/>
          </w:tcPr>
          <w:p w14:paraId="50A5AAD7" w14:textId="386BDDE8" w:rsidR="00FB6C3B" w:rsidRDefault="00700860" w:rsidP="004110AE">
            <w:pPr>
              <w:pStyle w:val="EmptyLayoutCell"/>
              <w:spacing w:before="60" w:after="60"/>
              <w:rPr>
                <w:rFonts w:ascii="Arial" w:hAnsi="Arial" w:cs="Arial"/>
                <w:sz w:val="18"/>
                <w:szCs w:val="18"/>
              </w:rPr>
            </w:pPr>
            <w:r>
              <w:rPr>
                <w:rFonts w:ascii="Arial" w:hAnsi="Arial" w:cs="Arial"/>
                <w:sz w:val="18"/>
                <w:szCs w:val="18"/>
              </w:rPr>
              <w:t>5</w:t>
            </w:r>
            <w:r w:rsidR="000C70A0">
              <w:rPr>
                <w:rFonts w:ascii="Arial" w:hAnsi="Arial" w:cs="Arial"/>
                <w:sz w:val="18"/>
                <w:szCs w:val="18"/>
              </w:rPr>
              <w:t>,</w:t>
            </w:r>
            <w:r>
              <w:rPr>
                <w:rFonts w:ascii="Arial" w:hAnsi="Arial" w:cs="Arial"/>
                <w:sz w:val="18"/>
                <w:szCs w:val="18"/>
              </w:rPr>
              <w:t>304</w:t>
            </w:r>
          </w:p>
        </w:tc>
      </w:tr>
      <w:tr w:rsidR="00FB6C3B" w:rsidRPr="00185026" w14:paraId="412793AB" w14:textId="318210C4" w:rsidTr="009A7A90">
        <w:trPr>
          <w:trHeight w:val="293"/>
        </w:trPr>
        <w:tc>
          <w:tcPr>
            <w:tcW w:w="1527" w:type="dxa"/>
          </w:tcPr>
          <w:p w14:paraId="05ED87D4" w14:textId="77777777" w:rsidR="00FB6C3B" w:rsidRPr="00185026" w:rsidRDefault="00FB6C3B" w:rsidP="004110AE">
            <w:pPr>
              <w:pStyle w:val="EmptyLayoutCell"/>
              <w:spacing w:before="60" w:after="60"/>
              <w:rPr>
                <w:rFonts w:ascii="Arial" w:hAnsi="Arial" w:cs="Arial"/>
                <w:sz w:val="18"/>
                <w:szCs w:val="18"/>
              </w:rPr>
            </w:pPr>
            <w:r w:rsidRPr="00185026">
              <w:rPr>
                <w:rFonts w:ascii="Arial" w:hAnsi="Arial" w:cs="Arial"/>
                <w:sz w:val="18"/>
                <w:szCs w:val="18"/>
              </w:rPr>
              <w:t>Other or unknown</w:t>
            </w:r>
          </w:p>
        </w:tc>
        <w:tc>
          <w:tcPr>
            <w:tcW w:w="853" w:type="dxa"/>
            <w:vAlign w:val="bottom"/>
          </w:tcPr>
          <w:p w14:paraId="04808D76"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854" w:type="dxa"/>
            <w:vAlign w:val="bottom"/>
          </w:tcPr>
          <w:p w14:paraId="52BF993E"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885" w:type="dxa"/>
            <w:vAlign w:val="bottom"/>
          </w:tcPr>
          <w:p w14:paraId="1B66D444"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854" w:type="dxa"/>
            <w:vAlign w:val="bottom"/>
          </w:tcPr>
          <w:p w14:paraId="52E9E807"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885" w:type="dxa"/>
            <w:vAlign w:val="bottom"/>
          </w:tcPr>
          <w:p w14:paraId="72773EA4"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6</w:t>
            </w:r>
          </w:p>
        </w:tc>
        <w:tc>
          <w:tcPr>
            <w:tcW w:w="885" w:type="dxa"/>
            <w:vAlign w:val="bottom"/>
          </w:tcPr>
          <w:p w14:paraId="63AAFB35"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885" w:type="dxa"/>
            <w:vAlign w:val="bottom"/>
          </w:tcPr>
          <w:p w14:paraId="3174142B"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855" w:type="dxa"/>
            <w:vAlign w:val="bottom"/>
          </w:tcPr>
          <w:p w14:paraId="4D368F62" w14:textId="77777777" w:rsidR="00FB6C3B" w:rsidRPr="00185026" w:rsidRDefault="00FB6C3B" w:rsidP="004110AE">
            <w:pPr>
              <w:pStyle w:val="EmptyLayoutCell"/>
              <w:spacing w:before="60" w:after="60"/>
              <w:rPr>
                <w:rFonts w:ascii="Arial" w:hAnsi="Arial" w:cs="Arial"/>
                <w:sz w:val="18"/>
                <w:szCs w:val="18"/>
              </w:rPr>
            </w:pPr>
            <w:r>
              <w:rPr>
                <w:rFonts w:ascii="Arial" w:hAnsi="Arial" w:cs="Arial"/>
                <w:sz w:val="18"/>
                <w:szCs w:val="18"/>
              </w:rPr>
              <w:t>0</w:t>
            </w:r>
          </w:p>
        </w:tc>
        <w:tc>
          <w:tcPr>
            <w:tcW w:w="793" w:type="dxa"/>
            <w:vAlign w:val="bottom"/>
          </w:tcPr>
          <w:p w14:paraId="65C9F556" w14:textId="57C59A8B" w:rsidR="00FB6C3B" w:rsidRDefault="009A7A90" w:rsidP="004110AE">
            <w:pPr>
              <w:pStyle w:val="EmptyLayoutCell"/>
              <w:spacing w:before="60" w:after="60"/>
              <w:rPr>
                <w:rFonts w:ascii="Arial" w:hAnsi="Arial" w:cs="Arial"/>
                <w:sz w:val="18"/>
                <w:szCs w:val="18"/>
              </w:rPr>
            </w:pPr>
            <w:r>
              <w:rPr>
                <w:rFonts w:ascii="Arial" w:hAnsi="Arial" w:cs="Arial"/>
                <w:sz w:val="18"/>
                <w:szCs w:val="18"/>
              </w:rPr>
              <w:t>6</w:t>
            </w:r>
          </w:p>
        </w:tc>
      </w:tr>
      <w:tr w:rsidR="009F3317" w:rsidRPr="00185026" w14:paraId="42F56229" w14:textId="77777777" w:rsidTr="00FB6C3B">
        <w:trPr>
          <w:trHeight w:val="293"/>
        </w:trPr>
        <w:tc>
          <w:tcPr>
            <w:tcW w:w="1527" w:type="dxa"/>
          </w:tcPr>
          <w:p w14:paraId="22F682E9" w14:textId="7C146E98" w:rsidR="009F3317" w:rsidRPr="00251AB0" w:rsidRDefault="009F3317" w:rsidP="004110AE">
            <w:pPr>
              <w:pStyle w:val="EmptyLayoutCell"/>
              <w:spacing w:before="60" w:after="60"/>
              <w:rPr>
                <w:rFonts w:ascii="Arial" w:hAnsi="Arial" w:cs="Arial"/>
                <w:b/>
                <w:bCs/>
                <w:sz w:val="18"/>
                <w:szCs w:val="18"/>
              </w:rPr>
            </w:pPr>
            <w:r w:rsidRPr="00251AB0">
              <w:rPr>
                <w:rFonts w:ascii="Arial" w:hAnsi="Arial" w:cs="Arial"/>
                <w:b/>
                <w:bCs/>
                <w:sz w:val="18"/>
                <w:szCs w:val="18"/>
              </w:rPr>
              <w:t>Total</w:t>
            </w:r>
          </w:p>
        </w:tc>
        <w:tc>
          <w:tcPr>
            <w:tcW w:w="853" w:type="dxa"/>
            <w:vAlign w:val="bottom"/>
          </w:tcPr>
          <w:p w14:paraId="6608E156" w14:textId="3FC0A695" w:rsidR="009F3317" w:rsidRPr="00251AB0" w:rsidRDefault="00D04664" w:rsidP="004110AE">
            <w:pPr>
              <w:pStyle w:val="EmptyLayoutCell"/>
              <w:spacing w:before="60" w:after="60"/>
              <w:rPr>
                <w:rFonts w:ascii="Arial" w:hAnsi="Arial" w:cs="Arial"/>
                <w:b/>
                <w:bCs/>
                <w:sz w:val="18"/>
                <w:szCs w:val="18"/>
              </w:rPr>
            </w:pPr>
            <w:r w:rsidRPr="00251AB0">
              <w:rPr>
                <w:rFonts w:ascii="Arial" w:hAnsi="Arial" w:cs="Arial"/>
                <w:b/>
                <w:bCs/>
                <w:sz w:val="18"/>
                <w:szCs w:val="18"/>
              </w:rPr>
              <w:t>25</w:t>
            </w:r>
          </w:p>
        </w:tc>
        <w:tc>
          <w:tcPr>
            <w:tcW w:w="854" w:type="dxa"/>
            <w:vAlign w:val="bottom"/>
          </w:tcPr>
          <w:p w14:paraId="7DB97F06" w14:textId="0721D193" w:rsidR="009F3317" w:rsidRPr="00251AB0" w:rsidRDefault="00F141F1" w:rsidP="004110AE">
            <w:pPr>
              <w:pStyle w:val="EmptyLayoutCell"/>
              <w:spacing w:before="60" w:after="60"/>
              <w:rPr>
                <w:rFonts w:ascii="Arial" w:hAnsi="Arial" w:cs="Arial"/>
                <w:b/>
                <w:bCs/>
                <w:sz w:val="18"/>
                <w:szCs w:val="18"/>
              </w:rPr>
            </w:pPr>
            <w:r w:rsidRPr="00251AB0">
              <w:rPr>
                <w:rFonts w:ascii="Arial" w:hAnsi="Arial" w:cs="Arial"/>
                <w:b/>
                <w:bCs/>
                <w:sz w:val="18"/>
                <w:szCs w:val="18"/>
              </w:rPr>
              <w:t>1</w:t>
            </w:r>
            <w:r w:rsidR="000C70A0" w:rsidRPr="00251AB0">
              <w:rPr>
                <w:rFonts w:ascii="Arial" w:hAnsi="Arial" w:cs="Arial"/>
                <w:b/>
                <w:bCs/>
                <w:sz w:val="18"/>
                <w:szCs w:val="18"/>
              </w:rPr>
              <w:t>,</w:t>
            </w:r>
            <w:r w:rsidRPr="00251AB0">
              <w:rPr>
                <w:rFonts w:ascii="Arial" w:hAnsi="Arial" w:cs="Arial"/>
                <w:b/>
                <w:bCs/>
                <w:sz w:val="18"/>
                <w:szCs w:val="18"/>
              </w:rPr>
              <w:t>253</w:t>
            </w:r>
          </w:p>
        </w:tc>
        <w:tc>
          <w:tcPr>
            <w:tcW w:w="885" w:type="dxa"/>
            <w:vAlign w:val="bottom"/>
          </w:tcPr>
          <w:p w14:paraId="504B00C4" w14:textId="2022511F" w:rsidR="009F3317" w:rsidRPr="00251AB0" w:rsidRDefault="00C56E5E" w:rsidP="004110AE">
            <w:pPr>
              <w:pStyle w:val="EmptyLayoutCell"/>
              <w:spacing w:before="60" w:after="60"/>
              <w:rPr>
                <w:rFonts w:ascii="Arial" w:hAnsi="Arial" w:cs="Arial"/>
                <w:b/>
                <w:bCs/>
                <w:sz w:val="18"/>
                <w:szCs w:val="18"/>
              </w:rPr>
            </w:pPr>
            <w:r w:rsidRPr="00251AB0">
              <w:rPr>
                <w:rFonts w:ascii="Arial" w:hAnsi="Arial" w:cs="Arial"/>
                <w:b/>
                <w:bCs/>
                <w:sz w:val="18"/>
                <w:szCs w:val="18"/>
              </w:rPr>
              <w:t>1</w:t>
            </w:r>
            <w:r w:rsidR="000C70A0" w:rsidRPr="00251AB0">
              <w:rPr>
                <w:rFonts w:ascii="Arial" w:hAnsi="Arial" w:cs="Arial"/>
                <w:b/>
                <w:bCs/>
                <w:sz w:val="18"/>
                <w:szCs w:val="18"/>
              </w:rPr>
              <w:t>,</w:t>
            </w:r>
            <w:r w:rsidRPr="00251AB0">
              <w:rPr>
                <w:rFonts w:ascii="Arial" w:hAnsi="Arial" w:cs="Arial"/>
                <w:b/>
                <w:bCs/>
                <w:sz w:val="18"/>
                <w:szCs w:val="18"/>
              </w:rPr>
              <w:t>8</w:t>
            </w:r>
            <w:r w:rsidR="008E754E" w:rsidRPr="00251AB0">
              <w:rPr>
                <w:rFonts w:ascii="Arial" w:hAnsi="Arial" w:cs="Arial"/>
                <w:b/>
                <w:bCs/>
                <w:sz w:val="18"/>
                <w:szCs w:val="18"/>
              </w:rPr>
              <w:t>28</w:t>
            </w:r>
          </w:p>
        </w:tc>
        <w:tc>
          <w:tcPr>
            <w:tcW w:w="854" w:type="dxa"/>
            <w:vAlign w:val="bottom"/>
          </w:tcPr>
          <w:p w14:paraId="68693525" w14:textId="581E810D" w:rsidR="009F3317" w:rsidRPr="00251AB0" w:rsidRDefault="00EE552A" w:rsidP="004110AE">
            <w:pPr>
              <w:pStyle w:val="EmptyLayoutCell"/>
              <w:spacing w:before="60" w:after="60"/>
              <w:rPr>
                <w:rFonts w:ascii="Arial" w:hAnsi="Arial" w:cs="Arial"/>
                <w:b/>
                <w:bCs/>
                <w:sz w:val="18"/>
                <w:szCs w:val="18"/>
              </w:rPr>
            </w:pPr>
            <w:r w:rsidRPr="00251AB0">
              <w:rPr>
                <w:rFonts w:ascii="Arial" w:hAnsi="Arial" w:cs="Arial"/>
                <w:b/>
                <w:bCs/>
                <w:sz w:val="18"/>
                <w:szCs w:val="18"/>
              </w:rPr>
              <w:t>1</w:t>
            </w:r>
            <w:r w:rsidR="000C70A0" w:rsidRPr="00251AB0">
              <w:rPr>
                <w:rFonts w:ascii="Arial" w:hAnsi="Arial" w:cs="Arial"/>
                <w:b/>
                <w:bCs/>
                <w:sz w:val="18"/>
                <w:szCs w:val="18"/>
              </w:rPr>
              <w:t>,</w:t>
            </w:r>
            <w:r w:rsidRPr="00251AB0">
              <w:rPr>
                <w:rFonts w:ascii="Arial" w:hAnsi="Arial" w:cs="Arial"/>
                <w:b/>
                <w:bCs/>
                <w:sz w:val="18"/>
                <w:szCs w:val="18"/>
              </w:rPr>
              <w:t>768</w:t>
            </w:r>
          </w:p>
        </w:tc>
        <w:tc>
          <w:tcPr>
            <w:tcW w:w="885" w:type="dxa"/>
            <w:vAlign w:val="bottom"/>
          </w:tcPr>
          <w:p w14:paraId="2728B365" w14:textId="49C33E39" w:rsidR="009F3317" w:rsidRPr="00251AB0" w:rsidRDefault="00F86C96" w:rsidP="004110AE">
            <w:pPr>
              <w:pStyle w:val="EmptyLayoutCell"/>
              <w:spacing w:before="60" w:after="60"/>
              <w:rPr>
                <w:rFonts w:ascii="Arial" w:hAnsi="Arial" w:cs="Arial"/>
                <w:b/>
                <w:bCs/>
                <w:sz w:val="18"/>
                <w:szCs w:val="18"/>
              </w:rPr>
            </w:pPr>
            <w:r w:rsidRPr="00251AB0">
              <w:rPr>
                <w:rFonts w:ascii="Arial" w:hAnsi="Arial" w:cs="Arial"/>
                <w:b/>
                <w:bCs/>
                <w:sz w:val="18"/>
                <w:szCs w:val="18"/>
              </w:rPr>
              <w:t>2</w:t>
            </w:r>
            <w:r w:rsidR="000C70A0" w:rsidRPr="00251AB0">
              <w:rPr>
                <w:rFonts w:ascii="Arial" w:hAnsi="Arial" w:cs="Arial"/>
                <w:b/>
                <w:bCs/>
                <w:sz w:val="18"/>
                <w:szCs w:val="18"/>
              </w:rPr>
              <w:t>,</w:t>
            </w:r>
            <w:r w:rsidRPr="00251AB0">
              <w:rPr>
                <w:rFonts w:ascii="Arial" w:hAnsi="Arial" w:cs="Arial"/>
                <w:b/>
                <w:bCs/>
                <w:sz w:val="18"/>
                <w:szCs w:val="18"/>
              </w:rPr>
              <w:t>099</w:t>
            </w:r>
          </w:p>
        </w:tc>
        <w:tc>
          <w:tcPr>
            <w:tcW w:w="885" w:type="dxa"/>
            <w:vAlign w:val="bottom"/>
          </w:tcPr>
          <w:p w14:paraId="5F76F332" w14:textId="306AB8F6" w:rsidR="009F3317" w:rsidRPr="00251AB0" w:rsidRDefault="0013328C" w:rsidP="004110AE">
            <w:pPr>
              <w:pStyle w:val="EmptyLayoutCell"/>
              <w:spacing w:before="60" w:after="60"/>
              <w:rPr>
                <w:rFonts w:ascii="Arial" w:hAnsi="Arial" w:cs="Arial"/>
                <w:b/>
                <w:bCs/>
                <w:sz w:val="18"/>
                <w:szCs w:val="18"/>
              </w:rPr>
            </w:pPr>
            <w:r w:rsidRPr="00251AB0">
              <w:rPr>
                <w:rFonts w:ascii="Arial" w:hAnsi="Arial" w:cs="Arial"/>
                <w:b/>
                <w:bCs/>
                <w:sz w:val="18"/>
                <w:szCs w:val="18"/>
              </w:rPr>
              <w:t>2</w:t>
            </w:r>
            <w:r w:rsidR="000C70A0" w:rsidRPr="00251AB0">
              <w:rPr>
                <w:rFonts w:ascii="Arial" w:hAnsi="Arial" w:cs="Arial"/>
                <w:b/>
                <w:bCs/>
                <w:sz w:val="18"/>
                <w:szCs w:val="18"/>
              </w:rPr>
              <w:t>,</w:t>
            </w:r>
            <w:r w:rsidRPr="00251AB0">
              <w:rPr>
                <w:rFonts w:ascii="Arial" w:hAnsi="Arial" w:cs="Arial"/>
                <w:b/>
                <w:bCs/>
                <w:sz w:val="18"/>
                <w:szCs w:val="18"/>
              </w:rPr>
              <w:t>000</w:t>
            </w:r>
          </w:p>
        </w:tc>
        <w:tc>
          <w:tcPr>
            <w:tcW w:w="885" w:type="dxa"/>
            <w:vAlign w:val="bottom"/>
          </w:tcPr>
          <w:p w14:paraId="715CA645" w14:textId="1AB1AF0E" w:rsidR="009F3317" w:rsidRPr="00251AB0" w:rsidRDefault="00F44E44" w:rsidP="004110AE">
            <w:pPr>
              <w:pStyle w:val="EmptyLayoutCell"/>
              <w:spacing w:before="60" w:after="60"/>
              <w:rPr>
                <w:rFonts w:ascii="Arial" w:hAnsi="Arial" w:cs="Arial"/>
                <w:b/>
                <w:bCs/>
                <w:sz w:val="18"/>
                <w:szCs w:val="18"/>
              </w:rPr>
            </w:pPr>
            <w:r w:rsidRPr="00251AB0">
              <w:rPr>
                <w:rFonts w:ascii="Arial" w:hAnsi="Arial" w:cs="Arial"/>
                <w:b/>
                <w:bCs/>
                <w:sz w:val="18"/>
                <w:szCs w:val="18"/>
              </w:rPr>
              <w:t>1</w:t>
            </w:r>
            <w:r w:rsidR="000C70A0" w:rsidRPr="00251AB0">
              <w:rPr>
                <w:rFonts w:ascii="Arial" w:hAnsi="Arial" w:cs="Arial"/>
                <w:b/>
                <w:bCs/>
                <w:sz w:val="18"/>
                <w:szCs w:val="18"/>
              </w:rPr>
              <w:t>,</w:t>
            </w:r>
            <w:r w:rsidRPr="00251AB0">
              <w:rPr>
                <w:rFonts w:ascii="Arial" w:hAnsi="Arial" w:cs="Arial"/>
                <w:b/>
                <w:bCs/>
                <w:sz w:val="18"/>
                <w:szCs w:val="18"/>
              </w:rPr>
              <w:t>8</w:t>
            </w:r>
            <w:r w:rsidR="00307B69" w:rsidRPr="00251AB0">
              <w:rPr>
                <w:rFonts w:ascii="Arial" w:hAnsi="Arial" w:cs="Arial"/>
                <w:b/>
                <w:bCs/>
                <w:sz w:val="18"/>
                <w:szCs w:val="18"/>
              </w:rPr>
              <w:t>39</w:t>
            </w:r>
          </w:p>
        </w:tc>
        <w:tc>
          <w:tcPr>
            <w:tcW w:w="855" w:type="dxa"/>
            <w:vAlign w:val="bottom"/>
          </w:tcPr>
          <w:p w14:paraId="0A638E7E" w14:textId="79E5D5D2" w:rsidR="009F3317" w:rsidRPr="00251AB0" w:rsidRDefault="00FB0E6C" w:rsidP="004110AE">
            <w:pPr>
              <w:pStyle w:val="EmptyLayoutCell"/>
              <w:spacing w:before="60" w:after="60"/>
              <w:rPr>
                <w:rFonts w:ascii="Arial" w:hAnsi="Arial" w:cs="Arial"/>
                <w:b/>
                <w:bCs/>
                <w:sz w:val="18"/>
                <w:szCs w:val="18"/>
              </w:rPr>
            </w:pPr>
            <w:r w:rsidRPr="00251AB0">
              <w:rPr>
                <w:rFonts w:ascii="Arial" w:hAnsi="Arial" w:cs="Arial"/>
                <w:b/>
                <w:bCs/>
                <w:sz w:val="18"/>
                <w:szCs w:val="18"/>
              </w:rPr>
              <w:t>1</w:t>
            </w:r>
            <w:r w:rsidR="000C70A0" w:rsidRPr="00251AB0">
              <w:rPr>
                <w:rFonts w:ascii="Arial" w:hAnsi="Arial" w:cs="Arial"/>
                <w:b/>
                <w:bCs/>
                <w:sz w:val="18"/>
                <w:szCs w:val="18"/>
              </w:rPr>
              <w:t>,</w:t>
            </w:r>
            <w:r w:rsidRPr="00251AB0">
              <w:rPr>
                <w:rFonts w:ascii="Arial" w:hAnsi="Arial" w:cs="Arial"/>
                <w:b/>
                <w:bCs/>
                <w:sz w:val="18"/>
                <w:szCs w:val="18"/>
              </w:rPr>
              <w:t>048</w:t>
            </w:r>
          </w:p>
        </w:tc>
        <w:tc>
          <w:tcPr>
            <w:tcW w:w="793" w:type="dxa"/>
          </w:tcPr>
          <w:p w14:paraId="285E4121" w14:textId="25616B74" w:rsidR="009F3317" w:rsidRPr="00251AB0" w:rsidRDefault="00931DC3" w:rsidP="004110AE">
            <w:pPr>
              <w:pStyle w:val="EmptyLayoutCell"/>
              <w:spacing w:before="60" w:after="60"/>
              <w:rPr>
                <w:rFonts w:ascii="Arial" w:hAnsi="Arial" w:cs="Arial"/>
                <w:b/>
                <w:bCs/>
                <w:sz w:val="18"/>
                <w:szCs w:val="18"/>
              </w:rPr>
            </w:pPr>
            <w:r w:rsidRPr="00251AB0">
              <w:rPr>
                <w:rFonts w:ascii="Arial" w:hAnsi="Arial" w:cs="Arial"/>
                <w:b/>
                <w:bCs/>
                <w:sz w:val="18"/>
                <w:szCs w:val="18"/>
              </w:rPr>
              <w:t>11</w:t>
            </w:r>
            <w:r w:rsidR="000C70A0" w:rsidRPr="00251AB0">
              <w:rPr>
                <w:rFonts w:ascii="Arial" w:hAnsi="Arial" w:cs="Arial"/>
                <w:b/>
                <w:bCs/>
                <w:sz w:val="18"/>
                <w:szCs w:val="18"/>
              </w:rPr>
              <w:t>,</w:t>
            </w:r>
            <w:r w:rsidRPr="00251AB0">
              <w:rPr>
                <w:rFonts w:ascii="Arial" w:hAnsi="Arial" w:cs="Arial"/>
                <w:b/>
                <w:bCs/>
                <w:sz w:val="18"/>
                <w:szCs w:val="18"/>
              </w:rPr>
              <w:t>860</w:t>
            </w:r>
          </w:p>
        </w:tc>
      </w:tr>
    </w:tbl>
    <w:p w14:paraId="0A5EE4F3" w14:textId="48CA3D8A" w:rsidR="003C449F" w:rsidRPr="003C449F" w:rsidRDefault="003C449F" w:rsidP="003C449F">
      <w:pPr>
        <w:pStyle w:val="Body"/>
        <w:rPr>
          <w:sz w:val="18"/>
          <w:szCs w:val="18"/>
        </w:rPr>
      </w:pPr>
      <w:bookmarkStart w:id="30" w:name="_Toc52886243"/>
      <w:r w:rsidRPr="003C449F">
        <w:rPr>
          <w:sz w:val="18"/>
          <w:szCs w:val="18"/>
        </w:rPr>
        <w:t>Note: This table corresponds with the graph in Figure 2. It is included for purposes of accessibility.</w:t>
      </w:r>
    </w:p>
    <w:p w14:paraId="51D40624" w14:textId="511AC0AF" w:rsidR="00123C4A" w:rsidRPr="00A30D86" w:rsidRDefault="00381B2F" w:rsidP="00D310E4">
      <w:pPr>
        <w:pStyle w:val="Heading2"/>
        <w:spacing w:before="360"/>
        <w:rPr>
          <w:color w:val="FF0000"/>
        </w:rPr>
      </w:pPr>
      <w:bookmarkStart w:id="31" w:name="_Toc180660136"/>
      <w:r w:rsidRPr="56B42FB6">
        <w:rPr>
          <w:rFonts w:eastAsia="Arial"/>
        </w:rPr>
        <w:t>Deaths of people receiving mental health treatment</w:t>
      </w:r>
      <w:bookmarkEnd w:id="30"/>
      <w:bookmarkEnd w:id="31"/>
      <w:r w:rsidR="00B528B8">
        <w:rPr>
          <w:rFonts w:eastAsia="Arial"/>
        </w:rPr>
        <w:t xml:space="preserve"> </w:t>
      </w:r>
    </w:p>
    <w:p w14:paraId="431C85F1" w14:textId="0A67F94F" w:rsidR="00381B2F" w:rsidRPr="005269A4" w:rsidRDefault="00381B2F" w:rsidP="00B618C2">
      <w:pPr>
        <w:pStyle w:val="Body"/>
        <w:spacing w:before="120"/>
      </w:pPr>
      <w:r w:rsidRPr="005269A4">
        <w:t>The death of a person receiving treatment or support for a mental illness is a tragic event. The Chief Psychiatrist collects data from mental health services to learn from each incident</w:t>
      </w:r>
      <w:r w:rsidR="00EB58AA">
        <w:t>,</w:t>
      </w:r>
      <w:r w:rsidRPr="005269A4">
        <w:t xml:space="preserve"> with a view to improving the quality and safety of clinical practices and reducing the number of preventable deaths.</w:t>
      </w:r>
    </w:p>
    <w:p w14:paraId="384B452B" w14:textId="1B7E7F47" w:rsidR="00381B2F" w:rsidRPr="005269A4" w:rsidRDefault="00701695" w:rsidP="00563C62">
      <w:pPr>
        <w:pStyle w:val="Body"/>
      </w:pPr>
      <w:r>
        <w:t>T</w:t>
      </w:r>
      <w:r w:rsidR="00381B2F" w:rsidRPr="005269A4">
        <w:t>he Chief Psychiatrist must be notified of the deaths of all mental health inpatients where an inpatient is defined as any person</w:t>
      </w:r>
      <w:r w:rsidR="0060110C">
        <w:t>,</w:t>
      </w:r>
      <w:r w:rsidR="00381B2F" w:rsidRPr="005269A4">
        <w:t xml:space="preserve"> regardless of legal status</w:t>
      </w:r>
      <w:r w:rsidR="0060110C">
        <w:t>,</w:t>
      </w:r>
      <w:r w:rsidR="00381B2F" w:rsidRPr="005269A4">
        <w:rPr>
          <w:i/>
          <w:iCs/>
        </w:rPr>
        <w:t xml:space="preserve"> </w:t>
      </w:r>
      <w:r w:rsidR="00381B2F" w:rsidRPr="005269A4">
        <w:t>who</w:t>
      </w:r>
      <w:r w:rsidR="00381B2F" w:rsidRPr="005269A4">
        <w:rPr>
          <w:i/>
          <w:iCs/>
        </w:rPr>
        <w:t>:</w:t>
      </w:r>
    </w:p>
    <w:p w14:paraId="3AA95B90" w14:textId="77777777" w:rsidR="00381B2F" w:rsidRPr="005269A4" w:rsidRDefault="00381B2F" w:rsidP="00563C62">
      <w:pPr>
        <w:pStyle w:val="Bullet1"/>
        <w:rPr>
          <w:rFonts w:eastAsiaTheme="minorEastAsia"/>
        </w:rPr>
      </w:pPr>
      <w:r w:rsidRPr="005269A4">
        <w:t>had been admitted to a mental health inpatient unit</w:t>
      </w:r>
    </w:p>
    <w:p w14:paraId="0E2A6E18" w14:textId="77777777" w:rsidR="00381B2F" w:rsidRPr="005269A4" w:rsidRDefault="00381B2F" w:rsidP="00563C62">
      <w:pPr>
        <w:pStyle w:val="Bullet1"/>
        <w:rPr>
          <w:rFonts w:eastAsiaTheme="minorEastAsia"/>
        </w:rPr>
      </w:pPr>
      <w:r w:rsidRPr="005269A4">
        <w:t>was on approved leave from an inpatient unit</w:t>
      </w:r>
    </w:p>
    <w:p w14:paraId="0CCE4CD6" w14:textId="77777777" w:rsidR="00381B2F" w:rsidRPr="005269A4" w:rsidRDefault="00381B2F" w:rsidP="00563C62">
      <w:pPr>
        <w:pStyle w:val="Bullet1"/>
        <w:rPr>
          <w:rFonts w:eastAsiaTheme="minorEastAsia"/>
        </w:rPr>
      </w:pPr>
      <w:r w:rsidRPr="005269A4">
        <w:t>had absconded from an inpatient unit</w:t>
      </w:r>
    </w:p>
    <w:p w14:paraId="61667778" w14:textId="77777777" w:rsidR="00381B2F" w:rsidRPr="005269A4" w:rsidRDefault="00381B2F" w:rsidP="00563C62">
      <w:pPr>
        <w:pStyle w:val="Bullet1"/>
        <w:rPr>
          <w:rFonts w:eastAsiaTheme="minorEastAsia"/>
        </w:rPr>
      </w:pPr>
      <w:r w:rsidRPr="005269A4">
        <w:t>had been transferred to a non-psychiatric ward during a mental health admission</w:t>
      </w:r>
    </w:p>
    <w:p w14:paraId="33022C9B" w14:textId="77777777" w:rsidR="00381B2F" w:rsidRPr="005269A4" w:rsidRDefault="00381B2F" w:rsidP="00563C62">
      <w:pPr>
        <w:pStyle w:val="Bullet1"/>
        <w:rPr>
          <w:rFonts w:eastAsiaTheme="minorEastAsia"/>
        </w:rPr>
      </w:pPr>
      <w:r w:rsidRPr="005269A4">
        <w:lastRenderedPageBreak/>
        <w:t>had been discharged from a mental health inpatient unit within the previous 24 hours</w:t>
      </w:r>
    </w:p>
    <w:p w14:paraId="7576135E" w14:textId="77777777" w:rsidR="00381B2F" w:rsidRPr="005269A4" w:rsidRDefault="00381B2F" w:rsidP="00563C62">
      <w:pPr>
        <w:pStyle w:val="Bullet1"/>
        <w:rPr>
          <w:rFonts w:eastAsiaTheme="minorEastAsia"/>
        </w:rPr>
      </w:pPr>
      <w:r w:rsidRPr="005269A4">
        <w:t>had been waiting in an emergency department for a mental health bed to become available.</w:t>
      </w:r>
    </w:p>
    <w:p w14:paraId="4DD1EDEA" w14:textId="77777777" w:rsidR="00381B2F" w:rsidRPr="005269A4" w:rsidRDefault="00381B2F" w:rsidP="00643556">
      <w:pPr>
        <w:pStyle w:val="Bodyafterbullets"/>
      </w:pPr>
      <w:r w:rsidRPr="005269A4">
        <w:t>In the case of deaths in the community, the Chief Psychiatrist must be notified of:</w:t>
      </w:r>
    </w:p>
    <w:p w14:paraId="09A11216" w14:textId="06FACF63" w:rsidR="00381B2F" w:rsidRPr="00EC49D8" w:rsidRDefault="00381B2F" w:rsidP="00563C62">
      <w:pPr>
        <w:pStyle w:val="Bullet1"/>
      </w:pPr>
      <w:r w:rsidRPr="005269A4">
        <w:t xml:space="preserve">all unexpected, unnatural or violent deaths (including suspected suicides) of people who </w:t>
      </w:r>
      <w:r w:rsidR="1182E09B">
        <w:t xml:space="preserve">are, or </w:t>
      </w:r>
      <w:r w:rsidRPr="005269A4">
        <w:t xml:space="preserve">had been </w:t>
      </w:r>
      <w:r w:rsidR="02CD7C07">
        <w:t xml:space="preserve">in the previous </w:t>
      </w:r>
      <w:r w:rsidR="00AD12EC">
        <w:t xml:space="preserve">3 </w:t>
      </w:r>
      <w:r w:rsidR="02CD7C07">
        <w:t>months</w:t>
      </w:r>
      <w:r w:rsidR="009056E9">
        <w:t>,</w:t>
      </w:r>
      <w:r w:rsidDel="00381B2F">
        <w:t xml:space="preserve"> </w:t>
      </w:r>
      <w:r w:rsidR="1BC2F358">
        <w:t xml:space="preserve">a </w:t>
      </w:r>
      <w:r w:rsidRPr="005269A4">
        <w:t xml:space="preserve">registered mental health consumer or who had sought care from a mental health provider </w:t>
      </w:r>
      <w:r w:rsidR="019C7CDA">
        <w:t>even though it had not led them to being a registered mental health consumer</w:t>
      </w:r>
    </w:p>
    <w:p w14:paraId="033F94F0" w14:textId="77777777" w:rsidR="00381B2F" w:rsidRPr="00EC49D8" w:rsidRDefault="00381B2F" w:rsidP="00563C62">
      <w:pPr>
        <w:pStyle w:val="Bullet1"/>
      </w:pPr>
      <w:r w:rsidRPr="005269A4">
        <w:t>all deaths of patients under community treatment orders or non-custodial supervision orders.</w:t>
      </w:r>
    </w:p>
    <w:p w14:paraId="39415E7B" w14:textId="59491487" w:rsidR="00381B2F" w:rsidRPr="005269A4" w:rsidRDefault="00381B2F" w:rsidP="00D55654">
      <w:pPr>
        <w:pStyle w:val="Bodyafterbullets"/>
      </w:pPr>
      <w:r w:rsidRPr="005269A4">
        <w:t xml:space="preserve">People </w:t>
      </w:r>
      <w:proofErr w:type="gramStart"/>
      <w:r w:rsidRPr="005269A4">
        <w:t>are considered to be</w:t>
      </w:r>
      <w:proofErr w:type="gramEnd"/>
      <w:r w:rsidRPr="005269A4">
        <w:t xml:space="preserve"> mental health consumers until their case is closed and they have been told of this change in status (or the service has made reasonable efforts to do so).</w:t>
      </w:r>
    </w:p>
    <w:p w14:paraId="1BD25D5E" w14:textId="77777777" w:rsidR="00381B2F" w:rsidRPr="005269A4" w:rsidRDefault="00381B2F" w:rsidP="00B5548B">
      <w:pPr>
        <w:pStyle w:val="Bodyafterbullets"/>
      </w:pPr>
      <w:r w:rsidRPr="005269A4">
        <w:t>The Chief Psychiatrist is accountable for the following functions with respect to consumers’ deaths:</w:t>
      </w:r>
    </w:p>
    <w:p w14:paraId="7054B0F8" w14:textId="77777777" w:rsidR="00381B2F" w:rsidRPr="00EC49D8" w:rsidRDefault="00381B2F" w:rsidP="00563C62">
      <w:pPr>
        <w:pStyle w:val="Bullet1"/>
      </w:pPr>
      <w:r w:rsidRPr="005269A4">
        <w:t>to maintain a database of reportable deaths</w:t>
      </w:r>
    </w:p>
    <w:p w14:paraId="7C16016B" w14:textId="430846F4" w:rsidR="00381B2F" w:rsidRPr="00EC49D8" w:rsidRDefault="00381B2F" w:rsidP="00563C62">
      <w:pPr>
        <w:pStyle w:val="Bullet1"/>
      </w:pPr>
      <w:r w:rsidRPr="005269A4">
        <w:t xml:space="preserve">to contribute to coronial </w:t>
      </w:r>
      <w:r w:rsidR="00EB58AA">
        <w:t>i</w:t>
      </w:r>
      <w:r w:rsidRPr="005269A4">
        <w:t>nquiries and recommendations when requested by the coroner</w:t>
      </w:r>
    </w:p>
    <w:p w14:paraId="7341524A" w14:textId="08D48ABE" w:rsidR="00381B2F" w:rsidRPr="00EC49D8" w:rsidRDefault="00381B2F" w:rsidP="00563C62">
      <w:pPr>
        <w:pStyle w:val="Bullet1"/>
      </w:pPr>
      <w:r w:rsidRPr="005269A4">
        <w:t>to review clinical reports provided by services to identify systemic issues that may have contributed to a person’s death</w:t>
      </w:r>
      <w:r w:rsidR="00BB20E2">
        <w:t>,</w:t>
      </w:r>
      <w:r w:rsidR="007A07B3">
        <w:t xml:space="preserve"> including through the Chief Psychiatrists Sentinel Event Review </w:t>
      </w:r>
      <w:r w:rsidR="007751C6">
        <w:t>Subc</w:t>
      </w:r>
      <w:r w:rsidR="007A07B3">
        <w:t xml:space="preserve">ommittee </w:t>
      </w:r>
    </w:p>
    <w:p w14:paraId="2BFEDACB" w14:textId="2905343F" w:rsidR="00381B2F" w:rsidRDefault="00381B2F" w:rsidP="00563C62">
      <w:pPr>
        <w:pStyle w:val="Bullet1"/>
      </w:pPr>
      <w:r w:rsidRPr="005269A4">
        <w:t xml:space="preserve">to identify </w:t>
      </w:r>
      <w:r w:rsidR="5C8313BD">
        <w:t>statewide</w:t>
      </w:r>
      <w:r w:rsidRPr="005269A4">
        <w:t xml:space="preserve"> issues and provide guidance to mental health services to reduce and prevent deaths and </w:t>
      </w:r>
      <w:r w:rsidR="0060110C">
        <w:t xml:space="preserve">to </w:t>
      </w:r>
      <w:r w:rsidRPr="005269A4">
        <w:t>provide safe and effective care.</w:t>
      </w:r>
    </w:p>
    <w:p w14:paraId="113E4F7D" w14:textId="0FE86B8E" w:rsidR="00155658" w:rsidRPr="00155658" w:rsidRDefault="00155658" w:rsidP="00FC5F9B">
      <w:pPr>
        <w:pStyle w:val="Bodyafterbullets"/>
      </w:pPr>
      <w:r w:rsidRPr="00155658">
        <w:t xml:space="preserve">The Chief </w:t>
      </w:r>
      <w:r>
        <w:t>P</w:t>
      </w:r>
      <w:r w:rsidRPr="00155658">
        <w:t xml:space="preserve">sychiatrist </w:t>
      </w:r>
      <w:r w:rsidR="000D300F">
        <w:t>works</w:t>
      </w:r>
      <w:r w:rsidR="000D300F" w:rsidRPr="00155658">
        <w:t xml:space="preserve"> </w:t>
      </w:r>
      <w:r w:rsidRPr="00155658">
        <w:t xml:space="preserve">with the </w:t>
      </w:r>
      <w:r>
        <w:t>C</w:t>
      </w:r>
      <w:r w:rsidRPr="00155658">
        <w:t xml:space="preserve">oroners </w:t>
      </w:r>
      <w:r>
        <w:t>C</w:t>
      </w:r>
      <w:r w:rsidRPr="00155658">
        <w:t xml:space="preserve">ourt </w:t>
      </w:r>
      <w:r>
        <w:t>to match</w:t>
      </w:r>
      <w:r w:rsidRPr="00155658">
        <w:t xml:space="preserve"> data </w:t>
      </w:r>
      <w:r>
        <w:t>and</w:t>
      </w:r>
      <w:r w:rsidRPr="00155658">
        <w:t xml:space="preserve"> identify suicide</w:t>
      </w:r>
      <w:r>
        <w:t xml:space="preserve">s of </w:t>
      </w:r>
      <w:r w:rsidR="004C15F1">
        <w:t xml:space="preserve">people </w:t>
      </w:r>
      <w:r>
        <w:t xml:space="preserve">who were recently discharged from </w:t>
      </w:r>
      <w:r w:rsidR="000D300F">
        <w:t xml:space="preserve">a </w:t>
      </w:r>
      <w:r>
        <w:t xml:space="preserve">mental health service. </w:t>
      </w:r>
      <w:r w:rsidR="000A0E57">
        <w:t xml:space="preserve">The Chief Psychiatrist also </w:t>
      </w:r>
      <w:r w:rsidR="00DD2011">
        <w:t>collaborates</w:t>
      </w:r>
      <w:r w:rsidR="000A0E57">
        <w:t xml:space="preserve"> with </w:t>
      </w:r>
      <w:r w:rsidR="008123B2">
        <w:t>the</w:t>
      </w:r>
      <w:r w:rsidR="009451D1">
        <w:t xml:space="preserve"> </w:t>
      </w:r>
      <w:r w:rsidR="00085F34">
        <w:t xml:space="preserve">Suicide </w:t>
      </w:r>
      <w:r w:rsidR="00A318DB">
        <w:t xml:space="preserve">Prevention </w:t>
      </w:r>
      <w:r w:rsidR="00EE2865">
        <w:t>and Response Office</w:t>
      </w:r>
      <w:r w:rsidR="006962CD">
        <w:t xml:space="preserve"> in the Victorian Department of Health</w:t>
      </w:r>
      <w:r w:rsidR="00EE2865">
        <w:t xml:space="preserve"> </w:t>
      </w:r>
      <w:r w:rsidR="000A0E57">
        <w:t>by</w:t>
      </w:r>
      <w:r>
        <w:t xml:space="preserve"> cross-checking data to</w:t>
      </w:r>
      <w:r w:rsidR="00EE5F5D">
        <w:t xml:space="preserve"> better identify deaths and improve safety and </w:t>
      </w:r>
      <w:r w:rsidR="006D074C">
        <w:t xml:space="preserve">the </w:t>
      </w:r>
      <w:r w:rsidR="00EE5F5D">
        <w:t>quality</w:t>
      </w:r>
      <w:r w:rsidR="002779FB">
        <w:t xml:space="preserve"> of care for those receiving men</w:t>
      </w:r>
      <w:r w:rsidR="006D074C">
        <w:t>t</w:t>
      </w:r>
      <w:r w:rsidR="002779FB">
        <w:t>al health care.</w:t>
      </w:r>
      <w:r>
        <w:t xml:space="preserve"> </w:t>
      </w:r>
      <w:r w:rsidR="00DD2011">
        <w:t>This data is</w:t>
      </w:r>
      <w:r>
        <w:t xml:space="preserve"> used to detect </w:t>
      </w:r>
      <w:r w:rsidRPr="00155658">
        <w:t xml:space="preserve">suicide in </w:t>
      </w:r>
      <w:r>
        <w:t>specific</w:t>
      </w:r>
      <w:r w:rsidRPr="00155658">
        <w:t xml:space="preserve"> areas</w:t>
      </w:r>
      <w:r w:rsidR="0844DB03">
        <w:t xml:space="preserve"> or demographics</w:t>
      </w:r>
      <w:r>
        <w:t>, enabling th</w:t>
      </w:r>
      <w:r w:rsidRPr="00155658">
        <w:t xml:space="preserve">e </w:t>
      </w:r>
      <w:r>
        <w:t>D</w:t>
      </w:r>
      <w:r w:rsidRPr="00155658">
        <w:t>epartment</w:t>
      </w:r>
      <w:r>
        <w:t xml:space="preserve"> of Health to take early action</w:t>
      </w:r>
      <w:r w:rsidRPr="00155658">
        <w:t xml:space="preserve"> </w:t>
      </w:r>
      <w:r>
        <w:t>in</w:t>
      </w:r>
      <w:r w:rsidRPr="00155658">
        <w:t xml:space="preserve"> </w:t>
      </w:r>
      <w:r>
        <w:t xml:space="preserve">support of services responding to suicide </w:t>
      </w:r>
      <w:r w:rsidRPr="00155658">
        <w:t>clusters.</w:t>
      </w:r>
    </w:p>
    <w:p w14:paraId="6B1C659A" w14:textId="2979E941" w:rsidR="00381B2F" w:rsidRDefault="1CC23CA0" w:rsidP="00383721">
      <w:pPr>
        <w:pStyle w:val="Heading3"/>
        <w:rPr>
          <w:rFonts w:ascii="Calibri" w:eastAsia="Calibri" w:hAnsi="Calibri"/>
          <w:b/>
          <w:sz w:val="22"/>
          <w:szCs w:val="22"/>
          <w:highlight w:val="magenta"/>
        </w:rPr>
      </w:pPr>
      <w:bookmarkStart w:id="32" w:name="_Toc52886244"/>
      <w:r>
        <w:t xml:space="preserve">Reportable deaths in </w:t>
      </w:r>
      <w:bookmarkEnd w:id="32"/>
      <w:r w:rsidR="00CB4697">
        <w:t>202</w:t>
      </w:r>
      <w:bookmarkStart w:id="33" w:name="_Hlk147485986"/>
      <w:r w:rsidR="00E10999">
        <w:t>3</w:t>
      </w:r>
      <w:r w:rsidR="7B0FCD3B">
        <w:t>–</w:t>
      </w:r>
      <w:bookmarkEnd w:id="33"/>
      <w:r w:rsidR="00527589">
        <w:t>24</w:t>
      </w:r>
    </w:p>
    <w:p w14:paraId="02CBDB77" w14:textId="794C1BE5" w:rsidR="00E944CC" w:rsidRDefault="00381B2F" w:rsidP="00563C62">
      <w:pPr>
        <w:pStyle w:val="Body"/>
      </w:pPr>
      <w:r>
        <w:t xml:space="preserve">In </w:t>
      </w:r>
      <w:r w:rsidR="571CD37D">
        <w:t>20</w:t>
      </w:r>
      <w:r w:rsidR="7C0666A0">
        <w:t>2</w:t>
      </w:r>
      <w:r w:rsidR="003F415C">
        <w:t>3</w:t>
      </w:r>
      <w:r w:rsidR="571CD37D">
        <w:t>–</w:t>
      </w:r>
      <w:r w:rsidR="00882208" w:rsidDel="00F31A8E">
        <w:t>2</w:t>
      </w:r>
      <w:r w:rsidR="00E10999">
        <w:t>4</w:t>
      </w:r>
      <w:r>
        <w:t xml:space="preserve"> mental health services reported </w:t>
      </w:r>
      <w:r w:rsidR="003553E8">
        <w:t>3</w:t>
      </w:r>
      <w:r w:rsidR="00564256">
        <w:t>8</w:t>
      </w:r>
      <w:r w:rsidR="003553E8">
        <w:t>9</w:t>
      </w:r>
      <w:r w:rsidR="003553E8" w:rsidRPr="00DF02AB">
        <w:t xml:space="preserve"> </w:t>
      </w:r>
      <w:r w:rsidRPr="00DF02AB">
        <w:t>deaths</w:t>
      </w:r>
      <w:r w:rsidR="00F60B53" w:rsidRPr="00DF02AB">
        <w:t>,</w:t>
      </w:r>
      <w:r w:rsidRPr="00DF02AB">
        <w:t xml:space="preserve"> of which </w:t>
      </w:r>
      <w:r w:rsidR="008C2385">
        <w:t xml:space="preserve">25 </w:t>
      </w:r>
      <w:r>
        <w:t xml:space="preserve">were defined as ‘inpatient deaths’ </w:t>
      </w:r>
      <w:r w:rsidR="00A12442">
        <w:t>(</w:t>
      </w:r>
      <w:r w:rsidR="006D074C">
        <w:t xml:space="preserve">Figure 3 and </w:t>
      </w:r>
      <w:r w:rsidR="00A12442">
        <w:t xml:space="preserve">Table </w:t>
      </w:r>
      <w:r w:rsidR="006D074C">
        <w:t>4</w:t>
      </w:r>
      <w:r w:rsidR="00A12442">
        <w:t xml:space="preserve">). </w:t>
      </w:r>
      <w:r w:rsidR="00637644">
        <w:t>Nine</w:t>
      </w:r>
      <w:r w:rsidR="00637644" w:rsidRPr="00DF02AB">
        <w:t xml:space="preserve"> </w:t>
      </w:r>
      <w:r w:rsidR="3AF1F21D" w:rsidRPr="00DF02AB">
        <w:t xml:space="preserve">of these </w:t>
      </w:r>
      <w:r w:rsidR="00637644">
        <w:t>25</w:t>
      </w:r>
      <w:r w:rsidR="00637644" w:rsidRPr="00DF02AB">
        <w:t xml:space="preserve"> </w:t>
      </w:r>
      <w:r w:rsidR="3AF1F21D" w:rsidRPr="00DF02AB">
        <w:t>deaths</w:t>
      </w:r>
      <w:r w:rsidR="3AF1F21D">
        <w:t xml:space="preserve"> were recorded as suicide.</w:t>
      </w:r>
      <w:r w:rsidR="00A12442">
        <w:t xml:space="preserve"> Th</w:t>
      </w:r>
      <w:r w:rsidR="009E6ADE">
        <w:t>e overall number</w:t>
      </w:r>
      <w:r w:rsidR="00A12442">
        <w:t xml:space="preserve"> </w:t>
      </w:r>
      <w:r w:rsidR="15004A53">
        <w:t xml:space="preserve">of inpatient deaths </w:t>
      </w:r>
      <w:r w:rsidR="00A12442">
        <w:t>encompasses</w:t>
      </w:r>
      <w:r>
        <w:t xml:space="preserve"> the deaths of people while on leave, shortly after </w:t>
      </w:r>
      <w:r w:rsidR="000D1445">
        <w:t xml:space="preserve">their </w:t>
      </w:r>
      <w:r>
        <w:t>discharge or following</w:t>
      </w:r>
      <w:r w:rsidR="000D1445">
        <w:t xml:space="preserve"> their</w:t>
      </w:r>
      <w:r>
        <w:t xml:space="preserve"> transfer to </w:t>
      </w:r>
      <w:r w:rsidR="006D074C">
        <w:t>an</w:t>
      </w:r>
      <w:r>
        <w:t xml:space="preserve">other type of ward. </w:t>
      </w:r>
    </w:p>
    <w:p w14:paraId="3B72A634" w14:textId="7B8B4064" w:rsidR="00381B2F" w:rsidRPr="002F20AE" w:rsidRDefault="00381B2F" w:rsidP="00563C62">
      <w:pPr>
        <w:pStyle w:val="Body"/>
        <w:rPr>
          <w:color w:val="FF0000"/>
        </w:rPr>
      </w:pPr>
      <w:r>
        <w:t xml:space="preserve">When adjusted for population, </w:t>
      </w:r>
      <w:r w:rsidR="00A50DD0">
        <w:t xml:space="preserve">inpatient deaths </w:t>
      </w:r>
      <w:r w:rsidR="005836B6">
        <w:t xml:space="preserve">show </w:t>
      </w:r>
      <w:r w:rsidR="00B52B94">
        <w:t xml:space="preserve">some variability across </w:t>
      </w:r>
      <w:r w:rsidR="00DB3A1E">
        <w:t>t</w:t>
      </w:r>
      <w:r w:rsidR="00CE0596">
        <w:t>he years</w:t>
      </w:r>
      <w:r w:rsidR="006D074C">
        <w:t>,</w:t>
      </w:r>
      <w:r w:rsidR="00CE0596">
        <w:t xml:space="preserve"> which we believe </w:t>
      </w:r>
      <w:r w:rsidR="00925EEC">
        <w:t xml:space="preserve">to relate mostly to </w:t>
      </w:r>
      <w:r w:rsidR="00DB3A1E">
        <w:t xml:space="preserve">the </w:t>
      </w:r>
      <w:r w:rsidR="00925EEC">
        <w:t xml:space="preserve">small </w:t>
      </w:r>
      <w:r w:rsidR="00A21491">
        <w:t xml:space="preserve">number </w:t>
      </w:r>
      <w:r w:rsidR="00BE7520">
        <w:t>of inpatient deaths each year</w:t>
      </w:r>
      <w:r w:rsidR="468FCF4E">
        <w:t>. C</w:t>
      </w:r>
      <w:r w:rsidR="00C71B9A">
        <w:t xml:space="preserve">ommunity </w:t>
      </w:r>
      <w:r>
        <w:t xml:space="preserve">deaths </w:t>
      </w:r>
      <w:r w:rsidR="000A5D79">
        <w:t>remain consis</w:t>
      </w:r>
      <w:r w:rsidR="00050BBA">
        <w:t>tent</w:t>
      </w:r>
      <w:r>
        <w:t xml:space="preserve">. </w:t>
      </w:r>
      <w:r w:rsidR="00947DFD">
        <w:t xml:space="preserve">The figures </w:t>
      </w:r>
      <w:r w:rsidR="00F93B81">
        <w:t xml:space="preserve">in this report also include </w:t>
      </w:r>
      <w:r w:rsidR="008C3C46">
        <w:t xml:space="preserve">reported deaths in custodial settings as part of the new reporting </w:t>
      </w:r>
      <w:r w:rsidR="00BC4104">
        <w:t xml:space="preserve">requirements </w:t>
      </w:r>
      <w:r w:rsidR="00C0697A">
        <w:t>under</w:t>
      </w:r>
      <w:r w:rsidR="00BC4104">
        <w:t xml:space="preserve"> the </w:t>
      </w:r>
      <w:r w:rsidR="00D24407">
        <w:t>Act.</w:t>
      </w:r>
    </w:p>
    <w:p w14:paraId="2C45509C" w14:textId="3DC9E379" w:rsidR="00381B2F" w:rsidRDefault="00315BD4" w:rsidP="009A5423">
      <w:pPr>
        <w:pStyle w:val="Figurecaption"/>
        <w:rPr>
          <w:bCs/>
          <w:highlight w:val="green"/>
        </w:rPr>
      </w:pPr>
      <w:r>
        <w:lastRenderedPageBreak/>
        <w:t>Figure</w:t>
      </w:r>
      <w:r w:rsidR="00381B2F">
        <w:t xml:space="preserve"> </w:t>
      </w:r>
      <w:r w:rsidR="008527EA">
        <w:t>3</w:t>
      </w:r>
      <w:r w:rsidR="00381B2F">
        <w:t>: Reportable deaths</w:t>
      </w:r>
      <w:r w:rsidR="00F37D79">
        <w:t xml:space="preserve"> </w:t>
      </w:r>
      <w:r w:rsidR="00381B2F">
        <w:t xml:space="preserve">per 100,000 Victorian </w:t>
      </w:r>
      <w:r w:rsidR="66FE9466">
        <w:t>population</w:t>
      </w:r>
      <w:r w:rsidR="00381B2F">
        <w:t xml:space="preserve">, </w:t>
      </w:r>
      <w:r w:rsidR="00EC1283">
        <w:t>20</w:t>
      </w:r>
      <w:r w:rsidR="00381B2F">
        <w:t>1</w:t>
      </w:r>
      <w:r w:rsidR="1A980636">
        <w:t>9</w:t>
      </w:r>
      <w:r w:rsidR="00381B2F">
        <w:t>–</w:t>
      </w:r>
      <w:r w:rsidR="00EC1283">
        <w:t>20</w:t>
      </w:r>
      <w:r w:rsidR="00381B2F">
        <w:t xml:space="preserve"> to </w:t>
      </w:r>
      <w:r w:rsidR="007B2175">
        <w:t>202</w:t>
      </w:r>
      <w:r w:rsidR="003D011D">
        <w:t>3</w:t>
      </w:r>
      <w:r w:rsidR="007B2175">
        <w:t>–2</w:t>
      </w:r>
      <w:r w:rsidR="003D011D">
        <w:t>4</w:t>
      </w:r>
      <w:r w:rsidR="00EB3CC1">
        <w:t xml:space="preserve"> </w:t>
      </w:r>
    </w:p>
    <w:p w14:paraId="2727FA0B" w14:textId="2E31E7E0" w:rsidR="3E9F3A59" w:rsidRDefault="00C672DD" w:rsidP="3E9F3A59">
      <w:pPr>
        <w:pStyle w:val="Body"/>
      </w:pPr>
      <w:r>
        <w:rPr>
          <w:noProof/>
        </w:rPr>
        <w:drawing>
          <wp:inline distT="0" distB="0" distL="0" distR="0" wp14:anchorId="4B993BC4" wp14:editId="14C1E271">
            <wp:extent cx="5324475" cy="2828925"/>
            <wp:effectExtent l="0" t="0" r="9525" b="9525"/>
            <wp:docPr id="897461792" name="Chart 1" descr="For a breakdown of the data in this figure, refer to Table 4.">
              <a:extLst xmlns:a="http://schemas.openxmlformats.org/drawingml/2006/main">
                <a:ext uri="{FF2B5EF4-FFF2-40B4-BE49-F238E27FC236}">
                  <a16:creationId xmlns:a16="http://schemas.microsoft.com/office/drawing/2014/main" id="{23E761DA-DF94-422F-A1AC-709AB453B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8221C7" w14:textId="2FE1184B" w:rsidR="006B3F7E" w:rsidRDefault="00E8354D" w:rsidP="003641FB">
      <w:pPr>
        <w:pStyle w:val="Tablefigurenote"/>
        <w:spacing w:before="0"/>
        <w:rPr>
          <w:b/>
          <w:sz w:val="21"/>
          <w:szCs w:val="21"/>
        </w:rPr>
      </w:pPr>
      <w:r>
        <w:t>Note:</w:t>
      </w:r>
      <w:r w:rsidR="008B4B58">
        <w:t xml:space="preserve"> </w:t>
      </w:r>
      <w:r w:rsidR="009F4C23">
        <w:t>R</w:t>
      </w:r>
      <w:r w:rsidR="009F4C23" w:rsidRPr="00BB7DF1">
        <w:t xml:space="preserve">eportable deaths </w:t>
      </w:r>
      <w:r w:rsidR="009F4C23">
        <w:t>data is</w:t>
      </w:r>
      <w:r w:rsidR="009F4C23" w:rsidRPr="00BB7DF1">
        <w:t xml:space="preserve"> continuously revised following confirmation of cause of death by </w:t>
      </w:r>
      <w:r w:rsidR="006D074C">
        <w:t xml:space="preserve">a </w:t>
      </w:r>
      <w:r w:rsidR="009F4C23" w:rsidRPr="00BB7DF1">
        <w:t xml:space="preserve">coroner. As such, </w:t>
      </w:r>
      <w:r w:rsidR="009F4C23">
        <w:t>figures</w:t>
      </w:r>
      <w:r w:rsidR="009F4C23" w:rsidRPr="00BB7DF1">
        <w:t xml:space="preserve"> may </w:t>
      </w:r>
      <w:r w:rsidR="009F4C23">
        <w:t>vary</w:t>
      </w:r>
      <w:r w:rsidR="009F4C23" w:rsidRPr="00BB7DF1">
        <w:t xml:space="preserve"> slightly </w:t>
      </w:r>
      <w:r w:rsidR="009F4C23">
        <w:t xml:space="preserve">between annual </w:t>
      </w:r>
      <w:r w:rsidR="009F4C23" w:rsidRPr="00BB7DF1">
        <w:t>reports</w:t>
      </w:r>
      <w:r w:rsidR="009F4C23">
        <w:t xml:space="preserve"> from previous years</w:t>
      </w:r>
      <w:r w:rsidR="009F4C23" w:rsidRPr="00BB7DF1">
        <w:t>.</w:t>
      </w:r>
    </w:p>
    <w:p w14:paraId="7186B242" w14:textId="54D913A9" w:rsidR="00AB2E13" w:rsidRDefault="000C64A4" w:rsidP="006B56D4">
      <w:pPr>
        <w:pStyle w:val="Tablecaption"/>
      </w:pPr>
      <w:r>
        <w:t xml:space="preserve">Table </w:t>
      </w:r>
      <w:r w:rsidR="004A116A">
        <w:t>4</w:t>
      </w:r>
      <w:r>
        <w:t xml:space="preserve">: Reportable deaths per 100,000 Victorian population, </w:t>
      </w:r>
      <w:r w:rsidR="00CC7D50">
        <w:t>20</w:t>
      </w:r>
      <w:r w:rsidDel="00CC7D50">
        <w:t>1</w:t>
      </w:r>
      <w:r w:rsidR="118C65F9" w:rsidDel="00CC7D50">
        <w:t>9</w:t>
      </w:r>
      <w:r>
        <w:t>–</w:t>
      </w:r>
      <w:r w:rsidR="00CC7D50">
        <w:t>20</w:t>
      </w:r>
      <w:r>
        <w:t xml:space="preserve"> to 202</w:t>
      </w:r>
      <w:r w:rsidR="00CC7D50">
        <w:t>3</w:t>
      </w:r>
      <w:r w:rsidR="008B4B58">
        <w:t>–</w:t>
      </w:r>
      <w:r>
        <w:t>2</w:t>
      </w:r>
      <w:r w:rsidR="00CC7D50">
        <w:t>4</w:t>
      </w:r>
      <w:bookmarkStart w:id="34" w:name="_Hlk83213603"/>
      <w:bookmarkStart w:id="35" w:name="_Hlk178777079"/>
    </w:p>
    <w:tbl>
      <w:tblPr>
        <w:tblStyle w:val="TableGrid"/>
        <w:tblW w:w="8364"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68"/>
        <w:gridCol w:w="1016"/>
        <w:gridCol w:w="1016"/>
        <w:gridCol w:w="1016"/>
        <w:gridCol w:w="1016"/>
        <w:gridCol w:w="1016"/>
        <w:gridCol w:w="1016"/>
      </w:tblGrid>
      <w:tr w:rsidR="006B56D4" w14:paraId="2627D9F2" w14:textId="24C719F5" w:rsidTr="006B56D4">
        <w:trPr>
          <w:tblHeader/>
        </w:trPr>
        <w:tc>
          <w:tcPr>
            <w:tcW w:w="2268" w:type="dxa"/>
            <w:shd w:val="clear" w:color="auto" w:fill="244C5A"/>
          </w:tcPr>
          <w:p w14:paraId="6A2DF565" w14:textId="4D6BAEA7" w:rsidR="006B56D4" w:rsidRPr="009E1217" w:rsidRDefault="006B56D4">
            <w:pPr>
              <w:pStyle w:val="EmptyLayoutCell"/>
              <w:spacing w:before="60" w:after="60"/>
              <w:rPr>
                <w:rFonts w:ascii="Arial" w:hAnsi="Arial" w:cs="Arial"/>
                <w:color w:val="FFFFFF"/>
                <w:sz w:val="18"/>
                <w:szCs w:val="18"/>
              </w:rPr>
            </w:pPr>
            <w:r>
              <w:rPr>
                <w:rFonts w:ascii="Arial" w:hAnsi="Arial" w:cs="Arial"/>
                <w:color w:val="FFFFFF"/>
                <w:sz w:val="18"/>
                <w:szCs w:val="18"/>
              </w:rPr>
              <w:t>Measure</w:t>
            </w:r>
          </w:p>
        </w:tc>
        <w:tc>
          <w:tcPr>
            <w:tcW w:w="1016" w:type="dxa"/>
            <w:shd w:val="clear" w:color="auto" w:fill="244C5A"/>
          </w:tcPr>
          <w:p w14:paraId="002C033B" w14:textId="74F9D8BC" w:rsidR="006B56D4" w:rsidRPr="009E1217" w:rsidRDefault="006B56D4">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016" w:type="dxa"/>
            <w:shd w:val="clear" w:color="auto" w:fill="244C5A"/>
          </w:tcPr>
          <w:p w14:paraId="33849240" w14:textId="4535481F" w:rsidR="006B56D4" w:rsidRPr="009E1217" w:rsidRDefault="006B56D4">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016" w:type="dxa"/>
            <w:shd w:val="clear" w:color="auto" w:fill="244C5A"/>
          </w:tcPr>
          <w:p w14:paraId="7FEB7458" w14:textId="4F9A958A" w:rsidR="006B56D4" w:rsidRPr="009E1217" w:rsidRDefault="006B56D4">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016" w:type="dxa"/>
            <w:shd w:val="clear" w:color="auto" w:fill="244C5A"/>
          </w:tcPr>
          <w:p w14:paraId="06DB4D0F" w14:textId="17504F2D" w:rsidR="006B56D4" w:rsidRPr="009E1217" w:rsidRDefault="006B56D4">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016" w:type="dxa"/>
            <w:shd w:val="clear" w:color="auto" w:fill="244C5A"/>
          </w:tcPr>
          <w:p w14:paraId="0D1BAEF9" w14:textId="3348369E" w:rsidR="006B56D4" w:rsidRDefault="006B56D4">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2023–24</w:t>
            </w:r>
          </w:p>
        </w:tc>
        <w:tc>
          <w:tcPr>
            <w:tcW w:w="1016" w:type="dxa"/>
            <w:shd w:val="clear" w:color="auto" w:fill="244C5A"/>
          </w:tcPr>
          <w:p w14:paraId="053B8328" w14:textId="2FDF1541" w:rsidR="006B56D4" w:rsidRDefault="006B56D4">
            <w:pPr>
              <w:pStyle w:val="EmptyLayoutCell"/>
              <w:spacing w:before="60" w:after="60"/>
              <w:rPr>
                <w:rFonts w:ascii="Arial" w:hAnsi="Arial" w:cs="Arial"/>
                <w:color w:val="FFFFFF" w:themeColor="background1"/>
                <w:sz w:val="18"/>
                <w:szCs w:val="18"/>
              </w:rPr>
            </w:pPr>
            <w:r>
              <w:rPr>
                <w:rFonts w:ascii="Arial" w:hAnsi="Arial" w:cs="Arial"/>
                <w:color w:val="FFFFFF" w:themeColor="background1"/>
                <w:sz w:val="18"/>
                <w:szCs w:val="18"/>
              </w:rPr>
              <w:t>Average</w:t>
            </w:r>
          </w:p>
        </w:tc>
      </w:tr>
      <w:tr w:rsidR="006B56D4" w14:paraId="60167D52" w14:textId="63EB2AF0" w:rsidTr="006B56D4">
        <w:tc>
          <w:tcPr>
            <w:tcW w:w="2268" w:type="dxa"/>
          </w:tcPr>
          <w:p w14:paraId="61E0D3CE" w14:textId="23F6AD2D"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Community deaths</w:t>
            </w:r>
          </w:p>
        </w:tc>
        <w:tc>
          <w:tcPr>
            <w:tcW w:w="1016" w:type="dxa"/>
          </w:tcPr>
          <w:p w14:paraId="092A7D33" w14:textId="70944FDB"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5.42</w:t>
            </w:r>
          </w:p>
        </w:tc>
        <w:tc>
          <w:tcPr>
            <w:tcW w:w="1016" w:type="dxa"/>
          </w:tcPr>
          <w:p w14:paraId="3E11CE91" w14:textId="04C8709C"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4.42</w:t>
            </w:r>
          </w:p>
        </w:tc>
        <w:tc>
          <w:tcPr>
            <w:tcW w:w="1016" w:type="dxa"/>
          </w:tcPr>
          <w:p w14:paraId="4C2E5DA0" w14:textId="1894C174"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4.56</w:t>
            </w:r>
          </w:p>
        </w:tc>
        <w:tc>
          <w:tcPr>
            <w:tcW w:w="1016" w:type="dxa"/>
          </w:tcPr>
          <w:p w14:paraId="29CAB1DF" w14:textId="1DCE3C22"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5.03</w:t>
            </w:r>
          </w:p>
        </w:tc>
        <w:tc>
          <w:tcPr>
            <w:tcW w:w="1016" w:type="dxa"/>
          </w:tcPr>
          <w:p w14:paraId="69576433" w14:textId="0BE5B8A6" w:rsidR="006B56D4" w:rsidRDefault="006B56D4" w:rsidP="006B56D4">
            <w:pPr>
              <w:pStyle w:val="EmptyLayoutCell"/>
              <w:spacing w:before="60" w:after="60"/>
              <w:rPr>
                <w:rFonts w:ascii="Arial" w:hAnsi="Arial" w:cs="Arial"/>
                <w:sz w:val="18"/>
                <w:szCs w:val="18"/>
              </w:rPr>
            </w:pPr>
            <w:r>
              <w:rPr>
                <w:rFonts w:ascii="Arial" w:hAnsi="Arial" w:cs="Arial"/>
                <w:sz w:val="18"/>
                <w:szCs w:val="18"/>
              </w:rPr>
              <w:t>5.02</w:t>
            </w:r>
          </w:p>
        </w:tc>
        <w:tc>
          <w:tcPr>
            <w:tcW w:w="1016" w:type="dxa"/>
          </w:tcPr>
          <w:p w14:paraId="4FDB1845" w14:textId="06E9790C" w:rsidR="006B56D4" w:rsidRDefault="006B56D4" w:rsidP="006B56D4">
            <w:pPr>
              <w:pStyle w:val="EmptyLayoutCell"/>
              <w:spacing w:before="60" w:after="60"/>
              <w:rPr>
                <w:rFonts w:ascii="Arial" w:hAnsi="Arial" w:cs="Arial"/>
                <w:sz w:val="18"/>
                <w:szCs w:val="18"/>
              </w:rPr>
            </w:pPr>
            <w:r>
              <w:rPr>
                <w:rFonts w:ascii="Arial" w:eastAsia="Verdana" w:hAnsi="Arial" w:cs="Arial"/>
                <w:color w:val="000000"/>
                <w:sz w:val="18"/>
                <w:szCs w:val="18"/>
              </w:rPr>
              <w:t>4.89</w:t>
            </w:r>
          </w:p>
        </w:tc>
      </w:tr>
      <w:tr w:rsidR="006B56D4" w14:paraId="03219000" w14:textId="75F500ED" w:rsidTr="006B56D4">
        <w:tc>
          <w:tcPr>
            <w:tcW w:w="2268" w:type="dxa"/>
          </w:tcPr>
          <w:p w14:paraId="59D28D4D" w14:textId="7346800F"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Inpatient deaths</w:t>
            </w:r>
          </w:p>
        </w:tc>
        <w:tc>
          <w:tcPr>
            <w:tcW w:w="1016" w:type="dxa"/>
          </w:tcPr>
          <w:p w14:paraId="7D83ACFE" w14:textId="45D57270"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0.62</w:t>
            </w:r>
          </w:p>
        </w:tc>
        <w:tc>
          <w:tcPr>
            <w:tcW w:w="1016" w:type="dxa"/>
          </w:tcPr>
          <w:p w14:paraId="3F908D4D" w14:textId="28940B8E"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0.25</w:t>
            </w:r>
          </w:p>
        </w:tc>
        <w:tc>
          <w:tcPr>
            <w:tcW w:w="1016" w:type="dxa"/>
          </w:tcPr>
          <w:p w14:paraId="278994B9" w14:textId="528C0A65"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0.24</w:t>
            </w:r>
          </w:p>
        </w:tc>
        <w:tc>
          <w:tcPr>
            <w:tcW w:w="1016" w:type="dxa"/>
          </w:tcPr>
          <w:p w14:paraId="641B3733" w14:textId="6177AD4A"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0.27</w:t>
            </w:r>
          </w:p>
        </w:tc>
        <w:tc>
          <w:tcPr>
            <w:tcW w:w="1016" w:type="dxa"/>
          </w:tcPr>
          <w:p w14:paraId="31B268AC" w14:textId="473FDF9A" w:rsidR="006B56D4" w:rsidRDefault="006B56D4" w:rsidP="006B56D4">
            <w:pPr>
              <w:pStyle w:val="EmptyLayoutCell"/>
              <w:spacing w:before="60" w:after="60"/>
              <w:rPr>
                <w:rFonts w:ascii="Arial" w:hAnsi="Arial" w:cs="Arial"/>
                <w:sz w:val="18"/>
                <w:szCs w:val="18"/>
              </w:rPr>
            </w:pPr>
            <w:r>
              <w:rPr>
                <w:rFonts w:ascii="Arial" w:hAnsi="Arial" w:cs="Arial"/>
                <w:sz w:val="18"/>
                <w:szCs w:val="18"/>
              </w:rPr>
              <w:t>0.35</w:t>
            </w:r>
          </w:p>
        </w:tc>
        <w:tc>
          <w:tcPr>
            <w:tcW w:w="1016" w:type="dxa"/>
          </w:tcPr>
          <w:p w14:paraId="53318C3E" w14:textId="7871EA1D" w:rsidR="006B56D4" w:rsidRDefault="006B56D4" w:rsidP="006B56D4">
            <w:pPr>
              <w:pStyle w:val="EmptyLayoutCell"/>
              <w:spacing w:before="60" w:after="60"/>
              <w:rPr>
                <w:rFonts w:ascii="Arial" w:hAnsi="Arial" w:cs="Arial"/>
                <w:sz w:val="18"/>
                <w:szCs w:val="18"/>
              </w:rPr>
            </w:pPr>
            <w:r>
              <w:rPr>
                <w:rFonts w:ascii="Arial" w:eastAsia="Verdana" w:hAnsi="Arial" w:cs="Arial"/>
                <w:color w:val="000000"/>
                <w:sz w:val="18"/>
                <w:szCs w:val="18"/>
              </w:rPr>
              <w:t>0.35</w:t>
            </w:r>
          </w:p>
        </w:tc>
      </w:tr>
      <w:tr w:rsidR="006B56D4" w14:paraId="37CF8936" w14:textId="18D7987E" w:rsidTr="006B56D4">
        <w:tc>
          <w:tcPr>
            <w:tcW w:w="2268" w:type="dxa"/>
          </w:tcPr>
          <w:p w14:paraId="399DF5C4" w14:textId="2EF5BEDE" w:rsidR="006B56D4" w:rsidRPr="00185026" w:rsidRDefault="006B56D4" w:rsidP="006B56D4">
            <w:pPr>
              <w:pStyle w:val="EmptyLayoutCell"/>
              <w:spacing w:before="60" w:after="60"/>
              <w:rPr>
                <w:rFonts w:ascii="Arial" w:hAnsi="Arial" w:cs="Arial"/>
                <w:sz w:val="18"/>
                <w:szCs w:val="18"/>
              </w:rPr>
            </w:pPr>
            <w:r>
              <w:rPr>
                <w:rFonts w:ascii="Arial" w:hAnsi="Arial" w:cs="Arial"/>
                <w:sz w:val="18"/>
                <w:szCs w:val="18"/>
              </w:rPr>
              <w:t>All deaths</w:t>
            </w:r>
          </w:p>
        </w:tc>
        <w:tc>
          <w:tcPr>
            <w:tcW w:w="1016" w:type="dxa"/>
          </w:tcPr>
          <w:p w14:paraId="7BEA28A8" w14:textId="452F4C34" w:rsidR="006B56D4" w:rsidRPr="00397395" w:rsidRDefault="006B56D4" w:rsidP="006B56D4">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6.05</w:t>
            </w:r>
          </w:p>
        </w:tc>
        <w:tc>
          <w:tcPr>
            <w:tcW w:w="1016" w:type="dxa"/>
          </w:tcPr>
          <w:p w14:paraId="6126BEAC" w14:textId="428B2F7F" w:rsidR="006B56D4" w:rsidRPr="00397395" w:rsidRDefault="006B56D4" w:rsidP="006B56D4">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4.66</w:t>
            </w:r>
          </w:p>
        </w:tc>
        <w:tc>
          <w:tcPr>
            <w:tcW w:w="1016" w:type="dxa"/>
          </w:tcPr>
          <w:p w14:paraId="266DC040" w14:textId="70A9F559" w:rsidR="006B56D4" w:rsidRPr="00397395" w:rsidRDefault="006B56D4" w:rsidP="006B56D4">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4.81</w:t>
            </w:r>
          </w:p>
        </w:tc>
        <w:tc>
          <w:tcPr>
            <w:tcW w:w="1016" w:type="dxa"/>
          </w:tcPr>
          <w:p w14:paraId="5B752313" w14:textId="43364BD8" w:rsidR="006B56D4" w:rsidRPr="00397395" w:rsidRDefault="006B56D4" w:rsidP="006B56D4">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5.29</w:t>
            </w:r>
          </w:p>
        </w:tc>
        <w:tc>
          <w:tcPr>
            <w:tcW w:w="1016" w:type="dxa"/>
          </w:tcPr>
          <w:p w14:paraId="4F27DB94" w14:textId="150888B2" w:rsidR="006B56D4" w:rsidRDefault="006B56D4" w:rsidP="006B56D4">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5.37</w:t>
            </w:r>
          </w:p>
        </w:tc>
        <w:tc>
          <w:tcPr>
            <w:tcW w:w="1016" w:type="dxa"/>
          </w:tcPr>
          <w:p w14:paraId="2201C9E1" w14:textId="0370C55F" w:rsidR="006B56D4" w:rsidRDefault="006B56D4" w:rsidP="006B56D4">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5.24</w:t>
            </w:r>
          </w:p>
        </w:tc>
      </w:tr>
    </w:tbl>
    <w:p w14:paraId="7F5AF2F7" w14:textId="3A7892E2" w:rsidR="00C7551A" w:rsidRPr="00BB7DF1" w:rsidRDefault="0099684E" w:rsidP="0099684E">
      <w:pPr>
        <w:pStyle w:val="Tablefigurenote"/>
      </w:pPr>
      <w:r>
        <w:t>Note:</w:t>
      </w:r>
      <w:bookmarkStart w:id="36" w:name="_Hlk83213080"/>
      <w:bookmarkEnd w:id="34"/>
      <w:r w:rsidR="008B4B58">
        <w:t xml:space="preserve"> </w:t>
      </w:r>
      <w:r w:rsidR="00BB7DF1">
        <w:t>T</w:t>
      </w:r>
      <w:r w:rsidR="00C7551A" w:rsidRPr="00BB7DF1">
        <w:t xml:space="preserve">his table </w:t>
      </w:r>
      <w:r w:rsidR="00B13E4B">
        <w:t>corresponds with</w:t>
      </w:r>
      <w:r w:rsidR="00C7551A" w:rsidRPr="00BB7DF1">
        <w:t xml:space="preserve"> the graph </w:t>
      </w:r>
      <w:r w:rsidR="00EB58AA">
        <w:t xml:space="preserve">in Figure </w:t>
      </w:r>
      <w:r w:rsidR="00023BB4">
        <w:t>3</w:t>
      </w:r>
      <w:r w:rsidR="00C7551A" w:rsidRPr="00BB7DF1">
        <w:t>. It is included for purposes of accessibility.</w:t>
      </w:r>
      <w:bookmarkEnd w:id="35"/>
      <w:bookmarkEnd w:id="36"/>
    </w:p>
    <w:p w14:paraId="61C933C6" w14:textId="12C527E9" w:rsidR="00450119" w:rsidRDefault="0050235F" w:rsidP="000C70A0">
      <w:pPr>
        <w:pStyle w:val="Bodyaftertable"/>
      </w:pPr>
      <w:r w:rsidRPr="00E9A183">
        <w:t xml:space="preserve">Of the </w:t>
      </w:r>
      <w:r w:rsidR="00977C04">
        <w:t>3</w:t>
      </w:r>
      <w:r w:rsidR="007B0F7F">
        <w:t>8</w:t>
      </w:r>
      <w:r w:rsidR="00977C04">
        <w:t>9</w:t>
      </w:r>
      <w:r w:rsidR="00977C04" w:rsidRPr="00E9A183">
        <w:t xml:space="preserve"> </w:t>
      </w:r>
      <w:r w:rsidRPr="00E9A183">
        <w:t xml:space="preserve">notified deaths in </w:t>
      </w:r>
      <w:r w:rsidR="37A84D1D" w:rsidRPr="009F708E">
        <w:t>20</w:t>
      </w:r>
      <w:r w:rsidR="3A3A94BA" w:rsidRPr="009F708E">
        <w:t>2</w:t>
      </w:r>
      <w:r w:rsidR="00977C04">
        <w:t>3</w:t>
      </w:r>
      <w:r w:rsidR="37A84D1D" w:rsidRPr="009F708E">
        <w:t>–2</w:t>
      </w:r>
      <w:r w:rsidR="00977C04">
        <w:t>4</w:t>
      </w:r>
      <w:r w:rsidR="0072413B">
        <w:t xml:space="preserve"> (Table </w:t>
      </w:r>
      <w:r w:rsidR="00881351">
        <w:t>5</w:t>
      </w:r>
      <w:r w:rsidR="009F46C1">
        <w:t>)</w:t>
      </w:r>
      <w:r w:rsidR="37A84D1D">
        <w:t xml:space="preserve">, </w:t>
      </w:r>
      <w:r w:rsidR="6728C706">
        <w:t xml:space="preserve">the cause of death has yet to be </w:t>
      </w:r>
      <w:r w:rsidR="00BD519D">
        <w:t xml:space="preserve">determined </w:t>
      </w:r>
      <w:r w:rsidR="6728C706" w:rsidRPr="00773107">
        <w:t xml:space="preserve">in </w:t>
      </w:r>
      <w:r w:rsidR="002929A1">
        <w:t>33</w:t>
      </w:r>
      <w:r w:rsidR="0094775C">
        <w:t>%</w:t>
      </w:r>
      <w:r w:rsidR="6728C706">
        <w:t xml:space="preserve"> of instances. </w:t>
      </w:r>
      <w:r w:rsidR="00D8089F" w:rsidRPr="006A4FAD">
        <w:t>M</w:t>
      </w:r>
      <w:r w:rsidR="6728C706" w:rsidRPr="006A4FAD">
        <w:t xml:space="preserve">edical causes accounted for </w:t>
      </w:r>
      <w:r w:rsidR="00491EF1" w:rsidRPr="006A4FAD">
        <w:t>2</w:t>
      </w:r>
      <w:r w:rsidR="005A6578" w:rsidRPr="006A4FAD">
        <w:t>5</w:t>
      </w:r>
      <w:r w:rsidR="0094775C" w:rsidRPr="006A4FAD">
        <w:t>%</w:t>
      </w:r>
      <w:r w:rsidR="00A15472">
        <w:t xml:space="preserve">. </w:t>
      </w:r>
      <w:r w:rsidR="004D5B5F">
        <w:t>Suicides account</w:t>
      </w:r>
      <w:r w:rsidR="00760AB0">
        <w:t>ed</w:t>
      </w:r>
      <w:r w:rsidR="004D5B5F">
        <w:t xml:space="preserve"> for 34%</w:t>
      </w:r>
      <w:r w:rsidR="00EC5AA4">
        <w:t xml:space="preserve">. </w:t>
      </w:r>
      <w:r w:rsidR="00766429">
        <w:t xml:space="preserve">Suicide data </w:t>
      </w:r>
      <w:r w:rsidR="004045B3">
        <w:t xml:space="preserve">is </w:t>
      </w:r>
      <w:proofErr w:type="gramStart"/>
      <w:r w:rsidR="00C913A4">
        <w:t>cross</w:t>
      </w:r>
      <w:r w:rsidR="00D6531D">
        <w:t>-</w:t>
      </w:r>
      <w:r w:rsidR="00C913A4">
        <w:t>validated</w:t>
      </w:r>
      <w:proofErr w:type="gramEnd"/>
      <w:r w:rsidR="004045B3">
        <w:t xml:space="preserve"> </w:t>
      </w:r>
      <w:r w:rsidR="00655ABE">
        <w:t>with</w:t>
      </w:r>
      <w:r w:rsidR="00655ABE" w:rsidDel="00D12C58">
        <w:t xml:space="preserve"> </w:t>
      </w:r>
      <w:r w:rsidR="00BF1ACC">
        <w:t xml:space="preserve">reports </w:t>
      </w:r>
      <w:r w:rsidR="00655ABE">
        <w:t xml:space="preserve">received from the </w:t>
      </w:r>
      <w:r w:rsidR="00D6491A">
        <w:t>C</w:t>
      </w:r>
      <w:r w:rsidR="00655ABE">
        <w:t xml:space="preserve">oroners </w:t>
      </w:r>
      <w:r w:rsidR="00D6491A">
        <w:t>C</w:t>
      </w:r>
      <w:r w:rsidR="00655ABE">
        <w:t>ourt.</w:t>
      </w:r>
      <w:r w:rsidR="00BB3267">
        <w:t xml:space="preserve"> </w:t>
      </w:r>
      <w:r w:rsidR="003750F6">
        <w:t>T</w:t>
      </w:r>
      <w:r w:rsidR="003750F6" w:rsidRPr="003750F6">
        <w:t xml:space="preserve">he </w:t>
      </w:r>
      <w:r w:rsidR="003750F6">
        <w:t>OCP</w:t>
      </w:r>
      <w:r w:rsidR="003750F6" w:rsidRPr="003750F6">
        <w:t xml:space="preserve"> maintains an active interest in ongoing coronial investigations</w:t>
      </w:r>
      <w:r w:rsidR="00BB3267">
        <w:t xml:space="preserve"> relating to reportable deaths</w:t>
      </w:r>
      <w:r w:rsidR="00AF5F17">
        <w:t xml:space="preserve">. It </w:t>
      </w:r>
      <w:r w:rsidR="003750F6" w:rsidRPr="003750F6">
        <w:t>receives and reviews the outcome of these as they arise</w:t>
      </w:r>
      <w:r w:rsidR="2671A67E">
        <w:t xml:space="preserve"> and updates the dataset. This</w:t>
      </w:r>
      <w:r w:rsidR="003750F6" w:rsidRPr="003750F6">
        <w:t xml:space="preserve"> may be several years after </w:t>
      </w:r>
      <w:r w:rsidR="00AF5F17">
        <w:t xml:space="preserve">a </w:t>
      </w:r>
      <w:r w:rsidR="003750F6" w:rsidRPr="003750F6">
        <w:t>death</w:t>
      </w:r>
      <w:r w:rsidR="00A72BA1">
        <w:t>.</w:t>
      </w:r>
    </w:p>
    <w:p w14:paraId="09E5ED93" w14:textId="77777777" w:rsidR="00D6531D" w:rsidRDefault="00D6531D" w:rsidP="00D6531D">
      <w:pPr>
        <w:pStyle w:val="Body"/>
        <w:rPr>
          <w:lang w:val="en-US"/>
        </w:rPr>
      </w:pPr>
      <w:r w:rsidRPr="004B15D5">
        <w:rPr>
          <w:lang w:val="en-US"/>
        </w:rPr>
        <w:t>The OCP views every suicide in care as potentially preventable. Each number represents a person who has suffered and left behind family and loved ones.</w:t>
      </w:r>
    </w:p>
    <w:p w14:paraId="4C1588BA" w14:textId="0983966C" w:rsidR="00D6531D" w:rsidRPr="00D6531D" w:rsidRDefault="00D6531D" w:rsidP="00D6531D">
      <w:pPr>
        <w:pStyle w:val="Body"/>
        <w:rPr>
          <w:lang w:val="en-US"/>
        </w:rPr>
      </w:pPr>
      <w:r w:rsidRPr="1AA722E5">
        <w:rPr>
          <w:lang w:val="en-US"/>
        </w:rPr>
        <w:t xml:space="preserve">Safer Care Victoria classifies all inpatient suicides as sentinel events; they activate detailed reports from health services. These reports are reviewed by the Chief Psychiatrist’s Sentinel Event Review Subcommittee supported by a panel of senior clinicians of various disciplines and consumer and carer representatives. The panel makes recommendations to services to reduce the possibility of a recurrence. The panel may also make recommendations to enhance the rigor of service review processes. Important lessons are communicated to services through the Chief Psychiatrist’s </w:t>
      </w:r>
      <w:r w:rsidRPr="1AA722E5">
        <w:rPr>
          <w:i/>
          <w:iCs/>
          <w:lang w:val="en-US"/>
        </w:rPr>
        <w:t xml:space="preserve">Quality and Safety </w:t>
      </w:r>
      <w:r w:rsidR="002E46A2">
        <w:rPr>
          <w:i/>
          <w:iCs/>
          <w:lang w:val="en-US"/>
        </w:rPr>
        <w:t>B</w:t>
      </w:r>
      <w:r w:rsidRPr="1AA722E5">
        <w:rPr>
          <w:i/>
          <w:iCs/>
          <w:lang w:val="en-US"/>
        </w:rPr>
        <w:t>ulletin.</w:t>
      </w:r>
      <w:r w:rsidRPr="1AA722E5">
        <w:rPr>
          <w:lang w:val="en-US"/>
        </w:rPr>
        <w:t xml:space="preserve"> </w:t>
      </w:r>
    </w:p>
    <w:p w14:paraId="771F268D" w14:textId="77777777" w:rsidR="00D6531D" w:rsidRDefault="00D6531D" w:rsidP="00434B70">
      <w:pPr>
        <w:pStyle w:val="Body"/>
      </w:pPr>
      <w:r>
        <w:br w:type="page"/>
      </w:r>
    </w:p>
    <w:p w14:paraId="295BF189" w14:textId="2715DA13" w:rsidR="00357EE3" w:rsidRDefault="068C1BAB" w:rsidP="008C189B">
      <w:pPr>
        <w:pStyle w:val="Tablecaption"/>
      </w:pPr>
      <w:r>
        <w:lastRenderedPageBreak/>
        <w:t>Table</w:t>
      </w:r>
      <w:r w:rsidR="74DD142C">
        <w:t xml:space="preserve"> </w:t>
      </w:r>
      <w:r w:rsidR="00881351">
        <w:t>5</w:t>
      </w:r>
      <w:r w:rsidR="00381B2F">
        <w:t xml:space="preserve">: Reportable deaths by category, </w:t>
      </w:r>
      <w:r w:rsidR="007B2175">
        <w:t>202</w:t>
      </w:r>
      <w:r w:rsidR="001E44BC">
        <w:t>3</w:t>
      </w:r>
      <w:r w:rsidR="007B2175">
        <w:t>–2</w:t>
      </w:r>
      <w:r w:rsidR="001E44BC">
        <w:t>4</w:t>
      </w:r>
    </w:p>
    <w:tbl>
      <w:tblPr>
        <w:tblStyle w:val="TableGrid"/>
        <w:tblW w:w="8505"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552"/>
        <w:gridCol w:w="1488"/>
        <w:gridCol w:w="1488"/>
        <w:gridCol w:w="1488"/>
        <w:gridCol w:w="1489"/>
      </w:tblGrid>
      <w:tr w:rsidR="00357EE3" w14:paraId="73853EC0" w14:textId="77777777" w:rsidTr="00357EE3">
        <w:trPr>
          <w:tblHeader/>
        </w:trPr>
        <w:tc>
          <w:tcPr>
            <w:tcW w:w="2552" w:type="dxa"/>
            <w:shd w:val="clear" w:color="auto" w:fill="244C5A"/>
          </w:tcPr>
          <w:p w14:paraId="20E3E82C" w14:textId="06925841" w:rsidR="00357EE3" w:rsidRPr="009E1217" w:rsidRDefault="00357EE3">
            <w:pPr>
              <w:pStyle w:val="EmptyLayoutCell"/>
              <w:spacing w:before="60" w:after="60"/>
              <w:rPr>
                <w:rFonts w:ascii="Arial" w:hAnsi="Arial" w:cs="Arial"/>
                <w:color w:val="FFFFFF"/>
                <w:sz w:val="18"/>
                <w:szCs w:val="18"/>
              </w:rPr>
            </w:pPr>
            <w:r>
              <w:rPr>
                <w:rFonts w:ascii="Arial" w:hAnsi="Arial" w:cs="Arial"/>
                <w:color w:val="FFFFFF"/>
                <w:sz w:val="18"/>
                <w:szCs w:val="18"/>
              </w:rPr>
              <w:t>Category</w:t>
            </w:r>
          </w:p>
        </w:tc>
        <w:tc>
          <w:tcPr>
            <w:tcW w:w="1488" w:type="dxa"/>
            <w:shd w:val="clear" w:color="auto" w:fill="244C5A"/>
          </w:tcPr>
          <w:p w14:paraId="624EA897" w14:textId="34DA72C9" w:rsidR="00357EE3" w:rsidRPr="009E1217" w:rsidRDefault="00357EE3">
            <w:pPr>
              <w:pStyle w:val="EmptyLayoutCell"/>
              <w:spacing w:before="60" w:after="60"/>
              <w:rPr>
                <w:rFonts w:ascii="Arial" w:hAnsi="Arial" w:cs="Arial"/>
                <w:color w:val="FFFFFF"/>
                <w:sz w:val="18"/>
                <w:szCs w:val="18"/>
              </w:rPr>
            </w:pPr>
            <w:r>
              <w:rPr>
                <w:rFonts w:ascii="Arial" w:hAnsi="Arial" w:cs="Arial"/>
                <w:color w:val="FFFFFF"/>
                <w:sz w:val="18"/>
                <w:szCs w:val="18"/>
              </w:rPr>
              <w:t>Community Patient</w:t>
            </w:r>
          </w:p>
        </w:tc>
        <w:tc>
          <w:tcPr>
            <w:tcW w:w="1488" w:type="dxa"/>
            <w:shd w:val="clear" w:color="auto" w:fill="244C5A"/>
          </w:tcPr>
          <w:p w14:paraId="7EA68311" w14:textId="5C27B8AF" w:rsidR="00357EE3" w:rsidRPr="009E1217" w:rsidRDefault="00357EE3">
            <w:pPr>
              <w:pStyle w:val="EmptyLayoutCell"/>
              <w:spacing w:before="60" w:after="60"/>
              <w:rPr>
                <w:rFonts w:ascii="Arial" w:hAnsi="Arial" w:cs="Arial"/>
                <w:color w:val="FFFFFF"/>
                <w:sz w:val="18"/>
                <w:szCs w:val="18"/>
              </w:rPr>
            </w:pPr>
            <w:r>
              <w:rPr>
                <w:rFonts w:ascii="Arial" w:hAnsi="Arial" w:cs="Arial"/>
                <w:color w:val="FFFFFF"/>
                <w:sz w:val="18"/>
                <w:szCs w:val="18"/>
              </w:rPr>
              <w:t>Inpatient</w:t>
            </w:r>
          </w:p>
        </w:tc>
        <w:tc>
          <w:tcPr>
            <w:tcW w:w="1488" w:type="dxa"/>
            <w:shd w:val="clear" w:color="auto" w:fill="244C5A"/>
          </w:tcPr>
          <w:p w14:paraId="54FF17B0" w14:textId="31486B5B" w:rsidR="00357EE3" w:rsidRPr="009E1217" w:rsidRDefault="00357EE3">
            <w:pPr>
              <w:pStyle w:val="EmptyLayoutCell"/>
              <w:spacing w:before="60" w:after="60"/>
              <w:rPr>
                <w:rFonts w:ascii="Arial" w:hAnsi="Arial" w:cs="Arial"/>
                <w:color w:val="FFFFFF"/>
                <w:sz w:val="18"/>
                <w:szCs w:val="18"/>
              </w:rPr>
            </w:pPr>
            <w:r>
              <w:rPr>
                <w:rFonts w:ascii="Arial" w:hAnsi="Arial" w:cs="Arial"/>
                <w:color w:val="FFFFFF"/>
                <w:sz w:val="18"/>
                <w:szCs w:val="18"/>
              </w:rPr>
              <w:t>Total</w:t>
            </w:r>
          </w:p>
        </w:tc>
        <w:tc>
          <w:tcPr>
            <w:tcW w:w="1489" w:type="dxa"/>
            <w:shd w:val="clear" w:color="auto" w:fill="244C5A"/>
          </w:tcPr>
          <w:p w14:paraId="593CA629" w14:textId="28036B75" w:rsidR="00357EE3" w:rsidRPr="009E1217" w:rsidRDefault="00357EE3">
            <w:pPr>
              <w:pStyle w:val="EmptyLayoutCell"/>
              <w:spacing w:before="60" w:after="60"/>
              <w:rPr>
                <w:rFonts w:ascii="Arial" w:hAnsi="Arial" w:cs="Arial"/>
                <w:color w:val="FFFFFF"/>
                <w:sz w:val="18"/>
                <w:szCs w:val="18"/>
              </w:rPr>
            </w:pPr>
            <w:r>
              <w:rPr>
                <w:rFonts w:ascii="Arial" w:hAnsi="Arial" w:cs="Arial"/>
                <w:color w:val="FFFFFF"/>
                <w:sz w:val="18"/>
                <w:szCs w:val="18"/>
              </w:rPr>
              <w:t>Proportion</w:t>
            </w:r>
          </w:p>
        </w:tc>
      </w:tr>
      <w:tr w:rsidR="00357EE3" w14:paraId="691CB969" w14:textId="77777777" w:rsidTr="00357EE3">
        <w:tc>
          <w:tcPr>
            <w:tcW w:w="2552" w:type="dxa"/>
          </w:tcPr>
          <w:p w14:paraId="59C54A87" w14:textId="3B9B92B4" w:rsidR="00357EE3" w:rsidRPr="00185026" w:rsidRDefault="00357EE3">
            <w:pPr>
              <w:pStyle w:val="EmptyLayoutCell"/>
              <w:spacing w:before="60" w:after="60"/>
              <w:rPr>
                <w:rFonts w:ascii="Arial" w:hAnsi="Arial" w:cs="Arial"/>
                <w:sz w:val="18"/>
                <w:szCs w:val="18"/>
              </w:rPr>
            </w:pPr>
            <w:r>
              <w:rPr>
                <w:rFonts w:ascii="Arial" w:hAnsi="Arial" w:cs="Arial"/>
                <w:sz w:val="18"/>
                <w:szCs w:val="18"/>
              </w:rPr>
              <w:t>Accident/misadventure</w:t>
            </w:r>
          </w:p>
        </w:tc>
        <w:tc>
          <w:tcPr>
            <w:tcW w:w="1488" w:type="dxa"/>
          </w:tcPr>
          <w:p w14:paraId="00C903C6" w14:textId="0532AFF1" w:rsidR="00357EE3" w:rsidRPr="00185026" w:rsidRDefault="00BE16E6">
            <w:pPr>
              <w:pStyle w:val="EmptyLayoutCell"/>
              <w:spacing w:before="60" w:after="60"/>
              <w:rPr>
                <w:rFonts w:ascii="Arial" w:hAnsi="Arial" w:cs="Arial"/>
                <w:sz w:val="18"/>
                <w:szCs w:val="18"/>
              </w:rPr>
            </w:pPr>
            <w:r>
              <w:rPr>
                <w:rFonts w:ascii="Arial" w:hAnsi="Arial" w:cs="Arial"/>
                <w:sz w:val="18"/>
                <w:szCs w:val="18"/>
              </w:rPr>
              <w:t>31</w:t>
            </w:r>
          </w:p>
        </w:tc>
        <w:tc>
          <w:tcPr>
            <w:tcW w:w="1488" w:type="dxa"/>
          </w:tcPr>
          <w:p w14:paraId="3AA27788" w14:textId="049472A4" w:rsidR="00357EE3" w:rsidRPr="00185026" w:rsidRDefault="00BE16E6">
            <w:pPr>
              <w:pStyle w:val="EmptyLayoutCell"/>
              <w:spacing w:before="60" w:after="60"/>
              <w:rPr>
                <w:rFonts w:ascii="Arial" w:hAnsi="Arial" w:cs="Arial"/>
                <w:sz w:val="18"/>
                <w:szCs w:val="18"/>
              </w:rPr>
            </w:pPr>
            <w:r>
              <w:rPr>
                <w:rFonts w:ascii="Arial" w:hAnsi="Arial" w:cs="Arial"/>
                <w:sz w:val="18"/>
                <w:szCs w:val="18"/>
              </w:rPr>
              <w:t>1</w:t>
            </w:r>
          </w:p>
        </w:tc>
        <w:tc>
          <w:tcPr>
            <w:tcW w:w="1488" w:type="dxa"/>
          </w:tcPr>
          <w:p w14:paraId="05D06385" w14:textId="400BEA0D" w:rsidR="00357EE3" w:rsidRPr="00185026" w:rsidRDefault="00BE16E6">
            <w:pPr>
              <w:pStyle w:val="EmptyLayoutCell"/>
              <w:spacing w:before="60" w:after="60"/>
              <w:rPr>
                <w:rFonts w:ascii="Arial" w:hAnsi="Arial" w:cs="Arial"/>
                <w:sz w:val="18"/>
                <w:szCs w:val="18"/>
              </w:rPr>
            </w:pPr>
            <w:r>
              <w:rPr>
                <w:rFonts w:ascii="Arial" w:hAnsi="Arial" w:cs="Arial"/>
                <w:sz w:val="18"/>
                <w:szCs w:val="18"/>
              </w:rPr>
              <w:t>32</w:t>
            </w:r>
          </w:p>
        </w:tc>
        <w:tc>
          <w:tcPr>
            <w:tcW w:w="1489" w:type="dxa"/>
          </w:tcPr>
          <w:p w14:paraId="26868C5B" w14:textId="4A9CD65E" w:rsidR="00357EE3" w:rsidRPr="00185026" w:rsidRDefault="00BE16E6">
            <w:pPr>
              <w:pStyle w:val="EmptyLayoutCell"/>
              <w:spacing w:before="60" w:after="60"/>
              <w:rPr>
                <w:rFonts w:ascii="Arial" w:hAnsi="Arial" w:cs="Arial"/>
                <w:sz w:val="18"/>
                <w:szCs w:val="18"/>
              </w:rPr>
            </w:pPr>
            <w:r>
              <w:rPr>
                <w:rFonts w:ascii="Arial" w:hAnsi="Arial" w:cs="Arial"/>
                <w:sz w:val="18"/>
                <w:szCs w:val="18"/>
              </w:rPr>
              <w:t>8%</w:t>
            </w:r>
          </w:p>
        </w:tc>
      </w:tr>
      <w:tr w:rsidR="00357EE3" w14:paraId="0401E0E2" w14:textId="77777777" w:rsidTr="00357EE3">
        <w:tc>
          <w:tcPr>
            <w:tcW w:w="2552" w:type="dxa"/>
          </w:tcPr>
          <w:p w14:paraId="0E01CDE9" w14:textId="55B81783" w:rsidR="00357EE3" w:rsidRPr="00185026" w:rsidRDefault="00357EE3">
            <w:pPr>
              <w:pStyle w:val="EmptyLayoutCell"/>
              <w:spacing w:before="60" w:after="60"/>
              <w:rPr>
                <w:rFonts w:ascii="Arial" w:hAnsi="Arial" w:cs="Arial"/>
                <w:sz w:val="18"/>
                <w:szCs w:val="18"/>
              </w:rPr>
            </w:pPr>
            <w:r>
              <w:rPr>
                <w:rFonts w:ascii="Arial" w:hAnsi="Arial" w:cs="Arial"/>
                <w:sz w:val="18"/>
                <w:szCs w:val="18"/>
              </w:rPr>
              <w:t>Homicide</w:t>
            </w:r>
          </w:p>
        </w:tc>
        <w:tc>
          <w:tcPr>
            <w:tcW w:w="1488" w:type="dxa"/>
          </w:tcPr>
          <w:p w14:paraId="7645122C" w14:textId="7DD8AA3D" w:rsidR="00357EE3" w:rsidRPr="00185026" w:rsidRDefault="00BE16E6">
            <w:pPr>
              <w:pStyle w:val="EmptyLayoutCell"/>
              <w:spacing w:before="60" w:after="60"/>
              <w:rPr>
                <w:rFonts w:ascii="Arial" w:hAnsi="Arial" w:cs="Arial"/>
                <w:sz w:val="18"/>
                <w:szCs w:val="18"/>
              </w:rPr>
            </w:pPr>
            <w:r>
              <w:rPr>
                <w:rFonts w:ascii="Arial" w:hAnsi="Arial" w:cs="Arial"/>
                <w:sz w:val="18"/>
                <w:szCs w:val="18"/>
              </w:rPr>
              <w:t>1</w:t>
            </w:r>
          </w:p>
        </w:tc>
        <w:tc>
          <w:tcPr>
            <w:tcW w:w="1488" w:type="dxa"/>
          </w:tcPr>
          <w:p w14:paraId="52D71A78" w14:textId="7C07DB0C" w:rsidR="00357EE3" w:rsidRPr="00185026" w:rsidRDefault="00BE16E6">
            <w:pPr>
              <w:pStyle w:val="EmptyLayoutCell"/>
              <w:spacing w:before="60" w:after="60"/>
              <w:rPr>
                <w:rFonts w:ascii="Arial" w:hAnsi="Arial" w:cs="Arial"/>
                <w:sz w:val="18"/>
                <w:szCs w:val="18"/>
              </w:rPr>
            </w:pPr>
            <w:r>
              <w:rPr>
                <w:rFonts w:ascii="Arial" w:hAnsi="Arial" w:cs="Arial"/>
                <w:sz w:val="18"/>
                <w:szCs w:val="18"/>
              </w:rPr>
              <w:t>0</w:t>
            </w:r>
          </w:p>
        </w:tc>
        <w:tc>
          <w:tcPr>
            <w:tcW w:w="1488" w:type="dxa"/>
          </w:tcPr>
          <w:p w14:paraId="211F4A6F" w14:textId="546B42FC" w:rsidR="00357EE3" w:rsidRPr="00185026" w:rsidRDefault="00BE16E6">
            <w:pPr>
              <w:pStyle w:val="EmptyLayoutCell"/>
              <w:spacing w:before="60" w:after="60"/>
              <w:rPr>
                <w:rFonts w:ascii="Arial" w:hAnsi="Arial" w:cs="Arial"/>
                <w:sz w:val="18"/>
                <w:szCs w:val="18"/>
              </w:rPr>
            </w:pPr>
            <w:r>
              <w:rPr>
                <w:rFonts w:ascii="Arial" w:hAnsi="Arial" w:cs="Arial"/>
                <w:sz w:val="18"/>
                <w:szCs w:val="18"/>
              </w:rPr>
              <w:t>1</w:t>
            </w:r>
          </w:p>
        </w:tc>
        <w:tc>
          <w:tcPr>
            <w:tcW w:w="1489" w:type="dxa"/>
          </w:tcPr>
          <w:p w14:paraId="487739D3" w14:textId="6B78975F" w:rsidR="00357EE3" w:rsidRPr="00185026" w:rsidRDefault="00BE16E6">
            <w:pPr>
              <w:pStyle w:val="EmptyLayoutCell"/>
              <w:spacing w:before="60" w:after="60"/>
              <w:rPr>
                <w:rFonts w:ascii="Arial" w:hAnsi="Arial" w:cs="Arial"/>
                <w:sz w:val="18"/>
                <w:szCs w:val="18"/>
              </w:rPr>
            </w:pPr>
            <w:r>
              <w:rPr>
                <w:rFonts w:ascii="Arial" w:hAnsi="Arial" w:cs="Arial"/>
                <w:sz w:val="18"/>
                <w:szCs w:val="18"/>
              </w:rPr>
              <w:t>0.26%</w:t>
            </w:r>
          </w:p>
        </w:tc>
      </w:tr>
      <w:tr w:rsidR="00357EE3" w14:paraId="0636BC7C" w14:textId="77777777" w:rsidTr="00357EE3">
        <w:tc>
          <w:tcPr>
            <w:tcW w:w="2552" w:type="dxa"/>
          </w:tcPr>
          <w:p w14:paraId="571CF014" w14:textId="7E8D1966" w:rsidR="00357EE3" w:rsidRPr="00185026" w:rsidRDefault="00357EE3">
            <w:pPr>
              <w:pStyle w:val="EmptyLayoutCell"/>
              <w:spacing w:before="60" w:after="60"/>
              <w:rPr>
                <w:rFonts w:ascii="Arial" w:hAnsi="Arial" w:cs="Arial"/>
                <w:sz w:val="18"/>
                <w:szCs w:val="18"/>
              </w:rPr>
            </w:pPr>
            <w:r>
              <w:rPr>
                <w:rFonts w:ascii="Arial" w:hAnsi="Arial" w:cs="Arial"/>
                <w:sz w:val="18"/>
                <w:szCs w:val="18"/>
              </w:rPr>
              <w:t>Medical condition</w:t>
            </w:r>
          </w:p>
        </w:tc>
        <w:tc>
          <w:tcPr>
            <w:tcW w:w="1488" w:type="dxa"/>
          </w:tcPr>
          <w:p w14:paraId="0C330F07" w14:textId="0F02318B" w:rsidR="00357EE3" w:rsidRPr="00397395"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86</w:t>
            </w:r>
          </w:p>
        </w:tc>
        <w:tc>
          <w:tcPr>
            <w:tcW w:w="1488" w:type="dxa"/>
          </w:tcPr>
          <w:p w14:paraId="1DD43844" w14:textId="68692DF1" w:rsidR="00357EE3" w:rsidRPr="00397395"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10</w:t>
            </w:r>
          </w:p>
        </w:tc>
        <w:tc>
          <w:tcPr>
            <w:tcW w:w="1488" w:type="dxa"/>
          </w:tcPr>
          <w:p w14:paraId="717F4F6F" w14:textId="798A0261" w:rsidR="00357EE3" w:rsidRPr="00397395"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96</w:t>
            </w:r>
          </w:p>
        </w:tc>
        <w:tc>
          <w:tcPr>
            <w:tcW w:w="1489" w:type="dxa"/>
          </w:tcPr>
          <w:p w14:paraId="3C174126" w14:textId="716BC12F" w:rsidR="00357EE3" w:rsidRPr="00397395"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25%</w:t>
            </w:r>
          </w:p>
        </w:tc>
      </w:tr>
      <w:tr w:rsidR="00357EE3" w14:paraId="059D9757" w14:textId="77777777" w:rsidTr="00357EE3">
        <w:tc>
          <w:tcPr>
            <w:tcW w:w="2552" w:type="dxa"/>
          </w:tcPr>
          <w:p w14:paraId="67392439" w14:textId="4D5A3E89" w:rsidR="00357EE3" w:rsidRDefault="00357EE3">
            <w:pPr>
              <w:pStyle w:val="EmptyLayoutCell"/>
              <w:spacing w:before="60" w:after="60"/>
              <w:rPr>
                <w:rFonts w:ascii="Arial" w:hAnsi="Arial" w:cs="Arial"/>
                <w:sz w:val="18"/>
                <w:szCs w:val="18"/>
              </w:rPr>
            </w:pPr>
            <w:r>
              <w:rPr>
                <w:rFonts w:ascii="Arial" w:hAnsi="Arial" w:cs="Arial"/>
                <w:sz w:val="18"/>
                <w:szCs w:val="18"/>
              </w:rPr>
              <w:t>Not yet known</w:t>
            </w:r>
          </w:p>
        </w:tc>
        <w:tc>
          <w:tcPr>
            <w:tcW w:w="1488" w:type="dxa"/>
          </w:tcPr>
          <w:p w14:paraId="162F7C12" w14:textId="2CE895C5"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122</w:t>
            </w:r>
          </w:p>
        </w:tc>
        <w:tc>
          <w:tcPr>
            <w:tcW w:w="1488" w:type="dxa"/>
          </w:tcPr>
          <w:p w14:paraId="36B77E74" w14:textId="71C673D1"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5</w:t>
            </w:r>
          </w:p>
        </w:tc>
        <w:tc>
          <w:tcPr>
            <w:tcW w:w="1488" w:type="dxa"/>
          </w:tcPr>
          <w:p w14:paraId="387AFFA8" w14:textId="2F081B4F"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127</w:t>
            </w:r>
          </w:p>
        </w:tc>
        <w:tc>
          <w:tcPr>
            <w:tcW w:w="1489" w:type="dxa"/>
          </w:tcPr>
          <w:p w14:paraId="61AEAFDD" w14:textId="6E35A730"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33%</w:t>
            </w:r>
          </w:p>
        </w:tc>
      </w:tr>
      <w:tr w:rsidR="00357EE3" w14:paraId="4534D5B1" w14:textId="77777777" w:rsidTr="00357EE3">
        <w:tc>
          <w:tcPr>
            <w:tcW w:w="2552" w:type="dxa"/>
          </w:tcPr>
          <w:p w14:paraId="5F15F78C" w14:textId="6E1C0FFB" w:rsidR="00357EE3" w:rsidRDefault="00357EE3">
            <w:pPr>
              <w:pStyle w:val="EmptyLayoutCell"/>
              <w:spacing w:before="60" w:after="60"/>
              <w:rPr>
                <w:rFonts w:ascii="Arial" w:hAnsi="Arial" w:cs="Arial"/>
                <w:sz w:val="18"/>
                <w:szCs w:val="18"/>
              </w:rPr>
            </w:pPr>
            <w:r>
              <w:rPr>
                <w:rFonts w:ascii="Arial" w:hAnsi="Arial" w:cs="Arial"/>
                <w:sz w:val="18"/>
                <w:szCs w:val="18"/>
              </w:rPr>
              <w:t>Suicide</w:t>
            </w:r>
          </w:p>
        </w:tc>
        <w:tc>
          <w:tcPr>
            <w:tcW w:w="1488" w:type="dxa"/>
          </w:tcPr>
          <w:p w14:paraId="68C6917F" w14:textId="20A7B12E"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124</w:t>
            </w:r>
          </w:p>
        </w:tc>
        <w:tc>
          <w:tcPr>
            <w:tcW w:w="1488" w:type="dxa"/>
          </w:tcPr>
          <w:p w14:paraId="24C89499" w14:textId="5C44E3D6"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9</w:t>
            </w:r>
          </w:p>
        </w:tc>
        <w:tc>
          <w:tcPr>
            <w:tcW w:w="1488" w:type="dxa"/>
          </w:tcPr>
          <w:p w14:paraId="3DF974CB" w14:textId="61C591E3"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133</w:t>
            </w:r>
          </w:p>
        </w:tc>
        <w:tc>
          <w:tcPr>
            <w:tcW w:w="1489" w:type="dxa"/>
          </w:tcPr>
          <w:p w14:paraId="260266F7" w14:textId="533EE727"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34%</w:t>
            </w:r>
          </w:p>
        </w:tc>
      </w:tr>
      <w:tr w:rsidR="00357EE3" w14:paraId="29ADD4D0" w14:textId="77777777" w:rsidTr="00357EE3">
        <w:tc>
          <w:tcPr>
            <w:tcW w:w="2552" w:type="dxa"/>
          </w:tcPr>
          <w:p w14:paraId="44937C67" w14:textId="5D4FFA2E" w:rsidR="00357EE3" w:rsidRDefault="00357EE3">
            <w:pPr>
              <w:pStyle w:val="EmptyLayoutCell"/>
              <w:spacing w:before="60" w:after="60"/>
              <w:rPr>
                <w:rFonts w:ascii="Arial" w:hAnsi="Arial" w:cs="Arial"/>
                <w:sz w:val="18"/>
                <w:szCs w:val="18"/>
              </w:rPr>
            </w:pPr>
            <w:r>
              <w:rPr>
                <w:rFonts w:ascii="Arial" w:hAnsi="Arial" w:cs="Arial"/>
                <w:sz w:val="18"/>
                <w:szCs w:val="18"/>
              </w:rPr>
              <w:t>Total</w:t>
            </w:r>
          </w:p>
        </w:tc>
        <w:tc>
          <w:tcPr>
            <w:tcW w:w="1488" w:type="dxa"/>
          </w:tcPr>
          <w:p w14:paraId="691850D6" w14:textId="451A950F" w:rsidR="00357EE3" w:rsidRDefault="00357EE3">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364</w:t>
            </w:r>
          </w:p>
        </w:tc>
        <w:tc>
          <w:tcPr>
            <w:tcW w:w="1488" w:type="dxa"/>
          </w:tcPr>
          <w:p w14:paraId="64E1FE47" w14:textId="3A3B39C8" w:rsidR="00357EE3" w:rsidRDefault="00357EE3">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25</w:t>
            </w:r>
          </w:p>
        </w:tc>
        <w:tc>
          <w:tcPr>
            <w:tcW w:w="1488" w:type="dxa"/>
          </w:tcPr>
          <w:p w14:paraId="4CE4D025" w14:textId="75E1B753" w:rsidR="00357EE3" w:rsidRDefault="00357EE3">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389</w:t>
            </w:r>
          </w:p>
        </w:tc>
        <w:tc>
          <w:tcPr>
            <w:tcW w:w="1489" w:type="dxa"/>
          </w:tcPr>
          <w:p w14:paraId="0111F9EE" w14:textId="4C788D68" w:rsidR="00357EE3" w:rsidRDefault="00BE16E6">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100%</w:t>
            </w:r>
          </w:p>
        </w:tc>
      </w:tr>
    </w:tbl>
    <w:p w14:paraId="3B928FEB" w14:textId="32CB0C11" w:rsidR="002022A1" w:rsidRDefault="00E8354D" w:rsidP="00CD2F0F">
      <w:pPr>
        <w:pStyle w:val="Tablefigurenote"/>
      </w:pPr>
      <w:r>
        <w:t>Notes:</w:t>
      </w:r>
      <w:r w:rsidR="00CD2F0F">
        <w:t xml:space="preserve"> </w:t>
      </w:r>
      <w:r w:rsidR="004D4154">
        <w:t>‘</w:t>
      </w:r>
      <w:r w:rsidR="39073E04" w:rsidRPr="00643556">
        <w:t>Not yet known</w:t>
      </w:r>
      <w:r w:rsidR="004D4154">
        <w:t>’</w:t>
      </w:r>
      <w:r w:rsidR="39073E04" w:rsidRPr="00643556">
        <w:t xml:space="preserve"> figures relate to deaths </w:t>
      </w:r>
      <w:r w:rsidR="00EB58AA">
        <w:t>that</w:t>
      </w:r>
      <w:r w:rsidR="00EB58AA" w:rsidRPr="00643556">
        <w:t xml:space="preserve"> </w:t>
      </w:r>
      <w:r w:rsidR="39073E04" w:rsidRPr="00643556">
        <w:t xml:space="preserve">are under investigation by the </w:t>
      </w:r>
      <w:r w:rsidR="00AD12EC">
        <w:t>c</w:t>
      </w:r>
      <w:r w:rsidR="39073E04" w:rsidRPr="00643556">
        <w:t xml:space="preserve">oroner and not yet determined. Some of these investigations may result in a finding of </w:t>
      </w:r>
      <w:r w:rsidR="009E6ADE">
        <w:t>‘</w:t>
      </w:r>
      <w:r w:rsidR="39073E04" w:rsidRPr="00643556">
        <w:t>undetermined</w:t>
      </w:r>
      <w:r w:rsidR="009E6ADE">
        <w:t>’</w:t>
      </w:r>
      <w:r w:rsidR="39073E04" w:rsidRPr="00643556">
        <w:t>.</w:t>
      </w:r>
    </w:p>
    <w:p w14:paraId="6521B5EF" w14:textId="7DACAC40" w:rsidR="00A36039" w:rsidRPr="00643556" w:rsidRDefault="00A36039" w:rsidP="00223282">
      <w:pPr>
        <w:pStyle w:val="Tablefigurenote"/>
        <w:spacing w:line="220" w:lineRule="exact"/>
      </w:pPr>
      <w:r w:rsidRPr="00E46CDA">
        <w:t xml:space="preserve">Out of </w:t>
      </w:r>
      <w:r w:rsidR="00D63ACE">
        <w:t>3</w:t>
      </w:r>
      <w:r w:rsidR="007B0F7F">
        <w:t>8</w:t>
      </w:r>
      <w:r w:rsidR="00D63ACE">
        <w:t>9</w:t>
      </w:r>
      <w:r w:rsidR="00D63ACE" w:rsidRPr="00E46CDA">
        <w:t xml:space="preserve"> </w:t>
      </w:r>
      <w:r w:rsidR="00127CAF" w:rsidRPr="00E46CDA">
        <w:t xml:space="preserve">notified </w:t>
      </w:r>
      <w:r w:rsidR="00444EF4" w:rsidRPr="00E46CDA">
        <w:t>deaths</w:t>
      </w:r>
      <w:r w:rsidR="004D3E5B" w:rsidRPr="00E46CDA">
        <w:t xml:space="preserve">, </w:t>
      </w:r>
      <w:r w:rsidR="00AD12EC">
        <w:t>23</w:t>
      </w:r>
      <w:r w:rsidR="004D3E5B" w:rsidRPr="00E46CDA">
        <w:t xml:space="preserve"> </w:t>
      </w:r>
      <w:r w:rsidR="06868341" w:rsidRPr="00E46CDA">
        <w:t xml:space="preserve">were deemed </w:t>
      </w:r>
      <w:r w:rsidR="004D3E5B" w:rsidRPr="00E46CDA">
        <w:t>out of scope</w:t>
      </w:r>
      <w:r w:rsidR="7436F16D" w:rsidRPr="00E46CDA">
        <w:t>.</w:t>
      </w:r>
      <w:r w:rsidR="004D3E5B">
        <w:t xml:space="preserve"> </w:t>
      </w:r>
      <w:r w:rsidR="62C6CC51">
        <w:t>The</w:t>
      </w:r>
      <w:r w:rsidR="00735992">
        <w:t>se</w:t>
      </w:r>
      <w:r w:rsidR="00A56803">
        <w:t xml:space="preserve"> encompass deaths in private hospitals and community s</w:t>
      </w:r>
      <w:r w:rsidR="005E5F59">
        <w:t>upport services</w:t>
      </w:r>
      <w:r w:rsidR="1D424935">
        <w:t xml:space="preserve"> or where the death was not judged as not unexpected, </w:t>
      </w:r>
      <w:r w:rsidR="4C417479">
        <w:t>unnatural or</w:t>
      </w:r>
      <w:r w:rsidR="1D424935">
        <w:t xml:space="preserve"> violent</w:t>
      </w:r>
      <w:r w:rsidR="4A6F82D5">
        <w:t>.</w:t>
      </w:r>
    </w:p>
    <w:p w14:paraId="1527A0AE" w14:textId="60546CEE" w:rsidR="003F8BE4" w:rsidRPr="00643556" w:rsidRDefault="00E8354D" w:rsidP="00223282">
      <w:pPr>
        <w:pStyle w:val="Tablefigurenote"/>
        <w:spacing w:line="220" w:lineRule="exact"/>
      </w:pPr>
      <w:r>
        <w:t>The ‘</w:t>
      </w:r>
      <w:r w:rsidR="00264390">
        <w:t>m</w:t>
      </w:r>
      <w:r>
        <w:t xml:space="preserve">edical condition’ figures </w:t>
      </w:r>
      <w:r w:rsidR="49C582D4" w:rsidRPr="00643556">
        <w:t xml:space="preserve">include </w:t>
      </w:r>
      <w:r w:rsidR="00450119" w:rsidRPr="00643556">
        <w:t>several</w:t>
      </w:r>
      <w:r w:rsidR="003F8BE4" w:rsidRPr="00643556">
        <w:t xml:space="preserve"> </w:t>
      </w:r>
      <w:r w:rsidR="00316B56" w:rsidRPr="00643556">
        <w:t>i</w:t>
      </w:r>
      <w:r w:rsidR="003F8BE4" w:rsidRPr="00643556">
        <w:t>npatient death</w:t>
      </w:r>
      <w:r w:rsidR="00316B56" w:rsidRPr="00643556">
        <w:t>s</w:t>
      </w:r>
      <w:r w:rsidR="003F8BE4" w:rsidRPr="00643556">
        <w:t xml:space="preserve"> due to medical events unrelated to acute </w:t>
      </w:r>
      <w:r w:rsidR="0E7DD4B3" w:rsidRPr="00643556">
        <w:t xml:space="preserve">mental health </w:t>
      </w:r>
      <w:r w:rsidR="003F8BE4" w:rsidRPr="00643556">
        <w:t>care</w:t>
      </w:r>
      <w:r w:rsidR="7AAD7E10" w:rsidRPr="00643556">
        <w:t xml:space="preserve"> and a small number of death</w:t>
      </w:r>
      <w:r w:rsidR="00243AA9" w:rsidRPr="00643556">
        <w:t>s</w:t>
      </w:r>
      <w:r w:rsidR="7AAD7E10" w:rsidRPr="00643556">
        <w:t xml:space="preserve"> </w:t>
      </w:r>
      <w:r w:rsidR="00264390">
        <w:t>that</w:t>
      </w:r>
      <w:r w:rsidR="00264390" w:rsidRPr="00643556">
        <w:t xml:space="preserve"> </w:t>
      </w:r>
      <w:r w:rsidR="7AAD7E10" w:rsidRPr="00643556">
        <w:t>took place as part of</w:t>
      </w:r>
      <w:r w:rsidR="00264390">
        <w:t xml:space="preserve"> an</w:t>
      </w:r>
      <w:r w:rsidR="7AAD7E10" w:rsidRPr="00643556">
        <w:t xml:space="preserve"> </w:t>
      </w:r>
      <w:r w:rsidR="6CCFDBB1" w:rsidRPr="00643556">
        <w:t>end-of-life</w:t>
      </w:r>
      <w:r w:rsidR="7AAD7E10" w:rsidRPr="00643556">
        <w:t xml:space="preserve"> pathway</w:t>
      </w:r>
      <w:r w:rsidR="633FA4B5" w:rsidRPr="00643556">
        <w:t xml:space="preserve"> for terminal illness.</w:t>
      </w:r>
    </w:p>
    <w:p w14:paraId="4FC3CFED" w14:textId="5D48F3A3" w:rsidR="002022A1" w:rsidRPr="00643556" w:rsidRDefault="005509E0" w:rsidP="00223282">
      <w:pPr>
        <w:pStyle w:val="Tablefigurenote"/>
        <w:spacing w:after="240" w:line="220" w:lineRule="exact"/>
      </w:pPr>
      <w:r w:rsidRPr="00643556">
        <w:t xml:space="preserve">The </w:t>
      </w:r>
      <w:r w:rsidR="002022A1" w:rsidRPr="00643556">
        <w:t xml:space="preserve">percentages may </w:t>
      </w:r>
      <w:r w:rsidRPr="00643556">
        <w:t xml:space="preserve">not add </w:t>
      </w:r>
      <w:r w:rsidR="002022A1" w:rsidRPr="00643556">
        <w:t>to exactly 100</w:t>
      </w:r>
      <w:r w:rsidR="0094775C">
        <w:t>%</w:t>
      </w:r>
      <w:r w:rsidR="002022A1" w:rsidRPr="00643556">
        <w:t xml:space="preserve"> because of rounding</w:t>
      </w:r>
      <w:r w:rsidRPr="00643556">
        <w:t>.</w:t>
      </w:r>
      <w:r w:rsidR="002022A1" w:rsidRPr="00643556">
        <w:rPr>
          <w:bCs/>
        </w:rPr>
        <w:t xml:space="preserve"> </w:t>
      </w:r>
    </w:p>
    <w:p w14:paraId="463A00EA" w14:textId="69CAF6CE" w:rsidR="00381B2F" w:rsidRPr="00D5401E" w:rsidRDefault="00381B2F" w:rsidP="003A735B">
      <w:pPr>
        <w:pStyle w:val="Heading2"/>
      </w:pPr>
      <w:bookmarkStart w:id="37" w:name="_Toc180660137"/>
      <w:r>
        <w:t xml:space="preserve">Restrictive </w:t>
      </w:r>
      <w:r w:rsidR="009C5265">
        <w:t>i</w:t>
      </w:r>
      <w:r>
        <w:t>nterventions</w:t>
      </w:r>
      <w:bookmarkStart w:id="38" w:name="_Hlk134523004"/>
      <w:bookmarkEnd w:id="37"/>
    </w:p>
    <w:bookmarkEnd w:id="38"/>
    <w:p w14:paraId="5F9320CC" w14:textId="455CB339" w:rsidR="00B74190" w:rsidRPr="00B74190" w:rsidRDefault="00B74190" w:rsidP="00B74190">
      <w:pPr>
        <w:pStyle w:val="Body"/>
      </w:pPr>
      <w:r w:rsidRPr="00B74190">
        <w:t>Restrictive interventions are defined in the Act as ‘seclusion, bodily restraint or chemical restraint</w:t>
      </w:r>
      <w:r w:rsidR="005D6B56">
        <w:t>’</w:t>
      </w:r>
      <w:r w:rsidRPr="00B74190">
        <w:t xml:space="preserve"> (s 3(1)):</w:t>
      </w:r>
    </w:p>
    <w:p w14:paraId="2A5E2D38" w14:textId="77777777" w:rsidR="00B74190" w:rsidRPr="00B74190" w:rsidRDefault="00B74190" w:rsidP="00B74190">
      <w:pPr>
        <w:pStyle w:val="Body"/>
        <w:numPr>
          <w:ilvl w:val="0"/>
          <w:numId w:val="1"/>
        </w:numPr>
      </w:pPr>
      <w:r w:rsidRPr="00B74190">
        <w:t>Seclusion means ‘the sole confinement of a person to a room or any other enclosed space from which it is not within the control of the person confined to leave’.</w:t>
      </w:r>
    </w:p>
    <w:p w14:paraId="79F98186" w14:textId="77777777" w:rsidR="00B74190" w:rsidRPr="00B74190" w:rsidRDefault="00B74190" w:rsidP="00B74190">
      <w:pPr>
        <w:pStyle w:val="Body"/>
        <w:numPr>
          <w:ilvl w:val="0"/>
          <w:numId w:val="1"/>
        </w:numPr>
      </w:pPr>
      <w:r w:rsidRPr="00B74190">
        <w:t>Bodily restraint means ‘physical restraint, or mechanical restraint, of a person’.</w:t>
      </w:r>
    </w:p>
    <w:p w14:paraId="73EAFD1E" w14:textId="77777777" w:rsidR="00B74190" w:rsidRPr="00B74190" w:rsidRDefault="00B74190" w:rsidP="00B74190">
      <w:pPr>
        <w:pStyle w:val="Body"/>
        <w:numPr>
          <w:ilvl w:val="0"/>
          <w:numId w:val="47"/>
        </w:numPr>
      </w:pPr>
      <w:r w:rsidRPr="00B74190">
        <w:t>Physical restraint means ‘the use by a person of their body to prevent or restrict another person’s movement but does not include the giving of physical support or assistance to a person in the least restrictive way that is reasonably necessary to—</w:t>
      </w:r>
    </w:p>
    <w:p w14:paraId="18FD6974" w14:textId="77777777" w:rsidR="00B74190" w:rsidRPr="00B74190" w:rsidRDefault="00B74190" w:rsidP="00B74190">
      <w:pPr>
        <w:pStyle w:val="Body"/>
        <w:numPr>
          <w:ilvl w:val="0"/>
          <w:numId w:val="46"/>
        </w:numPr>
        <w:rPr>
          <w:lang w:val="en-US"/>
        </w:rPr>
      </w:pPr>
      <w:r w:rsidRPr="00B74190">
        <w:rPr>
          <w:lang w:val="en-US"/>
        </w:rPr>
        <w:t>enable the person to be supported or assisted to carry out daily activities; or</w:t>
      </w:r>
    </w:p>
    <w:p w14:paraId="4CC33CDD" w14:textId="77777777" w:rsidR="00B74190" w:rsidRPr="00B74190" w:rsidRDefault="00B74190" w:rsidP="00B74190">
      <w:pPr>
        <w:pStyle w:val="Body"/>
        <w:numPr>
          <w:ilvl w:val="0"/>
          <w:numId w:val="46"/>
        </w:numPr>
        <w:rPr>
          <w:lang w:val="en-US"/>
        </w:rPr>
      </w:pPr>
      <w:r w:rsidRPr="00B74190">
        <w:rPr>
          <w:lang w:val="en-US"/>
        </w:rPr>
        <w:t>redirect the person because they are disoriented’.</w:t>
      </w:r>
    </w:p>
    <w:p w14:paraId="7902CD30" w14:textId="77777777" w:rsidR="00B74190" w:rsidRPr="00B74190" w:rsidRDefault="00B74190" w:rsidP="00B74190">
      <w:pPr>
        <w:pStyle w:val="Body"/>
        <w:numPr>
          <w:ilvl w:val="0"/>
          <w:numId w:val="48"/>
        </w:numPr>
      </w:pPr>
      <w:r w:rsidRPr="00B74190">
        <w:t>Mechanical restraint means ‘the use of a device to prevent or restrict a person’s movement’.</w:t>
      </w:r>
    </w:p>
    <w:p w14:paraId="7B86A1A5" w14:textId="77777777" w:rsidR="00B74190" w:rsidRPr="00B74190" w:rsidRDefault="00B74190" w:rsidP="00B74190">
      <w:pPr>
        <w:pStyle w:val="Body"/>
        <w:numPr>
          <w:ilvl w:val="0"/>
          <w:numId w:val="1"/>
        </w:numPr>
      </w:pPr>
      <w:r w:rsidRPr="00B74190">
        <w:t>Chemical restraint means ‘the giving of a drug to a person for the primary purpose of controlling the person’s behaviour by restricting their freedom of movement but does not include the giving of a drug to a person for the purpose of treatment or medical treatment’.</w:t>
      </w:r>
    </w:p>
    <w:p w14:paraId="23C5C3CA" w14:textId="0852CCA2" w:rsidR="5D43461C" w:rsidRDefault="7D2922CE" w:rsidP="00434B70">
      <w:pPr>
        <w:pStyle w:val="Body"/>
      </w:pPr>
      <w:r w:rsidRPr="1AA722E5">
        <w:t xml:space="preserve">The Chief Psychiatrist </w:t>
      </w:r>
      <w:r w:rsidR="008A2CAE">
        <w:t>is</w:t>
      </w:r>
      <w:r w:rsidR="008A2CAE" w:rsidRPr="1AA722E5">
        <w:t xml:space="preserve"> </w:t>
      </w:r>
      <w:r w:rsidRPr="1AA722E5">
        <w:t xml:space="preserve">committed to </w:t>
      </w:r>
      <w:r w:rsidR="008B1633" w:rsidRPr="1AA722E5">
        <w:t>supporting</w:t>
      </w:r>
      <w:r w:rsidR="00A7612A" w:rsidRPr="1AA722E5">
        <w:t xml:space="preserve"> services to </w:t>
      </w:r>
      <w:r w:rsidRPr="1AA722E5">
        <w:t>reduc</w:t>
      </w:r>
      <w:r w:rsidR="00A7612A" w:rsidRPr="1AA722E5">
        <w:t>e</w:t>
      </w:r>
      <w:r w:rsidRPr="1AA722E5">
        <w:t xml:space="preserve"> and eventually eliminat</w:t>
      </w:r>
      <w:r w:rsidR="00A7612A" w:rsidRPr="1AA722E5">
        <w:t>e</w:t>
      </w:r>
      <w:r w:rsidRPr="1AA722E5">
        <w:t xml:space="preserve"> restrictive interventions as </w:t>
      </w:r>
      <w:r w:rsidR="7B472230" w:rsidRPr="1AA722E5">
        <w:t xml:space="preserve">identified in the Royal Commission’s recommendations and the National Mental Health Commission’s </w:t>
      </w:r>
      <w:r w:rsidR="7B472230" w:rsidRPr="1AA722E5">
        <w:rPr>
          <w:i/>
          <w:iCs/>
        </w:rPr>
        <w:t xml:space="preserve">Seclusion and </w:t>
      </w:r>
      <w:r w:rsidR="101365C2" w:rsidRPr="1AA722E5">
        <w:rPr>
          <w:i/>
          <w:iCs/>
        </w:rPr>
        <w:t>R</w:t>
      </w:r>
      <w:r w:rsidR="7B472230" w:rsidRPr="1AA722E5">
        <w:rPr>
          <w:i/>
          <w:iCs/>
        </w:rPr>
        <w:t xml:space="preserve">estraint </w:t>
      </w:r>
      <w:r w:rsidR="248CE151" w:rsidRPr="1AA722E5">
        <w:rPr>
          <w:i/>
          <w:iCs/>
        </w:rPr>
        <w:t>D</w:t>
      </w:r>
      <w:r w:rsidR="7B472230" w:rsidRPr="1AA722E5">
        <w:rPr>
          <w:i/>
          <w:iCs/>
        </w:rPr>
        <w:t>eclaration</w:t>
      </w:r>
      <w:r w:rsidR="7B472230" w:rsidRPr="1AA722E5">
        <w:t>.</w:t>
      </w:r>
    </w:p>
    <w:p w14:paraId="2DFB525E" w14:textId="02982749" w:rsidR="72660829" w:rsidRDefault="72660829" w:rsidP="00434B70">
      <w:pPr>
        <w:pStyle w:val="Body"/>
      </w:pPr>
      <w:r w:rsidRPr="1AA722E5">
        <w:t xml:space="preserve">The </w:t>
      </w:r>
      <w:r w:rsidR="00A513E7" w:rsidRPr="1AA722E5">
        <w:t>Act</w:t>
      </w:r>
      <w:r w:rsidRPr="1AA722E5">
        <w:t xml:space="preserve"> has brought a greater emphasis on reporting restrictive practices that occur </w:t>
      </w:r>
      <w:r w:rsidR="5E6A099A" w:rsidRPr="1AA722E5">
        <w:t xml:space="preserve">in </w:t>
      </w:r>
      <w:r w:rsidR="007373AA" w:rsidRPr="1AA722E5">
        <w:t xml:space="preserve">all parts of </w:t>
      </w:r>
      <w:r w:rsidR="004D0D94" w:rsidRPr="1AA722E5">
        <w:t>d</w:t>
      </w:r>
      <w:r w:rsidR="5E6A099A" w:rsidRPr="1AA722E5">
        <w:t xml:space="preserve">esignated </w:t>
      </w:r>
      <w:r w:rsidR="004D0D94" w:rsidRPr="1AA722E5">
        <w:t>m</w:t>
      </w:r>
      <w:r w:rsidR="5E6A099A" w:rsidRPr="1AA722E5">
        <w:t xml:space="preserve">ental </w:t>
      </w:r>
      <w:r w:rsidR="004D0D94" w:rsidRPr="1AA722E5">
        <w:t>h</w:t>
      </w:r>
      <w:r w:rsidR="5E6A099A" w:rsidRPr="1AA722E5">
        <w:t xml:space="preserve">ealth </w:t>
      </w:r>
      <w:r w:rsidR="004D0D94" w:rsidRPr="1AA722E5">
        <w:t>s</w:t>
      </w:r>
      <w:r w:rsidR="5E6A099A" w:rsidRPr="1AA722E5">
        <w:t>ervices, including in emergency departments and medical wards</w:t>
      </w:r>
      <w:r w:rsidR="57C558CF" w:rsidRPr="1AA722E5">
        <w:t xml:space="preserve">. </w:t>
      </w:r>
      <w:r w:rsidR="00D26376" w:rsidRPr="1AA722E5">
        <w:t>It also introduced the reporting of chemical restraint for the first time in Victoria.</w:t>
      </w:r>
      <w:r w:rsidR="57C558CF" w:rsidRPr="1AA722E5">
        <w:t xml:space="preserve"> This provides greater governance of restrictive </w:t>
      </w:r>
      <w:r w:rsidR="417CCFD7" w:rsidRPr="1AA722E5">
        <w:t>practices,</w:t>
      </w:r>
      <w:r w:rsidR="57C558CF" w:rsidRPr="1AA722E5">
        <w:t xml:space="preserve"> and the Office of the Chief Psychiatrist is involved in </w:t>
      </w:r>
      <w:r w:rsidR="05A64D35" w:rsidRPr="1AA722E5">
        <w:t xml:space="preserve">the oversight of </w:t>
      </w:r>
      <w:r w:rsidR="730ECE9C" w:rsidRPr="1AA722E5">
        <w:t xml:space="preserve">more instances of restrictive practice. </w:t>
      </w:r>
    </w:p>
    <w:p w14:paraId="725AA84A" w14:textId="6EC060B4" w:rsidR="72660829" w:rsidRDefault="009D2535" w:rsidP="00434B70">
      <w:pPr>
        <w:pStyle w:val="Body"/>
      </w:pPr>
      <w:r w:rsidRPr="1AA722E5">
        <w:t xml:space="preserve">Owing to </w:t>
      </w:r>
      <w:r w:rsidR="00A04106">
        <w:t>extra</w:t>
      </w:r>
      <w:r w:rsidR="00A04106" w:rsidRPr="1AA722E5">
        <w:t xml:space="preserve"> </w:t>
      </w:r>
      <w:r w:rsidR="64FD146A" w:rsidRPr="1AA722E5">
        <w:t>reporting outside mental health environm</w:t>
      </w:r>
      <w:r w:rsidR="3EA4F488" w:rsidRPr="1AA722E5">
        <w:t>e</w:t>
      </w:r>
      <w:r w:rsidR="64FD146A" w:rsidRPr="1AA722E5">
        <w:t>nts</w:t>
      </w:r>
      <w:r w:rsidR="00F34801">
        <w:t>,</w:t>
      </w:r>
      <w:r w:rsidR="730ECE9C" w:rsidRPr="1AA722E5">
        <w:t xml:space="preserve"> </w:t>
      </w:r>
      <w:r w:rsidR="00E1617C" w:rsidRPr="1AA722E5">
        <w:t xml:space="preserve">the </w:t>
      </w:r>
      <w:r w:rsidR="730ECE9C" w:rsidRPr="1AA722E5">
        <w:t>data reflect</w:t>
      </w:r>
      <w:r w:rsidR="7287F52E" w:rsidRPr="1AA722E5">
        <w:t>s</w:t>
      </w:r>
      <w:r w:rsidR="730ECE9C" w:rsidRPr="1AA722E5">
        <w:t xml:space="preserve"> the </w:t>
      </w:r>
      <w:r w:rsidR="7677682C" w:rsidRPr="1AA722E5">
        <w:t>expanded</w:t>
      </w:r>
      <w:r w:rsidR="730ECE9C" w:rsidRPr="1AA722E5">
        <w:t xml:space="preserve"> </w:t>
      </w:r>
      <w:r w:rsidR="005E5E04" w:rsidRPr="1AA722E5">
        <w:t xml:space="preserve">reporting and </w:t>
      </w:r>
      <w:r w:rsidR="730ECE9C" w:rsidRPr="1AA722E5">
        <w:t xml:space="preserve">oversight </w:t>
      </w:r>
      <w:r w:rsidR="11FDD39F" w:rsidRPr="1AA722E5">
        <w:t>of</w:t>
      </w:r>
      <w:r w:rsidR="730ECE9C" w:rsidRPr="1AA722E5">
        <w:t xml:space="preserve"> </w:t>
      </w:r>
      <w:r w:rsidR="2994E2C5" w:rsidRPr="1AA722E5">
        <w:t>restrictive practices</w:t>
      </w:r>
      <w:r w:rsidR="00562FA3" w:rsidRPr="1AA722E5">
        <w:t xml:space="preserve"> </w:t>
      </w:r>
      <w:r w:rsidR="00E1617C" w:rsidRPr="1AA722E5">
        <w:t>under</w:t>
      </w:r>
      <w:r w:rsidR="00562FA3" w:rsidRPr="1AA722E5">
        <w:t xml:space="preserve"> the Act</w:t>
      </w:r>
      <w:r w:rsidR="2994E2C5" w:rsidRPr="1AA722E5">
        <w:t xml:space="preserve">. Increased reporting </w:t>
      </w:r>
      <w:r w:rsidR="1DCAF206" w:rsidRPr="1AA722E5">
        <w:t xml:space="preserve">and oversight </w:t>
      </w:r>
      <w:proofErr w:type="gramStart"/>
      <w:r w:rsidR="00907469" w:rsidRPr="1AA722E5">
        <w:t>ensure</w:t>
      </w:r>
      <w:r w:rsidR="0046724F" w:rsidRPr="1AA722E5">
        <w:t>s</w:t>
      </w:r>
      <w:proofErr w:type="gramEnd"/>
      <w:r w:rsidR="00E30463" w:rsidRPr="1AA722E5">
        <w:t xml:space="preserve"> </w:t>
      </w:r>
      <w:r w:rsidR="2994E2C5" w:rsidRPr="1AA722E5">
        <w:t xml:space="preserve">the Chief Psychiatrist </w:t>
      </w:r>
      <w:r w:rsidR="09FCBB2F" w:rsidRPr="1AA722E5">
        <w:t>can</w:t>
      </w:r>
      <w:r w:rsidR="2994E2C5" w:rsidRPr="1AA722E5">
        <w:t xml:space="preserve"> more effectively monitor and </w:t>
      </w:r>
      <w:r w:rsidR="00E30463" w:rsidRPr="1AA722E5">
        <w:t>assist</w:t>
      </w:r>
      <w:r w:rsidR="2943F79E" w:rsidRPr="1AA722E5">
        <w:t xml:space="preserve"> health services to reduce their restrictive practices.</w:t>
      </w:r>
    </w:p>
    <w:p w14:paraId="1AD36065" w14:textId="6829CAF2" w:rsidR="6BE22D6C" w:rsidRDefault="2943F79E" w:rsidP="00434B70">
      <w:pPr>
        <w:pStyle w:val="Body"/>
      </w:pPr>
      <w:r w:rsidRPr="1AA722E5">
        <w:lastRenderedPageBreak/>
        <w:t xml:space="preserve">The increased reporting </w:t>
      </w:r>
      <w:r w:rsidR="003A2185" w:rsidRPr="1AA722E5">
        <w:t>and oversight</w:t>
      </w:r>
      <w:r w:rsidRPr="1AA722E5">
        <w:t xml:space="preserve"> </w:t>
      </w:r>
      <w:r w:rsidR="00907469" w:rsidRPr="1AA722E5">
        <w:t>provide</w:t>
      </w:r>
      <w:r w:rsidRPr="1AA722E5">
        <w:t xml:space="preserve"> opportunities for health services to</w:t>
      </w:r>
      <w:r w:rsidR="2F0B79CF" w:rsidRPr="1AA722E5">
        <w:t xml:space="preserve"> better appreciate the impacts </w:t>
      </w:r>
      <w:r w:rsidR="004E35EF">
        <w:t xml:space="preserve">of restrictive practices </w:t>
      </w:r>
      <w:r w:rsidR="2F0B79CF" w:rsidRPr="1AA722E5">
        <w:t>and to</w:t>
      </w:r>
      <w:r w:rsidRPr="1AA722E5">
        <w:t xml:space="preserve"> monitor and address restrictive practices strategically. </w:t>
      </w:r>
      <w:r w:rsidR="6C28129A" w:rsidRPr="1AA722E5">
        <w:t xml:space="preserve">The broader </w:t>
      </w:r>
      <w:r w:rsidR="28378118" w:rsidRPr="1AA722E5">
        <w:t xml:space="preserve">capture of restrictive interventions </w:t>
      </w:r>
      <w:r w:rsidR="23858C18" w:rsidRPr="1AA722E5">
        <w:t xml:space="preserve">enables </w:t>
      </w:r>
      <w:r w:rsidR="782F840F" w:rsidRPr="1AA722E5">
        <w:t xml:space="preserve">the OCP and </w:t>
      </w:r>
      <w:r w:rsidR="23858C18" w:rsidRPr="1AA722E5">
        <w:t>services t</w:t>
      </w:r>
      <w:r w:rsidR="396CEE21" w:rsidRPr="1AA722E5">
        <w:t xml:space="preserve">o </w:t>
      </w:r>
      <w:r w:rsidR="332C1D4B" w:rsidRPr="1AA722E5">
        <w:t>better target areas of greater risk</w:t>
      </w:r>
      <w:r w:rsidR="1229EAB1" w:rsidRPr="1AA722E5">
        <w:t xml:space="preserve"> across the health </w:t>
      </w:r>
      <w:r w:rsidR="505F49EE" w:rsidRPr="1AA722E5">
        <w:t>sector</w:t>
      </w:r>
      <w:r w:rsidR="396CEE21" w:rsidRPr="1AA722E5">
        <w:t>.</w:t>
      </w:r>
    </w:p>
    <w:p w14:paraId="153AF93F" w14:textId="223A9E84" w:rsidR="213C0D2C" w:rsidRDefault="100CF5F7" w:rsidP="60F18233">
      <w:pPr>
        <w:pStyle w:val="Body"/>
      </w:pPr>
      <w:r>
        <w:t xml:space="preserve">The OCP continues to convene the Chief Psychiatrist’s Restrictive Intervention Committee and has expanded the membership to include </w:t>
      </w:r>
      <w:r w:rsidR="00C82538">
        <w:t>a greater variety of voices</w:t>
      </w:r>
      <w:r>
        <w:t xml:space="preserve">. </w:t>
      </w:r>
      <w:r w:rsidR="00410C83">
        <w:t>T</w:t>
      </w:r>
      <w:r w:rsidR="64645611">
        <w:t>here is</w:t>
      </w:r>
      <w:r w:rsidR="00410C83">
        <w:t xml:space="preserve"> </w:t>
      </w:r>
      <w:r w:rsidR="00E75427">
        <w:t>also increased membership from medical leadership</w:t>
      </w:r>
      <w:r w:rsidR="00A04106">
        <w:t>,</w:t>
      </w:r>
      <w:r w:rsidR="7088069A">
        <w:t xml:space="preserve"> which will assist the sector in further reducing restrictive interventions</w:t>
      </w:r>
      <w:r w:rsidR="004F640E">
        <w:t>, particularly in emergency departments and medical wards</w:t>
      </w:r>
      <w:r w:rsidR="00C0008E">
        <w:t xml:space="preserve">. </w:t>
      </w:r>
      <w:r>
        <w:t>Th</w:t>
      </w:r>
      <w:r w:rsidR="00F37E53">
        <w:t>e</w:t>
      </w:r>
      <w:r>
        <w:t xml:space="preserve"> committee regularly receives updates on work being done for reducing and eventually eliminating restrictive practices.</w:t>
      </w:r>
      <w:r w:rsidR="6C82D0DD">
        <w:t xml:space="preserve"> </w:t>
      </w:r>
      <w:r w:rsidR="2F9C25B7" w:rsidRPr="00907469">
        <w:t>Members</w:t>
      </w:r>
      <w:r w:rsidR="6C82D0DD" w:rsidRPr="00907469">
        <w:t xml:space="preserve"> also provide feedback</w:t>
      </w:r>
      <w:r w:rsidR="31E2F9A8" w:rsidRPr="00907469">
        <w:t xml:space="preserve"> </w:t>
      </w:r>
      <w:r w:rsidR="6C82D0DD" w:rsidRPr="00907469">
        <w:t xml:space="preserve">to the OCP </w:t>
      </w:r>
      <w:r w:rsidR="00A04106">
        <w:t xml:space="preserve">on </w:t>
      </w:r>
      <w:r w:rsidR="6C82D0DD" w:rsidRPr="00907469">
        <w:t>matters of concern to the community.</w:t>
      </w:r>
    </w:p>
    <w:p w14:paraId="20BD903C" w14:textId="13F54F59" w:rsidR="00381B2F" w:rsidRDefault="00381B2F" w:rsidP="1AA722E5">
      <w:pPr>
        <w:pStyle w:val="Heading3"/>
      </w:pPr>
      <w:r>
        <w:t>A</w:t>
      </w:r>
      <w:r w:rsidR="00FD7427">
        <w:t>cute</w:t>
      </w:r>
      <w:r>
        <w:t xml:space="preserve"> inpatient units</w:t>
      </w:r>
      <w:r w:rsidR="003F57E9">
        <w:t xml:space="preserve"> </w:t>
      </w:r>
      <w:r w:rsidR="003F57E9" w:rsidRPr="003F57E9">
        <w:t>–</w:t>
      </w:r>
      <w:r w:rsidR="6D6870C7">
        <w:t xml:space="preserve"> </w:t>
      </w:r>
      <w:r w:rsidR="009C5265">
        <w:t>e</w:t>
      </w:r>
      <w:r w:rsidR="6D6870C7">
        <w:t xml:space="preserve">pisodes of restrictive </w:t>
      </w:r>
      <w:r w:rsidR="00717E8E">
        <w:t>intervention</w:t>
      </w:r>
      <w:r w:rsidR="6D6870C7">
        <w:t>s</w:t>
      </w:r>
    </w:p>
    <w:p w14:paraId="6F0C2D0C" w14:textId="10C86A33" w:rsidR="675D2E0E" w:rsidRPr="00EC49D8" w:rsidRDefault="675D2E0E" w:rsidP="00563C62">
      <w:pPr>
        <w:pStyle w:val="Body"/>
      </w:pPr>
      <w:r>
        <w:t xml:space="preserve">Table </w:t>
      </w:r>
      <w:r w:rsidR="001E67E0">
        <w:t>6</w:t>
      </w:r>
      <w:r>
        <w:t xml:space="preserve"> shows the number of episodes of bodily restraint and seclusion in acute inpatient units over the </w:t>
      </w:r>
      <w:r w:rsidR="0048002F">
        <w:t>p</w:t>
      </w:r>
      <w:r>
        <w:t xml:space="preserve">ast </w:t>
      </w:r>
      <w:r w:rsidR="00AD12EC">
        <w:t xml:space="preserve">5 </w:t>
      </w:r>
      <w:r>
        <w:t>years. The use of bodily restraint</w:t>
      </w:r>
      <w:r w:rsidR="00EF3961">
        <w:t xml:space="preserve"> and seclusion decreased </w:t>
      </w:r>
      <w:r w:rsidR="000E7FE7">
        <w:t xml:space="preserve">in </w:t>
      </w:r>
      <w:r w:rsidR="3B045CBD">
        <w:t>2023</w:t>
      </w:r>
      <w:r w:rsidR="007B5B5D">
        <w:t>–</w:t>
      </w:r>
      <w:r w:rsidR="3B045CBD">
        <w:t>24</w:t>
      </w:r>
      <w:r w:rsidR="000E7FE7">
        <w:t xml:space="preserve"> </w:t>
      </w:r>
      <w:r w:rsidR="00DF6158">
        <w:t>compared with</w:t>
      </w:r>
      <w:r w:rsidR="000E7FE7">
        <w:t xml:space="preserve"> previous year</w:t>
      </w:r>
      <w:r w:rsidR="09851DF3">
        <w:t>s</w:t>
      </w:r>
      <w:r>
        <w:t>.</w:t>
      </w:r>
      <w:r w:rsidR="55FE8D86">
        <w:t xml:space="preserve"> </w:t>
      </w:r>
      <w:r w:rsidR="00AB31F7" w:rsidRPr="00AB31F7">
        <w:t>We believe this reflects the increased quality improvement focus and acceptance of the key principle of the Royal Commission that restrictive interventions are not therapeutic.</w:t>
      </w:r>
    </w:p>
    <w:p w14:paraId="145E761B" w14:textId="43E1D16E" w:rsidR="00772425" w:rsidRPr="00836FE1" w:rsidRDefault="702ED0C5" w:rsidP="00836FE1">
      <w:pPr>
        <w:pStyle w:val="Tablecaption"/>
        <w:rPr>
          <w:rFonts w:eastAsia="Arial"/>
        </w:rPr>
      </w:pPr>
      <w:r w:rsidRPr="1AA722E5">
        <w:rPr>
          <w:rFonts w:eastAsia="Arial"/>
        </w:rPr>
        <w:t xml:space="preserve">Table </w:t>
      </w:r>
      <w:r w:rsidR="001E67E0" w:rsidRPr="1AA722E5">
        <w:rPr>
          <w:rFonts w:eastAsia="Arial"/>
        </w:rPr>
        <w:t>6</w:t>
      </w:r>
      <w:r w:rsidRPr="1AA722E5">
        <w:rPr>
          <w:rFonts w:eastAsia="Arial"/>
        </w:rPr>
        <w:t xml:space="preserve">: </w:t>
      </w:r>
      <w:r w:rsidR="00041BE2" w:rsidRPr="1AA722E5">
        <w:rPr>
          <w:rFonts w:eastAsia="Arial"/>
        </w:rPr>
        <w:t>Number of episodes of bodily restraint</w:t>
      </w:r>
      <w:r w:rsidR="0054457D">
        <w:rPr>
          <w:rFonts w:eastAsia="Arial"/>
        </w:rPr>
        <w:t xml:space="preserve"> and</w:t>
      </w:r>
      <w:r w:rsidR="00B154AA" w:rsidRPr="1AA722E5">
        <w:rPr>
          <w:rFonts w:eastAsia="Arial"/>
        </w:rPr>
        <w:t xml:space="preserve"> </w:t>
      </w:r>
      <w:r w:rsidR="00041BE2" w:rsidRPr="1AA722E5">
        <w:rPr>
          <w:rFonts w:eastAsia="Arial"/>
        </w:rPr>
        <w:t>seclusion</w:t>
      </w:r>
      <w:r w:rsidR="00836FE1" w:rsidRPr="1AA722E5">
        <w:rPr>
          <w:rFonts w:eastAsia="Arial"/>
        </w:rPr>
        <w:t xml:space="preserve"> </w:t>
      </w:r>
      <w:r w:rsidR="00041BE2" w:rsidRPr="1AA722E5">
        <w:rPr>
          <w:rFonts w:eastAsia="Arial"/>
        </w:rPr>
        <w:t>in acute inpatient units</w:t>
      </w:r>
      <w:r w:rsidRPr="1AA722E5">
        <w:rPr>
          <w:rFonts w:eastAsia="Arial"/>
        </w:rPr>
        <w:t>,</w:t>
      </w:r>
      <w:r w:rsidR="00041BE2" w:rsidRPr="1AA722E5">
        <w:rPr>
          <w:rFonts w:eastAsia="Arial"/>
        </w:rPr>
        <w:t xml:space="preserve"> </w:t>
      </w:r>
      <w:r w:rsidRPr="1AA722E5">
        <w:rPr>
          <w:rFonts w:eastAsia="Arial"/>
        </w:rPr>
        <w:t>201</w:t>
      </w:r>
      <w:r w:rsidR="00836FE1" w:rsidRPr="1AA722E5">
        <w:rPr>
          <w:rFonts w:eastAsia="Arial"/>
        </w:rPr>
        <w:t>9</w:t>
      </w:r>
      <w:r w:rsidRPr="1AA722E5">
        <w:rPr>
          <w:rFonts w:eastAsia="Arial"/>
        </w:rPr>
        <w:t>–</w:t>
      </w:r>
      <w:r w:rsidR="00836FE1" w:rsidRPr="1AA722E5">
        <w:rPr>
          <w:rFonts w:eastAsia="Arial"/>
        </w:rPr>
        <w:t>20</w:t>
      </w:r>
      <w:r w:rsidRPr="1AA722E5">
        <w:rPr>
          <w:rFonts w:eastAsia="Arial"/>
        </w:rPr>
        <w:t xml:space="preserve"> to 20</w:t>
      </w:r>
      <w:r w:rsidR="0048002F" w:rsidRPr="1AA722E5">
        <w:rPr>
          <w:rFonts w:eastAsia="Arial"/>
        </w:rPr>
        <w:t>2</w:t>
      </w:r>
      <w:r w:rsidR="00836FE1" w:rsidRPr="1AA722E5">
        <w:rPr>
          <w:rFonts w:eastAsia="Arial"/>
        </w:rPr>
        <w:t>3</w:t>
      </w:r>
      <w:r w:rsidRPr="1AA722E5">
        <w:rPr>
          <w:rFonts w:eastAsia="Arial"/>
        </w:rPr>
        <w:t>–2</w:t>
      </w:r>
      <w:r w:rsidR="00836FE1" w:rsidRPr="1AA722E5">
        <w:rPr>
          <w:rFonts w:eastAsia="Arial"/>
        </w:rPr>
        <w:t>4</w:t>
      </w:r>
    </w:p>
    <w:tbl>
      <w:tblPr>
        <w:tblStyle w:val="TableGrid"/>
        <w:tblW w:w="9356"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268"/>
        <w:gridCol w:w="1417"/>
        <w:gridCol w:w="1418"/>
        <w:gridCol w:w="1417"/>
        <w:gridCol w:w="1418"/>
        <w:gridCol w:w="1418"/>
      </w:tblGrid>
      <w:tr w:rsidR="00E6785F" w14:paraId="7F338E44" w14:textId="77777777" w:rsidTr="00D665F6">
        <w:trPr>
          <w:tblHeader/>
        </w:trPr>
        <w:tc>
          <w:tcPr>
            <w:tcW w:w="2268" w:type="dxa"/>
            <w:shd w:val="clear" w:color="auto" w:fill="244C5A"/>
          </w:tcPr>
          <w:p w14:paraId="6220D40B" w14:textId="7136CEF9" w:rsidR="00BF3DF5" w:rsidRPr="009E1217" w:rsidRDefault="007B5B5D" w:rsidP="004110AE">
            <w:pPr>
              <w:pStyle w:val="EmptyLayoutCell"/>
              <w:spacing w:before="60" w:after="60"/>
              <w:rPr>
                <w:rFonts w:ascii="Arial" w:hAnsi="Arial" w:cs="Arial"/>
                <w:color w:val="FFFFFF"/>
                <w:sz w:val="18"/>
                <w:szCs w:val="18"/>
              </w:rPr>
            </w:pPr>
            <w:r>
              <w:rPr>
                <w:rFonts w:ascii="Arial" w:hAnsi="Arial" w:cs="Arial"/>
                <w:color w:val="FFFFFF"/>
                <w:sz w:val="18"/>
                <w:szCs w:val="18"/>
              </w:rPr>
              <w:t>Intervention</w:t>
            </w:r>
          </w:p>
        </w:tc>
        <w:tc>
          <w:tcPr>
            <w:tcW w:w="1417" w:type="dxa"/>
            <w:shd w:val="clear" w:color="auto" w:fill="244C5A"/>
          </w:tcPr>
          <w:p w14:paraId="0FAE7FB4" w14:textId="77777777" w:rsidR="00BF3DF5" w:rsidRPr="009E1217" w:rsidRDefault="00BF3D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418" w:type="dxa"/>
            <w:shd w:val="clear" w:color="auto" w:fill="244C5A"/>
          </w:tcPr>
          <w:p w14:paraId="3465D842" w14:textId="77777777" w:rsidR="00BF3DF5" w:rsidRPr="009E1217" w:rsidRDefault="00BF3D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417" w:type="dxa"/>
            <w:shd w:val="clear" w:color="auto" w:fill="244C5A"/>
          </w:tcPr>
          <w:p w14:paraId="42263AD6" w14:textId="77777777" w:rsidR="00BF3DF5" w:rsidRPr="009E1217" w:rsidRDefault="00BF3D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418" w:type="dxa"/>
            <w:shd w:val="clear" w:color="auto" w:fill="244C5A"/>
          </w:tcPr>
          <w:p w14:paraId="4FABFBEF" w14:textId="77777777" w:rsidR="00BF3DF5" w:rsidRPr="009E1217" w:rsidRDefault="00BF3D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418" w:type="dxa"/>
            <w:shd w:val="clear" w:color="auto" w:fill="244C5A"/>
          </w:tcPr>
          <w:p w14:paraId="13ECD1A6" w14:textId="77777777" w:rsidR="00BF3DF5" w:rsidRPr="009E1217" w:rsidRDefault="00BF3D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2DC742EC" w14:textId="77777777" w:rsidTr="00BF3DF5">
        <w:tc>
          <w:tcPr>
            <w:tcW w:w="2268" w:type="dxa"/>
          </w:tcPr>
          <w:p w14:paraId="77E5B30C" w14:textId="77777777" w:rsidR="00BF3DF5" w:rsidRPr="00185026" w:rsidRDefault="00BF3DF5" w:rsidP="004110AE">
            <w:pPr>
              <w:pStyle w:val="EmptyLayoutCell"/>
              <w:spacing w:before="60" w:after="60"/>
              <w:rPr>
                <w:rFonts w:ascii="Arial" w:hAnsi="Arial" w:cs="Arial"/>
                <w:sz w:val="18"/>
                <w:szCs w:val="18"/>
              </w:rPr>
            </w:pPr>
            <w:r w:rsidRPr="00185026">
              <w:rPr>
                <w:rFonts w:ascii="Arial" w:hAnsi="Arial" w:cs="Arial"/>
                <w:sz w:val="18"/>
                <w:szCs w:val="18"/>
              </w:rPr>
              <w:t>Bodily restraint</w:t>
            </w:r>
            <w:r>
              <w:rPr>
                <w:rFonts w:ascii="Arial" w:hAnsi="Arial" w:cs="Arial"/>
                <w:sz w:val="18"/>
                <w:szCs w:val="18"/>
              </w:rPr>
              <w:t xml:space="preserve"> episodes</w:t>
            </w:r>
          </w:p>
        </w:tc>
        <w:tc>
          <w:tcPr>
            <w:tcW w:w="1417" w:type="dxa"/>
          </w:tcPr>
          <w:p w14:paraId="655123D2"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8,269</w:t>
            </w:r>
          </w:p>
        </w:tc>
        <w:tc>
          <w:tcPr>
            <w:tcW w:w="1418" w:type="dxa"/>
          </w:tcPr>
          <w:p w14:paraId="74D80C0C"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8,329</w:t>
            </w:r>
          </w:p>
        </w:tc>
        <w:tc>
          <w:tcPr>
            <w:tcW w:w="1417" w:type="dxa"/>
          </w:tcPr>
          <w:p w14:paraId="1F53239E"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7,557</w:t>
            </w:r>
          </w:p>
        </w:tc>
        <w:tc>
          <w:tcPr>
            <w:tcW w:w="1418" w:type="dxa"/>
          </w:tcPr>
          <w:p w14:paraId="538A3698"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6,560</w:t>
            </w:r>
          </w:p>
        </w:tc>
        <w:tc>
          <w:tcPr>
            <w:tcW w:w="1418" w:type="dxa"/>
          </w:tcPr>
          <w:p w14:paraId="785D4905" w14:textId="77777777" w:rsidR="00BF3DF5" w:rsidRPr="00185026" w:rsidRDefault="00BF3DF5" w:rsidP="004110AE">
            <w:pPr>
              <w:pStyle w:val="EmptyLayoutCell"/>
              <w:spacing w:before="60" w:after="60"/>
              <w:rPr>
                <w:rFonts w:ascii="Arial" w:hAnsi="Arial" w:cs="Arial"/>
                <w:sz w:val="18"/>
                <w:szCs w:val="18"/>
              </w:rPr>
            </w:pPr>
            <w:r>
              <w:rPr>
                <w:rFonts w:ascii="Arial" w:eastAsia="Verdana" w:hAnsi="Arial" w:cs="Arial"/>
                <w:color w:val="000000"/>
                <w:sz w:val="18"/>
                <w:szCs w:val="18"/>
              </w:rPr>
              <w:t>6,257</w:t>
            </w:r>
          </w:p>
        </w:tc>
      </w:tr>
      <w:tr w:rsidR="00C74E2D" w14:paraId="1BDDC686" w14:textId="77777777" w:rsidTr="00BF3DF5">
        <w:tc>
          <w:tcPr>
            <w:tcW w:w="2268" w:type="dxa"/>
          </w:tcPr>
          <w:p w14:paraId="505F262F" w14:textId="77777777" w:rsidR="00BF3DF5" w:rsidRPr="00185026" w:rsidRDefault="00BF3DF5" w:rsidP="004110AE">
            <w:pPr>
              <w:pStyle w:val="EmptyLayoutCell"/>
              <w:spacing w:before="60" w:after="60"/>
              <w:rPr>
                <w:rFonts w:ascii="Arial" w:hAnsi="Arial" w:cs="Arial"/>
                <w:sz w:val="18"/>
                <w:szCs w:val="18"/>
              </w:rPr>
            </w:pPr>
            <w:r w:rsidRPr="00185026">
              <w:rPr>
                <w:rFonts w:ascii="Arial" w:hAnsi="Arial" w:cs="Arial"/>
                <w:sz w:val="18"/>
                <w:szCs w:val="18"/>
              </w:rPr>
              <w:t>Seclusion</w:t>
            </w:r>
            <w:r>
              <w:rPr>
                <w:rFonts w:ascii="Arial" w:hAnsi="Arial" w:cs="Arial"/>
                <w:sz w:val="18"/>
                <w:szCs w:val="18"/>
              </w:rPr>
              <w:t xml:space="preserve"> episodes</w:t>
            </w:r>
          </w:p>
        </w:tc>
        <w:tc>
          <w:tcPr>
            <w:tcW w:w="1417" w:type="dxa"/>
          </w:tcPr>
          <w:p w14:paraId="1A0A20EA"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3,575</w:t>
            </w:r>
          </w:p>
        </w:tc>
        <w:tc>
          <w:tcPr>
            <w:tcW w:w="1418" w:type="dxa"/>
          </w:tcPr>
          <w:p w14:paraId="119D6CBB"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3,653</w:t>
            </w:r>
          </w:p>
        </w:tc>
        <w:tc>
          <w:tcPr>
            <w:tcW w:w="1417" w:type="dxa"/>
          </w:tcPr>
          <w:p w14:paraId="5F60EC7E"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3,316</w:t>
            </w:r>
          </w:p>
        </w:tc>
        <w:tc>
          <w:tcPr>
            <w:tcW w:w="1418" w:type="dxa"/>
          </w:tcPr>
          <w:p w14:paraId="245D7E35"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2,812</w:t>
            </w:r>
          </w:p>
        </w:tc>
        <w:tc>
          <w:tcPr>
            <w:tcW w:w="1418" w:type="dxa"/>
          </w:tcPr>
          <w:p w14:paraId="31BF8854" w14:textId="77777777" w:rsidR="00BF3DF5" w:rsidRPr="00185026" w:rsidRDefault="00BF3D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2,290</w:t>
            </w:r>
          </w:p>
        </w:tc>
      </w:tr>
    </w:tbl>
    <w:p w14:paraId="610A64F0" w14:textId="5E80C3FB" w:rsidR="008B1CC0" w:rsidRDefault="004F58D3" w:rsidP="00DF0590">
      <w:pPr>
        <w:pStyle w:val="Body"/>
        <w:spacing w:before="120"/>
      </w:pPr>
      <w:r>
        <w:t xml:space="preserve">In </w:t>
      </w:r>
      <w:r w:rsidR="00070467">
        <w:t xml:space="preserve">2023–24 </w:t>
      </w:r>
      <w:r>
        <w:t>seclusion in a</w:t>
      </w:r>
      <w:r w:rsidR="00E177A5">
        <w:t xml:space="preserve">cute </w:t>
      </w:r>
      <w:r w:rsidR="008E16E7">
        <w:t>in</w:t>
      </w:r>
      <w:r w:rsidR="00E07058">
        <w:t xml:space="preserve">patient units </w:t>
      </w:r>
      <w:r w:rsidR="002D7056">
        <w:t xml:space="preserve">showed </w:t>
      </w:r>
      <w:r w:rsidR="00296AEC">
        <w:t>a</w:t>
      </w:r>
      <w:r w:rsidR="00DF3EC2">
        <w:t>n age/</w:t>
      </w:r>
      <w:r w:rsidR="00296AEC">
        <w:t>sex difference</w:t>
      </w:r>
      <w:r w:rsidR="00C84A05">
        <w:t>,</w:t>
      </w:r>
      <w:r w:rsidR="00296AEC">
        <w:t xml:space="preserve"> </w:t>
      </w:r>
      <w:r w:rsidR="283522F3">
        <w:t xml:space="preserve">highlighting the predominance of </w:t>
      </w:r>
      <w:r w:rsidR="1BA9C50F">
        <w:t>middle</w:t>
      </w:r>
      <w:r w:rsidR="00557376">
        <w:t>-</w:t>
      </w:r>
      <w:r w:rsidR="1BA9C50F">
        <w:t xml:space="preserve">aged </w:t>
      </w:r>
      <w:r w:rsidR="283522F3">
        <w:t>men experiencing seclusion</w:t>
      </w:r>
      <w:r w:rsidR="005F6190">
        <w:t xml:space="preserve"> </w:t>
      </w:r>
      <w:r>
        <w:t>(</w:t>
      </w:r>
      <w:r w:rsidR="00557376">
        <w:t xml:space="preserve">Figure 4 and </w:t>
      </w:r>
      <w:r w:rsidR="6236A531">
        <w:t xml:space="preserve">Table </w:t>
      </w:r>
      <w:r w:rsidR="003234E3">
        <w:t>7</w:t>
      </w:r>
      <w:r>
        <w:t>).</w:t>
      </w:r>
    </w:p>
    <w:p w14:paraId="53A8B94C" w14:textId="7DCEDE11" w:rsidR="00E21F00" w:rsidRDefault="009020C5" w:rsidP="00363C00">
      <w:pPr>
        <w:pStyle w:val="Figurecaption"/>
        <w:rPr>
          <w:rFonts w:eastAsia="Arial"/>
        </w:rPr>
      </w:pPr>
      <w:r>
        <w:rPr>
          <w:rFonts w:eastAsia="Arial"/>
        </w:rPr>
        <w:t>Figure</w:t>
      </w:r>
      <w:r w:rsidR="00E21F00" w:rsidRPr="008D2117">
        <w:rPr>
          <w:rFonts w:eastAsia="Arial"/>
        </w:rPr>
        <w:t xml:space="preserve"> </w:t>
      </w:r>
      <w:r>
        <w:rPr>
          <w:rFonts w:eastAsia="Arial"/>
        </w:rPr>
        <w:t>4</w:t>
      </w:r>
      <w:r w:rsidR="00E21F00" w:rsidRPr="008D2117">
        <w:rPr>
          <w:rFonts w:eastAsia="Arial"/>
        </w:rPr>
        <w:t xml:space="preserve">: Number of seclusion episodes in acute inpatient units, by age and sex, </w:t>
      </w:r>
      <w:r w:rsidR="00E21F00">
        <w:rPr>
          <w:rFonts w:eastAsia="Arial"/>
        </w:rPr>
        <w:br/>
      </w:r>
      <w:r w:rsidR="00E21F00" w:rsidRPr="008D2117">
        <w:rPr>
          <w:rFonts w:eastAsia="Arial"/>
        </w:rPr>
        <w:t>202</w:t>
      </w:r>
      <w:r w:rsidR="00E21F00">
        <w:rPr>
          <w:rFonts w:eastAsia="Arial"/>
        </w:rPr>
        <w:t>3</w:t>
      </w:r>
      <w:r w:rsidR="00E21F00" w:rsidRPr="008D2117">
        <w:rPr>
          <w:rFonts w:eastAsia="Arial"/>
        </w:rPr>
        <w:t>–2</w:t>
      </w:r>
      <w:r w:rsidR="00E21F00">
        <w:rPr>
          <w:rFonts w:eastAsia="Arial"/>
        </w:rPr>
        <w:t>4</w:t>
      </w:r>
    </w:p>
    <w:p w14:paraId="76AB46CC" w14:textId="518818DB" w:rsidR="00E21F00" w:rsidRDefault="009020C5" w:rsidP="00434B70">
      <w:pPr>
        <w:pStyle w:val="Body"/>
        <w:rPr>
          <w:rFonts w:eastAsia="Arial"/>
          <w:b/>
          <w:bCs/>
        </w:rPr>
      </w:pPr>
      <w:r>
        <w:rPr>
          <w:noProof/>
        </w:rPr>
        <w:drawing>
          <wp:inline distT="0" distB="0" distL="0" distR="0" wp14:anchorId="6D2E5EAD" wp14:editId="18E9EF20">
            <wp:extent cx="4572000" cy="2730500"/>
            <wp:effectExtent l="0" t="0" r="0" b="12700"/>
            <wp:docPr id="749680626" name="Chart 1" descr="For a breakdown of the data in this figure, refer to Table 7.">
              <a:extLst xmlns:a="http://schemas.openxmlformats.org/drawingml/2006/main">
                <a:ext uri="{FF2B5EF4-FFF2-40B4-BE49-F238E27FC236}">
                  <a16:creationId xmlns:a16="http://schemas.microsoft.com/office/drawing/2014/main" id="{3E2DA2E5-A71F-6093-8369-CBB0DE712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0E916E" w14:textId="216EDD1F" w:rsidR="00BE7A74" w:rsidRPr="00F01465" w:rsidRDefault="2FF7EF75" w:rsidP="00D665F6">
      <w:pPr>
        <w:pStyle w:val="Tablecaption"/>
        <w:rPr>
          <w:rFonts w:eastAsia="Arial"/>
        </w:rPr>
      </w:pPr>
      <w:r w:rsidRPr="1AA722E5">
        <w:rPr>
          <w:rFonts w:eastAsia="Arial"/>
        </w:rPr>
        <w:t xml:space="preserve">Table </w:t>
      </w:r>
      <w:r w:rsidR="001A003C" w:rsidRPr="1AA722E5">
        <w:rPr>
          <w:rFonts w:eastAsia="Arial"/>
        </w:rPr>
        <w:t>7</w:t>
      </w:r>
      <w:r w:rsidRPr="1AA722E5">
        <w:rPr>
          <w:rFonts w:eastAsia="Arial"/>
        </w:rPr>
        <w:t xml:space="preserve">: </w:t>
      </w:r>
      <w:r w:rsidR="00EF4AA0" w:rsidRPr="1AA722E5">
        <w:rPr>
          <w:rFonts w:eastAsia="Arial"/>
        </w:rPr>
        <w:t xml:space="preserve">Number of seclusion episodes in acute inpatient units, by age and sex, </w:t>
      </w:r>
      <w:r>
        <w:br/>
      </w:r>
      <w:r w:rsidR="00EF4AA0" w:rsidRPr="1AA722E5">
        <w:rPr>
          <w:rFonts w:eastAsia="Arial"/>
        </w:rPr>
        <w:t>202</w:t>
      </w:r>
      <w:r w:rsidR="0037544B" w:rsidRPr="1AA722E5">
        <w:rPr>
          <w:rFonts w:eastAsia="Arial"/>
        </w:rPr>
        <w:t>3</w:t>
      </w:r>
      <w:r w:rsidR="00EF4AA0" w:rsidRPr="1AA722E5">
        <w:rPr>
          <w:rFonts w:eastAsia="Arial"/>
        </w:rPr>
        <w:t>–2</w:t>
      </w:r>
      <w:r w:rsidR="0037544B" w:rsidRPr="1AA722E5">
        <w:rPr>
          <w:rFonts w:eastAsia="Arial"/>
        </w:rPr>
        <w:t>4</w:t>
      </w:r>
    </w:p>
    <w:tbl>
      <w:tblPr>
        <w:tblStyle w:val="TableGrid"/>
        <w:tblW w:w="9356"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843"/>
        <w:gridCol w:w="939"/>
        <w:gridCol w:w="939"/>
        <w:gridCol w:w="939"/>
        <w:gridCol w:w="939"/>
        <w:gridCol w:w="939"/>
        <w:gridCol w:w="939"/>
        <w:gridCol w:w="939"/>
        <w:gridCol w:w="940"/>
      </w:tblGrid>
      <w:tr w:rsidR="00E6785F" w14:paraId="27C2C42C" w14:textId="21B65C36" w:rsidTr="00D665F6">
        <w:trPr>
          <w:trHeight w:val="308"/>
          <w:tblHeader/>
        </w:trPr>
        <w:tc>
          <w:tcPr>
            <w:tcW w:w="1843" w:type="dxa"/>
            <w:shd w:val="clear" w:color="auto" w:fill="244C5A"/>
          </w:tcPr>
          <w:p w14:paraId="03E7F2F0" w14:textId="128881B0" w:rsidR="00BE7A74" w:rsidRPr="007A09B2" w:rsidRDefault="001E4301" w:rsidP="004110AE">
            <w:pPr>
              <w:pStyle w:val="EmptyLayoutCell"/>
              <w:spacing w:before="60" w:after="60"/>
              <w:rPr>
                <w:rFonts w:ascii="Arial" w:hAnsi="Arial" w:cs="Arial"/>
                <w:color w:val="FFFFFF"/>
                <w:sz w:val="18"/>
                <w:szCs w:val="18"/>
              </w:rPr>
            </w:pPr>
            <w:r>
              <w:rPr>
                <w:rFonts w:ascii="Arial" w:hAnsi="Arial" w:cs="Arial"/>
                <w:color w:val="FFFFFF"/>
                <w:sz w:val="18"/>
                <w:szCs w:val="18"/>
              </w:rPr>
              <w:t>Sex</w:t>
            </w:r>
          </w:p>
        </w:tc>
        <w:tc>
          <w:tcPr>
            <w:tcW w:w="939" w:type="dxa"/>
            <w:shd w:val="clear" w:color="auto" w:fill="244C5A"/>
          </w:tcPr>
          <w:p w14:paraId="745F82AD"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0–17</w:t>
            </w:r>
          </w:p>
        </w:tc>
        <w:tc>
          <w:tcPr>
            <w:tcW w:w="939" w:type="dxa"/>
            <w:shd w:val="clear" w:color="auto" w:fill="244C5A"/>
          </w:tcPr>
          <w:p w14:paraId="0F252E79"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18–29</w:t>
            </w:r>
          </w:p>
        </w:tc>
        <w:tc>
          <w:tcPr>
            <w:tcW w:w="939" w:type="dxa"/>
            <w:shd w:val="clear" w:color="auto" w:fill="244C5A"/>
          </w:tcPr>
          <w:p w14:paraId="207482BE"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30–39</w:t>
            </w:r>
          </w:p>
        </w:tc>
        <w:tc>
          <w:tcPr>
            <w:tcW w:w="939" w:type="dxa"/>
            <w:shd w:val="clear" w:color="auto" w:fill="244C5A"/>
          </w:tcPr>
          <w:p w14:paraId="30C88200"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40–49</w:t>
            </w:r>
          </w:p>
        </w:tc>
        <w:tc>
          <w:tcPr>
            <w:tcW w:w="939" w:type="dxa"/>
            <w:shd w:val="clear" w:color="auto" w:fill="244C5A"/>
          </w:tcPr>
          <w:p w14:paraId="172FFEB6"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50–59</w:t>
            </w:r>
          </w:p>
        </w:tc>
        <w:tc>
          <w:tcPr>
            <w:tcW w:w="939" w:type="dxa"/>
            <w:shd w:val="clear" w:color="auto" w:fill="244C5A"/>
          </w:tcPr>
          <w:p w14:paraId="274B5540"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60–69</w:t>
            </w:r>
          </w:p>
        </w:tc>
        <w:tc>
          <w:tcPr>
            <w:tcW w:w="939" w:type="dxa"/>
            <w:shd w:val="clear" w:color="auto" w:fill="244C5A"/>
          </w:tcPr>
          <w:p w14:paraId="10123685"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70–79</w:t>
            </w:r>
          </w:p>
        </w:tc>
        <w:tc>
          <w:tcPr>
            <w:tcW w:w="940" w:type="dxa"/>
            <w:shd w:val="clear" w:color="auto" w:fill="244C5A"/>
          </w:tcPr>
          <w:p w14:paraId="25C23D9F" w14:textId="77777777" w:rsidR="00BE7A74" w:rsidRPr="007A09B2" w:rsidRDefault="00BE7A74" w:rsidP="004110AE">
            <w:pPr>
              <w:pStyle w:val="EmptyLayoutCell"/>
              <w:spacing w:before="60" w:after="60"/>
              <w:rPr>
                <w:rFonts w:ascii="Arial" w:hAnsi="Arial" w:cs="Arial"/>
                <w:color w:val="FFFFFF"/>
                <w:sz w:val="18"/>
                <w:szCs w:val="18"/>
              </w:rPr>
            </w:pPr>
            <w:r>
              <w:rPr>
                <w:rFonts w:ascii="Arial" w:hAnsi="Arial" w:cs="Arial"/>
                <w:color w:val="FFFFFF"/>
                <w:sz w:val="18"/>
                <w:szCs w:val="18"/>
              </w:rPr>
              <w:t>80+</w:t>
            </w:r>
          </w:p>
        </w:tc>
      </w:tr>
      <w:tr w:rsidR="00C87704" w14:paraId="3E69A37D" w14:textId="34B05AFC" w:rsidTr="00BE7A74">
        <w:trPr>
          <w:trHeight w:val="322"/>
        </w:trPr>
        <w:tc>
          <w:tcPr>
            <w:tcW w:w="1843" w:type="dxa"/>
          </w:tcPr>
          <w:p w14:paraId="75EC836E" w14:textId="77777777" w:rsidR="00BE7A74" w:rsidRDefault="00BE7A74" w:rsidP="004110AE">
            <w:pPr>
              <w:pStyle w:val="EmptyLayoutCell"/>
              <w:spacing w:before="60" w:after="60"/>
              <w:rPr>
                <w:rFonts w:ascii="Arial" w:hAnsi="Arial" w:cs="Arial"/>
                <w:sz w:val="18"/>
                <w:szCs w:val="18"/>
              </w:rPr>
            </w:pPr>
            <w:r>
              <w:rPr>
                <w:rFonts w:ascii="Arial" w:hAnsi="Arial" w:cs="Arial"/>
                <w:sz w:val="18"/>
                <w:szCs w:val="18"/>
              </w:rPr>
              <w:t>Female</w:t>
            </w:r>
          </w:p>
        </w:tc>
        <w:tc>
          <w:tcPr>
            <w:tcW w:w="939" w:type="dxa"/>
            <w:vAlign w:val="bottom"/>
          </w:tcPr>
          <w:p w14:paraId="0D7AFCB0"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37</w:t>
            </w:r>
          </w:p>
        </w:tc>
        <w:tc>
          <w:tcPr>
            <w:tcW w:w="939" w:type="dxa"/>
            <w:vAlign w:val="bottom"/>
          </w:tcPr>
          <w:p w14:paraId="423CAACD"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166</w:t>
            </w:r>
          </w:p>
        </w:tc>
        <w:tc>
          <w:tcPr>
            <w:tcW w:w="939" w:type="dxa"/>
            <w:vAlign w:val="bottom"/>
          </w:tcPr>
          <w:p w14:paraId="2C716386"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193</w:t>
            </w:r>
          </w:p>
        </w:tc>
        <w:tc>
          <w:tcPr>
            <w:tcW w:w="939" w:type="dxa"/>
            <w:vAlign w:val="bottom"/>
          </w:tcPr>
          <w:p w14:paraId="1503D87C"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148</w:t>
            </w:r>
          </w:p>
        </w:tc>
        <w:tc>
          <w:tcPr>
            <w:tcW w:w="939" w:type="dxa"/>
            <w:vAlign w:val="bottom"/>
          </w:tcPr>
          <w:p w14:paraId="4F94C77E"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65</w:t>
            </w:r>
          </w:p>
        </w:tc>
        <w:tc>
          <w:tcPr>
            <w:tcW w:w="939" w:type="dxa"/>
            <w:vAlign w:val="bottom"/>
          </w:tcPr>
          <w:p w14:paraId="19B5FA54"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21</w:t>
            </w:r>
          </w:p>
        </w:tc>
        <w:tc>
          <w:tcPr>
            <w:tcW w:w="939" w:type="dxa"/>
            <w:vAlign w:val="bottom"/>
          </w:tcPr>
          <w:p w14:paraId="75511BEA"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5</w:t>
            </w:r>
          </w:p>
        </w:tc>
        <w:tc>
          <w:tcPr>
            <w:tcW w:w="940" w:type="dxa"/>
            <w:vAlign w:val="bottom"/>
          </w:tcPr>
          <w:p w14:paraId="43A8D113" w14:textId="77777777" w:rsidR="00BE7A74" w:rsidRDefault="00BE7A74" w:rsidP="004110AE">
            <w:pPr>
              <w:pStyle w:val="EmptyLayoutCell"/>
              <w:spacing w:before="60" w:after="60"/>
              <w:rPr>
                <w:rFonts w:ascii="Arial" w:hAnsi="Arial" w:cs="Arial"/>
                <w:sz w:val="18"/>
                <w:szCs w:val="18"/>
              </w:rPr>
            </w:pPr>
            <w:proofErr w:type="spellStart"/>
            <w:r>
              <w:rPr>
                <w:rFonts w:ascii="Arial" w:hAnsi="Arial" w:cs="Arial"/>
                <w:sz w:val="18"/>
                <w:szCs w:val="18"/>
              </w:rPr>
              <w:t>n.p.</w:t>
            </w:r>
            <w:proofErr w:type="spellEnd"/>
          </w:p>
        </w:tc>
      </w:tr>
      <w:tr w:rsidR="00C87704" w14:paraId="567E38FF" w14:textId="05DFE20B" w:rsidTr="00BE7A74">
        <w:trPr>
          <w:trHeight w:val="308"/>
        </w:trPr>
        <w:tc>
          <w:tcPr>
            <w:tcW w:w="1843" w:type="dxa"/>
          </w:tcPr>
          <w:p w14:paraId="75B1C73A" w14:textId="77777777" w:rsidR="00BE7A74" w:rsidRPr="007A09B2" w:rsidRDefault="00BE7A74" w:rsidP="004110AE">
            <w:pPr>
              <w:pStyle w:val="EmptyLayoutCell"/>
              <w:spacing w:before="60" w:after="60"/>
              <w:rPr>
                <w:rFonts w:ascii="Arial" w:hAnsi="Arial" w:cs="Arial"/>
                <w:sz w:val="18"/>
                <w:szCs w:val="18"/>
              </w:rPr>
            </w:pPr>
            <w:r>
              <w:rPr>
                <w:rFonts w:ascii="Arial" w:hAnsi="Arial" w:cs="Arial"/>
                <w:sz w:val="18"/>
                <w:szCs w:val="18"/>
              </w:rPr>
              <w:lastRenderedPageBreak/>
              <w:t>Male</w:t>
            </w:r>
          </w:p>
        </w:tc>
        <w:tc>
          <w:tcPr>
            <w:tcW w:w="939" w:type="dxa"/>
            <w:vAlign w:val="bottom"/>
          </w:tcPr>
          <w:p w14:paraId="4034ED96"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87</w:t>
            </w:r>
          </w:p>
        </w:tc>
        <w:tc>
          <w:tcPr>
            <w:tcW w:w="939" w:type="dxa"/>
            <w:vAlign w:val="bottom"/>
          </w:tcPr>
          <w:p w14:paraId="498B7486"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405</w:t>
            </w:r>
          </w:p>
        </w:tc>
        <w:tc>
          <w:tcPr>
            <w:tcW w:w="939" w:type="dxa"/>
            <w:vAlign w:val="bottom"/>
          </w:tcPr>
          <w:p w14:paraId="06021B24"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538</w:t>
            </w:r>
          </w:p>
        </w:tc>
        <w:tc>
          <w:tcPr>
            <w:tcW w:w="939" w:type="dxa"/>
            <w:vAlign w:val="bottom"/>
          </w:tcPr>
          <w:p w14:paraId="19D7DB1E"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407</w:t>
            </w:r>
          </w:p>
        </w:tc>
        <w:tc>
          <w:tcPr>
            <w:tcW w:w="939" w:type="dxa"/>
            <w:vAlign w:val="bottom"/>
          </w:tcPr>
          <w:p w14:paraId="08FDD9BB"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166</w:t>
            </w:r>
          </w:p>
        </w:tc>
        <w:tc>
          <w:tcPr>
            <w:tcW w:w="939" w:type="dxa"/>
            <w:vAlign w:val="bottom"/>
          </w:tcPr>
          <w:p w14:paraId="0D968785"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18</w:t>
            </w:r>
          </w:p>
        </w:tc>
        <w:tc>
          <w:tcPr>
            <w:tcW w:w="939" w:type="dxa"/>
            <w:vAlign w:val="bottom"/>
          </w:tcPr>
          <w:p w14:paraId="62D9AFB6"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31</w:t>
            </w:r>
          </w:p>
        </w:tc>
        <w:tc>
          <w:tcPr>
            <w:tcW w:w="940" w:type="dxa"/>
            <w:vAlign w:val="bottom"/>
          </w:tcPr>
          <w:p w14:paraId="5436D460" w14:textId="77777777" w:rsidR="00BE7A74" w:rsidRDefault="00BE7A74" w:rsidP="004110AE">
            <w:pPr>
              <w:pStyle w:val="EmptyLayoutCell"/>
              <w:spacing w:before="60" w:after="60"/>
              <w:rPr>
                <w:rFonts w:ascii="Arial" w:hAnsi="Arial" w:cs="Arial"/>
                <w:sz w:val="18"/>
                <w:szCs w:val="18"/>
              </w:rPr>
            </w:pPr>
            <w:proofErr w:type="spellStart"/>
            <w:r>
              <w:rPr>
                <w:rFonts w:ascii="Arial" w:hAnsi="Arial" w:cs="Arial"/>
                <w:sz w:val="18"/>
                <w:szCs w:val="18"/>
              </w:rPr>
              <w:t>n.p.</w:t>
            </w:r>
            <w:proofErr w:type="spellEnd"/>
          </w:p>
        </w:tc>
      </w:tr>
      <w:tr w:rsidR="00C87704" w14:paraId="2439CB9F" w14:textId="7FE9708C" w:rsidTr="00BE7A74">
        <w:trPr>
          <w:trHeight w:val="322"/>
        </w:trPr>
        <w:tc>
          <w:tcPr>
            <w:tcW w:w="1843" w:type="dxa"/>
          </w:tcPr>
          <w:p w14:paraId="435D6B79" w14:textId="77777777" w:rsidR="00BE7A74" w:rsidRDefault="00BE7A74" w:rsidP="004110AE">
            <w:pPr>
              <w:pStyle w:val="EmptyLayoutCell"/>
              <w:spacing w:before="60" w:after="60"/>
              <w:rPr>
                <w:rFonts w:ascii="Arial" w:hAnsi="Arial" w:cs="Arial"/>
                <w:sz w:val="18"/>
                <w:szCs w:val="18"/>
              </w:rPr>
            </w:pPr>
            <w:r>
              <w:rPr>
                <w:rFonts w:ascii="Arial" w:hAnsi="Arial" w:cs="Arial"/>
                <w:sz w:val="18"/>
                <w:szCs w:val="18"/>
              </w:rPr>
              <w:t>Other or unknown</w:t>
            </w:r>
          </w:p>
        </w:tc>
        <w:tc>
          <w:tcPr>
            <w:tcW w:w="939" w:type="dxa"/>
            <w:vAlign w:val="bottom"/>
          </w:tcPr>
          <w:p w14:paraId="71F0DCD1" w14:textId="77777777" w:rsidR="00BE7A74" w:rsidRPr="00977560" w:rsidRDefault="00BE7A74" w:rsidP="004110AE">
            <w:pPr>
              <w:pStyle w:val="EmptyLayoutCell"/>
              <w:spacing w:before="60" w:after="60"/>
              <w:rPr>
                <w:rFonts w:ascii="Arial" w:hAnsi="Arial" w:cs="Arial"/>
                <w:sz w:val="18"/>
                <w:szCs w:val="18"/>
              </w:rPr>
            </w:pPr>
            <w:proofErr w:type="spellStart"/>
            <w:r>
              <w:rPr>
                <w:rFonts w:ascii="Arial" w:hAnsi="Arial" w:cs="Arial"/>
                <w:sz w:val="18"/>
                <w:szCs w:val="18"/>
              </w:rPr>
              <w:t>n.p.</w:t>
            </w:r>
            <w:proofErr w:type="spellEnd"/>
          </w:p>
        </w:tc>
        <w:tc>
          <w:tcPr>
            <w:tcW w:w="939" w:type="dxa"/>
            <w:vAlign w:val="bottom"/>
          </w:tcPr>
          <w:p w14:paraId="4054324A"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0</w:t>
            </w:r>
          </w:p>
        </w:tc>
        <w:tc>
          <w:tcPr>
            <w:tcW w:w="939" w:type="dxa"/>
            <w:vAlign w:val="bottom"/>
          </w:tcPr>
          <w:p w14:paraId="791A1E2A"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0</w:t>
            </w:r>
          </w:p>
        </w:tc>
        <w:tc>
          <w:tcPr>
            <w:tcW w:w="939" w:type="dxa"/>
            <w:vAlign w:val="bottom"/>
          </w:tcPr>
          <w:p w14:paraId="7A0436ED"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0</w:t>
            </w:r>
          </w:p>
        </w:tc>
        <w:tc>
          <w:tcPr>
            <w:tcW w:w="939" w:type="dxa"/>
            <w:vAlign w:val="bottom"/>
          </w:tcPr>
          <w:p w14:paraId="0EBC241A"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0</w:t>
            </w:r>
          </w:p>
        </w:tc>
        <w:tc>
          <w:tcPr>
            <w:tcW w:w="939" w:type="dxa"/>
            <w:vAlign w:val="bottom"/>
          </w:tcPr>
          <w:p w14:paraId="62C1B29D"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0</w:t>
            </w:r>
          </w:p>
        </w:tc>
        <w:tc>
          <w:tcPr>
            <w:tcW w:w="939" w:type="dxa"/>
            <w:vAlign w:val="bottom"/>
          </w:tcPr>
          <w:p w14:paraId="3BEE2194" w14:textId="77777777" w:rsidR="00BE7A74" w:rsidRPr="00977560" w:rsidRDefault="00BE7A74" w:rsidP="004110AE">
            <w:pPr>
              <w:pStyle w:val="EmptyLayoutCell"/>
              <w:spacing w:before="60" w:after="60"/>
              <w:rPr>
                <w:rFonts w:ascii="Arial" w:hAnsi="Arial" w:cs="Arial"/>
                <w:sz w:val="18"/>
                <w:szCs w:val="18"/>
              </w:rPr>
            </w:pPr>
            <w:r>
              <w:rPr>
                <w:rFonts w:ascii="Arial" w:hAnsi="Arial" w:cs="Arial"/>
                <w:sz w:val="18"/>
                <w:szCs w:val="18"/>
              </w:rPr>
              <w:t>0</w:t>
            </w:r>
          </w:p>
        </w:tc>
        <w:tc>
          <w:tcPr>
            <w:tcW w:w="940" w:type="dxa"/>
            <w:vAlign w:val="bottom"/>
          </w:tcPr>
          <w:p w14:paraId="398AFDDD" w14:textId="77777777" w:rsidR="00BE7A74" w:rsidRDefault="00BE7A74" w:rsidP="004110AE">
            <w:pPr>
              <w:pStyle w:val="EmptyLayoutCell"/>
              <w:spacing w:before="60" w:after="60"/>
              <w:rPr>
                <w:rFonts w:ascii="Arial" w:hAnsi="Arial" w:cs="Arial"/>
                <w:sz w:val="18"/>
                <w:szCs w:val="18"/>
              </w:rPr>
            </w:pPr>
            <w:r>
              <w:rPr>
                <w:rFonts w:ascii="Arial" w:hAnsi="Arial" w:cs="Arial"/>
                <w:sz w:val="18"/>
                <w:szCs w:val="18"/>
              </w:rPr>
              <w:t>0</w:t>
            </w:r>
          </w:p>
        </w:tc>
      </w:tr>
    </w:tbl>
    <w:p w14:paraId="15AFE563" w14:textId="0D72FD94" w:rsidR="00713FB0" w:rsidRDefault="00381B2F" w:rsidP="009B641D">
      <w:pPr>
        <w:pStyle w:val="Tablefigurenote"/>
      </w:pPr>
      <w:r w:rsidRPr="006837F3">
        <w:t>Note</w:t>
      </w:r>
      <w:r w:rsidR="009653F0">
        <w:t>s</w:t>
      </w:r>
      <w:r w:rsidRPr="006837F3">
        <w:t>:</w:t>
      </w:r>
      <w:r w:rsidR="00713FB0" w:rsidRPr="00713FB0">
        <w:t xml:space="preserve"> This table corresponds with the graph in Figure </w:t>
      </w:r>
      <w:r w:rsidR="0020727A">
        <w:t>4</w:t>
      </w:r>
      <w:r w:rsidR="00713FB0" w:rsidRPr="00713FB0">
        <w:t>. It is included for purposes of accessibility.</w:t>
      </w:r>
    </w:p>
    <w:p w14:paraId="0C22A7FE" w14:textId="0BF373D8" w:rsidR="00381B2F" w:rsidRDefault="00381B2F" w:rsidP="009B641D">
      <w:pPr>
        <w:pStyle w:val="Tablefigurenote"/>
      </w:pPr>
      <w:r w:rsidRPr="006837F3">
        <w:t>Some age groups have been further aggregated to protect the confidentiality of individuals</w:t>
      </w:r>
      <w:r w:rsidR="004F58D3">
        <w:t>.</w:t>
      </w:r>
    </w:p>
    <w:p w14:paraId="33963820" w14:textId="3FA46878" w:rsidR="00685954" w:rsidRDefault="00847ED0" w:rsidP="005F4292">
      <w:pPr>
        <w:pStyle w:val="Tablefigurenote"/>
        <w:spacing w:line="220" w:lineRule="exact"/>
      </w:pPr>
      <w:proofErr w:type="spellStart"/>
      <w:r>
        <w:t>n.p.</w:t>
      </w:r>
      <w:proofErr w:type="spellEnd"/>
      <w:r>
        <w:t xml:space="preserve"> </w:t>
      </w:r>
      <w:r w:rsidR="00E633CA">
        <w:t xml:space="preserve">refers to </w:t>
      </w:r>
      <w:r w:rsidR="00C35519">
        <w:t>data that is n</w:t>
      </w:r>
      <w:r w:rsidR="005E42BE">
        <w:t>ot published</w:t>
      </w:r>
      <w:r w:rsidR="5E848A55">
        <w:t xml:space="preserve"> due to low numbers</w:t>
      </w:r>
      <w:r w:rsidR="00F64AE9">
        <w:t xml:space="preserve">. </w:t>
      </w:r>
      <w:r w:rsidR="006D4BF7">
        <w:t xml:space="preserve">This is done to protect the </w:t>
      </w:r>
      <w:r w:rsidR="000C5D9C">
        <w:t>confidentiality of individuals.</w:t>
      </w:r>
      <w:r w:rsidR="00A0642D">
        <w:t xml:space="preserve"> </w:t>
      </w:r>
    </w:p>
    <w:p w14:paraId="71B1D8D2" w14:textId="0C609E0B" w:rsidR="000672F8" w:rsidRPr="0070692A" w:rsidRDefault="000672F8" w:rsidP="00E8006B">
      <w:pPr>
        <w:pStyle w:val="Bodyaftertable"/>
        <w:rPr>
          <w:rFonts w:ascii="Segoe UI" w:hAnsi="Segoe UI" w:cs="Segoe UI"/>
          <w:lang w:eastAsia="en-AU"/>
        </w:rPr>
      </w:pPr>
      <w:r w:rsidRPr="0070692A">
        <w:rPr>
          <w:lang w:eastAsia="en-AU"/>
        </w:rPr>
        <w:t>For bodily restraint, most episodes were among the 30 to 39</w:t>
      </w:r>
      <w:r w:rsidR="00233507">
        <w:rPr>
          <w:lang w:eastAsia="en-AU"/>
        </w:rPr>
        <w:t>-</w:t>
      </w:r>
      <w:r w:rsidRPr="0070692A">
        <w:rPr>
          <w:lang w:eastAsia="en-AU"/>
        </w:rPr>
        <w:t>year-old age group</w:t>
      </w:r>
      <w:r w:rsidR="00AE62ED">
        <w:rPr>
          <w:lang w:eastAsia="en-AU"/>
        </w:rPr>
        <w:t xml:space="preserve"> in both sexes</w:t>
      </w:r>
      <w:r w:rsidRPr="0070692A">
        <w:rPr>
          <w:lang w:eastAsia="en-AU"/>
        </w:rPr>
        <w:t xml:space="preserve"> (</w:t>
      </w:r>
      <w:r w:rsidR="00557376">
        <w:rPr>
          <w:lang w:eastAsia="en-AU"/>
        </w:rPr>
        <w:t xml:space="preserve">Figure 5 and </w:t>
      </w:r>
      <w:r w:rsidRPr="00EB3296">
        <w:rPr>
          <w:lang w:eastAsia="en-AU"/>
        </w:rPr>
        <w:t xml:space="preserve">Table </w:t>
      </w:r>
      <w:r w:rsidR="003234E3" w:rsidRPr="00EB3296">
        <w:rPr>
          <w:lang w:eastAsia="en-AU"/>
        </w:rPr>
        <w:t>8</w:t>
      </w:r>
      <w:r w:rsidRPr="00EB3296">
        <w:rPr>
          <w:lang w:eastAsia="en-AU"/>
        </w:rPr>
        <w:t>)</w:t>
      </w:r>
      <w:r w:rsidRPr="00EB3296">
        <w:rPr>
          <w:rFonts w:cs="Arial"/>
          <w:lang w:eastAsia="en-AU"/>
        </w:rPr>
        <w:t>. </w:t>
      </w:r>
    </w:p>
    <w:p w14:paraId="4ED7DE95" w14:textId="67ECDB07" w:rsidR="000672F8" w:rsidRPr="0070692A" w:rsidRDefault="000672F8" w:rsidP="0016469F">
      <w:pPr>
        <w:pStyle w:val="Body"/>
        <w:rPr>
          <w:rFonts w:ascii="Segoe UI" w:hAnsi="Segoe UI" w:cs="Segoe UI"/>
          <w:lang w:eastAsia="en-AU"/>
        </w:rPr>
      </w:pPr>
      <w:r w:rsidRPr="1AA722E5">
        <w:rPr>
          <w:lang w:eastAsia="en-AU"/>
        </w:rPr>
        <w:t xml:space="preserve">There is a difference in bodily restraint episodes between sexes, with </w:t>
      </w:r>
      <w:r w:rsidR="0007729B" w:rsidRPr="1AA722E5">
        <w:rPr>
          <w:lang w:eastAsia="en-AU"/>
        </w:rPr>
        <w:t xml:space="preserve">episodes </w:t>
      </w:r>
      <w:r w:rsidRPr="1AA722E5">
        <w:rPr>
          <w:lang w:eastAsia="en-AU"/>
        </w:rPr>
        <w:t>being more frequent in males, except</w:t>
      </w:r>
      <w:r w:rsidR="00D62ED7" w:rsidRPr="1AA722E5">
        <w:rPr>
          <w:lang w:eastAsia="en-AU"/>
        </w:rPr>
        <w:t xml:space="preserve"> in</w:t>
      </w:r>
      <w:r w:rsidRPr="1AA722E5">
        <w:rPr>
          <w:lang w:eastAsia="en-AU"/>
        </w:rPr>
        <w:t xml:space="preserve"> the </w:t>
      </w:r>
      <w:r w:rsidR="002F50FE">
        <w:rPr>
          <w:lang w:eastAsia="en-AU"/>
        </w:rPr>
        <w:t>13</w:t>
      </w:r>
      <w:r w:rsidRPr="1AA722E5">
        <w:rPr>
          <w:lang w:eastAsia="en-AU"/>
        </w:rPr>
        <w:t xml:space="preserve"> to 17</w:t>
      </w:r>
      <w:r w:rsidR="002F50FE">
        <w:rPr>
          <w:lang w:eastAsia="en-AU"/>
        </w:rPr>
        <w:t xml:space="preserve"> and </w:t>
      </w:r>
      <w:r w:rsidR="00557376">
        <w:rPr>
          <w:lang w:eastAsia="en-AU"/>
        </w:rPr>
        <w:t xml:space="preserve">the </w:t>
      </w:r>
      <w:r w:rsidR="002F50FE">
        <w:rPr>
          <w:lang w:eastAsia="en-AU"/>
        </w:rPr>
        <w:t>60 to 80+-</w:t>
      </w:r>
      <w:r w:rsidRPr="1AA722E5">
        <w:rPr>
          <w:lang w:eastAsia="en-AU"/>
        </w:rPr>
        <w:t>year-old age group</w:t>
      </w:r>
      <w:r w:rsidR="001622D2">
        <w:rPr>
          <w:lang w:eastAsia="en-AU"/>
        </w:rPr>
        <w:t>s</w:t>
      </w:r>
      <w:r w:rsidRPr="1AA722E5">
        <w:rPr>
          <w:lang w:eastAsia="en-AU"/>
        </w:rPr>
        <w:t>, where it was more frequent in females</w:t>
      </w:r>
      <w:r w:rsidR="00254D23" w:rsidRPr="1AA722E5">
        <w:rPr>
          <w:lang w:eastAsia="en-AU"/>
        </w:rPr>
        <w:t xml:space="preserve"> than males</w:t>
      </w:r>
      <w:r w:rsidRPr="1AA722E5">
        <w:rPr>
          <w:lang w:eastAsia="en-AU"/>
        </w:rPr>
        <w:t>.</w:t>
      </w:r>
      <w:r w:rsidR="0070692A" w:rsidRPr="1AA722E5">
        <w:rPr>
          <w:lang w:eastAsia="en-AU"/>
        </w:rPr>
        <w:t xml:space="preserve"> </w:t>
      </w:r>
    </w:p>
    <w:p w14:paraId="0052E98A" w14:textId="4EC86248" w:rsidR="009020C5" w:rsidRDefault="009020C5" w:rsidP="00363C00">
      <w:pPr>
        <w:pStyle w:val="Figurecaption"/>
        <w:rPr>
          <w:rFonts w:eastAsia="Arial"/>
        </w:rPr>
      </w:pPr>
      <w:r w:rsidRPr="1AA722E5">
        <w:rPr>
          <w:rFonts w:eastAsia="Arial"/>
        </w:rPr>
        <w:t xml:space="preserve">Figure 5: Number of bodily restraint episodes in acute inpatient units, by age and sex, </w:t>
      </w:r>
      <w:r w:rsidR="00363C00">
        <w:rPr>
          <w:rFonts w:eastAsia="Arial"/>
        </w:rPr>
        <w:br/>
      </w:r>
      <w:r w:rsidRPr="1AA722E5">
        <w:rPr>
          <w:rFonts w:eastAsia="Arial"/>
        </w:rPr>
        <w:t>2023–24</w:t>
      </w:r>
    </w:p>
    <w:p w14:paraId="72746BBE" w14:textId="7CE2F173" w:rsidR="009020C5" w:rsidRDefault="00244496" w:rsidP="00434B70">
      <w:pPr>
        <w:pStyle w:val="Body"/>
        <w:rPr>
          <w:rFonts w:eastAsia="Arial"/>
        </w:rPr>
      </w:pPr>
      <w:r>
        <w:rPr>
          <w:noProof/>
        </w:rPr>
        <w:drawing>
          <wp:inline distT="0" distB="0" distL="0" distR="0" wp14:anchorId="2955BA25" wp14:editId="2A0ECBB7">
            <wp:extent cx="4572000" cy="2736850"/>
            <wp:effectExtent l="0" t="0" r="0" b="6350"/>
            <wp:docPr id="59666665" name="Chart 1" descr="For a breakdown of the data in this figure, refer to Table 8.">
              <a:extLst xmlns:a="http://schemas.openxmlformats.org/drawingml/2006/main">
                <a:ext uri="{FF2B5EF4-FFF2-40B4-BE49-F238E27FC236}">
                  <a16:creationId xmlns:a16="http://schemas.microsoft.com/office/drawing/2014/main" id="{20E1E677-B500-06D4-75FD-3E92246563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973D028" w14:textId="57687C4B" w:rsidR="00664168" w:rsidRPr="005A1E36" w:rsidRDefault="7991450A" w:rsidP="005A1E36">
      <w:pPr>
        <w:pStyle w:val="Tablecaption"/>
        <w:rPr>
          <w:rFonts w:eastAsia="Arial"/>
        </w:rPr>
      </w:pPr>
      <w:r w:rsidRPr="1AA722E5">
        <w:rPr>
          <w:rFonts w:eastAsia="Arial"/>
        </w:rPr>
        <w:t xml:space="preserve">Table </w:t>
      </w:r>
      <w:r w:rsidR="003234E3" w:rsidRPr="1AA722E5">
        <w:rPr>
          <w:rFonts w:eastAsia="Arial"/>
        </w:rPr>
        <w:t>8</w:t>
      </w:r>
      <w:r w:rsidRPr="1AA722E5">
        <w:rPr>
          <w:rFonts w:eastAsia="Arial"/>
        </w:rPr>
        <w:t xml:space="preserve">: </w:t>
      </w:r>
      <w:r w:rsidR="00EF4AA0" w:rsidRPr="1AA722E5">
        <w:rPr>
          <w:rFonts w:eastAsia="Arial"/>
        </w:rPr>
        <w:t xml:space="preserve">Number of bodily restraint episodes in acute inpatient units, by age and sex, </w:t>
      </w:r>
      <w:r w:rsidR="00D665F6">
        <w:rPr>
          <w:rFonts w:eastAsia="Arial"/>
        </w:rPr>
        <w:br/>
      </w:r>
      <w:r w:rsidR="00EF4AA0" w:rsidRPr="1AA722E5">
        <w:rPr>
          <w:rFonts w:eastAsia="Arial"/>
        </w:rPr>
        <w:t>202</w:t>
      </w:r>
      <w:r w:rsidR="00664168" w:rsidRPr="1AA722E5">
        <w:rPr>
          <w:rFonts w:eastAsia="Arial"/>
        </w:rPr>
        <w:t>3</w:t>
      </w:r>
      <w:r w:rsidR="00EF4AA0" w:rsidRPr="1AA722E5">
        <w:rPr>
          <w:rFonts w:eastAsia="Arial"/>
        </w:rPr>
        <w:t>–2</w:t>
      </w:r>
      <w:r w:rsidR="00664168" w:rsidRPr="1AA722E5">
        <w:rPr>
          <w:rFonts w:eastAsia="Arial"/>
        </w:rPr>
        <w:t>4</w:t>
      </w:r>
    </w:p>
    <w:tbl>
      <w:tblPr>
        <w:tblStyle w:val="TableGrid"/>
        <w:tblW w:w="9356"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01"/>
        <w:gridCol w:w="850"/>
        <w:gridCol w:w="851"/>
        <w:gridCol w:w="850"/>
        <w:gridCol w:w="851"/>
        <w:gridCol w:w="850"/>
        <w:gridCol w:w="851"/>
        <w:gridCol w:w="850"/>
        <w:gridCol w:w="851"/>
        <w:gridCol w:w="851"/>
      </w:tblGrid>
      <w:tr w:rsidR="00E6785F" w14:paraId="6D4E2DD1" w14:textId="77777777" w:rsidTr="00D665F6">
        <w:trPr>
          <w:trHeight w:val="349"/>
          <w:tblHeader/>
        </w:trPr>
        <w:tc>
          <w:tcPr>
            <w:tcW w:w="1701" w:type="dxa"/>
            <w:shd w:val="clear" w:color="auto" w:fill="244C5A"/>
          </w:tcPr>
          <w:p w14:paraId="01B4518A" w14:textId="5C6460FA"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Sex</w:t>
            </w:r>
          </w:p>
        </w:tc>
        <w:tc>
          <w:tcPr>
            <w:tcW w:w="850" w:type="dxa"/>
            <w:tcBorders>
              <w:bottom w:val="single" w:sz="4" w:space="0" w:color="D9D9D9"/>
            </w:tcBorders>
            <w:shd w:val="clear" w:color="auto" w:fill="244C5A"/>
          </w:tcPr>
          <w:p w14:paraId="7DA8BD5F" w14:textId="6BB9F9DD" w:rsidR="00A9123F"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0</w:t>
            </w:r>
            <w:r w:rsidR="00557376">
              <w:rPr>
                <w:rFonts w:ascii="Arial" w:hAnsi="Arial" w:cs="Arial"/>
                <w:color w:val="FFFFFF"/>
                <w:sz w:val="18"/>
                <w:szCs w:val="18"/>
              </w:rPr>
              <w:t>–</w:t>
            </w:r>
            <w:r>
              <w:rPr>
                <w:rFonts w:ascii="Arial" w:hAnsi="Arial" w:cs="Arial"/>
                <w:color w:val="FFFFFF"/>
                <w:sz w:val="18"/>
                <w:szCs w:val="18"/>
              </w:rPr>
              <w:t>12</w:t>
            </w:r>
          </w:p>
        </w:tc>
        <w:tc>
          <w:tcPr>
            <w:tcW w:w="851" w:type="dxa"/>
            <w:tcBorders>
              <w:bottom w:val="single" w:sz="4" w:space="0" w:color="D9D9D9"/>
            </w:tcBorders>
            <w:shd w:val="clear" w:color="auto" w:fill="244C5A"/>
          </w:tcPr>
          <w:p w14:paraId="4D75E617" w14:textId="76E6C5CD"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13</w:t>
            </w:r>
            <w:r w:rsidR="00557376">
              <w:rPr>
                <w:rFonts w:ascii="Arial" w:hAnsi="Arial" w:cs="Arial"/>
                <w:color w:val="FFFFFF"/>
                <w:sz w:val="18"/>
                <w:szCs w:val="18"/>
              </w:rPr>
              <w:t>–</w:t>
            </w:r>
            <w:r>
              <w:rPr>
                <w:rFonts w:ascii="Arial" w:hAnsi="Arial" w:cs="Arial"/>
                <w:color w:val="FFFFFF"/>
                <w:sz w:val="18"/>
                <w:szCs w:val="18"/>
              </w:rPr>
              <w:t>17</w:t>
            </w:r>
          </w:p>
        </w:tc>
        <w:tc>
          <w:tcPr>
            <w:tcW w:w="850" w:type="dxa"/>
            <w:tcBorders>
              <w:bottom w:val="single" w:sz="4" w:space="0" w:color="D9D9D9"/>
            </w:tcBorders>
            <w:shd w:val="clear" w:color="auto" w:fill="244C5A"/>
          </w:tcPr>
          <w:p w14:paraId="3F08E595"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18–29</w:t>
            </w:r>
          </w:p>
        </w:tc>
        <w:tc>
          <w:tcPr>
            <w:tcW w:w="851" w:type="dxa"/>
            <w:tcBorders>
              <w:bottom w:val="single" w:sz="4" w:space="0" w:color="D9D9D9"/>
            </w:tcBorders>
            <w:shd w:val="clear" w:color="auto" w:fill="244C5A"/>
          </w:tcPr>
          <w:p w14:paraId="535C6E2D"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30–39</w:t>
            </w:r>
          </w:p>
        </w:tc>
        <w:tc>
          <w:tcPr>
            <w:tcW w:w="850" w:type="dxa"/>
            <w:tcBorders>
              <w:bottom w:val="single" w:sz="4" w:space="0" w:color="D9D9D9"/>
            </w:tcBorders>
            <w:shd w:val="clear" w:color="auto" w:fill="244C5A"/>
          </w:tcPr>
          <w:p w14:paraId="1BFBA784"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40–49</w:t>
            </w:r>
          </w:p>
        </w:tc>
        <w:tc>
          <w:tcPr>
            <w:tcW w:w="851" w:type="dxa"/>
            <w:tcBorders>
              <w:bottom w:val="single" w:sz="4" w:space="0" w:color="D9D9D9"/>
            </w:tcBorders>
            <w:shd w:val="clear" w:color="auto" w:fill="244C5A"/>
          </w:tcPr>
          <w:p w14:paraId="20562D66"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50–59</w:t>
            </w:r>
          </w:p>
        </w:tc>
        <w:tc>
          <w:tcPr>
            <w:tcW w:w="850" w:type="dxa"/>
            <w:tcBorders>
              <w:bottom w:val="single" w:sz="4" w:space="0" w:color="D9D9D9"/>
            </w:tcBorders>
            <w:shd w:val="clear" w:color="auto" w:fill="244C5A"/>
          </w:tcPr>
          <w:p w14:paraId="25186F9C"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60–69</w:t>
            </w:r>
          </w:p>
        </w:tc>
        <w:tc>
          <w:tcPr>
            <w:tcW w:w="851" w:type="dxa"/>
            <w:tcBorders>
              <w:bottom w:val="single" w:sz="4" w:space="0" w:color="D9D9D9"/>
            </w:tcBorders>
            <w:shd w:val="clear" w:color="auto" w:fill="244C5A"/>
          </w:tcPr>
          <w:p w14:paraId="357E6713"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70–79</w:t>
            </w:r>
          </w:p>
        </w:tc>
        <w:tc>
          <w:tcPr>
            <w:tcW w:w="851" w:type="dxa"/>
            <w:tcBorders>
              <w:bottom w:val="single" w:sz="4" w:space="0" w:color="D9D9D9"/>
            </w:tcBorders>
            <w:shd w:val="clear" w:color="auto" w:fill="244C5A"/>
          </w:tcPr>
          <w:p w14:paraId="4D450E9B" w14:textId="77777777" w:rsidR="00A9123F" w:rsidRPr="007A09B2" w:rsidRDefault="00A9123F" w:rsidP="004110AE">
            <w:pPr>
              <w:pStyle w:val="EmptyLayoutCell"/>
              <w:spacing w:before="60" w:after="60"/>
              <w:rPr>
                <w:rFonts w:ascii="Arial" w:hAnsi="Arial" w:cs="Arial"/>
                <w:color w:val="FFFFFF"/>
                <w:sz w:val="18"/>
                <w:szCs w:val="18"/>
              </w:rPr>
            </w:pPr>
            <w:r>
              <w:rPr>
                <w:rFonts w:ascii="Arial" w:hAnsi="Arial" w:cs="Arial"/>
                <w:color w:val="FFFFFF"/>
                <w:sz w:val="18"/>
                <w:szCs w:val="18"/>
              </w:rPr>
              <w:t>80+</w:t>
            </w:r>
          </w:p>
        </w:tc>
      </w:tr>
      <w:tr w:rsidR="00E6785F" w14:paraId="73B922A4" w14:textId="77777777" w:rsidTr="00A9123F">
        <w:trPr>
          <w:trHeight w:val="366"/>
        </w:trPr>
        <w:tc>
          <w:tcPr>
            <w:tcW w:w="1701" w:type="dxa"/>
          </w:tcPr>
          <w:p w14:paraId="6B409F23"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Female</w:t>
            </w:r>
          </w:p>
        </w:tc>
        <w:tc>
          <w:tcPr>
            <w:tcW w:w="850" w:type="dxa"/>
            <w:tcBorders>
              <w:top w:val="single" w:sz="4" w:space="0" w:color="D9D9D9"/>
              <w:left w:val="nil"/>
              <w:bottom w:val="single" w:sz="4" w:space="0" w:color="D9D9D9"/>
              <w:right w:val="single" w:sz="4" w:space="0" w:color="D9D9D9"/>
            </w:tcBorders>
            <w:shd w:val="clear" w:color="auto" w:fill="auto"/>
            <w:vAlign w:val="bottom"/>
          </w:tcPr>
          <w:p w14:paraId="2925F76E"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5</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091F83A"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272</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AEC8490"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528</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EA66AB2"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335</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157F52C"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290</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6656FE7"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255</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C82BF5E"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191</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EF459CD"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130</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7F2619CF"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27</w:t>
            </w:r>
          </w:p>
        </w:tc>
      </w:tr>
      <w:tr w:rsidR="00E6785F" w14:paraId="7C6C6F9D" w14:textId="77777777" w:rsidTr="00A9123F">
        <w:trPr>
          <w:trHeight w:val="349"/>
        </w:trPr>
        <w:tc>
          <w:tcPr>
            <w:tcW w:w="1701" w:type="dxa"/>
          </w:tcPr>
          <w:p w14:paraId="2072E4F1" w14:textId="77777777" w:rsidR="00A9123F" w:rsidRPr="007A09B2" w:rsidRDefault="00A9123F" w:rsidP="004110AE">
            <w:pPr>
              <w:pStyle w:val="EmptyLayoutCell"/>
              <w:spacing w:before="60" w:after="60"/>
              <w:rPr>
                <w:rFonts w:ascii="Arial" w:hAnsi="Arial" w:cs="Arial"/>
                <w:sz w:val="18"/>
                <w:szCs w:val="18"/>
              </w:rPr>
            </w:pPr>
            <w:r>
              <w:rPr>
                <w:rFonts w:ascii="Arial" w:hAnsi="Arial" w:cs="Arial"/>
                <w:sz w:val="18"/>
                <w:szCs w:val="18"/>
              </w:rPr>
              <w:t>Male</w:t>
            </w:r>
          </w:p>
        </w:tc>
        <w:tc>
          <w:tcPr>
            <w:tcW w:w="850" w:type="dxa"/>
            <w:tcBorders>
              <w:top w:val="single" w:sz="4" w:space="0" w:color="D9D9D9"/>
              <w:left w:val="nil"/>
              <w:bottom w:val="single" w:sz="4" w:space="0" w:color="D9D9D9"/>
              <w:right w:val="single" w:sz="4" w:space="0" w:color="D9D9D9"/>
            </w:tcBorders>
            <w:shd w:val="clear" w:color="auto" w:fill="auto"/>
            <w:vAlign w:val="bottom"/>
          </w:tcPr>
          <w:p w14:paraId="72C5B2A9"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15</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563F7AE"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123</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7219279"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642</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DFCF1A4"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2,418</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BCEF792"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541</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DFC7175"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293</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899720A"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72</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1B8CFFC"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88</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A0FD507" w14:textId="77777777" w:rsidR="00A9123F" w:rsidRDefault="00A9123F" w:rsidP="004110AE">
            <w:pPr>
              <w:pStyle w:val="EmptyLayoutCell"/>
              <w:spacing w:before="60" w:after="60"/>
              <w:rPr>
                <w:rFonts w:ascii="Arial" w:hAnsi="Arial" w:cs="Arial"/>
                <w:sz w:val="18"/>
                <w:szCs w:val="18"/>
              </w:rPr>
            </w:pPr>
            <w:r>
              <w:rPr>
                <w:rFonts w:ascii="Arial" w:hAnsi="Arial" w:cs="Arial"/>
                <w:color w:val="000000"/>
                <w:sz w:val="18"/>
                <w:szCs w:val="18"/>
              </w:rPr>
              <w:t>20</w:t>
            </w:r>
          </w:p>
        </w:tc>
      </w:tr>
      <w:tr w:rsidR="00E6785F" w14:paraId="74DC4435" w14:textId="77777777" w:rsidTr="00A9123F">
        <w:trPr>
          <w:trHeight w:val="366"/>
        </w:trPr>
        <w:tc>
          <w:tcPr>
            <w:tcW w:w="1701" w:type="dxa"/>
          </w:tcPr>
          <w:p w14:paraId="6702E6D3"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Other or unknown</w:t>
            </w:r>
          </w:p>
        </w:tc>
        <w:tc>
          <w:tcPr>
            <w:tcW w:w="850" w:type="dxa"/>
            <w:tcBorders>
              <w:top w:val="single" w:sz="4" w:space="0" w:color="D9D9D9"/>
              <w:left w:val="nil"/>
              <w:bottom w:val="single" w:sz="4" w:space="0" w:color="D9D9D9"/>
              <w:right w:val="single" w:sz="4" w:space="0" w:color="D9D9D9"/>
            </w:tcBorders>
            <w:shd w:val="clear" w:color="auto" w:fill="auto"/>
            <w:vAlign w:val="bottom"/>
          </w:tcPr>
          <w:p w14:paraId="755E122D" w14:textId="77777777" w:rsidR="00A9123F" w:rsidRPr="00977560" w:rsidRDefault="00A9123F" w:rsidP="004110AE">
            <w:pPr>
              <w:pStyle w:val="EmptyLayoutCell"/>
              <w:spacing w:before="60" w:after="60"/>
              <w:rPr>
                <w:rFonts w:ascii="Arial" w:hAnsi="Arial" w:cs="Arial"/>
                <w:sz w:val="18"/>
                <w:szCs w:val="18"/>
              </w:rPr>
            </w:pPr>
            <w:r>
              <w:rPr>
                <w:rFonts w:ascii="Arial" w:hAnsi="Arial" w:cs="Arial"/>
                <w:sz w:val="18"/>
                <w:szCs w:val="18"/>
              </w:rPr>
              <w:t>0</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4EC4D45" w14:textId="77777777" w:rsidR="00A9123F" w:rsidRPr="00977560" w:rsidRDefault="00A9123F" w:rsidP="004110AE">
            <w:pPr>
              <w:pStyle w:val="EmptyLayoutCell"/>
              <w:spacing w:before="60" w:after="60"/>
              <w:rPr>
                <w:rFonts w:ascii="Arial" w:hAnsi="Arial" w:cs="Arial"/>
                <w:sz w:val="18"/>
                <w:szCs w:val="18"/>
              </w:rPr>
            </w:pPr>
            <w:proofErr w:type="spellStart"/>
            <w:r>
              <w:rPr>
                <w:rFonts w:ascii="Arial" w:hAnsi="Arial" w:cs="Arial"/>
                <w:sz w:val="18"/>
                <w:szCs w:val="18"/>
              </w:rPr>
              <w:t>n.p.</w:t>
            </w:r>
            <w:proofErr w:type="spellEnd"/>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85D32E5" w14:textId="77777777" w:rsidR="00A9123F" w:rsidRDefault="00A9123F" w:rsidP="004110AE">
            <w:pPr>
              <w:pStyle w:val="EmptyLayoutCell"/>
              <w:spacing w:before="60" w:after="60"/>
              <w:rPr>
                <w:rFonts w:ascii="Arial" w:hAnsi="Arial" w:cs="Arial"/>
                <w:sz w:val="18"/>
                <w:szCs w:val="18"/>
              </w:rPr>
            </w:pPr>
            <w:proofErr w:type="spellStart"/>
            <w:r>
              <w:rPr>
                <w:rFonts w:ascii="Arial" w:hAnsi="Arial" w:cs="Arial"/>
                <w:sz w:val="18"/>
                <w:szCs w:val="18"/>
              </w:rPr>
              <w:t>n.p.</w:t>
            </w:r>
            <w:proofErr w:type="spellEnd"/>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A766B6F"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0</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C045EEA"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0</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EB9E577"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0</w:t>
            </w:r>
          </w:p>
        </w:tc>
        <w:tc>
          <w:tcPr>
            <w:tcW w:w="85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CA4D162"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0</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A017D8F"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0</w:t>
            </w:r>
          </w:p>
        </w:tc>
        <w:tc>
          <w:tcPr>
            <w:tcW w:w="851"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63AB26F" w14:textId="77777777" w:rsidR="00A9123F" w:rsidRDefault="00A9123F" w:rsidP="004110AE">
            <w:pPr>
              <w:pStyle w:val="EmptyLayoutCell"/>
              <w:spacing w:before="60" w:after="60"/>
              <w:rPr>
                <w:rFonts w:ascii="Arial" w:hAnsi="Arial" w:cs="Arial"/>
                <w:sz w:val="18"/>
                <w:szCs w:val="18"/>
              </w:rPr>
            </w:pPr>
            <w:r>
              <w:rPr>
                <w:rFonts w:ascii="Arial" w:hAnsi="Arial" w:cs="Arial"/>
                <w:sz w:val="18"/>
                <w:szCs w:val="18"/>
              </w:rPr>
              <w:t>0</w:t>
            </w:r>
          </w:p>
        </w:tc>
      </w:tr>
    </w:tbl>
    <w:p w14:paraId="5390EA5D" w14:textId="2C357548" w:rsidR="0020727A" w:rsidRDefault="00381B2F" w:rsidP="00643556">
      <w:pPr>
        <w:pStyle w:val="Tablefigurenote"/>
      </w:pPr>
      <w:r w:rsidRPr="006837F3">
        <w:t>Note</w:t>
      </w:r>
      <w:r w:rsidR="0020727A">
        <w:t>s</w:t>
      </w:r>
      <w:r w:rsidRPr="006837F3">
        <w:t xml:space="preserve">: </w:t>
      </w:r>
      <w:r w:rsidR="0020727A" w:rsidRPr="0020727A">
        <w:t xml:space="preserve">This table corresponds with the graph in Figure </w:t>
      </w:r>
      <w:r w:rsidR="0020727A">
        <w:t>5</w:t>
      </w:r>
      <w:r w:rsidR="0020727A" w:rsidRPr="0020727A">
        <w:t>. It is included for purposes of accessibility.</w:t>
      </w:r>
    </w:p>
    <w:p w14:paraId="1A35FCFF" w14:textId="5ABB03E2" w:rsidR="00381B2F" w:rsidRPr="006837F3" w:rsidRDefault="00381B2F" w:rsidP="00643556">
      <w:pPr>
        <w:pStyle w:val="Tablefigurenote"/>
      </w:pPr>
      <w:r w:rsidRPr="006837F3">
        <w:t>Some age groups have been further aggregated to protect the confidentiality of individuals</w:t>
      </w:r>
      <w:r w:rsidR="002B3FE7">
        <w:t>.</w:t>
      </w:r>
    </w:p>
    <w:p w14:paraId="06BCBCEC" w14:textId="4387F59A" w:rsidR="00D33CC0" w:rsidRPr="003C7DB7" w:rsidRDefault="003C7DB7" w:rsidP="003C7DB7">
      <w:pPr>
        <w:pStyle w:val="Heading3"/>
      </w:pPr>
      <w:bookmarkStart w:id="39" w:name="_Hlk53059398"/>
      <w:r w:rsidRPr="003C7DB7">
        <w:t xml:space="preserve">Acute inpatient units – </w:t>
      </w:r>
      <w:r w:rsidR="009C5265">
        <w:t>r</w:t>
      </w:r>
      <w:r w:rsidR="16FD3154" w:rsidRPr="003C7DB7">
        <w:t xml:space="preserve">ates of </w:t>
      </w:r>
      <w:r w:rsidRPr="003C7DB7">
        <w:t>s</w:t>
      </w:r>
      <w:r w:rsidR="008E5041" w:rsidRPr="003C7DB7">
        <w:t>eclusion</w:t>
      </w:r>
    </w:p>
    <w:p w14:paraId="7EFD253B" w14:textId="4319721B" w:rsidR="00381B2F" w:rsidRDefault="7B559EC4" w:rsidP="00434B70">
      <w:pPr>
        <w:pStyle w:val="Body"/>
      </w:pPr>
      <w:r>
        <w:t xml:space="preserve">Figure 6 and </w:t>
      </w:r>
      <w:r w:rsidR="00381B2F">
        <w:t xml:space="preserve">Table </w:t>
      </w:r>
      <w:r w:rsidR="00D013CA">
        <w:t>9</w:t>
      </w:r>
      <w:r w:rsidR="00381B2F">
        <w:t xml:space="preserve"> </w:t>
      </w:r>
      <w:r w:rsidR="64B5736B">
        <w:t>present</w:t>
      </w:r>
      <w:r w:rsidR="00381B2F">
        <w:t xml:space="preserve"> the numbers of episodes of seclusion </w:t>
      </w:r>
      <w:r w:rsidR="11A93D36">
        <w:t>per</w:t>
      </w:r>
      <w:r w:rsidR="00381B2F">
        <w:t xml:space="preserve"> 1,000 occupied bed days. Rates have fallen in adult </w:t>
      </w:r>
      <w:r w:rsidR="6B350A8C">
        <w:t>wards</w:t>
      </w:r>
      <w:r w:rsidR="00381B2F">
        <w:t xml:space="preserve"> over the past </w:t>
      </w:r>
      <w:r w:rsidR="00AD12EC">
        <w:t xml:space="preserve">5 </w:t>
      </w:r>
      <w:r w:rsidR="00381B2F">
        <w:t xml:space="preserve">years and remain low in services for older people. </w:t>
      </w:r>
      <w:r w:rsidR="009E6C07">
        <w:t>The rate</w:t>
      </w:r>
      <w:r w:rsidR="00381B2F">
        <w:t xml:space="preserve"> </w:t>
      </w:r>
      <w:r w:rsidR="00576006">
        <w:t xml:space="preserve">in </w:t>
      </w:r>
      <w:r w:rsidR="729BAE84">
        <w:t xml:space="preserve">child and adolescent units </w:t>
      </w:r>
      <w:r w:rsidR="00012CDB">
        <w:t xml:space="preserve">has </w:t>
      </w:r>
      <w:r w:rsidR="00C833BD">
        <w:t>decreased</w:t>
      </w:r>
      <w:r w:rsidR="005F684E">
        <w:t xml:space="preserve">, with a </w:t>
      </w:r>
      <w:r w:rsidR="6574131D">
        <w:t>small number of</w:t>
      </w:r>
      <w:r w:rsidR="00381B2F">
        <w:t xml:space="preserve"> </w:t>
      </w:r>
      <w:r w:rsidR="19EF4CBA">
        <w:t xml:space="preserve">young </w:t>
      </w:r>
      <w:r w:rsidR="00C84A05">
        <w:t xml:space="preserve">people </w:t>
      </w:r>
      <w:r w:rsidR="00381B2F">
        <w:t>with complex combinations of mental illness and intellectual or developmental disability</w:t>
      </w:r>
      <w:r w:rsidR="00F516AD">
        <w:t xml:space="preserve"> </w:t>
      </w:r>
      <w:r w:rsidR="005F684E">
        <w:t>being</w:t>
      </w:r>
      <w:r w:rsidR="00F516AD">
        <w:t xml:space="preserve"> represented in these figures</w:t>
      </w:r>
      <w:r w:rsidR="00381B2F">
        <w:t xml:space="preserve">. </w:t>
      </w:r>
      <w:r w:rsidR="6782074A">
        <w:t xml:space="preserve">The OCP assists services </w:t>
      </w:r>
      <w:r w:rsidR="34485D58">
        <w:t xml:space="preserve">to escalate </w:t>
      </w:r>
      <w:r w:rsidR="6782074A">
        <w:t>coordinat</w:t>
      </w:r>
      <w:r w:rsidR="126B7ED1">
        <w:t>ion of</w:t>
      </w:r>
      <w:r w:rsidR="6782074A">
        <w:t xml:space="preserve"> care of these </w:t>
      </w:r>
      <w:r w:rsidR="6782074A">
        <w:lastRenderedPageBreak/>
        <w:t>young peopl</w:t>
      </w:r>
      <w:r w:rsidR="42BEB2B2">
        <w:t>e through multiagency collaboration</w:t>
      </w:r>
      <w:r w:rsidR="000759ED">
        <w:t>,</w:t>
      </w:r>
      <w:r w:rsidR="42BEB2B2">
        <w:t xml:space="preserve"> including with </w:t>
      </w:r>
      <w:r w:rsidR="437DB8C9">
        <w:t xml:space="preserve">the Department of Fairness, Families and Housing and </w:t>
      </w:r>
      <w:r w:rsidR="00557376">
        <w:t xml:space="preserve">the </w:t>
      </w:r>
      <w:r w:rsidR="00557376" w:rsidRPr="00557376">
        <w:t>National Disability Insurance Agency</w:t>
      </w:r>
      <w:r w:rsidR="5BB1D9E6">
        <w:t>.</w:t>
      </w:r>
    </w:p>
    <w:p w14:paraId="41174A13" w14:textId="146CCD1E" w:rsidR="00542FDC" w:rsidRDefault="00542FDC" w:rsidP="00434B70">
      <w:pPr>
        <w:pStyle w:val="Body"/>
      </w:pPr>
      <w:proofErr w:type="spellStart"/>
      <w:r>
        <w:t>Forensicare</w:t>
      </w:r>
      <w:proofErr w:type="spellEnd"/>
      <w:r>
        <w:t xml:space="preserve"> has undertaken </w:t>
      </w:r>
      <w:r w:rsidR="00F26F7C">
        <w:t xml:space="preserve">extensive quality improvement activities </w:t>
      </w:r>
      <w:r w:rsidR="35B97FC7">
        <w:t>around</w:t>
      </w:r>
      <w:r w:rsidR="00F26F7C">
        <w:t xml:space="preserve"> restrictive </w:t>
      </w:r>
      <w:r w:rsidR="00270126">
        <w:t>practices,</w:t>
      </w:r>
      <w:r w:rsidR="00F26F7C">
        <w:t xml:space="preserve"> and</w:t>
      </w:r>
      <w:r w:rsidR="00900F83">
        <w:t xml:space="preserve"> it is pleasing to </w:t>
      </w:r>
      <w:r w:rsidR="003A0393">
        <w:t>see the</w:t>
      </w:r>
      <w:r w:rsidR="00900F83">
        <w:t xml:space="preserve"> improvement in their figures over </w:t>
      </w:r>
      <w:r w:rsidR="278F9737">
        <w:t>recent</w:t>
      </w:r>
      <w:r w:rsidR="00900F83">
        <w:t xml:space="preserve"> year</w:t>
      </w:r>
      <w:r w:rsidR="559F6C15">
        <w:t>s</w:t>
      </w:r>
      <w:r w:rsidR="008C3E35">
        <w:t xml:space="preserve"> (Table 9)</w:t>
      </w:r>
      <w:r w:rsidR="00900F83">
        <w:t>.</w:t>
      </w:r>
    </w:p>
    <w:bookmarkEnd w:id="39"/>
    <w:p w14:paraId="0B34F9E5" w14:textId="257D7B58" w:rsidR="00B72FC2" w:rsidRDefault="001D54C7" w:rsidP="00D665F6">
      <w:pPr>
        <w:pStyle w:val="Figurecaption"/>
        <w:rPr>
          <w:rFonts w:eastAsia="Arial"/>
        </w:rPr>
      </w:pPr>
      <w:r w:rsidRPr="1AA722E5">
        <w:rPr>
          <w:rFonts w:eastAsia="Arial"/>
        </w:rPr>
        <w:t>Figure</w:t>
      </w:r>
      <w:r w:rsidR="00B72FC2" w:rsidRPr="1AA722E5">
        <w:rPr>
          <w:rFonts w:eastAsia="Arial"/>
        </w:rPr>
        <w:t xml:space="preserve"> </w:t>
      </w:r>
      <w:r w:rsidRPr="1AA722E5">
        <w:rPr>
          <w:rFonts w:eastAsia="Arial"/>
        </w:rPr>
        <w:t>6</w:t>
      </w:r>
      <w:r w:rsidR="00B72FC2" w:rsidRPr="1AA722E5">
        <w:rPr>
          <w:rFonts w:eastAsia="Arial"/>
        </w:rPr>
        <w:t>: Rate of seclusion episodes per 1,000 occupied bed days, by type of acute inpatient unit, 2019–20 to 2023–24</w:t>
      </w:r>
    </w:p>
    <w:p w14:paraId="70417CF5" w14:textId="709181A1" w:rsidR="00B72FC2" w:rsidRDefault="00DD53A4" w:rsidP="00434B70">
      <w:pPr>
        <w:pStyle w:val="Body"/>
        <w:rPr>
          <w:rFonts w:eastAsia="Arial"/>
        </w:rPr>
      </w:pPr>
      <w:r>
        <w:rPr>
          <w:noProof/>
        </w:rPr>
        <w:drawing>
          <wp:inline distT="0" distB="0" distL="0" distR="0" wp14:anchorId="1926E8A3" wp14:editId="20F36511">
            <wp:extent cx="4297680" cy="2400300"/>
            <wp:effectExtent l="0" t="0" r="7620" b="0"/>
            <wp:docPr id="1853387212" name="Chart 1" descr="For a breakdown of the data in this figure, refer to Table 9.">
              <a:extLst xmlns:a="http://schemas.openxmlformats.org/drawingml/2006/main">
                <a:ext uri="{FF2B5EF4-FFF2-40B4-BE49-F238E27FC236}">
                  <a16:creationId xmlns:a16="http://schemas.microsoft.com/office/drawing/2014/main" id="{F28809A4-3B3B-3090-64F5-14B001ABA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DF0AE3" w14:textId="154949D6" w:rsidR="005F5A2E" w:rsidRPr="00D659DF" w:rsidRDefault="00381B2F" w:rsidP="1AA722E5">
      <w:pPr>
        <w:pStyle w:val="Tablecaption"/>
        <w:rPr>
          <w:rFonts w:eastAsia="Arial"/>
        </w:rPr>
      </w:pPr>
      <w:r w:rsidRPr="1AA722E5">
        <w:rPr>
          <w:rFonts w:eastAsia="Arial"/>
        </w:rPr>
        <w:t>Table</w:t>
      </w:r>
      <w:r w:rsidR="772B6F65" w:rsidRPr="1AA722E5">
        <w:rPr>
          <w:rFonts w:eastAsia="Arial"/>
        </w:rPr>
        <w:t xml:space="preserve"> </w:t>
      </w:r>
      <w:r w:rsidR="00D013CA" w:rsidRPr="1AA722E5">
        <w:rPr>
          <w:rFonts w:eastAsia="Arial"/>
        </w:rPr>
        <w:t>9</w:t>
      </w:r>
      <w:r w:rsidRPr="1AA722E5">
        <w:rPr>
          <w:rFonts w:eastAsia="Arial"/>
        </w:rPr>
        <w:t xml:space="preserve">: </w:t>
      </w:r>
      <w:r w:rsidR="00F6067B" w:rsidRPr="1AA722E5">
        <w:rPr>
          <w:rFonts w:eastAsia="Arial"/>
        </w:rPr>
        <w:t>Rate of seclusion episodes per 1,000 occupied bed days, by type of acute inpatient unit</w:t>
      </w:r>
      <w:r w:rsidRPr="1AA722E5">
        <w:rPr>
          <w:rFonts w:eastAsia="Arial"/>
        </w:rPr>
        <w:t>,</w:t>
      </w:r>
      <w:r w:rsidR="00526AF1" w:rsidRPr="1AA722E5">
        <w:rPr>
          <w:rFonts w:eastAsia="Arial"/>
        </w:rPr>
        <w:t xml:space="preserve"> </w:t>
      </w:r>
      <w:r w:rsidRPr="1AA722E5">
        <w:rPr>
          <w:rFonts w:eastAsia="Arial"/>
        </w:rPr>
        <w:t>201</w:t>
      </w:r>
      <w:r w:rsidR="005F5A2E" w:rsidRPr="1AA722E5">
        <w:rPr>
          <w:rFonts w:eastAsia="Arial"/>
        </w:rPr>
        <w:t>9</w:t>
      </w:r>
      <w:r w:rsidRPr="1AA722E5">
        <w:rPr>
          <w:rFonts w:eastAsia="Arial"/>
        </w:rPr>
        <w:t>–</w:t>
      </w:r>
      <w:r w:rsidR="005F5A2E" w:rsidRPr="1AA722E5">
        <w:rPr>
          <w:rFonts w:eastAsia="Arial"/>
        </w:rPr>
        <w:t>20</w:t>
      </w:r>
      <w:r w:rsidRPr="1AA722E5">
        <w:rPr>
          <w:rFonts w:eastAsia="Arial"/>
        </w:rPr>
        <w:t xml:space="preserve"> to </w:t>
      </w:r>
      <w:r w:rsidR="007B2175" w:rsidRPr="1AA722E5">
        <w:rPr>
          <w:rFonts w:eastAsia="Arial"/>
        </w:rPr>
        <w:t>202</w:t>
      </w:r>
      <w:r w:rsidR="005F5A2E" w:rsidRPr="1AA722E5">
        <w:rPr>
          <w:rFonts w:eastAsia="Arial"/>
        </w:rPr>
        <w:t>3</w:t>
      </w:r>
      <w:r w:rsidR="007B2175" w:rsidRPr="1AA722E5">
        <w:rPr>
          <w:rFonts w:eastAsia="Arial"/>
        </w:rPr>
        <w:t>–2</w:t>
      </w:r>
      <w:r w:rsidR="005F5A2E" w:rsidRPr="1AA722E5">
        <w:rPr>
          <w:rFonts w:eastAsia="Arial"/>
        </w:rPr>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127"/>
        <w:gridCol w:w="1417"/>
        <w:gridCol w:w="1417"/>
        <w:gridCol w:w="1418"/>
        <w:gridCol w:w="1417"/>
        <w:gridCol w:w="1418"/>
      </w:tblGrid>
      <w:tr w:rsidR="00C87704" w14:paraId="11093D08" w14:textId="77777777" w:rsidTr="00D665F6">
        <w:trPr>
          <w:tblHeader/>
        </w:trPr>
        <w:tc>
          <w:tcPr>
            <w:tcW w:w="2127" w:type="dxa"/>
            <w:shd w:val="clear" w:color="auto" w:fill="244C5A"/>
          </w:tcPr>
          <w:p w14:paraId="1CD46C45" w14:textId="5D405D08" w:rsidR="008230FE" w:rsidRPr="009E1217" w:rsidRDefault="008230FE" w:rsidP="004110AE">
            <w:pPr>
              <w:pStyle w:val="EmptyLayoutCell"/>
              <w:spacing w:before="60" w:after="60"/>
              <w:rPr>
                <w:rFonts w:ascii="Arial" w:hAnsi="Arial" w:cs="Arial"/>
                <w:color w:val="FFFFFF"/>
                <w:sz w:val="18"/>
                <w:szCs w:val="18"/>
              </w:rPr>
            </w:pPr>
            <w:r>
              <w:rPr>
                <w:rFonts w:ascii="Arial" w:hAnsi="Arial" w:cs="Arial"/>
                <w:color w:val="FFFFFF"/>
                <w:sz w:val="18"/>
                <w:szCs w:val="18"/>
              </w:rPr>
              <w:t xml:space="preserve">Type of </w:t>
            </w:r>
            <w:r w:rsidR="00620C3A">
              <w:rPr>
                <w:rFonts w:ascii="Arial" w:hAnsi="Arial" w:cs="Arial"/>
                <w:color w:val="FFFFFF"/>
                <w:sz w:val="18"/>
                <w:szCs w:val="18"/>
              </w:rPr>
              <w:t>unit</w:t>
            </w:r>
          </w:p>
        </w:tc>
        <w:tc>
          <w:tcPr>
            <w:tcW w:w="1417" w:type="dxa"/>
            <w:shd w:val="clear" w:color="auto" w:fill="244C5A"/>
          </w:tcPr>
          <w:p w14:paraId="6AEB185C" w14:textId="77777777" w:rsidR="008230FE" w:rsidRPr="009E1217" w:rsidRDefault="008230FE"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417" w:type="dxa"/>
            <w:shd w:val="clear" w:color="auto" w:fill="244C5A"/>
          </w:tcPr>
          <w:p w14:paraId="58127D81" w14:textId="77777777" w:rsidR="008230FE" w:rsidRPr="009E1217" w:rsidRDefault="008230FE"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418" w:type="dxa"/>
            <w:shd w:val="clear" w:color="auto" w:fill="244C5A"/>
          </w:tcPr>
          <w:p w14:paraId="58658FE9" w14:textId="77777777" w:rsidR="008230FE" w:rsidRPr="009E1217" w:rsidRDefault="008230FE"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417" w:type="dxa"/>
            <w:shd w:val="clear" w:color="auto" w:fill="244C5A"/>
          </w:tcPr>
          <w:p w14:paraId="4B4EB383" w14:textId="77777777" w:rsidR="008230FE" w:rsidRPr="009E1217" w:rsidRDefault="008230FE"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418" w:type="dxa"/>
            <w:shd w:val="clear" w:color="auto" w:fill="244C5A"/>
          </w:tcPr>
          <w:p w14:paraId="25498893" w14:textId="77777777" w:rsidR="008230FE" w:rsidRPr="009E1217" w:rsidRDefault="008230FE"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7015D371" w14:textId="77777777" w:rsidTr="008230FE">
        <w:tc>
          <w:tcPr>
            <w:tcW w:w="2127" w:type="dxa"/>
          </w:tcPr>
          <w:p w14:paraId="2A771647" w14:textId="77777777" w:rsidR="008230FE" w:rsidRDefault="008230FE" w:rsidP="004110AE">
            <w:pPr>
              <w:pStyle w:val="EmptyLayoutCell"/>
              <w:spacing w:before="60" w:after="60"/>
              <w:rPr>
                <w:rFonts w:ascii="Arial" w:hAnsi="Arial" w:cs="Arial"/>
                <w:sz w:val="18"/>
                <w:szCs w:val="18"/>
              </w:rPr>
            </w:pPr>
            <w:r>
              <w:rPr>
                <w:rFonts w:ascii="Arial" w:hAnsi="Arial" w:cs="Arial"/>
                <w:sz w:val="18"/>
                <w:szCs w:val="18"/>
              </w:rPr>
              <w:t>Adult</w:t>
            </w:r>
          </w:p>
        </w:tc>
        <w:tc>
          <w:tcPr>
            <w:tcW w:w="1417" w:type="dxa"/>
          </w:tcPr>
          <w:p w14:paraId="191708C3"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10.0</w:t>
            </w:r>
          </w:p>
        </w:tc>
        <w:tc>
          <w:tcPr>
            <w:tcW w:w="1417" w:type="dxa"/>
          </w:tcPr>
          <w:p w14:paraId="23B7EB2C"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9.5</w:t>
            </w:r>
          </w:p>
        </w:tc>
        <w:tc>
          <w:tcPr>
            <w:tcW w:w="1418" w:type="dxa"/>
          </w:tcPr>
          <w:p w14:paraId="61C5B1A7"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8.5</w:t>
            </w:r>
          </w:p>
        </w:tc>
        <w:tc>
          <w:tcPr>
            <w:tcW w:w="1417" w:type="dxa"/>
          </w:tcPr>
          <w:p w14:paraId="783D361F"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8.0</w:t>
            </w:r>
          </w:p>
        </w:tc>
        <w:tc>
          <w:tcPr>
            <w:tcW w:w="1418" w:type="dxa"/>
          </w:tcPr>
          <w:p w14:paraId="5F523706"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6.5</w:t>
            </w:r>
          </w:p>
        </w:tc>
      </w:tr>
      <w:tr w:rsidR="00C74E2D" w14:paraId="74CCEB65" w14:textId="77777777" w:rsidTr="008230FE">
        <w:tc>
          <w:tcPr>
            <w:tcW w:w="2127" w:type="dxa"/>
          </w:tcPr>
          <w:p w14:paraId="105D9655" w14:textId="77777777" w:rsidR="008230FE" w:rsidRPr="007A09B2" w:rsidRDefault="008230FE" w:rsidP="004110AE">
            <w:pPr>
              <w:pStyle w:val="EmptyLayoutCell"/>
              <w:spacing w:before="60" w:after="60"/>
              <w:rPr>
                <w:rFonts w:ascii="Arial" w:hAnsi="Arial" w:cs="Arial"/>
                <w:sz w:val="18"/>
                <w:szCs w:val="18"/>
              </w:rPr>
            </w:pPr>
            <w:r>
              <w:rPr>
                <w:rFonts w:ascii="Arial" w:hAnsi="Arial" w:cs="Arial"/>
                <w:sz w:val="18"/>
                <w:szCs w:val="18"/>
              </w:rPr>
              <w:t>Older persons</w:t>
            </w:r>
          </w:p>
        </w:tc>
        <w:tc>
          <w:tcPr>
            <w:tcW w:w="1417" w:type="dxa"/>
          </w:tcPr>
          <w:p w14:paraId="1502ECCD"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0.6</w:t>
            </w:r>
          </w:p>
        </w:tc>
        <w:tc>
          <w:tcPr>
            <w:tcW w:w="1417" w:type="dxa"/>
          </w:tcPr>
          <w:p w14:paraId="2C434339"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0.6</w:t>
            </w:r>
          </w:p>
        </w:tc>
        <w:tc>
          <w:tcPr>
            <w:tcW w:w="1418" w:type="dxa"/>
          </w:tcPr>
          <w:p w14:paraId="2B76B7E0"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0.2</w:t>
            </w:r>
          </w:p>
        </w:tc>
        <w:tc>
          <w:tcPr>
            <w:tcW w:w="1417" w:type="dxa"/>
          </w:tcPr>
          <w:p w14:paraId="0478E1DF"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0.4</w:t>
            </w:r>
          </w:p>
        </w:tc>
        <w:tc>
          <w:tcPr>
            <w:tcW w:w="1418" w:type="dxa"/>
          </w:tcPr>
          <w:p w14:paraId="2C7DE528" w14:textId="77777777" w:rsidR="008230FE" w:rsidRDefault="008230FE"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0.7</w:t>
            </w:r>
          </w:p>
        </w:tc>
      </w:tr>
      <w:tr w:rsidR="00C74E2D" w14:paraId="59F65C9F" w14:textId="77777777" w:rsidTr="008230FE">
        <w:tc>
          <w:tcPr>
            <w:tcW w:w="2127" w:type="dxa"/>
          </w:tcPr>
          <w:p w14:paraId="746F86E9" w14:textId="77777777" w:rsidR="008230FE" w:rsidRDefault="008230FE" w:rsidP="004110AE">
            <w:pPr>
              <w:pStyle w:val="EmptyLayoutCell"/>
              <w:spacing w:before="60" w:after="60"/>
              <w:rPr>
                <w:rFonts w:ascii="Arial" w:hAnsi="Arial" w:cs="Arial"/>
                <w:sz w:val="18"/>
                <w:szCs w:val="18"/>
              </w:rPr>
            </w:pPr>
            <w:r>
              <w:rPr>
                <w:rFonts w:ascii="Arial" w:hAnsi="Arial" w:cs="Arial"/>
                <w:sz w:val="18"/>
                <w:szCs w:val="18"/>
              </w:rPr>
              <w:t>Child and adolescent</w:t>
            </w:r>
          </w:p>
        </w:tc>
        <w:tc>
          <w:tcPr>
            <w:tcW w:w="1417" w:type="dxa"/>
          </w:tcPr>
          <w:p w14:paraId="5396112A"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14.6</w:t>
            </w:r>
          </w:p>
        </w:tc>
        <w:tc>
          <w:tcPr>
            <w:tcW w:w="1417" w:type="dxa"/>
          </w:tcPr>
          <w:p w14:paraId="3F1D5E63"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10.7</w:t>
            </w:r>
          </w:p>
        </w:tc>
        <w:tc>
          <w:tcPr>
            <w:tcW w:w="1418" w:type="dxa"/>
          </w:tcPr>
          <w:p w14:paraId="64BAC58B"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7.6</w:t>
            </w:r>
          </w:p>
        </w:tc>
        <w:tc>
          <w:tcPr>
            <w:tcW w:w="1417" w:type="dxa"/>
          </w:tcPr>
          <w:p w14:paraId="6C394D92"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20.4</w:t>
            </w:r>
          </w:p>
        </w:tc>
        <w:tc>
          <w:tcPr>
            <w:tcW w:w="1418" w:type="dxa"/>
          </w:tcPr>
          <w:p w14:paraId="6D61BF57"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8.1</w:t>
            </w:r>
          </w:p>
        </w:tc>
      </w:tr>
      <w:tr w:rsidR="00C74E2D" w14:paraId="0F78A334" w14:textId="77777777" w:rsidTr="008230FE">
        <w:tc>
          <w:tcPr>
            <w:tcW w:w="2127" w:type="dxa"/>
          </w:tcPr>
          <w:p w14:paraId="5B4C2EE1" w14:textId="77777777" w:rsidR="008230FE" w:rsidRDefault="008230FE" w:rsidP="004110AE">
            <w:pPr>
              <w:pStyle w:val="EmptyLayoutCell"/>
              <w:spacing w:before="60" w:after="60"/>
              <w:rPr>
                <w:rFonts w:ascii="Arial" w:hAnsi="Arial" w:cs="Arial"/>
                <w:sz w:val="18"/>
                <w:szCs w:val="18"/>
              </w:rPr>
            </w:pPr>
            <w:r>
              <w:rPr>
                <w:rFonts w:ascii="Arial" w:hAnsi="Arial" w:cs="Arial"/>
                <w:sz w:val="18"/>
                <w:szCs w:val="18"/>
              </w:rPr>
              <w:t>Forensic</w:t>
            </w:r>
          </w:p>
        </w:tc>
        <w:tc>
          <w:tcPr>
            <w:tcW w:w="1417" w:type="dxa"/>
          </w:tcPr>
          <w:p w14:paraId="257ED1BD"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47.3</w:t>
            </w:r>
          </w:p>
        </w:tc>
        <w:tc>
          <w:tcPr>
            <w:tcW w:w="1417" w:type="dxa"/>
          </w:tcPr>
          <w:p w14:paraId="0D410532"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58.7</w:t>
            </w:r>
          </w:p>
        </w:tc>
        <w:tc>
          <w:tcPr>
            <w:tcW w:w="1418" w:type="dxa"/>
          </w:tcPr>
          <w:p w14:paraId="12711839"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65.8</w:t>
            </w:r>
          </w:p>
        </w:tc>
        <w:tc>
          <w:tcPr>
            <w:tcW w:w="1417" w:type="dxa"/>
          </w:tcPr>
          <w:p w14:paraId="17BAFA02"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31.8</w:t>
            </w:r>
          </w:p>
        </w:tc>
        <w:tc>
          <w:tcPr>
            <w:tcW w:w="1418" w:type="dxa"/>
          </w:tcPr>
          <w:p w14:paraId="7B15D426"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24.4</w:t>
            </w:r>
          </w:p>
        </w:tc>
      </w:tr>
      <w:tr w:rsidR="00C74E2D" w14:paraId="24239C6E" w14:textId="77777777" w:rsidTr="008230FE">
        <w:tc>
          <w:tcPr>
            <w:tcW w:w="2127" w:type="dxa"/>
          </w:tcPr>
          <w:p w14:paraId="2219BCDD" w14:textId="77777777" w:rsidR="008230FE" w:rsidRDefault="008230FE" w:rsidP="004110AE">
            <w:pPr>
              <w:pStyle w:val="EmptyLayoutCell"/>
              <w:spacing w:before="60" w:after="60"/>
              <w:rPr>
                <w:rFonts w:ascii="Arial" w:hAnsi="Arial" w:cs="Arial"/>
                <w:sz w:val="18"/>
                <w:szCs w:val="18"/>
              </w:rPr>
            </w:pPr>
            <w:r>
              <w:rPr>
                <w:rFonts w:ascii="Arial" w:hAnsi="Arial" w:cs="Arial"/>
                <w:sz w:val="18"/>
                <w:szCs w:val="18"/>
              </w:rPr>
              <w:t>Specialist</w:t>
            </w:r>
          </w:p>
        </w:tc>
        <w:tc>
          <w:tcPr>
            <w:tcW w:w="1417" w:type="dxa"/>
          </w:tcPr>
          <w:p w14:paraId="518DB6BE"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0.5</w:t>
            </w:r>
          </w:p>
        </w:tc>
        <w:tc>
          <w:tcPr>
            <w:tcW w:w="1417" w:type="dxa"/>
          </w:tcPr>
          <w:p w14:paraId="44A88AB6"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3.2</w:t>
            </w:r>
          </w:p>
        </w:tc>
        <w:tc>
          <w:tcPr>
            <w:tcW w:w="1418" w:type="dxa"/>
          </w:tcPr>
          <w:p w14:paraId="10DE5358"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10.6</w:t>
            </w:r>
          </w:p>
        </w:tc>
        <w:tc>
          <w:tcPr>
            <w:tcW w:w="1417" w:type="dxa"/>
          </w:tcPr>
          <w:p w14:paraId="3C3007AC"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11.6</w:t>
            </w:r>
          </w:p>
        </w:tc>
        <w:tc>
          <w:tcPr>
            <w:tcW w:w="1418" w:type="dxa"/>
          </w:tcPr>
          <w:p w14:paraId="19A32DE0" w14:textId="77777777" w:rsidR="008230FE" w:rsidRPr="00971727" w:rsidRDefault="008230FE"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8.7</w:t>
            </w:r>
          </w:p>
        </w:tc>
      </w:tr>
      <w:tr w:rsidR="00C74E2D" w14:paraId="2D85EC5E" w14:textId="77777777" w:rsidTr="008230FE">
        <w:tc>
          <w:tcPr>
            <w:tcW w:w="2127" w:type="dxa"/>
          </w:tcPr>
          <w:p w14:paraId="0534E854" w14:textId="77777777" w:rsidR="008230FE" w:rsidRPr="005D47A7" w:rsidRDefault="008230FE" w:rsidP="004110AE">
            <w:pPr>
              <w:pStyle w:val="EmptyLayoutCell"/>
              <w:spacing w:before="60" w:after="60"/>
              <w:rPr>
                <w:rFonts w:ascii="Arial" w:hAnsi="Arial" w:cs="Arial"/>
                <w:b/>
                <w:bCs/>
                <w:sz w:val="18"/>
                <w:szCs w:val="18"/>
              </w:rPr>
            </w:pPr>
            <w:r w:rsidRPr="005D47A7">
              <w:rPr>
                <w:rFonts w:ascii="Arial" w:hAnsi="Arial" w:cs="Arial"/>
                <w:b/>
                <w:bCs/>
                <w:sz w:val="18"/>
                <w:szCs w:val="18"/>
              </w:rPr>
              <w:t>Total</w:t>
            </w:r>
          </w:p>
        </w:tc>
        <w:tc>
          <w:tcPr>
            <w:tcW w:w="1417" w:type="dxa"/>
          </w:tcPr>
          <w:p w14:paraId="7235AD01" w14:textId="77777777" w:rsidR="008230FE" w:rsidRPr="005D47A7" w:rsidRDefault="008230FE" w:rsidP="004110AE">
            <w:pPr>
              <w:pStyle w:val="EmptyLayoutCell"/>
              <w:spacing w:before="60" w:after="60"/>
              <w:rPr>
                <w:rFonts w:ascii="Arial" w:eastAsia="Verdana" w:hAnsi="Arial" w:cs="Arial"/>
                <w:b/>
                <w:bCs/>
                <w:color w:val="000000"/>
                <w:sz w:val="18"/>
              </w:rPr>
            </w:pPr>
            <w:r w:rsidRPr="003E0092">
              <w:rPr>
                <w:rFonts w:ascii="Arial" w:eastAsia="Verdana" w:hAnsi="Arial" w:cs="Arial"/>
                <w:b/>
                <w:bCs/>
                <w:color w:val="000000"/>
                <w:sz w:val="18"/>
                <w:szCs w:val="18"/>
              </w:rPr>
              <w:t>10.0</w:t>
            </w:r>
          </w:p>
        </w:tc>
        <w:tc>
          <w:tcPr>
            <w:tcW w:w="1417" w:type="dxa"/>
          </w:tcPr>
          <w:p w14:paraId="103AE7AB" w14:textId="77777777" w:rsidR="008230FE" w:rsidRPr="005D47A7" w:rsidRDefault="008230FE" w:rsidP="004110AE">
            <w:pPr>
              <w:pStyle w:val="EmptyLayoutCell"/>
              <w:spacing w:before="60" w:after="60"/>
              <w:rPr>
                <w:rFonts w:ascii="Arial" w:eastAsia="Verdana" w:hAnsi="Arial" w:cs="Arial"/>
                <w:b/>
                <w:bCs/>
                <w:color w:val="000000"/>
                <w:sz w:val="18"/>
              </w:rPr>
            </w:pPr>
            <w:r w:rsidRPr="003E0092">
              <w:rPr>
                <w:rFonts w:ascii="Arial" w:eastAsia="Verdana" w:hAnsi="Arial" w:cs="Arial"/>
                <w:b/>
                <w:bCs/>
                <w:color w:val="000000"/>
                <w:sz w:val="18"/>
                <w:szCs w:val="18"/>
              </w:rPr>
              <w:t>10.3</w:t>
            </w:r>
          </w:p>
        </w:tc>
        <w:tc>
          <w:tcPr>
            <w:tcW w:w="1418" w:type="dxa"/>
          </w:tcPr>
          <w:p w14:paraId="3ED6389A" w14:textId="77777777" w:rsidR="008230FE" w:rsidRPr="005D47A7" w:rsidRDefault="008230FE" w:rsidP="004110AE">
            <w:pPr>
              <w:pStyle w:val="EmptyLayoutCell"/>
              <w:spacing w:before="60" w:after="60"/>
              <w:rPr>
                <w:rFonts w:ascii="Arial" w:eastAsia="Verdana" w:hAnsi="Arial" w:cs="Arial"/>
                <w:b/>
                <w:bCs/>
                <w:color w:val="000000"/>
                <w:sz w:val="18"/>
              </w:rPr>
            </w:pPr>
            <w:r w:rsidRPr="003E0092">
              <w:rPr>
                <w:rFonts w:ascii="Arial" w:eastAsia="Verdana" w:hAnsi="Arial" w:cs="Arial"/>
                <w:b/>
                <w:bCs/>
                <w:color w:val="000000"/>
                <w:sz w:val="18"/>
                <w:szCs w:val="18"/>
              </w:rPr>
              <w:t>9.8</w:t>
            </w:r>
          </w:p>
        </w:tc>
        <w:tc>
          <w:tcPr>
            <w:tcW w:w="1417" w:type="dxa"/>
          </w:tcPr>
          <w:p w14:paraId="3B464F9A" w14:textId="77777777" w:rsidR="008230FE" w:rsidRPr="005D47A7" w:rsidRDefault="008230FE" w:rsidP="004110AE">
            <w:pPr>
              <w:pStyle w:val="EmptyLayoutCell"/>
              <w:spacing w:before="60" w:after="60"/>
              <w:rPr>
                <w:rFonts w:ascii="Arial" w:eastAsia="Verdana" w:hAnsi="Arial" w:cs="Arial"/>
                <w:b/>
                <w:bCs/>
                <w:color w:val="000000"/>
                <w:sz w:val="18"/>
              </w:rPr>
            </w:pPr>
            <w:r w:rsidRPr="003E0092">
              <w:rPr>
                <w:rFonts w:ascii="Arial" w:eastAsia="Verdana" w:hAnsi="Arial" w:cs="Arial"/>
                <w:b/>
                <w:bCs/>
                <w:color w:val="000000"/>
                <w:sz w:val="18"/>
                <w:szCs w:val="18"/>
              </w:rPr>
              <w:t>8.3</w:t>
            </w:r>
          </w:p>
        </w:tc>
        <w:tc>
          <w:tcPr>
            <w:tcW w:w="1418" w:type="dxa"/>
          </w:tcPr>
          <w:p w14:paraId="136890C1" w14:textId="77777777" w:rsidR="008230FE" w:rsidRPr="005D47A7" w:rsidRDefault="008230FE" w:rsidP="004110AE">
            <w:pPr>
              <w:pStyle w:val="EmptyLayoutCell"/>
              <w:spacing w:before="60" w:after="60"/>
              <w:rPr>
                <w:rFonts w:ascii="Arial" w:eastAsia="Verdana" w:hAnsi="Arial" w:cs="Arial"/>
                <w:b/>
                <w:bCs/>
                <w:color w:val="000000"/>
                <w:sz w:val="18"/>
              </w:rPr>
            </w:pPr>
            <w:r w:rsidRPr="003E0092">
              <w:rPr>
                <w:rFonts w:ascii="Arial" w:eastAsia="Verdana" w:hAnsi="Arial" w:cs="Arial"/>
                <w:b/>
                <w:bCs/>
                <w:color w:val="000000"/>
                <w:sz w:val="18"/>
                <w:szCs w:val="18"/>
              </w:rPr>
              <w:t>6.3</w:t>
            </w:r>
          </w:p>
        </w:tc>
      </w:tr>
    </w:tbl>
    <w:p w14:paraId="6D0A5FAB" w14:textId="1CF36CAB" w:rsidR="0020727A" w:rsidRPr="0020727A" w:rsidRDefault="0020727A" w:rsidP="0020727A">
      <w:pPr>
        <w:pStyle w:val="Bodyaftertable"/>
        <w:spacing w:before="0"/>
        <w:rPr>
          <w:sz w:val="18"/>
          <w:szCs w:val="18"/>
        </w:rPr>
      </w:pPr>
      <w:r w:rsidRPr="0020727A">
        <w:rPr>
          <w:sz w:val="18"/>
          <w:szCs w:val="18"/>
        </w:rPr>
        <w:t>Note: This table corresponds with the graph in Figure 6. It is included for purposes of accessibility.</w:t>
      </w:r>
    </w:p>
    <w:p w14:paraId="7DC20EEA" w14:textId="1A48E1B0" w:rsidR="00381B2F" w:rsidRDefault="00381B2F" w:rsidP="00643556">
      <w:pPr>
        <w:pStyle w:val="Bodyaftertable"/>
      </w:pPr>
      <w:r>
        <w:t xml:space="preserve">Table </w:t>
      </w:r>
      <w:r w:rsidR="0C3CFD56">
        <w:t>1</w:t>
      </w:r>
      <w:r w:rsidR="00D013CA">
        <w:t>0</w:t>
      </w:r>
      <w:r>
        <w:t xml:space="preserve"> shows that, when seclusion happened, it typically occurred once within an admission to hospital. </w:t>
      </w:r>
      <w:r w:rsidR="799807E8">
        <w:t>For those receiving m</w:t>
      </w:r>
      <w:r>
        <w:t>ultiple episodes of seclusion</w:t>
      </w:r>
      <w:r w:rsidR="0AD93CB4">
        <w:t>, these typically</w:t>
      </w:r>
      <w:r w:rsidR="00D625EC">
        <w:t xml:space="preserve"> </w:t>
      </w:r>
      <w:r w:rsidR="008652C8">
        <w:t>occur</w:t>
      </w:r>
      <w:r w:rsidR="00D625EC">
        <w:t xml:space="preserve"> as services work to trial </w:t>
      </w:r>
      <w:r w:rsidR="168397B7">
        <w:t>transitioning the person out of</w:t>
      </w:r>
      <w:r w:rsidR="00D625EC">
        <w:t xml:space="preserve"> seclusion</w:t>
      </w:r>
      <w:r w:rsidR="5C9AE2EE">
        <w:t>.</w:t>
      </w:r>
      <w:r w:rsidR="00D625EC">
        <w:t xml:space="preserve"> </w:t>
      </w:r>
      <w:r w:rsidR="02D2C280">
        <w:t>There are a small number of consumers experiencing multiple episodes of seclusion</w:t>
      </w:r>
      <w:r w:rsidR="00557376">
        <w:t>. This</w:t>
      </w:r>
      <w:r w:rsidR="02D2C280">
        <w:t xml:space="preserve"> generally reflect</w:t>
      </w:r>
      <w:r w:rsidR="00557376">
        <w:t>s</w:t>
      </w:r>
      <w:r w:rsidR="02D2C280">
        <w:t xml:space="preserve"> severe and complex mental illness and risks to others in the inpatient environment.</w:t>
      </w:r>
    </w:p>
    <w:p w14:paraId="41D2D193" w14:textId="28511951" w:rsidR="00BA2CC6" w:rsidRDefault="00381B2F" w:rsidP="008A07F2">
      <w:pPr>
        <w:pStyle w:val="Tablecaption"/>
      </w:pPr>
      <w:r w:rsidRPr="64F2407C">
        <w:t xml:space="preserve">Table </w:t>
      </w:r>
      <w:r w:rsidR="18E05CAF">
        <w:t>1</w:t>
      </w:r>
      <w:r w:rsidR="00D013CA">
        <w:t>0</w:t>
      </w:r>
      <w:r w:rsidRPr="64F2407C">
        <w:t xml:space="preserve">: </w:t>
      </w:r>
      <w:r w:rsidR="00F6067B" w:rsidRPr="00F6067B">
        <w:t>Frequency of ended seclusion episodes within a single inpatient admission</w:t>
      </w:r>
      <w:r w:rsidRPr="64F2407C">
        <w:t xml:space="preserve">, </w:t>
      </w:r>
      <w:r w:rsidR="00CD2D8E">
        <w:br/>
      </w:r>
      <w:r w:rsidRPr="64F2407C">
        <w:t>20</w:t>
      </w:r>
      <w:r w:rsidR="00E77A16">
        <w:t>1</w:t>
      </w:r>
      <w:r w:rsidR="00A01D3A">
        <w:t>9</w:t>
      </w:r>
      <w:r w:rsidRPr="64F2407C">
        <w:t>–</w:t>
      </w:r>
      <w:r w:rsidR="00A01D3A">
        <w:t>20</w:t>
      </w:r>
      <w:r w:rsidRPr="64F2407C">
        <w:t xml:space="preserve"> to </w:t>
      </w:r>
      <w:r w:rsidR="007B2175">
        <w:t>202</w:t>
      </w:r>
      <w:r w:rsidR="00A01D3A">
        <w:t>3</w:t>
      </w:r>
      <w:r w:rsidR="007B2175">
        <w:t>–2</w:t>
      </w:r>
      <w:r w:rsidR="00A01D3A">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985"/>
        <w:gridCol w:w="1445"/>
        <w:gridCol w:w="1446"/>
        <w:gridCol w:w="1446"/>
        <w:gridCol w:w="1446"/>
        <w:gridCol w:w="1446"/>
      </w:tblGrid>
      <w:tr w:rsidR="00C87704" w14:paraId="7D575BB3" w14:textId="77777777" w:rsidTr="00D665F6">
        <w:trPr>
          <w:tblHeader/>
        </w:trPr>
        <w:tc>
          <w:tcPr>
            <w:tcW w:w="1985" w:type="dxa"/>
            <w:shd w:val="clear" w:color="auto" w:fill="244C5A"/>
          </w:tcPr>
          <w:p w14:paraId="17FF736F" w14:textId="316DBEC7" w:rsidR="00A01D3A" w:rsidRPr="009E1217" w:rsidRDefault="00A01D3A" w:rsidP="004110AE">
            <w:pPr>
              <w:pStyle w:val="EmptyLayoutCell"/>
              <w:spacing w:before="60" w:after="60"/>
              <w:rPr>
                <w:rFonts w:ascii="Arial" w:hAnsi="Arial" w:cs="Arial"/>
                <w:color w:val="FFFFFF"/>
                <w:sz w:val="18"/>
                <w:szCs w:val="18"/>
              </w:rPr>
            </w:pPr>
            <w:r>
              <w:rPr>
                <w:rFonts w:ascii="Arial" w:hAnsi="Arial" w:cs="Arial"/>
                <w:color w:val="FFFFFF"/>
                <w:sz w:val="18"/>
                <w:szCs w:val="18"/>
              </w:rPr>
              <w:t>Frequency</w:t>
            </w:r>
          </w:p>
        </w:tc>
        <w:tc>
          <w:tcPr>
            <w:tcW w:w="1445" w:type="dxa"/>
            <w:shd w:val="clear" w:color="auto" w:fill="244C5A"/>
          </w:tcPr>
          <w:p w14:paraId="0FA6EB15" w14:textId="77777777" w:rsidR="00A01D3A" w:rsidRPr="009E1217" w:rsidRDefault="00A01D3A"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446" w:type="dxa"/>
            <w:shd w:val="clear" w:color="auto" w:fill="244C5A"/>
          </w:tcPr>
          <w:p w14:paraId="1195406D" w14:textId="77777777" w:rsidR="00A01D3A" w:rsidRPr="009E1217" w:rsidRDefault="00A01D3A"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446" w:type="dxa"/>
            <w:shd w:val="clear" w:color="auto" w:fill="244C5A"/>
          </w:tcPr>
          <w:p w14:paraId="25D54721" w14:textId="77777777" w:rsidR="00A01D3A" w:rsidRPr="009E1217" w:rsidRDefault="00A01D3A"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446" w:type="dxa"/>
            <w:shd w:val="clear" w:color="auto" w:fill="244C5A"/>
          </w:tcPr>
          <w:p w14:paraId="021672F1" w14:textId="77777777" w:rsidR="00A01D3A" w:rsidRPr="009E1217" w:rsidRDefault="00A01D3A"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446" w:type="dxa"/>
            <w:shd w:val="clear" w:color="auto" w:fill="244C5A"/>
          </w:tcPr>
          <w:p w14:paraId="324432A3" w14:textId="77777777" w:rsidR="00A01D3A" w:rsidRPr="009E1217" w:rsidRDefault="00A01D3A"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2C1C35AD" w14:textId="77777777" w:rsidTr="00A01D3A">
        <w:tc>
          <w:tcPr>
            <w:tcW w:w="1985" w:type="dxa"/>
          </w:tcPr>
          <w:p w14:paraId="1B65D39F" w14:textId="77777777" w:rsidR="00A01D3A" w:rsidRDefault="00A01D3A" w:rsidP="004110AE">
            <w:pPr>
              <w:pStyle w:val="EmptyLayoutCell"/>
              <w:spacing w:before="60" w:after="60"/>
              <w:rPr>
                <w:rFonts w:ascii="Arial" w:hAnsi="Arial" w:cs="Arial"/>
                <w:sz w:val="18"/>
                <w:szCs w:val="18"/>
              </w:rPr>
            </w:pPr>
            <w:r>
              <w:rPr>
                <w:rFonts w:ascii="Arial" w:hAnsi="Arial" w:cs="Arial"/>
                <w:sz w:val="18"/>
                <w:szCs w:val="18"/>
              </w:rPr>
              <w:t>1</w:t>
            </w:r>
          </w:p>
        </w:tc>
        <w:tc>
          <w:tcPr>
            <w:tcW w:w="1445" w:type="dxa"/>
          </w:tcPr>
          <w:p w14:paraId="023B1386"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796</w:t>
            </w:r>
          </w:p>
        </w:tc>
        <w:tc>
          <w:tcPr>
            <w:tcW w:w="1446" w:type="dxa"/>
          </w:tcPr>
          <w:p w14:paraId="2F68A737"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789</w:t>
            </w:r>
          </w:p>
        </w:tc>
        <w:tc>
          <w:tcPr>
            <w:tcW w:w="1446" w:type="dxa"/>
          </w:tcPr>
          <w:p w14:paraId="5CE3B0EA"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637</w:t>
            </w:r>
          </w:p>
        </w:tc>
        <w:tc>
          <w:tcPr>
            <w:tcW w:w="1446" w:type="dxa"/>
          </w:tcPr>
          <w:p w14:paraId="2606D9E0"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599</w:t>
            </w:r>
          </w:p>
        </w:tc>
        <w:tc>
          <w:tcPr>
            <w:tcW w:w="1446" w:type="dxa"/>
          </w:tcPr>
          <w:p w14:paraId="6FE12A2F"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655</w:t>
            </w:r>
          </w:p>
        </w:tc>
      </w:tr>
      <w:tr w:rsidR="00C74E2D" w14:paraId="09714381" w14:textId="77777777" w:rsidTr="00A01D3A">
        <w:tc>
          <w:tcPr>
            <w:tcW w:w="1985" w:type="dxa"/>
          </w:tcPr>
          <w:p w14:paraId="5143F734" w14:textId="77777777" w:rsidR="00A01D3A" w:rsidRPr="007A09B2" w:rsidRDefault="00A01D3A" w:rsidP="004110AE">
            <w:pPr>
              <w:pStyle w:val="EmptyLayoutCell"/>
              <w:spacing w:before="60" w:after="60"/>
              <w:rPr>
                <w:rFonts w:ascii="Arial" w:hAnsi="Arial" w:cs="Arial"/>
                <w:sz w:val="18"/>
                <w:szCs w:val="18"/>
              </w:rPr>
            </w:pPr>
            <w:r>
              <w:rPr>
                <w:rFonts w:ascii="Arial" w:hAnsi="Arial" w:cs="Arial"/>
                <w:sz w:val="18"/>
                <w:szCs w:val="18"/>
              </w:rPr>
              <w:t>2</w:t>
            </w:r>
          </w:p>
        </w:tc>
        <w:tc>
          <w:tcPr>
            <w:tcW w:w="1445" w:type="dxa"/>
          </w:tcPr>
          <w:p w14:paraId="45B8861E"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212</w:t>
            </w:r>
          </w:p>
        </w:tc>
        <w:tc>
          <w:tcPr>
            <w:tcW w:w="1446" w:type="dxa"/>
          </w:tcPr>
          <w:p w14:paraId="52FDF56E"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205</w:t>
            </w:r>
          </w:p>
        </w:tc>
        <w:tc>
          <w:tcPr>
            <w:tcW w:w="1446" w:type="dxa"/>
          </w:tcPr>
          <w:p w14:paraId="73BD5034"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178</w:t>
            </w:r>
          </w:p>
        </w:tc>
        <w:tc>
          <w:tcPr>
            <w:tcW w:w="1446" w:type="dxa"/>
          </w:tcPr>
          <w:p w14:paraId="40BAD387"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174</w:t>
            </w:r>
          </w:p>
        </w:tc>
        <w:tc>
          <w:tcPr>
            <w:tcW w:w="1446" w:type="dxa"/>
          </w:tcPr>
          <w:p w14:paraId="5A51A69A" w14:textId="77777777" w:rsidR="00A01D3A" w:rsidRDefault="00A01D3A"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178</w:t>
            </w:r>
          </w:p>
        </w:tc>
      </w:tr>
      <w:tr w:rsidR="00C74E2D" w14:paraId="14656773" w14:textId="77777777" w:rsidTr="00A01D3A">
        <w:tc>
          <w:tcPr>
            <w:tcW w:w="1985" w:type="dxa"/>
          </w:tcPr>
          <w:p w14:paraId="5937725F" w14:textId="77777777" w:rsidR="00A01D3A" w:rsidRDefault="00A01D3A" w:rsidP="004110AE">
            <w:pPr>
              <w:pStyle w:val="EmptyLayoutCell"/>
              <w:spacing w:before="60" w:after="60"/>
              <w:rPr>
                <w:rFonts w:ascii="Arial" w:hAnsi="Arial" w:cs="Arial"/>
                <w:sz w:val="18"/>
                <w:szCs w:val="18"/>
              </w:rPr>
            </w:pPr>
            <w:r>
              <w:rPr>
                <w:rFonts w:ascii="Arial" w:hAnsi="Arial" w:cs="Arial"/>
                <w:sz w:val="18"/>
                <w:szCs w:val="18"/>
              </w:rPr>
              <w:t>3</w:t>
            </w:r>
          </w:p>
        </w:tc>
        <w:tc>
          <w:tcPr>
            <w:tcW w:w="1445" w:type="dxa"/>
          </w:tcPr>
          <w:p w14:paraId="0277B36A"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103</w:t>
            </w:r>
          </w:p>
        </w:tc>
        <w:tc>
          <w:tcPr>
            <w:tcW w:w="1446" w:type="dxa"/>
          </w:tcPr>
          <w:p w14:paraId="452AA3CD"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100</w:t>
            </w:r>
          </w:p>
        </w:tc>
        <w:tc>
          <w:tcPr>
            <w:tcW w:w="1446" w:type="dxa"/>
          </w:tcPr>
          <w:p w14:paraId="0FDAD575"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73</w:t>
            </w:r>
          </w:p>
        </w:tc>
        <w:tc>
          <w:tcPr>
            <w:tcW w:w="1446" w:type="dxa"/>
          </w:tcPr>
          <w:p w14:paraId="593B95C9"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70</w:t>
            </w:r>
          </w:p>
        </w:tc>
        <w:tc>
          <w:tcPr>
            <w:tcW w:w="1446" w:type="dxa"/>
          </w:tcPr>
          <w:p w14:paraId="5DEE2745"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91</w:t>
            </w:r>
          </w:p>
        </w:tc>
      </w:tr>
      <w:tr w:rsidR="00C74E2D" w14:paraId="7ADF8E31" w14:textId="77777777" w:rsidTr="00A01D3A">
        <w:tc>
          <w:tcPr>
            <w:tcW w:w="1985" w:type="dxa"/>
          </w:tcPr>
          <w:p w14:paraId="113E510A" w14:textId="77777777" w:rsidR="00A01D3A" w:rsidRDefault="00A01D3A" w:rsidP="004110AE">
            <w:pPr>
              <w:pStyle w:val="EmptyLayoutCell"/>
              <w:spacing w:before="60" w:after="60"/>
              <w:rPr>
                <w:rFonts w:ascii="Arial" w:hAnsi="Arial" w:cs="Arial"/>
                <w:sz w:val="18"/>
                <w:szCs w:val="18"/>
              </w:rPr>
            </w:pPr>
            <w:r>
              <w:rPr>
                <w:rFonts w:ascii="Arial" w:hAnsi="Arial" w:cs="Arial"/>
                <w:sz w:val="18"/>
                <w:szCs w:val="18"/>
              </w:rPr>
              <w:t>4</w:t>
            </w:r>
          </w:p>
        </w:tc>
        <w:tc>
          <w:tcPr>
            <w:tcW w:w="1445" w:type="dxa"/>
          </w:tcPr>
          <w:p w14:paraId="0815865C"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61</w:t>
            </w:r>
          </w:p>
        </w:tc>
        <w:tc>
          <w:tcPr>
            <w:tcW w:w="1446" w:type="dxa"/>
          </w:tcPr>
          <w:p w14:paraId="3CD03DEE"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50</w:t>
            </w:r>
          </w:p>
        </w:tc>
        <w:tc>
          <w:tcPr>
            <w:tcW w:w="1446" w:type="dxa"/>
          </w:tcPr>
          <w:p w14:paraId="1BE4AA61"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60</w:t>
            </w:r>
          </w:p>
        </w:tc>
        <w:tc>
          <w:tcPr>
            <w:tcW w:w="1446" w:type="dxa"/>
          </w:tcPr>
          <w:p w14:paraId="2E6919B1"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49</w:t>
            </w:r>
          </w:p>
        </w:tc>
        <w:tc>
          <w:tcPr>
            <w:tcW w:w="1446" w:type="dxa"/>
          </w:tcPr>
          <w:p w14:paraId="110B5599"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46</w:t>
            </w:r>
          </w:p>
        </w:tc>
      </w:tr>
      <w:tr w:rsidR="00C74E2D" w14:paraId="0C5FBD63" w14:textId="77777777" w:rsidTr="00A01D3A">
        <w:tc>
          <w:tcPr>
            <w:tcW w:w="1985" w:type="dxa"/>
          </w:tcPr>
          <w:p w14:paraId="6D5EF62B" w14:textId="77777777" w:rsidR="00A01D3A" w:rsidRDefault="00A01D3A" w:rsidP="004110AE">
            <w:pPr>
              <w:pStyle w:val="EmptyLayoutCell"/>
              <w:spacing w:before="60" w:after="60"/>
              <w:rPr>
                <w:rFonts w:ascii="Arial" w:hAnsi="Arial" w:cs="Arial"/>
                <w:sz w:val="18"/>
                <w:szCs w:val="18"/>
              </w:rPr>
            </w:pPr>
            <w:r>
              <w:rPr>
                <w:rFonts w:ascii="Arial" w:hAnsi="Arial" w:cs="Arial"/>
                <w:sz w:val="18"/>
                <w:szCs w:val="18"/>
              </w:rPr>
              <w:t>5</w:t>
            </w:r>
          </w:p>
        </w:tc>
        <w:tc>
          <w:tcPr>
            <w:tcW w:w="1445" w:type="dxa"/>
          </w:tcPr>
          <w:p w14:paraId="56CE3ED1"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34</w:t>
            </w:r>
          </w:p>
        </w:tc>
        <w:tc>
          <w:tcPr>
            <w:tcW w:w="1446" w:type="dxa"/>
          </w:tcPr>
          <w:p w14:paraId="414CAFAB"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31</w:t>
            </w:r>
          </w:p>
        </w:tc>
        <w:tc>
          <w:tcPr>
            <w:tcW w:w="1446" w:type="dxa"/>
          </w:tcPr>
          <w:p w14:paraId="35FC017F"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33</w:t>
            </w:r>
          </w:p>
        </w:tc>
        <w:tc>
          <w:tcPr>
            <w:tcW w:w="1446" w:type="dxa"/>
          </w:tcPr>
          <w:p w14:paraId="1FD23ED4"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30</w:t>
            </w:r>
          </w:p>
        </w:tc>
        <w:tc>
          <w:tcPr>
            <w:tcW w:w="1446" w:type="dxa"/>
          </w:tcPr>
          <w:p w14:paraId="5FC10EC0"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14</w:t>
            </w:r>
          </w:p>
        </w:tc>
      </w:tr>
      <w:tr w:rsidR="00C74E2D" w14:paraId="4AFC0B91" w14:textId="77777777" w:rsidTr="00A01D3A">
        <w:tc>
          <w:tcPr>
            <w:tcW w:w="1985" w:type="dxa"/>
          </w:tcPr>
          <w:p w14:paraId="4FF12614" w14:textId="77777777" w:rsidR="00A01D3A" w:rsidRDefault="00A01D3A" w:rsidP="004110AE">
            <w:pPr>
              <w:pStyle w:val="EmptyLayoutCell"/>
              <w:spacing w:before="60" w:after="60"/>
              <w:rPr>
                <w:rFonts w:ascii="Arial" w:hAnsi="Arial" w:cs="Arial"/>
                <w:sz w:val="18"/>
                <w:szCs w:val="18"/>
              </w:rPr>
            </w:pPr>
            <w:r>
              <w:rPr>
                <w:rFonts w:ascii="Arial" w:hAnsi="Arial" w:cs="Arial"/>
                <w:sz w:val="18"/>
                <w:szCs w:val="18"/>
              </w:rPr>
              <w:t>6</w:t>
            </w:r>
          </w:p>
        </w:tc>
        <w:tc>
          <w:tcPr>
            <w:tcW w:w="1445" w:type="dxa"/>
          </w:tcPr>
          <w:p w14:paraId="705F54A2"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20</w:t>
            </w:r>
          </w:p>
        </w:tc>
        <w:tc>
          <w:tcPr>
            <w:tcW w:w="1446" w:type="dxa"/>
          </w:tcPr>
          <w:p w14:paraId="143ECE5B"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22</w:t>
            </w:r>
          </w:p>
        </w:tc>
        <w:tc>
          <w:tcPr>
            <w:tcW w:w="1446" w:type="dxa"/>
          </w:tcPr>
          <w:p w14:paraId="487F2424"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17</w:t>
            </w:r>
          </w:p>
        </w:tc>
        <w:tc>
          <w:tcPr>
            <w:tcW w:w="1446" w:type="dxa"/>
          </w:tcPr>
          <w:p w14:paraId="509A63ED"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19</w:t>
            </w:r>
          </w:p>
        </w:tc>
        <w:tc>
          <w:tcPr>
            <w:tcW w:w="1446" w:type="dxa"/>
          </w:tcPr>
          <w:p w14:paraId="4DF855AF"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9</w:t>
            </w:r>
          </w:p>
        </w:tc>
      </w:tr>
      <w:tr w:rsidR="00C74E2D" w14:paraId="63B44A9E" w14:textId="77777777" w:rsidTr="00A01D3A">
        <w:tc>
          <w:tcPr>
            <w:tcW w:w="1985" w:type="dxa"/>
          </w:tcPr>
          <w:p w14:paraId="42549038" w14:textId="77777777" w:rsidR="00A01D3A" w:rsidRDefault="00A01D3A" w:rsidP="004110AE">
            <w:pPr>
              <w:pStyle w:val="EmptyLayoutCell"/>
              <w:spacing w:before="60" w:after="60"/>
              <w:rPr>
                <w:rFonts w:ascii="Arial" w:hAnsi="Arial" w:cs="Arial"/>
                <w:sz w:val="18"/>
                <w:szCs w:val="18"/>
              </w:rPr>
            </w:pPr>
            <w:r>
              <w:rPr>
                <w:rFonts w:ascii="Arial" w:hAnsi="Arial" w:cs="Arial"/>
                <w:sz w:val="18"/>
                <w:szCs w:val="18"/>
              </w:rPr>
              <w:lastRenderedPageBreak/>
              <w:t>7+</w:t>
            </w:r>
          </w:p>
        </w:tc>
        <w:tc>
          <w:tcPr>
            <w:tcW w:w="1445" w:type="dxa"/>
          </w:tcPr>
          <w:p w14:paraId="0A86A054"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85</w:t>
            </w:r>
          </w:p>
        </w:tc>
        <w:tc>
          <w:tcPr>
            <w:tcW w:w="1446" w:type="dxa"/>
          </w:tcPr>
          <w:p w14:paraId="69C17441"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80</w:t>
            </w:r>
          </w:p>
        </w:tc>
        <w:tc>
          <w:tcPr>
            <w:tcW w:w="1446" w:type="dxa"/>
          </w:tcPr>
          <w:p w14:paraId="3D95D53A"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60</w:t>
            </w:r>
          </w:p>
        </w:tc>
        <w:tc>
          <w:tcPr>
            <w:tcW w:w="1446" w:type="dxa"/>
          </w:tcPr>
          <w:p w14:paraId="3821F653"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63</w:t>
            </w:r>
          </w:p>
        </w:tc>
        <w:tc>
          <w:tcPr>
            <w:tcW w:w="1446" w:type="dxa"/>
          </w:tcPr>
          <w:p w14:paraId="09F3A958" w14:textId="77777777" w:rsidR="00A01D3A" w:rsidRPr="00971727" w:rsidRDefault="00A01D3A"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55</w:t>
            </w:r>
          </w:p>
        </w:tc>
      </w:tr>
    </w:tbl>
    <w:p w14:paraId="5CE2E40E" w14:textId="39D53F98" w:rsidR="00381B2F" w:rsidRDefault="1F132177" w:rsidP="00643556">
      <w:pPr>
        <w:pStyle w:val="Bodyaftertable"/>
      </w:pPr>
      <w:r>
        <w:t>Table 1</w:t>
      </w:r>
      <w:r w:rsidR="00D013CA">
        <w:t>1</w:t>
      </w:r>
      <w:r>
        <w:t xml:space="preserve"> shows that i</w:t>
      </w:r>
      <w:r w:rsidR="00381B2F">
        <w:t>n 20</w:t>
      </w:r>
      <w:r w:rsidR="00114C81">
        <w:t>2</w:t>
      </w:r>
      <w:r w:rsidR="002A330F">
        <w:t>3</w:t>
      </w:r>
      <w:r w:rsidR="00920F37">
        <w:t>–</w:t>
      </w:r>
      <w:r w:rsidR="027D03E7">
        <w:t>2</w:t>
      </w:r>
      <w:r w:rsidR="00F92C72">
        <w:t>4</w:t>
      </w:r>
      <w:r w:rsidR="00114C81" w:rsidRPr="00B46B00">
        <w:t xml:space="preserve"> close</w:t>
      </w:r>
      <w:r w:rsidR="00114C81">
        <w:t xml:space="preserve"> to </w:t>
      </w:r>
      <w:r w:rsidR="00381B2F">
        <w:t xml:space="preserve">half of all episodes of seclusion lasted for </w:t>
      </w:r>
      <w:r w:rsidR="00AD12EC">
        <w:t xml:space="preserve">4 </w:t>
      </w:r>
      <w:r w:rsidR="00381B2F">
        <w:t>or fewer hours, consistent with most previous years.</w:t>
      </w:r>
      <w:r w:rsidR="00FD45D8">
        <w:t xml:space="preserve"> </w:t>
      </w:r>
      <w:r w:rsidR="62D58BCF">
        <w:t>There was a significant reduction in the numbers of secl</w:t>
      </w:r>
      <w:r w:rsidR="2D5D38DF">
        <w:t>usions that went beyond 12 hours</w:t>
      </w:r>
      <w:r w:rsidR="000F205D">
        <w:t>,</w:t>
      </w:r>
      <w:r w:rsidR="2D5D38DF">
        <w:t xml:space="preserve"> which is </w:t>
      </w:r>
      <w:r w:rsidR="000F205D">
        <w:t xml:space="preserve">a positive </w:t>
      </w:r>
      <w:r w:rsidR="00B36BCB">
        <w:t>development</w:t>
      </w:r>
      <w:r w:rsidR="2D5D38DF">
        <w:t xml:space="preserve">. </w:t>
      </w:r>
      <w:r w:rsidR="00FD45D8">
        <w:t>The occasions of sec</w:t>
      </w:r>
      <w:r w:rsidR="00982BC7">
        <w:t xml:space="preserve">lusion beyond </w:t>
      </w:r>
      <w:r w:rsidR="00795061">
        <w:t xml:space="preserve">12 hours </w:t>
      </w:r>
      <w:r w:rsidR="003C01FD">
        <w:t xml:space="preserve">are </w:t>
      </w:r>
      <w:r w:rsidR="00DC5193">
        <w:t xml:space="preserve">closely </w:t>
      </w:r>
      <w:r w:rsidR="005B40FA">
        <w:t>monitored</w:t>
      </w:r>
      <w:r w:rsidR="0019092D">
        <w:t xml:space="preserve"> </w:t>
      </w:r>
      <w:r w:rsidR="0A1291D7">
        <w:t>by the OCP</w:t>
      </w:r>
      <w:r w:rsidR="007D378D">
        <w:t>,</w:t>
      </w:r>
      <w:r w:rsidR="0019092D">
        <w:t xml:space="preserve"> as are seclusions that are </w:t>
      </w:r>
      <w:r w:rsidR="00AB69D5">
        <w:t>beyond 4 hours</w:t>
      </w:r>
      <w:r w:rsidR="004F0DD9">
        <w:t xml:space="preserve"> for those aged 65 </w:t>
      </w:r>
      <w:r w:rsidR="00AD12EC">
        <w:t>or older</w:t>
      </w:r>
      <w:r w:rsidR="004F0DD9">
        <w:t xml:space="preserve"> and </w:t>
      </w:r>
      <w:r w:rsidR="00965E08">
        <w:t xml:space="preserve">those aged 18 </w:t>
      </w:r>
      <w:r w:rsidR="00AD12EC">
        <w:t>or younger</w:t>
      </w:r>
      <w:r w:rsidR="005B40FA">
        <w:t xml:space="preserve">. </w:t>
      </w:r>
    </w:p>
    <w:p w14:paraId="25D2E23D" w14:textId="0491A8C1" w:rsidR="008E715C" w:rsidRDefault="00381B2F" w:rsidP="000D0B9B">
      <w:pPr>
        <w:pStyle w:val="Tablecaption"/>
      </w:pPr>
      <w:r w:rsidRPr="64F2407C">
        <w:t xml:space="preserve">Table </w:t>
      </w:r>
      <w:r w:rsidR="5DB90F76">
        <w:t>1</w:t>
      </w:r>
      <w:r w:rsidR="00261DBF">
        <w:t>1</w:t>
      </w:r>
      <w:r w:rsidRPr="64F2407C">
        <w:t xml:space="preserve">: </w:t>
      </w:r>
      <w:r w:rsidR="00E63D82" w:rsidRPr="00E63D82">
        <w:t>Duration of ended seclusion episodes in acute inpatient units</w:t>
      </w:r>
      <w:r w:rsidRPr="64F2407C">
        <w:t>, 201</w:t>
      </w:r>
      <w:r w:rsidR="00F85631">
        <w:t>9</w:t>
      </w:r>
      <w:r w:rsidRPr="64F2407C">
        <w:t>–</w:t>
      </w:r>
      <w:r w:rsidR="00F85631">
        <w:t>20</w:t>
      </w:r>
      <w:r w:rsidRPr="64F2407C">
        <w:t xml:space="preserve"> to </w:t>
      </w:r>
      <w:r w:rsidR="007B2175">
        <w:t>202</w:t>
      </w:r>
      <w:r w:rsidR="00F85631">
        <w:t>3</w:t>
      </w:r>
      <w:r w:rsidR="007B2175">
        <w:t>–</w:t>
      </w:r>
      <w:r w:rsidR="007B2175" w:rsidRPr="00403BC0">
        <w:t>2</w:t>
      </w:r>
      <w:r w:rsidR="00F85631">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835"/>
        <w:gridCol w:w="1275"/>
        <w:gridCol w:w="1276"/>
        <w:gridCol w:w="1276"/>
        <w:gridCol w:w="1276"/>
        <w:gridCol w:w="1276"/>
      </w:tblGrid>
      <w:tr w:rsidR="00C87704" w14:paraId="3FB3ACF6" w14:textId="77777777" w:rsidTr="00D665F6">
        <w:trPr>
          <w:tblHeader/>
        </w:trPr>
        <w:tc>
          <w:tcPr>
            <w:tcW w:w="2835" w:type="dxa"/>
            <w:shd w:val="clear" w:color="auto" w:fill="244C5A"/>
          </w:tcPr>
          <w:p w14:paraId="229D2CEE" w14:textId="1EFE20EF" w:rsidR="008A27E6" w:rsidRPr="009E1217" w:rsidRDefault="008A27E6" w:rsidP="004110AE">
            <w:pPr>
              <w:pStyle w:val="EmptyLayoutCell"/>
              <w:spacing w:before="60" w:after="60"/>
              <w:rPr>
                <w:rFonts w:ascii="Arial" w:hAnsi="Arial" w:cs="Arial"/>
                <w:color w:val="FFFFFF"/>
                <w:sz w:val="18"/>
                <w:szCs w:val="18"/>
              </w:rPr>
            </w:pPr>
            <w:r>
              <w:rPr>
                <w:rFonts w:ascii="Arial" w:hAnsi="Arial" w:cs="Arial"/>
                <w:color w:val="FFFFFF"/>
                <w:sz w:val="18"/>
                <w:szCs w:val="18"/>
              </w:rPr>
              <w:t>Duration</w:t>
            </w:r>
          </w:p>
        </w:tc>
        <w:tc>
          <w:tcPr>
            <w:tcW w:w="1275" w:type="dxa"/>
            <w:shd w:val="clear" w:color="auto" w:fill="244C5A"/>
          </w:tcPr>
          <w:p w14:paraId="37CCB752" w14:textId="77777777" w:rsidR="008A27E6" w:rsidRPr="009E1217" w:rsidRDefault="008A27E6"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276" w:type="dxa"/>
            <w:shd w:val="clear" w:color="auto" w:fill="244C5A"/>
          </w:tcPr>
          <w:p w14:paraId="43A19DBB" w14:textId="77777777" w:rsidR="008A27E6" w:rsidRPr="009E1217" w:rsidRDefault="008A27E6"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276" w:type="dxa"/>
            <w:shd w:val="clear" w:color="auto" w:fill="244C5A"/>
          </w:tcPr>
          <w:p w14:paraId="2A2CF0B7" w14:textId="77777777" w:rsidR="008A27E6" w:rsidRPr="009E1217" w:rsidRDefault="008A27E6"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276" w:type="dxa"/>
            <w:shd w:val="clear" w:color="auto" w:fill="244C5A"/>
          </w:tcPr>
          <w:p w14:paraId="191B77E5" w14:textId="77777777" w:rsidR="008A27E6" w:rsidRPr="009E1217" w:rsidRDefault="008A27E6"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276" w:type="dxa"/>
            <w:shd w:val="clear" w:color="auto" w:fill="244C5A"/>
          </w:tcPr>
          <w:p w14:paraId="4DD356BF" w14:textId="77777777" w:rsidR="008A27E6" w:rsidRPr="009E1217" w:rsidRDefault="008A27E6"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56B59614" w14:textId="77777777" w:rsidTr="1AA722E5">
        <w:tc>
          <w:tcPr>
            <w:tcW w:w="2835" w:type="dxa"/>
          </w:tcPr>
          <w:p w14:paraId="6AFF2F75" w14:textId="77777777" w:rsidR="008A27E6" w:rsidRDefault="008A27E6" w:rsidP="004110AE">
            <w:pPr>
              <w:pStyle w:val="EmptyLayoutCell"/>
              <w:spacing w:before="60" w:after="60"/>
              <w:rPr>
                <w:rFonts w:ascii="Arial" w:hAnsi="Arial" w:cs="Arial"/>
                <w:sz w:val="18"/>
                <w:szCs w:val="18"/>
              </w:rPr>
            </w:pPr>
            <w:r>
              <w:rPr>
                <w:rFonts w:ascii="Arial" w:hAnsi="Arial" w:cs="Arial"/>
                <w:sz w:val="18"/>
                <w:szCs w:val="18"/>
              </w:rPr>
              <w:t>≤ 4 hours</w:t>
            </w:r>
          </w:p>
        </w:tc>
        <w:tc>
          <w:tcPr>
            <w:tcW w:w="1275" w:type="dxa"/>
          </w:tcPr>
          <w:p w14:paraId="74CC33F3"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1,852</w:t>
            </w:r>
          </w:p>
        </w:tc>
        <w:tc>
          <w:tcPr>
            <w:tcW w:w="1276" w:type="dxa"/>
          </w:tcPr>
          <w:p w14:paraId="58F1F97F"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1,716</w:t>
            </w:r>
          </w:p>
        </w:tc>
        <w:tc>
          <w:tcPr>
            <w:tcW w:w="1276" w:type="dxa"/>
          </w:tcPr>
          <w:p w14:paraId="55FD5FAB"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1,512</w:t>
            </w:r>
          </w:p>
        </w:tc>
        <w:tc>
          <w:tcPr>
            <w:tcW w:w="1276" w:type="dxa"/>
          </w:tcPr>
          <w:p w14:paraId="744BF77D"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1,453</w:t>
            </w:r>
          </w:p>
        </w:tc>
        <w:tc>
          <w:tcPr>
            <w:tcW w:w="1276" w:type="dxa"/>
          </w:tcPr>
          <w:p w14:paraId="2162647B"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1,110</w:t>
            </w:r>
          </w:p>
        </w:tc>
      </w:tr>
      <w:tr w:rsidR="00C74E2D" w14:paraId="27B4123C" w14:textId="77777777" w:rsidTr="1AA722E5">
        <w:tc>
          <w:tcPr>
            <w:tcW w:w="2835" w:type="dxa"/>
          </w:tcPr>
          <w:p w14:paraId="0F4B5D7A" w14:textId="77777777" w:rsidR="008A27E6" w:rsidRPr="007A09B2" w:rsidRDefault="008A27E6" w:rsidP="004110AE">
            <w:pPr>
              <w:pStyle w:val="EmptyLayoutCell"/>
              <w:spacing w:before="60" w:after="60"/>
              <w:rPr>
                <w:rFonts w:ascii="Arial" w:hAnsi="Arial" w:cs="Arial"/>
                <w:sz w:val="18"/>
                <w:szCs w:val="18"/>
              </w:rPr>
            </w:pPr>
            <w:r>
              <w:rPr>
                <w:rFonts w:ascii="Arial" w:hAnsi="Arial" w:cs="Arial"/>
                <w:sz w:val="18"/>
                <w:szCs w:val="18"/>
              </w:rPr>
              <w:t>4–12 hours</w:t>
            </w:r>
          </w:p>
        </w:tc>
        <w:tc>
          <w:tcPr>
            <w:tcW w:w="1275" w:type="dxa"/>
          </w:tcPr>
          <w:p w14:paraId="18D108C8"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726</w:t>
            </w:r>
          </w:p>
        </w:tc>
        <w:tc>
          <w:tcPr>
            <w:tcW w:w="1276" w:type="dxa"/>
          </w:tcPr>
          <w:p w14:paraId="264AA85D"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767</w:t>
            </w:r>
          </w:p>
        </w:tc>
        <w:tc>
          <w:tcPr>
            <w:tcW w:w="1276" w:type="dxa"/>
          </w:tcPr>
          <w:p w14:paraId="1929CB1C"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580</w:t>
            </w:r>
          </w:p>
        </w:tc>
        <w:tc>
          <w:tcPr>
            <w:tcW w:w="1276" w:type="dxa"/>
          </w:tcPr>
          <w:p w14:paraId="7361A40C"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612</w:t>
            </w:r>
          </w:p>
        </w:tc>
        <w:tc>
          <w:tcPr>
            <w:tcW w:w="1276" w:type="dxa"/>
          </w:tcPr>
          <w:p w14:paraId="03DF4704" w14:textId="77777777" w:rsidR="008A27E6" w:rsidRDefault="008A27E6"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566</w:t>
            </w:r>
          </w:p>
        </w:tc>
      </w:tr>
      <w:tr w:rsidR="00C74E2D" w14:paraId="42A86878" w14:textId="77777777" w:rsidTr="1AA722E5">
        <w:tc>
          <w:tcPr>
            <w:tcW w:w="2835" w:type="dxa"/>
          </w:tcPr>
          <w:p w14:paraId="422C60F6" w14:textId="77777777" w:rsidR="008A27E6" w:rsidRDefault="008A27E6" w:rsidP="004110AE">
            <w:pPr>
              <w:pStyle w:val="EmptyLayoutCell"/>
              <w:spacing w:before="60" w:after="60"/>
              <w:rPr>
                <w:rFonts w:ascii="Arial" w:hAnsi="Arial" w:cs="Arial"/>
                <w:sz w:val="18"/>
                <w:szCs w:val="18"/>
              </w:rPr>
            </w:pPr>
            <w:r>
              <w:rPr>
                <w:rFonts w:ascii="Arial" w:hAnsi="Arial" w:cs="Arial"/>
                <w:sz w:val="18"/>
                <w:szCs w:val="18"/>
              </w:rPr>
              <w:t>&gt; 12 hours</w:t>
            </w:r>
          </w:p>
        </w:tc>
        <w:tc>
          <w:tcPr>
            <w:tcW w:w="1275" w:type="dxa"/>
          </w:tcPr>
          <w:p w14:paraId="35E5D3D7" w14:textId="77777777" w:rsidR="008A27E6" w:rsidRPr="00971727" w:rsidRDefault="008A27E6"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997</w:t>
            </w:r>
          </w:p>
        </w:tc>
        <w:tc>
          <w:tcPr>
            <w:tcW w:w="1276" w:type="dxa"/>
          </w:tcPr>
          <w:p w14:paraId="4CFCA9F5" w14:textId="77777777" w:rsidR="008A27E6" w:rsidRPr="00971727" w:rsidRDefault="008A27E6"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1,170</w:t>
            </w:r>
          </w:p>
        </w:tc>
        <w:tc>
          <w:tcPr>
            <w:tcW w:w="1276" w:type="dxa"/>
          </w:tcPr>
          <w:p w14:paraId="14110774" w14:textId="77777777" w:rsidR="008A27E6" w:rsidRPr="00971727" w:rsidRDefault="008A27E6"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1,224</w:t>
            </w:r>
          </w:p>
        </w:tc>
        <w:tc>
          <w:tcPr>
            <w:tcW w:w="1276" w:type="dxa"/>
          </w:tcPr>
          <w:p w14:paraId="6C57B2BF" w14:textId="77777777" w:rsidR="008A27E6" w:rsidRPr="00971727" w:rsidRDefault="008A27E6"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747</w:t>
            </w:r>
          </w:p>
        </w:tc>
        <w:tc>
          <w:tcPr>
            <w:tcW w:w="1276" w:type="dxa"/>
          </w:tcPr>
          <w:p w14:paraId="7B713FC5" w14:textId="77777777" w:rsidR="008A27E6" w:rsidRPr="00971727" w:rsidRDefault="008A27E6"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614</w:t>
            </w:r>
          </w:p>
        </w:tc>
      </w:tr>
    </w:tbl>
    <w:p w14:paraId="5D5B02CC" w14:textId="5C3020EF" w:rsidR="00381B2F" w:rsidRDefault="003F57E9" w:rsidP="1AA722E5">
      <w:pPr>
        <w:pStyle w:val="Heading3"/>
      </w:pPr>
      <w:r w:rsidRPr="003F57E9">
        <w:t xml:space="preserve">Acute inpatient units – </w:t>
      </w:r>
      <w:r w:rsidR="009C5265">
        <w:t>r</w:t>
      </w:r>
      <w:r w:rsidR="2B5BBC2D">
        <w:t xml:space="preserve">ates of </w:t>
      </w:r>
      <w:r w:rsidR="002B44E3">
        <w:t>restraint</w:t>
      </w:r>
      <w:r w:rsidR="2B5BBC2D" w:rsidRPr="1AA722E5">
        <w:rPr>
          <w:bCs w:val="0"/>
          <w:sz w:val="24"/>
          <w:szCs w:val="24"/>
        </w:rPr>
        <w:t xml:space="preserve"> </w:t>
      </w:r>
    </w:p>
    <w:p w14:paraId="7627D0DC" w14:textId="77777777" w:rsidR="005379E4" w:rsidRDefault="00381B2F" w:rsidP="00563C62">
      <w:pPr>
        <w:pStyle w:val="Body"/>
      </w:pPr>
      <w:r w:rsidRPr="00A83DB5">
        <w:t>Bodily restraint refers to physical restraint (placing hands on a person to restrict movement) and mechanical restraint (us</w:t>
      </w:r>
      <w:r w:rsidR="004B3E48">
        <w:t>ing</w:t>
      </w:r>
      <w:r w:rsidRPr="00A83DB5">
        <w:t xml:space="preserve"> </w:t>
      </w:r>
      <w:r w:rsidR="35D15A8E">
        <w:t>a device to prevent or restrict a person’s movement</w:t>
      </w:r>
      <w:r>
        <w:t>).</w:t>
      </w:r>
      <w:r w:rsidRPr="00A83DB5">
        <w:t xml:space="preserve"> The Act requires mental health services</w:t>
      </w:r>
      <w:r w:rsidR="00874AAA">
        <w:t xml:space="preserve"> to</w:t>
      </w:r>
      <w:r w:rsidRPr="00A83DB5">
        <w:t xml:space="preserve"> inform the Chief Psychiatrist of both types of practice.</w:t>
      </w:r>
    </w:p>
    <w:p w14:paraId="40F8680C" w14:textId="5F8D449B" w:rsidR="00381B2F" w:rsidRPr="00A83DB5" w:rsidRDefault="005379E4" w:rsidP="00563C62">
      <w:pPr>
        <w:pStyle w:val="Body"/>
      </w:pPr>
      <w:r w:rsidRPr="005379E4">
        <w:t xml:space="preserve">Chemical restraint is now defined as a restrictive intervention in the Act. As with bodily and physical restraint, the use of chemical restraint must also be reported to the Chief Psychiatrist. The OCP is working with services to standardise reporting processes across </w:t>
      </w:r>
      <w:proofErr w:type="gramStart"/>
      <w:r w:rsidRPr="005379E4">
        <w:t>Victoria, and</w:t>
      </w:r>
      <w:proofErr w:type="gramEnd"/>
      <w:r w:rsidRPr="005379E4">
        <w:t xml:space="preserve"> will be including chemical restraint data in future annual reports once this work is completed and there is greater reliability in the data (see below).</w:t>
      </w:r>
      <w:r w:rsidR="00381B2F" w:rsidRPr="00A83DB5">
        <w:t xml:space="preserve"> </w:t>
      </w:r>
    </w:p>
    <w:p w14:paraId="457605FD" w14:textId="482B92EB" w:rsidR="00381B2F" w:rsidRDefault="007D378D" w:rsidP="6A77C92E">
      <w:pPr>
        <w:pStyle w:val="Body"/>
        <w:rPr>
          <w:highlight w:val="yellow"/>
        </w:rPr>
      </w:pPr>
      <w:r>
        <w:t xml:space="preserve">Figure 7 and </w:t>
      </w:r>
      <w:r w:rsidR="00381B2F">
        <w:t xml:space="preserve">Table </w:t>
      </w:r>
      <w:r w:rsidR="75502575">
        <w:t>1</w:t>
      </w:r>
      <w:r w:rsidR="003360B6">
        <w:t>2</w:t>
      </w:r>
      <w:r w:rsidR="00381B2F">
        <w:t xml:space="preserve"> show that bodily restraint episodes per 1,000 occupied bed </w:t>
      </w:r>
      <w:r w:rsidR="00F26B5E">
        <w:t>days</w:t>
      </w:r>
      <w:r w:rsidR="4A235C07">
        <w:t xml:space="preserve"> </w:t>
      </w:r>
      <w:r w:rsidR="001839D3">
        <w:t>have</w:t>
      </w:r>
      <w:r w:rsidR="4A235C07">
        <w:t xml:space="preserve"> </w:t>
      </w:r>
      <w:r w:rsidR="004074D6">
        <w:t xml:space="preserve">again </w:t>
      </w:r>
      <w:r w:rsidR="4A235C07">
        <w:t xml:space="preserve">decreased </w:t>
      </w:r>
      <w:r w:rsidR="00914C95">
        <w:t>overall,</w:t>
      </w:r>
      <w:r w:rsidR="4A235C07">
        <w:t xml:space="preserve"> with most types of units trending in this direction. </w:t>
      </w:r>
      <w:r w:rsidR="00F17D50">
        <w:t xml:space="preserve">Child and adolescent units </w:t>
      </w:r>
      <w:r>
        <w:t xml:space="preserve">have </w:t>
      </w:r>
      <w:r w:rsidR="00F17D50">
        <w:t>decreas</w:t>
      </w:r>
      <w:r>
        <w:t>ed</w:t>
      </w:r>
      <w:r w:rsidR="00F17D50">
        <w:t xml:space="preserve"> over </w:t>
      </w:r>
      <w:r w:rsidR="00AD12EC">
        <w:t xml:space="preserve">3 </w:t>
      </w:r>
      <w:r w:rsidR="002E11A0">
        <w:t>financial years</w:t>
      </w:r>
      <w:r w:rsidR="000953FD">
        <w:t xml:space="preserve">. </w:t>
      </w:r>
      <w:r w:rsidR="002E11A0">
        <w:t xml:space="preserve">Forensic units </w:t>
      </w:r>
      <w:r w:rsidR="004F41A4">
        <w:t>have</w:t>
      </w:r>
      <w:r w:rsidR="002E11A0">
        <w:t xml:space="preserve"> a </w:t>
      </w:r>
      <w:r w:rsidR="000C5407">
        <w:t>slight increase this year</w:t>
      </w:r>
      <w:r w:rsidR="00147463">
        <w:t xml:space="preserve"> whil</w:t>
      </w:r>
      <w:r>
        <w:t>e</w:t>
      </w:r>
      <w:r w:rsidR="00147463">
        <w:t xml:space="preserve"> trending down </w:t>
      </w:r>
      <w:r w:rsidR="00542B17">
        <w:t xml:space="preserve">significantly </w:t>
      </w:r>
      <w:r w:rsidR="00147463">
        <w:t>since 2019</w:t>
      </w:r>
      <w:r w:rsidR="007B5B5D">
        <w:t>–</w:t>
      </w:r>
      <w:r w:rsidR="00147463">
        <w:t>20</w:t>
      </w:r>
      <w:r w:rsidR="00E74752">
        <w:t xml:space="preserve">. </w:t>
      </w:r>
    </w:p>
    <w:p w14:paraId="2E9B0494" w14:textId="7A2B7400" w:rsidR="00B72FC2" w:rsidRDefault="00FF53C1" w:rsidP="00D665F6">
      <w:pPr>
        <w:pStyle w:val="Figurecaption"/>
        <w:rPr>
          <w:rFonts w:eastAsia="Arial"/>
        </w:rPr>
      </w:pPr>
      <w:r>
        <w:t>Figure 7</w:t>
      </w:r>
      <w:r w:rsidR="00B72FC2">
        <w:t xml:space="preserve">: </w:t>
      </w:r>
      <w:r w:rsidR="00B72FC2" w:rsidRPr="1AA722E5">
        <w:rPr>
          <w:rFonts w:eastAsia="Arial"/>
        </w:rPr>
        <w:t>Rate of bodily restraint episodes per 1,000 occupied bed days, by type of acute inpatient unit, 2019–20 to 2023–24</w:t>
      </w:r>
    </w:p>
    <w:p w14:paraId="077FB864" w14:textId="5EB96DFA" w:rsidR="00B72FC2" w:rsidRDefault="00FF53C1" w:rsidP="00434B70">
      <w:pPr>
        <w:pStyle w:val="Body"/>
      </w:pPr>
      <w:r>
        <w:rPr>
          <w:noProof/>
        </w:rPr>
        <w:drawing>
          <wp:inline distT="0" distB="0" distL="0" distR="0" wp14:anchorId="0ABD0610" wp14:editId="50C3E420">
            <wp:extent cx="4434840" cy="2575560"/>
            <wp:effectExtent l="0" t="0" r="3810" b="15240"/>
            <wp:docPr id="1065670262" name="Chart 1" descr="For a breakdown of the data in this figure, refer to Table 12.">
              <a:extLst xmlns:a="http://schemas.openxmlformats.org/drawingml/2006/main">
                <a:ext uri="{FF2B5EF4-FFF2-40B4-BE49-F238E27FC236}">
                  <a16:creationId xmlns:a16="http://schemas.microsoft.com/office/drawing/2014/main" id="{C529AA0D-0100-232E-2025-45D96454D2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A06C7E" w14:textId="193D3534" w:rsidR="00B9559C" w:rsidRPr="003B292B" w:rsidRDefault="00381B2F" w:rsidP="1AA722E5">
      <w:pPr>
        <w:pStyle w:val="Tablecaption"/>
        <w:rPr>
          <w:rFonts w:eastAsia="Arial"/>
        </w:rPr>
      </w:pPr>
      <w:r>
        <w:lastRenderedPageBreak/>
        <w:t xml:space="preserve">Table </w:t>
      </w:r>
      <w:r w:rsidR="202F44FB">
        <w:t>1</w:t>
      </w:r>
      <w:r w:rsidR="003360B6">
        <w:t>2</w:t>
      </w:r>
      <w:r>
        <w:t>:</w:t>
      </w:r>
      <w:r w:rsidR="00B5548B">
        <w:t xml:space="preserve"> </w:t>
      </w:r>
      <w:r w:rsidR="00E63D82" w:rsidRPr="1AA722E5">
        <w:rPr>
          <w:rFonts w:eastAsia="Arial"/>
        </w:rPr>
        <w:t>Rate of bodily restraint episodes per 1,000 occupied bed days, by type of acute inpatient unit</w:t>
      </w:r>
      <w:r w:rsidRPr="1AA722E5">
        <w:rPr>
          <w:rFonts w:eastAsia="Arial"/>
        </w:rPr>
        <w:t>, 201</w:t>
      </w:r>
      <w:r w:rsidR="00247498" w:rsidRPr="1AA722E5">
        <w:rPr>
          <w:rFonts w:eastAsia="Arial"/>
        </w:rPr>
        <w:t>9</w:t>
      </w:r>
      <w:r w:rsidR="0012686C" w:rsidRPr="1AA722E5">
        <w:rPr>
          <w:rFonts w:eastAsia="Arial"/>
        </w:rPr>
        <w:t>–</w:t>
      </w:r>
      <w:r w:rsidR="00247498" w:rsidRPr="1AA722E5">
        <w:rPr>
          <w:rFonts w:eastAsia="Arial"/>
        </w:rPr>
        <w:t>20</w:t>
      </w:r>
      <w:r w:rsidRPr="1AA722E5">
        <w:rPr>
          <w:rFonts w:eastAsia="Arial"/>
        </w:rPr>
        <w:t xml:space="preserve"> to </w:t>
      </w:r>
      <w:r w:rsidR="007B2175" w:rsidRPr="1AA722E5">
        <w:rPr>
          <w:rFonts w:eastAsia="Arial"/>
        </w:rPr>
        <w:t>202</w:t>
      </w:r>
      <w:r w:rsidR="00247498" w:rsidRPr="1AA722E5">
        <w:rPr>
          <w:rFonts w:eastAsia="Arial"/>
        </w:rPr>
        <w:t>3</w:t>
      </w:r>
      <w:r w:rsidR="007B2175" w:rsidRPr="1AA722E5">
        <w:rPr>
          <w:rFonts w:eastAsia="Arial"/>
        </w:rPr>
        <w:t>–2</w:t>
      </w:r>
      <w:r w:rsidR="00247498" w:rsidRPr="1AA722E5">
        <w:rPr>
          <w:rFonts w:eastAsia="Arial"/>
        </w:rPr>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835"/>
        <w:gridCol w:w="1275"/>
        <w:gridCol w:w="1276"/>
        <w:gridCol w:w="1276"/>
        <w:gridCol w:w="1276"/>
        <w:gridCol w:w="1276"/>
      </w:tblGrid>
      <w:tr w:rsidR="00C87704" w14:paraId="6F33B8EE" w14:textId="77777777" w:rsidTr="00D665F6">
        <w:trPr>
          <w:tblHeader/>
        </w:trPr>
        <w:tc>
          <w:tcPr>
            <w:tcW w:w="2835" w:type="dxa"/>
            <w:shd w:val="clear" w:color="auto" w:fill="244C5A"/>
          </w:tcPr>
          <w:p w14:paraId="21369DB6" w14:textId="3C3488E2" w:rsidR="000D5000" w:rsidRPr="009E1217" w:rsidRDefault="007D378D" w:rsidP="004110AE">
            <w:pPr>
              <w:pStyle w:val="EmptyLayoutCell"/>
              <w:spacing w:before="60" w:after="60"/>
              <w:rPr>
                <w:rFonts w:ascii="Arial" w:hAnsi="Arial" w:cs="Arial"/>
                <w:color w:val="FFFFFF"/>
                <w:sz w:val="18"/>
                <w:szCs w:val="18"/>
              </w:rPr>
            </w:pPr>
            <w:r>
              <w:rPr>
                <w:rFonts w:ascii="Arial" w:hAnsi="Arial" w:cs="Arial"/>
                <w:color w:val="FFFFFF"/>
                <w:sz w:val="18"/>
                <w:szCs w:val="18"/>
              </w:rPr>
              <w:t>Type of unit</w:t>
            </w:r>
          </w:p>
        </w:tc>
        <w:tc>
          <w:tcPr>
            <w:tcW w:w="1275" w:type="dxa"/>
            <w:shd w:val="clear" w:color="auto" w:fill="244C5A"/>
          </w:tcPr>
          <w:p w14:paraId="7451A5E2" w14:textId="77777777" w:rsidR="000D5000" w:rsidRPr="009E1217" w:rsidRDefault="000D500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276" w:type="dxa"/>
            <w:shd w:val="clear" w:color="auto" w:fill="244C5A"/>
          </w:tcPr>
          <w:p w14:paraId="7B55C02A" w14:textId="77777777" w:rsidR="000D5000" w:rsidRPr="009E1217" w:rsidRDefault="000D500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276" w:type="dxa"/>
            <w:shd w:val="clear" w:color="auto" w:fill="244C5A"/>
          </w:tcPr>
          <w:p w14:paraId="23BA0F35" w14:textId="77777777" w:rsidR="000D5000" w:rsidRPr="009E1217" w:rsidRDefault="000D500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276" w:type="dxa"/>
            <w:shd w:val="clear" w:color="auto" w:fill="244C5A"/>
          </w:tcPr>
          <w:p w14:paraId="33E63926" w14:textId="77777777" w:rsidR="000D5000" w:rsidRPr="009E1217" w:rsidRDefault="000D500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276" w:type="dxa"/>
            <w:shd w:val="clear" w:color="auto" w:fill="244C5A"/>
          </w:tcPr>
          <w:p w14:paraId="222B38EE" w14:textId="77777777" w:rsidR="000D5000" w:rsidRPr="009E1217" w:rsidRDefault="000D500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2171C753" w14:textId="77777777" w:rsidTr="000D5000">
        <w:tc>
          <w:tcPr>
            <w:tcW w:w="2835" w:type="dxa"/>
          </w:tcPr>
          <w:p w14:paraId="2E4A84B0" w14:textId="77777777" w:rsidR="000D5000" w:rsidRDefault="000D5000" w:rsidP="004110AE">
            <w:pPr>
              <w:pStyle w:val="EmptyLayoutCell"/>
              <w:spacing w:before="60" w:after="60"/>
              <w:rPr>
                <w:rFonts w:ascii="Arial" w:hAnsi="Arial" w:cs="Arial"/>
                <w:sz w:val="18"/>
                <w:szCs w:val="18"/>
              </w:rPr>
            </w:pPr>
            <w:r>
              <w:rPr>
                <w:rFonts w:ascii="Arial" w:hAnsi="Arial" w:cs="Arial"/>
                <w:sz w:val="18"/>
                <w:szCs w:val="18"/>
              </w:rPr>
              <w:t>Adult</w:t>
            </w:r>
          </w:p>
        </w:tc>
        <w:tc>
          <w:tcPr>
            <w:tcW w:w="1275" w:type="dxa"/>
          </w:tcPr>
          <w:p w14:paraId="21159124"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11.8</w:t>
            </w:r>
          </w:p>
        </w:tc>
        <w:tc>
          <w:tcPr>
            <w:tcW w:w="1276" w:type="dxa"/>
          </w:tcPr>
          <w:p w14:paraId="536DE253"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13.4</w:t>
            </w:r>
          </w:p>
        </w:tc>
        <w:tc>
          <w:tcPr>
            <w:tcW w:w="1276" w:type="dxa"/>
          </w:tcPr>
          <w:p w14:paraId="39907899"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13.7</w:t>
            </w:r>
          </w:p>
        </w:tc>
        <w:tc>
          <w:tcPr>
            <w:tcW w:w="1276" w:type="dxa"/>
          </w:tcPr>
          <w:p w14:paraId="766F5561"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12.5</w:t>
            </w:r>
          </w:p>
        </w:tc>
        <w:tc>
          <w:tcPr>
            <w:tcW w:w="1276" w:type="dxa"/>
          </w:tcPr>
          <w:p w14:paraId="282B553D"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12.0</w:t>
            </w:r>
          </w:p>
        </w:tc>
      </w:tr>
      <w:tr w:rsidR="00C74E2D" w14:paraId="5BB12F17" w14:textId="77777777" w:rsidTr="000D5000">
        <w:tc>
          <w:tcPr>
            <w:tcW w:w="2835" w:type="dxa"/>
          </w:tcPr>
          <w:p w14:paraId="24F87D8A" w14:textId="77777777" w:rsidR="000D5000" w:rsidRPr="007A09B2" w:rsidRDefault="000D5000" w:rsidP="004110AE">
            <w:pPr>
              <w:pStyle w:val="EmptyLayoutCell"/>
              <w:spacing w:before="60" w:after="60"/>
              <w:rPr>
                <w:rFonts w:ascii="Arial" w:hAnsi="Arial" w:cs="Arial"/>
                <w:sz w:val="18"/>
                <w:szCs w:val="18"/>
              </w:rPr>
            </w:pPr>
            <w:r>
              <w:rPr>
                <w:rFonts w:ascii="Arial" w:hAnsi="Arial" w:cs="Arial"/>
                <w:sz w:val="18"/>
                <w:szCs w:val="18"/>
              </w:rPr>
              <w:t>Older persons</w:t>
            </w:r>
          </w:p>
        </w:tc>
        <w:tc>
          <w:tcPr>
            <w:tcW w:w="1275" w:type="dxa"/>
          </w:tcPr>
          <w:p w14:paraId="2E6B9687"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8.9</w:t>
            </w:r>
          </w:p>
        </w:tc>
        <w:tc>
          <w:tcPr>
            <w:tcW w:w="1276" w:type="dxa"/>
          </w:tcPr>
          <w:p w14:paraId="707A8518"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8.5</w:t>
            </w:r>
          </w:p>
        </w:tc>
        <w:tc>
          <w:tcPr>
            <w:tcW w:w="1276" w:type="dxa"/>
          </w:tcPr>
          <w:p w14:paraId="2750D192"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6.4</w:t>
            </w:r>
          </w:p>
        </w:tc>
        <w:tc>
          <w:tcPr>
            <w:tcW w:w="1276" w:type="dxa"/>
          </w:tcPr>
          <w:p w14:paraId="62849E96"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5.3</w:t>
            </w:r>
          </w:p>
        </w:tc>
        <w:tc>
          <w:tcPr>
            <w:tcW w:w="1276" w:type="dxa"/>
          </w:tcPr>
          <w:p w14:paraId="14C4C473" w14:textId="77777777" w:rsidR="000D5000" w:rsidRDefault="000D500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5.4</w:t>
            </w:r>
          </w:p>
        </w:tc>
      </w:tr>
      <w:tr w:rsidR="00C74E2D" w14:paraId="38227C3B" w14:textId="77777777" w:rsidTr="000D5000">
        <w:tc>
          <w:tcPr>
            <w:tcW w:w="2835" w:type="dxa"/>
          </w:tcPr>
          <w:p w14:paraId="376871DA" w14:textId="77777777" w:rsidR="000D5000" w:rsidRDefault="000D5000" w:rsidP="004110AE">
            <w:pPr>
              <w:pStyle w:val="EmptyLayoutCell"/>
              <w:spacing w:before="60" w:after="60"/>
              <w:rPr>
                <w:rFonts w:ascii="Arial" w:hAnsi="Arial" w:cs="Arial"/>
                <w:sz w:val="18"/>
                <w:szCs w:val="18"/>
              </w:rPr>
            </w:pPr>
            <w:r>
              <w:rPr>
                <w:rFonts w:ascii="Arial" w:hAnsi="Arial" w:cs="Arial"/>
                <w:sz w:val="18"/>
                <w:szCs w:val="18"/>
              </w:rPr>
              <w:t>Child and adolescent</w:t>
            </w:r>
          </w:p>
        </w:tc>
        <w:tc>
          <w:tcPr>
            <w:tcW w:w="1275" w:type="dxa"/>
          </w:tcPr>
          <w:p w14:paraId="27DA33E9"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42.3</w:t>
            </w:r>
          </w:p>
        </w:tc>
        <w:tc>
          <w:tcPr>
            <w:tcW w:w="1276" w:type="dxa"/>
          </w:tcPr>
          <w:p w14:paraId="79062A10"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50.4</w:t>
            </w:r>
          </w:p>
        </w:tc>
        <w:tc>
          <w:tcPr>
            <w:tcW w:w="1276" w:type="dxa"/>
          </w:tcPr>
          <w:p w14:paraId="7C889F65"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66.8</w:t>
            </w:r>
          </w:p>
        </w:tc>
        <w:tc>
          <w:tcPr>
            <w:tcW w:w="1276" w:type="dxa"/>
          </w:tcPr>
          <w:p w14:paraId="2057E200"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64.6</w:t>
            </w:r>
          </w:p>
        </w:tc>
        <w:tc>
          <w:tcPr>
            <w:tcW w:w="1276" w:type="dxa"/>
          </w:tcPr>
          <w:p w14:paraId="6685DAA9"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27.3</w:t>
            </w:r>
          </w:p>
        </w:tc>
      </w:tr>
      <w:tr w:rsidR="00C74E2D" w14:paraId="5E97F6C1" w14:textId="77777777" w:rsidTr="000D5000">
        <w:tc>
          <w:tcPr>
            <w:tcW w:w="2835" w:type="dxa"/>
          </w:tcPr>
          <w:p w14:paraId="1E04C06C" w14:textId="77777777" w:rsidR="000D5000" w:rsidRDefault="000D5000" w:rsidP="004110AE">
            <w:pPr>
              <w:pStyle w:val="EmptyLayoutCell"/>
              <w:spacing w:before="60" w:after="60"/>
              <w:rPr>
                <w:rFonts w:ascii="Arial" w:hAnsi="Arial" w:cs="Arial"/>
                <w:sz w:val="18"/>
                <w:szCs w:val="18"/>
              </w:rPr>
            </w:pPr>
            <w:r>
              <w:rPr>
                <w:rFonts w:ascii="Arial" w:hAnsi="Arial" w:cs="Arial"/>
                <w:sz w:val="18"/>
                <w:szCs w:val="18"/>
              </w:rPr>
              <w:t>Forensic</w:t>
            </w:r>
          </w:p>
        </w:tc>
        <w:tc>
          <w:tcPr>
            <w:tcW w:w="1275" w:type="dxa"/>
          </w:tcPr>
          <w:p w14:paraId="1411363F"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90.3</w:t>
            </w:r>
          </w:p>
        </w:tc>
        <w:tc>
          <w:tcPr>
            <w:tcW w:w="1276" w:type="dxa"/>
          </w:tcPr>
          <w:p w14:paraId="735AC67B"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76.5</w:t>
            </w:r>
          </w:p>
        </w:tc>
        <w:tc>
          <w:tcPr>
            <w:tcW w:w="1276" w:type="dxa"/>
          </w:tcPr>
          <w:p w14:paraId="7C7D5457"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59.7</w:t>
            </w:r>
          </w:p>
        </w:tc>
        <w:tc>
          <w:tcPr>
            <w:tcW w:w="1276" w:type="dxa"/>
          </w:tcPr>
          <w:p w14:paraId="6F1990F4"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45.8</w:t>
            </w:r>
          </w:p>
        </w:tc>
        <w:tc>
          <w:tcPr>
            <w:tcW w:w="1276" w:type="dxa"/>
          </w:tcPr>
          <w:p w14:paraId="42DACA84"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50.2</w:t>
            </w:r>
          </w:p>
        </w:tc>
      </w:tr>
      <w:tr w:rsidR="00C74E2D" w14:paraId="064A1E25" w14:textId="77777777" w:rsidTr="000D5000">
        <w:tc>
          <w:tcPr>
            <w:tcW w:w="2835" w:type="dxa"/>
          </w:tcPr>
          <w:p w14:paraId="06E22AED" w14:textId="77777777" w:rsidR="000D5000" w:rsidRDefault="000D5000" w:rsidP="004110AE">
            <w:pPr>
              <w:pStyle w:val="EmptyLayoutCell"/>
              <w:spacing w:before="60" w:after="60"/>
              <w:rPr>
                <w:rFonts w:ascii="Arial" w:hAnsi="Arial" w:cs="Arial"/>
                <w:sz w:val="18"/>
                <w:szCs w:val="18"/>
              </w:rPr>
            </w:pPr>
            <w:r>
              <w:rPr>
                <w:rFonts w:ascii="Arial" w:hAnsi="Arial" w:cs="Arial"/>
                <w:sz w:val="18"/>
                <w:szCs w:val="18"/>
              </w:rPr>
              <w:t>Specialist</w:t>
            </w:r>
          </w:p>
        </w:tc>
        <w:tc>
          <w:tcPr>
            <w:tcW w:w="1275" w:type="dxa"/>
          </w:tcPr>
          <w:p w14:paraId="588E6348"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0.8</w:t>
            </w:r>
          </w:p>
        </w:tc>
        <w:tc>
          <w:tcPr>
            <w:tcW w:w="1276" w:type="dxa"/>
          </w:tcPr>
          <w:p w14:paraId="6983B239"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1.1</w:t>
            </w:r>
          </w:p>
        </w:tc>
        <w:tc>
          <w:tcPr>
            <w:tcW w:w="1276" w:type="dxa"/>
          </w:tcPr>
          <w:p w14:paraId="7C591237"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10.2</w:t>
            </w:r>
          </w:p>
        </w:tc>
        <w:tc>
          <w:tcPr>
            <w:tcW w:w="1276" w:type="dxa"/>
          </w:tcPr>
          <w:p w14:paraId="001CBC33"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15.2</w:t>
            </w:r>
          </w:p>
        </w:tc>
        <w:tc>
          <w:tcPr>
            <w:tcW w:w="1276" w:type="dxa"/>
          </w:tcPr>
          <w:p w14:paraId="696C9983" w14:textId="77777777" w:rsidR="000D5000" w:rsidRPr="00971727" w:rsidRDefault="000D5000"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4.7</w:t>
            </w:r>
          </w:p>
        </w:tc>
      </w:tr>
      <w:tr w:rsidR="00C74E2D" w14:paraId="1EE3DFEB" w14:textId="77777777" w:rsidTr="000D5000">
        <w:tc>
          <w:tcPr>
            <w:tcW w:w="2835" w:type="dxa"/>
          </w:tcPr>
          <w:p w14:paraId="6473345A" w14:textId="77777777" w:rsidR="000D5000" w:rsidRPr="00CA00AF" w:rsidRDefault="000D5000" w:rsidP="004110AE">
            <w:pPr>
              <w:pStyle w:val="EmptyLayoutCell"/>
              <w:spacing w:before="60" w:after="60"/>
              <w:rPr>
                <w:rFonts w:ascii="Arial" w:hAnsi="Arial" w:cs="Arial"/>
                <w:b/>
                <w:bCs/>
                <w:sz w:val="18"/>
                <w:szCs w:val="18"/>
              </w:rPr>
            </w:pPr>
            <w:r w:rsidRPr="00CA00AF">
              <w:rPr>
                <w:rFonts w:ascii="Arial" w:hAnsi="Arial" w:cs="Arial"/>
                <w:b/>
                <w:bCs/>
                <w:sz w:val="18"/>
                <w:szCs w:val="18"/>
              </w:rPr>
              <w:t>Total</w:t>
            </w:r>
          </w:p>
        </w:tc>
        <w:tc>
          <w:tcPr>
            <w:tcW w:w="1275" w:type="dxa"/>
          </w:tcPr>
          <w:p w14:paraId="157C3DDD" w14:textId="77777777" w:rsidR="000D5000" w:rsidRPr="00971727" w:rsidRDefault="000D5000" w:rsidP="004110AE">
            <w:pPr>
              <w:pStyle w:val="EmptyLayoutCell"/>
              <w:spacing w:before="60" w:after="60"/>
              <w:rPr>
                <w:rFonts w:ascii="Arial" w:eastAsia="Verdana" w:hAnsi="Arial" w:cs="Arial"/>
                <w:color w:val="000000"/>
                <w:sz w:val="18"/>
              </w:rPr>
            </w:pPr>
            <w:r w:rsidRPr="00F1217E">
              <w:rPr>
                <w:rFonts w:ascii="Arial" w:eastAsia="Verdana" w:hAnsi="Arial" w:cs="Arial"/>
                <w:b/>
                <w:bCs/>
                <w:color w:val="000000"/>
                <w:sz w:val="18"/>
                <w:szCs w:val="18"/>
              </w:rPr>
              <w:t>20.8</w:t>
            </w:r>
          </w:p>
        </w:tc>
        <w:tc>
          <w:tcPr>
            <w:tcW w:w="1276" w:type="dxa"/>
          </w:tcPr>
          <w:p w14:paraId="5A5E15F5" w14:textId="77777777" w:rsidR="000D5000" w:rsidRPr="00971727" w:rsidRDefault="000D5000" w:rsidP="004110AE">
            <w:pPr>
              <w:pStyle w:val="EmptyLayoutCell"/>
              <w:spacing w:before="60" w:after="60"/>
              <w:rPr>
                <w:rFonts w:ascii="Arial" w:eastAsia="Verdana" w:hAnsi="Arial" w:cs="Arial"/>
                <w:color w:val="000000"/>
                <w:sz w:val="18"/>
              </w:rPr>
            </w:pPr>
            <w:r w:rsidRPr="00F1217E">
              <w:rPr>
                <w:rFonts w:ascii="Arial" w:eastAsia="Verdana" w:hAnsi="Arial" w:cs="Arial"/>
                <w:b/>
                <w:bCs/>
                <w:color w:val="000000"/>
                <w:sz w:val="18"/>
                <w:szCs w:val="18"/>
              </w:rPr>
              <w:t>21.0</w:t>
            </w:r>
          </w:p>
        </w:tc>
        <w:tc>
          <w:tcPr>
            <w:tcW w:w="1276" w:type="dxa"/>
          </w:tcPr>
          <w:p w14:paraId="667D4D90" w14:textId="77777777" w:rsidR="000D5000" w:rsidRPr="00971727" w:rsidRDefault="000D5000" w:rsidP="004110AE">
            <w:pPr>
              <w:pStyle w:val="EmptyLayoutCell"/>
              <w:spacing w:before="60" w:after="60"/>
              <w:rPr>
                <w:rFonts w:ascii="Arial" w:eastAsia="Verdana" w:hAnsi="Arial" w:cs="Arial"/>
                <w:color w:val="000000"/>
                <w:sz w:val="18"/>
              </w:rPr>
            </w:pPr>
            <w:r w:rsidRPr="00F1217E">
              <w:rPr>
                <w:rFonts w:ascii="Arial" w:eastAsia="Verdana" w:hAnsi="Arial" w:cs="Arial"/>
                <w:b/>
                <w:bCs/>
                <w:color w:val="000000"/>
                <w:sz w:val="18"/>
                <w:szCs w:val="18"/>
              </w:rPr>
              <w:t>19.8</w:t>
            </w:r>
          </w:p>
        </w:tc>
        <w:tc>
          <w:tcPr>
            <w:tcW w:w="1276" w:type="dxa"/>
          </w:tcPr>
          <w:p w14:paraId="70158D4A" w14:textId="77777777" w:rsidR="000D5000" w:rsidRPr="00971727" w:rsidRDefault="000D5000" w:rsidP="004110AE">
            <w:pPr>
              <w:pStyle w:val="EmptyLayoutCell"/>
              <w:spacing w:before="60" w:after="60"/>
              <w:rPr>
                <w:rFonts w:ascii="Arial" w:eastAsia="Verdana" w:hAnsi="Arial" w:cs="Arial"/>
                <w:color w:val="000000"/>
                <w:sz w:val="18"/>
              </w:rPr>
            </w:pPr>
            <w:r w:rsidRPr="00F1217E">
              <w:rPr>
                <w:rFonts w:ascii="Arial" w:eastAsia="Verdana" w:hAnsi="Arial" w:cs="Arial"/>
                <w:b/>
                <w:bCs/>
                <w:color w:val="000000"/>
                <w:sz w:val="18"/>
                <w:szCs w:val="18"/>
              </w:rPr>
              <w:t>17.0</w:t>
            </w:r>
          </w:p>
        </w:tc>
        <w:tc>
          <w:tcPr>
            <w:tcW w:w="1276" w:type="dxa"/>
          </w:tcPr>
          <w:p w14:paraId="05DA3304" w14:textId="77777777" w:rsidR="000D5000" w:rsidRPr="00971727" w:rsidRDefault="000D5000" w:rsidP="004110AE">
            <w:pPr>
              <w:pStyle w:val="EmptyLayoutCell"/>
              <w:spacing w:before="60" w:after="60"/>
              <w:rPr>
                <w:rFonts w:ascii="Arial" w:eastAsia="Verdana" w:hAnsi="Arial" w:cs="Arial"/>
                <w:color w:val="000000"/>
                <w:sz w:val="18"/>
              </w:rPr>
            </w:pPr>
            <w:r w:rsidRPr="00F1217E">
              <w:rPr>
                <w:rFonts w:ascii="Arial" w:eastAsia="Verdana" w:hAnsi="Arial" w:cs="Arial"/>
                <w:b/>
                <w:bCs/>
                <w:color w:val="000000"/>
                <w:sz w:val="18"/>
                <w:szCs w:val="18"/>
              </w:rPr>
              <w:t>15.2</w:t>
            </w:r>
          </w:p>
        </w:tc>
      </w:tr>
    </w:tbl>
    <w:p w14:paraId="6A5165A3" w14:textId="6C1D3A98" w:rsidR="00C21F5B" w:rsidRPr="00C21F5B" w:rsidRDefault="00C21F5B" w:rsidP="00C21F5B">
      <w:pPr>
        <w:pStyle w:val="Bodyaftertable"/>
        <w:spacing w:before="0"/>
        <w:rPr>
          <w:sz w:val="18"/>
          <w:szCs w:val="18"/>
        </w:rPr>
      </w:pPr>
      <w:r w:rsidRPr="00C21F5B">
        <w:rPr>
          <w:sz w:val="18"/>
          <w:szCs w:val="18"/>
        </w:rPr>
        <w:t xml:space="preserve">Note: This table corresponds with the graph in Figure </w:t>
      </w:r>
      <w:r>
        <w:rPr>
          <w:sz w:val="18"/>
          <w:szCs w:val="18"/>
        </w:rPr>
        <w:t>7</w:t>
      </w:r>
      <w:r w:rsidRPr="00C21F5B">
        <w:rPr>
          <w:sz w:val="18"/>
          <w:szCs w:val="18"/>
        </w:rPr>
        <w:t>. It is included for purposes of accessibility.</w:t>
      </w:r>
    </w:p>
    <w:p w14:paraId="66227F8D" w14:textId="2A391117" w:rsidR="00381B2F" w:rsidRPr="00A83DB5" w:rsidRDefault="00011981" w:rsidP="00643556">
      <w:pPr>
        <w:pStyle w:val="Bodyaftertable"/>
      </w:pPr>
      <w:r>
        <w:t>‘</w:t>
      </w:r>
      <w:r w:rsidR="00381B2F">
        <w:t>Physical</w:t>
      </w:r>
      <w:r w:rsidR="00C94702">
        <w:t xml:space="preserve"> only</w:t>
      </w:r>
      <w:r>
        <w:t>’</w:t>
      </w:r>
      <w:r w:rsidR="00C94702">
        <w:t xml:space="preserve"> </w:t>
      </w:r>
      <w:r w:rsidR="00381B2F">
        <w:t xml:space="preserve">restraint accounted for </w:t>
      </w:r>
      <w:r w:rsidR="000C7034">
        <w:t>most</w:t>
      </w:r>
      <w:r w:rsidR="00381B2F">
        <w:t xml:space="preserve"> instances</w:t>
      </w:r>
      <w:r w:rsidR="00124885">
        <w:t xml:space="preserve"> </w:t>
      </w:r>
      <w:r w:rsidR="00C94702">
        <w:t>of restraint</w:t>
      </w:r>
      <w:r w:rsidR="00381B2F">
        <w:t xml:space="preserve"> (Table </w:t>
      </w:r>
      <w:r w:rsidR="60058D43">
        <w:t>1</w:t>
      </w:r>
      <w:r w:rsidR="003360B6">
        <w:t>3</w:t>
      </w:r>
      <w:r w:rsidR="00381B2F">
        <w:t xml:space="preserve">). </w:t>
      </w:r>
      <w:r w:rsidR="00A02BC7">
        <w:t>T</w:t>
      </w:r>
      <w:r w:rsidR="00381B2F">
        <w:t xml:space="preserve">he number of episodes of mechanical restraint </w:t>
      </w:r>
      <w:r w:rsidR="1BF7C6B1">
        <w:t xml:space="preserve">has </w:t>
      </w:r>
      <w:r w:rsidR="00D27A9B">
        <w:t xml:space="preserve">increased slightly </w:t>
      </w:r>
      <w:r w:rsidR="1BF7C6B1">
        <w:t xml:space="preserve">in </w:t>
      </w:r>
      <w:r w:rsidR="00191C55">
        <w:t>2023–24</w:t>
      </w:r>
      <w:r>
        <w:t>,</w:t>
      </w:r>
      <w:r w:rsidR="4C4DEC67">
        <w:t xml:space="preserve"> as has </w:t>
      </w:r>
      <w:r w:rsidR="007D378D">
        <w:t xml:space="preserve">the </w:t>
      </w:r>
      <w:r w:rsidR="73880060">
        <w:t>physical</w:t>
      </w:r>
      <w:r w:rsidR="007D378D">
        <w:t>-</w:t>
      </w:r>
      <w:r w:rsidR="73880060">
        <w:t xml:space="preserve">only type of restraint. </w:t>
      </w:r>
      <w:r w:rsidR="00D27A9B">
        <w:t xml:space="preserve">This may be due to the increased </w:t>
      </w:r>
      <w:r w:rsidR="004F6DFF">
        <w:t xml:space="preserve">reporting required under the </w:t>
      </w:r>
      <w:r w:rsidR="3A406639">
        <w:t>Act</w:t>
      </w:r>
      <w:r w:rsidR="007537FF">
        <w:t xml:space="preserve">. </w:t>
      </w:r>
      <w:r w:rsidR="73880060">
        <w:t xml:space="preserve">The </w:t>
      </w:r>
      <w:r w:rsidR="009455AA">
        <w:t xml:space="preserve">number of </w:t>
      </w:r>
      <w:r w:rsidR="00A55772">
        <w:t xml:space="preserve">episodes </w:t>
      </w:r>
      <w:r w:rsidR="00AB73E3">
        <w:t>where</w:t>
      </w:r>
      <w:r w:rsidR="0284BBB3">
        <w:t xml:space="preserve"> mechanical and physical restraint </w:t>
      </w:r>
      <w:r w:rsidR="00B51DE5">
        <w:t>w</w:t>
      </w:r>
      <w:r w:rsidR="00677A26">
        <w:t>ere</w:t>
      </w:r>
      <w:r w:rsidR="00FE1E56">
        <w:t xml:space="preserve"> used simultaneously</w:t>
      </w:r>
      <w:r w:rsidR="0284BBB3">
        <w:t xml:space="preserve"> </w:t>
      </w:r>
      <w:r w:rsidR="000A6904">
        <w:t>has</w:t>
      </w:r>
      <w:r w:rsidR="0284BBB3">
        <w:t xml:space="preserve"> </w:t>
      </w:r>
      <w:r w:rsidR="00A02BC7">
        <w:t>increased</w:t>
      </w:r>
      <w:r w:rsidR="40D09045">
        <w:t xml:space="preserve"> slightly</w:t>
      </w:r>
      <w:r w:rsidR="00655603">
        <w:t>. H</w:t>
      </w:r>
      <w:r w:rsidR="00B04BF9">
        <w:t>owever</w:t>
      </w:r>
      <w:r w:rsidR="00655603">
        <w:t>,</w:t>
      </w:r>
      <w:r w:rsidR="00B04BF9">
        <w:t xml:space="preserve"> this </w:t>
      </w:r>
      <w:r w:rsidR="20731C3F">
        <w:t>likely</w:t>
      </w:r>
      <w:r w:rsidR="00B04BF9">
        <w:t xml:space="preserve"> reflect</w:t>
      </w:r>
      <w:r w:rsidR="49FF3791">
        <w:t>s</w:t>
      </w:r>
      <w:r w:rsidR="00B04BF9">
        <w:t xml:space="preserve"> more accurate reporting of instances where a person was physically restrained </w:t>
      </w:r>
      <w:r w:rsidR="007D378D">
        <w:t xml:space="preserve">before </w:t>
      </w:r>
      <w:r w:rsidR="00B04BF9">
        <w:t>appl</w:t>
      </w:r>
      <w:r w:rsidR="007D378D">
        <w:t>ying</w:t>
      </w:r>
      <w:r w:rsidR="00B04BF9">
        <w:t xml:space="preserve"> mechanical restraints</w:t>
      </w:r>
      <w:r w:rsidR="0284BBB3">
        <w:t>.</w:t>
      </w:r>
      <w:r w:rsidR="6DB4DEA6">
        <w:t xml:space="preserve"> </w:t>
      </w:r>
      <w:r w:rsidR="0003337A">
        <w:t>The OCP will continue to monitor</w:t>
      </w:r>
      <w:r w:rsidR="00655603">
        <w:t xml:space="preserve"> this</w:t>
      </w:r>
      <w:r w:rsidR="0003337A">
        <w:t>.</w:t>
      </w:r>
    </w:p>
    <w:p w14:paraId="5484336A" w14:textId="683D86A2" w:rsidR="00381B2F" w:rsidRDefault="00381B2F" w:rsidP="000D0B9B">
      <w:pPr>
        <w:pStyle w:val="Tablecaption"/>
      </w:pPr>
      <w:r>
        <w:t xml:space="preserve">Table </w:t>
      </w:r>
      <w:r w:rsidR="21B90331">
        <w:t>1</w:t>
      </w:r>
      <w:r w:rsidR="003360B6">
        <w:t>3</w:t>
      </w:r>
      <w:r>
        <w:t xml:space="preserve">: </w:t>
      </w:r>
      <w:r w:rsidR="005C256C">
        <w:t>Number of bodily restraint episodes in acute inpatient units, by type of bodily restraint</w:t>
      </w:r>
      <w:r>
        <w:t>, 201</w:t>
      </w:r>
      <w:r w:rsidR="004032AF">
        <w:t>9</w:t>
      </w:r>
      <w:r>
        <w:t>–</w:t>
      </w:r>
      <w:r w:rsidR="004032AF">
        <w:t>20</w:t>
      </w:r>
      <w:r>
        <w:t xml:space="preserve"> to </w:t>
      </w:r>
      <w:r w:rsidR="007B2175">
        <w:t>202</w:t>
      </w:r>
      <w:r w:rsidR="004032AF">
        <w:t>3</w:t>
      </w:r>
      <w:r w:rsidR="007B2175">
        <w:t>–2</w:t>
      </w:r>
      <w:r w:rsidR="004032AF">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552"/>
        <w:gridCol w:w="1332"/>
        <w:gridCol w:w="1332"/>
        <w:gridCol w:w="1333"/>
        <w:gridCol w:w="1332"/>
        <w:gridCol w:w="1333"/>
      </w:tblGrid>
      <w:tr w:rsidR="00C87704" w14:paraId="0002985F" w14:textId="77777777" w:rsidTr="00D665F6">
        <w:trPr>
          <w:tblHeader/>
        </w:trPr>
        <w:tc>
          <w:tcPr>
            <w:tcW w:w="2552" w:type="dxa"/>
            <w:shd w:val="clear" w:color="auto" w:fill="244C5A"/>
          </w:tcPr>
          <w:p w14:paraId="6C13E3A4" w14:textId="68B91DDB" w:rsidR="006860F5" w:rsidRPr="009E1217" w:rsidRDefault="00A5126E" w:rsidP="004110AE">
            <w:pPr>
              <w:pStyle w:val="EmptyLayoutCell"/>
              <w:spacing w:before="60" w:after="60"/>
              <w:rPr>
                <w:rFonts w:ascii="Arial" w:hAnsi="Arial" w:cs="Arial"/>
                <w:color w:val="FFFFFF"/>
                <w:sz w:val="18"/>
                <w:szCs w:val="18"/>
              </w:rPr>
            </w:pPr>
            <w:r>
              <w:rPr>
                <w:rFonts w:ascii="Arial" w:hAnsi="Arial" w:cs="Arial"/>
                <w:color w:val="FFFFFF"/>
                <w:sz w:val="18"/>
                <w:szCs w:val="18"/>
              </w:rPr>
              <w:t>Restraint type</w:t>
            </w:r>
          </w:p>
        </w:tc>
        <w:tc>
          <w:tcPr>
            <w:tcW w:w="1332" w:type="dxa"/>
            <w:shd w:val="clear" w:color="auto" w:fill="244C5A"/>
          </w:tcPr>
          <w:p w14:paraId="70452A17" w14:textId="77777777" w:rsidR="006860F5" w:rsidRPr="009E1217" w:rsidRDefault="006860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332" w:type="dxa"/>
            <w:shd w:val="clear" w:color="auto" w:fill="244C5A"/>
          </w:tcPr>
          <w:p w14:paraId="286CB2B0" w14:textId="77777777" w:rsidR="006860F5" w:rsidRPr="009E1217" w:rsidRDefault="006860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333" w:type="dxa"/>
            <w:shd w:val="clear" w:color="auto" w:fill="244C5A"/>
          </w:tcPr>
          <w:p w14:paraId="6D0FC700" w14:textId="77777777" w:rsidR="006860F5" w:rsidRPr="009E1217" w:rsidRDefault="006860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332" w:type="dxa"/>
            <w:shd w:val="clear" w:color="auto" w:fill="244C5A"/>
          </w:tcPr>
          <w:p w14:paraId="11524CA1" w14:textId="77777777" w:rsidR="006860F5" w:rsidRPr="009E1217" w:rsidRDefault="006860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333" w:type="dxa"/>
            <w:shd w:val="clear" w:color="auto" w:fill="244C5A"/>
          </w:tcPr>
          <w:p w14:paraId="1D527942" w14:textId="77777777" w:rsidR="006860F5" w:rsidRPr="009E1217" w:rsidRDefault="006860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87704" w14:paraId="20C0B9DF" w14:textId="77777777" w:rsidTr="00A5126E">
        <w:tc>
          <w:tcPr>
            <w:tcW w:w="2552" w:type="dxa"/>
          </w:tcPr>
          <w:p w14:paraId="7E9C1B3F" w14:textId="77777777" w:rsidR="006860F5" w:rsidRDefault="006860F5" w:rsidP="004110AE">
            <w:pPr>
              <w:pStyle w:val="EmptyLayoutCell"/>
              <w:spacing w:before="60" w:after="60"/>
              <w:rPr>
                <w:rFonts w:ascii="Arial" w:hAnsi="Arial" w:cs="Arial"/>
                <w:sz w:val="18"/>
                <w:szCs w:val="18"/>
              </w:rPr>
            </w:pPr>
            <w:r>
              <w:rPr>
                <w:rFonts w:ascii="Arial" w:hAnsi="Arial" w:cs="Arial"/>
                <w:sz w:val="18"/>
                <w:szCs w:val="18"/>
              </w:rPr>
              <w:t>Mechanical and physical</w:t>
            </w:r>
          </w:p>
        </w:tc>
        <w:tc>
          <w:tcPr>
            <w:tcW w:w="1332" w:type="dxa"/>
            <w:vAlign w:val="bottom"/>
          </w:tcPr>
          <w:p w14:paraId="13F6780C"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113</w:t>
            </w:r>
          </w:p>
        </w:tc>
        <w:tc>
          <w:tcPr>
            <w:tcW w:w="1332" w:type="dxa"/>
            <w:vAlign w:val="bottom"/>
          </w:tcPr>
          <w:p w14:paraId="71681104"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102</w:t>
            </w:r>
          </w:p>
        </w:tc>
        <w:tc>
          <w:tcPr>
            <w:tcW w:w="1333" w:type="dxa"/>
            <w:vAlign w:val="bottom"/>
          </w:tcPr>
          <w:p w14:paraId="4061AA2F"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79</w:t>
            </w:r>
          </w:p>
        </w:tc>
        <w:tc>
          <w:tcPr>
            <w:tcW w:w="1332" w:type="dxa"/>
            <w:vAlign w:val="bottom"/>
          </w:tcPr>
          <w:p w14:paraId="7DCA9DEB"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149</w:t>
            </w:r>
          </w:p>
        </w:tc>
        <w:tc>
          <w:tcPr>
            <w:tcW w:w="1333" w:type="dxa"/>
            <w:vAlign w:val="bottom"/>
          </w:tcPr>
          <w:p w14:paraId="61194032"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154</w:t>
            </w:r>
          </w:p>
        </w:tc>
      </w:tr>
      <w:tr w:rsidR="00C87704" w14:paraId="02C9F1AD" w14:textId="77777777" w:rsidTr="00A5126E">
        <w:tc>
          <w:tcPr>
            <w:tcW w:w="2552" w:type="dxa"/>
          </w:tcPr>
          <w:p w14:paraId="1CA77595" w14:textId="1C52865B" w:rsidR="006860F5" w:rsidRPr="007A09B2" w:rsidRDefault="006860F5" w:rsidP="004110AE">
            <w:pPr>
              <w:pStyle w:val="EmptyLayoutCell"/>
              <w:spacing w:before="60" w:after="60"/>
              <w:rPr>
                <w:rFonts w:ascii="Arial" w:hAnsi="Arial" w:cs="Arial"/>
                <w:sz w:val="18"/>
                <w:szCs w:val="18"/>
              </w:rPr>
            </w:pPr>
            <w:r>
              <w:rPr>
                <w:rFonts w:ascii="Arial" w:hAnsi="Arial" w:cs="Arial"/>
                <w:sz w:val="18"/>
                <w:szCs w:val="18"/>
              </w:rPr>
              <w:t>Mechanical only</w:t>
            </w:r>
          </w:p>
        </w:tc>
        <w:tc>
          <w:tcPr>
            <w:tcW w:w="1332" w:type="dxa"/>
            <w:vAlign w:val="bottom"/>
          </w:tcPr>
          <w:p w14:paraId="18419746"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399</w:t>
            </w:r>
          </w:p>
        </w:tc>
        <w:tc>
          <w:tcPr>
            <w:tcW w:w="1332" w:type="dxa"/>
            <w:vAlign w:val="bottom"/>
          </w:tcPr>
          <w:p w14:paraId="2755114D"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394</w:t>
            </w:r>
          </w:p>
        </w:tc>
        <w:tc>
          <w:tcPr>
            <w:tcW w:w="1333" w:type="dxa"/>
            <w:vAlign w:val="bottom"/>
          </w:tcPr>
          <w:p w14:paraId="05858BA5"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561</w:t>
            </w:r>
          </w:p>
        </w:tc>
        <w:tc>
          <w:tcPr>
            <w:tcW w:w="1332" w:type="dxa"/>
            <w:vAlign w:val="bottom"/>
          </w:tcPr>
          <w:p w14:paraId="6F4AF628"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341</w:t>
            </w:r>
          </w:p>
        </w:tc>
        <w:tc>
          <w:tcPr>
            <w:tcW w:w="1333" w:type="dxa"/>
            <w:vAlign w:val="bottom"/>
          </w:tcPr>
          <w:p w14:paraId="29D245BB" w14:textId="77777777" w:rsidR="006860F5" w:rsidRPr="004E5C9B" w:rsidRDefault="006860F5" w:rsidP="004110AE">
            <w:pPr>
              <w:pStyle w:val="EmptyLayoutCell"/>
              <w:spacing w:before="60" w:after="60"/>
              <w:rPr>
                <w:rFonts w:ascii="Arial" w:hAnsi="Arial" w:cs="Arial"/>
                <w:sz w:val="18"/>
                <w:szCs w:val="18"/>
              </w:rPr>
            </w:pPr>
            <w:r>
              <w:rPr>
                <w:rFonts w:ascii="Arial" w:hAnsi="Arial" w:cs="Arial"/>
                <w:color w:val="000000"/>
                <w:sz w:val="18"/>
                <w:szCs w:val="18"/>
              </w:rPr>
              <w:t>364</w:t>
            </w:r>
          </w:p>
        </w:tc>
      </w:tr>
      <w:tr w:rsidR="00C87704" w14:paraId="380542CD" w14:textId="77777777" w:rsidTr="00A5126E">
        <w:tc>
          <w:tcPr>
            <w:tcW w:w="2552" w:type="dxa"/>
          </w:tcPr>
          <w:p w14:paraId="18492C0D" w14:textId="77777777" w:rsidR="006860F5" w:rsidRDefault="006860F5" w:rsidP="004110AE">
            <w:pPr>
              <w:pStyle w:val="EmptyLayoutCell"/>
              <w:spacing w:before="60" w:after="60"/>
              <w:rPr>
                <w:rFonts w:ascii="Arial" w:hAnsi="Arial" w:cs="Arial"/>
                <w:sz w:val="18"/>
                <w:szCs w:val="18"/>
              </w:rPr>
            </w:pPr>
            <w:r>
              <w:rPr>
                <w:rFonts w:ascii="Arial" w:hAnsi="Arial" w:cs="Arial"/>
                <w:sz w:val="18"/>
                <w:szCs w:val="18"/>
              </w:rPr>
              <w:t>Physical only</w:t>
            </w:r>
          </w:p>
        </w:tc>
        <w:tc>
          <w:tcPr>
            <w:tcW w:w="1332" w:type="dxa"/>
            <w:vAlign w:val="bottom"/>
          </w:tcPr>
          <w:p w14:paraId="0AFF78E8" w14:textId="77777777" w:rsidR="006860F5" w:rsidRPr="004E5C9B" w:rsidRDefault="006860F5" w:rsidP="004110AE">
            <w:pPr>
              <w:pStyle w:val="EmptyLayoutCell"/>
              <w:spacing w:before="60" w:after="60"/>
              <w:rPr>
                <w:rFonts w:ascii="Arial" w:eastAsia="Verdana" w:hAnsi="Arial" w:cs="Arial"/>
                <w:color w:val="000000"/>
                <w:sz w:val="18"/>
                <w:szCs w:val="18"/>
              </w:rPr>
            </w:pPr>
            <w:r>
              <w:rPr>
                <w:rFonts w:ascii="Arial" w:hAnsi="Arial" w:cs="Arial"/>
                <w:color w:val="000000"/>
                <w:sz w:val="18"/>
                <w:szCs w:val="18"/>
              </w:rPr>
              <w:t>7,757</w:t>
            </w:r>
          </w:p>
        </w:tc>
        <w:tc>
          <w:tcPr>
            <w:tcW w:w="1332" w:type="dxa"/>
            <w:vAlign w:val="bottom"/>
          </w:tcPr>
          <w:p w14:paraId="05CE1B13" w14:textId="77777777" w:rsidR="006860F5" w:rsidRPr="004E5C9B" w:rsidRDefault="006860F5" w:rsidP="004110AE">
            <w:pPr>
              <w:pStyle w:val="EmptyLayoutCell"/>
              <w:spacing w:before="60" w:after="60"/>
              <w:rPr>
                <w:rFonts w:ascii="Arial" w:eastAsia="Verdana" w:hAnsi="Arial" w:cs="Arial"/>
                <w:color w:val="000000"/>
                <w:sz w:val="18"/>
                <w:szCs w:val="18"/>
              </w:rPr>
            </w:pPr>
            <w:r>
              <w:rPr>
                <w:rFonts w:ascii="Arial" w:hAnsi="Arial" w:cs="Arial"/>
                <w:color w:val="000000"/>
                <w:sz w:val="18"/>
                <w:szCs w:val="18"/>
              </w:rPr>
              <w:t>7,833</w:t>
            </w:r>
          </w:p>
        </w:tc>
        <w:tc>
          <w:tcPr>
            <w:tcW w:w="1333" w:type="dxa"/>
            <w:vAlign w:val="bottom"/>
          </w:tcPr>
          <w:p w14:paraId="4EF1639F" w14:textId="77777777" w:rsidR="006860F5" w:rsidRPr="004E5C9B" w:rsidRDefault="006860F5" w:rsidP="004110AE">
            <w:pPr>
              <w:pStyle w:val="EmptyLayoutCell"/>
              <w:spacing w:before="60" w:after="60"/>
              <w:rPr>
                <w:rFonts w:ascii="Arial" w:eastAsia="Verdana" w:hAnsi="Arial" w:cs="Arial"/>
                <w:color w:val="000000"/>
                <w:sz w:val="18"/>
                <w:szCs w:val="18"/>
              </w:rPr>
            </w:pPr>
            <w:r>
              <w:rPr>
                <w:rFonts w:ascii="Arial" w:hAnsi="Arial" w:cs="Arial"/>
                <w:color w:val="000000"/>
                <w:sz w:val="18"/>
                <w:szCs w:val="18"/>
              </w:rPr>
              <w:t>6,917</w:t>
            </w:r>
          </w:p>
        </w:tc>
        <w:tc>
          <w:tcPr>
            <w:tcW w:w="1332" w:type="dxa"/>
            <w:vAlign w:val="bottom"/>
          </w:tcPr>
          <w:p w14:paraId="1D879BB0" w14:textId="77777777" w:rsidR="006860F5" w:rsidRPr="004E5C9B" w:rsidRDefault="006860F5" w:rsidP="004110AE">
            <w:pPr>
              <w:pStyle w:val="EmptyLayoutCell"/>
              <w:spacing w:before="60" w:after="60"/>
              <w:rPr>
                <w:rFonts w:ascii="Arial" w:eastAsia="Verdana" w:hAnsi="Arial" w:cs="Arial"/>
                <w:color w:val="000000"/>
                <w:sz w:val="18"/>
                <w:szCs w:val="18"/>
              </w:rPr>
            </w:pPr>
            <w:r>
              <w:rPr>
                <w:rFonts w:ascii="Arial" w:hAnsi="Arial" w:cs="Arial"/>
                <w:color w:val="000000"/>
                <w:sz w:val="18"/>
                <w:szCs w:val="18"/>
              </w:rPr>
              <w:t>6,070</w:t>
            </w:r>
          </w:p>
        </w:tc>
        <w:tc>
          <w:tcPr>
            <w:tcW w:w="1333" w:type="dxa"/>
            <w:vAlign w:val="bottom"/>
          </w:tcPr>
          <w:p w14:paraId="766C6901" w14:textId="77777777" w:rsidR="006860F5" w:rsidRPr="004E5C9B" w:rsidRDefault="006860F5" w:rsidP="004110AE">
            <w:pPr>
              <w:pStyle w:val="EmptyLayoutCell"/>
              <w:spacing w:before="60" w:after="60"/>
              <w:rPr>
                <w:rFonts w:ascii="Arial" w:eastAsia="Verdana" w:hAnsi="Arial" w:cs="Arial"/>
                <w:color w:val="000000"/>
                <w:sz w:val="18"/>
                <w:szCs w:val="18"/>
              </w:rPr>
            </w:pPr>
            <w:r>
              <w:rPr>
                <w:rFonts w:ascii="Arial" w:hAnsi="Arial" w:cs="Arial"/>
                <w:color w:val="000000"/>
                <w:sz w:val="18"/>
                <w:szCs w:val="18"/>
              </w:rPr>
              <w:t>5,739</w:t>
            </w:r>
          </w:p>
        </w:tc>
      </w:tr>
    </w:tbl>
    <w:p w14:paraId="1A55D3FD" w14:textId="5AAD6866" w:rsidR="00DD09A5" w:rsidRDefault="00700E3D" w:rsidP="000A4F7D">
      <w:pPr>
        <w:pStyle w:val="Bodyaftertable"/>
        <w:spacing w:before="60" w:after="60" w:line="240" w:lineRule="exact"/>
      </w:pPr>
      <w:r>
        <w:rPr>
          <w:sz w:val="18"/>
          <w:szCs w:val="18"/>
        </w:rPr>
        <w:t xml:space="preserve">Note: </w:t>
      </w:r>
      <w:r w:rsidR="00DC5193">
        <w:rPr>
          <w:sz w:val="18"/>
          <w:szCs w:val="18"/>
        </w:rPr>
        <w:t>‘Mechanical and physical’ r</w:t>
      </w:r>
      <w:r w:rsidR="00811D93">
        <w:rPr>
          <w:sz w:val="18"/>
          <w:szCs w:val="18"/>
        </w:rPr>
        <w:t>efers to mechanical and physical restraint being used at the same time</w:t>
      </w:r>
      <w:r w:rsidR="00FC2DDA" w:rsidRPr="00DD7E01">
        <w:rPr>
          <w:sz w:val="18"/>
          <w:szCs w:val="18"/>
        </w:rPr>
        <w:t>.</w:t>
      </w:r>
    </w:p>
    <w:p w14:paraId="3D420F77" w14:textId="1BB208A8" w:rsidR="00381B2F" w:rsidRDefault="00381B2F" w:rsidP="00643556">
      <w:pPr>
        <w:pStyle w:val="Bodyaftertable"/>
      </w:pPr>
      <w:r>
        <w:t xml:space="preserve">When restraint was applied, it </w:t>
      </w:r>
      <w:r w:rsidR="002E54B7">
        <w:t>was</w:t>
      </w:r>
      <w:r w:rsidR="06BFC5A4">
        <w:t xml:space="preserve"> still most commonly</w:t>
      </w:r>
      <w:r>
        <w:t xml:space="preserve"> a single occurrence within </w:t>
      </w:r>
      <w:r w:rsidR="007D378D">
        <w:t>one</w:t>
      </w:r>
      <w:r>
        <w:t xml:space="preserve"> admission (Table </w:t>
      </w:r>
      <w:r w:rsidR="62E62BBE">
        <w:t>1</w:t>
      </w:r>
      <w:r w:rsidR="003360B6">
        <w:t>4</w:t>
      </w:r>
      <w:r>
        <w:t xml:space="preserve">). </w:t>
      </w:r>
      <w:r w:rsidR="6012E40D">
        <w:t>However, m</w:t>
      </w:r>
      <w:r>
        <w:t xml:space="preserve">ultiple episodes of restraint </w:t>
      </w:r>
      <w:r w:rsidR="031585CE">
        <w:t>are not</w:t>
      </w:r>
      <w:r>
        <w:t xml:space="preserve"> uncommon</w:t>
      </w:r>
      <w:r w:rsidR="07E5EDA5">
        <w:t>,</w:t>
      </w:r>
      <w:r w:rsidR="74DADE8E">
        <w:t xml:space="preserve"> and this</w:t>
      </w:r>
      <w:r>
        <w:t xml:space="preserve"> pattern has </w:t>
      </w:r>
      <w:r w:rsidR="089672B5">
        <w:t>not significantly changed</w:t>
      </w:r>
      <w:r>
        <w:t xml:space="preserve"> in recent years.</w:t>
      </w:r>
      <w:r w:rsidR="001033B1">
        <w:t xml:space="preserve"> </w:t>
      </w:r>
      <w:r w:rsidR="00CA0662">
        <w:t xml:space="preserve">As with seclusion, increased awareness of trialling people out of restraints may lead to </w:t>
      </w:r>
      <w:r w:rsidR="00B645A4">
        <w:t xml:space="preserve">more </w:t>
      </w:r>
      <w:r w:rsidR="00D41E77">
        <w:t xml:space="preserve">separate </w:t>
      </w:r>
      <w:r w:rsidR="00B645A4">
        <w:t>episodes of restraint</w:t>
      </w:r>
      <w:r w:rsidR="002F374C">
        <w:t>.</w:t>
      </w:r>
    </w:p>
    <w:p w14:paraId="43412513" w14:textId="281BECB2" w:rsidR="008337CF" w:rsidRDefault="00381B2F" w:rsidP="000D0B9B">
      <w:pPr>
        <w:pStyle w:val="Tablecaption"/>
      </w:pPr>
      <w:r>
        <w:t xml:space="preserve">Table </w:t>
      </w:r>
      <w:r w:rsidR="4EA5F3F4">
        <w:t>1</w:t>
      </w:r>
      <w:r w:rsidR="003360B6">
        <w:t>4</w:t>
      </w:r>
      <w:r>
        <w:t xml:space="preserve">: </w:t>
      </w:r>
      <w:r w:rsidR="005C256C" w:rsidRPr="005C256C">
        <w:t>Frequency of ended bodily restraint episodes within a single inpatient admission</w:t>
      </w:r>
      <w:r>
        <w:t>, 201</w:t>
      </w:r>
      <w:r w:rsidR="008337CF">
        <w:t>9</w:t>
      </w:r>
      <w:r>
        <w:t>–</w:t>
      </w:r>
      <w:r w:rsidR="008337CF">
        <w:t>20</w:t>
      </w:r>
      <w:r>
        <w:t xml:space="preserve"> to</w:t>
      </w:r>
      <w:r w:rsidR="00281A7E">
        <w:t xml:space="preserve"> </w:t>
      </w:r>
      <w:r w:rsidR="007B2175">
        <w:t>202</w:t>
      </w:r>
      <w:r w:rsidR="008337CF">
        <w:t>3</w:t>
      </w:r>
      <w:r w:rsidR="007B2175">
        <w:t>–2</w:t>
      </w:r>
      <w:r w:rsidR="008337CF">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694"/>
        <w:gridCol w:w="1304"/>
        <w:gridCol w:w="1304"/>
        <w:gridCol w:w="1304"/>
        <w:gridCol w:w="1304"/>
        <w:gridCol w:w="1304"/>
      </w:tblGrid>
      <w:tr w:rsidR="00C87704" w14:paraId="66B7F70A" w14:textId="77777777" w:rsidTr="00D665F6">
        <w:trPr>
          <w:tblHeader/>
        </w:trPr>
        <w:tc>
          <w:tcPr>
            <w:tcW w:w="2694" w:type="dxa"/>
            <w:shd w:val="clear" w:color="auto" w:fill="244C5A"/>
          </w:tcPr>
          <w:p w14:paraId="0BC060BE" w14:textId="087E83F5" w:rsidR="008337CF" w:rsidRPr="009E1217" w:rsidRDefault="00B00193" w:rsidP="004110AE">
            <w:pPr>
              <w:pStyle w:val="EmptyLayoutCell"/>
              <w:spacing w:before="60" w:after="60"/>
              <w:rPr>
                <w:rFonts w:ascii="Arial" w:hAnsi="Arial" w:cs="Arial"/>
                <w:color w:val="FFFFFF"/>
                <w:sz w:val="18"/>
                <w:szCs w:val="18"/>
              </w:rPr>
            </w:pPr>
            <w:r>
              <w:rPr>
                <w:rFonts w:ascii="Arial" w:hAnsi="Arial" w:cs="Arial"/>
                <w:color w:val="FFFFFF"/>
                <w:sz w:val="18"/>
                <w:szCs w:val="18"/>
              </w:rPr>
              <w:t>Frequency of episode</w:t>
            </w:r>
          </w:p>
        </w:tc>
        <w:tc>
          <w:tcPr>
            <w:tcW w:w="1304" w:type="dxa"/>
            <w:shd w:val="clear" w:color="auto" w:fill="244C5A"/>
          </w:tcPr>
          <w:p w14:paraId="779F2FA0" w14:textId="77777777" w:rsidR="008337CF" w:rsidRPr="009E1217" w:rsidRDefault="008337CF"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304" w:type="dxa"/>
            <w:shd w:val="clear" w:color="auto" w:fill="244C5A"/>
          </w:tcPr>
          <w:p w14:paraId="30F2FCD8" w14:textId="77777777" w:rsidR="008337CF" w:rsidRPr="009E1217" w:rsidRDefault="008337CF"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304" w:type="dxa"/>
            <w:shd w:val="clear" w:color="auto" w:fill="244C5A"/>
          </w:tcPr>
          <w:p w14:paraId="74DABDB6" w14:textId="77777777" w:rsidR="008337CF" w:rsidRPr="009E1217" w:rsidRDefault="008337CF"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304" w:type="dxa"/>
            <w:shd w:val="clear" w:color="auto" w:fill="244C5A"/>
          </w:tcPr>
          <w:p w14:paraId="06ACE7C1" w14:textId="77777777" w:rsidR="008337CF" w:rsidRPr="009E1217" w:rsidRDefault="008337CF"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304" w:type="dxa"/>
            <w:shd w:val="clear" w:color="auto" w:fill="244C5A"/>
          </w:tcPr>
          <w:p w14:paraId="32439BAD" w14:textId="77777777" w:rsidR="008337CF" w:rsidRPr="009E1217" w:rsidRDefault="008337CF"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E6785F" w14:paraId="47E1C4CD" w14:textId="77777777" w:rsidTr="008337CF">
        <w:tc>
          <w:tcPr>
            <w:tcW w:w="2694" w:type="dxa"/>
          </w:tcPr>
          <w:p w14:paraId="3A8D2781" w14:textId="77777777" w:rsidR="008337CF" w:rsidRDefault="008337CF" w:rsidP="004110AE">
            <w:pPr>
              <w:pStyle w:val="EmptyLayoutCell"/>
              <w:spacing w:before="60" w:after="60"/>
              <w:rPr>
                <w:rFonts w:ascii="Arial" w:hAnsi="Arial" w:cs="Arial"/>
                <w:sz w:val="18"/>
                <w:szCs w:val="18"/>
              </w:rPr>
            </w:pPr>
            <w:r>
              <w:rPr>
                <w:rFonts w:ascii="Arial" w:hAnsi="Arial" w:cs="Arial"/>
                <w:sz w:val="18"/>
                <w:szCs w:val="18"/>
              </w:rPr>
              <w:t>1</w:t>
            </w:r>
          </w:p>
        </w:tc>
        <w:tc>
          <w:tcPr>
            <w:tcW w:w="1304" w:type="dxa"/>
          </w:tcPr>
          <w:p w14:paraId="03DB051C"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1,008</w:t>
            </w:r>
          </w:p>
        </w:tc>
        <w:tc>
          <w:tcPr>
            <w:tcW w:w="1304" w:type="dxa"/>
          </w:tcPr>
          <w:p w14:paraId="045FBD78"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1,048</w:t>
            </w:r>
          </w:p>
        </w:tc>
        <w:tc>
          <w:tcPr>
            <w:tcW w:w="1304" w:type="dxa"/>
          </w:tcPr>
          <w:p w14:paraId="67F46435"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934</w:t>
            </w:r>
          </w:p>
        </w:tc>
        <w:tc>
          <w:tcPr>
            <w:tcW w:w="1304" w:type="dxa"/>
          </w:tcPr>
          <w:p w14:paraId="25B52743"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855</w:t>
            </w:r>
          </w:p>
        </w:tc>
        <w:tc>
          <w:tcPr>
            <w:tcW w:w="1304" w:type="dxa"/>
            <w:tcBorders>
              <w:top w:val="single" w:sz="7" w:space="0" w:color="D3D3D3"/>
              <w:left w:val="single" w:sz="7" w:space="0" w:color="D3D3D3"/>
              <w:bottom w:val="single" w:sz="7" w:space="0" w:color="D3D3D3"/>
              <w:right w:val="single" w:sz="7" w:space="0" w:color="D3D3D3"/>
            </w:tcBorders>
          </w:tcPr>
          <w:p w14:paraId="31AFFF4C" w14:textId="77777777" w:rsidR="008337CF" w:rsidRPr="00132235"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843</w:t>
            </w:r>
          </w:p>
        </w:tc>
      </w:tr>
      <w:tr w:rsidR="00E6785F" w14:paraId="0F8DB95A" w14:textId="77777777" w:rsidTr="008337CF">
        <w:tc>
          <w:tcPr>
            <w:tcW w:w="2694" w:type="dxa"/>
          </w:tcPr>
          <w:p w14:paraId="3B47BD2C" w14:textId="77777777" w:rsidR="008337CF" w:rsidRPr="007A09B2" w:rsidRDefault="008337CF" w:rsidP="004110AE">
            <w:pPr>
              <w:pStyle w:val="EmptyLayoutCell"/>
              <w:spacing w:before="60" w:after="60"/>
              <w:rPr>
                <w:rFonts w:ascii="Arial" w:hAnsi="Arial" w:cs="Arial"/>
                <w:sz w:val="18"/>
                <w:szCs w:val="18"/>
              </w:rPr>
            </w:pPr>
            <w:r>
              <w:rPr>
                <w:rFonts w:ascii="Arial" w:hAnsi="Arial" w:cs="Arial"/>
                <w:sz w:val="18"/>
                <w:szCs w:val="18"/>
              </w:rPr>
              <w:t>2</w:t>
            </w:r>
          </w:p>
        </w:tc>
        <w:tc>
          <w:tcPr>
            <w:tcW w:w="1304" w:type="dxa"/>
          </w:tcPr>
          <w:p w14:paraId="56B9DB06"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321</w:t>
            </w:r>
          </w:p>
        </w:tc>
        <w:tc>
          <w:tcPr>
            <w:tcW w:w="1304" w:type="dxa"/>
          </w:tcPr>
          <w:p w14:paraId="3314626D"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364</w:t>
            </w:r>
          </w:p>
        </w:tc>
        <w:tc>
          <w:tcPr>
            <w:tcW w:w="1304" w:type="dxa"/>
          </w:tcPr>
          <w:p w14:paraId="3010C2FF"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343</w:t>
            </w:r>
          </w:p>
        </w:tc>
        <w:tc>
          <w:tcPr>
            <w:tcW w:w="1304" w:type="dxa"/>
          </w:tcPr>
          <w:p w14:paraId="0E156A7C" w14:textId="77777777" w:rsidR="008337CF" w:rsidRDefault="008337CF"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307</w:t>
            </w:r>
          </w:p>
        </w:tc>
        <w:tc>
          <w:tcPr>
            <w:tcW w:w="1304" w:type="dxa"/>
            <w:tcBorders>
              <w:top w:val="single" w:sz="7" w:space="0" w:color="D3D3D3"/>
              <w:left w:val="single" w:sz="7" w:space="0" w:color="D3D3D3"/>
              <w:bottom w:val="single" w:sz="7" w:space="0" w:color="D3D3D3"/>
              <w:right w:val="single" w:sz="7" w:space="0" w:color="D3D3D3"/>
            </w:tcBorders>
          </w:tcPr>
          <w:p w14:paraId="66A2D336" w14:textId="77777777" w:rsidR="008337CF" w:rsidRPr="00132235"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355</w:t>
            </w:r>
          </w:p>
        </w:tc>
      </w:tr>
      <w:tr w:rsidR="00E6785F" w14:paraId="21B56F41" w14:textId="77777777" w:rsidTr="008337CF">
        <w:tc>
          <w:tcPr>
            <w:tcW w:w="2694" w:type="dxa"/>
          </w:tcPr>
          <w:p w14:paraId="4B0C7967" w14:textId="77777777" w:rsidR="008337CF" w:rsidRDefault="008337CF" w:rsidP="004110AE">
            <w:pPr>
              <w:pStyle w:val="EmptyLayoutCell"/>
              <w:spacing w:before="60" w:after="60"/>
              <w:rPr>
                <w:rFonts w:ascii="Arial" w:hAnsi="Arial" w:cs="Arial"/>
                <w:sz w:val="18"/>
                <w:szCs w:val="18"/>
              </w:rPr>
            </w:pPr>
            <w:r>
              <w:rPr>
                <w:rFonts w:ascii="Arial" w:hAnsi="Arial" w:cs="Arial"/>
                <w:sz w:val="18"/>
                <w:szCs w:val="18"/>
              </w:rPr>
              <w:t>3</w:t>
            </w:r>
          </w:p>
        </w:tc>
        <w:tc>
          <w:tcPr>
            <w:tcW w:w="1304" w:type="dxa"/>
          </w:tcPr>
          <w:p w14:paraId="0F5926E7"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142</w:t>
            </w:r>
          </w:p>
        </w:tc>
        <w:tc>
          <w:tcPr>
            <w:tcW w:w="1304" w:type="dxa"/>
          </w:tcPr>
          <w:p w14:paraId="6A362C34"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163</w:t>
            </w:r>
          </w:p>
        </w:tc>
        <w:tc>
          <w:tcPr>
            <w:tcW w:w="1304" w:type="dxa"/>
          </w:tcPr>
          <w:p w14:paraId="3B4AC140"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154</w:t>
            </w:r>
          </w:p>
        </w:tc>
        <w:tc>
          <w:tcPr>
            <w:tcW w:w="1304" w:type="dxa"/>
          </w:tcPr>
          <w:p w14:paraId="3DE47F7A"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119</w:t>
            </w:r>
          </w:p>
        </w:tc>
        <w:tc>
          <w:tcPr>
            <w:tcW w:w="1304" w:type="dxa"/>
            <w:tcBorders>
              <w:top w:val="single" w:sz="7" w:space="0" w:color="D3D3D3"/>
              <w:left w:val="single" w:sz="7" w:space="0" w:color="D3D3D3"/>
              <w:bottom w:val="single" w:sz="7" w:space="0" w:color="D3D3D3"/>
              <w:right w:val="single" w:sz="7" w:space="0" w:color="D3D3D3"/>
            </w:tcBorders>
          </w:tcPr>
          <w:p w14:paraId="01FB5340" w14:textId="77777777" w:rsidR="008337CF" w:rsidRPr="00A73B5F"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177</w:t>
            </w:r>
          </w:p>
        </w:tc>
      </w:tr>
      <w:tr w:rsidR="00E6785F" w14:paraId="3EB1EA5D" w14:textId="77777777" w:rsidTr="008337CF">
        <w:tc>
          <w:tcPr>
            <w:tcW w:w="2694" w:type="dxa"/>
          </w:tcPr>
          <w:p w14:paraId="4879E283" w14:textId="77777777" w:rsidR="008337CF" w:rsidRDefault="008337CF" w:rsidP="004110AE">
            <w:pPr>
              <w:pStyle w:val="EmptyLayoutCell"/>
              <w:spacing w:before="60" w:after="60"/>
              <w:rPr>
                <w:rFonts w:ascii="Arial" w:hAnsi="Arial" w:cs="Arial"/>
                <w:sz w:val="18"/>
                <w:szCs w:val="18"/>
              </w:rPr>
            </w:pPr>
            <w:r>
              <w:rPr>
                <w:rFonts w:ascii="Arial" w:hAnsi="Arial" w:cs="Arial"/>
                <w:sz w:val="18"/>
                <w:szCs w:val="18"/>
              </w:rPr>
              <w:t>4</w:t>
            </w:r>
          </w:p>
        </w:tc>
        <w:tc>
          <w:tcPr>
            <w:tcW w:w="1304" w:type="dxa"/>
          </w:tcPr>
          <w:p w14:paraId="4A7BE5D7"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86</w:t>
            </w:r>
          </w:p>
        </w:tc>
        <w:tc>
          <w:tcPr>
            <w:tcW w:w="1304" w:type="dxa"/>
          </w:tcPr>
          <w:p w14:paraId="0E2D36CF"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101</w:t>
            </w:r>
          </w:p>
        </w:tc>
        <w:tc>
          <w:tcPr>
            <w:tcW w:w="1304" w:type="dxa"/>
          </w:tcPr>
          <w:p w14:paraId="779C6489"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81</w:t>
            </w:r>
          </w:p>
        </w:tc>
        <w:tc>
          <w:tcPr>
            <w:tcW w:w="1304" w:type="dxa"/>
          </w:tcPr>
          <w:p w14:paraId="45C9C498"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88</w:t>
            </w:r>
          </w:p>
        </w:tc>
        <w:tc>
          <w:tcPr>
            <w:tcW w:w="1304" w:type="dxa"/>
            <w:tcBorders>
              <w:top w:val="single" w:sz="7" w:space="0" w:color="D3D3D3"/>
              <w:left w:val="single" w:sz="7" w:space="0" w:color="D3D3D3"/>
              <w:bottom w:val="single" w:sz="7" w:space="0" w:color="D3D3D3"/>
              <w:right w:val="single" w:sz="7" w:space="0" w:color="D3D3D3"/>
            </w:tcBorders>
          </w:tcPr>
          <w:p w14:paraId="6887D98D" w14:textId="77777777" w:rsidR="008337CF" w:rsidRPr="00A73B5F"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78</w:t>
            </w:r>
          </w:p>
        </w:tc>
      </w:tr>
      <w:tr w:rsidR="00E6785F" w14:paraId="7EA19B69" w14:textId="77777777" w:rsidTr="008337CF">
        <w:tc>
          <w:tcPr>
            <w:tcW w:w="2694" w:type="dxa"/>
          </w:tcPr>
          <w:p w14:paraId="4A78BA17" w14:textId="77777777" w:rsidR="008337CF" w:rsidRDefault="008337CF" w:rsidP="004110AE">
            <w:pPr>
              <w:pStyle w:val="EmptyLayoutCell"/>
              <w:spacing w:before="60" w:after="60"/>
              <w:rPr>
                <w:rFonts w:ascii="Arial" w:hAnsi="Arial" w:cs="Arial"/>
                <w:sz w:val="18"/>
                <w:szCs w:val="18"/>
              </w:rPr>
            </w:pPr>
            <w:r>
              <w:rPr>
                <w:rFonts w:ascii="Arial" w:hAnsi="Arial" w:cs="Arial"/>
                <w:sz w:val="18"/>
                <w:szCs w:val="18"/>
              </w:rPr>
              <w:t>5</w:t>
            </w:r>
          </w:p>
        </w:tc>
        <w:tc>
          <w:tcPr>
            <w:tcW w:w="1304" w:type="dxa"/>
          </w:tcPr>
          <w:p w14:paraId="3D04C316"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58</w:t>
            </w:r>
          </w:p>
        </w:tc>
        <w:tc>
          <w:tcPr>
            <w:tcW w:w="1304" w:type="dxa"/>
          </w:tcPr>
          <w:p w14:paraId="7ABCE646"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59</w:t>
            </w:r>
          </w:p>
        </w:tc>
        <w:tc>
          <w:tcPr>
            <w:tcW w:w="1304" w:type="dxa"/>
          </w:tcPr>
          <w:p w14:paraId="3BDB0FFA"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49</w:t>
            </w:r>
          </w:p>
        </w:tc>
        <w:tc>
          <w:tcPr>
            <w:tcW w:w="1304" w:type="dxa"/>
          </w:tcPr>
          <w:p w14:paraId="5E00D019"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47</w:t>
            </w:r>
          </w:p>
        </w:tc>
        <w:tc>
          <w:tcPr>
            <w:tcW w:w="1304" w:type="dxa"/>
            <w:tcBorders>
              <w:top w:val="single" w:sz="7" w:space="0" w:color="D3D3D3"/>
              <w:left w:val="single" w:sz="7" w:space="0" w:color="D3D3D3"/>
              <w:bottom w:val="single" w:sz="7" w:space="0" w:color="D3D3D3"/>
              <w:right w:val="single" w:sz="7" w:space="0" w:color="D3D3D3"/>
            </w:tcBorders>
          </w:tcPr>
          <w:p w14:paraId="603C2699" w14:textId="77777777" w:rsidR="008337CF" w:rsidRPr="00A73B5F"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39</w:t>
            </w:r>
          </w:p>
        </w:tc>
      </w:tr>
      <w:tr w:rsidR="00E6785F" w14:paraId="017A2D7C" w14:textId="77777777" w:rsidTr="008337CF">
        <w:tc>
          <w:tcPr>
            <w:tcW w:w="2694" w:type="dxa"/>
          </w:tcPr>
          <w:p w14:paraId="18D41790" w14:textId="77777777" w:rsidR="008337CF" w:rsidRDefault="008337CF" w:rsidP="004110AE">
            <w:pPr>
              <w:pStyle w:val="EmptyLayoutCell"/>
              <w:spacing w:before="60" w:after="60"/>
              <w:rPr>
                <w:rFonts w:ascii="Arial" w:hAnsi="Arial" w:cs="Arial"/>
                <w:sz w:val="18"/>
                <w:szCs w:val="18"/>
              </w:rPr>
            </w:pPr>
            <w:r>
              <w:rPr>
                <w:rFonts w:ascii="Arial" w:hAnsi="Arial" w:cs="Arial"/>
                <w:sz w:val="18"/>
                <w:szCs w:val="18"/>
              </w:rPr>
              <w:t>6</w:t>
            </w:r>
          </w:p>
        </w:tc>
        <w:tc>
          <w:tcPr>
            <w:tcW w:w="1304" w:type="dxa"/>
          </w:tcPr>
          <w:p w14:paraId="4BF456AC"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33</w:t>
            </w:r>
          </w:p>
        </w:tc>
        <w:tc>
          <w:tcPr>
            <w:tcW w:w="1304" w:type="dxa"/>
          </w:tcPr>
          <w:p w14:paraId="77ADE12B"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45</w:t>
            </w:r>
          </w:p>
        </w:tc>
        <w:tc>
          <w:tcPr>
            <w:tcW w:w="1304" w:type="dxa"/>
          </w:tcPr>
          <w:p w14:paraId="64A422E8"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41</w:t>
            </w:r>
          </w:p>
        </w:tc>
        <w:tc>
          <w:tcPr>
            <w:tcW w:w="1304" w:type="dxa"/>
          </w:tcPr>
          <w:p w14:paraId="07DC1AE4"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44</w:t>
            </w:r>
          </w:p>
        </w:tc>
        <w:tc>
          <w:tcPr>
            <w:tcW w:w="1304" w:type="dxa"/>
            <w:tcBorders>
              <w:top w:val="single" w:sz="7" w:space="0" w:color="D3D3D3"/>
              <w:left w:val="single" w:sz="7" w:space="0" w:color="D3D3D3"/>
              <w:bottom w:val="single" w:sz="7" w:space="0" w:color="D3D3D3"/>
              <w:right w:val="single" w:sz="7" w:space="0" w:color="D3D3D3"/>
            </w:tcBorders>
          </w:tcPr>
          <w:p w14:paraId="220052EE" w14:textId="77777777" w:rsidR="008337CF" w:rsidRPr="00A73B5F"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37</w:t>
            </w:r>
          </w:p>
        </w:tc>
      </w:tr>
      <w:tr w:rsidR="00E6785F" w14:paraId="36916C7E" w14:textId="77777777" w:rsidTr="008337CF">
        <w:tc>
          <w:tcPr>
            <w:tcW w:w="2694" w:type="dxa"/>
          </w:tcPr>
          <w:p w14:paraId="472FAA4A" w14:textId="77777777" w:rsidR="008337CF" w:rsidRDefault="008337CF" w:rsidP="004110AE">
            <w:pPr>
              <w:pStyle w:val="EmptyLayoutCell"/>
              <w:spacing w:before="60" w:after="60"/>
              <w:rPr>
                <w:rFonts w:ascii="Arial" w:hAnsi="Arial" w:cs="Arial"/>
                <w:sz w:val="18"/>
                <w:szCs w:val="18"/>
              </w:rPr>
            </w:pPr>
            <w:r>
              <w:rPr>
                <w:rFonts w:ascii="Arial" w:hAnsi="Arial" w:cs="Arial"/>
                <w:sz w:val="18"/>
                <w:szCs w:val="18"/>
              </w:rPr>
              <w:t>7+</w:t>
            </w:r>
          </w:p>
        </w:tc>
        <w:tc>
          <w:tcPr>
            <w:tcW w:w="1304" w:type="dxa"/>
          </w:tcPr>
          <w:p w14:paraId="6BA2BDC1"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181</w:t>
            </w:r>
          </w:p>
        </w:tc>
        <w:tc>
          <w:tcPr>
            <w:tcW w:w="1304" w:type="dxa"/>
          </w:tcPr>
          <w:p w14:paraId="5D568727"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167</w:t>
            </w:r>
          </w:p>
        </w:tc>
        <w:tc>
          <w:tcPr>
            <w:tcW w:w="1304" w:type="dxa"/>
          </w:tcPr>
          <w:p w14:paraId="5B8BCEB0"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163</w:t>
            </w:r>
          </w:p>
        </w:tc>
        <w:tc>
          <w:tcPr>
            <w:tcW w:w="1304" w:type="dxa"/>
          </w:tcPr>
          <w:p w14:paraId="1D8528E1" w14:textId="77777777" w:rsidR="008337CF" w:rsidRPr="00971727" w:rsidRDefault="008337CF" w:rsidP="004110AE">
            <w:pPr>
              <w:pStyle w:val="EmptyLayoutCell"/>
              <w:spacing w:before="60" w:after="60"/>
              <w:rPr>
                <w:rFonts w:ascii="Arial" w:eastAsia="Verdana" w:hAnsi="Arial" w:cs="Arial"/>
                <w:color w:val="000000"/>
                <w:sz w:val="18"/>
              </w:rPr>
            </w:pPr>
            <w:r w:rsidRPr="00397395">
              <w:rPr>
                <w:rFonts w:ascii="Arial" w:eastAsia="Verdana" w:hAnsi="Arial" w:cs="Arial"/>
                <w:color w:val="000000"/>
                <w:sz w:val="18"/>
                <w:szCs w:val="18"/>
              </w:rPr>
              <w:t>139</w:t>
            </w:r>
          </w:p>
        </w:tc>
        <w:tc>
          <w:tcPr>
            <w:tcW w:w="1304" w:type="dxa"/>
            <w:tcBorders>
              <w:top w:val="single" w:sz="7" w:space="0" w:color="D3D3D3"/>
              <w:left w:val="single" w:sz="7" w:space="0" w:color="D3D3D3"/>
              <w:bottom w:val="single" w:sz="7" w:space="0" w:color="D3D3D3"/>
              <w:right w:val="single" w:sz="7" w:space="0" w:color="D3D3D3"/>
            </w:tcBorders>
          </w:tcPr>
          <w:p w14:paraId="187E0BA5" w14:textId="77777777" w:rsidR="008337CF" w:rsidRPr="00A73B5F" w:rsidRDefault="008337CF" w:rsidP="004110AE">
            <w:pPr>
              <w:pStyle w:val="EmptyLayoutCell"/>
              <w:spacing w:before="60" w:after="60"/>
              <w:rPr>
                <w:rFonts w:ascii="Arial" w:eastAsia="Verdana" w:hAnsi="Arial" w:cs="Arial"/>
                <w:color w:val="000000"/>
                <w:sz w:val="18"/>
                <w:szCs w:val="18"/>
              </w:rPr>
            </w:pPr>
            <w:r w:rsidRPr="00132235">
              <w:rPr>
                <w:rFonts w:ascii="Arial" w:eastAsia="Verdana" w:hAnsi="Arial" w:cs="Arial"/>
                <w:color w:val="000000"/>
                <w:sz w:val="18"/>
                <w:szCs w:val="18"/>
              </w:rPr>
              <w:t>122</w:t>
            </w:r>
          </w:p>
        </w:tc>
      </w:tr>
    </w:tbl>
    <w:p w14:paraId="22EEE414" w14:textId="18B1F06C" w:rsidR="00381B2F" w:rsidRDefault="00381B2F" w:rsidP="00643556">
      <w:pPr>
        <w:pStyle w:val="Bodyaftertable"/>
      </w:pPr>
      <w:r w:rsidRPr="0059743C">
        <w:t>With respect to duration, the</w:t>
      </w:r>
      <w:r w:rsidR="00B7121F" w:rsidRPr="0059743C">
        <w:t xml:space="preserve">re </w:t>
      </w:r>
      <w:r w:rsidR="5453D7ED">
        <w:t xml:space="preserve">continues to be a </w:t>
      </w:r>
      <w:r w:rsidR="43842A00">
        <w:t xml:space="preserve">decrease in the number of </w:t>
      </w:r>
      <w:r w:rsidR="00B7121F" w:rsidRPr="0059743C">
        <w:t xml:space="preserve">episodes of </w:t>
      </w:r>
      <w:r w:rsidR="43842A00">
        <w:t>restraints lasting</w:t>
      </w:r>
      <w:r w:rsidR="0059743C">
        <w:t xml:space="preserve"> </w:t>
      </w:r>
      <w:r w:rsidR="00595FD7" w:rsidRPr="0059743C">
        <w:t>less th</w:t>
      </w:r>
      <w:r w:rsidR="00580A4E">
        <w:t>a</w:t>
      </w:r>
      <w:r w:rsidR="00595FD7" w:rsidRPr="0059743C">
        <w:t xml:space="preserve">n </w:t>
      </w:r>
      <w:r w:rsidR="43842A00">
        <w:t xml:space="preserve">15 minutes </w:t>
      </w:r>
      <w:r w:rsidR="00EC0E4E" w:rsidRPr="0059743C">
        <w:t>(Table 1</w:t>
      </w:r>
      <w:r w:rsidR="003360B6">
        <w:t>5</w:t>
      </w:r>
      <w:r w:rsidR="00EC0E4E" w:rsidRPr="0059743C">
        <w:t>)</w:t>
      </w:r>
      <w:r w:rsidR="00BF3B3F" w:rsidRPr="0059743C">
        <w:t xml:space="preserve">. </w:t>
      </w:r>
      <w:r w:rsidR="00F07215">
        <w:t>Many</w:t>
      </w:r>
      <w:r w:rsidR="00DA1D0F" w:rsidRPr="0059743C">
        <w:t xml:space="preserve"> </w:t>
      </w:r>
      <w:r w:rsidR="1FFD5A84" w:rsidRPr="0059743C">
        <w:t xml:space="preserve">restraints </w:t>
      </w:r>
      <w:r w:rsidR="00F05CE7">
        <w:t xml:space="preserve">are </w:t>
      </w:r>
      <w:r w:rsidR="1FFD5A84">
        <w:t xml:space="preserve">less than </w:t>
      </w:r>
      <w:r w:rsidR="00AD12EC">
        <w:t xml:space="preserve">3 </w:t>
      </w:r>
      <w:r w:rsidR="1FFD5A84">
        <w:t xml:space="preserve">minutes and may </w:t>
      </w:r>
      <w:r w:rsidR="00E03B93">
        <w:t xml:space="preserve">indicate </w:t>
      </w:r>
      <w:r w:rsidR="0033497B">
        <w:t xml:space="preserve">the use of </w:t>
      </w:r>
      <w:r w:rsidR="1FFD5A84">
        <w:t>restraint to administ</w:t>
      </w:r>
      <w:r w:rsidR="00C51D57">
        <w:t xml:space="preserve">er </w:t>
      </w:r>
      <w:r w:rsidR="1FFD5A84">
        <w:t>medication or to guide a person to</w:t>
      </w:r>
      <w:r w:rsidR="20818CA6">
        <w:t>wards</w:t>
      </w:r>
      <w:r w:rsidR="1FFD5A84">
        <w:t xml:space="preserve"> a different space</w:t>
      </w:r>
      <w:r w:rsidR="348A1212">
        <w:t>.</w:t>
      </w:r>
      <w:r w:rsidR="00F37232">
        <w:t xml:space="preserve"> </w:t>
      </w:r>
      <w:r w:rsidR="08880157">
        <w:t>Whil</w:t>
      </w:r>
      <w:r w:rsidR="007D378D">
        <w:t>e</w:t>
      </w:r>
      <w:r w:rsidR="08880157">
        <w:t xml:space="preserve"> acknowledging the goal of zero restrictive interventions, there is a </w:t>
      </w:r>
      <w:r w:rsidR="5EF608B1">
        <w:t>positive reduction</w:t>
      </w:r>
      <w:r w:rsidR="08880157">
        <w:t xml:space="preserve"> from 35 restraints exceeding 12 hours in 2019</w:t>
      </w:r>
      <w:r w:rsidR="00AD12EC">
        <w:t>–</w:t>
      </w:r>
      <w:r w:rsidR="08880157">
        <w:t>20 to 3 instances in 2023</w:t>
      </w:r>
      <w:r w:rsidR="00AD12EC">
        <w:t>–</w:t>
      </w:r>
      <w:r w:rsidR="08880157">
        <w:t>24</w:t>
      </w:r>
      <w:r w:rsidR="08E8115B">
        <w:t>.</w:t>
      </w:r>
    </w:p>
    <w:p w14:paraId="2D6FEA36" w14:textId="04AD46C9" w:rsidR="00381B2F" w:rsidRDefault="00381B2F" w:rsidP="000D0B9B">
      <w:pPr>
        <w:pStyle w:val="Tablecaption"/>
      </w:pPr>
      <w:r w:rsidRPr="64F2407C">
        <w:lastRenderedPageBreak/>
        <w:t xml:space="preserve">Table </w:t>
      </w:r>
      <w:r w:rsidR="008E180F">
        <w:t>1</w:t>
      </w:r>
      <w:r w:rsidR="003360B6">
        <w:t>5</w:t>
      </w:r>
      <w:r w:rsidRPr="64F2407C">
        <w:t xml:space="preserve">: </w:t>
      </w:r>
      <w:r w:rsidR="00B47CC3" w:rsidRPr="00B47CC3">
        <w:t>Duration of physical, mechanical and combined bodily restraint episodes</w:t>
      </w:r>
      <w:r w:rsidRPr="64F2407C">
        <w:t>, 201</w:t>
      </w:r>
      <w:r w:rsidR="00787080">
        <w:t>9</w:t>
      </w:r>
      <w:r w:rsidRPr="64F2407C">
        <w:t>–</w:t>
      </w:r>
      <w:r w:rsidR="00787080">
        <w:t>20</w:t>
      </w:r>
      <w:r w:rsidRPr="64F2407C">
        <w:t xml:space="preserve"> to</w:t>
      </w:r>
      <w:r w:rsidR="00B47CC3">
        <w:t xml:space="preserve"> </w:t>
      </w:r>
      <w:r w:rsidR="007B2175">
        <w:t>202</w:t>
      </w:r>
      <w:r w:rsidR="00040C84">
        <w:t>3</w:t>
      </w:r>
      <w:r w:rsidR="007B2175">
        <w:t>–2</w:t>
      </w:r>
      <w:r w:rsidR="00787080">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835"/>
        <w:gridCol w:w="1275"/>
        <w:gridCol w:w="1276"/>
        <w:gridCol w:w="1276"/>
        <w:gridCol w:w="1276"/>
        <w:gridCol w:w="1276"/>
      </w:tblGrid>
      <w:tr w:rsidR="003348AB" w14:paraId="1E4C158D" w14:textId="77777777" w:rsidTr="00D665F6">
        <w:trPr>
          <w:tblHeader/>
        </w:trPr>
        <w:tc>
          <w:tcPr>
            <w:tcW w:w="2835" w:type="dxa"/>
            <w:shd w:val="clear" w:color="auto" w:fill="244C5A"/>
          </w:tcPr>
          <w:p w14:paraId="43527CE4" w14:textId="4A1BF126" w:rsidR="00787080" w:rsidRPr="009E1217" w:rsidRDefault="00787080" w:rsidP="004110AE">
            <w:pPr>
              <w:pStyle w:val="EmptyLayoutCell"/>
              <w:spacing w:before="60" w:after="60"/>
              <w:rPr>
                <w:rFonts w:ascii="Arial" w:hAnsi="Arial" w:cs="Arial"/>
                <w:color w:val="FFFFFF"/>
                <w:sz w:val="18"/>
                <w:szCs w:val="18"/>
              </w:rPr>
            </w:pPr>
            <w:r>
              <w:rPr>
                <w:rFonts w:ascii="Arial" w:hAnsi="Arial" w:cs="Arial"/>
                <w:color w:val="FFFFFF"/>
                <w:sz w:val="18"/>
                <w:szCs w:val="18"/>
              </w:rPr>
              <w:t>Duration</w:t>
            </w:r>
          </w:p>
        </w:tc>
        <w:tc>
          <w:tcPr>
            <w:tcW w:w="1275" w:type="dxa"/>
            <w:shd w:val="clear" w:color="auto" w:fill="244C5A"/>
          </w:tcPr>
          <w:p w14:paraId="3AE304A4" w14:textId="77777777" w:rsidR="00787080" w:rsidRPr="009E1217" w:rsidRDefault="0078708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276" w:type="dxa"/>
            <w:shd w:val="clear" w:color="auto" w:fill="244C5A"/>
          </w:tcPr>
          <w:p w14:paraId="3235C88B" w14:textId="77777777" w:rsidR="00787080" w:rsidRPr="009E1217" w:rsidRDefault="0078708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276" w:type="dxa"/>
            <w:shd w:val="clear" w:color="auto" w:fill="244C5A"/>
          </w:tcPr>
          <w:p w14:paraId="545B427A" w14:textId="77777777" w:rsidR="00787080" w:rsidRPr="009E1217" w:rsidRDefault="0078708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276" w:type="dxa"/>
            <w:shd w:val="clear" w:color="auto" w:fill="244C5A"/>
          </w:tcPr>
          <w:p w14:paraId="4C12352F" w14:textId="77777777" w:rsidR="00787080" w:rsidRPr="009E1217" w:rsidRDefault="0078708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276" w:type="dxa"/>
            <w:shd w:val="clear" w:color="auto" w:fill="244C5A"/>
          </w:tcPr>
          <w:p w14:paraId="718F375E" w14:textId="77777777" w:rsidR="00787080" w:rsidRPr="009E1217" w:rsidRDefault="00787080"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6113A" w14:paraId="38318FA1" w14:textId="77777777" w:rsidTr="00787080">
        <w:tc>
          <w:tcPr>
            <w:tcW w:w="2835" w:type="dxa"/>
          </w:tcPr>
          <w:p w14:paraId="67E37433" w14:textId="77777777" w:rsidR="00787080" w:rsidRDefault="00787080" w:rsidP="004110AE">
            <w:pPr>
              <w:pStyle w:val="EmptyLayoutCell"/>
              <w:spacing w:before="60" w:after="60"/>
              <w:rPr>
                <w:rFonts w:ascii="Arial" w:hAnsi="Arial" w:cs="Arial"/>
                <w:sz w:val="18"/>
                <w:szCs w:val="18"/>
              </w:rPr>
            </w:pPr>
            <w:r>
              <w:rPr>
                <w:rFonts w:ascii="Arial" w:hAnsi="Arial" w:cs="Arial"/>
                <w:sz w:val="18"/>
                <w:szCs w:val="18"/>
              </w:rPr>
              <w:t>Less than 3 minutes</w:t>
            </w:r>
          </w:p>
        </w:tc>
        <w:tc>
          <w:tcPr>
            <w:tcW w:w="1275" w:type="dxa"/>
          </w:tcPr>
          <w:p w14:paraId="075DD79B"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5,365</w:t>
            </w:r>
          </w:p>
        </w:tc>
        <w:tc>
          <w:tcPr>
            <w:tcW w:w="1276" w:type="dxa"/>
          </w:tcPr>
          <w:p w14:paraId="36251C0B"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5,738</w:t>
            </w:r>
          </w:p>
        </w:tc>
        <w:tc>
          <w:tcPr>
            <w:tcW w:w="1276" w:type="dxa"/>
          </w:tcPr>
          <w:p w14:paraId="48B19774"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4,966</w:t>
            </w:r>
          </w:p>
        </w:tc>
        <w:tc>
          <w:tcPr>
            <w:tcW w:w="1276" w:type="dxa"/>
          </w:tcPr>
          <w:p w14:paraId="600C2597"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4,387</w:t>
            </w:r>
          </w:p>
        </w:tc>
        <w:tc>
          <w:tcPr>
            <w:tcW w:w="1276" w:type="dxa"/>
          </w:tcPr>
          <w:p w14:paraId="4D0AF3A3"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4,909</w:t>
            </w:r>
          </w:p>
        </w:tc>
      </w:tr>
      <w:tr w:rsidR="00C6113A" w14:paraId="298DC50F" w14:textId="77777777" w:rsidTr="00787080">
        <w:tc>
          <w:tcPr>
            <w:tcW w:w="2835" w:type="dxa"/>
          </w:tcPr>
          <w:p w14:paraId="605FDE0A" w14:textId="16F4BDC7" w:rsidR="00787080" w:rsidRPr="007A09B2" w:rsidRDefault="00787080" w:rsidP="004110AE">
            <w:pPr>
              <w:pStyle w:val="EmptyLayoutCell"/>
              <w:spacing w:before="60" w:after="60"/>
              <w:rPr>
                <w:rFonts w:ascii="Arial" w:hAnsi="Arial" w:cs="Arial"/>
                <w:sz w:val="18"/>
                <w:szCs w:val="18"/>
              </w:rPr>
            </w:pPr>
            <w:r>
              <w:rPr>
                <w:rFonts w:ascii="Arial" w:hAnsi="Arial" w:cs="Arial"/>
                <w:sz w:val="18"/>
                <w:szCs w:val="18"/>
              </w:rPr>
              <w:t xml:space="preserve">≥ 3 to &lt; </w:t>
            </w:r>
            <w:r w:rsidR="11537EC8" w:rsidRPr="09DE7ABD">
              <w:rPr>
                <w:rFonts w:ascii="Arial" w:hAnsi="Arial" w:cs="Arial"/>
                <w:sz w:val="18"/>
                <w:szCs w:val="18"/>
              </w:rPr>
              <w:t>1</w:t>
            </w:r>
            <w:r w:rsidRPr="09DE7ABD">
              <w:rPr>
                <w:rFonts w:ascii="Arial" w:hAnsi="Arial" w:cs="Arial"/>
                <w:sz w:val="18"/>
                <w:szCs w:val="18"/>
              </w:rPr>
              <w:t>5</w:t>
            </w:r>
            <w:r>
              <w:rPr>
                <w:rFonts w:ascii="Arial" w:hAnsi="Arial" w:cs="Arial"/>
                <w:sz w:val="18"/>
                <w:szCs w:val="18"/>
              </w:rPr>
              <w:t xml:space="preserve"> minutes</w:t>
            </w:r>
          </w:p>
        </w:tc>
        <w:tc>
          <w:tcPr>
            <w:tcW w:w="1275" w:type="dxa"/>
          </w:tcPr>
          <w:p w14:paraId="28EC8622"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2,330</w:t>
            </w:r>
          </w:p>
        </w:tc>
        <w:tc>
          <w:tcPr>
            <w:tcW w:w="1276" w:type="dxa"/>
          </w:tcPr>
          <w:p w14:paraId="14E294E1"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2,012</w:t>
            </w:r>
          </w:p>
        </w:tc>
        <w:tc>
          <w:tcPr>
            <w:tcW w:w="1276" w:type="dxa"/>
          </w:tcPr>
          <w:p w14:paraId="53763D00"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1,910</w:t>
            </w:r>
          </w:p>
        </w:tc>
        <w:tc>
          <w:tcPr>
            <w:tcW w:w="1276" w:type="dxa"/>
          </w:tcPr>
          <w:p w14:paraId="7A0F0ADA"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1,669</w:t>
            </w:r>
          </w:p>
        </w:tc>
        <w:tc>
          <w:tcPr>
            <w:tcW w:w="1276" w:type="dxa"/>
          </w:tcPr>
          <w:p w14:paraId="2E2055F1" w14:textId="77777777" w:rsidR="00787080" w:rsidRPr="004E5C9B" w:rsidRDefault="00787080"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931</w:t>
            </w:r>
          </w:p>
        </w:tc>
      </w:tr>
      <w:tr w:rsidR="00C6113A" w14:paraId="153A5DAE" w14:textId="77777777" w:rsidTr="00787080">
        <w:tc>
          <w:tcPr>
            <w:tcW w:w="2835" w:type="dxa"/>
          </w:tcPr>
          <w:p w14:paraId="3ECDA75E" w14:textId="661A3A29" w:rsidR="00787080" w:rsidRDefault="00787080" w:rsidP="004110AE">
            <w:pPr>
              <w:pStyle w:val="EmptyLayoutCell"/>
              <w:spacing w:before="60" w:after="60"/>
              <w:rPr>
                <w:rFonts w:ascii="Arial" w:hAnsi="Arial" w:cs="Arial"/>
                <w:sz w:val="18"/>
                <w:szCs w:val="18"/>
              </w:rPr>
            </w:pPr>
            <w:r>
              <w:rPr>
                <w:rFonts w:ascii="Arial" w:hAnsi="Arial" w:cs="Arial"/>
                <w:sz w:val="18"/>
                <w:szCs w:val="18"/>
              </w:rPr>
              <w:t>≥ 15 to &lt; 30 minutes</w:t>
            </w:r>
          </w:p>
        </w:tc>
        <w:tc>
          <w:tcPr>
            <w:tcW w:w="1275" w:type="dxa"/>
          </w:tcPr>
          <w:p w14:paraId="2E83C13E"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165</w:t>
            </w:r>
          </w:p>
        </w:tc>
        <w:tc>
          <w:tcPr>
            <w:tcW w:w="1276" w:type="dxa"/>
          </w:tcPr>
          <w:p w14:paraId="0F99274A"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207</w:t>
            </w:r>
          </w:p>
        </w:tc>
        <w:tc>
          <w:tcPr>
            <w:tcW w:w="1276" w:type="dxa"/>
          </w:tcPr>
          <w:p w14:paraId="01850B77"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193</w:t>
            </w:r>
          </w:p>
        </w:tc>
        <w:tc>
          <w:tcPr>
            <w:tcW w:w="1276" w:type="dxa"/>
          </w:tcPr>
          <w:p w14:paraId="681595F1"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189</w:t>
            </w:r>
          </w:p>
        </w:tc>
        <w:tc>
          <w:tcPr>
            <w:tcW w:w="1276" w:type="dxa"/>
          </w:tcPr>
          <w:p w14:paraId="1F2623DB"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119</w:t>
            </w:r>
          </w:p>
        </w:tc>
      </w:tr>
      <w:tr w:rsidR="00C6113A" w14:paraId="32C74F87" w14:textId="77777777" w:rsidTr="00787080">
        <w:tc>
          <w:tcPr>
            <w:tcW w:w="2835" w:type="dxa"/>
          </w:tcPr>
          <w:p w14:paraId="7B289CDF" w14:textId="77777777" w:rsidR="00787080" w:rsidRDefault="00787080" w:rsidP="004110AE">
            <w:pPr>
              <w:pStyle w:val="EmptyLayoutCell"/>
              <w:spacing w:before="60" w:after="60"/>
              <w:rPr>
                <w:rFonts w:ascii="Arial" w:hAnsi="Arial" w:cs="Arial"/>
                <w:sz w:val="18"/>
                <w:szCs w:val="18"/>
              </w:rPr>
            </w:pPr>
            <w:r>
              <w:rPr>
                <w:rFonts w:ascii="Arial" w:hAnsi="Arial" w:cs="Arial"/>
                <w:sz w:val="18"/>
                <w:szCs w:val="18"/>
              </w:rPr>
              <w:t>≥ 30 to &lt; 45 minutes</w:t>
            </w:r>
          </w:p>
        </w:tc>
        <w:tc>
          <w:tcPr>
            <w:tcW w:w="1275" w:type="dxa"/>
          </w:tcPr>
          <w:p w14:paraId="6F7B1AF7"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68</w:t>
            </w:r>
          </w:p>
        </w:tc>
        <w:tc>
          <w:tcPr>
            <w:tcW w:w="1276" w:type="dxa"/>
          </w:tcPr>
          <w:p w14:paraId="60C66D77"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85</w:t>
            </w:r>
          </w:p>
        </w:tc>
        <w:tc>
          <w:tcPr>
            <w:tcW w:w="1276" w:type="dxa"/>
          </w:tcPr>
          <w:p w14:paraId="37625243"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82</w:t>
            </w:r>
          </w:p>
        </w:tc>
        <w:tc>
          <w:tcPr>
            <w:tcW w:w="1276" w:type="dxa"/>
          </w:tcPr>
          <w:p w14:paraId="51FA9A9F"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73</w:t>
            </w:r>
          </w:p>
        </w:tc>
        <w:tc>
          <w:tcPr>
            <w:tcW w:w="1276" w:type="dxa"/>
          </w:tcPr>
          <w:p w14:paraId="160AAE24"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52</w:t>
            </w:r>
          </w:p>
        </w:tc>
      </w:tr>
      <w:tr w:rsidR="00C6113A" w14:paraId="45C0A71A" w14:textId="77777777" w:rsidTr="00787080">
        <w:tc>
          <w:tcPr>
            <w:tcW w:w="2835" w:type="dxa"/>
          </w:tcPr>
          <w:p w14:paraId="2342CD94" w14:textId="77777777" w:rsidR="00787080" w:rsidRDefault="00787080" w:rsidP="004110AE">
            <w:pPr>
              <w:pStyle w:val="EmptyLayoutCell"/>
              <w:spacing w:before="60" w:after="60"/>
              <w:rPr>
                <w:rFonts w:ascii="Arial" w:hAnsi="Arial" w:cs="Arial"/>
                <w:sz w:val="18"/>
                <w:szCs w:val="18"/>
              </w:rPr>
            </w:pPr>
            <w:r>
              <w:rPr>
                <w:rFonts w:ascii="Arial" w:hAnsi="Arial" w:cs="Arial"/>
                <w:sz w:val="18"/>
                <w:szCs w:val="18"/>
              </w:rPr>
              <w:t>≥ 45 minutes to &lt; 1 hour</w:t>
            </w:r>
          </w:p>
        </w:tc>
        <w:tc>
          <w:tcPr>
            <w:tcW w:w="1275" w:type="dxa"/>
          </w:tcPr>
          <w:p w14:paraId="1B5AC703"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49</w:t>
            </w:r>
          </w:p>
        </w:tc>
        <w:tc>
          <w:tcPr>
            <w:tcW w:w="1276" w:type="dxa"/>
          </w:tcPr>
          <w:p w14:paraId="0491826E"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66</w:t>
            </w:r>
          </w:p>
        </w:tc>
        <w:tc>
          <w:tcPr>
            <w:tcW w:w="1276" w:type="dxa"/>
          </w:tcPr>
          <w:p w14:paraId="5D455C3F"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84</w:t>
            </w:r>
          </w:p>
        </w:tc>
        <w:tc>
          <w:tcPr>
            <w:tcW w:w="1276" w:type="dxa"/>
          </w:tcPr>
          <w:p w14:paraId="48F0D61F"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46</w:t>
            </w:r>
          </w:p>
        </w:tc>
        <w:tc>
          <w:tcPr>
            <w:tcW w:w="1276" w:type="dxa"/>
          </w:tcPr>
          <w:p w14:paraId="5A53390E"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37</w:t>
            </w:r>
          </w:p>
        </w:tc>
      </w:tr>
      <w:tr w:rsidR="00C6113A" w14:paraId="5091E297" w14:textId="77777777" w:rsidTr="00787080">
        <w:tc>
          <w:tcPr>
            <w:tcW w:w="2835" w:type="dxa"/>
          </w:tcPr>
          <w:p w14:paraId="0AD76232" w14:textId="77777777" w:rsidR="00787080" w:rsidRDefault="00787080" w:rsidP="004110AE">
            <w:pPr>
              <w:pStyle w:val="EmptyLayoutCell"/>
              <w:spacing w:before="60" w:after="60"/>
              <w:rPr>
                <w:rFonts w:ascii="Arial" w:hAnsi="Arial" w:cs="Arial"/>
                <w:sz w:val="18"/>
                <w:szCs w:val="18"/>
              </w:rPr>
            </w:pPr>
            <w:r>
              <w:rPr>
                <w:rFonts w:ascii="Arial" w:hAnsi="Arial" w:cs="Arial"/>
                <w:sz w:val="18"/>
                <w:szCs w:val="18"/>
              </w:rPr>
              <w:t xml:space="preserve">≥ 1 to &lt; 4 </w:t>
            </w:r>
            <w:proofErr w:type="gramStart"/>
            <w:r>
              <w:rPr>
                <w:rFonts w:ascii="Arial" w:hAnsi="Arial" w:cs="Arial"/>
                <w:sz w:val="18"/>
                <w:szCs w:val="18"/>
              </w:rPr>
              <w:t>hours</w:t>
            </w:r>
            <w:proofErr w:type="gramEnd"/>
          </w:p>
        </w:tc>
        <w:tc>
          <w:tcPr>
            <w:tcW w:w="1275" w:type="dxa"/>
          </w:tcPr>
          <w:p w14:paraId="16313900"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202</w:t>
            </w:r>
          </w:p>
        </w:tc>
        <w:tc>
          <w:tcPr>
            <w:tcW w:w="1276" w:type="dxa"/>
          </w:tcPr>
          <w:p w14:paraId="79648120"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158</w:t>
            </w:r>
          </w:p>
        </w:tc>
        <w:tc>
          <w:tcPr>
            <w:tcW w:w="1276" w:type="dxa"/>
          </w:tcPr>
          <w:p w14:paraId="1FBA9772"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243</w:t>
            </w:r>
          </w:p>
        </w:tc>
        <w:tc>
          <w:tcPr>
            <w:tcW w:w="1276" w:type="dxa"/>
          </w:tcPr>
          <w:p w14:paraId="5450BCC4"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167</w:t>
            </w:r>
          </w:p>
        </w:tc>
        <w:tc>
          <w:tcPr>
            <w:tcW w:w="1276" w:type="dxa"/>
          </w:tcPr>
          <w:p w14:paraId="38668891"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181</w:t>
            </w:r>
          </w:p>
        </w:tc>
      </w:tr>
      <w:tr w:rsidR="00C6113A" w14:paraId="1F423D44" w14:textId="77777777" w:rsidTr="00787080">
        <w:tc>
          <w:tcPr>
            <w:tcW w:w="2835" w:type="dxa"/>
          </w:tcPr>
          <w:p w14:paraId="07AE9260" w14:textId="77777777" w:rsidR="00787080" w:rsidRDefault="00787080" w:rsidP="004110AE">
            <w:pPr>
              <w:pStyle w:val="EmptyLayoutCell"/>
              <w:spacing w:before="60" w:after="60"/>
              <w:rPr>
                <w:rFonts w:ascii="Arial" w:hAnsi="Arial" w:cs="Arial"/>
                <w:sz w:val="18"/>
                <w:szCs w:val="18"/>
              </w:rPr>
            </w:pPr>
            <w:r>
              <w:rPr>
                <w:rFonts w:ascii="Arial" w:hAnsi="Arial" w:cs="Arial"/>
                <w:sz w:val="18"/>
                <w:szCs w:val="18"/>
              </w:rPr>
              <w:t>≥ 4 to &lt; 12 hours</w:t>
            </w:r>
          </w:p>
        </w:tc>
        <w:tc>
          <w:tcPr>
            <w:tcW w:w="1275" w:type="dxa"/>
          </w:tcPr>
          <w:p w14:paraId="51F5E405"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55</w:t>
            </w:r>
          </w:p>
        </w:tc>
        <w:tc>
          <w:tcPr>
            <w:tcW w:w="1276" w:type="dxa"/>
          </w:tcPr>
          <w:p w14:paraId="61397CCA"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45</w:t>
            </w:r>
          </w:p>
        </w:tc>
        <w:tc>
          <w:tcPr>
            <w:tcW w:w="1276" w:type="dxa"/>
          </w:tcPr>
          <w:p w14:paraId="75753D94"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57</w:t>
            </w:r>
          </w:p>
        </w:tc>
        <w:tc>
          <w:tcPr>
            <w:tcW w:w="1276" w:type="dxa"/>
          </w:tcPr>
          <w:p w14:paraId="2DC83BB2"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14</w:t>
            </w:r>
          </w:p>
        </w:tc>
        <w:tc>
          <w:tcPr>
            <w:tcW w:w="1276" w:type="dxa"/>
          </w:tcPr>
          <w:p w14:paraId="75A6E8EA"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25</w:t>
            </w:r>
          </w:p>
        </w:tc>
      </w:tr>
      <w:tr w:rsidR="00C6113A" w14:paraId="369AB662" w14:textId="77777777" w:rsidTr="00787080">
        <w:tc>
          <w:tcPr>
            <w:tcW w:w="2835" w:type="dxa"/>
          </w:tcPr>
          <w:p w14:paraId="4B350EAD" w14:textId="77777777" w:rsidR="00787080" w:rsidRDefault="00787080" w:rsidP="004110AE">
            <w:pPr>
              <w:pStyle w:val="EmptyLayoutCell"/>
              <w:spacing w:before="60" w:after="60"/>
              <w:rPr>
                <w:rFonts w:ascii="Arial" w:hAnsi="Arial" w:cs="Arial"/>
                <w:sz w:val="18"/>
                <w:szCs w:val="18"/>
              </w:rPr>
            </w:pPr>
            <w:r>
              <w:rPr>
                <w:rFonts w:ascii="Arial" w:hAnsi="Arial" w:cs="Arial"/>
                <w:sz w:val="18"/>
                <w:szCs w:val="18"/>
              </w:rPr>
              <w:t>≥ 12 hours</w:t>
            </w:r>
          </w:p>
        </w:tc>
        <w:tc>
          <w:tcPr>
            <w:tcW w:w="1275" w:type="dxa"/>
          </w:tcPr>
          <w:p w14:paraId="660921CD"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35</w:t>
            </w:r>
          </w:p>
        </w:tc>
        <w:tc>
          <w:tcPr>
            <w:tcW w:w="1276" w:type="dxa"/>
          </w:tcPr>
          <w:p w14:paraId="0762B18F"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18</w:t>
            </w:r>
          </w:p>
        </w:tc>
        <w:tc>
          <w:tcPr>
            <w:tcW w:w="1276" w:type="dxa"/>
          </w:tcPr>
          <w:p w14:paraId="704266A1"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22</w:t>
            </w:r>
          </w:p>
        </w:tc>
        <w:tc>
          <w:tcPr>
            <w:tcW w:w="1276" w:type="dxa"/>
          </w:tcPr>
          <w:p w14:paraId="3E682AB8" w14:textId="77777777" w:rsidR="00787080" w:rsidRPr="004E5C9B" w:rsidRDefault="00787080" w:rsidP="004110AE">
            <w:pPr>
              <w:pStyle w:val="EmptyLayoutCell"/>
              <w:spacing w:before="60" w:after="60"/>
              <w:rPr>
                <w:rFonts w:ascii="Arial" w:eastAsia="Verdana" w:hAnsi="Arial" w:cs="Arial"/>
                <w:color w:val="000000"/>
                <w:sz w:val="18"/>
                <w:szCs w:val="18"/>
              </w:rPr>
            </w:pPr>
            <w:r w:rsidRPr="00397395">
              <w:rPr>
                <w:rFonts w:ascii="Arial" w:eastAsia="Verdana" w:hAnsi="Arial" w:cs="Arial"/>
                <w:color w:val="000000"/>
                <w:sz w:val="18"/>
                <w:szCs w:val="18"/>
              </w:rPr>
              <w:t>15</w:t>
            </w:r>
          </w:p>
        </w:tc>
        <w:tc>
          <w:tcPr>
            <w:tcW w:w="1276" w:type="dxa"/>
          </w:tcPr>
          <w:p w14:paraId="3D3BB4FA" w14:textId="77777777" w:rsidR="00787080" w:rsidRPr="004E5C9B" w:rsidRDefault="00787080" w:rsidP="004110AE">
            <w:pPr>
              <w:pStyle w:val="EmptyLayoutCell"/>
              <w:spacing w:before="60" w:after="60"/>
              <w:rPr>
                <w:rFonts w:ascii="Arial" w:eastAsia="Verdana" w:hAnsi="Arial" w:cs="Arial"/>
                <w:color w:val="000000"/>
                <w:sz w:val="18"/>
                <w:szCs w:val="18"/>
              </w:rPr>
            </w:pPr>
            <w:r>
              <w:rPr>
                <w:rFonts w:ascii="Arial" w:eastAsia="Verdana" w:hAnsi="Arial" w:cs="Arial"/>
                <w:color w:val="000000"/>
                <w:sz w:val="18"/>
                <w:szCs w:val="18"/>
              </w:rPr>
              <w:t>3</w:t>
            </w:r>
          </w:p>
        </w:tc>
      </w:tr>
    </w:tbl>
    <w:p w14:paraId="40F87EF3" w14:textId="61439D7E" w:rsidR="00381B2F" w:rsidRDefault="00381B2F" w:rsidP="00383721">
      <w:pPr>
        <w:pStyle w:val="Heading3"/>
        <w:rPr>
          <w:sz w:val="22"/>
          <w:szCs w:val="22"/>
          <w:highlight w:val="green"/>
        </w:rPr>
      </w:pPr>
      <w:r>
        <w:t>S</w:t>
      </w:r>
      <w:r w:rsidRPr="00442A45">
        <w:t>ecure extended care units</w:t>
      </w:r>
    </w:p>
    <w:p w14:paraId="67296AAD" w14:textId="4E786261" w:rsidR="0084712B" w:rsidRDefault="0084712B" w:rsidP="6A77C92E">
      <w:pPr>
        <w:pStyle w:val="Body"/>
      </w:pPr>
      <w:r>
        <w:t xml:space="preserve">Secure extended care units, or </w:t>
      </w:r>
      <w:r w:rsidR="544EA0D9">
        <w:t>SECUs</w:t>
      </w:r>
      <w:r>
        <w:t>,</w:t>
      </w:r>
      <w:r w:rsidR="29F65525">
        <w:t xml:space="preserve"> </w:t>
      </w:r>
      <w:r w:rsidR="4AA83B1B">
        <w:t xml:space="preserve">are inpatient bed </w:t>
      </w:r>
      <w:r w:rsidR="4A6F1497">
        <w:t xml:space="preserve">units </w:t>
      </w:r>
      <w:r w:rsidR="4AA83B1B">
        <w:t xml:space="preserve">that </w:t>
      </w:r>
      <w:r w:rsidR="0F3E7D66">
        <w:t xml:space="preserve">provide for the </w:t>
      </w:r>
      <w:r w:rsidR="29F65525">
        <w:t>needs of</w:t>
      </w:r>
      <w:r w:rsidR="79114AA7">
        <w:t xml:space="preserve"> consumers </w:t>
      </w:r>
      <w:r w:rsidR="29F65525">
        <w:t xml:space="preserve">facing complex </w:t>
      </w:r>
      <w:r w:rsidR="0BB605D2">
        <w:t>challenges</w:t>
      </w:r>
      <w:r w:rsidR="001F2CAA">
        <w:t>.</w:t>
      </w:r>
      <w:r w:rsidR="00927CD5">
        <w:t xml:space="preserve"> </w:t>
      </w:r>
      <w:r w:rsidR="001F0C67">
        <w:t>SECUs</w:t>
      </w:r>
      <w:r w:rsidR="00DF5389">
        <w:t xml:space="preserve"> </w:t>
      </w:r>
      <w:r w:rsidR="00EE08EB">
        <w:t xml:space="preserve">offer </w:t>
      </w:r>
      <w:r w:rsidR="00DF5389">
        <w:t xml:space="preserve">the </w:t>
      </w:r>
      <w:r w:rsidR="74CD5CB4">
        <w:t xml:space="preserve">opportunity </w:t>
      </w:r>
      <w:r w:rsidR="00DF5389">
        <w:t xml:space="preserve">for </w:t>
      </w:r>
      <w:r w:rsidR="0079231E">
        <w:t>consumers facing complex challenges to</w:t>
      </w:r>
      <w:r w:rsidR="38148A91">
        <w:t xml:space="preserve"> benefit from a longer length of stay</w:t>
      </w:r>
      <w:r w:rsidR="45805CE0">
        <w:t xml:space="preserve"> with a rehabilitation focus</w:t>
      </w:r>
      <w:r w:rsidR="6C7B8296">
        <w:t xml:space="preserve">. </w:t>
      </w:r>
    </w:p>
    <w:p w14:paraId="182B149C" w14:textId="0222EED0" w:rsidR="00381B2F" w:rsidRPr="00521581" w:rsidRDefault="1CC23CA0" w:rsidP="00383721">
      <w:pPr>
        <w:pStyle w:val="Heading4"/>
        <w:rPr>
          <w:sz w:val="22"/>
          <w:szCs w:val="22"/>
        </w:rPr>
      </w:pPr>
      <w:r w:rsidRPr="6A77C92E">
        <w:rPr>
          <w:b w:val="0"/>
          <w:bCs w:val="0"/>
          <w:sz w:val="24"/>
          <w:szCs w:val="24"/>
        </w:rPr>
        <w:t>Seclusion</w:t>
      </w:r>
      <w:r w:rsidR="42880F35" w:rsidRPr="6A77C92E">
        <w:rPr>
          <w:b w:val="0"/>
          <w:bCs w:val="0"/>
          <w:sz w:val="24"/>
          <w:szCs w:val="24"/>
        </w:rPr>
        <w:t xml:space="preserve"> – secure extended care units</w:t>
      </w:r>
    </w:p>
    <w:p w14:paraId="47C26077" w14:textId="3597C877" w:rsidR="00381B2F" w:rsidRDefault="00381B2F" w:rsidP="008B4B58">
      <w:pPr>
        <w:pStyle w:val="Body"/>
      </w:pPr>
      <w:r>
        <w:t xml:space="preserve">Table </w:t>
      </w:r>
      <w:r w:rsidR="008E180F">
        <w:t>1</w:t>
      </w:r>
      <w:r w:rsidR="003360B6">
        <w:t>6</w:t>
      </w:r>
      <w:r>
        <w:t xml:space="preserve"> shows that seclusion episodes per 1,000 occupied bed days in SECUs </w:t>
      </w:r>
      <w:r w:rsidR="00A3439F">
        <w:t xml:space="preserve">decreased </w:t>
      </w:r>
      <w:r w:rsidR="006F19D1">
        <w:t>in 202</w:t>
      </w:r>
      <w:r w:rsidR="009934CA">
        <w:t>3</w:t>
      </w:r>
      <w:r w:rsidR="00920F37">
        <w:t>–</w:t>
      </w:r>
      <w:r w:rsidR="006F19D1">
        <w:t>2</w:t>
      </w:r>
      <w:r w:rsidR="009934CA">
        <w:t>4</w:t>
      </w:r>
      <w:r w:rsidR="006F19D1">
        <w:t xml:space="preserve"> relative to the previous year</w:t>
      </w:r>
      <w:r w:rsidR="008F097E">
        <w:t>.</w:t>
      </w:r>
      <w:r>
        <w:t xml:space="preserve"> </w:t>
      </w:r>
      <w:r w:rsidR="3BE01813">
        <w:t xml:space="preserve">It </w:t>
      </w:r>
      <w:r w:rsidR="00057470">
        <w:t>is likely</w:t>
      </w:r>
      <w:r w:rsidR="3BE01813">
        <w:t xml:space="preserve"> that the years 2019</w:t>
      </w:r>
      <w:r w:rsidR="00D7458D">
        <w:t xml:space="preserve"> to </w:t>
      </w:r>
      <w:r w:rsidR="3BE01813">
        <w:t>2022 reflect the effects of the pandemi</w:t>
      </w:r>
      <w:r w:rsidR="6E314DE2">
        <w:t>c</w:t>
      </w:r>
      <w:r w:rsidR="00C95E2A">
        <w:t xml:space="preserve"> including </w:t>
      </w:r>
      <w:r w:rsidR="6E314DE2">
        <w:t>limitations on</w:t>
      </w:r>
      <w:r w:rsidR="00C95E2A">
        <w:t xml:space="preserve"> </w:t>
      </w:r>
      <w:r w:rsidR="00756A36">
        <w:t>leave</w:t>
      </w:r>
      <w:r w:rsidR="008C79BC">
        <w:t xml:space="preserve"> and access to visitors</w:t>
      </w:r>
      <w:r w:rsidR="00E86F11">
        <w:t xml:space="preserve"> (including support staff)</w:t>
      </w:r>
      <w:r w:rsidR="4556FC9C">
        <w:t xml:space="preserve"> and staffing shortages.</w:t>
      </w:r>
      <w:r w:rsidR="008C79BC">
        <w:t xml:space="preserve"> </w:t>
      </w:r>
      <w:r>
        <w:t xml:space="preserve">The SECU program is included in all the </w:t>
      </w:r>
      <w:r w:rsidRPr="008B4B58">
        <w:t>initiatives</w:t>
      </w:r>
      <w:r>
        <w:t xml:space="preserve"> designed to bring a recovery focus to mental health treatments and to minimise the use of restrictive </w:t>
      </w:r>
      <w:r w:rsidR="535D6066">
        <w:t>practices.</w:t>
      </w:r>
      <w:r w:rsidR="00455FB0">
        <w:t xml:space="preserve"> The OCP will continue to monitor </w:t>
      </w:r>
      <w:r w:rsidR="009B4536">
        <w:t xml:space="preserve">SECU programs to ensure </w:t>
      </w:r>
      <w:r w:rsidR="009069BE">
        <w:t xml:space="preserve">work continues to reduce </w:t>
      </w:r>
      <w:r w:rsidR="00EC6935">
        <w:t>restrictive practices in these areas.</w:t>
      </w:r>
    </w:p>
    <w:p w14:paraId="481B15BE" w14:textId="6CDC70AB" w:rsidR="00A419F2" w:rsidRDefault="00381B2F" w:rsidP="000D0B9B">
      <w:pPr>
        <w:pStyle w:val="Tablecaption"/>
      </w:pPr>
      <w:r>
        <w:t xml:space="preserve">Table </w:t>
      </w:r>
      <w:r w:rsidR="008E180F">
        <w:t>1</w:t>
      </w:r>
      <w:r w:rsidR="003360B6">
        <w:t>6</w:t>
      </w:r>
      <w:r>
        <w:t xml:space="preserve">: </w:t>
      </w:r>
      <w:r w:rsidR="004C29CE">
        <w:t>Rate of seclusion episodes per 1,000 occupied bed days, secure extended care units</w:t>
      </w:r>
      <w:r>
        <w:t>, 201</w:t>
      </w:r>
      <w:r w:rsidR="00C26676">
        <w:t>9</w:t>
      </w:r>
      <w:r>
        <w:t>–</w:t>
      </w:r>
      <w:r w:rsidR="00C26676">
        <w:t>20</w:t>
      </w:r>
      <w:r>
        <w:t xml:space="preserve"> to </w:t>
      </w:r>
      <w:r w:rsidR="007B2175">
        <w:t>202</w:t>
      </w:r>
      <w:r w:rsidR="00C26676">
        <w:t>3</w:t>
      </w:r>
      <w:r w:rsidR="007B2175">
        <w:t>–2</w:t>
      </w:r>
      <w:r w:rsidR="00C26676">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60"/>
        <w:gridCol w:w="1530"/>
        <w:gridCol w:w="1531"/>
        <w:gridCol w:w="1531"/>
        <w:gridCol w:w="1531"/>
        <w:gridCol w:w="1531"/>
      </w:tblGrid>
      <w:tr w:rsidR="00C87704" w14:paraId="3E59E1B3" w14:textId="77777777" w:rsidTr="00D665F6">
        <w:trPr>
          <w:tblHeader/>
        </w:trPr>
        <w:tc>
          <w:tcPr>
            <w:tcW w:w="1560" w:type="dxa"/>
            <w:shd w:val="clear" w:color="auto" w:fill="244C5A"/>
          </w:tcPr>
          <w:p w14:paraId="2E90E14E" w14:textId="3EDE1730" w:rsidR="009F4FF5" w:rsidRPr="009E1217" w:rsidRDefault="004A0BA1" w:rsidP="004110AE">
            <w:pPr>
              <w:pStyle w:val="EmptyLayoutCell"/>
              <w:spacing w:before="60" w:after="60"/>
              <w:rPr>
                <w:rFonts w:ascii="Arial" w:hAnsi="Arial" w:cs="Arial"/>
                <w:color w:val="FFFFFF"/>
                <w:sz w:val="18"/>
                <w:szCs w:val="18"/>
              </w:rPr>
            </w:pPr>
            <w:r>
              <w:rPr>
                <w:rFonts w:ascii="Arial" w:hAnsi="Arial" w:cs="Arial"/>
                <w:color w:val="FFFFFF"/>
                <w:sz w:val="18"/>
                <w:szCs w:val="18"/>
              </w:rPr>
              <w:t>Type of unit</w:t>
            </w:r>
          </w:p>
        </w:tc>
        <w:tc>
          <w:tcPr>
            <w:tcW w:w="1530" w:type="dxa"/>
            <w:shd w:val="clear" w:color="auto" w:fill="244C5A"/>
          </w:tcPr>
          <w:p w14:paraId="7B96C3AE" w14:textId="77777777" w:rsidR="009F4FF5" w:rsidRPr="009E1217" w:rsidRDefault="009F4F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531" w:type="dxa"/>
            <w:shd w:val="clear" w:color="auto" w:fill="244C5A"/>
          </w:tcPr>
          <w:p w14:paraId="61DDF188" w14:textId="77777777" w:rsidR="009F4FF5" w:rsidRPr="009E1217" w:rsidRDefault="009F4F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531" w:type="dxa"/>
            <w:shd w:val="clear" w:color="auto" w:fill="244C5A"/>
          </w:tcPr>
          <w:p w14:paraId="1A87CA0C" w14:textId="77777777" w:rsidR="009F4FF5" w:rsidRPr="009E1217" w:rsidRDefault="009F4F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531" w:type="dxa"/>
            <w:shd w:val="clear" w:color="auto" w:fill="244C5A"/>
          </w:tcPr>
          <w:p w14:paraId="665EE774" w14:textId="77777777" w:rsidR="009F4FF5" w:rsidRPr="009E1217" w:rsidRDefault="009F4F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531" w:type="dxa"/>
            <w:shd w:val="clear" w:color="auto" w:fill="244C5A"/>
          </w:tcPr>
          <w:p w14:paraId="61E236B6" w14:textId="77777777" w:rsidR="009F4FF5" w:rsidRPr="009E1217" w:rsidRDefault="009F4FF5"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77072124" w14:textId="77777777" w:rsidTr="00C26676">
        <w:tc>
          <w:tcPr>
            <w:tcW w:w="1560" w:type="dxa"/>
          </w:tcPr>
          <w:p w14:paraId="193453FD" w14:textId="77777777" w:rsidR="009F4FF5" w:rsidRDefault="009F4FF5" w:rsidP="004110AE">
            <w:pPr>
              <w:pStyle w:val="EmptyLayoutCell"/>
              <w:spacing w:before="60" w:after="60"/>
              <w:rPr>
                <w:rFonts w:ascii="Arial" w:hAnsi="Arial" w:cs="Arial"/>
                <w:sz w:val="18"/>
                <w:szCs w:val="18"/>
              </w:rPr>
            </w:pPr>
            <w:r>
              <w:rPr>
                <w:rFonts w:ascii="Arial" w:hAnsi="Arial" w:cs="Arial"/>
                <w:sz w:val="18"/>
                <w:szCs w:val="18"/>
              </w:rPr>
              <w:t>SECU</w:t>
            </w:r>
          </w:p>
        </w:tc>
        <w:tc>
          <w:tcPr>
            <w:tcW w:w="1530" w:type="dxa"/>
          </w:tcPr>
          <w:p w14:paraId="5C75CA1A" w14:textId="77777777" w:rsidR="009F4FF5" w:rsidRDefault="009F4F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3.7</w:t>
            </w:r>
          </w:p>
        </w:tc>
        <w:tc>
          <w:tcPr>
            <w:tcW w:w="1531" w:type="dxa"/>
          </w:tcPr>
          <w:p w14:paraId="2DD741BB" w14:textId="77777777" w:rsidR="009F4FF5" w:rsidRDefault="009F4F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4.0</w:t>
            </w:r>
          </w:p>
        </w:tc>
        <w:tc>
          <w:tcPr>
            <w:tcW w:w="1531" w:type="dxa"/>
          </w:tcPr>
          <w:p w14:paraId="36016732" w14:textId="77777777" w:rsidR="009F4FF5" w:rsidRDefault="009F4F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3.5</w:t>
            </w:r>
          </w:p>
        </w:tc>
        <w:tc>
          <w:tcPr>
            <w:tcW w:w="1531" w:type="dxa"/>
          </w:tcPr>
          <w:p w14:paraId="6EE0AED8" w14:textId="77777777" w:rsidR="009F4FF5" w:rsidRDefault="009F4F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2.2</w:t>
            </w:r>
          </w:p>
        </w:tc>
        <w:tc>
          <w:tcPr>
            <w:tcW w:w="1531" w:type="dxa"/>
          </w:tcPr>
          <w:p w14:paraId="3CA091D3" w14:textId="77777777" w:rsidR="009F4FF5" w:rsidRDefault="009F4FF5"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2.1</w:t>
            </w:r>
          </w:p>
        </w:tc>
      </w:tr>
    </w:tbl>
    <w:p w14:paraId="4D763460" w14:textId="0A4662D7" w:rsidR="00381B2F" w:rsidRDefault="1CC23CA0" w:rsidP="00383721">
      <w:pPr>
        <w:pStyle w:val="Heading4"/>
        <w:rPr>
          <w:sz w:val="22"/>
          <w:szCs w:val="22"/>
          <w:highlight w:val="green"/>
        </w:rPr>
      </w:pPr>
      <w:r w:rsidRPr="00383721">
        <w:rPr>
          <w:b w:val="0"/>
          <w:bCs w:val="0"/>
          <w:sz w:val="24"/>
          <w:szCs w:val="24"/>
        </w:rPr>
        <w:t>Restraint</w:t>
      </w:r>
      <w:r w:rsidR="42880F35" w:rsidRPr="00383721">
        <w:rPr>
          <w:b w:val="0"/>
          <w:bCs w:val="0"/>
          <w:sz w:val="24"/>
          <w:szCs w:val="24"/>
        </w:rPr>
        <w:t xml:space="preserve"> – secure extended care units</w:t>
      </w:r>
    </w:p>
    <w:p w14:paraId="669B9958" w14:textId="5BE697CB" w:rsidR="00A419F2" w:rsidRPr="000D0B9B" w:rsidRDefault="00614795" w:rsidP="6A77C92E">
      <w:pPr>
        <w:pStyle w:val="Body"/>
      </w:pPr>
      <w:r>
        <w:t xml:space="preserve">There has been a </w:t>
      </w:r>
      <w:r w:rsidR="007E6D6F">
        <w:t xml:space="preserve">continued </w:t>
      </w:r>
      <w:r>
        <w:t>d</w:t>
      </w:r>
      <w:r w:rsidR="00987673">
        <w:t>ownward trend</w:t>
      </w:r>
      <w:r w:rsidR="00381B2F">
        <w:t xml:space="preserve"> with </w:t>
      </w:r>
      <w:r w:rsidR="00B2285F">
        <w:t xml:space="preserve">a plateau </w:t>
      </w:r>
      <w:r w:rsidR="00021187">
        <w:t>of</w:t>
      </w:r>
      <w:r w:rsidR="00381B2F">
        <w:t xml:space="preserve"> restraint episodes</w:t>
      </w:r>
      <w:r w:rsidR="00021187">
        <w:t xml:space="preserve"> p</w:t>
      </w:r>
      <w:r w:rsidR="00983E66">
        <w:t xml:space="preserve">er 1,000 occupied bed days </w:t>
      </w:r>
      <w:r w:rsidR="00B2285F">
        <w:t xml:space="preserve">over </w:t>
      </w:r>
      <w:r w:rsidR="0077402A">
        <w:t>2022</w:t>
      </w:r>
      <w:r w:rsidR="00983E66">
        <w:t>-</w:t>
      </w:r>
      <w:r w:rsidR="0077402A">
        <w:t>23 and 2023</w:t>
      </w:r>
      <w:r w:rsidR="00983E66">
        <w:t>-</w:t>
      </w:r>
      <w:r w:rsidR="0077402A">
        <w:t>24</w:t>
      </w:r>
      <w:r w:rsidR="00B2285F">
        <w:t xml:space="preserve"> </w:t>
      </w:r>
      <w:r w:rsidR="00575127">
        <w:t xml:space="preserve">of 2.1, </w:t>
      </w:r>
      <w:r w:rsidR="42BB699D">
        <w:t xml:space="preserve">since a peak </w:t>
      </w:r>
      <w:r w:rsidR="00575127">
        <w:t xml:space="preserve">of 4.0 </w:t>
      </w:r>
      <w:r w:rsidR="42BB699D">
        <w:t>in 2019</w:t>
      </w:r>
      <w:r w:rsidR="00320AF2" w:rsidRPr="00320AF2">
        <w:t>–</w:t>
      </w:r>
      <w:r w:rsidR="42BB699D">
        <w:t xml:space="preserve">20 </w:t>
      </w:r>
      <w:r w:rsidR="00F6EDC0">
        <w:t>(</w:t>
      </w:r>
      <w:r w:rsidR="00381B2F">
        <w:t xml:space="preserve">Table </w:t>
      </w:r>
      <w:r w:rsidR="003360B6">
        <w:t>17</w:t>
      </w:r>
      <w:r w:rsidR="00381B2F">
        <w:t>).</w:t>
      </w:r>
      <w:r w:rsidR="0079677B">
        <w:t xml:space="preserve"> </w:t>
      </w:r>
    </w:p>
    <w:p w14:paraId="3BD12BCC" w14:textId="6B356FEB" w:rsidR="00A419F2" w:rsidRDefault="00381B2F" w:rsidP="00D665F6">
      <w:pPr>
        <w:pStyle w:val="Tablecaption"/>
      </w:pPr>
      <w:r w:rsidRPr="003360B6">
        <w:t xml:space="preserve">Table </w:t>
      </w:r>
      <w:r w:rsidR="003360B6" w:rsidRPr="003360B6">
        <w:t>17</w:t>
      </w:r>
      <w:r w:rsidRPr="003360B6">
        <w:t xml:space="preserve">: </w:t>
      </w:r>
      <w:r w:rsidR="000F4CCB" w:rsidRPr="003360B6">
        <w:t>Rate of ended bodily restraint episodes per 1,000 occupied bed days, secure extended care units</w:t>
      </w:r>
      <w:r w:rsidRPr="003360B6">
        <w:t>, 201</w:t>
      </w:r>
      <w:bookmarkStart w:id="40" w:name="_Hlk147235822"/>
      <w:r w:rsidR="00212EEC">
        <w:t>9</w:t>
      </w:r>
      <w:r w:rsidRPr="003360B6">
        <w:t>–</w:t>
      </w:r>
      <w:bookmarkEnd w:id="40"/>
      <w:r w:rsidR="00212EEC">
        <w:t>20</w:t>
      </w:r>
      <w:r w:rsidRPr="003360B6">
        <w:t xml:space="preserve"> to </w:t>
      </w:r>
      <w:r w:rsidR="007B2175" w:rsidRPr="003360B6">
        <w:t>202</w:t>
      </w:r>
      <w:r w:rsidR="00212EEC">
        <w:t>3</w:t>
      </w:r>
      <w:r w:rsidR="007B2175" w:rsidRPr="003360B6">
        <w:t>–2</w:t>
      </w:r>
      <w:r w:rsidR="00212EEC">
        <w:t>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60"/>
        <w:gridCol w:w="1530"/>
        <w:gridCol w:w="1531"/>
        <w:gridCol w:w="1531"/>
        <w:gridCol w:w="1531"/>
        <w:gridCol w:w="1531"/>
      </w:tblGrid>
      <w:tr w:rsidR="00C87704" w14:paraId="5F558162" w14:textId="77777777" w:rsidTr="00D665F6">
        <w:trPr>
          <w:tblHeader/>
        </w:trPr>
        <w:tc>
          <w:tcPr>
            <w:tcW w:w="1560" w:type="dxa"/>
            <w:shd w:val="clear" w:color="auto" w:fill="244C5A"/>
          </w:tcPr>
          <w:p w14:paraId="30FE9C7B" w14:textId="592770FC" w:rsidR="00212EEC" w:rsidRPr="009E1217" w:rsidRDefault="0077402A" w:rsidP="004110AE">
            <w:pPr>
              <w:pStyle w:val="EmptyLayoutCell"/>
              <w:spacing w:before="60" w:after="60"/>
              <w:rPr>
                <w:rFonts w:ascii="Arial" w:hAnsi="Arial" w:cs="Arial"/>
                <w:color w:val="FFFFFF"/>
                <w:sz w:val="18"/>
                <w:szCs w:val="18"/>
              </w:rPr>
            </w:pPr>
            <w:r>
              <w:rPr>
                <w:rFonts w:ascii="Arial" w:hAnsi="Arial" w:cs="Arial"/>
                <w:color w:val="FFFFFF"/>
                <w:sz w:val="18"/>
                <w:szCs w:val="18"/>
              </w:rPr>
              <w:t>Type of unit</w:t>
            </w:r>
          </w:p>
        </w:tc>
        <w:tc>
          <w:tcPr>
            <w:tcW w:w="1530" w:type="dxa"/>
            <w:shd w:val="clear" w:color="auto" w:fill="244C5A"/>
          </w:tcPr>
          <w:p w14:paraId="6E346D82" w14:textId="77777777" w:rsidR="00212EEC" w:rsidRPr="009E1217" w:rsidRDefault="00212EEC"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2019–20</w:t>
            </w:r>
          </w:p>
        </w:tc>
        <w:tc>
          <w:tcPr>
            <w:tcW w:w="1531" w:type="dxa"/>
            <w:shd w:val="clear" w:color="auto" w:fill="244C5A"/>
          </w:tcPr>
          <w:p w14:paraId="6C5A0EA8" w14:textId="77777777" w:rsidR="00212EEC" w:rsidRPr="009E1217" w:rsidRDefault="00212EEC"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2020–21</w:t>
            </w:r>
          </w:p>
        </w:tc>
        <w:tc>
          <w:tcPr>
            <w:tcW w:w="1531" w:type="dxa"/>
            <w:shd w:val="clear" w:color="auto" w:fill="244C5A"/>
          </w:tcPr>
          <w:p w14:paraId="55F13BBD" w14:textId="77777777" w:rsidR="00212EEC" w:rsidRPr="009E1217" w:rsidRDefault="00212EEC"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2021–22</w:t>
            </w:r>
          </w:p>
        </w:tc>
        <w:tc>
          <w:tcPr>
            <w:tcW w:w="1531" w:type="dxa"/>
            <w:shd w:val="clear" w:color="auto" w:fill="244C5A"/>
          </w:tcPr>
          <w:p w14:paraId="228DB37A" w14:textId="77777777" w:rsidR="00212EEC" w:rsidRPr="009E1217" w:rsidRDefault="00212EEC"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2022–23</w:t>
            </w:r>
          </w:p>
        </w:tc>
        <w:tc>
          <w:tcPr>
            <w:tcW w:w="1531" w:type="dxa"/>
            <w:shd w:val="clear" w:color="auto" w:fill="244C5A"/>
          </w:tcPr>
          <w:p w14:paraId="312B25CA" w14:textId="77777777" w:rsidR="00212EEC" w:rsidRPr="009E1217" w:rsidRDefault="00212EEC" w:rsidP="004110AE">
            <w:pPr>
              <w:pStyle w:val="EmptyLayoutCell"/>
              <w:spacing w:before="60" w:after="60"/>
              <w:rPr>
                <w:rFonts w:ascii="Arial" w:hAnsi="Arial" w:cs="Arial"/>
                <w:color w:val="FFFFFF"/>
                <w:sz w:val="18"/>
                <w:szCs w:val="18"/>
              </w:rPr>
            </w:pPr>
            <w:r>
              <w:rPr>
                <w:rFonts w:ascii="Arial" w:hAnsi="Arial" w:cs="Arial"/>
                <w:color w:val="FFFFFF" w:themeColor="background1"/>
                <w:sz w:val="18"/>
                <w:szCs w:val="18"/>
              </w:rPr>
              <w:t>2023–24</w:t>
            </w:r>
          </w:p>
        </w:tc>
      </w:tr>
      <w:tr w:rsidR="00C74E2D" w14:paraId="0FE81736" w14:textId="77777777" w:rsidTr="00212EEC">
        <w:tc>
          <w:tcPr>
            <w:tcW w:w="1560" w:type="dxa"/>
          </w:tcPr>
          <w:p w14:paraId="6E5185FC" w14:textId="77777777" w:rsidR="00212EEC" w:rsidRDefault="00212EEC" w:rsidP="004110AE">
            <w:pPr>
              <w:pStyle w:val="EmptyLayoutCell"/>
              <w:spacing w:before="60" w:after="60"/>
              <w:rPr>
                <w:rFonts w:ascii="Arial" w:hAnsi="Arial" w:cs="Arial"/>
                <w:sz w:val="18"/>
                <w:szCs w:val="18"/>
              </w:rPr>
            </w:pPr>
            <w:r>
              <w:rPr>
                <w:rFonts w:ascii="Arial" w:hAnsi="Arial" w:cs="Arial"/>
                <w:sz w:val="18"/>
                <w:szCs w:val="18"/>
              </w:rPr>
              <w:t>SECU</w:t>
            </w:r>
          </w:p>
        </w:tc>
        <w:tc>
          <w:tcPr>
            <w:tcW w:w="1530" w:type="dxa"/>
          </w:tcPr>
          <w:p w14:paraId="097A8CA5" w14:textId="77777777" w:rsidR="00212EEC" w:rsidRDefault="00212EEC"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4.0</w:t>
            </w:r>
          </w:p>
        </w:tc>
        <w:tc>
          <w:tcPr>
            <w:tcW w:w="1531" w:type="dxa"/>
          </w:tcPr>
          <w:p w14:paraId="3D72490B" w14:textId="77777777" w:rsidR="00212EEC" w:rsidRDefault="00212EEC"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3.6</w:t>
            </w:r>
          </w:p>
        </w:tc>
        <w:tc>
          <w:tcPr>
            <w:tcW w:w="1531" w:type="dxa"/>
          </w:tcPr>
          <w:p w14:paraId="64690030" w14:textId="77777777" w:rsidR="00212EEC" w:rsidRDefault="00212EEC"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3.2</w:t>
            </w:r>
          </w:p>
        </w:tc>
        <w:tc>
          <w:tcPr>
            <w:tcW w:w="1531" w:type="dxa"/>
          </w:tcPr>
          <w:p w14:paraId="2B391F6F" w14:textId="77777777" w:rsidR="00212EEC" w:rsidRDefault="00212EEC"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2.1</w:t>
            </w:r>
          </w:p>
        </w:tc>
        <w:tc>
          <w:tcPr>
            <w:tcW w:w="1531" w:type="dxa"/>
          </w:tcPr>
          <w:p w14:paraId="4977B1AD" w14:textId="77777777" w:rsidR="00212EEC" w:rsidRDefault="00212EEC" w:rsidP="004110AE">
            <w:pPr>
              <w:pStyle w:val="EmptyLayoutCell"/>
              <w:spacing w:before="60" w:after="60"/>
              <w:rPr>
                <w:rFonts w:ascii="Arial" w:hAnsi="Arial" w:cs="Arial"/>
                <w:sz w:val="18"/>
                <w:szCs w:val="18"/>
              </w:rPr>
            </w:pPr>
            <w:r w:rsidRPr="00397395">
              <w:rPr>
                <w:rFonts w:ascii="Arial" w:eastAsia="Verdana" w:hAnsi="Arial" w:cs="Arial"/>
                <w:color w:val="000000"/>
                <w:sz w:val="18"/>
                <w:szCs w:val="18"/>
              </w:rPr>
              <w:t>2.1</w:t>
            </w:r>
          </w:p>
        </w:tc>
      </w:tr>
    </w:tbl>
    <w:p w14:paraId="0D74A418" w14:textId="2986FE00" w:rsidR="001E7A7F" w:rsidRDefault="001E7A7F" w:rsidP="00A15220">
      <w:pPr>
        <w:pStyle w:val="Heading2"/>
      </w:pPr>
      <w:bookmarkStart w:id="41" w:name="_Toc180660138"/>
      <w:r w:rsidRPr="00620135">
        <w:t>R</w:t>
      </w:r>
      <w:r w:rsidR="009B1FCB">
        <w:t xml:space="preserve">estrictive </w:t>
      </w:r>
      <w:r w:rsidR="0040735E">
        <w:t>i</w:t>
      </w:r>
      <w:r w:rsidR="009B1FCB">
        <w:t xml:space="preserve">nterventions </w:t>
      </w:r>
      <w:r w:rsidRPr="00620135">
        <w:t xml:space="preserve">in </w:t>
      </w:r>
      <w:r w:rsidR="009C5265">
        <w:t>e</w:t>
      </w:r>
      <w:r w:rsidR="0040735E">
        <w:t xml:space="preserve">mergency </w:t>
      </w:r>
      <w:r w:rsidR="009C5265">
        <w:t>d</w:t>
      </w:r>
      <w:r w:rsidR="0040735E">
        <w:t>epartment</w:t>
      </w:r>
      <w:r w:rsidRPr="00620135">
        <w:t xml:space="preserve">s and </w:t>
      </w:r>
      <w:r w:rsidR="009C5265">
        <w:t>u</w:t>
      </w:r>
      <w:r w:rsidR="0040735E">
        <w:t xml:space="preserve">rgent </w:t>
      </w:r>
      <w:r w:rsidR="009C5265">
        <w:t>c</w:t>
      </w:r>
      <w:r w:rsidR="0040735E">
        <w:t xml:space="preserve">are </w:t>
      </w:r>
      <w:r w:rsidR="009C5265">
        <w:t>c</w:t>
      </w:r>
      <w:r w:rsidR="0040735E">
        <w:t>entre</w:t>
      </w:r>
      <w:r w:rsidRPr="00620135">
        <w:t>s</w:t>
      </w:r>
      <w:bookmarkEnd w:id="41"/>
    </w:p>
    <w:p w14:paraId="02BE9119" w14:textId="042D3655" w:rsidR="00442489" w:rsidRDefault="00D027CA" w:rsidP="00F75AE9">
      <w:pPr>
        <w:pStyle w:val="Body"/>
      </w:pPr>
      <w:r w:rsidRPr="005266A8">
        <w:t xml:space="preserve">Urgent </w:t>
      </w:r>
      <w:r>
        <w:t xml:space="preserve">care centres are </w:t>
      </w:r>
      <w:r w:rsidR="00A357FE">
        <w:t xml:space="preserve">GP-led care centres for people needing urgent care but </w:t>
      </w:r>
      <w:r w:rsidR="00BC2748">
        <w:t xml:space="preserve">not requiring emergency care. </w:t>
      </w:r>
      <w:r w:rsidR="006C17B9">
        <w:t xml:space="preserve">Urgent care centres </w:t>
      </w:r>
      <w:r w:rsidR="006A6B7F">
        <w:t xml:space="preserve">are being delivered in partnership with the Victorian Primary Health </w:t>
      </w:r>
      <w:r w:rsidR="004552EA">
        <w:t>Networks</w:t>
      </w:r>
      <w:r w:rsidR="006A6B7F">
        <w:t>.</w:t>
      </w:r>
    </w:p>
    <w:p w14:paraId="31493B5F" w14:textId="46CF522A" w:rsidR="006109B7" w:rsidRPr="006109B7" w:rsidRDefault="007D0CF8" w:rsidP="00F75AE9">
      <w:pPr>
        <w:pStyle w:val="Body"/>
      </w:pPr>
      <w:r>
        <w:lastRenderedPageBreak/>
        <w:t xml:space="preserve">Restrictive interventions on people receiving a mental health and wellbeing service in an </w:t>
      </w:r>
      <w:r w:rsidR="00835847">
        <w:t>emergency department</w:t>
      </w:r>
      <w:r w:rsidR="00835847" w:rsidRPr="00620135">
        <w:t xml:space="preserve"> </w:t>
      </w:r>
      <w:r>
        <w:t xml:space="preserve">or </w:t>
      </w:r>
      <w:r w:rsidR="00835847">
        <w:t xml:space="preserve">the urgent care centre </w:t>
      </w:r>
      <w:r>
        <w:t xml:space="preserve">of a designated mental health service are subject to the same regulations and oversight under the Act as other parts of a designated mental health service. </w:t>
      </w:r>
      <w:r w:rsidR="00835847">
        <w:t>Also</w:t>
      </w:r>
      <w:r w:rsidR="3A8F4931">
        <w:t>,</w:t>
      </w:r>
      <w:r w:rsidR="0C6052C3">
        <w:t xml:space="preserve"> </w:t>
      </w:r>
      <w:r w:rsidR="3A8F4931">
        <w:t>any restrictive practise of a mental health consumer in a general hospital bed is also subject to reporting requirement</w:t>
      </w:r>
      <w:r w:rsidR="009D523A">
        <w:t>s</w:t>
      </w:r>
      <w:r w:rsidR="3A8F4931">
        <w:t>.</w:t>
      </w:r>
    </w:p>
    <w:p w14:paraId="35DFEBA8" w14:textId="1D99769B" w:rsidR="006109B7" w:rsidRPr="006109B7" w:rsidRDefault="13267EE9" w:rsidP="00F75AE9">
      <w:pPr>
        <w:pStyle w:val="Body"/>
      </w:pPr>
      <w:r>
        <w:t>Th</w:t>
      </w:r>
      <w:r w:rsidR="0078733C">
        <w:t>e</w:t>
      </w:r>
      <w:r>
        <w:t>s</w:t>
      </w:r>
      <w:r w:rsidR="0078733C">
        <w:t>e</w:t>
      </w:r>
      <w:r>
        <w:t xml:space="preserve"> reporting requirement</w:t>
      </w:r>
      <w:r w:rsidR="0078733C">
        <w:t>s</w:t>
      </w:r>
      <w:r>
        <w:t xml:space="preserve"> </w:t>
      </w:r>
      <w:r w:rsidR="0078733C">
        <w:t>are</w:t>
      </w:r>
      <w:r>
        <w:t xml:space="preserve"> new and therefore rates are n</w:t>
      </w:r>
      <w:r w:rsidR="5399426E">
        <w:t>o</w:t>
      </w:r>
      <w:r>
        <w:t xml:space="preserve">t yet consistent across services. </w:t>
      </w:r>
      <w:r w:rsidR="3A5B3B03">
        <w:t xml:space="preserve">This data will be presented in future years. </w:t>
      </w:r>
      <w:r>
        <w:t>It is anticipated that rates will rise over the next few years as reporting compliance improves with awareness.</w:t>
      </w:r>
    </w:p>
    <w:p w14:paraId="188B3456" w14:textId="15231160" w:rsidR="006109B7" w:rsidRPr="006109B7" w:rsidRDefault="13267EE9" w:rsidP="000814A0">
      <w:pPr>
        <w:pStyle w:val="Body"/>
      </w:pPr>
      <w:r>
        <w:t>The practi</w:t>
      </w:r>
      <w:r w:rsidR="00835847">
        <w:t>c</w:t>
      </w:r>
      <w:r>
        <w:t>e o</w:t>
      </w:r>
      <w:r w:rsidR="7D50482D">
        <w:t>f</w:t>
      </w:r>
      <w:r>
        <w:t xml:space="preserve"> using physical and mechanical restraint is potentially more common in </w:t>
      </w:r>
      <w:r w:rsidR="00835847">
        <w:t>e</w:t>
      </w:r>
      <w:r>
        <w:t xml:space="preserve">mergency </w:t>
      </w:r>
      <w:r w:rsidR="00835847">
        <w:t>d</w:t>
      </w:r>
      <w:r>
        <w:t>epartments</w:t>
      </w:r>
      <w:r w:rsidR="1864D862">
        <w:t xml:space="preserve"> and medical wards</w:t>
      </w:r>
      <w:r>
        <w:t xml:space="preserve"> where the environment is less able to be modified for individual needs.</w:t>
      </w:r>
    </w:p>
    <w:p w14:paraId="17371D07" w14:textId="603A2673" w:rsidR="006109B7" w:rsidRPr="006109B7" w:rsidRDefault="006109B7" w:rsidP="00F75AE9">
      <w:pPr>
        <w:pStyle w:val="Body"/>
      </w:pPr>
      <w:r>
        <w:t xml:space="preserve">Seclusion is not a permitted restrictive intervention in </w:t>
      </w:r>
      <w:r w:rsidR="00835847">
        <w:t>emergency department</w:t>
      </w:r>
      <w:r w:rsidR="00835847" w:rsidRPr="00620135">
        <w:t xml:space="preserve">s and </w:t>
      </w:r>
      <w:r w:rsidR="00835847">
        <w:t>urgent care centre</w:t>
      </w:r>
      <w:r w:rsidR="00835847" w:rsidRPr="00620135">
        <w:t>s</w:t>
      </w:r>
      <w:r>
        <w:t>. The confinement of any person alone in an enclosed space without a means of exit is not permitted.</w:t>
      </w:r>
    </w:p>
    <w:p w14:paraId="61EEB5F5" w14:textId="4B04E1E0" w:rsidR="00E67C76" w:rsidRPr="0040735E" w:rsidRDefault="00E67C76" w:rsidP="00A15220">
      <w:pPr>
        <w:pStyle w:val="Heading2"/>
      </w:pPr>
      <w:bookmarkStart w:id="42" w:name="_Toc180660139"/>
      <w:r w:rsidRPr="0040735E">
        <w:t>Chemical restraint</w:t>
      </w:r>
      <w:bookmarkEnd w:id="42"/>
    </w:p>
    <w:p w14:paraId="2C90E423" w14:textId="10DDE1C3" w:rsidR="0069070C" w:rsidRDefault="0069070C" w:rsidP="00BC2756">
      <w:pPr>
        <w:pStyle w:val="Body"/>
        <w:rPr>
          <w:lang w:eastAsia="en-AU"/>
        </w:rPr>
      </w:pPr>
      <w:r w:rsidRPr="1AA722E5">
        <w:rPr>
          <w:lang w:eastAsia="en-AU"/>
        </w:rPr>
        <w:t>Administering medication (or a ‘drug’ in the Act) should be understood as chemical restraint when the primary purpose of administering the medication is to exert control over a person’s behaviour. There may be ambiguity when the medication has the effect of both controlling behaviour and treating the underlying cause. In situations of ambiguity, the primary purpose</w:t>
      </w:r>
      <w:r w:rsidR="20244B71" w:rsidRPr="1AA722E5">
        <w:rPr>
          <w:lang w:eastAsia="en-AU"/>
        </w:rPr>
        <w:t xml:space="preserve"> o</w:t>
      </w:r>
      <w:r w:rsidR="003C2EB8">
        <w:rPr>
          <w:lang w:eastAsia="en-AU"/>
        </w:rPr>
        <w:t>f</w:t>
      </w:r>
      <w:r w:rsidR="20244B71" w:rsidRPr="1AA722E5">
        <w:rPr>
          <w:lang w:eastAsia="en-AU"/>
        </w:rPr>
        <w:t xml:space="preserve"> providing the medication</w:t>
      </w:r>
      <w:r w:rsidRPr="1AA722E5">
        <w:rPr>
          <w:lang w:eastAsia="en-AU"/>
        </w:rPr>
        <w:t xml:space="preserve"> must be considered. </w:t>
      </w:r>
    </w:p>
    <w:p w14:paraId="02832989" w14:textId="3A21A643" w:rsidR="00247FE5" w:rsidRDefault="00247FE5" w:rsidP="00BC2756">
      <w:pPr>
        <w:pStyle w:val="Body"/>
        <w:rPr>
          <w:lang w:eastAsia="en-AU"/>
        </w:rPr>
      </w:pPr>
      <w:r w:rsidRPr="1AA722E5">
        <w:rPr>
          <w:lang w:eastAsia="en-AU"/>
        </w:rPr>
        <w:t xml:space="preserve">The </w:t>
      </w:r>
      <w:r w:rsidR="00124015" w:rsidRPr="1AA722E5">
        <w:rPr>
          <w:lang w:eastAsia="en-AU"/>
        </w:rPr>
        <w:t xml:space="preserve">OCP expected that </w:t>
      </w:r>
      <w:r w:rsidR="00A80DDE">
        <w:rPr>
          <w:lang w:eastAsia="en-AU"/>
        </w:rPr>
        <w:t>because</w:t>
      </w:r>
      <w:r w:rsidR="00A80DDE" w:rsidRPr="1AA722E5">
        <w:rPr>
          <w:lang w:eastAsia="en-AU"/>
        </w:rPr>
        <w:t xml:space="preserve"> </w:t>
      </w:r>
      <w:r w:rsidR="00124015" w:rsidRPr="1AA722E5">
        <w:rPr>
          <w:lang w:eastAsia="en-AU"/>
        </w:rPr>
        <w:t xml:space="preserve">this is new </w:t>
      </w:r>
      <w:r w:rsidR="00F22CDB" w:rsidRPr="1AA722E5">
        <w:rPr>
          <w:lang w:eastAsia="en-AU"/>
        </w:rPr>
        <w:t xml:space="preserve">reporting criteria </w:t>
      </w:r>
      <w:r w:rsidR="00124015" w:rsidRPr="1AA722E5">
        <w:rPr>
          <w:lang w:eastAsia="en-AU"/>
        </w:rPr>
        <w:t>for Victoria</w:t>
      </w:r>
      <w:r w:rsidR="00F22CDB" w:rsidRPr="1AA722E5">
        <w:rPr>
          <w:lang w:eastAsia="en-AU"/>
        </w:rPr>
        <w:t xml:space="preserve"> that </w:t>
      </w:r>
      <w:r w:rsidR="357FE942" w:rsidRPr="1AA722E5">
        <w:rPr>
          <w:lang w:eastAsia="en-AU"/>
        </w:rPr>
        <w:t xml:space="preserve">the </w:t>
      </w:r>
      <w:r w:rsidR="00F22CDB" w:rsidRPr="1AA722E5">
        <w:rPr>
          <w:lang w:eastAsia="en-AU"/>
        </w:rPr>
        <w:t xml:space="preserve">data will </w:t>
      </w:r>
      <w:r w:rsidR="00BB5BD3" w:rsidRPr="1AA722E5">
        <w:rPr>
          <w:lang w:eastAsia="en-AU"/>
        </w:rPr>
        <w:t>not be accurate in the first year</w:t>
      </w:r>
      <w:r w:rsidR="78888A17" w:rsidRPr="1AA722E5">
        <w:rPr>
          <w:lang w:eastAsia="en-AU"/>
        </w:rPr>
        <w:t xml:space="preserve">. </w:t>
      </w:r>
    </w:p>
    <w:p w14:paraId="71D0C6CD" w14:textId="7906D714" w:rsidR="004F259F" w:rsidRPr="0069070C" w:rsidRDefault="004F259F" w:rsidP="00BC2756">
      <w:pPr>
        <w:pStyle w:val="Body"/>
        <w:rPr>
          <w:lang w:eastAsia="en-AU"/>
        </w:rPr>
      </w:pPr>
      <w:r w:rsidRPr="1AA722E5">
        <w:rPr>
          <w:lang w:eastAsia="en-AU"/>
        </w:rPr>
        <w:t xml:space="preserve">The </w:t>
      </w:r>
      <w:r w:rsidR="008A698D" w:rsidRPr="1AA722E5">
        <w:rPr>
          <w:lang w:eastAsia="en-AU"/>
        </w:rPr>
        <w:t xml:space="preserve">Chief Psychiatrist is aware of </w:t>
      </w:r>
      <w:r w:rsidR="00BC1BE3" w:rsidRPr="1AA722E5">
        <w:rPr>
          <w:lang w:eastAsia="en-AU"/>
        </w:rPr>
        <w:t>variation in reporting as services</w:t>
      </w:r>
      <w:r w:rsidR="0094513D" w:rsidRPr="1AA722E5">
        <w:rPr>
          <w:lang w:eastAsia="en-AU"/>
        </w:rPr>
        <w:t xml:space="preserve"> continue to </w:t>
      </w:r>
      <w:r w:rsidR="000C1D91" w:rsidRPr="1AA722E5">
        <w:rPr>
          <w:lang w:eastAsia="en-AU"/>
        </w:rPr>
        <w:t>navigate the ambiguity</w:t>
      </w:r>
      <w:r w:rsidR="00BC1417" w:rsidRPr="1AA722E5">
        <w:rPr>
          <w:lang w:eastAsia="en-AU"/>
        </w:rPr>
        <w:t xml:space="preserve"> </w:t>
      </w:r>
      <w:r w:rsidR="009E536B" w:rsidRPr="1AA722E5">
        <w:rPr>
          <w:lang w:eastAsia="en-AU"/>
        </w:rPr>
        <w:t>and tension between treatment a</w:t>
      </w:r>
      <w:r w:rsidR="006F1163" w:rsidRPr="1AA722E5">
        <w:rPr>
          <w:lang w:eastAsia="en-AU"/>
        </w:rPr>
        <w:t>nd/or control</w:t>
      </w:r>
      <w:r w:rsidR="000C1D91" w:rsidRPr="1AA722E5">
        <w:rPr>
          <w:lang w:eastAsia="en-AU"/>
        </w:rPr>
        <w:t xml:space="preserve">. </w:t>
      </w:r>
      <w:r w:rsidR="00364EE3" w:rsidRPr="1AA722E5">
        <w:rPr>
          <w:lang w:eastAsia="en-AU"/>
        </w:rPr>
        <w:t xml:space="preserve">The OCP </w:t>
      </w:r>
      <w:r w:rsidR="00AC57F1" w:rsidRPr="1AA722E5">
        <w:rPr>
          <w:lang w:eastAsia="en-AU"/>
        </w:rPr>
        <w:t xml:space="preserve">has plans for </w:t>
      </w:r>
      <w:r w:rsidR="004C784E" w:rsidRPr="1AA722E5">
        <w:rPr>
          <w:lang w:eastAsia="en-AU"/>
        </w:rPr>
        <w:t xml:space="preserve">working with service providers to </w:t>
      </w:r>
      <w:r w:rsidR="00974197" w:rsidRPr="1AA722E5">
        <w:rPr>
          <w:lang w:eastAsia="en-AU"/>
        </w:rPr>
        <w:t xml:space="preserve">calibrate the reporting across the services and Victoria. </w:t>
      </w:r>
      <w:r w:rsidR="6D3855EC" w:rsidRPr="1AA722E5">
        <w:rPr>
          <w:lang w:eastAsia="en-AU"/>
        </w:rPr>
        <w:t>This data will be provided in future years.</w:t>
      </w:r>
    </w:p>
    <w:p w14:paraId="63FE8D3D" w14:textId="36AA6AEB" w:rsidR="00A5707C" w:rsidRDefault="0073420C" w:rsidP="00A15220">
      <w:pPr>
        <w:pStyle w:val="Heading2"/>
        <w:rPr>
          <w:szCs w:val="32"/>
        </w:rPr>
      </w:pPr>
      <w:bookmarkStart w:id="43" w:name="_Toc180660140"/>
      <w:r w:rsidRPr="003F6102">
        <w:t xml:space="preserve">Sexual </w:t>
      </w:r>
      <w:r w:rsidR="00B73919">
        <w:t>s</w:t>
      </w:r>
      <w:r w:rsidRPr="003F6102">
        <w:t>afety</w:t>
      </w:r>
      <w:bookmarkEnd w:id="43"/>
    </w:p>
    <w:p w14:paraId="07202044" w14:textId="4A70B4CB" w:rsidR="00D97DA5" w:rsidRPr="003F6102" w:rsidRDefault="0CABCD5E" w:rsidP="00E81109">
      <w:pPr>
        <w:pStyle w:val="Body"/>
        <w:rPr>
          <w:rStyle w:val="eop"/>
          <w:rFonts w:cs="Arial"/>
        </w:rPr>
      </w:pPr>
      <w:r w:rsidRPr="003F6102">
        <w:rPr>
          <w:rStyle w:val="normaltextrun"/>
          <w:rFonts w:cs="Arial"/>
        </w:rPr>
        <w:t>Sexu</w:t>
      </w:r>
      <w:r w:rsidR="00DC686F" w:rsidRPr="003F6102">
        <w:rPr>
          <w:rStyle w:val="normaltextrun"/>
          <w:rFonts w:cs="Arial"/>
        </w:rPr>
        <w:t xml:space="preserve">al safety in mental health and wellbeing services is a priority for </w:t>
      </w:r>
      <w:r w:rsidR="00A80DDE">
        <w:rPr>
          <w:rStyle w:val="normaltextrun"/>
          <w:rFonts w:cs="Arial"/>
        </w:rPr>
        <w:t>the</w:t>
      </w:r>
      <w:r w:rsidR="00A80DDE" w:rsidRPr="003F6102">
        <w:rPr>
          <w:rStyle w:val="normaltextrun"/>
          <w:rFonts w:cs="Arial"/>
        </w:rPr>
        <w:t xml:space="preserve"> </w:t>
      </w:r>
      <w:r w:rsidR="00DC686F" w:rsidRPr="003F6102">
        <w:rPr>
          <w:rStyle w:val="normaltextrun"/>
          <w:rFonts w:cs="Arial"/>
        </w:rPr>
        <w:t xml:space="preserve">Chief Psychiatrist, who has a statutory obligation to provide clinical leadership and guidance to </w:t>
      </w:r>
      <w:r w:rsidR="0059478F">
        <w:rPr>
          <w:rStyle w:val="normaltextrun"/>
          <w:rFonts w:cs="Arial"/>
        </w:rPr>
        <w:t xml:space="preserve">strengthen </w:t>
      </w:r>
      <w:r w:rsidR="00DC686F" w:rsidRPr="003F6102">
        <w:rPr>
          <w:rStyle w:val="normaltextrun"/>
          <w:rFonts w:cs="Arial"/>
        </w:rPr>
        <w:t xml:space="preserve">quality and safety and promote </w:t>
      </w:r>
      <w:r w:rsidR="00DE54BC">
        <w:rPr>
          <w:rStyle w:val="normaltextrun"/>
          <w:rFonts w:cs="Arial"/>
        </w:rPr>
        <w:t>consumer</w:t>
      </w:r>
      <w:r w:rsidR="00DC686F" w:rsidRPr="003F6102">
        <w:rPr>
          <w:rStyle w:val="normaltextrun"/>
          <w:rFonts w:cs="Arial"/>
        </w:rPr>
        <w:t xml:space="preserve"> rights.</w:t>
      </w:r>
      <w:r w:rsidR="00DC686F" w:rsidRPr="003F6102">
        <w:rPr>
          <w:rStyle w:val="eop"/>
          <w:rFonts w:cs="Arial"/>
        </w:rPr>
        <w:t> </w:t>
      </w:r>
      <w:r w:rsidR="00F62156" w:rsidRPr="003F6102">
        <w:rPr>
          <w:rStyle w:val="eop"/>
          <w:rFonts w:cs="Arial"/>
        </w:rPr>
        <w:t xml:space="preserve">Everyone in mental health services has a right to feel safe. Services have a responsibility to prevent sexual safety incidents from occurring and a duty of care to </w:t>
      </w:r>
      <w:r w:rsidR="0059478F">
        <w:rPr>
          <w:rStyle w:val="eop"/>
          <w:rFonts w:cs="Arial"/>
        </w:rPr>
        <w:t>create environments</w:t>
      </w:r>
      <w:r w:rsidR="00F62156" w:rsidRPr="003F6102">
        <w:rPr>
          <w:rStyle w:val="eop"/>
          <w:rFonts w:cs="Arial"/>
        </w:rPr>
        <w:t xml:space="preserve"> that are safe.</w:t>
      </w:r>
    </w:p>
    <w:p w14:paraId="769D8752" w14:textId="0643D81B" w:rsidR="00DC686F" w:rsidRPr="003F6102" w:rsidRDefault="00DC686F" w:rsidP="00922AC0">
      <w:pPr>
        <w:pStyle w:val="Body"/>
      </w:pPr>
      <w:r w:rsidRPr="003F6102">
        <w:rPr>
          <w:rStyle w:val="normaltextrun"/>
          <w:rFonts w:cs="Arial"/>
        </w:rPr>
        <w:t>The Royal Commission noted the need for immediate action to address gender-based violence in mental health and wellbeing services. Recommendation 13 outlined significant reform including ensuring each facility meets the minimum standards for sexual safety set out in the Chief Psychiatrist’s guideline.</w:t>
      </w:r>
      <w:r w:rsidR="008356A3" w:rsidRPr="003F6102">
        <w:rPr>
          <w:rStyle w:val="normaltextrun"/>
          <w:rFonts w:cs="Arial"/>
        </w:rPr>
        <w:t xml:space="preserve"> </w:t>
      </w:r>
      <w:r w:rsidR="30C2783B" w:rsidRPr="003F6102">
        <w:rPr>
          <w:rStyle w:val="normaltextrun"/>
          <w:rFonts w:cs="Arial"/>
        </w:rPr>
        <w:t>The Chief Psychiatrist guideline and reporting directive</w:t>
      </w:r>
      <w:r w:rsidR="008356A3" w:rsidRPr="003F6102">
        <w:rPr>
          <w:rStyle w:val="normaltextrun"/>
          <w:rFonts w:cs="Arial"/>
        </w:rPr>
        <w:t xml:space="preserve"> can be found </w:t>
      </w:r>
      <w:r w:rsidR="00EF7A3B">
        <w:rPr>
          <w:rStyle w:val="normaltextrun"/>
          <w:rFonts w:cs="Arial"/>
        </w:rPr>
        <w:t xml:space="preserve">on the </w:t>
      </w:r>
      <w:hyperlink r:id="rId24" w:history="1">
        <w:r w:rsidR="00EF7A3B" w:rsidRPr="00F94CCF">
          <w:rPr>
            <w:rStyle w:val="Hyperlink"/>
            <w:rFonts w:cs="Arial"/>
          </w:rPr>
          <w:t>OCP website</w:t>
        </w:r>
      </w:hyperlink>
      <w:r w:rsidR="00F94CCF">
        <w:rPr>
          <w:rStyle w:val="normaltextrun"/>
          <w:rFonts w:cs="Arial"/>
        </w:rPr>
        <w:t xml:space="preserve"> &lt;</w:t>
      </w:r>
      <w:r w:rsidR="00F94CCF" w:rsidRPr="00F94CCF">
        <w:rPr>
          <w:rStyle w:val="normaltextrun"/>
          <w:rFonts w:cs="Arial"/>
        </w:rPr>
        <w:t>https://www.health.vic.gov.au/chief-psychiatrist/improving-sexual-safety</w:t>
      </w:r>
      <w:r w:rsidR="00F94CCF">
        <w:rPr>
          <w:rStyle w:val="normaltextrun"/>
          <w:rFonts w:cs="Arial"/>
        </w:rPr>
        <w:t>&gt;</w:t>
      </w:r>
      <w:r w:rsidR="00EF7A3B">
        <w:rPr>
          <w:rStyle w:val="normaltextrun"/>
          <w:rFonts w:cs="Arial"/>
        </w:rPr>
        <w:t>.</w:t>
      </w:r>
    </w:p>
    <w:p w14:paraId="0FEFB996" w14:textId="25186A11" w:rsidR="00DC686F" w:rsidRPr="003F6102" w:rsidRDefault="00DC686F" w:rsidP="00E81109">
      <w:pPr>
        <w:pStyle w:val="Body"/>
        <w:rPr>
          <w:rStyle w:val="eop"/>
          <w:rFonts w:cs="Arial"/>
        </w:rPr>
      </w:pPr>
      <w:r w:rsidRPr="003F6102">
        <w:rPr>
          <w:rStyle w:val="normaltextrun"/>
          <w:rFonts w:cs="Arial"/>
        </w:rPr>
        <w:t>The Chief Psychiatrist’s</w:t>
      </w:r>
      <w:r w:rsidR="00F94CCF">
        <w:rPr>
          <w:rStyle w:val="normaltextrun"/>
          <w:rFonts w:cs="Arial"/>
        </w:rPr>
        <w:t xml:space="preserve"> guideline</w:t>
      </w:r>
      <w:r w:rsidRPr="003F6102">
        <w:rPr>
          <w:rStyle w:val="normaltextrun"/>
          <w:rFonts w:cs="Arial"/>
        </w:rPr>
        <w:t xml:space="preserve"> </w:t>
      </w:r>
      <w:r w:rsidRPr="003F6102">
        <w:rPr>
          <w:rStyle w:val="normaltextrun"/>
          <w:rFonts w:cs="Arial"/>
          <w:i/>
        </w:rPr>
        <w:t xml:space="preserve">Improving </w:t>
      </w:r>
      <w:r w:rsidR="007E7B3E">
        <w:rPr>
          <w:rStyle w:val="normaltextrun"/>
          <w:rFonts w:cs="Arial"/>
          <w:i/>
        </w:rPr>
        <w:t>s</w:t>
      </w:r>
      <w:r w:rsidRPr="003F6102">
        <w:rPr>
          <w:rStyle w:val="normaltextrun"/>
          <w:rFonts w:cs="Arial"/>
          <w:i/>
        </w:rPr>
        <w:t xml:space="preserve">exual </w:t>
      </w:r>
      <w:r w:rsidR="007E7B3E">
        <w:rPr>
          <w:rStyle w:val="normaltextrun"/>
          <w:rFonts w:cs="Arial"/>
          <w:i/>
        </w:rPr>
        <w:t>s</w:t>
      </w:r>
      <w:r w:rsidRPr="003F6102">
        <w:rPr>
          <w:rStyle w:val="normaltextrun"/>
          <w:rFonts w:cs="Arial"/>
          <w:i/>
        </w:rPr>
        <w:t xml:space="preserve">afety in </w:t>
      </w:r>
      <w:r w:rsidR="007E7B3E">
        <w:rPr>
          <w:rStyle w:val="normaltextrun"/>
          <w:rFonts w:cs="Arial"/>
          <w:i/>
        </w:rPr>
        <w:t>m</w:t>
      </w:r>
      <w:r w:rsidRPr="003F6102">
        <w:rPr>
          <w:rStyle w:val="normaltextrun"/>
          <w:rFonts w:cs="Arial"/>
          <w:i/>
        </w:rPr>
        <w:t xml:space="preserve">ental </w:t>
      </w:r>
      <w:r w:rsidR="007E7B3E">
        <w:rPr>
          <w:rStyle w:val="normaltextrun"/>
          <w:rFonts w:cs="Arial"/>
          <w:i/>
        </w:rPr>
        <w:t>h</w:t>
      </w:r>
      <w:r w:rsidRPr="003F6102">
        <w:rPr>
          <w:rStyle w:val="normaltextrun"/>
          <w:rFonts w:cs="Arial"/>
          <w:i/>
        </w:rPr>
        <w:t xml:space="preserve">ealth and </w:t>
      </w:r>
      <w:r w:rsidR="007E7B3E">
        <w:rPr>
          <w:rStyle w:val="normaltextrun"/>
          <w:rFonts w:cs="Arial"/>
          <w:i/>
        </w:rPr>
        <w:t>w</w:t>
      </w:r>
      <w:r w:rsidRPr="003F6102">
        <w:rPr>
          <w:rStyle w:val="normaltextrun"/>
          <w:rFonts w:cs="Arial"/>
          <w:i/>
        </w:rPr>
        <w:t xml:space="preserve">ellbeing </w:t>
      </w:r>
      <w:r w:rsidR="007E7B3E">
        <w:rPr>
          <w:rStyle w:val="normaltextrun"/>
          <w:rFonts w:cs="Arial"/>
          <w:i/>
        </w:rPr>
        <w:t>s</w:t>
      </w:r>
      <w:r w:rsidRPr="003F6102">
        <w:rPr>
          <w:rStyle w:val="normaltextrun"/>
          <w:rFonts w:cs="Arial"/>
          <w:i/>
        </w:rPr>
        <w:t>ervices</w:t>
      </w:r>
      <w:r w:rsidRPr="003F6102">
        <w:rPr>
          <w:rStyle w:val="normaltextrun"/>
          <w:rFonts w:cs="Arial"/>
        </w:rPr>
        <w:t xml:space="preserve"> was developed in consultation with the sector, including </w:t>
      </w:r>
      <w:r w:rsidR="003F70F0">
        <w:rPr>
          <w:rStyle w:val="normaltextrun"/>
          <w:rFonts w:cs="Arial"/>
        </w:rPr>
        <w:t>with people with lived and living experience, i</w:t>
      </w:r>
      <w:r w:rsidRPr="003F6102">
        <w:rPr>
          <w:rStyle w:val="normaltextrun"/>
          <w:rFonts w:cs="Arial"/>
        </w:rPr>
        <w:t xml:space="preserve">ncorporating the </w:t>
      </w:r>
      <w:r w:rsidR="003F70F0">
        <w:rPr>
          <w:rStyle w:val="normaltextrun"/>
          <w:rFonts w:cs="Arial"/>
        </w:rPr>
        <w:t xml:space="preserve">mental health and wellbeing </w:t>
      </w:r>
      <w:r w:rsidRPr="003F6102">
        <w:rPr>
          <w:rStyle w:val="normaltextrun"/>
          <w:rFonts w:cs="Arial"/>
        </w:rPr>
        <w:t xml:space="preserve">principles of the </w:t>
      </w:r>
      <w:r w:rsidR="003F70F0">
        <w:rPr>
          <w:rStyle w:val="normaltextrun"/>
          <w:rFonts w:cs="Arial"/>
        </w:rPr>
        <w:t>Act</w:t>
      </w:r>
      <w:r w:rsidRPr="003F6102">
        <w:rPr>
          <w:rStyle w:val="normaltextrun"/>
          <w:rFonts w:cs="Arial"/>
        </w:rPr>
        <w:t xml:space="preserve">. </w:t>
      </w:r>
      <w:r w:rsidR="003F70F0">
        <w:rPr>
          <w:rStyle w:val="normaltextrun"/>
          <w:rFonts w:cs="Arial"/>
        </w:rPr>
        <w:t>The guideline</w:t>
      </w:r>
      <w:r w:rsidRPr="003F6102">
        <w:rPr>
          <w:rStyle w:val="normaltextrun"/>
          <w:rFonts w:cs="Arial"/>
          <w:color w:val="2A2736"/>
        </w:rPr>
        <w:t xml:space="preserve"> sets out the relevant legislation and policy and establishes minimum standards for:</w:t>
      </w:r>
      <w:r w:rsidRPr="003F6102">
        <w:rPr>
          <w:rStyle w:val="eop"/>
          <w:rFonts w:cs="Arial"/>
          <w:color w:val="2A2736"/>
        </w:rPr>
        <w:t> </w:t>
      </w:r>
    </w:p>
    <w:p w14:paraId="737FF104" w14:textId="4A8EF997" w:rsidR="00DC686F" w:rsidRPr="003F6102" w:rsidRDefault="00DC686F" w:rsidP="003F70F0">
      <w:pPr>
        <w:pStyle w:val="Bullet1"/>
      </w:pPr>
      <w:r w:rsidRPr="003F6102">
        <w:rPr>
          <w:rStyle w:val="normaltextrun"/>
          <w:rFonts w:cs="Arial"/>
          <w:color w:val="2A2736"/>
        </w:rPr>
        <w:t>promoting sexual safety</w:t>
      </w:r>
      <w:r w:rsidRPr="003F6102">
        <w:rPr>
          <w:rStyle w:val="eop"/>
          <w:rFonts w:cs="Arial"/>
          <w:color w:val="2A2736"/>
        </w:rPr>
        <w:t> </w:t>
      </w:r>
    </w:p>
    <w:p w14:paraId="0E4E229D" w14:textId="77DDF7D8" w:rsidR="00DC686F" w:rsidRPr="003F6102" w:rsidRDefault="00DC686F" w:rsidP="003F70F0">
      <w:pPr>
        <w:pStyle w:val="Bullet1"/>
      </w:pPr>
      <w:r w:rsidRPr="003F6102">
        <w:rPr>
          <w:rStyle w:val="normaltextrun"/>
          <w:rFonts w:cs="Arial"/>
          <w:color w:val="2A2736"/>
        </w:rPr>
        <w:t>supporting human rights</w:t>
      </w:r>
      <w:r w:rsidRPr="003F6102">
        <w:rPr>
          <w:rStyle w:val="eop"/>
          <w:rFonts w:cs="Arial"/>
          <w:color w:val="2A2736"/>
        </w:rPr>
        <w:t> </w:t>
      </w:r>
    </w:p>
    <w:p w14:paraId="669293C2" w14:textId="2E072CF3" w:rsidR="00DC686F" w:rsidRPr="003F6102" w:rsidRDefault="00DC686F" w:rsidP="003F70F0">
      <w:pPr>
        <w:pStyle w:val="Bullet1"/>
      </w:pPr>
      <w:r w:rsidRPr="003F6102">
        <w:rPr>
          <w:rStyle w:val="normaltextrun"/>
          <w:rFonts w:cs="Arial"/>
          <w:color w:val="2A2736"/>
        </w:rPr>
        <w:lastRenderedPageBreak/>
        <w:t>assessing and managing risks</w:t>
      </w:r>
      <w:r w:rsidRPr="003F6102">
        <w:rPr>
          <w:rStyle w:val="eop"/>
          <w:rFonts w:cs="Arial"/>
          <w:color w:val="2A2736"/>
        </w:rPr>
        <w:t> </w:t>
      </w:r>
    </w:p>
    <w:p w14:paraId="203B788F" w14:textId="1CE581A4" w:rsidR="00DC686F" w:rsidRPr="003F6102" w:rsidRDefault="00DC686F" w:rsidP="003F70F0">
      <w:pPr>
        <w:pStyle w:val="Bullet1"/>
      </w:pPr>
      <w:r w:rsidRPr="003F6102">
        <w:rPr>
          <w:rStyle w:val="normaltextrun"/>
          <w:rFonts w:cs="Arial"/>
          <w:color w:val="2A2736"/>
        </w:rPr>
        <w:t>identifying and responding to incidents</w:t>
      </w:r>
      <w:r w:rsidRPr="003F6102">
        <w:rPr>
          <w:rStyle w:val="eop"/>
          <w:rFonts w:cs="Arial"/>
          <w:color w:val="2A2736"/>
        </w:rPr>
        <w:t> </w:t>
      </w:r>
    </w:p>
    <w:p w14:paraId="3E3A73A6" w14:textId="7F5A67CD" w:rsidR="00510D20" w:rsidRPr="003F6102" w:rsidRDefault="00DC686F" w:rsidP="003F70F0">
      <w:pPr>
        <w:pStyle w:val="Bullet1"/>
        <w:rPr>
          <w:rStyle w:val="eop"/>
          <w:rFonts w:eastAsia="MS Gothic" w:cs="Arial"/>
        </w:rPr>
      </w:pPr>
      <w:r w:rsidRPr="003F6102">
        <w:rPr>
          <w:rStyle w:val="normaltextrun"/>
          <w:rFonts w:cs="Arial"/>
          <w:color w:val="2A2736"/>
        </w:rPr>
        <w:t>reporting sexual safety incidents.</w:t>
      </w:r>
      <w:r w:rsidRPr="003F6102">
        <w:rPr>
          <w:rStyle w:val="eop"/>
          <w:rFonts w:cs="Arial"/>
          <w:color w:val="2A2736"/>
        </w:rPr>
        <w:t> </w:t>
      </w:r>
    </w:p>
    <w:p w14:paraId="1BFE34BD" w14:textId="4961A4E0" w:rsidR="00E27B0C" w:rsidRPr="00E72D0F" w:rsidRDefault="000F6778" w:rsidP="00434B70">
      <w:pPr>
        <w:pStyle w:val="Bodyafterbullets"/>
        <w:rPr>
          <w:rStyle w:val="normaltextrun"/>
          <w:rFonts w:cs="Arial"/>
        </w:rPr>
      </w:pPr>
      <w:r w:rsidRPr="00E72D0F">
        <w:t>The Chief Psychiatrist is</w:t>
      </w:r>
      <w:r w:rsidR="00950A50" w:rsidRPr="00E72D0F">
        <w:t xml:space="preserve"> supported by </w:t>
      </w:r>
      <w:r w:rsidRPr="00E72D0F">
        <w:t xml:space="preserve">a </w:t>
      </w:r>
      <w:r w:rsidR="00950A50" w:rsidRPr="00E72D0F">
        <w:t xml:space="preserve">sexual safety committee that </w:t>
      </w:r>
      <w:r w:rsidR="005E5516" w:rsidRPr="00E72D0F">
        <w:t>has</w:t>
      </w:r>
      <w:r w:rsidR="003C240F" w:rsidRPr="00E72D0F">
        <w:t xml:space="preserve"> multidisciplinary </w:t>
      </w:r>
      <w:r w:rsidR="008635AB" w:rsidRPr="00E72D0F">
        <w:t>representation from the mental health sector</w:t>
      </w:r>
      <w:r w:rsidR="007E7B3E">
        <w:t>. This includes</w:t>
      </w:r>
      <w:r w:rsidR="003C240F" w:rsidRPr="00E72D0F">
        <w:t xml:space="preserve"> from</w:t>
      </w:r>
      <w:r w:rsidR="00950A50" w:rsidRPr="00E72D0F">
        <w:t xml:space="preserve"> metro</w:t>
      </w:r>
      <w:r w:rsidR="5CF21A3C" w:rsidRPr="00E72D0F">
        <w:t>politan</w:t>
      </w:r>
      <w:r w:rsidR="00950A50" w:rsidRPr="00E72D0F">
        <w:t xml:space="preserve"> and regional/rural areas</w:t>
      </w:r>
      <w:r w:rsidR="007E7B3E">
        <w:t>,</w:t>
      </w:r>
      <w:r w:rsidR="00950A50" w:rsidRPr="00E72D0F">
        <w:t xml:space="preserve"> across age ranges, lived and living experience</w:t>
      </w:r>
      <w:r w:rsidR="00216C5A" w:rsidRPr="00E72D0F">
        <w:t xml:space="preserve">, </w:t>
      </w:r>
      <w:r w:rsidR="7484AFD8" w:rsidRPr="00E72D0F">
        <w:t>S</w:t>
      </w:r>
      <w:r w:rsidR="00216C5A" w:rsidRPr="00E72D0F">
        <w:t>a</w:t>
      </w:r>
      <w:r w:rsidR="7484AFD8" w:rsidRPr="00E72D0F">
        <w:t xml:space="preserve">fer Care Victoria </w:t>
      </w:r>
      <w:r w:rsidR="00216C5A" w:rsidRPr="00E72D0F">
        <w:t>and</w:t>
      </w:r>
      <w:r w:rsidR="00E63818" w:rsidRPr="00E72D0F">
        <w:t xml:space="preserve"> unions.</w:t>
      </w:r>
    </w:p>
    <w:p w14:paraId="73B4D564" w14:textId="0557F090" w:rsidR="00DC686F" w:rsidRDefault="1FE26F65" w:rsidP="00487E0B">
      <w:pPr>
        <w:pStyle w:val="Body"/>
        <w:rPr>
          <w:rStyle w:val="normaltextrun"/>
          <w:rFonts w:eastAsia="MS Gothic" w:cs="Arial"/>
          <w:color w:val="000000" w:themeColor="text1"/>
        </w:rPr>
      </w:pPr>
      <w:r w:rsidRPr="00E72D0F">
        <w:rPr>
          <w:rStyle w:val="normaltextrun"/>
          <w:rFonts w:eastAsia="MS Gothic" w:cs="Arial"/>
          <w:color w:val="000000" w:themeColor="text1"/>
        </w:rPr>
        <w:t xml:space="preserve">Mental health services must </w:t>
      </w:r>
      <w:r w:rsidR="402059E0" w:rsidRPr="00E72D0F">
        <w:rPr>
          <w:rStyle w:val="normaltextrun"/>
          <w:rFonts w:eastAsia="MS Gothic" w:cs="Arial"/>
          <w:color w:val="000000" w:themeColor="text1"/>
        </w:rPr>
        <w:t>appropriately respond to</w:t>
      </w:r>
      <w:r w:rsidR="3003B6DD" w:rsidRPr="00E72D0F">
        <w:rPr>
          <w:rStyle w:val="normaltextrun"/>
          <w:rFonts w:eastAsia="MS Gothic" w:cs="Arial"/>
          <w:color w:val="000000" w:themeColor="text1"/>
        </w:rPr>
        <w:t>,</w:t>
      </w:r>
      <w:r w:rsidR="402059E0" w:rsidRPr="00E72D0F">
        <w:rPr>
          <w:rStyle w:val="normaltextrun"/>
          <w:rFonts w:eastAsia="MS Gothic" w:cs="Arial"/>
          <w:color w:val="000000" w:themeColor="text1"/>
        </w:rPr>
        <w:t xml:space="preserve"> and </w:t>
      </w:r>
      <w:r w:rsidRPr="00E72D0F">
        <w:rPr>
          <w:rStyle w:val="normaltextrun"/>
          <w:rFonts w:eastAsia="MS Gothic" w:cs="Arial"/>
          <w:color w:val="000000" w:themeColor="text1"/>
        </w:rPr>
        <w:t>report</w:t>
      </w:r>
      <w:r w:rsidR="5A0B5537" w:rsidRPr="00E72D0F">
        <w:rPr>
          <w:rStyle w:val="normaltextrun"/>
          <w:rFonts w:eastAsia="MS Gothic" w:cs="Arial"/>
          <w:color w:val="000000" w:themeColor="text1"/>
        </w:rPr>
        <w:t>,</w:t>
      </w:r>
      <w:r w:rsidRPr="00E72D0F">
        <w:rPr>
          <w:rStyle w:val="normaltextrun"/>
          <w:rFonts w:eastAsia="MS Gothic" w:cs="Arial"/>
          <w:color w:val="000000" w:themeColor="text1"/>
        </w:rPr>
        <w:t xml:space="preserve"> any alleged, witnessed or suspected occurrence of sexual harassment or sexual assault, and in most cases sexual acti</w:t>
      </w:r>
      <w:r w:rsidR="4E5EAEB7" w:rsidRPr="00E72D0F">
        <w:rPr>
          <w:rStyle w:val="normaltextrun"/>
          <w:rFonts w:eastAsia="MS Gothic" w:cs="Arial"/>
          <w:color w:val="000000" w:themeColor="text1"/>
        </w:rPr>
        <w:t>vity</w:t>
      </w:r>
      <w:r w:rsidR="001659BC" w:rsidRPr="00E72D0F">
        <w:rPr>
          <w:rStyle w:val="normaltextrun"/>
          <w:rFonts w:eastAsia="MS Gothic" w:cs="Arial"/>
          <w:color w:val="000000" w:themeColor="text1"/>
        </w:rPr>
        <w:t>.</w:t>
      </w:r>
      <w:r w:rsidR="4E5EAEB7" w:rsidRPr="00E72D0F">
        <w:rPr>
          <w:rStyle w:val="normaltextrun"/>
          <w:rFonts w:eastAsia="MS Gothic" w:cs="Arial"/>
          <w:color w:val="000000" w:themeColor="text1"/>
        </w:rPr>
        <w:t xml:space="preserve"> </w:t>
      </w:r>
      <w:r w:rsidR="014C85BD" w:rsidRPr="00E72D0F">
        <w:rPr>
          <w:rStyle w:val="normaltextrun"/>
          <w:rFonts w:eastAsia="MS Gothic" w:cs="Arial"/>
          <w:color w:val="000000" w:themeColor="text1"/>
        </w:rPr>
        <w:t xml:space="preserve">Mental </w:t>
      </w:r>
      <w:r w:rsidR="3956A12A" w:rsidRPr="00E72D0F">
        <w:rPr>
          <w:rStyle w:val="normaltextrun"/>
          <w:rFonts w:eastAsia="MS Gothic" w:cs="Arial"/>
          <w:color w:val="000000" w:themeColor="text1"/>
        </w:rPr>
        <w:t>h</w:t>
      </w:r>
      <w:r w:rsidR="014C85BD" w:rsidRPr="00E72D0F">
        <w:rPr>
          <w:rStyle w:val="normaltextrun"/>
          <w:rFonts w:eastAsia="MS Gothic" w:cs="Arial"/>
          <w:color w:val="000000" w:themeColor="text1"/>
        </w:rPr>
        <w:t>ealth services must develop local policies, procedures and governance structures in consultation with consumers, families, carers and supporters that support sexual safety and are consistent with the Chief Psychiatrist</w:t>
      </w:r>
      <w:r w:rsidR="12BD7356" w:rsidRPr="00E72D0F">
        <w:rPr>
          <w:rStyle w:val="normaltextrun"/>
          <w:rFonts w:eastAsia="MS Gothic" w:cs="Arial"/>
          <w:color w:val="000000" w:themeColor="text1"/>
        </w:rPr>
        <w:t xml:space="preserve"> guideline.</w:t>
      </w:r>
    </w:p>
    <w:p w14:paraId="04338135" w14:textId="67B60840" w:rsidR="00A14666" w:rsidRPr="00E72D0F" w:rsidRDefault="00A14666" w:rsidP="00A14666">
      <w:pPr>
        <w:pStyle w:val="Heading3"/>
        <w:rPr>
          <w:rStyle w:val="normaltextrun"/>
          <w:rFonts w:cs="Arial"/>
          <w:color w:val="000000" w:themeColor="text1"/>
          <w:sz w:val="21"/>
          <w:szCs w:val="21"/>
        </w:rPr>
      </w:pPr>
      <w:r>
        <w:rPr>
          <w:rStyle w:val="normaltextrun"/>
          <w:rFonts w:cs="Arial"/>
          <w:color w:val="000000" w:themeColor="text1"/>
        </w:rPr>
        <w:t>Sexual safety incident data</w:t>
      </w:r>
    </w:p>
    <w:p w14:paraId="67626C57" w14:textId="0563503C" w:rsidR="00DC686F" w:rsidRPr="003E273D" w:rsidRDefault="0067410C" w:rsidP="1AA722E5">
      <w:pPr>
        <w:pStyle w:val="Body"/>
        <w:rPr>
          <w:rStyle w:val="eop"/>
          <w:rFonts w:eastAsia="MS Mincho" w:cs="Arial"/>
          <w:color w:val="000000" w:themeColor="text1"/>
        </w:rPr>
      </w:pPr>
      <w:r w:rsidRPr="1AA722E5">
        <w:rPr>
          <w:rStyle w:val="normaltextrun"/>
          <w:rFonts w:eastAsia="MS Gothic" w:cs="Arial"/>
          <w:color w:val="000000" w:themeColor="text1"/>
        </w:rPr>
        <w:t>Until now,</w:t>
      </w:r>
      <w:r w:rsidR="68FFE5C3" w:rsidRPr="1AA722E5">
        <w:rPr>
          <w:rStyle w:val="normaltextrun"/>
          <w:rFonts w:eastAsia="MS Gothic" w:cs="Arial"/>
          <w:color w:val="000000" w:themeColor="text1"/>
        </w:rPr>
        <w:t xml:space="preserve"> s</w:t>
      </w:r>
      <w:r w:rsidR="00DC686F" w:rsidRPr="1AA722E5">
        <w:rPr>
          <w:rStyle w:val="normaltextrun"/>
          <w:rFonts w:eastAsia="MS Gothic" w:cs="Arial"/>
          <w:color w:val="000000" w:themeColor="text1"/>
        </w:rPr>
        <w:t xml:space="preserve">exual safety data </w:t>
      </w:r>
      <w:r w:rsidR="00013DCA" w:rsidRPr="1AA722E5">
        <w:rPr>
          <w:rStyle w:val="normaltextrun"/>
          <w:rFonts w:eastAsia="MS Gothic" w:cs="Arial"/>
          <w:color w:val="000000" w:themeColor="text1"/>
        </w:rPr>
        <w:t xml:space="preserve">was not made </w:t>
      </w:r>
      <w:r w:rsidR="00DC686F" w:rsidRPr="1AA722E5">
        <w:rPr>
          <w:rStyle w:val="normaltextrun"/>
          <w:rFonts w:eastAsia="MS Gothic" w:cs="Arial"/>
          <w:color w:val="000000" w:themeColor="text1"/>
        </w:rPr>
        <w:t xml:space="preserve">publicly available </w:t>
      </w:r>
      <w:r w:rsidR="00013DCA" w:rsidRPr="1AA722E5">
        <w:rPr>
          <w:rStyle w:val="normaltextrun"/>
          <w:rFonts w:eastAsia="MS Gothic" w:cs="Arial"/>
          <w:color w:val="000000" w:themeColor="text1"/>
        </w:rPr>
        <w:t>through</w:t>
      </w:r>
      <w:r w:rsidR="00DC686F" w:rsidRPr="1AA722E5">
        <w:rPr>
          <w:rStyle w:val="normaltextrun"/>
          <w:rFonts w:eastAsia="MS Gothic" w:cs="Arial"/>
          <w:color w:val="000000" w:themeColor="text1"/>
        </w:rPr>
        <w:t xml:space="preserve"> the annual report because </w:t>
      </w:r>
      <w:r w:rsidR="003011E2" w:rsidRPr="1AA722E5">
        <w:rPr>
          <w:rStyle w:val="normaltextrun"/>
          <w:rFonts w:eastAsia="MS Gothic" w:cs="Arial"/>
          <w:color w:val="000000" w:themeColor="text1"/>
        </w:rPr>
        <w:t xml:space="preserve">of being </w:t>
      </w:r>
      <w:r w:rsidR="78A29AEC" w:rsidRPr="1AA722E5">
        <w:rPr>
          <w:rStyle w:val="normaltextrun"/>
          <w:rFonts w:eastAsia="MS Gothic" w:cs="Arial"/>
          <w:color w:val="000000" w:themeColor="text1"/>
        </w:rPr>
        <w:t>inconsistent</w:t>
      </w:r>
      <w:r w:rsidR="25246D33" w:rsidRPr="1AA722E5">
        <w:rPr>
          <w:rStyle w:val="normaltextrun"/>
          <w:rFonts w:eastAsia="MS Gothic" w:cs="Arial"/>
          <w:color w:val="000000" w:themeColor="text1"/>
        </w:rPr>
        <w:t>ly collected</w:t>
      </w:r>
      <w:r w:rsidR="00DC686F" w:rsidRPr="1AA722E5">
        <w:rPr>
          <w:rStyle w:val="normaltextrun"/>
          <w:rFonts w:eastAsia="MS Gothic" w:cs="Arial"/>
          <w:color w:val="000000" w:themeColor="text1"/>
        </w:rPr>
        <w:t xml:space="preserve"> and open to misinterpretation. Significant work has gone into improving and validating </w:t>
      </w:r>
      <w:r w:rsidR="00CD1DF8" w:rsidRPr="1AA722E5">
        <w:rPr>
          <w:rStyle w:val="normaltextrun"/>
          <w:rFonts w:eastAsia="MS Gothic" w:cs="Arial"/>
          <w:color w:val="000000" w:themeColor="text1"/>
        </w:rPr>
        <w:t xml:space="preserve">the </w:t>
      </w:r>
      <w:r w:rsidR="00DC686F" w:rsidRPr="1AA722E5">
        <w:rPr>
          <w:rStyle w:val="normaltextrun"/>
          <w:rFonts w:eastAsia="MS Gothic" w:cs="Arial"/>
          <w:color w:val="000000" w:themeColor="text1"/>
        </w:rPr>
        <w:t xml:space="preserve">data to the point where it </w:t>
      </w:r>
      <w:r w:rsidR="00CD1DF8" w:rsidRPr="1AA722E5">
        <w:rPr>
          <w:rStyle w:val="normaltextrun"/>
          <w:rFonts w:eastAsia="MS Gothic" w:cs="Arial"/>
          <w:color w:val="000000" w:themeColor="text1"/>
        </w:rPr>
        <w:t xml:space="preserve">now </w:t>
      </w:r>
      <w:r w:rsidR="003011E2" w:rsidRPr="1AA722E5">
        <w:rPr>
          <w:rStyle w:val="normaltextrun"/>
          <w:rFonts w:eastAsia="MS Gothic" w:cs="Arial"/>
          <w:color w:val="000000" w:themeColor="text1"/>
        </w:rPr>
        <w:t xml:space="preserve">has a high degree of reliability and can </w:t>
      </w:r>
      <w:r w:rsidR="00DC686F" w:rsidRPr="1AA722E5">
        <w:rPr>
          <w:rStyle w:val="normaltextrun"/>
          <w:rFonts w:eastAsia="MS Gothic" w:cs="Arial"/>
          <w:color w:val="000000" w:themeColor="text1"/>
        </w:rPr>
        <w:t xml:space="preserve">be </w:t>
      </w:r>
      <w:r w:rsidR="00654B6F" w:rsidRPr="1AA722E5">
        <w:rPr>
          <w:rStyle w:val="normaltextrun"/>
          <w:rFonts w:eastAsia="MS Gothic" w:cs="Arial"/>
          <w:color w:val="000000" w:themeColor="text1"/>
        </w:rPr>
        <w:t xml:space="preserve">published </w:t>
      </w:r>
      <w:r w:rsidR="00E55587" w:rsidRPr="1AA722E5">
        <w:rPr>
          <w:rStyle w:val="normaltextrun"/>
          <w:rFonts w:eastAsia="MS Gothic" w:cs="Arial"/>
          <w:color w:val="000000" w:themeColor="text1"/>
        </w:rPr>
        <w:t xml:space="preserve">and drawn on to enable </w:t>
      </w:r>
      <w:r w:rsidR="00DC686F" w:rsidRPr="1AA722E5">
        <w:rPr>
          <w:rStyle w:val="normaltextrun"/>
          <w:rFonts w:eastAsia="MS Gothic" w:cs="Arial"/>
          <w:color w:val="000000" w:themeColor="text1"/>
        </w:rPr>
        <w:t>improvement</w:t>
      </w:r>
      <w:r w:rsidR="0032358C">
        <w:rPr>
          <w:rStyle w:val="normaltextrun"/>
          <w:rFonts w:eastAsia="MS Gothic" w:cs="Arial"/>
          <w:color w:val="000000" w:themeColor="text1"/>
        </w:rPr>
        <w:t>s</w:t>
      </w:r>
      <w:r w:rsidR="00853CF0" w:rsidRPr="1AA722E5">
        <w:rPr>
          <w:rStyle w:val="normaltextrun"/>
          <w:rFonts w:eastAsia="MS Gothic" w:cs="Arial"/>
          <w:color w:val="000000" w:themeColor="text1"/>
        </w:rPr>
        <w:t xml:space="preserve"> </w:t>
      </w:r>
      <w:r w:rsidR="00E55587" w:rsidRPr="1AA722E5">
        <w:rPr>
          <w:rStyle w:val="normaltextrun"/>
          <w:rFonts w:eastAsia="MS Gothic" w:cs="Arial"/>
          <w:color w:val="000000" w:themeColor="text1"/>
        </w:rPr>
        <w:t>in</w:t>
      </w:r>
      <w:r w:rsidR="00853CF0" w:rsidRPr="1AA722E5">
        <w:rPr>
          <w:rStyle w:val="normaltextrun"/>
          <w:rFonts w:eastAsia="MS Gothic" w:cs="Arial"/>
          <w:color w:val="000000" w:themeColor="text1"/>
        </w:rPr>
        <w:t xml:space="preserve"> care</w:t>
      </w:r>
      <w:r w:rsidR="00DC686F" w:rsidRPr="1AA722E5">
        <w:rPr>
          <w:rStyle w:val="normaltextrun"/>
          <w:rFonts w:eastAsia="MS Gothic" w:cs="Arial"/>
          <w:color w:val="000000" w:themeColor="text1"/>
        </w:rPr>
        <w:t>.</w:t>
      </w:r>
      <w:r w:rsidR="00DC686F" w:rsidRPr="1AA722E5">
        <w:rPr>
          <w:rStyle w:val="eop"/>
          <w:rFonts w:eastAsia="MS Mincho" w:cs="Arial"/>
          <w:color w:val="000000" w:themeColor="text1"/>
        </w:rPr>
        <w:t> </w:t>
      </w:r>
    </w:p>
    <w:p w14:paraId="43BDF33C" w14:textId="45ADFEF3" w:rsidR="00DC686F" w:rsidRPr="003E273D" w:rsidRDefault="0DC21063" w:rsidP="00A14666">
      <w:pPr>
        <w:pStyle w:val="Body"/>
        <w:rPr>
          <w:rStyle w:val="eop"/>
          <w:rFonts w:eastAsia="MS Mincho" w:cs="Arial"/>
          <w:color w:val="000000" w:themeColor="text1"/>
        </w:rPr>
      </w:pPr>
      <w:r w:rsidRPr="1AA722E5">
        <w:rPr>
          <w:rStyle w:val="eop"/>
          <w:rFonts w:eastAsia="MS Mincho" w:cs="Arial"/>
          <w:color w:val="000000" w:themeColor="text1"/>
        </w:rPr>
        <w:t xml:space="preserve">The OCP has worked with mental health services to </w:t>
      </w:r>
      <w:r w:rsidR="00C50483" w:rsidRPr="1AA722E5">
        <w:rPr>
          <w:rStyle w:val="eop"/>
          <w:rFonts w:eastAsia="MS Mincho" w:cs="Arial"/>
          <w:color w:val="000000" w:themeColor="text1"/>
        </w:rPr>
        <w:t xml:space="preserve">improve </w:t>
      </w:r>
      <w:r w:rsidR="009D3669" w:rsidRPr="1AA722E5">
        <w:rPr>
          <w:rStyle w:val="eop"/>
          <w:rFonts w:eastAsia="MS Mincho" w:cs="Arial"/>
          <w:color w:val="000000" w:themeColor="text1"/>
        </w:rPr>
        <w:t>sexual safety reporting systems</w:t>
      </w:r>
      <w:r w:rsidR="00DC78FC" w:rsidRPr="1AA722E5">
        <w:rPr>
          <w:rStyle w:val="eop"/>
          <w:rFonts w:eastAsia="MS Mincho" w:cs="Arial"/>
          <w:color w:val="000000" w:themeColor="text1"/>
        </w:rPr>
        <w:t xml:space="preserve"> in the past 12 months. This has led to </w:t>
      </w:r>
      <w:r w:rsidR="00B00763" w:rsidRPr="1AA722E5">
        <w:rPr>
          <w:rStyle w:val="eop"/>
          <w:rFonts w:eastAsia="MS Mincho" w:cs="Arial"/>
          <w:color w:val="000000" w:themeColor="text1"/>
        </w:rPr>
        <w:t>strengthened</w:t>
      </w:r>
      <w:r w:rsidR="00FD0EB9" w:rsidRPr="1AA722E5">
        <w:rPr>
          <w:rStyle w:val="eop"/>
          <w:rFonts w:eastAsia="MS Mincho" w:cs="Arial"/>
          <w:color w:val="000000" w:themeColor="text1"/>
        </w:rPr>
        <w:t xml:space="preserve"> </w:t>
      </w:r>
      <w:r w:rsidR="00F12826" w:rsidRPr="1AA722E5">
        <w:rPr>
          <w:rStyle w:val="eop"/>
          <w:rFonts w:eastAsia="MS Mincho" w:cs="Arial"/>
          <w:color w:val="000000" w:themeColor="text1"/>
        </w:rPr>
        <w:t xml:space="preserve">reporting </w:t>
      </w:r>
      <w:r w:rsidR="00FD0EB9" w:rsidRPr="1AA722E5">
        <w:rPr>
          <w:rStyle w:val="eop"/>
          <w:rFonts w:eastAsia="MS Mincho" w:cs="Arial"/>
          <w:color w:val="000000" w:themeColor="text1"/>
        </w:rPr>
        <w:t>compliance</w:t>
      </w:r>
      <w:r w:rsidR="00907F25" w:rsidRPr="1AA722E5">
        <w:rPr>
          <w:rStyle w:val="eop"/>
          <w:rFonts w:eastAsia="MS Mincho" w:cs="Arial"/>
          <w:color w:val="000000" w:themeColor="text1"/>
        </w:rPr>
        <w:t xml:space="preserve"> across the state</w:t>
      </w:r>
      <w:r w:rsidR="06638053" w:rsidRPr="1AA722E5">
        <w:rPr>
          <w:rStyle w:val="eop"/>
          <w:rFonts w:eastAsia="MS Mincho" w:cs="Arial"/>
          <w:color w:val="000000" w:themeColor="text1"/>
        </w:rPr>
        <w:t>,</w:t>
      </w:r>
      <w:r w:rsidR="00FD0EB9" w:rsidRPr="1AA722E5">
        <w:rPr>
          <w:rStyle w:val="eop"/>
          <w:rFonts w:eastAsia="MS Mincho" w:cs="Arial"/>
          <w:color w:val="000000" w:themeColor="text1"/>
        </w:rPr>
        <w:t xml:space="preserve"> </w:t>
      </w:r>
      <w:r w:rsidR="2CD38B85" w:rsidRPr="1AA722E5">
        <w:rPr>
          <w:rStyle w:val="eop"/>
          <w:rFonts w:eastAsia="MS Mincho" w:cs="Arial"/>
          <w:color w:val="000000" w:themeColor="text1"/>
        </w:rPr>
        <w:t>with</w:t>
      </w:r>
      <w:r w:rsidRPr="1AA722E5">
        <w:rPr>
          <w:rStyle w:val="eop"/>
          <w:rFonts w:eastAsia="MS Mincho" w:cs="Arial"/>
          <w:color w:val="000000" w:themeColor="text1"/>
        </w:rPr>
        <w:t xml:space="preserve"> </w:t>
      </w:r>
      <w:r w:rsidR="139A4869" w:rsidRPr="1AA722E5">
        <w:rPr>
          <w:rStyle w:val="eop"/>
          <w:rFonts w:eastAsia="MS Mincho" w:cs="Arial"/>
          <w:color w:val="000000" w:themeColor="text1"/>
        </w:rPr>
        <w:t>consistent</w:t>
      </w:r>
      <w:r w:rsidR="00DC78FC" w:rsidRPr="1AA722E5">
        <w:rPr>
          <w:rStyle w:val="eop"/>
          <w:rFonts w:eastAsia="MS Mincho" w:cs="Arial"/>
          <w:color w:val="000000" w:themeColor="text1"/>
        </w:rPr>
        <w:t xml:space="preserve"> and timely reporting</w:t>
      </w:r>
      <w:r w:rsidR="4E7A059E" w:rsidRPr="1AA722E5">
        <w:rPr>
          <w:rStyle w:val="eop"/>
          <w:rFonts w:eastAsia="MS Mincho" w:cs="Arial"/>
          <w:color w:val="000000" w:themeColor="text1"/>
        </w:rPr>
        <w:t xml:space="preserve"> and</w:t>
      </w:r>
      <w:r w:rsidR="379AE953" w:rsidRPr="1AA722E5">
        <w:rPr>
          <w:rStyle w:val="eop"/>
          <w:rFonts w:eastAsia="MS Mincho" w:cs="Arial"/>
          <w:color w:val="000000" w:themeColor="text1"/>
        </w:rPr>
        <w:t xml:space="preserve"> a</w:t>
      </w:r>
      <w:r w:rsidR="22B21EE6" w:rsidRPr="1AA722E5">
        <w:rPr>
          <w:rStyle w:val="eop"/>
          <w:rFonts w:eastAsia="MS Mincho" w:cs="Arial"/>
          <w:color w:val="000000" w:themeColor="text1"/>
        </w:rPr>
        <w:t xml:space="preserve"> focus on improving </w:t>
      </w:r>
      <w:r w:rsidR="2A57BAD2" w:rsidRPr="1AA722E5">
        <w:rPr>
          <w:rStyle w:val="eop"/>
          <w:rFonts w:eastAsia="MS Mincho" w:cs="Arial"/>
          <w:color w:val="000000" w:themeColor="text1"/>
        </w:rPr>
        <w:t xml:space="preserve">the </w:t>
      </w:r>
      <w:r w:rsidR="22B21EE6" w:rsidRPr="1AA722E5">
        <w:rPr>
          <w:rStyle w:val="eop"/>
          <w:rFonts w:eastAsia="MS Mincho" w:cs="Arial"/>
          <w:color w:val="000000" w:themeColor="text1"/>
        </w:rPr>
        <w:t>qu</w:t>
      </w:r>
      <w:r w:rsidR="25032071" w:rsidRPr="1AA722E5">
        <w:rPr>
          <w:rStyle w:val="eop"/>
          <w:rFonts w:eastAsia="MS Mincho" w:cs="Arial"/>
          <w:color w:val="000000" w:themeColor="text1"/>
        </w:rPr>
        <w:t xml:space="preserve">ality and safety </w:t>
      </w:r>
      <w:r w:rsidR="512E7DED" w:rsidRPr="1AA722E5">
        <w:rPr>
          <w:rStyle w:val="eop"/>
          <w:rFonts w:eastAsia="MS Mincho" w:cs="Arial"/>
          <w:color w:val="000000" w:themeColor="text1"/>
        </w:rPr>
        <w:t xml:space="preserve">of services </w:t>
      </w:r>
      <w:r w:rsidR="25032071" w:rsidRPr="1AA722E5">
        <w:rPr>
          <w:rStyle w:val="eop"/>
          <w:rFonts w:eastAsia="MS Mincho" w:cs="Arial"/>
          <w:color w:val="000000" w:themeColor="text1"/>
        </w:rPr>
        <w:t>for consumers, staff and visitors.</w:t>
      </w:r>
    </w:p>
    <w:p w14:paraId="224760A6" w14:textId="00120C57" w:rsidR="000C2312" w:rsidRPr="003E273D" w:rsidRDefault="00DF35AC" w:rsidP="00C30E60">
      <w:pPr>
        <w:pStyle w:val="Body"/>
      </w:pPr>
      <w:r w:rsidRPr="003E273D">
        <w:t>All bed-based clinical mental health service providers</w:t>
      </w:r>
      <w:r w:rsidR="001E1EEB" w:rsidRPr="003E273D">
        <w:t xml:space="preserve"> (including those</w:t>
      </w:r>
      <w:r w:rsidR="00924BF5" w:rsidRPr="003E273D">
        <w:t xml:space="preserve"> in hospital, custodial and community settings) must report</w:t>
      </w:r>
      <w:r w:rsidR="001330F5" w:rsidRPr="003E273D">
        <w:t xml:space="preserve"> sexual safety incidents</w:t>
      </w:r>
      <w:r w:rsidR="00A8629A" w:rsidRPr="003E273D">
        <w:t xml:space="preserve"> via the Victorian Health Incident Management System (VHIMS)</w:t>
      </w:r>
      <w:r w:rsidR="00116692" w:rsidRPr="003E273D">
        <w:t>.</w:t>
      </w:r>
      <w:r w:rsidR="00C75D1E" w:rsidRPr="003E273D">
        <w:t xml:space="preserve"> </w:t>
      </w:r>
      <w:r w:rsidR="043A6E6F" w:rsidRPr="003E273D">
        <w:t>Data includes incidents involving consumers</w:t>
      </w:r>
      <w:r w:rsidR="00C77F58" w:rsidRPr="003E273D">
        <w:t xml:space="preserve">, </w:t>
      </w:r>
      <w:r w:rsidR="043A6E6F" w:rsidRPr="003E273D">
        <w:t>staff</w:t>
      </w:r>
      <w:r w:rsidR="00C77F58" w:rsidRPr="003E273D">
        <w:t xml:space="preserve"> and visitors</w:t>
      </w:r>
      <w:r w:rsidR="043A6E6F" w:rsidRPr="003E273D">
        <w:t>.</w:t>
      </w:r>
    </w:p>
    <w:p w14:paraId="6330BCFC" w14:textId="1B4D5AAC" w:rsidR="00FE20DE" w:rsidRPr="003E273D" w:rsidRDefault="00FE20DE" w:rsidP="006B63F7">
      <w:pPr>
        <w:pStyle w:val="Body"/>
        <w:rPr>
          <w:b/>
        </w:rPr>
      </w:pPr>
      <w:r w:rsidRPr="003E273D">
        <w:t>This process has gradually been introduced to bed-based mental health service providers. Starting from November 2023 all bed-based mental health service providers have reported sexual safety incidents via this method. The data presented here for 2023</w:t>
      </w:r>
      <w:r w:rsidR="007B5B5D">
        <w:t>–</w:t>
      </w:r>
      <w:r w:rsidRPr="003E273D">
        <w:t>24 does not include all service providers reporting before November 2023.</w:t>
      </w:r>
    </w:p>
    <w:p w14:paraId="1C625745" w14:textId="3CCCD97C" w:rsidR="3E56A75A" w:rsidRPr="003E273D" w:rsidRDefault="00431C1D" w:rsidP="006B63F7">
      <w:pPr>
        <w:pStyle w:val="Body"/>
      </w:pPr>
      <w:r w:rsidRPr="003E273D">
        <w:t>The Chief Psychiatrist</w:t>
      </w:r>
      <w:r w:rsidR="0032358C">
        <w:t>’s</w:t>
      </w:r>
      <w:r w:rsidRPr="003E273D">
        <w:t xml:space="preserve"> reporting directive </w:t>
      </w:r>
      <w:r w:rsidR="00D869CD" w:rsidRPr="003E273D">
        <w:t xml:space="preserve">requires </w:t>
      </w:r>
      <w:r w:rsidR="00F03181" w:rsidRPr="003E273D">
        <w:t>services to report i</w:t>
      </w:r>
      <w:r w:rsidR="00EC3F29" w:rsidRPr="003E273D">
        <w:t>ncidents with a</w:t>
      </w:r>
      <w:r w:rsidR="0032358C">
        <w:t>n incident</w:t>
      </w:r>
      <w:r w:rsidR="00EC3F29" w:rsidRPr="003E273D">
        <w:t xml:space="preserve"> </w:t>
      </w:r>
      <w:r w:rsidR="0032358C">
        <w:t>s</w:t>
      </w:r>
      <w:r w:rsidR="00EC3F29" w:rsidRPr="003E273D">
        <w:t xml:space="preserve">everity </w:t>
      </w:r>
      <w:r w:rsidR="0032358C">
        <w:t>r</w:t>
      </w:r>
      <w:r w:rsidR="00EC3F29" w:rsidRPr="003E273D">
        <w:t xml:space="preserve">ating (ISR) of 1 or 2 </w:t>
      </w:r>
      <w:r w:rsidR="0046635D" w:rsidRPr="003E273D">
        <w:t>directly to the OCP for clinical review.</w:t>
      </w:r>
      <w:r w:rsidR="00F03181" w:rsidRPr="003E273D">
        <w:t xml:space="preserve"> </w:t>
      </w:r>
      <w:r w:rsidR="006B63F7">
        <w:t>I</w:t>
      </w:r>
      <w:r w:rsidR="00302EF3" w:rsidRPr="003E273D">
        <w:t xml:space="preserve">ncidents with </w:t>
      </w:r>
      <w:r w:rsidR="00CA73EF" w:rsidRPr="003E273D" w:rsidDel="00302EF3">
        <w:t>a</w:t>
      </w:r>
      <w:r w:rsidR="0032358C">
        <w:t>n</w:t>
      </w:r>
      <w:r w:rsidR="00CA73EF" w:rsidRPr="003E273D">
        <w:t xml:space="preserve"> ISR of 3 or 4</w:t>
      </w:r>
      <w:r w:rsidR="00302EF3" w:rsidRPr="003E273D">
        <w:t xml:space="preserve"> must be reported </w:t>
      </w:r>
      <w:r w:rsidR="00311811" w:rsidRPr="003E273D">
        <w:t xml:space="preserve">to the OCP </w:t>
      </w:r>
      <w:r w:rsidR="007E4E28" w:rsidRPr="003E273D">
        <w:t>as</w:t>
      </w:r>
      <w:r w:rsidR="00A94DF5" w:rsidRPr="003E273D">
        <w:t xml:space="preserve"> an </w:t>
      </w:r>
      <w:r w:rsidR="00534946" w:rsidRPr="003E273D">
        <w:t>extract of this</w:t>
      </w:r>
      <w:r w:rsidR="008D1169" w:rsidRPr="003E273D">
        <w:t xml:space="preserve"> data </w:t>
      </w:r>
      <w:r w:rsidR="001F5EA3" w:rsidRPr="003E273D">
        <w:t xml:space="preserve">from </w:t>
      </w:r>
      <w:r w:rsidR="00A87BC1" w:rsidRPr="003E273D">
        <w:t xml:space="preserve">service </w:t>
      </w:r>
      <w:r w:rsidR="001F5EA3" w:rsidRPr="003E273D">
        <w:t>providers</w:t>
      </w:r>
      <w:r w:rsidR="000A0FAF" w:rsidRPr="003E273D">
        <w:t xml:space="preserve"> </w:t>
      </w:r>
      <w:proofErr w:type="gramStart"/>
      <w:r w:rsidR="000A0FAF" w:rsidRPr="003E273D">
        <w:t>on a monthly basis</w:t>
      </w:r>
      <w:proofErr w:type="gramEnd"/>
      <w:r w:rsidR="00995D91" w:rsidRPr="003E273D">
        <w:t xml:space="preserve">. </w:t>
      </w:r>
    </w:p>
    <w:p w14:paraId="31DF91A0" w14:textId="19B12C83" w:rsidR="34855767" w:rsidRPr="003E273D" w:rsidRDefault="00A13BAA" w:rsidP="00A94F47">
      <w:pPr>
        <w:pStyle w:val="Body"/>
      </w:pPr>
      <w:r>
        <w:t xml:space="preserve">ISRs </w:t>
      </w:r>
      <w:r w:rsidR="006173CE">
        <w:t>refer to the following circumstances</w:t>
      </w:r>
      <w:r w:rsidR="00A94F47">
        <w:t>:</w:t>
      </w:r>
    </w:p>
    <w:p w14:paraId="4FA745BC" w14:textId="658AB7BE" w:rsidR="34855767" w:rsidRPr="003E273D" w:rsidRDefault="2DD83116" w:rsidP="00A94F47">
      <w:pPr>
        <w:pStyle w:val="Bullet1"/>
      </w:pPr>
      <w:r w:rsidRPr="003E273D">
        <w:t>ISR</w:t>
      </w:r>
      <w:r w:rsidR="009636E2">
        <w:t xml:space="preserve"> </w:t>
      </w:r>
      <w:r w:rsidRPr="003E273D">
        <w:t xml:space="preserve">1 – </w:t>
      </w:r>
      <w:r w:rsidR="00A13BAA">
        <w:t>s</w:t>
      </w:r>
      <w:r w:rsidR="00016E5B">
        <w:t xml:space="preserve">exual safety incident </w:t>
      </w:r>
      <w:r w:rsidRPr="003E273D">
        <w:t>that has caused substantial harm</w:t>
      </w:r>
    </w:p>
    <w:p w14:paraId="0DD57F0C" w14:textId="2FE98BA0" w:rsidR="34855767" w:rsidRPr="003E273D" w:rsidRDefault="2DD83116" w:rsidP="00016E5B">
      <w:pPr>
        <w:pStyle w:val="Bullet1"/>
      </w:pPr>
      <w:r w:rsidRPr="003E273D">
        <w:t>ISR</w:t>
      </w:r>
      <w:r w:rsidR="009636E2">
        <w:t xml:space="preserve"> </w:t>
      </w:r>
      <w:r w:rsidRPr="003E273D">
        <w:t xml:space="preserve">2 – </w:t>
      </w:r>
      <w:r w:rsidR="00A13BAA">
        <w:t>s</w:t>
      </w:r>
      <w:r w:rsidR="00016E5B" w:rsidRPr="00016E5B">
        <w:t>exual safety incident</w:t>
      </w:r>
      <w:r w:rsidRPr="003E273D">
        <w:t xml:space="preserve"> that has caused moderate harm, requiring </w:t>
      </w:r>
      <w:r w:rsidR="00142FC9">
        <w:t xml:space="preserve">an </w:t>
      </w:r>
      <w:r w:rsidRPr="003E273D">
        <w:t>increased level of care</w:t>
      </w:r>
    </w:p>
    <w:p w14:paraId="0A9C3DE9" w14:textId="117273C0" w:rsidR="34855767" w:rsidRPr="003E273D" w:rsidRDefault="2DD83116" w:rsidP="00016E5B">
      <w:pPr>
        <w:pStyle w:val="Bullet1"/>
      </w:pPr>
      <w:r w:rsidRPr="003E273D">
        <w:t>ISR</w:t>
      </w:r>
      <w:r w:rsidR="009636E2">
        <w:t xml:space="preserve"> </w:t>
      </w:r>
      <w:r w:rsidRPr="003E273D">
        <w:t xml:space="preserve">3 – </w:t>
      </w:r>
      <w:r w:rsidR="00A13BAA">
        <w:t>s</w:t>
      </w:r>
      <w:r w:rsidR="00016E5B" w:rsidRPr="00016E5B">
        <w:t xml:space="preserve">exual safety incident </w:t>
      </w:r>
      <w:r w:rsidRPr="003E273D">
        <w:t>that has caused minimum harm, requiring no additional care</w:t>
      </w:r>
    </w:p>
    <w:p w14:paraId="0958E711" w14:textId="730EDA48" w:rsidR="34855767" w:rsidRPr="003E273D" w:rsidRDefault="2DD83116" w:rsidP="00016E5B">
      <w:pPr>
        <w:pStyle w:val="Bullet1"/>
      </w:pPr>
      <w:r w:rsidRPr="003E273D">
        <w:t>ISR</w:t>
      </w:r>
      <w:r w:rsidR="009636E2">
        <w:t xml:space="preserve"> </w:t>
      </w:r>
      <w:r w:rsidRPr="003E273D">
        <w:t xml:space="preserve">4 – </w:t>
      </w:r>
      <w:r w:rsidR="00A13BAA">
        <w:t>s</w:t>
      </w:r>
      <w:r w:rsidR="00016E5B" w:rsidRPr="00016E5B">
        <w:t xml:space="preserve">exual safety incident </w:t>
      </w:r>
      <w:r w:rsidRPr="003E273D">
        <w:t>that was avoided or no harm was caused</w:t>
      </w:r>
      <w:r w:rsidR="00A13BAA">
        <w:t>.</w:t>
      </w:r>
    </w:p>
    <w:p w14:paraId="0CF8E136" w14:textId="10100E90" w:rsidR="0062795C" w:rsidRPr="003E273D" w:rsidRDefault="0062795C" w:rsidP="00DD29EF">
      <w:pPr>
        <w:pStyle w:val="Bodyafterbullets"/>
      </w:pPr>
      <w:r w:rsidRPr="003E273D">
        <w:t xml:space="preserve">ISR calculations are based on a World Health Organization algorithm, adapted and refined by subject matter experts from Victorian public health services to support VHIMS incident classification and reporting. The ISR is derived from the response to </w:t>
      </w:r>
      <w:r w:rsidR="00AD12EC">
        <w:t>3</w:t>
      </w:r>
      <w:r w:rsidR="00AD12EC" w:rsidRPr="003E273D">
        <w:t xml:space="preserve"> </w:t>
      </w:r>
      <w:r w:rsidRPr="003E273D">
        <w:t>questions. The questions relate to level of harm</w:t>
      </w:r>
      <w:r w:rsidR="009636E2">
        <w:t>,</w:t>
      </w:r>
      <w:r w:rsidRPr="003E273D">
        <w:t xml:space="preserve"> required level of care and level of treatment required. ISR 1 represents the highest level of harm, required level of care and level of treatment required, while ISR 4 is the lowest level.</w:t>
      </w:r>
    </w:p>
    <w:p w14:paraId="23473227" w14:textId="5AC08511" w:rsidR="00081A4B" w:rsidRDefault="18D28A22" w:rsidP="008B252E">
      <w:pPr>
        <w:pStyle w:val="Body"/>
        <w:spacing w:before="120"/>
      </w:pPr>
      <w:r>
        <w:t xml:space="preserve">The total number of sexual safety incidents recorded </w:t>
      </w:r>
      <w:r w:rsidR="0C72833D">
        <w:t>is</w:t>
      </w:r>
      <w:r>
        <w:t xml:space="preserve"> less than</w:t>
      </w:r>
      <w:r w:rsidR="004265D1">
        <w:t xml:space="preserve"> the </w:t>
      </w:r>
      <w:r>
        <w:t xml:space="preserve">total number of </w:t>
      </w:r>
      <w:r w:rsidR="004265D1">
        <w:t>individuals involved in a sexual safety incident</w:t>
      </w:r>
      <w:r w:rsidR="009636E2">
        <w:t xml:space="preserve"> (Table 18)</w:t>
      </w:r>
      <w:r w:rsidR="004265D1">
        <w:t xml:space="preserve">. </w:t>
      </w:r>
      <w:r w:rsidR="552D8B10">
        <w:t xml:space="preserve">Several </w:t>
      </w:r>
      <w:r w:rsidR="004265D1">
        <w:t xml:space="preserve">individuals </w:t>
      </w:r>
      <w:r w:rsidR="552D8B10">
        <w:t xml:space="preserve">may be </w:t>
      </w:r>
      <w:r w:rsidR="004265D1">
        <w:t xml:space="preserve">involved in a single </w:t>
      </w:r>
      <w:r w:rsidR="004265D1">
        <w:lastRenderedPageBreak/>
        <w:t>incident.</w:t>
      </w:r>
      <w:r w:rsidR="02203E49">
        <w:t xml:space="preserve"> For example, if a person makes sexually explicit comments</w:t>
      </w:r>
      <w:r w:rsidR="009636E2">
        <w:t>,</w:t>
      </w:r>
      <w:r w:rsidR="02203E49">
        <w:t xml:space="preserve"> this may be reported by the individuals affected by or involved in a sexual safety incident.</w:t>
      </w:r>
      <w:r w:rsidR="7D14C801">
        <w:t xml:space="preserve"> The</w:t>
      </w:r>
      <w:r w:rsidR="004265D1">
        <w:t xml:space="preserve"> estimated number of incidents that have </w:t>
      </w:r>
      <w:r w:rsidR="4050B63B">
        <w:t xml:space="preserve">occurred has </w:t>
      </w:r>
      <w:r w:rsidR="7D14C801">
        <w:t>been derived</w:t>
      </w:r>
      <w:r w:rsidR="004265D1">
        <w:t xml:space="preserve"> by counting reports with a matching date, time and location.</w:t>
      </w:r>
    </w:p>
    <w:p w14:paraId="69BC6A3B" w14:textId="6B7685BA" w:rsidR="009636E2" w:rsidRPr="00BF16C7" w:rsidRDefault="009636E2" w:rsidP="009636E2">
      <w:pPr>
        <w:pStyle w:val="Tablecaption"/>
      </w:pPr>
      <w:r>
        <w:t xml:space="preserve">Table 18: </w:t>
      </w:r>
      <w:r w:rsidRPr="623EF106">
        <w:t xml:space="preserve">Estimated </w:t>
      </w:r>
      <w:r w:rsidRPr="182C245F">
        <w:t>number</w:t>
      </w:r>
      <w:r>
        <w:t xml:space="preserve"> of sexual safety </w:t>
      </w:r>
      <w:r w:rsidRPr="0284B2BF">
        <w:t>incidents</w:t>
      </w:r>
      <w:r>
        <w:t xml:space="preserve"> and </w:t>
      </w:r>
      <w:r w:rsidRPr="00BF16C7">
        <w:t>number</w:t>
      </w:r>
      <w:r>
        <w:t xml:space="preserve"> of individuals involved in a sexual safety incident, 2023–24</w:t>
      </w:r>
    </w:p>
    <w:tbl>
      <w:tblPr>
        <w:tblStyle w:val="TableGrid"/>
        <w:tblW w:w="684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392"/>
        <w:gridCol w:w="1457"/>
      </w:tblGrid>
      <w:tr w:rsidR="009636E2" w:rsidRPr="00185026" w14:paraId="548FB02C" w14:textId="77777777" w:rsidTr="00FE2848">
        <w:trPr>
          <w:trHeight w:val="300"/>
          <w:tblHeader/>
        </w:trPr>
        <w:tc>
          <w:tcPr>
            <w:tcW w:w="5392" w:type="dxa"/>
            <w:shd w:val="clear" w:color="auto" w:fill="244C5A"/>
          </w:tcPr>
          <w:p w14:paraId="7C443691" w14:textId="77777777" w:rsidR="009636E2" w:rsidRPr="00185026" w:rsidRDefault="009636E2">
            <w:pPr>
              <w:pStyle w:val="EmptyLayoutCell"/>
              <w:spacing w:before="60" w:after="60"/>
              <w:rPr>
                <w:rFonts w:ascii="Arial" w:hAnsi="Arial" w:cs="Arial"/>
                <w:color w:val="FFFFFF"/>
                <w:sz w:val="18"/>
                <w:szCs w:val="18"/>
              </w:rPr>
            </w:pPr>
            <w:r w:rsidRPr="79C28EAF">
              <w:rPr>
                <w:rFonts w:ascii="Arial" w:hAnsi="Arial" w:cs="Arial"/>
                <w:color w:val="FFFFFF" w:themeColor="background1"/>
                <w:sz w:val="18"/>
                <w:szCs w:val="18"/>
              </w:rPr>
              <w:t xml:space="preserve">Total </w:t>
            </w:r>
            <w:r w:rsidRPr="414039C6">
              <w:rPr>
                <w:rFonts w:ascii="Arial" w:hAnsi="Arial" w:cs="Arial"/>
                <w:color w:val="FFFFFF" w:themeColor="background1"/>
                <w:sz w:val="18"/>
                <w:szCs w:val="18"/>
              </w:rPr>
              <w:t>number</w:t>
            </w:r>
          </w:p>
        </w:tc>
        <w:tc>
          <w:tcPr>
            <w:tcW w:w="1457" w:type="dxa"/>
            <w:shd w:val="clear" w:color="auto" w:fill="244C5A"/>
          </w:tcPr>
          <w:p w14:paraId="5FEE5069" w14:textId="797A70A1" w:rsidR="009636E2" w:rsidRPr="00185026" w:rsidRDefault="009636E2">
            <w:pPr>
              <w:pStyle w:val="EmptyLayoutCell"/>
              <w:spacing w:before="60" w:after="60"/>
              <w:rPr>
                <w:rFonts w:ascii="Arial" w:hAnsi="Arial" w:cs="Arial"/>
                <w:color w:val="FFFFFF"/>
                <w:sz w:val="18"/>
                <w:szCs w:val="18"/>
              </w:rPr>
            </w:pPr>
            <w:r>
              <w:rPr>
                <w:rFonts w:ascii="Arial" w:hAnsi="Arial" w:cs="Arial"/>
                <w:color w:val="FFFFFF"/>
                <w:sz w:val="18"/>
                <w:szCs w:val="18"/>
              </w:rPr>
              <w:t>2023–24</w:t>
            </w:r>
          </w:p>
        </w:tc>
      </w:tr>
      <w:tr w:rsidR="009636E2" w:rsidRPr="00185026" w14:paraId="15E6F51A" w14:textId="77777777" w:rsidTr="00FE2848">
        <w:trPr>
          <w:trHeight w:val="300"/>
        </w:trPr>
        <w:tc>
          <w:tcPr>
            <w:tcW w:w="5392" w:type="dxa"/>
          </w:tcPr>
          <w:p w14:paraId="276674A2" w14:textId="77777777" w:rsidR="009636E2" w:rsidRDefault="009636E2">
            <w:pPr>
              <w:pStyle w:val="EmptyLayoutCell"/>
              <w:spacing w:before="60" w:after="60"/>
              <w:rPr>
                <w:rFonts w:ascii="Arial" w:hAnsi="Arial" w:cs="Arial"/>
                <w:sz w:val="18"/>
                <w:szCs w:val="18"/>
              </w:rPr>
            </w:pPr>
            <w:r w:rsidRPr="34F04746">
              <w:rPr>
                <w:rFonts w:ascii="Arial" w:hAnsi="Arial" w:cs="Arial"/>
                <w:sz w:val="18"/>
                <w:szCs w:val="18"/>
              </w:rPr>
              <w:t>Estimated number of sexual safety incidents</w:t>
            </w:r>
          </w:p>
        </w:tc>
        <w:tc>
          <w:tcPr>
            <w:tcW w:w="1457" w:type="dxa"/>
            <w:vAlign w:val="bottom"/>
          </w:tcPr>
          <w:p w14:paraId="20952CDE" w14:textId="77777777" w:rsidR="009636E2" w:rsidRDefault="009636E2">
            <w:pPr>
              <w:pStyle w:val="EmptyLayoutCell"/>
              <w:spacing w:before="60" w:after="60"/>
              <w:rPr>
                <w:rFonts w:ascii="Arial" w:hAnsi="Arial" w:cs="Arial"/>
                <w:sz w:val="18"/>
                <w:szCs w:val="18"/>
              </w:rPr>
            </w:pPr>
            <w:r>
              <w:rPr>
                <w:rFonts w:ascii="Arial" w:hAnsi="Arial" w:cs="Arial"/>
                <w:sz w:val="18"/>
                <w:szCs w:val="18"/>
              </w:rPr>
              <w:t>1,295</w:t>
            </w:r>
          </w:p>
        </w:tc>
      </w:tr>
      <w:tr w:rsidR="009636E2" w:rsidRPr="00185026" w14:paraId="13A912DD" w14:textId="77777777" w:rsidTr="00FE2848">
        <w:trPr>
          <w:trHeight w:val="300"/>
        </w:trPr>
        <w:tc>
          <w:tcPr>
            <w:tcW w:w="5392" w:type="dxa"/>
          </w:tcPr>
          <w:p w14:paraId="58559F9D" w14:textId="77777777" w:rsidR="009636E2" w:rsidRPr="00185026" w:rsidRDefault="009636E2">
            <w:pPr>
              <w:pStyle w:val="EmptyLayoutCell"/>
              <w:spacing w:before="60" w:after="60"/>
              <w:rPr>
                <w:rFonts w:ascii="Arial" w:hAnsi="Arial" w:cs="Arial"/>
                <w:sz w:val="18"/>
                <w:szCs w:val="18"/>
              </w:rPr>
            </w:pPr>
            <w:r>
              <w:rPr>
                <w:rFonts w:ascii="Arial" w:hAnsi="Arial" w:cs="Arial"/>
                <w:sz w:val="18"/>
                <w:szCs w:val="18"/>
              </w:rPr>
              <w:t>Number of individuals involved in a sexual safety incident</w:t>
            </w:r>
          </w:p>
        </w:tc>
        <w:tc>
          <w:tcPr>
            <w:tcW w:w="1457" w:type="dxa"/>
            <w:vAlign w:val="bottom"/>
          </w:tcPr>
          <w:p w14:paraId="67D93A93" w14:textId="77777777" w:rsidR="009636E2" w:rsidRPr="00185026" w:rsidRDefault="009636E2">
            <w:pPr>
              <w:pStyle w:val="EmptyLayoutCell"/>
              <w:spacing w:before="60" w:after="60"/>
              <w:rPr>
                <w:rFonts w:ascii="Arial" w:hAnsi="Arial" w:cs="Arial"/>
                <w:sz w:val="18"/>
                <w:szCs w:val="18"/>
              </w:rPr>
            </w:pPr>
            <w:r>
              <w:rPr>
                <w:rFonts w:ascii="Arial" w:hAnsi="Arial" w:cs="Arial"/>
                <w:sz w:val="18"/>
                <w:szCs w:val="18"/>
              </w:rPr>
              <w:t>1,764</w:t>
            </w:r>
          </w:p>
        </w:tc>
      </w:tr>
    </w:tbl>
    <w:p w14:paraId="766EA46E" w14:textId="77777777" w:rsidR="00A60742" w:rsidRDefault="002E0026" w:rsidP="008316C9">
      <w:pPr>
        <w:pStyle w:val="Bodyaftertable"/>
      </w:pPr>
      <w:r>
        <w:t>The</w:t>
      </w:r>
      <w:r w:rsidR="7E08AAF4" w:rsidRPr="001D2204">
        <w:t xml:space="preserve"> reporting </w:t>
      </w:r>
      <w:r>
        <w:t xml:space="preserve">of </w:t>
      </w:r>
      <w:r w:rsidR="7E08AAF4" w:rsidRPr="001D2204">
        <w:t>sexual safety incidents enables improvement</w:t>
      </w:r>
      <w:r w:rsidR="00A60742">
        <w:t>s</w:t>
      </w:r>
      <w:r w:rsidR="7E08AAF4" w:rsidRPr="001D2204">
        <w:t xml:space="preserve"> </w:t>
      </w:r>
      <w:r w:rsidR="00A60742">
        <w:t>to</w:t>
      </w:r>
      <w:r w:rsidR="7E08AAF4" w:rsidRPr="001D2204">
        <w:t xml:space="preserve"> safety in mental health services.</w:t>
      </w:r>
    </w:p>
    <w:p w14:paraId="0CD21E7F" w14:textId="19DB5CD5" w:rsidR="7CFB54A8" w:rsidRDefault="00CF6CEC" w:rsidP="00CF6CEC">
      <w:pPr>
        <w:pStyle w:val="Body"/>
      </w:pPr>
      <w:r>
        <w:t>In 2023</w:t>
      </w:r>
      <w:r w:rsidR="007B5B5D">
        <w:t>–</w:t>
      </w:r>
      <w:r>
        <w:t xml:space="preserve">24, </w:t>
      </w:r>
      <w:r w:rsidR="7E08AAF4" w:rsidRPr="001D2204">
        <w:t>1</w:t>
      </w:r>
      <w:r w:rsidR="009636E2">
        <w:t>,</w:t>
      </w:r>
      <w:r w:rsidR="7E08AAF4" w:rsidRPr="001D2204">
        <w:t>764 individuals experienced sexual safety incidents in bed</w:t>
      </w:r>
      <w:r w:rsidR="009636E2">
        <w:t>-</w:t>
      </w:r>
      <w:r w:rsidR="7E08AAF4" w:rsidRPr="001D2204">
        <w:t>based mental health services</w:t>
      </w:r>
      <w:r w:rsidR="009636E2">
        <w:t xml:space="preserve"> (Table 19)</w:t>
      </w:r>
      <w:r w:rsidR="7E08AAF4" w:rsidRPr="001D2204">
        <w:t>. Whil</w:t>
      </w:r>
      <w:r w:rsidR="009636E2">
        <w:t>e</w:t>
      </w:r>
      <w:r w:rsidR="7E08AAF4" w:rsidRPr="001D2204">
        <w:t xml:space="preserve"> the majority of these were in severity rating ISR 3 and 4, </w:t>
      </w:r>
      <w:r w:rsidR="001964A6" w:rsidRPr="001D2204">
        <w:t xml:space="preserve">the Chief Psychiatrist </w:t>
      </w:r>
      <w:r w:rsidR="002F166B" w:rsidRPr="001D2204">
        <w:t xml:space="preserve">is concerned about all </w:t>
      </w:r>
      <w:r w:rsidR="7E08AAF4" w:rsidRPr="001D2204">
        <w:t xml:space="preserve">sexual safety </w:t>
      </w:r>
      <w:r w:rsidR="00F55317" w:rsidRPr="001D2204">
        <w:t>incidents</w:t>
      </w:r>
      <w:r w:rsidR="00675697" w:rsidRPr="001D2204">
        <w:t xml:space="preserve"> and continues to work with services to improve </w:t>
      </w:r>
      <w:r w:rsidR="00903B6D" w:rsidRPr="001D2204">
        <w:t>their clinical governance and quality and safety systems</w:t>
      </w:r>
      <w:r w:rsidR="00F55317" w:rsidRPr="001D2204">
        <w:t>.</w:t>
      </w:r>
    </w:p>
    <w:p w14:paraId="166D5912" w14:textId="78138920" w:rsidR="009636E2" w:rsidRDefault="009636E2" w:rsidP="009636E2">
      <w:pPr>
        <w:pStyle w:val="Tablecaption"/>
      </w:pPr>
      <w:r w:rsidRPr="5602EDDB">
        <w:t xml:space="preserve">Table </w:t>
      </w:r>
      <w:r>
        <w:t>19</w:t>
      </w:r>
      <w:r w:rsidRPr="5602EDDB">
        <w:t>: Number of individuals involved in a sexual safety incident by ISR, 2023</w:t>
      </w:r>
      <w:r>
        <w:t>–</w:t>
      </w:r>
      <w:r w:rsidRPr="5602EDDB">
        <w:t>24</w: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64"/>
        <w:gridCol w:w="1038"/>
      </w:tblGrid>
      <w:tr w:rsidR="009636E2" w14:paraId="5A7FFEAC" w14:textId="77777777" w:rsidTr="00FE2848">
        <w:trPr>
          <w:trHeight w:val="300"/>
          <w:tblHeader/>
        </w:trPr>
        <w:tc>
          <w:tcPr>
            <w:tcW w:w="2364" w:type="dxa"/>
            <w:shd w:val="clear" w:color="auto" w:fill="244C5A"/>
          </w:tcPr>
          <w:p w14:paraId="7BFECBCC" w14:textId="77777777" w:rsidR="009636E2" w:rsidRDefault="009636E2">
            <w:pPr>
              <w:pStyle w:val="EmptyLayoutCell"/>
              <w:spacing w:before="60" w:after="60"/>
              <w:rPr>
                <w:rFonts w:ascii="Arial" w:hAnsi="Arial" w:cs="Arial"/>
                <w:color w:val="FFFFFF" w:themeColor="background1"/>
                <w:sz w:val="18"/>
                <w:szCs w:val="18"/>
              </w:rPr>
            </w:pPr>
            <w:r w:rsidRPr="5602EDDB">
              <w:rPr>
                <w:rFonts w:ascii="Arial" w:hAnsi="Arial" w:cs="Arial"/>
                <w:color w:val="FFFFFF" w:themeColor="background1"/>
                <w:sz w:val="18"/>
                <w:szCs w:val="18"/>
              </w:rPr>
              <w:t>ISR</w:t>
            </w:r>
          </w:p>
        </w:tc>
        <w:tc>
          <w:tcPr>
            <w:tcW w:w="1038" w:type="dxa"/>
            <w:shd w:val="clear" w:color="auto" w:fill="244C5A"/>
          </w:tcPr>
          <w:p w14:paraId="78DD3D27" w14:textId="1509E6AA" w:rsidR="009636E2" w:rsidRDefault="009636E2">
            <w:pPr>
              <w:pStyle w:val="EmptyLayoutCell"/>
              <w:spacing w:before="60" w:after="60"/>
              <w:rPr>
                <w:rFonts w:ascii="Arial" w:hAnsi="Arial" w:cs="Arial"/>
                <w:color w:val="FFFFFF" w:themeColor="background1"/>
                <w:sz w:val="18"/>
                <w:szCs w:val="18"/>
              </w:rPr>
            </w:pPr>
            <w:r w:rsidRPr="5602EDDB">
              <w:rPr>
                <w:rFonts w:ascii="Arial" w:hAnsi="Arial" w:cs="Arial"/>
                <w:color w:val="FFFFFF" w:themeColor="background1"/>
                <w:sz w:val="18"/>
                <w:szCs w:val="18"/>
              </w:rPr>
              <w:t>2023</w:t>
            </w:r>
            <w:r>
              <w:rPr>
                <w:rFonts w:ascii="Arial" w:hAnsi="Arial" w:cs="Arial"/>
                <w:color w:val="FFFFFF" w:themeColor="background1"/>
                <w:sz w:val="18"/>
                <w:szCs w:val="18"/>
              </w:rPr>
              <w:t>–</w:t>
            </w:r>
            <w:r w:rsidRPr="5602EDDB">
              <w:rPr>
                <w:rFonts w:ascii="Arial" w:hAnsi="Arial" w:cs="Arial"/>
                <w:color w:val="FFFFFF" w:themeColor="background1"/>
                <w:sz w:val="18"/>
                <w:szCs w:val="18"/>
              </w:rPr>
              <w:t>24</w:t>
            </w:r>
          </w:p>
        </w:tc>
      </w:tr>
      <w:tr w:rsidR="009636E2" w14:paraId="28979D33" w14:textId="77777777" w:rsidTr="00FE2848">
        <w:trPr>
          <w:trHeight w:val="300"/>
        </w:trPr>
        <w:tc>
          <w:tcPr>
            <w:tcW w:w="2364" w:type="dxa"/>
          </w:tcPr>
          <w:p w14:paraId="7B59EFE9"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1</w:t>
            </w:r>
          </w:p>
        </w:tc>
        <w:tc>
          <w:tcPr>
            <w:tcW w:w="1038" w:type="dxa"/>
            <w:vAlign w:val="bottom"/>
          </w:tcPr>
          <w:p w14:paraId="4455BF45"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1</w:t>
            </w:r>
          </w:p>
        </w:tc>
      </w:tr>
      <w:tr w:rsidR="009636E2" w14:paraId="6DDF3846" w14:textId="77777777" w:rsidTr="00FE2848">
        <w:trPr>
          <w:trHeight w:val="300"/>
        </w:trPr>
        <w:tc>
          <w:tcPr>
            <w:tcW w:w="2364" w:type="dxa"/>
          </w:tcPr>
          <w:p w14:paraId="5B766CEA"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2</w:t>
            </w:r>
          </w:p>
        </w:tc>
        <w:tc>
          <w:tcPr>
            <w:tcW w:w="1038" w:type="dxa"/>
            <w:vAlign w:val="bottom"/>
          </w:tcPr>
          <w:p w14:paraId="693D4078"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22</w:t>
            </w:r>
          </w:p>
        </w:tc>
      </w:tr>
      <w:tr w:rsidR="009636E2" w14:paraId="2064ECED" w14:textId="77777777" w:rsidTr="00FE2848">
        <w:trPr>
          <w:trHeight w:val="300"/>
        </w:trPr>
        <w:tc>
          <w:tcPr>
            <w:tcW w:w="2364" w:type="dxa"/>
          </w:tcPr>
          <w:p w14:paraId="277EB8DD"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3</w:t>
            </w:r>
          </w:p>
        </w:tc>
        <w:tc>
          <w:tcPr>
            <w:tcW w:w="1038" w:type="dxa"/>
            <w:vAlign w:val="bottom"/>
          </w:tcPr>
          <w:p w14:paraId="4386AB42"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254</w:t>
            </w:r>
          </w:p>
        </w:tc>
      </w:tr>
      <w:tr w:rsidR="009636E2" w14:paraId="56032F47" w14:textId="77777777" w:rsidTr="00FE2848">
        <w:trPr>
          <w:trHeight w:val="300"/>
        </w:trPr>
        <w:tc>
          <w:tcPr>
            <w:tcW w:w="2364" w:type="dxa"/>
          </w:tcPr>
          <w:p w14:paraId="5AE213CB"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4</w:t>
            </w:r>
          </w:p>
        </w:tc>
        <w:tc>
          <w:tcPr>
            <w:tcW w:w="1038" w:type="dxa"/>
            <w:vAlign w:val="bottom"/>
          </w:tcPr>
          <w:p w14:paraId="2E1E2877" w14:textId="77777777" w:rsidR="009636E2" w:rsidRDefault="009636E2">
            <w:pPr>
              <w:pStyle w:val="EmptyLayoutCell"/>
              <w:spacing w:before="60" w:after="60"/>
              <w:rPr>
                <w:rFonts w:ascii="Arial" w:hAnsi="Arial" w:cs="Arial"/>
                <w:sz w:val="18"/>
                <w:szCs w:val="18"/>
              </w:rPr>
            </w:pPr>
            <w:r w:rsidRPr="5602EDDB">
              <w:rPr>
                <w:rFonts w:ascii="Arial" w:hAnsi="Arial" w:cs="Arial"/>
                <w:sz w:val="18"/>
                <w:szCs w:val="18"/>
              </w:rPr>
              <w:t>1</w:t>
            </w:r>
            <w:r>
              <w:rPr>
                <w:rFonts w:ascii="Arial" w:hAnsi="Arial" w:cs="Arial"/>
                <w:sz w:val="18"/>
                <w:szCs w:val="18"/>
              </w:rPr>
              <w:t>,</w:t>
            </w:r>
            <w:r w:rsidRPr="5602EDDB">
              <w:rPr>
                <w:rFonts w:ascii="Arial" w:hAnsi="Arial" w:cs="Arial"/>
                <w:sz w:val="18"/>
                <w:szCs w:val="18"/>
              </w:rPr>
              <w:t>487</w:t>
            </w:r>
          </w:p>
        </w:tc>
      </w:tr>
      <w:tr w:rsidR="009636E2" w14:paraId="6C18C9DD" w14:textId="77777777" w:rsidTr="00FE2848">
        <w:trPr>
          <w:trHeight w:val="300"/>
        </w:trPr>
        <w:tc>
          <w:tcPr>
            <w:tcW w:w="2364" w:type="dxa"/>
          </w:tcPr>
          <w:p w14:paraId="53398CA9" w14:textId="77777777" w:rsidR="009636E2" w:rsidRPr="00E21035" w:rsidRDefault="009636E2">
            <w:pPr>
              <w:pStyle w:val="EmptyLayoutCell"/>
              <w:spacing w:before="60" w:after="60"/>
              <w:rPr>
                <w:rFonts w:ascii="Arial" w:hAnsi="Arial" w:cs="Arial"/>
                <w:b/>
                <w:bCs/>
                <w:sz w:val="18"/>
                <w:szCs w:val="18"/>
              </w:rPr>
            </w:pPr>
            <w:r w:rsidRPr="00E21035">
              <w:rPr>
                <w:rFonts w:ascii="Arial" w:hAnsi="Arial" w:cs="Arial"/>
                <w:b/>
                <w:bCs/>
                <w:sz w:val="18"/>
                <w:szCs w:val="18"/>
              </w:rPr>
              <w:t>Total</w:t>
            </w:r>
          </w:p>
        </w:tc>
        <w:tc>
          <w:tcPr>
            <w:tcW w:w="1038" w:type="dxa"/>
            <w:vAlign w:val="bottom"/>
          </w:tcPr>
          <w:p w14:paraId="61D60F60" w14:textId="77777777" w:rsidR="009636E2" w:rsidRPr="00E21035" w:rsidRDefault="009636E2">
            <w:pPr>
              <w:pStyle w:val="EmptyLayoutCell"/>
              <w:spacing w:before="60" w:after="60"/>
              <w:rPr>
                <w:rFonts w:ascii="Arial" w:hAnsi="Arial" w:cs="Arial"/>
                <w:b/>
                <w:bCs/>
                <w:sz w:val="18"/>
                <w:szCs w:val="18"/>
              </w:rPr>
            </w:pPr>
            <w:r w:rsidRPr="00E21035">
              <w:rPr>
                <w:rFonts w:ascii="Arial" w:hAnsi="Arial" w:cs="Arial"/>
                <w:b/>
                <w:bCs/>
                <w:sz w:val="18"/>
                <w:szCs w:val="18"/>
              </w:rPr>
              <w:t>1,764</w:t>
            </w:r>
          </w:p>
        </w:tc>
      </w:tr>
    </w:tbl>
    <w:p w14:paraId="0272F41D" w14:textId="13412272" w:rsidR="00AE71AA" w:rsidRDefault="00AE71AA" w:rsidP="002A2D69">
      <w:pPr>
        <w:pStyle w:val="Bodyaftertable"/>
      </w:pPr>
      <w:r>
        <w:t xml:space="preserve">Figure 8 and Tables 20 and 21 provide more information on the numbers of people involved in sexual safety incidents in 2023–24. </w:t>
      </w:r>
    </w:p>
    <w:p w14:paraId="2A9F6EBF" w14:textId="26EAC944" w:rsidR="00381C49" w:rsidRPr="00BF16C7" w:rsidRDefault="003D1AC7" w:rsidP="00D665F6">
      <w:pPr>
        <w:pStyle w:val="Figurecaption"/>
      </w:pPr>
      <w:r>
        <w:t xml:space="preserve">Figure </w:t>
      </w:r>
      <w:r w:rsidR="00AE71AA">
        <w:t>8</w:t>
      </w:r>
      <w:r>
        <w:t xml:space="preserve">: </w:t>
      </w:r>
      <w:r w:rsidR="00381C49" w:rsidRPr="00BF16C7">
        <w:t>Number of individuals involved in a sexual safety incident by age group and gender, 2023</w:t>
      </w:r>
      <w:r w:rsidR="007B5B5D">
        <w:t>–</w:t>
      </w:r>
      <w:r w:rsidR="00381C49" w:rsidRPr="00BF16C7">
        <w:t>24</w:t>
      </w:r>
      <w:r w:rsidR="00431FB7">
        <w:t xml:space="preserve"> </w:t>
      </w:r>
    </w:p>
    <w:p w14:paraId="03B1A4F0" w14:textId="5EE674FD" w:rsidR="003E35D4" w:rsidRDefault="006341A0" w:rsidP="00434B70">
      <w:pPr>
        <w:pStyle w:val="Body"/>
      </w:pPr>
      <w:r>
        <w:rPr>
          <w:noProof/>
        </w:rPr>
        <w:drawing>
          <wp:inline distT="0" distB="0" distL="0" distR="0" wp14:anchorId="4A22E760" wp14:editId="418C4249">
            <wp:extent cx="4572000" cy="2752725"/>
            <wp:effectExtent l="0" t="0" r="0" b="9525"/>
            <wp:docPr id="243778725" name="Chart 1" descr="For a breakdown of the data in this figure, refer to Table 20.">
              <a:extLst xmlns:a="http://schemas.openxmlformats.org/drawingml/2006/main">
                <a:ext uri="{FF2B5EF4-FFF2-40B4-BE49-F238E27FC236}">
                  <a16:creationId xmlns:a16="http://schemas.microsoft.com/office/drawing/2014/main" id="{79D4DF1E-3C5F-3BD9-45BF-799BF51B83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16E203C" w14:textId="21CA661B" w:rsidR="001F65E1" w:rsidRPr="00BF16C7" w:rsidRDefault="00BF6466" w:rsidP="00D665F6">
      <w:pPr>
        <w:pStyle w:val="Tablecaption"/>
      </w:pPr>
      <w:r>
        <w:rPr>
          <w:bCs/>
        </w:rPr>
        <w:lastRenderedPageBreak/>
        <w:t xml:space="preserve">Table </w:t>
      </w:r>
      <w:r w:rsidR="00AE71AA">
        <w:rPr>
          <w:bCs/>
        </w:rPr>
        <w:t>20</w:t>
      </w:r>
      <w:r>
        <w:rPr>
          <w:bCs/>
        </w:rPr>
        <w:t xml:space="preserve">: </w:t>
      </w:r>
      <w:r w:rsidR="00724630" w:rsidRPr="00BF16C7">
        <w:t xml:space="preserve">Number </w:t>
      </w:r>
      <w:r w:rsidR="00695F05" w:rsidRPr="00BF16C7">
        <w:t>of</w:t>
      </w:r>
      <w:r w:rsidR="002E42FC" w:rsidRPr="00BF16C7">
        <w:t xml:space="preserve"> </w:t>
      </w:r>
      <w:r w:rsidR="00920D65" w:rsidRPr="00BF16C7">
        <w:t>indiv</w:t>
      </w:r>
      <w:r w:rsidR="00F60144" w:rsidRPr="00BF16C7">
        <w:t>idual</w:t>
      </w:r>
      <w:r w:rsidR="006F2332" w:rsidRPr="00BF16C7">
        <w:t>s</w:t>
      </w:r>
      <w:r w:rsidR="00F60144" w:rsidRPr="00BF16C7">
        <w:t xml:space="preserve"> involved in a sexual </w:t>
      </w:r>
      <w:r w:rsidR="006F2332" w:rsidRPr="00BF16C7">
        <w:t>safety incident</w:t>
      </w:r>
      <w:r w:rsidR="00A61312" w:rsidRPr="00BF16C7">
        <w:t xml:space="preserve"> by age group and gender, 2023</w:t>
      </w:r>
      <w:r w:rsidR="007B5B5D">
        <w:t>–</w:t>
      </w:r>
      <w:r w:rsidR="00A61312" w:rsidRPr="00BF16C7">
        <w:t>24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276"/>
        <w:gridCol w:w="800"/>
        <w:gridCol w:w="801"/>
        <w:gridCol w:w="800"/>
        <w:gridCol w:w="801"/>
        <w:gridCol w:w="800"/>
        <w:gridCol w:w="801"/>
        <w:gridCol w:w="800"/>
        <w:gridCol w:w="634"/>
        <w:gridCol w:w="967"/>
        <w:gridCol w:w="801"/>
      </w:tblGrid>
      <w:tr w:rsidR="00AC6991" w:rsidRPr="00185026" w14:paraId="075AA47A" w14:textId="5D26595E" w:rsidTr="00FE2848">
        <w:trPr>
          <w:tblHeader/>
        </w:trPr>
        <w:tc>
          <w:tcPr>
            <w:tcW w:w="1276" w:type="dxa"/>
            <w:shd w:val="clear" w:color="auto" w:fill="244C5A"/>
          </w:tcPr>
          <w:p w14:paraId="3D8ED0B1" w14:textId="36C92941" w:rsidR="00473197" w:rsidRPr="00185026" w:rsidRDefault="00AE71AA">
            <w:pPr>
              <w:pStyle w:val="EmptyLayoutCell"/>
              <w:spacing w:before="60" w:after="60"/>
              <w:rPr>
                <w:rFonts w:ascii="Arial" w:hAnsi="Arial" w:cs="Arial"/>
                <w:color w:val="FFFFFF"/>
                <w:sz w:val="18"/>
                <w:szCs w:val="18"/>
              </w:rPr>
            </w:pPr>
            <w:r>
              <w:rPr>
                <w:rFonts w:ascii="Arial" w:hAnsi="Arial" w:cs="Arial"/>
                <w:color w:val="FFFFFF"/>
                <w:sz w:val="18"/>
                <w:szCs w:val="18"/>
              </w:rPr>
              <w:t>Gender</w:t>
            </w:r>
          </w:p>
        </w:tc>
        <w:tc>
          <w:tcPr>
            <w:tcW w:w="800" w:type="dxa"/>
            <w:shd w:val="clear" w:color="auto" w:fill="244C5A"/>
          </w:tcPr>
          <w:p w14:paraId="2AE8FDB4" w14:textId="5E55304C" w:rsidR="00473197" w:rsidRPr="00185026" w:rsidRDefault="007D1D4A">
            <w:pPr>
              <w:pStyle w:val="EmptyLayoutCell"/>
              <w:spacing w:before="60" w:after="60"/>
              <w:rPr>
                <w:rFonts w:ascii="Arial" w:hAnsi="Arial" w:cs="Arial"/>
                <w:color w:val="FFFFFF"/>
                <w:sz w:val="18"/>
                <w:szCs w:val="18"/>
              </w:rPr>
            </w:pPr>
            <w:r>
              <w:rPr>
                <w:rFonts w:ascii="Arial" w:hAnsi="Arial" w:cs="Arial"/>
                <w:color w:val="FFFFFF"/>
                <w:sz w:val="18"/>
                <w:szCs w:val="18"/>
              </w:rPr>
              <w:t>0</w:t>
            </w:r>
            <w:r w:rsidR="007B5B5D">
              <w:rPr>
                <w:rFonts w:ascii="Arial" w:hAnsi="Arial" w:cs="Arial"/>
                <w:color w:val="FFFFFF"/>
                <w:sz w:val="18"/>
                <w:szCs w:val="18"/>
              </w:rPr>
              <w:t>–</w:t>
            </w:r>
            <w:r>
              <w:rPr>
                <w:rFonts w:ascii="Arial" w:hAnsi="Arial" w:cs="Arial"/>
                <w:color w:val="FFFFFF"/>
                <w:sz w:val="18"/>
                <w:szCs w:val="18"/>
              </w:rPr>
              <w:t>11</w:t>
            </w:r>
          </w:p>
        </w:tc>
        <w:tc>
          <w:tcPr>
            <w:tcW w:w="801" w:type="dxa"/>
            <w:shd w:val="clear" w:color="auto" w:fill="244C5A"/>
          </w:tcPr>
          <w:p w14:paraId="4759AF58" w14:textId="52F669F1" w:rsidR="00473197" w:rsidRPr="00185026" w:rsidRDefault="00F94697">
            <w:pPr>
              <w:pStyle w:val="EmptyLayoutCell"/>
              <w:spacing w:before="60" w:after="60"/>
              <w:rPr>
                <w:rFonts w:ascii="Arial" w:hAnsi="Arial" w:cs="Arial"/>
                <w:color w:val="FFFFFF"/>
                <w:sz w:val="18"/>
                <w:szCs w:val="18"/>
              </w:rPr>
            </w:pPr>
            <w:r>
              <w:rPr>
                <w:rFonts w:ascii="Arial" w:hAnsi="Arial" w:cs="Arial"/>
                <w:color w:val="FFFFFF"/>
                <w:sz w:val="18"/>
                <w:szCs w:val="18"/>
              </w:rPr>
              <w:t>12</w:t>
            </w:r>
            <w:r w:rsidR="007B5B5D">
              <w:rPr>
                <w:rFonts w:ascii="Arial" w:hAnsi="Arial" w:cs="Arial"/>
                <w:color w:val="FFFFFF"/>
                <w:sz w:val="18"/>
                <w:szCs w:val="18"/>
              </w:rPr>
              <w:t>–</w:t>
            </w:r>
            <w:r>
              <w:rPr>
                <w:rFonts w:ascii="Arial" w:hAnsi="Arial" w:cs="Arial"/>
                <w:color w:val="FFFFFF"/>
                <w:sz w:val="18"/>
                <w:szCs w:val="18"/>
              </w:rPr>
              <w:t>17</w:t>
            </w:r>
          </w:p>
        </w:tc>
        <w:tc>
          <w:tcPr>
            <w:tcW w:w="800" w:type="dxa"/>
            <w:shd w:val="clear" w:color="auto" w:fill="244C5A"/>
          </w:tcPr>
          <w:p w14:paraId="56A88B59" w14:textId="6E4F2628" w:rsidR="00473197" w:rsidRPr="00185026" w:rsidRDefault="00AE0CE8">
            <w:pPr>
              <w:pStyle w:val="EmptyLayoutCell"/>
              <w:spacing w:before="60" w:after="60"/>
              <w:rPr>
                <w:rFonts w:ascii="Arial" w:hAnsi="Arial" w:cs="Arial"/>
                <w:color w:val="FFFFFF"/>
                <w:sz w:val="18"/>
                <w:szCs w:val="18"/>
              </w:rPr>
            </w:pPr>
            <w:r>
              <w:rPr>
                <w:rFonts w:ascii="Arial" w:hAnsi="Arial" w:cs="Arial"/>
                <w:color w:val="FFFFFF"/>
                <w:sz w:val="18"/>
                <w:szCs w:val="18"/>
              </w:rPr>
              <w:t>18</w:t>
            </w:r>
            <w:r w:rsidR="007B5B5D">
              <w:rPr>
                <w:rFonts w:ascii="Arial" w:hAnsi="Arial" w:cs="Arial"/>
                <w:color w:val="FFFFFF"/>
                <w:sz w:val="18"/>
                <w:szCs w:val="18"/>
              </w:rPr>
              <w:t>–</w:t>
            </w:r>
            <w:r>
              <w:rPr>
                <w:rFonts w:ascii="Arial" w:hAnsi="Arial" w:cs="Arial"/>
                <w:color w:val="FFFFFF"/>
                <w:sz w:val="18"/>
                <w:szCs w:val="18"/>
              </w:rPr>
              <w:t>25</w:t>
            </w:r>
          </w:p>
        </w:tc>
        <w:tc>
          <w:tcPr>
            <w:tcW w:w="801" w:type="dxa"/>
            <w:shd w:val="clear" w:color="auto" w:fill="244C5A"/>
          </w:tcPr>
          <w:p w14:paraId="1AF6C102" w14:textId="057547C2" w:rsidR="00473197" w:rsidRPr="00185026" w:rsidRDefault="00BB0A87">
            <w:pPr>
              <w:pStyle w:val="EmptyLayoutCell"/>
              <w:spacing w:before="60" w:after="60"/>
              <w:rPr>
                <w:rFonts w:ascii="Arial" w:hAnsi="Arial" w:cs="Arial"/>
                <w:color w:val="FFFFFF"/>
                <w:sz w:val="18"/>
                <w:szCs w:val="18"/>
              </w:rPr>
            </w:pPr>
            <w:r>
              <w:rPr>
                <w:rFonts w:ascii="Arial" w:hAnsi="Arial" w:cs="Arial"/>
                <w:color w:val="FFFFFF"/>
                <w:sz w:val="18"/>
                <w:szCs w:val="18"/>
              </w:rPr>
              <w:t>26</w:t>
            </w:r>
            <w:r w:rsidR="007B5B5D">
              <w:rPr>
                <w:rFonts w:ascii="Arial" w:hAnsi="Arial" w:cs="Arial"/>
                <w:color w:val="FFFFFF"/>
                <w:sz w:val="18"/>
                <w:szCs w:val="18"/>
              </w:rPr>
              <w:t>–</w:t>
            </w:r>
            <w:r>
              <w:rPr>
                <w:rFonts w:ascii="Arial" w:hAnsi="Arial" w:cs="Arial"/>
                <w:color w:val="FFFFFF"/>
                <w:sz w:val="18"/>
                <w:szCs w:val="18"/>
              </w:rPr>
              <w:t>34</w:t>
            </w:r>
          </w:p>
        </w:tc>
        <w:tc>
          <w:tcPr>
            <w:tcW w:w="800" w:type="dxa"/>
            <w:shd w:val="clear" w:color="auto" w:fill="244C5A"/>
          </w:tcPr>
          <w:p w14:paraId="07571DE1" w14:textId="2008453D" w:rsidR="00473197" w:rsidRPr="00185026" w:rsidRDefault="00165E95">
            <w:pPr>
              <w:pStyle w:val="EmptyLayoutCell"/>
              <w:spacing w:before="60" w:after="60"/>
              <w:rPr>
                <w:rFonts w:ascii="Arial" w:hAnsi="Arial" w:cs="Arial"/>
                <w:color w:val="FFFFFF"/>
                <w:sz w:val="18"/>
                <w:szCs w:val="18"/>
              </w:rPr>
            </w:pPr>
            <w:r>
              <w:rPr>
                <w:rFonts w:ascii="Arial" w:hAnsi="Arial" w:cs="Arial"/>
                <w:color w:val="FFFFFF"/>
                <w:sz w:val="18"/>
                <w:szCs w:val="18"/>
              </w:rPr>
              <w:t>35</w:t>
            </w:r>
            <w:r w:rsidR="007B5B5D">
              <w:rPr>
                <w:rFonts w:ascii="Arial" w:hAnsi="Arial" w:cs="Arial"/>
                <w:color w:val="FFFFFF"/>
                <w:sz w:val="18"/>
                <w:szCs w:val="18"/>
              </w:rPr>
              <w:t>–</w:t>
            </w:r>
            <w:r>
              <w:rPr>
                <w:rFonts w:ascii="Arial" w:hAnsi="Arial" w:cs="Arial"/>
                <w:color w:val="FFFFFF"/>
                <w:sz w:val="18"/>
                <w:szCs w:val="18"/>
              </w:rPr>
              <w:t>44</w:t>
            </w:r>
          </w:p>
        </w:tc>
        <w:tc>
          <w:tcPr>
            <w:tcW w:w="801" w:type="dxa"/>
            <w:shd w:val="clear" w:color="auto" w:fill="244C5A"/>
          </w:tcPr>
          <w:p w14:paraId="34220466" w14:textId="0DC22AA8" w:rsidR="00473197" w:rsidRPr="00185026" w:rsidRDefault="00B9595C">
            <w:pPr>
              <w:pStyle w:val="EmptyLayoutCell"/>
              <w:spacing w:before="60" w:after="60"/>
              <w:rPr>
                <w:rFonts w:ascii="Arial" w:hAnsi="Arial" w:cs="Arial"/>
                <w:color w:val="FFFFFF"/>
                <w:sz w:val="18"/>
                <w:szCs w:val="18"/>
              </w:rPr>
            </w:pPr>
            <w:r>
              <w:rPr>
                <w:rFonts w:ascii="Arial" w:hAnsi="Arial" w:cs="Arial"/>
                <w:color w:val="FFFFFF"/>
                <w:sz w:val="18"/>
                <w:szCs w:val="18"/>
              </w:rPr>
              <w:t>45</w:t>
            </w:r>
            <w:r w:rsidR="007B5B5D">
              <w:rPr>
                <w:rFonts w:ascii="Arial" w:hAnsi="Arial" w:cs="Arial"/>
                <w:color w:val="FFFFFF"/>
                <w:sz w:val="18"/>
                <w:szCs w:val="18"/>
              </w:rPr>
              <w:t>–</w:t>
            </w:r>
            <w:r>
              <w:rPr>
                <w:rFonts w:ascii="Arial" w:hAnsi="Arial" w:cs="Arial"/>
                <w:color w:val="FFFFFF"/>
                <w:sz w:val="18"/>
                <w:szCs w:val="18"/>
              </w:rPr>
              <w:t>54</w:t>
            </w:r>
          </w:p>
        </w:tc>
        <w:tc>
          <w:tcPr>
            <w:tcW w:w="800" w:type="dxa"/>
            <w:shd w:val="clear" w:color="auto" w:fill="244C5A"/>
          </w:tcPr>
          <w:p w14:paraId="180F97B8" w14:textId="1A54076D" w:rsidR="00473197" w:rsidRPr="00185026" w:rsidRDefault="005310A1">
            <w:pPr>
              <w:pStyle w:val="EmptyLayoutCell"/>
              <w:spacing w:before="60" w:after="60"/>
              <w:rPr>
                <w:rFonts w:ascii="Arial" w:hAnsi="Arial" w:cs="Arial"/>
                <w:color w:val="FFFFFF"/>
                <w:sz w:val="18"/>
                <w:szCs w:val="18"/>
              </w:rPr>
            </w:pPr>
            <w:r>
              <w:rPr>
                <w:rFonts w:ascii="Arial" w:hAnsi="Arial" w:cs="Arial"/>
                <w:color w:val="FFFFFF"/>
                <w:sz w:val="18"/>
                <w:szCs w:val="18"/>
              </w:rPr>
              <w:t>55</w:t>
            </w:r>
            <w:r w:rsidR="007B5B5D">
              <w:rPr>
                <w:rFonts w:ascii="Arial" w:hAnsi="Arial" w:cs="Arial"/>
                <w:color w:val="FFFFFF"/>
                <w:sz w:val="18"/>
                <w:szCs w:val="18"/>
              </w:rPr>
              <w:t>–</w:t>
            </w:r>
            <w:r>
              <w:rPr>
                <w:rFonts w:ascii="Arial" w:hAnsi="Arial" w:cs="Arial"/>
                <w:color w:val="FFFFFF"/>
                <w:sz w:val="18"/>
                <w:szCs w:val="18"/>
              </w:rPr>
              <w:t>64</w:t>
            </w:r>
          </w:p>
        </w:tc>
        <w:tc>
          <w:tcPr>
            <w:tcW w:w="634" w:type="dxa"/>
            <w:shd w:val="clear" w:color="auto" w:fill="244C5A"/>
          </w:tcPr>
          <w:p w14:paraId="293C3F71" w14:textId="221E2C78" w:rsidR="00473197" w:rsidRPr="00185026" w:rsidRDefault="00C0566E">
            <w:pPr>
              <w:pStyle w:val="EmptyLayoutCell"/>
              <w:spacing w:before="60" w:after="60"/>
              <w:rPr>
                <w:rFonts w:ascii="Arial" w:hAnsi="Arial" w:cs="Arial"/>
                <w:color w:val="FFFFFF"/>
                <w:sz w:val="18"/>
                <w:szCs w:val="18"/>
              </w:rPr>
            </w:pPr>
            <w:r>
              <w:rPr>
                <w:rFonts w:ascii="Arial" w:hAnsi="Arial" w:cs="Arial"/>
                <w:color w:val="FFFFFF"/>
                <w:sz w:val="18"/>
                <w:szCs w:val="18"/>
              </w:rPr>
              <w:t>65</w:t>
            </w:r>
            <w:r w:rsidR="00473197" w:rsidRPr="00185026">
              <w:rPr>
                <w:rFonts w:ascii="Arial" w:hAnsi="Arial" w:cs="Arial"/>
                <w:color w:val="FFFFFF"/>
                <w:sz w:val="18"/>
                <w:szCs w:val="18"/>
              </w:rPr>
              <w:t>+</w:t>
            </w:r>
          </w:p>
        </w:tc>
        <w:tc>
          <w:tcPr>
            <w:tcW w:w="967" w:type="dxa"/>
            <w:shd w:val="clear" w:color="auto" w:fill="244C5A"/>
          </w:tcPr>
          <w:p w14:paraId="05B46555" w14:textId="0729E420" w:rsidR="005310A1" w:rsidRPr="00185026" w:rsidRDefault="00E04BD9">
            <w:pPr>
              <w:pStyle w:val="EmptyLayoutCell"/>
              <w:spacing w:before="60" w:after="60"/>
              <w:rPr>
                <w:rFonts w:ascii="Arial" w:hAnsi="Arial" w:cs="Arial"/>
                <w:color w:val="FFFFFF"/>
                <w:sz w:val="18"/>
                <w:szCs w:val="18"/>
              </w:rPr>
            </w:pPr>
            <w:r>
              <w:rPr>
                <w:rFonts w:ascii="Arial" w:hAnsi="Arial" w:cs="Arial"/>
                <w:color w:val="FFFFFF"/>
                <w:sz w:val="18"/>
                <w:szCs w:val="18"/>
              </w:rPr>
              <w:t>Unknown</w:t>
            </w:r>
          </w:p>
        </w:tc>
        <w:tc>
          <w:tcPr>
            <w:tcW w:w="801" w:type="dxa"/>
            <w:shd w:val="clear" w:color="auto" w:fill="244C5A"/>
          </w:tcPr>
          <w:p w14:paraId="756D908E" w14:textId="263F6808" w:rsidR="00A657D8" w:rsidRDefault="00A657D8">
            <w:pPr>
              <w:pStyle w:val="EmptyLayoutCell"/>
              <w:spacing w:before="60" w:after="60"/>
              <w:rPr>
                <w:rFonts w:ascii="Arial" w:hAnsi="Arial" w:cs="Arial"/>
                <w:color w:val="FFFFFF"/>
                <w:sz w:val="18"/>
                <w:szCs w:val="18"/>
              </w:rPr>
            </w:pPr>
            <w:r>
              <w:rPr>
                <w:rFonts w:ascii="Arial" w:hAnsi="Arial" w:cs="Arial"/>
                <w:color w:val="FFFFFF"/>
                <w:sz w:val="18"/>
                <w:szCs w:val="18"/>
              </w:rPr>
              <w:t>Total</w:t>
            </w:r>
          </w:p>
        </w:tc>
      </w:tr>
      <w:tr w:rsidR="00473197" w:rsidRPr="00185026" w14:paraId="4960D60B" w14:textId="27B14D53" w:rsidTr="00FE2848">
        <w:tc>
          <w:tcPr>
            <w:tcW w:w="1276" w:type="dxa"/>
          </w:tcPr>
          <w:p w14:paraId="3B64884E" w14:textId="77777777" w:rsidR="00473197" w:rsidRPr="00185026" w:rsidRDefault="00473197">
            <w:pPr>
              <w:pStyle w:val="EmptyLayoutCell"/>
              <w:spacing w:before="60" w:after="60"/>
              <w:rPr>
                <w:rFonts w:ascii="Arial" w:hAnsi="Arial" w:cs="Arial"/>
                <w:sz w:val="18"/>
                <w:szCs w:val="18"/>
              </w:rPr>
            </w:pPr>
            <w:r w:rsidRPr="00185026">
              <w:rPr>
                <w:rFonts w:ascii="Arial" w:hAnsi="Arial" w:cs="Arial"/>
                <w:sz w:val="18"/>
                <w:szCs w:val="18"/>
              </w:rPr>
              <w:t>Female</w:t>
            </w:r>
          </w:p>
        </w:tc>
        <w:tc>
          <w:tcPr>
            <w:tcW w:w="800" w:type="dxa"/>
            <w:vAlign w:val="bottom"/>
          </w:tcPr>
          <w:p w14:paraId="1ACDE3B7" w14:textId="3DB2E817" w:rsidR="00473197" w:rsidRPr="00185026" w:rsidRDefault="00D2792F">
            <w:pPr>
              <w:pStyle w:val="EmptyLayoutCell"/>
              <w:spacing w:before="60" w:after="60"/>
              <w:rPr>
                <w:rFonts w:ascii="Arial" w:hAnsi="Arial" w:cs="Arial"/>
                <w:sz w:val="18"/>
                <w:szCs w:val="18"/>
              </w:rPr>
            </w:pPr>
            <w:r>
              <w:rPr>
                <w:rFonts w:ascii="Arial" w:hAnsi="Arial" w:cs="Arial"/>
                <w:sz w:val="18"/>
                <w:szCs w:val="18"/>
              </w:rPr>
              <w:t>2</w:t>
            </w:r>
          </w:p>
        </w:tc>
        <w:tc>
          <w:tcPr>
            <w:tcW w:w="801" w:type="dxa"/>
            <w:vAlign w:val="bottom"/>
          </w:tcPr>
          <w:p w14:paraId="67A5B2FA" w14:textId="364546DA" w:rsidR="00473197" w:rsidRPr="00185026" w:rsidRDefault="00995EE0">
            <w:pPr>
              <w:pStyle w:val="EmptyLayoutCell"/>
              <w:spacing w:before="60" w:after="60"/>
              <w:rPr>
                <w:rFonts w:ascii="Arial" w:hAnsi="Arial" w:cs="Arial"/>
                <w:sz w:val="18"/>
                <w:szCs w:val="18"/>
              </w:rPr>
            </w:pPr>
            <w:r>
              <w:rPr>
                <w:rFonts w:ascii="Arial" w:hAnsi="Arial" w:cs="Arial"/>
                <w:sz w:val="18"/>
                <w:szCs w:val="18"/>
              </w:rPr>
              <w:t>23</w:t>
            </w:r>
          </w:p>
        </w:tc>
        <w:tc>
          <w:tcPr>
            <w:tcW w:w="800" w:type="dxa"/>
            <w:vAlign w:val="bottom"/>
          </w:tcPr>
          <w:p w14:paraId="5AD0164E" w14:textId="0521C8ED" w:rsidR="00473197" w:rsidRPr="00185026" w:rsidRDefault="00B51432">
            <w:pPr>
              <w:pStyle w:val="EmptyLayoutCell"/>
              <w:spacing w:before="60" w:after="60"/>
              <w:rPr>
                <w:rFonts w:ascii="Arial" w:hAnsi="Arial" w:cs="Arial"/>
                <w:sz w:val="18"/>
                <w:szCs w:val="18"/>
              </w:rPr>
            </w:pPr>
            <w:r>
              <w:rPr>
                <w:rFonts w:ascii="Arial" w:hAnsi="Arial" w:cs="Arial"/>
                <w:sz w:val="18"/>
                <w:szCs w:val="18"/>
              </w:rPr>
              <w:t>156</w:t>
            </w:r>
          </w:p>
        </w:tc>
        <w:tc>
          <w:tcPr>
            <w:tcW w:w="801" w:type="dxa"/>
            <w:vAlign w:val="bottom"/>
          </w:tcPr>
          <w:p w14:paraId="7BF4A757" w14:textId="2A3F526E" w:rsidR="00473197" w:rsidRPr="00185026" w:rsidRDefault="00B54FB3">
            <w:pPr>
              <w:pStyle w:val="EmptyLayoutCell"/>
              <w:spacing w:before="60" w:after="60"/>
              <w:rPr>
                <w:rFonts w:ascii="Arial" w:hAnsi="Arial" w:cs="Arial"/>
                <w:sz w:val="18"/>
                <w:szCs w:val="18"/>
              </w:rPr>
            </w:pPr>
            <w:r>
              <w:rPr>
                <w:rFonts w:ascii="Arial" w:hAnsi="Arial" w:cs="Arial"/>
                <w:sz w:val="18"/>
                <w:szCs w:val="18"/>
              </w:rPr>
              <w:t>213</w:t>
            </w:r>
          </w:p>
        </w:tc>
        <w:tc>
          <w:tcPr>
            <w:tcW w:w="800" w:type="dxa"/>
            <w:vAlign w:val="bottom"/>
          </w:tcPr>
          <w:p w14:paraId="73C4C238" w14:textId="4D77E92A" w:rsidR="00473197" w:rsidRPr="00185026" w:rsidRDefault="00F55845">
            <w:pPr>
              <w:pStyle w:val="EmptyLayoutCell"/>
              <w:spacing w:before="60" w:after="60"/>
              <w:rPr>
                <w:rFonts w:ascii="Arial" w:hAnsi="Arial" w:cs="Arial"/>
                <w:sz w:val="18"/>
                <w:szCs w:val="18"/>
              </w:rPr>
            </w:pPr>
            <w:r>
              <w:rPr>
                <w:rFonts w:ascii="Arial" w:hAnsi="Arial" w:cs="Arial"/>
                <w:sz w:val="18"/>
                <w:szCs w:val="18"/>
              </w:rPr>
              <w:t>170</w:t>
            </w:r>
          </w:p>
        </w:tc>
        <w:tc>
          <w:tcPr>
            <w:tcW w:w="801" w:type="dxa"/>
            <w:vAlign w:val="bottom"/>
          </w:tcPr>
          <w:p w14:paraId="5E5BC3DF" w14:textId="78A2E0C3" w:rsidR="00473197" w:rsidRPr="00185026" w:rsidRDefault="005310A1">
            <w:pPr>
              <w:pStyle w:val="EmptyLayoutCell"/>
              <w:spacing w:before="60" w:after="60"/>
              <w:rPr>
                <w:rFonts w:ascii="Arial" w:hAnsi="Arial" w:cs="Arial"/>
                <w:sz w:val="18"/>
                <w:szCs w:val="18"/>
              </w:rPr>
            </w:pPr>
            <w:r>
              <w:rPr>
                <w:rFonts w:ascii="Arial" w:hAnsi="Arial" w:cs="Arial"/>
                <w:sz w:val="18"/>
                <w:szCs w:val="18"/>
              </w:rPr>
              <w:t>1</w:t>
            </w:r>
            <w:r w:rsidR="00756117">
              <w:rPr>
                <w:rFonts w:ascii="Arial" w:hAnsi="Arial" w:cs="Arial"/>
                <w:sz w:val="18"/>
                <w:szCs w:val="18"/>
              </w:rPr>
              <w:t>01</w:t>
            </w:r>
          </w:p>
        </w:tc>
        <w:tc>
          <w:tcPr>
            <w:tcW w:w="800" w:type="dxa"/>
            <w:vAlign w:val="bottom"/>
          </w:tcPr>
          <w:p w14:paraId="017620A6" w14:textId="087C7325" w:rsidR="00473197" w:rsidRPr="00185026" w:rsidRDefault="00D73189">
            <w:pPr>
              <w:pStyle w:val="EmptyLayoutCell"/>
              <w:spacing w:before="60" w:after="60"/>
              <w:rPr>
                <w:rFonts w:ascii="Arial" w:hAnsi="Arial" w:cs="Arial"/>
                <w:sz w:val="18"/>
                <w:szCs w:val="18"/>
              </w:rPr>
            </w:pPr>
            <w:r>
              <w:rPr>
                <w:rFonts w:ascii="Arial" w:hAnsi="Arial" w:cs="Arial"/>
                <w:sz w:val="18"/>
                <w:szCs w:val="18"/>
              </w:rPr>
              <w:t>31</w:t>
            </w:r>
          </w:p>
        </w:tc>
        <w:tc>
          <w:tcPr>
            <w:tcW w:w="634" w:type="dxa"/>
            <w:vAlign w:val="bottom"/>
          </w:tcPr>
          <w:p w14:paraId="2BCF4398" w14:textId="0E7B3ED5" w:rsidR="00473197" w:rsidRPr="00185026" w:rsidRDefault="00266B8A">
            <w:pPr>
              <w:pStyle w:val="EmptyLayoutCell"/>
              <w:spacing w:before="60" w:after="60"/>
              <w:rPr>
                <w:rFonts w:ascii="Arial" w:hAnsi="Arial" w:cs="Arial"/>
                <w:sz w:val="18"/>
                <w:szCs w:val="18"/>
              </w:rPr>
            </w:pPr>
            <w:r>
              <w:rPr>
                <w:rFonts w:ascii="Arial" w:hAnsi="Arial" w:cs="Arial"/>
                <w:sz w:val="18"/>
                <w:szCs w:val="18"/>
              </w:rPr>
              <w:t>39</w:t>
            </w:r>
          </w:p>
        </w:tc>
        <w:tc>
          <w:tcPr>
            <w:tcW w:w="967" w:type="dxa"/>
          </w:tcPr>
          <w:p w14:paraId="5A71989B" w14:textId="17A6D94A" w:rsidR="005310A1" w:rsidRDefault="00704063">
            <w:pPr>
              <w:pStyle w:val="EmptyLayoutCell"/>
              <w:spacing w:before="60" w:after="60"/>
              <w:rPr>
                <w:rFonts w:ascii="Arial" w:hAnsi="Arial" w:cs="Arial"/>
                <w:sz w:val="18"/>
                <w:szCs w:val="18"/>
              </w:rPr>
            </w:pPr>
            <w:r>
              <w:rPr>
                <w:rFonts w:ascii="Arial" w:hAnsi="Arial" w:cs="Arial"/>
                <w:sz w:val="18"/>
                <w:szCs w:val="18"/>
              </w:rPr>
              <w:t>57</w:t>
            </w:r>
          </w:p>
        </w:tc>
        <w:tc>
          <w:tcPr>
            <w:tcW w:w="801" w:type="dxa"/>
          </w:tcPr>
          <w:p w14:paraId="7D144242" w14:textId="78745519" w:rsidR="00A657D8" w:rsidRDefault="00D0055A">
            <w:pPr>
              <w:pStyle w:val="EmptyLayoutCell"/>
              <w:spacing w:before="60" w:after="60"/>
              <w:rPr>
                <w:rFonts w:ascii="Arial" w:hAnsi="Arial" w:cs="Arial"/>
                <w:sz w:val="18"/>
                <w:szCs w:val="18"/>
              </w:rPr>
            </w:pPr>
            <w:r>
              <w:rPr>
                <w:rFonts w:ascii="Arial" w:hAnsi="Arial" w:cs="Arial"/>
                <w:sz w:val="18"/>
                <w:szCs w:val="18"/>
              </w:rPr>
              <w:t>792</w:t>
            </w:r>
          </w:p>
        </w:tc>
      </w:tr>
      <w:tr w:rsidR="00473197" w:rsidRPr="00185026" w14:paraId="31D41547" w14:textId="1576EC48" w:rsidTr="00FE2848">
        <w:tc>
          <w:tcPr>
            <w:tcW w:w="1276" w:type="dxa"/>
          </w:tcPr>
          <w:p w14:paraId="23002F57" w14:textId="5EA84D50" w:rsidR="00473197" w:rsidRPr="00185026" w:rsidRDefault="00473197">
            <w:pPr>
              <w:pStyle w:val="EmptyLayoutCell"/>
              <w:spacing w:before="60" w:after="60"/>
              <w:rPr>
                <w:rFonts w:ascii="Arial" w:hAnsi="Arial" w:cs="Arial"/>
                <w:sz w:val="18"/>
                <w:szCs w:val="18"/>
              </w:rPr>
            </w:pPr>
            <w:r w:rsidRPr="00185026">
              <w:rPr>
                <w:rFonts w:ascii="Arial" w:hAnsi="Arial" w:cs="Arial"/>
                <w:sz w:val="18"/>
                <w:szCs w:val="18"/>
              </w:rPr>
              <w:t>Male</w:t>
            </w:r>
          </w:p>
        </w:tc>
        <w:tc>
          <w:tcPr>
            <w:tcW w:w="800" w:type="dxa"/>
            <w:vAlign w:val="bottom"/>
          </w:tcPr>
          <w:p w14:paraId="5924D566" w14:textId="67ED4681" w:rsidR="00473197" w:rsidRPr="00185026" w:rsidRDefault="00D2792F">
            <w:pPr>
              <w:pStyle w:val="EmptyLayoutCell"/>
              <w:spacing w:before="60" w:after="60"/>
              <w:rPr>
                <w:rFonts w:ascii="Arial" w:hAnsi="Arial" w:cs="Arial"/>
                <w:sz w:val="18"/>
                <w:szCs w:val="18"/>
              </w:rPr>
            </w:pPr>
            <w:r>
              <w:rPr>
                <w:rFonts w:ascii="Arial" w:hAnsi="Arial" w:cs="Arial"/>
                <w:sz w:val="18"/>
                <w:szCs w:val="18"/>
              </w:rPr>
              <w:t>1</w:t>
            </w:r>
          </w:p>
        </w:tc>
        <w:tc>
          <w:tcPr>
            <w:tcW w:w="801" w:type="dxa"/>
            <w:vAlign w:val="bottom"/>
          </w:tcPr>
          <w:p w14:paraId="751B9E1E" w14:textId="20293BE1" w:rsidR="00473197" w:rsidRPr="00185026" w:rsidRDefault="00995EE0">
            <w:pPr>
              <w:pStyle w:val="EmptyLayoutCell"/>
              <w:spacing w:before="60" w:after="60"/>
              <w:rPr>
                <w:rFonts w:ascii="Arial" w:hAnsi="Arial" w:cs="Arial"/>
                <w:sz w:val="18"/>
                <w:szCs w:val="18"/>
              </w:rPr>
            </w:pPr>
            <w:r>
              <w:rPr>
                <w:rFonts w:ascii="Arial" w:hAnsi="Arial" w:cs="Arial"/>
                <w:sz w:val="18"/>
                <w:szCs w:val="18"/>
              </w:rPr>
              <w:t>12</w:t>
            </w:r>
          </w:p>
        </w:tc>
        <w:tc>
          <w:tcPr>
            <w:tcW w:w="800" w:type="dxa"/>
            <w:vAlign w:val="bottom"/>
          </w:tcPr>
          <w:p w14:paraId="3F8DCC99" w14:textId="0E8FD375" w:rsidR="00473197" w:rsidRPr="00185026" w:rsidRDefault="00DA345F">
            <w:pPr>
              <w:pStyle w:val="EmptyLayoutCell"/>
              <w:spacing w:before="60" w:after="60"/>
              <w:rPr>
                <w:rFonts w:ascii="Arial" w:hAnsi="Arial" w:cs="Arial"/>
                <w:sz w:val="18"/>
                <w:szCs w:val="18"/>
              </w:rPr>
            </w:pPr>
            <w:r>
              <w:rPr>
                <w:rFonts w:ascii="Arial" w:hAnsi="Arial" w:cs="Arial"/>
                <w:sz w:val="18"/>
                <w:szCs w:val="18"/>
              </w:rPr>
              <w:t>154</w:t>
            </w:r>
          </w:p>
        </w:tc>
        <w:tc>
          <w:tcPr>
            <w:tcW w:w="801" w:type="dxa"/>
            <w:vAlign w:val="bottom"/>
          </w:tcPr>
          <w:p w14:paraId="3DEEF268" w14:textId="68F6FDE1" w:rsidR="00473197" w:rsidRPr="00185026" w:rsidRDefault="00B54FB3">
            <w:pPr>
              <w:pStyle w:val="EmptyLayoutCell"/>
              <w:spacing w:before="60" w:after="60"/>
              <w:rPr>
                <w:rFonts w:ascii="Arial" w:hAnsi="Arial" w:cs="Arial"/>
                <w:sz w:val="18"/>
                <w:szCs w:val="18"/>
              </w:rPr>
            </w:pPr>
            <w:r>
              <w:rPr>
                <w:rFonts w:ascii="Arial" w:hAnsi="Arial" w:cs="Arial"/>
                <w:sz w:val="18"/>
                <w:szCs w:val="18"/>
              </w:rPr>
              <w:t>192</w:t>
            </w:r>
          </w:p>
        </w:tc>
        <w:tc>
          <w:tcPr>
            <w:tcW w:w="800" w:type="dxa"/>
            <w:vAlign w:val="bottom"/>
          </w:tcPr>
          <w:p w14:paraId="12D65E0B" w14:textId="2C3FB9EB" w:rsidR="00473197" w:rsidRPr="00185026" w:rsidRDefault="00756117">
            <w:pPr>
              <w:pStyle w:val="EmptyLayoutCell"/>
              <w:spacing w:before="60" w:after="60"/>
              <w:rPr>
                <w:rFonts w:ascii="Arial" w:hAnsi="Arial" w:cs="Arial"/>
                <w:sz w:val="18"/>
                <w:szCs w:val="18"/>
              </w:rPr>
            </w:pPr>
            <w:r>
              <w:rPr>
                <w:rFonts w:ascii="Arial" w:hAnsi="Arial" w:cs="Arial"/>
                <w:sz w:val="18"/>
                <w:szCs w:val="18"/>
              </w:rPr>
              <w:t>239</w:t>
            </w:r>
          </w:p>
        </w:tc>
        <w:tc>
          <w:tcPr>
            <w:tcW w:w="801" w:type="dxa"/>
            <w:vAlign w:val="bottom"/>
          </w:tcPr>
          <w:p w14:paraId="44E292CE" w14:textId="55835532" w:rsidR="00473197" w:rsidRPr="00185026" w:rsidRDefault="00756117">
            <w:pPr>
              <w:pStyle w:val="EmptyLayoutCell"/>
              <w:spacing w:before="60" w:after="60"/>
              <w:rPr>
                <w:rFonts w:ascii="Arial" w:hAnsi="Arial" w:cs="Arial"/>
                <w:sz w:val="18"/>
                <w:szCs w:val="18"/>
              </w:rPr>
            </w:pPr>
            <w:r>
              <w:rPr>
                <w:rFonts w:ascii="Arial" w:hAnsi="Arial" w:cs="Arial"/>
                <w:sz w:val="18"/>
                <w:szCs w:val="18"/>
              </w:rPr>
              <w:t>171</w:t>
            </w:r>
          </w:p>
        </w:tc>
        <w:tc>
          <w:tcPr>
            <w:tcW w:w="800" w:type="dxa"/>
            <w:vAlign w:val="bottom"/>
          </w:tcPr>
          <w:p w14:paraId="4326B543" w14:textId="1A77DF1D" w:rsidR="00473197" w:rsidRPr="00185026" w:rsidRDefault="00D73189">
            <w:pPr>
              <w:pStyle w:val="EmptyLayoutCell"/>
              <w:spacing w:before="60" w:after="60"/>
              <w:rPr>
                <w:rFonts w:ascii="Arial" w:hAnsi="Arial" w:cs="Arial"/>
                <w:sz w:val="18"/>
                <w:szCs w:val="18"/>
              </w:rPr>
            </w:pPr>
            <w:r>
              <w:rPr>
                <w:rFonts w:ascii="Arial" w:hAnsi="Arial" w:cs="Arial"/>
                <w:sz w:val="18"/>
                <w:szCs w:val="18"/>
              </w:rPr>
              <w:t>8</w:t>
            </w:r>
            <w:r w:rsidR="00266B8A">
              <w:rPr>
                <w:rFonts w:ascii="Arial" w:hAnsi="Arial" w:cs="Arial"/>
                <w:sz w:val="18"/>
                <w:szCs w:val="18"/>
              </w:rPr>
              <w:t>6</w:t>
            </w:r>
          </w:p>
        </w:tc>
        <w:tc>
          <w:tcPr>
            <w:tcW w:w="634" w:type="dxa"/>
            <w:vAlign w:val="bottom"/>
          </w:tcPr>
          <w:p w14:paraId="3F04AFAB" w14:textId="39E23A32" w:rsidR="00473197" w:rsidRPr="00185026" w:rsidRDefault="00266B8A">
            <w:pPr>
              <w:pStyle w:val="EmptyLayoutCell"/>
              <w:spacing w:before="60" w:after="60"/>
              <w:rPr>
                <w:rFonts w:ascii="Arial" w:hAnsi="Arial" w:cs="Arial"/>
                <w:sz w:val="18"/>
                <w:szCs w:val="18"/>
              </w:rPr>
            </w:pPr>
            <w:r>
              <w:rPr>
                <w:rFonts w:ascii="Arial" w:hAnsi="Arial" w:cs="Arial"/>
                <w:sz w:val="18"/>
                <w:szCs w:val="18"/>
              </w:rPr>
              <w:t>58</w:t>
            </w:r>
          </w:p>
        </w:tc>
        <w:tc>
          <w:tcPr>
            <w:tcW w:w="967" w:type="dxa"/>
          </w:tcPr>
          <w:p w14:paraId="5BF07D77" w14:textId="13C730C1" w:rsidR="005310A1" w:rsidRDefault="00EC208E">
            <w:pPr>
              <w:pStyle w:val="EmptyLayoutCell"/>
              <w:spacing w:before="60" w:after="60"/>
              <w:rPr>
                <w:rFonts w:ascii="Arial" w:hAnsi="Arial" w:cs="Arial"/>
                <w:sz w:val="18"/>
                <w:szCs w:val="18"/>
              </w:rPr>
            </w:pPr>
            <w:r>
              <w:rPr>
                <w:rFonts w:ascii="Arial" w:hAnsi="Arial" w:cs="Arial"/>
                <w:sz w:val="18"/>
                <w:szCs w:val="18"/>
              </w:rPr>
              <w:t>14</w:t>
            </w:r>
          </w:p>
        </w:tc>
        <w:tc>
          <w:tcPr>
            <w:tcW w:w="801" w:type="dxa"/>
          </w:tcPr>
          <w:p w14:paraId="3239F138" w14:textId="7BFFC0A7" w:rsidR="00A657D8" w:rsidRDefault="00E4247D">
            <w:pPr>
              <w:pStyle w:val="EmptyLayoutCell"/>
              <w:spacing w:before="60" w:after="60"/>
              <w:rPr>
                <w:rFonts w:ascii="Arial" w:hAnsi="Arial" w:cs="Arial"/>
                <w:sz w:val="18"/>
                <w:szCs w:val="18"/>
              </w:rPr>
            </w:pPr>
            <w:r>
              <w:rPr>
                <w:rFonts w:ascii="Arial" w:hAnsi="Arial" w:cs="Arial"/>
                <w:sz w:val="18"/>
                <w:szCs w:val="18"/>
              </w:rPr>
              <w:t>927</w:t>
            </w:r>
          </w:p>
        </w:tc>
      </w:tr>
      <w:tr w:rsidR="00473197" w:rsidRPr="00185026" w14:paraId="0E841F50" w14:textId="193848A7" w:rsidTr="00FE2848">
        <w:tc>
          <w:tcPr>
            <w:tcW w:w="1276" w:type="dxa"/>
          </w:tcPr>
          <w:p w14:paraId="30411CAF" w14:textId="39F476C4" w:rsidR="00473197" w:rsidRPr="00185026" w:rsidRDefault="005310A1">
            <w:pPr>
              <w:pStyle w:val="EmptyLayoutCell"/>
              <w:spacing w:before="60" w:after="60"/>
              <w:rPr>
                <w:rFonts w:ascii="Arial" w:hAnsi="Arial" w:cs="Arial"/>
                <w:sz w:val="18"/>
                <w:szCs w:val="18"/>
              </w:rPr>
            </w:pPr>
            <w:r w:rsidRPr="00185026">
              <w:rPr>
                <w:rFonts w:ascii="Arial" w:hAnsi="Arial" w:cs="Arial"/>
                <w:sz w:val="18"/>
                <w:szCs w:val="18"/>
              </w:rPr>
              <w:t>Other</w:t>
            </w:r>
          </w:p>
        </w:tc>
        <w:tc>
          <w:tcPr>
            <w:tcW w:w="800" w:type="dxa"/>
            <w:vAlign w:val="bottom"/>
          </w:tcPr>
          <w:p w14:paraId="4CF641E3" w14:textId="6AF19BE4" w:rsidR="00473197" w:rsidRPr="00185026" w:rsidRDefault="00792A06">
            <w:pPr>
              <w:pStyle w:val="EmptyLayoutCell"/>
              <w:spacing w:before="60" w:after="60"/>
              <w:rPr>
                <w:rFonts w:ascii="Arial" w:hAnsi="Arial" w:cs="Arial"/>
                <w:sz w:val="18"/>
                <w:szCs w:val="18"/>
              </w:rPr>
            </w:pPr>
            <w:r>
              <w:rPr>
                <w:rFonts w:ascii="Arial" w:hAnsi="Arial" w:cs="Arial"/>
                <w:sz w:val="18"/>
                <w:szCs w:val="18"/>
              </w:rPr>
              <w:t>0</w:t>
            </w:r>
          </w:p>
        </w:tc>
        <w:tc>
          <w:tcPr>
            <w:tcW w:w="801" w:type="dxa"/>
            <w:vAlign w:val="bottom"/>
          </w:tcPr>
          <w:p w14:paraId="1E4A72EA" w14:textId="598EA67A" w:rsidR="00473197" w:rsidRPr="00185026" w:rsidRDefault="00B51432">
            <w:pPr>
              <w:pStyle w:val="EmptyLayoutCell"/>
              <w:spacing w:before="60" w:after="60"/>
              <w:rPr>
                <w:rFonts w:ascii="Arial" w:hAnsi="Arial" w:cs="Arial"/>
                <w:sz w:val="18"/>
                <w:szCs w:val="18"/>
              </w:rPr>
            </w:pPr>
            <w:r>
              <w:rPr>
                <w:rFonts w:ascii="Arial" w:hAnsi="Arial" w:cs="Arial"/>
                <w:sz w:val="18"/>
                <w:szCs w:val="18"/>
              </w:rPr>
              <w:t>1</w:t>
            </w:r>
          </w:p>
        </w:tc>
        <w:tc>
          <w:tcPr>
            <w:tcW w:w="800" w:type="dxa"/>
            <w:vAlign w:val="bottom"/>
          </w:tcPr>
          <w:p w14:paraId="29273F7E" w14:textId="285DAE1E" w:rsidR="00473197" w:rsidRPr="00185026" w:rsidRDefault="004D0724">
            <w:pPr>
              <w:pStyle w:val="EmptyLayoutCell"/>
              <w:spacing w:before="60" w:after="60"/>
              <w:rPr>
                <w:rFonts w:ascii="Arial" w:hAnsi="Arial" w:cs="Arial"/>
                <w:sz w:val="18"/>
                <w:szCs w:val="18"/>
              </w:rPr>
            </w:pPr>
            <w:r>
              <w:rPr>
                <w:rFonts w:ascii="Arial" w:hAnsi="Arial" w:cs="Arial"/>
                <w:sz w:val="18"/>
                <w:szCs w:val="18"/>
              </w:rPr>
              <w:t>2</w:t>
            </w:r>
          </w:p>
        </w:tc>
        <w:tc>
          <w:tcPr>
            <w:tcW w:w="801" w:type="dxa"/>
            <w:vAlign w:val="bottom"/>
          </w:tcPr>
          <w:p w14:paraId="61BB9F5C" w14:textId="6ECCDD72" w:rsidR="00473197" w:rsidRPr="00185026" w:rsidRDefault="00B54FB3">
            <w:pPr>
              <w:pStyle w:val="EmptyLayoutCell"/>
              <w:spacing w:before="60" w:after="60"/>
              <w:rPr>
                <w:rFonts w:ascii="Arial" w:hAnsi="Arial" w:cs="Arial"/>
                <w:sz w:val="18"/>
                <w:szCs w:val="18"/>
              </w:rPr>
            </w:pPr>
            <w:r>
              <w:rPr>
                <w:rFonts w:ascii="Arial" w:hAnsi="Arial" w:cs="Arial"/>
                <w:sz w:val="18"/>
                <w:szCs w:val="18"/>
              </w:rPr>
              <w:t>1</w:t>
            </w:r>
          </w:p>
        </w:tc>
        <w:tc>
          <w:tcPr>
            <w:tcW w:w="800" w:type="dxa"/>
            <w:vAlign w:val="bottom"/>
          </w:tcPr>
          <w:p w14:paraId="75DD7D69" w14:textId="51F677EF" w:rsidR="00473197" w:rsidRPr="00185026" w:rsidRDefault="00792A06">
            <w:pPr>
              <w:pStyle w:val="EmptyLayoutCell"/>
              <w:spacing w:before="60" w:after="60"/>
              <w:rPr>
                <w:rFonts w:ascii="Arial" w:hAnsi="Arial" w:cs="Arial"/>
                <w:sz w:val="18"/>
                <w:szCs w:val="18"/>
              </w:rPr>
            </w:pPr>
            <w:r>
              <w:rPr>
                <w:rFonts w:ascii="Arial" w:hAnsi="Arial" w:cs="Arial"/>
                <w:sz w:val="18"/>
                <w:szCs w:val="18"/>
              </w:rPr>
              <w:t>0</w:t>
            </w:r>
          </w:p>
        </w:tc>
        <w:tc>
          <w:tcPr>
            <w:tcW w:w="801" w:type="dxa"/>
            <w:vAlign w:val="bottom"/>
          </w:tcPr>
          <w:p w14:paraId="4D21220D" w14:textId="7763DA45" w:rsidR="00473197" w:rsidRPr="00185026" w:rsidRDefault="00792A06">
            <w:pPr>
              <w:pStyle w:val="EmptyLayoutCell"/>
              <w:spacing w:before="60" w:after="60"/>
              <w:rPr>
                <w:rFonts w:ascii="Arial" w:hAnsi="Arial" w:cs="Arial"/>
                <w:sz w:val="18"/>
                <w:szCs w:val="18"/>
              </w:rPr>
            </w:pPr>
            <w:r>
              <w:rPr>
                <w:rFonts w:ascii="Arial" w:hAnsi="Arial" w:cs="Arial"/>
                <w:sz w:val="18"/>
                <w:szCs w:val="18"/>
              </w:rPr>
              <w:t>0</w:t>
            </w:r>
          </w:p>
        </w:tc>
        <w:tc>
          <w:tcPr>
            <w:tcW w:w="800" w:type="dxa"/>
            <w:vAlign w:val="bottom"/>
          </w:tcPr>
          <w:p w14:paraId="0B241EC6" w14:textId="21E44AF6" w:rsidR="00473197" w:rsidRPr="00185026" w:rsidRDefault="00266B8A">
            <w:pPr>
              <w:pStyle w:val="EmptyLayoutCell"/>
              <w:spacing w:before="60" w:after="60"/>
              <w:rPr>
                <w:rFonts w:ascii="Arial" w:hAnsi="Arial" w:cs="Arial"/>
                <w:sz w:val="18"/>
                <w:szCs w:val="18"/>
              </w:rPr>
            </w:pPr>
            <w:r>
              <w:rPr>
                <w:rFonts w:ascii="Arial" w:hAnsi="Arial" w:cs="Arial"/>
                <w:sz w:val="18"/>
                <w:szCs w:val="18"/>
              </w:rPr>
              <w:t>3</w:t>
            </w:r>
          </w:p>
        </w:tc>
        <w:tc>
          <w:tcPr>
            <w:tcW w:w="634" w:type="dxa"/>
            <w:vAlign w:val="bottom"/>
          </w:tcPr>
          <w:p w14:paraId="03BD4170" w14:textId="77777777" w:rsidR="00473197" w:rsidRPr="00185026" w:rsidRDefault="00473197">
            <w:pPr>
              <w:pStyle w:val="EmptyLayoutCell"/>
              <w:spacing w:before="60" w:after="60"/>
              <w:rPr>
                <w:rFonts w:ascii="Arial" w:hAnsi="Arial" w:cs="Arial"/>
                <w:sz w:val="18"/>
                <w:szCs w:val="18"/>
              </w:rPr>
            </w:pPr>
            <w:r>
              <w:rPr>
                <w:rFonts w:ascii="Arial" w:hAnsi="Arial" w:cs="Arial"/>
                <w:sz w:val="18"/>
                <w:szCs w:val="18"/>
              </w:rPr>
              <w:t>0</w:t>
            </w:r>
          </w:p>
        </w:tc>
        <w:tc>
          <w:tcPr>
            <w:tcW w:w="967" w:type="dxa"/>
          </w:tcPr>
          <w:p w14:paraId="42D92060" w14:textId="4CB99016" w:rsidR="005310A1" w:rsidRDefault="00792A06">
            <w:pPr>
              <w:pStyle w:val="EmptyLayoutCell"/>
              <w:spacing w:before="60" w:after="60"/>
              <w:rPr>
                <w:rFonts w:ascii="Arial" w:hAnsi="Arial" w:cs="Arial"/>
                <w:sz w:val="18"/>
                <w:szCs w:val="18"/>
              </w:rPr>
            </w:pPr>
            <w:r>
              <w:rPr>
                <w:rFonts w:ascii="Arial" w:hAnsi="Arial" w:cs="Arial"/>
                <w:sz w:val="18"/>
                <w:szCs w:val="18"/>
              </w:rPr>
              <w:t>0</w:t>
            </w:r>
          </w:p>
        </w:tc>
        <w:tc>
          <w:tcPr>
            <w:tcW w:w="801" w:type="dxa"/>
          </w:tcPr>
          <w:p w14:paraId="7C8BB581" w14:textId="1D8EBEB5" w:rsidR="00A657D8" w:rsidRDefault="00E4247D">
            <w:pPr>
              <w:pStyle w:val="EmptyLayoutCell"/>
              <w:spacing w:before="60" w:after="60"/>
              <w:rPr>
                <w:rFonts w:ascii="Arial" w:hAnsi="Arial" w:cs="Arial"/>
                <w:sz w:val="18"/>
                <w:szCs w:val="18"/>
              </w:rPr>
            </w:pPr>
            <w:r>
              <w:rPr>
                <w:rFonts w:ascii="Arial" w:hAnsi="Arial" w:cs="Arial"/>
                <w:sz w:val="18"/>
                <w:szCs w:val="18"/>
              </w:rPr>
              <w:t>7</w:t>
            </w:r>
          </w:p>
        </w:tc>
      </w:tr>
      <w:tr w:rsidR="00E04BD9" w:rsidRPr="00185026" w14:paraId="12A9BC8F" w14:textId="7EE68D98" w:rsidTr="00FE2848">
        <w:tc>
          <w:tcPr>
            <w:tcW w:w="1276" w:type="dxa"/>
          </w:tcPr>
          <w:p w14:paraId="14CC90F9" w14:textId="062B38F2" w:rsidR="00E04BD9" w:rsidRPr="00185026" w:rsidRDefault="007F562F">
            <w:pPr>
              <w:pStyle w:val="EmptyLayoutCell"/>
              <w:spacing w:before="60" w:after="60"/>
              <w:rPr>
                <w:rFonts w:ascii="Arial" w:hAnsi="Arial" w:cs="Arial"/>
                <w:sz w:val="18"/>
                <w:szCs w:val="18"/>
              </w:rPr>
            </w:pPr>
            <w:r>
              <w:rPr>
                <w:rFonts w:ascii="Arial" w:hAnsi="Arial" w:cs="Arial"/>
                <w:sz w:val="18"/>
                <w:szCs w:val="18"/>
              </w:rPr>
              <w:t>Unknown</w:t>
            </w:r>
          </w:p>
        </w:tc>
        <w:tc>
          <w:tcPr>
            <w:tcW w:w="800" w:type="dxa"/>
            <w:vAlign w:val="bottom"/>
          </w:tcPr>
          <w:p w14:paraId="06E25177" w14:textId="05D98220"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801" w:type="dxa"/>
            <w:vAlign w:val="bottom"/>
          </w:tcPr>
          <w:p w14:paraId="335BEDC4" w14:textId="0461A8D8"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800" w:type="dxa"/>
            <w:vAlign w:val="bottom"/>
          </w:tcPr>
          <w:p w14:paraId="68BD4022" w14:textId="3197282F"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801" w:type="dxa"/>
            <w:vAlign w:val="bottom"/>
          </w:tcPr>
          <w:p w14:paraId="3F524094" w14:textId="0EED5204"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800" w:type="dxa"/>
            <w:vAlign w:val="bottom"/>
          </w:tcPr>
          <w:p w14:paraId="51843AA4" w14:textId="41702D1C"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801" w:type="dxa"/>
            <w:vAlign w:val="bottom"/>
          </w:tcPr>
          <w:p w14:paraId="58CA8D5A" w14:textId="7B2ECF3B" w:rsidR="00E04BD9" w:rsidRDefault="00756117">
            <w:pPr>
              <w:pStyle w:val="EmptyLayoutCell"/>
              <w:spacing w:before="60" w:after="60"/>
              <w:rPr>
                <w:rFonts w:ascii="Arial" w:hAnsi="Arial" w:cs="Arial"/>
                <w:sz w:val="18"/>
                <w:szCs w:val="18"/>
              </w:rPr>
            </w:pPr>
            <w:r>
              <w:rPr>
                <w:rFonts w:ascii="Arial" w:hAnsi="Arial" w:cs="Arial"/>
                <w:sz w:val="18"/>
                <w:szCs w:val="18"/>
              </w:rPr>
              <w:t>2</w:t>
            </w:r>
          </w:p>
        </w:tc>
        <w:tc>
          <w:tcPr>
            <w:tcW w:w="800" w:type="dxa"/>
            <w:vAlign w:val="bottom"/>
          </w:tcPr>
          <w:p w14:paraId="6D9DA57C" w14:textId="077F53DB"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634" w:type="dxa"/>
            <w:vAlign w:val="bottom"/>
          </w:tcPr>
          <w:p w14:paraId="53E2868C" w14:textId="3AC0B361" w:rsidR="00E04BD9" w:rsidRDefault="00792A06">
            <w:pPr>
              <w:pStyle w:val="EmptyLayoutCell"/>
              <w:spacing w:before="60" w:after="60"/>
              <w:rPr>
                <w:rFonts w:ascii="Arial" w:hAnsi="Arial" w:cs="Arial"/>
                <w:sz w:val="18"/>
                <w:szCs w:val="18"/>
              </w:rPr>
            </w:pPr>
            <w:r>
              <w:rPr>
                <w:rFonts w:ascii="Arial" w:hAnsi="Arial" w:cs="Arial"/>
                <w:sz w:val="18"/>
                <w:szCs w:val="18"/>
              </w:rPr>
              <w:t>0</w:t>
            </w:r>
          </w:p>
        </w:tc>
        <w:tc>
          <w:tcPr>
            <w:tcW w:w="967" w:type="dxa"/>
          </w:tcPr>
          <w:p w14:paraId="3450967B" w14:textId="691B9CBF" w:rsidR="00E04BD9" w:rsidRDefault="00E31323">
            <w:pPr>
              <w:pStyle w:val="EmptyLayoutCell"/>
              <w:spacing w:before="60" w:after="60"/>
              <w:rPr>
                <w:rFonts w:ascii="Arial" w:hAnsi="Arial" w:cs="Arial"/>
                <w:sz w:val="18"/>
                <w:szCs w:val="18"/>
              </w:rPr>
            </w:pPr>
            <w:r>
              <w:rPr>
                <w:rFonts w:ascii="Arial" w:hAnsi="Arial" w:cs="Arial"/>
                <w:sz w:val="18"/>
                <w:szCs w:val="18"/>
              </w:rPr>
              <w:t>36</w:t>
            </w:r>
          </w:p>
        </w:tc>
        <w:tc>
          <w:tcPr>
            <w:tcW w:w="801" w:type="dxa"/>
          </w:tcPr>
          <w:p w14:paraId="380D6F4A" w14:textId="3B2CFEA0" w:rsidR="00A657D8" w:rsidRDefault="00E4247D">
            <w:pPr>
              <w:pStyle w:val="EmptyLayoutCell"/>
              <w:spacing w:before="60" w:after="60"/>
              <w:rPr>
                <w:rFonts w:ascii="Arial" w:hAnsi="Arial" w:cs="Arial"/>
                <w:sz w:val="18"/>
                <w:szCs w:val="18"/>
              </w:rPr>
            </w:pPr>
            <w:r>
              <w:rPr>
                <w:rFonts w:ascii="Arial" w:hAnsi="Arial" w:cs="Arial"/>
                <w:sz w:val="18"/>
                <w:szCs w:val="18"/>
              </w:rPr>
              <w:t>38</w:t>
            </w:r>
          </w:p>
        </w:tc>
      </w:tr>
      <w:tr w:rsidR="00E4247D" w:rsidRPr="00185026" w14:paraId="54827B00" w14:textId="77777777" w:rsidTr="00FE2848">
        <w:tc>
          <w:tcPr>
            <w:tcW w:w="1276" w:type="dxa"/>
          </w:tcPr>
          <w:p w14:paraId="5FB45094" w14:textId="71BDC631" w:rsidR="00E4247D" w:rsidRPr="00F802EB" w:rsidRDefault="00E4247D">
            <w:pPr>
              <w:pStyle w:val="EmptyLayoutCell"/>
              <w:spacing w:before="60" w:after="60"/>
              <w:rPr>
                <w:rFonts w:ascii="Arial" w:hAnsi="Arial" w:cs="Arial"/>
                <w:b/>
                <w:bCs/>
                <w:sz w:val="18"/>
                <w:szCs w:val="18"/>
              </w:rPr>
            </w:pPr>
            <w:r w:rsidRPr="00F802EB">
              <w:rPr>
                <w:rFonts w:ascii="Arial" w:hAnsi="Arial" w:cs="Arial"/>
                <w:b/>
                <w:bCs/>
                <w:sz w:val="18"/>
                <w:szCs w:val="18"/>
              </w:rPr>
              <w:t>Total</w:t>
            </w:r>
          </w:p>
        </w:tc>
        <w:tc>
          <w:tcPr>
            <w:tcW w:w="800" w:type="dxa"/>
            <w:vAlign w:val="bottom"/>
          </w:tcPr>
          <w:p w14:paraId="23841ECD" w14:textId="18692D0E" w:rsidR="00E4247D" w:rsidRPr="00F802EB" w:rsidRDefault="00E4247D">
            <w:pPr>
              <w:pStyle w:val="EmptyLayoutCell"/>
              <w:spacing w:before="60" w:after="60"/>
              <w:rPr>
                <w:rFonts w:ascii="Arial" w:hAnsi="Arial" w:cs="Arial"/>
                <w:b/>
                <w:bCs/>
                <w:sz w:val="18"/>
                <w:szCs w:val="18"/>
              </w:rPr>
            </w:pPr>
            <w:r w:rsidRPr="00F802EB">
              <w:rPr>
                <w:rFonts w:ascii="Arial" w:hAnsi="Arial" w:cs="Arial"/>
                <w:b/>
                <w:bCs/>
                <w:sz w:val="18"/>
                <w:szCs w:val="18"/>
              </w:rPr>
              <w:t>3</w:t>
            </w:r>
          </w:p>
        </w:tc>
        <w:tc>
          <w:tcPr>
            <w:tcW w:w="801" w:type="dxa"/>
            <w:vAlign w:val="bottom"/>
          </w:tcPr>
          <w:p w14:paraId="1E9E5A91" w14:textId="39211B0A" w:rsidR="00E4247D" w:rsidRPr="00F802EB" w:rsidRDefault="005F76AB">
            <w:pPr>
              <w:pStyle w:val="EmptyLayoutCell"/>
              <w:spacing w:before="60" w:after="60"/>
              <w:rPr>
                <w:rFonts w:ascii="Arial" w:hAnsi="Arial" w:cs="Arial"/>
                <w:b/>
                <w:bCs/>
                <w:sz w:val="18"/>
                <w:szCs w:val="18"/>
              </w:rPr>
            </w:pPr>
            <w:r w:rsidRPr="00F802EB">
              <w:rPr>
                <w:rFonts w:ascii="Arial" w:hAnsi="Arial" w:cs="Arial"/>
                <w:b/>
                <w:bCs/>
                <w:sz w:val="18"/>
                <w:szCs w:val="18"/>
              </w:rPr>
              <w:t>36</w:t>
            </w:r>
          </w:p>
        </w:tc>
        <w:tc>
          <w:tcPr>
            <w:tcW w:w="800" w:type="dxa"/>
            <w:vAlign w:val="bottom"/>
          </w:tcPr>
          <w:p w14:paraId="3C053A14" w14:textId="4183D365" w:rsidR="00E4247D" w:rsidRPr="00F802EB" w:rsidRDefault="001A7042">
            <w:pPr>
              <w:pStyle w:val="EmptyLayoutCell"/>
              <w:spacing w:before="60" w:after="60"/>
              <w:rPr>
                <w:rFonts w:ascii="Arial" w:hAnsi="Arial" w:cs="Arial"/>
                <w:b/>
                <w:bCs/>
                <w:sz w:val="18"/>
                <w:szCs w:val="18"/>
              </w:rPr>
            </w:pPr>
            <w:r w:rsidRPr="00F802EB">
              <w:rPr>
                <w:rFonts w:ascii="Arial" w:hAnsi="Arial" w:cs="Arial"/>
                <w:b/>
                <w:bCs/>
                <w:sz w:val="18"/>
                <w:szCs w:val="18"/>
              </w:rPr>
              <w:t>312</w:t>
            </w:r>
          </w:p>
        </w:tc>
        <w:tc>
          <w:tcPr>
            <w:tcW w:w="801" w:type="dxa"/>
            <w:vAlign w:val="bottom"/>
          </w:tcPr>
          <w:p w14:paraId="2F91DD18" w14:textId="449B77E5" w:rsidR="00E4247D" w:rsidRPr="00F802EB" w:rsidRDefault="009A1048">
            <w:pPr>
              <w:pStyle w:val="EmptyLayoutCell"/>
              <w:spacing w:before="60" w:after="60"/>
              <w:rPr>
                <w:rFonts w:ascii="Arial" w:hAnsi="Arial" w:cs="Arial"/>
                <w:b/>
                <w:bCs/>
                <w:sz w:val="18"/>
                <w:szCs w:val="18"/>
              </w:rPr>
            </w:pPr>
            <w:r w:rsidRPr="00F802EB">
              <w:rPr>
                <w:rFonts w:ascii="Arial" w:hAnsi="Arial" w:cs="Arial"/>
                <w:b/>
                <w:bCs/>
                <w:sz w:val="18"/>
                <w:szCs w:val="18"/>
              </w:rPr>
              <w:t>406</w:t>
            </w:r>
          </w:p>
        </w:tc>
        <w:tc>
          <w:tcPr>
            <w:tcW w:w="800" w:type="dxa"/>
            <w:vAlign w:val="bottom"/>
          </w:tcPr>
          <w:p w14:paraId="09DBB4AB" w14:textId="2A06872D" w:rsidR="00E4247D" w:rsidRPr="00F802EB" w:rsidRDefault="008508EE">
            <w:pPr>
              <w:pStyle w:val="EmptyLayoutCell"/>
              <w:spacing w:before="60" w:after="60"/>
              <w:rPr>
                <w:rFonts w:ascii="Arial" w:hAnsi="Arial" w:cs="Arial"/>
                <w:b/>
                <w:bCs/>
                <w:sz w:val="18"/>
                <w:szCs w:val="18"/>
              </w:rPr>
            </w:pPr>
            <w:r w:rsidRPr="00F802EB">
              <w:rPr>
                <w:rFonts w:ascii="Arial" w:hAnsi="Arial" w:cs="Arial"/>
                <w:b/>
                <w:bCs/>
                <w:sz w:val="18"/>
                <w:szCs w:val="18"/>
              </w:rPr>
              <w:t>409</w:t>
            </w:r>
          </w:p>
        </w:tc>
        <w:tc>
          <w:tcPr>
            <w:tcW w:w="801" w:type="dxa"/>
            <w:vAlign w:val="bottom"/>
          </w:tcPr>
          <w:p w14:paraId="4CAEBA85" w14:textId="4FE7DFA2" w:rsidR="00E4247D" w:rsidRPr="00F802EB" w:rsidRDefault="00294EA6">
            <w:pPr>
              <w:pStyle w:val="EmptyLayoutCell"/>
              <w:spacing w:before="60" w:after="60"/>
              <w:rPr>
                <w:rFonts w:ascii="Arial" w:hAnsi="Arial" w:cs="Arial"/>
                <w:b/>
                <w:bCs/>
                <w:sz w:val="18"/>
                <w:szCs w:val="18"/>
              </w:rPr>
            </w:pPr>
            <w:r w:rsidRPr="00F802EB">
              <w:rPr>
                <w:rFonts w:ascii="Arial" w:hAnsi="Arial" w:cs="Arial"/>
                <w:b/>
                <w:bCs/>
                <w:sz w:val="18"/>
                <w:szCs w:val="18"/>
              </w:rPr>
              <w:t>274</w:t>
            </w:r>
          </w:p>
        </w:tc>
        <w:tc>
          <w:tcPr>
            <w:tcW w:w="800" w:type="dxa"/>
            <w:vAlign w:val="bottom"/>
          </w:tcPr>
          <w:p w14:paraId="66365535" w14:textId="0D809FCE" w:rsidR="00E4247D" w:rsidRPr="00F802EB" w:rsidRDefault="003C7C1E">
            <w:pPr>
              <w:pStyle w:val="EmptyLayoutCell"/>
              <w:spacing w:before="60" w:after="60"/>
              <w:rPr>
                <w:rFonts w:ascii="Arial" w:hAnsi="Arial" w:cs="Arial"/>
                <w:b/>
                <w:bCs/>
                <w:sz w:val="18"/>
                <w:szCs w:val="18"/>
              </w:rPr>
            </w:pPr>
            <w:r w:rsidRPr="00F802EB">
              <w:rPr>
                <w:rFonts w:ascii="Arial" w:hAnsi="Arial" w:cs="Arial"/>
                <w:b/>
                <w:bCs/>
                <w:sz w:val="18"/>
                <w:szCs w:val="18"/>
              </w:rPr>
              <w:t>120</w:t>
            </w:r>
          </w:p>
        </w:tc>
        <w:tc>
          <w:tcPr>
            <w:tcW w:w="634" w:type="dxa"/>
            <w:vAlign w:val="bottom"/>
          </w:tcPr>
          <w:p w14:paraId="4D6FCABD" w14:textId="32C724C7" w:rsidR="00E4247D" w:rsidRPr="00F802EB" w:rsidRDefault="006C42C4">
            <w:pPr>
              <w:pStyle w:val="EmptyLayoutCell"/>
              <w:spacing w:before="60" w:after="60"/>
              <w:rPr>
                <w:rFonts w:ascii="Arial" w:hAnsi="Arial" w:cs="Arial"/>
                <w:b/>
                <w:bCs/>
                <w:sz w:val="18"/>
                <w:szCs w:val="18"/>
              </w:rPr>
            </w:pPr>
            <w:r w:rsidRPr="00F802EB">
              <w:rPr>
                <w:rFonts w:ascii="Arial" w:hAnsi="Arial" w:cs="Arial"/>
                <w:b/>
                <w:bCs/>
                <w:sz w:val="18"/>
                <w:szCs w:val="18"/>
              </w:rPr>
              <w:t>97</w:t>
            </w:r>
          </w:p>
        </w:tc>
        <w:tc>
          <w:tcPr>
            <w:tcW w:w="967" w:type="dxa"/>
          </w:tcPr>
          <w:p w14:paraId="54C1917F" w14:textId="49E748EA" w:rsidR="00E4247D" w:rsidRPr="00F802EB" w:rsidRDefault="000477EE">
            <w:pPr>
              <w:pStyle w:val="EmptyLayoutCell"/>
              <w:spacing w:before="60" w:after="60"/>
              <w:rPr>
                <w:rFonts w:ascii="Arial" w:hAnsi="Arial" w:cs="Arial"/>
                <w:b/>
                <w:bCs/>
                <w:sz w:val="18"/>
                <w:szCs w:val="18"/>
              </w:rPr>
            </w:pPr>
            <w:r w:rsidRPr="00F802EB">
              <w:rPr>
                <w:rFonts w:ascii="Arial" w:hAnsi="Arial" w:cs="Arial"/>
                <w:b/>
                <w:bCs/>
                <w:sz w:val="18"/>
                <w:szCs w:val="18"/>
              </w:rPr>
              <w:t>107</w:t>
            </w:r>
          </w:p>
        </w:tc>
        <w:tc>
          <w:tcPr>
            <w:tcW w:w="801" w:type="dxa"/>
          </w:tcPr>
          <w:p w14:paraId="20F79100" w14:textId="3C9C40D0" w:rsidR="00E4247D" w:rsidRPr="00F802EB" w:rsidRDefault="00E20483">
            <w:pPr>
              <w:pStyle w:val="EmptyLayoutCell"/>
              <w:spacing w:before="60" w:after="60"/>
              <w:rPr>
                <w:rFonts w:ascii="Arial" w:hAnsi="Arial" w:cs="Arial"/>
                <w:b/>
                <w:bCs/>
                <w:sz w:val="18"/>
                <w:szCs w:val="18"/>
              </w:rPr>
            </w:pPr>
            <w:r w:rsidRPr="00F802EB">
              <w:rPr>
                <w:rFonts w:ascii="Arial" w:hAnsi="Arial" w:cs="Arial"/>
                <w:b/>
                <w:bCs/>
                <w:sz w:val="18"/>
                <w:szCs w:val="18"/>
              </w:rPr>
              <w:t>1</w:t>
            </w:r>
            <w:r w:rsidR="007B5B5D" w:rsidRPr="00F802EB">
              <w:rPr>
                <w:rFonts w:ascii="Arial" w:hAnsi="Arial" w:cs="Arial"/>
                <w:b/>
                <w:bCs/>
                <w:sz w:val="18"/>
                <w:szCs w:val="18"/>
              </w:rPr>
              <w:t>,</w:t>
            </w:r>
            <w:r w:rsidRPr="00F802EB">
              <w:rPr>
                <w:rFonts w:ascii="Arial" w:hAnsi="Arial" w:cs="Arial"/>
                <w:b/>
                <w:bCs/>
                <w:sz w:val="18"/>
                <w:szCs w:val="18"/>
              </w:rPr>
              <w:t>764</w:t>
            </w:r>
          </w:p>
        </w:tc>
      </w:tr>
    </w:tbl>
    <w:p w14:paraId="212FBE87" w14:textId="5DDE741D" w:rsidR="00FE2848" w:rsidRPr="00FE2848" w:rsidRDefault="00FE2848" w:rsidP="00FE2848">
      <w:pPr>
        <w:pStyle w:val="Tablecaption"/>
        <w:spacing w:before="0"/>
        <w:rPr>
          <w:b w:val="0"/>
          <w:sz w:val="18"/>
          <w:szCs w:val="18"/>
        </w:rPr>
      </w:pPr>
      <w:r w:rsidRPr="00FE2848">
        <w:rPr>
          <w:b w:val="0"/>
          <w:sz w:val="18"/>
          <w:szCs w:val="18"/>
        </w:rPr>
        <w:t xml:space="preserve">Note: This table corresponds with the graph in Figure </w:t>
      </w:r>
      <w:r>
        <w:rPr>
          <w:b w:val="0"/>
          <w:sz w:val="18"/>
          <w:szCs w:val="18"/>
        </w:rPr>
        <w:t>8</w:t>
      </w:r>
      <w:r w:rsidRPr="00FE2848">
        <w:rPr>
          <w:b w:val="0"/>
          <w:sz w:val="18"/>
          <w:szCs w:val="18"/>
        </w:rPr>
        <w:t>. It is included for purposes of accessibility.</w:t>
      </w:r>
    </w:p>
    <w:p w14:paraId="2CD0067D" w14:textId="12069285" w:rsidR="00714395" w:rsidRPr="00BF16C7" w:rsidRDefault="00BF6466" w:rsidP="00D665F6">
      <w:pPr>
        <w:pStyle w:val="Tablecaption"/>
      </w:pPr>
      <w:r>
        <w:rPr>
          <w:bCs/>
        </w:rPr>
        <w:t>Table 2</w:t>
      </w:r>
      <w:r w:rsidR="00AE71AA">
        <w:rPr>
          <w:bCs/>
        </w:rPr>
        <w:t>1</w:t>
      </w:r>
      <w:r>
        <w:rPr>
          <w:bCs/>
        </w:rPr>
        <w:t xml:space="preserve">: </w:t>
      </w:r>
      <w:r w:rsidR="00714395" w:rsidRPr="00BF16C7">
        <w:t>Number of individ</w:t>
      </w:r>
      <w:r w:rsidR="00696602" w:rsidRPr="00BF16C7">
        <w:t xml:space="preserve">uals involved in a sexual safety incident </w:t>
      </w:r>
      <w:r w:rsidR="004E1CFF" w:rsidRPr="00BF16C7">
        <w:t>by</w:t>
      </w:r>
      <w:r w:rsidR="00764DFA" w:rsidRPr="00BF16C7">
        <w:t xml:space="preserve"> Mental Health </w:t>
      </w:r>
      <w:r w:rsidR="00AE71AA">
        <w:t>and</w:t>
      </w:r>
      <w:r w:rsidR="00764DFA" w:rsidRPr="00BF16C7">
        <w:t xml:space="preserve"> Wellbeing Act status, 2023</w:t>
      </w:r>
      <w:r w:rsidR="007B5B5D">
        <w:t>–</w:t>
      </w:r>
      <w:r w:rsidR="00764DFA" w:rsidRPr="00BF16C7">
        <w:t>24</w:t>
      </w:r>
    </w:p>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364"/>
        <w:gridCol w:w="1038"/>
      </w:tblGrid>
      <w:tr w:rsidR="00933DDC" w:rsidRPr="00185026" w14:paraId="6C890C5A" w14:textId="77777777" w:rsidTr="00FE2848">
        <w:trPr>
          <w:tblHeader/>
        </w:trPr>
        <w:tc>
          <w:tcPr>
            <w:tcW w:w="2364" w:type="dxa"/>
            <w:shd w:val="clear" w:color="auto" w:fill="244C5A"/>
          </w:tcPr>
          <w:p w14:paraId="61455AC2" w14:textId="56CCCB6C" w:rsidR="00933DDC" w:rsidRPr="00185026" w:rsidRDefault="00933DDC">
            <w:pPr>
              <w:pStyle w:val="EmptyLayoutCell"/>
              <w:spacing w:before="60" w:after="60"/>
              <w:rPr>
                <w:rFonts w:ascii="Arial" w:hAnsi="Arial" w:cs="Arial"/>
                <w:color w:val="FFFFFF"/>
                <w:sz w:val="18"/>
                <w:szCs w:val="18"/>
              </w:rPr>
            </w:pPr>
            <w:r>
              <w:rPr>
                <w:rFonts w:ascii="Arial" w:hAnsi="Arial" w:cs="Arial"/>
                <w:color w:val="FFFFFF"/>
                <w:sz w:val="18"/>
                <w:szCs w:val="18"/>
              </w:rPr>
              <w:t>A</w:t>
            </w:r>
            <w:r w:rsidR="00AE71AA">
              <w:rPr>
                <w:rFonts w:ascii="Arial" w:hAnsi="Arial" w:cs="Arial"/>
                <w:color w:val="FFFFFF"/>
                <w:sz w:val="18"/>
                <w:szCs w:val="18"/>
              </w:rPr>
              <w:t>ct</w:t>
            </w:r>
            <w:r>
              <w:rPr>
                <w:rFonts w:ascii="Arial" w:hAnsi="Arial" w:cs="Arial"/>
                <w:color w:val="FFFFFF"/>
                <w:sz w:val="18"/>
                <w:szCs w:val="18"/>
              </w:rPr>
              <w:t xml:space="preserve"> s</w:t>
            </w:r>
            <w:r w:rsidR="00E857A5">
              <w:rPr>
                <w:rFonts w:ascii="Arial" w:hAnsi="Arial" w:cs="Arial"/>
                <w:color w:val="FFFFFF"/>
                <w:sz w:val="18"/>
                <w:szCs w:val="18"/>
              </w:rPr>
              <w:t>tatus</w:t>
            </w:r>
          </w:p>
        </w:tc>
        <w:tc>
          <w:tcPr>
            <w:tcW w:w="1038" w:type="dxa"/>
            <w:shd w:val="clear" w:color="auto" w:fill="244C5A"/>
          </w:tcPr>
          <w:p w14:paraId="3CB7A6DC" w14:textId="606554E0" w:rsidR="00933DDC" w:rsidRPr="00185026" w:rsidRDefault="00AE71AA">
            <w:pPr>
              <w:pStyle w:val="EmptyLayoutCell"/>
              <w:spacing w:before="60" w:after="60"/>
              <w:rPr>
                <w:rFonts w:ascii="Arial" w:hAnsi="Arial" w:cs="Arial"/>
                <w:color w:val="FFFFFF"/>
                <w:sz w:val="18"/>
                <w:szCs w:val="18"/>
              </w:rPr>
            </w:pPr>
            <w:r>
              <w:rPr>
                <w:rFonts w:ascii="Arial" w:hAnsi="Arial" w:cs="Arial"/>
                <w:color w:val="FFFFFF"/>
                <w:sz w:val="18"/>
                <w:szCs w:val="18"/>
              </w:rPr>
              <w:t>Number</w:t>
            </w:r>
          </w:p>
        </w:tc>
      </w:tr>
      <w:tr w:rsidR="00933DDC" w:rsidRPr="00185026" w14:paraId="1131EDC4" w14:textId="77777777" w:rsidTr="00FE2848">
        <w:tc>
          <w:tcPr>
            <w:tcW w:w="2364" w:type="dxa"/>
          </w:tcPr>
          <w:p w14:paraId="60ABCF01" w14:textId="56D04DD9" w:rsidR="00933DDC" w:rsidRPr="00185026" w:rsidRDefault="00E857A5">
            <w:pPr>
              <w:pStyle w:val="EmptyLayoutCell"/>
              <w:spacing w:before="60" w:after="60"/>
              <w:rPr>
                <w:rFonts w:ascii="Arial" w:hAnsi="Arial" w:cs="Arial"/>
                <w:sz w:val="18"/>
                <w:szCs w:val="18"/>
              </w:rPr>
            </w:pPr>
            <w:r>
              <w:rPr>
                <w:rFonts w:ascii="Arial" w:hAnsi="Arial" w:cs="Arial"/>
                <w:sz w:val="18"/>
                <w:szCs w:val="18"/>
              </w:rPr>
              <w:t>Compulsory</w:t>
            </w:r>
          </w:p>
        </w:tc>
        <w:tc>
          <w:tcPr>
            <w:tcW w:w="1038" w:type="dxa"/>
            <w:vAlign w:val="bottom"/>
          </w:tcPr>
          <w:p w14:paraId="3A315260" w14:textId="448C944E" w:rsidR="00933DDC" w:rsidRPr="00185026" w:rsidRDefault="00714CD5">
            <w:pPr>
              <w:pStyle w:val="EmptyLayoutCell"/>
              <w:spacing w:before="60" w:after="60"/>
              <w:rPr>
                <w:rFonts w:ascii="Arial" w:hAnsi="Arial" w:cs="Arial"/>
                <w:sz w:val="18"/>
                <w:szCs w:val="18"/>
              </w:rPr>
            </w:pPr>
            <w:r>
              <w:rPr>
                <w:rFonts w:ascii="Arial" w:hAnsi="Arial" w:cs="Arial"/>
                <w:sz w:val="18"/>
                <w:szCs w:val="18"/>
              </w:rPr>
              <w:t>1</w:t>
            </w:r>
            <w:r w:rsidR="007B5B5D">
              <w:rPr>
                <w:rFonts w:ascii="Arial" w:hAnsi="Arial" w:cs="Arial"/>
                <w:sz w:val="18"/>
                <w:szCs w:val="18"/>
              </w:rPr>
              <w:t>,</w:t>
            </w:r>
            <w:r>
              <w:rPr>
                <w:rFonts w:ascii="Arial" w:hAnsi="Arial" w:cs="Arial"/>
                <w:sz w:val="18"/>
                <w:szCs w:val="18"/>
              </w:rPr>
              <w:t>219</w:t>
            </w:r>
          </w:p>
        </w:tc>
      </w:tr>
      <w:tr w:rsidR="00933DDC" w:rsidRPr="00185026" w14:paraId="13F701A8" w14:textId="77777777" w:rsidTr="00FE2848">
        <w:tc>
          <w:tcPr>
            <w:tcW w:w="2364" w:type="dxa"/>
          </w:tcPr>
          <w:p w14:paraId="437B3738" w14:textId="42091E1A" w:rsidR="00933DDC" w:rsidRPr="00185026" w:rsidRDefault="00714CD5">
            <w:pPr>
              <w:pStyle w:val="EmptyLayoutCell"/>
              <w:spacing w:before="60" w:after="60"/>
              <w:rPr>
                <w:rFonts w:ascii="Arial" w:hAnsi="Arial" w:cs="Arial"/>
                <w:sz w:val="18"/>
                <w:szCs w:val="18"/>
              </w:rPr>
            </w:pPr>
            <w:r>
              <w:rPr>
                <w:rFonts w:ascii="Arial" w:hAnsi="Arial" w:cs="Arial"/>
                <w:sz w:val="18"/>
                <w:szCs w:val="18"/>
              </w:rPr>
              <w:t>Voluntary</w:t>
            </w:r>
          </w:p>
        </w:tc>
        <w:tc>
          <w:tcPr>
            <w:tcW w:w="1038" w:type="dxa"/>
            <w:vAlign w:val="bottom"/>
          </w:tcPr>
          <w:p w14:paraId="69022FF7" w14:textId="6AB8944A" w:rsidR="00933DDC" w:rsidRPr="00185026" w:rsidRDefault="00714CD5">
            <w:pPr>
              <w:pStyle w:val="EmptyLayoutCell"/>
              <w:spacing w:before="60" w:after="60"/>
              <w:rPr>
                <w:rFonts w:ascii="Arial" w:hAnsi="Arial" w:cs="Arial"/>
                <w:sz w:val="18"/>
                <w:szCs w:val="18"/>
              </w:rPr>
            </w:pPr>
            <w:r>
              <w:rPr>
                <w:rFonts w:ascii="Arial" w:hAnsi="Arial" w:cs="Arial"/>
                <w:sz w:val="18"/>
                <w:szCs w:val="18"/>
              </w:rPr>
              <w:t>317</w:t>
            </w:r>
          </w:p>
        </w:tc>
      </w:tr>
      <w:tr w:rsidR="00933DDC" w:rsidRPr="00185026" w14:paraId="363F6CAF" w14:textId="77777777" w:rsidTr="00FE2848">
        <w:tc>
          <w:tcPr>
            <w:tcW w:w="2364" w:type="dxa"/>
          </w:tcPr>
          <w:p w14:paraId="0607453A" w14:textId="49C780A7" w:rsidR="00933DDC" w:rsidRPr="00185026" w:rsidRDefault="00714CD5">
            <w:pPr>
              <w:pStyle w:val="EmptyLayoutCell"/>
              <w:spacing w:before="60" w:after="60"/>
              <w:rPr>
                <w:rFonts w:ascii="Arial" w:hAnsi="Arial" w:cs="Arial"/>
                <w:sz w:val="18"/>
                <w:szCs w:val="18"/>
              </w:rPr>
            </w:pPr>
            <w:r>
              <w:rPr>
                <w:rFonts w:ascii="Arial" w:hAnsi="Arial" w:cs="Arial"/>
                <w:sz w:val="18"/>
                <w:szCs w:val="18"/>
              </w:rPr>
              <w:t>Staff</w:t>
            </w:r>
          </w:p>
        </w:tc>
        <w:tc>
          <w:tcPr>
            <w:tcW w:w="1038" w:type="dxa"/>
            <w:vAlign w:val="bottom"/>
          </w:tcPr>
          <w:p w14:paraId="5FF78894" w14:textId="702A954C" w:rsidR="00933DDC" w:rsidRPr="00185026" w:rsidRDefault="00714CD5">
            <w:pPr>
              <w:pStyle w:val="EmptyLayoutCell"/>
              <w:spacing w:before="60" w:after="60"/>
              <w:rPr>
                <w:rFonts w:ascii="Arial" w:hAnsi="Arial" w:cs="Arial"/>
                <w:sz w:val="18"/>
                <w:szCs w:val="18"/>
              </w:rPr>
            </w:pPr>
            <w:r>
              <w:rPr>
                <w:rFonts w:ascii="Arial" w:hAnsi="Arial" w:cs="Arial"/>
                <w:sz w:val="18"/>
                <w:szCs w:val="18"/>
              </w:rPr>
              <w:t>182</w:t>
            </w:r>
          </w:p>
        </w:tc>
      </w:tr>
      <w:tr w:rsidR="00933DDC" w:rsidRPr="00185026" w14:paraId="34BC49B8" w14:textId="77777777" w:rsidTr="00FE2848">
        <w:tc>
          <w:tcPr>
            <w:tcW w:w="2364" w:type="dxa"/>
          </w:tcPr>
          <w:p w14:paraId="3A394406" w14:textId="0F62DF4E" w:rsidR="00933DDC" w:rsidRPr="00185026" w:rsidRDefault="00714CD5">
            <w:pPr>
              <w:pStyle w:val="EmptyLayoutCell"/>
              <w:spacing w:before="60" w:after="60"/>
              <w:rPr>
                <w:rFonts w:ascii="Arial" w:hAnsi="Arial" w:cs="Arial"/>
                <w:sz w:val="18"/>
                <w:szCs w:val="18"/>
              </w:rPr>
            </w:pPr>
            <w:r>
              <w:rPr>
                <w:rFonts w:ascii="Arial" w:hAnsi="Arial" w:cs="Arial"/>
                <w:sz w:val="18"/>
                <w:szCs w:val="18"/>
              </w:rPr>
              <w:t>Unknown</w:t>
            </w:r>
          </w:p>
        </w:tc>
        <w:tc>
          <w:tcPr>
            <w:tcW w:w="1038" w:type="dxa"/>
            <w:vAlign w:val="bottom"/>
          </w:tcPr>
          <w:p w14:paraId="41F37AD6" w14:textId="2851215B" w:rsidR="00933DDC" w:rsidRDefault="00714CD5">
            <w:pPr>
              <w:pStyle w:val="EmptyLayoutCell"/>
              <w:spacing w:before="60" w:after="60"/>
              <w:rPr>
                <w:rFonts w:ascii="Arial" w:hAnsi="Arial" w:cs="Arial"/>
                <w:sz w:val="18"/>
                <w:szCs w:val="18"/>
              </w:rPr>
            </w:pPr>
            <w:r>
              <w:rPr>
                <w:rFonts w:ascii="Arial" w:hAnsi="Arial" w:cs="Arial"/>
                <w:sz w:val="18"/>
                <w:szCs w:val="18"/>
              </w:rPr>
              <w:t>46</w:t>
            </w:r>
          </w:p>
        </w:tc>
      </w:tr>
      <w:tr w:rsidR="00933DDC" w:rsidRPr="00185026" w14:paraId="61C8B4D1" w14:textId="77777777" w:rsidTr="00FE2848">
        <w:tc>
          <w:tcPr>
            <w:tcW w:w="2364" w:type="dxa"/>
          </w:tcPr>
          <w:p w14:paraId="11B1D21F" w14:textId="77777777" w:rsidR="00933DDC" w:rsidRPr="00D70C2A" w:rsidRDefault="00933DDC">
            <w:pPr>
              <w:pStyle w:val="EmptyLayoutCell"/>
              <w:spacing w:before="60" w:after="60"/>
              <w:rPr>
                <w:rFonts w:ascii="Arial" w:hAnsi="Arial" w:cs="Arial"/>
                <w:b/>
                <w:bCs/>
                <w:sz w:val="18"/>
                <w:szCs w:val="18"/>
              </w:rPr>
            </w:pPr>
            <w:r w:rsidRPr="00D70C2A">
              <w:rPr>
                <w:rFonts w:ascii="Arial" w:hAnsi="Arial" w:cs="Arial"/>
                <w:b/>
                <w:bCs/>
                <w:sz w:val="18"/>
                <w:szCs w:val="18"/>
              </w:rPr>
              <w:t>Total</w:t>
            </w:r>
          </w:p>
        </w:tc>
        <w:tc>
          <w:tcPr>
            <w:tcW w:w="1038" w:type="dxa"/>
            <w:vAlign w:val="bottom"/>
          </w:tcPr>
          <w:p w14:paraId="6DD6BAC9" w14:textId="54D62B31" w:rsidR="00933DDC" w:rsidRPr="00D70C2A" w:rsidRDefault="00D8761E">
            <w:pPr>
              <w:pStyle w:val="EmptyLayoutCell"/>
              <w:spacing w:before="60" w:after="60"/>
              <w:rPr>
                <w:rFonts w:ascii="Arial" w:hAnsi="Arial" w:cs="Arial"/>
                <w:b/>
                <w:bCs/>
                <w:sz w:val="18"/>
                <w:szCs w:val="18"/>
              </w:rPr>
            </w:pPr>
            <w:r w:rsidRPr="00D70C2A">
              <w:rPr>
                <w:rFonts w:ascii="Arial" w:hAnsi="Arial" w:cs="Arial"/>
                <w:b/>
                <w:bCs/>
                <w:sz w:val="18"/>
                <w:szCs w:val="18"/>
              </w:rPr>
              <w:t>1</w:t>
            </w:r>
            <w:r w:rsidR="007B5B5D" w:rsidRPr="00D70C2A">
              <w:rPr>
                <w:rFonts w:ascii="Arial" w:hAnsi="Arial" w:cs="Arial"/>
                <w:b/>
                <w:bCs/>
                <w:sz w:val="18"/>
                <w:szCs w:val="18"/>
              </w:rPr>
              <w:t>,</w:t>
            </w:r>
            <w:r w:rsidRPr="00D70C2A">
              <w:rPr>
                <w:rFonts w:ascii="Arial" w:hAnsi="Arial" w:cs="Arial"/>
                <w:b/>
                <w:bCs/>
                <w:sz w:val="18"/>
                <w:szCs w:val="18"/>
              </w:rPr>
              <w:t>764</w:t>
            </w:r>
          </w:p>
        </w:tc>
      </w:tr>
    </w:tbl>
    <w:p w14:paraId="76B84551" w14:textId="519B06F3" w:rsidR="00AE6EF3" w:rsidRPr="00030811" w:rsidRDefault="00E77D3B" w:rsidP="00D70C2A">
      <w:pPr>
        <w:pStyle w:val="Bodyaftertable"/>
      </w:pPr>
      <w:r>
        <w:t>Through</w:t>
      </w:r>
      <w:r w:rsidR="571ACCCE" w:rsidRPr="00030811">
        <w:t xml:space="preserve"> the</w:t>
      </w:r>
      <w:r w:rsidR="00230656">
        <w:t xml:space="preserve"> incident</w:t>
      </w:r>
      <w:r w:rsidR="571ACCCE" w:rsidRPr="00030811">
        <w:t xml:space="preserve"> reports </w:t>
      </w:r>
      <w:r w:rsidR="374F1A71" w:rsidRPr="00030811">
        <w:t>received</w:t>
      </w:r>
      <w:r w:rsidR="00230656">
        <w:t>,</w:t>
      </w:r>
      <w:r>
        <w:t xml:space="preserve"> it </w:t>
      </w:r>
      <w:r w:rsidR="00135CBA">
        <w:t>was</w:t>
      </w:r>
      <w:r>
        <w:t xml:space="preserve"> determined that</w:t>
      </w:r>
      <w:r w:rsidR="571ACCCE" w:rsidRPr="00030811">
        <w:t xml:space="preserve"> </w:t>
      </w:r>
      <w:r w:rsidR="12A7715B" w:rsidRPr="00030811">
        <w:t xml:space="preserve">females </w:t>
      </w:r>
      <w:r w:rsidR="59A6C9EE" w:rsidRPr="00030811">
        <w:t>under 35</w:t>
      </w:r>
      <w:r w:rsidR="5EF9D317" w:rsidRPr="00030811">
        <w:t xml:space="preserve"> and m</w:t>
      </w:r>
      <w:r w:rsidR="7C5AC8CF" w:rsidRPr="00030811">
        <w:t>ales</w:t>
      </w:r>
      <w:r w:rsidR="5EF9D317" w:rsidRPr="00030811">
        <w:t xml:space="preserve"> over </w:t>
      </w:r>
      <w:r w:rsidR="1F6933FD" w:rsidRPr="00030811">
        <w:t>35 were</w:t>
      </w:r>
      <w:r w:rsidR="59A6C9EE" w:rsidRPr="00030811">
        <w:t xml:space="preserve"> more likely to </w:t>
      </w:r>
      <w:r w:rsidR="000F5214" w:rsidRPr="00030811">
        <w:t>be involved in</w:t>
      </w:r>
      <w:r w:rsidR="59A6C9EE" w:rsidRPr="00030811">
        <w:t xml:space="preserve"> sexual safety</w:t>
      </w:r>
      <w:r w:rsidR="00525CC5" w:rsidRPr="00030811">
        <w:t xml:space="preserve"> </w:t>
      </w:r>
      <w:r w:rsidR="59A6C9EE" w:rsidRPr="00030811">
        <w:t>incidents</w:t>
      </w:r>
      <w:r w:rsidR="00682685" w:rsidRPr="00030811">
        <w:t>.</w:t>
      </w:r>
      <w:r w:rsidR="65B40C8D" w:rsidRPr="00030811">
        <w:t xml:space="preserve"> </w:t>
      </w:r>
      <w:r w:rsidR="511C407A" w:rsidRPr="00030811">
        <w:t xml:space="preserve">Sexual safety incidents </w:t>
      </w:r>
      <w:r w:rsidR="00E05AF2" w:rsidRPr="00030811">
        <w:t xml:space="preserve">predominantly </w:t>
      </w:r>
      <w:r w:rsidR="00736A33" w:rsidRPr="00030811">
        <w:t>involved</w:t>
      </w:r>
      <w:r w:rsidR="511C407A" w:rsidRPr="00030811">
        <w:t xml:space="preserve"> </w:t>
      </w:r>
      <w:r w:rsidR="00F733F3">
        <w:t>people</w:t>
      </w:r>
      <w:r w:rsidR="00F733F3" w:rsidRPr="00030811">
        <w:t xml:space="preserve"> </w:t>
      </w:r>
      <w:r w:rsidR="0C390825" w:rsidRPr="00030811">
        <w:t xml:space="preserve">with </w:t>
      </w:r>
      <w:r w:rsidR="00F733F3">
        <w:t xml:space="preserve">a </w:t>
      </w:r>
      <w:r w:rsidR="511C407A" w:rsidRPr="00030811">
        <w:t xml:space="preserve">compulsory </w:t>
      </w:r>
      <w:r w:rsidR="3C2FAE3D" w:rsidRPr="00030811">
        <w:t>s</w:t>
      </w:r>
      <w:r w:rsidR="24145DAF" w:rsidRPr="00030811">
        <w:t>t</w:t>
      </w:r>
      <w:r w:rsidR="3C2FAE3D" w:rsidRPr="00030811">
        <w:t xml:space="preserve">atus under </w:t>
      </w:r>
      <w:r w:rsidR="00135CBA">
        <w:t>the</w:t>
      </w:r>
      <w:r w:rsidR="3C2FAE3D" w:rsidRPr="00030811">
        <w:t xml:space="preserve"> Act. </w:t>
      </w:r>
      <w:r w:rsidR="03C2095C" w:rsidRPr="00030811">
        <w:t xml:space="preserve">This warrants further </w:t>
      </w:r>
      <w:r w:rsidR="13224168" w:rsidRPr="00030811">
        <w:t>understanding</w:t>
      </w:r>
      <w:r w:rsidR="03C2095C" w:rsidRPr="00030811">
        <w:t xml:space="preserve"> of the role</w:t>
      </w:r>
      <w:r w:rsidR="5B811266" w:rsidRPr="00030811">
        <w:t xml:space="preserve"> </w:t>
      </w:r>
      <w:r w:rsidR="00E66545" w:rsidRPr="00030811">
        <w:t xml:space="preserve">of </w:t>
      </w:r>
      <w:r w:rsidR="00C80083">
        <w:t>multiple</w:t>
      </w:r>
      <w:r w:rsidR="5B811266" w:rsidRPr="00030811">
        <w:t xml:space="preserve"> factors </w:t>
      </w:r>
      <w:r w:rsidR="00C80083">
        <w:t>that can</w:t>
      </w:r>
      <w:r w:rsidR="5B811266" w:rsidRPr="00030811">
        <w:t xml:space="preserve"> contribut</w:t>
      </w:r>
      <w:r w:rsidR="00C80083">
        <w:t>e</w:t>
      </w:r>
      <w:r w:rsidR="5B811266" w:rsidRPr="00030811">
        <w:t xml:space="preserve"> to involvement in a</w:t>
      </w:r>
      <w:r w:rsidR="03A28F26" w:rsidRPr="00030811">
        <w:t xml:space="preserve"> serious </w:t>
      </w:r>
      <w:r w:rsidR="5C2F2636" w:rsidRPr="00030811">
        <w:t>sexual incident</w:t>
      </w:r>
      <w:r w:rsidR="5B811266" w:rsidRPr="00030811">
        <w:t xml:space="preserve"> </w:t>
      </w:r>
      <w:r w:rsidR="3F093A97" w:rsidRPr="00030811">
        <w:t>i</w:t>
      </w:r>
      <w:r w:rsidR="5B811266" w:rsidRPr="00030811">
        <w:t xml:space="preserve">ncluding but not limited to </w:t>
      </w:r>
      <w:r w:rsidR="03C2095C" w:rsidRPr="00030811">
        <w:t>the person</w:t>
      </w:r>
      <w:r w:rsidR="000F6EE1">
        <w:t>’</w:t>
      </w:r>
      <w:r w:rsidR="03C2095C" w:rsidRPr="00030811">
        <w:t>s mental health</w:t>
      </w:r>
      <w:r w:rsidR="000F6EE1">
        <w:t xml:space="preserve"> status</w:t>
      </w:r>
      <w:r w:rsidR="219EE14B" w:rsidRPr="00030811">
        <w:t xml:space="preserve">, </w:t>
      </w:r>
      <w:r w:rsidR="5E57985B" w:rsidRPr="00030811">
        <w:t xml:space="preserve">the </w:t>
      </w:r>
      <w:r w:rsidR="219EE14B" w:rsidRPr="00030811">
        <w:t>care they receive and where they receive it</w:t>
      </w:r>
      <w:r w:rsidR="03C2095C" w:rsidRPr="00030811">
        <w:t>.</w:t>
      </w:r>
      <w:r w:rsidR="4D5C02CB" w:rsidRPr="00030811">
        <w:t xml:space="preserve"> </w:t>
      </w:r>
    </w:p>
    <w:p w14:paraId="22B3E0DE" w14:textId="6F571B30" w:rsidR="00923023" w:rsidRPr="00E165DD" w:rsidRDefault="00F347D3" w:rsidP="00A15220">
      <w:pPr>
        <w:pStyle w:val="Heading2"/>
      </w:pPr>
      <w:bookmarkStart w:id="44" w:name="_Toc180660141"/>
      <w:r w:rsidRPr="00E165DD">
        <w:rPr>
          <w:szCs w:val="32"/>
        </w:rPr>
        <w:t>Statewide Complex Needs Advisory Panel</w:t>
      </w:r>
      <w:bookmarkEnd w:id="44"/>
    </w:p>
    <w:p w14:paraId="7F7B1319" w14:textId="0A05AA11" w:rsidR="00AA0762" w:rsidRPr="00E165DD" w:rsidRDefault="00246D68" w:rsidP="009273CD">
      <w:pPr>
        <w:pStyle w:val="Body"/>
      </w:pPr>
      <w:r>
        <w:t>Formerly, t</w:t>
      </w:r>
      <w:r w:rsidR="00FF7158">
        <w:t xml:space="preserve">he OCP convened the </w:t>
      </w:r>
      <w:r w:rsidR="00FF7158" w:rsidRPr="00692A85">
        <w:rPr>
          <w:i/>
          <w:iCs/>
        </w:rPr>
        <w:t>Crimes (Mental Impairment and Unfitness to be Tried) Act 1997</w:t>
      </w:r>
      <w:r w:rsidR="00FF7158">
        <w:t xml:space="preserve"> Complex Needs Advisory Panel (CCNAP). </w:t>
      </w:r>
      <w:r w:rsidR="000B7C97">
        <w:t>This arose</w:t>
      </w:r>
      <w:r w:rsidR="00AA0762">
        <w:t xml:space="preserve"> from the initiatives of the Complex Needs Project, </w:t>
      </w:r>
      <w:r w:rsidR="610B831D">
        <w:t xml:space="preserve">which was </w:t>
      </w:r>
      <w:r w:rsidR="00AA0762">
        <w:t>a joint D</w:t>
      </w:r>
      <w:r w:rsidR="001B39F2">
        <w:t xml:space="preserve">epartment of </w:t>
      </w:r>
      <w:r w:rsidR="00AA0762">
        <w:t>H</w:t>
      </w:r>
      <w:r w:rsidR="001B39F2">
        <w:t>ealth</w:t>
      </w:r>
      <w:r w:rsidR="00AA0762">
        <w:t xml:space="preserve"> and D</w:t>
      </w:r>
      <w:r w:rsidR="001B39F2">
        <w:t xml:space="preserve">epartment of </w:t>
      </w:r>
      <w:r w:rsidR="00AA0762">
        <w:t>F</w:t>
      </w:r>
      <w:r w:rsidR="001B39F2">
        <w:t>amilies</w:t>
      </w:r>
      <w:r w:rsidR="00BA4EEE">
        <w:t>,</w:t>
      </w:r>
      <w:r w:rsidR="001B39F2">
        <w:t xml:space="preserve"> </w:t>
      </w:r>
      <w:r w:rsidR="00AA0762">
        <w:t>F</w:t>
      </w:r>
      <w:r w:rsidR="001B39F2">
        <w:t xml:space="preserve">airness and </w:t>
      </w:r>
      <w:r w:rsidR="00AA0762">
        <w:t>H</w:t>
      </w:r>
      <w:r w:rsidR="001B39F2">
        <w:t>ousing</w:t>
      </w:r>
      <w:r w:rsidR="00AA0762">
        <w:t xml:space="preserve"> project aimed at improving the service responses for people with complex needs</w:t>
      </w:r>
      <w:r w:rsidR="00337E73">
        <w:t xml:space="preserve">. </w:t>
      </w:r>
      <w:r w:rsidR="009B2770">
        <w:t>CCNAP</w:t>
      </w:r>
      <w:r w:rsidR="00AA0762">
        <w:t xml:space="preserve"> was originally established following a recommendation from the Victorian Ombudsman</w:t>
      </w:r>
      <w:r w:rsidR="009B2770">
        <w:t xml:space="preserve">, with </w:t>
      </w:r>
      <w:r w:rsidR="00E22C6D">
        <w:t>the panel’s</w:t>
      </w:r>
      <w:r w:rsidR="009B2770">
        <w:t xml:space="preserve"> purpose being </w:t>
      </w:r>
      <w:r w:rsidR="00AA0762">
        <w:t xml:space="preserve">to advise decision-makers on coordinated service responses for people subject to </w:t>
      </w:r>
      <w:r w:rsidR="000800F3" w:rsidRPr="000800F3">
        <w:t xml:space="preserve">Crimes (Mental Impairment and Unfitness to be Tried) Act </w:t>
      </w:r>
      <w:r w:rsidR="00AA0762">
        <w:t xml:space="preserve">proceedings or orders. </w:t>
      </w:r>
    </w:p>
    <w:p w14:paraId="2F98B559" w14:textId="5EB07E17" w:rsidR="00AA0762" w:rsidRPr="00E165DD" w:rsidRDefault="00AA0762" w:rsidP="009273CD">
      <w:pPr>
        <w:pStyle w:val="Body"/>
      </w:pPr>
      <w:r w:rsidRPr="00E165DD">
        <w:t>In 2023, after an extensive review of the CCNAP, which included stakeholder engagement and an expanded panel eligibility with the aim of adding to the panel membership, the OCP established the Statewide Complex Needs Advisory Panel (SCNAP).</w:t>
      </w:r>
    </w:p>
    <w:p w14:paraId="1071D633" w14:textId="4CC2EA5E" w:rsidR="00AA0762" w:rsidRPr="00E165DD" w:rsidRDefault="00AA0762" w:rsidP="009273CD">
      <w:pPr>
        <w:pStyle w:val="Body"/>
      </w:pPr>
      <w:r w:rsidRPr="00E165DD">
        <w:t xml:space="preserve">The panel brings experts together from across departments and services to provide multidisciplinary, clinical and lived experience advice for </w:t>
      </w:r>
      <w:r w:rsidR="00BA4EEE">
        <w:t>people</w:t>
      </w:r>
      <w:r w:rsidR="00BA4EEE" w:rsidRPr="00E165DD">
        <w:t xml:space="preserve"> </w:t>
      </w:r>
      <w:r w:rsidRPr="00E165DD">
        <w:t xml:space="preserve">with highly complex needs who pose a serious risk to </w:t>
      </w:r>
      <w:r w:rsidR="00BA4EEE">
        <w:t xml:space="preserve">themselves or </w:t>
      </w:r>
      <w:r w:rsidRPr="00E165DD">
        <w:t xml:space="preserve">others. </w:t>
      </w:r>
    </w:p>
    <w:p w14:paraId="7A332536" w14:textId="626101E2" w:rsidR="00AA0762" w:rsidRPr="00E165DD" w:rsidRDefault="00AA0762" w:rsidP="009273CD">
      <w:pPr>
        <w:pStyle w:val="Body"/>
      </w:pPr>
      <w:r w:rsidRPr="00E165DD">
        <w:t>The individuals presented are at risk of poor outcomes due to their needs falling outside standard service responses</w:t>
      </w:r>
      <w:r w:rsidR="00F0372C">
        <w:t xml:space="preserve">. They also </w:t>
      </w:r>
      <w:r w:rsidRPr="00E165DD">
        <w:t>face</w:t>
      </w:r>
      <w:r w:rsidR="003D25D4">
        <w:t xml:space="preserve"> such challenges as </w:t>
      </w:r>
      <w:r w:rsidRPr="00E165DD">
        <w:t>service system barriers, the service system not hav</w:t>
      </w:r>
      <w:r w:rsidR="00BA4EEE">
        <w:t>ing</w:t>
      </w:r>
      <w:r w:rsidRPr="00E165DD">
        <w:t xml:space="preserve"> appropriate options, or existing pathways </w:t>
      </w:r>
      <w:r w:rsidR="003D25D4">
        <w:t>being</w:t>
      </w:r>
      <w:r w:rsidRPr="00E165DD">
        <w:t xml:space="preserve"> ineffective, exhausted or unsustainable. The </w:t>
      </w:r>
      <w:r w:rsidR="00336128">
        <w:t xml:space="preserve">panel </w:t>
      </w:r>
      <w:r w:rsidRPr="00E165DD">
        <w:t>discussions seek to enable and enhance the development of coordinated, flexible and evidence-based service responses.</w:t>
      </w:r>
    </w:p>
    <w:p w14:paraId="17277BC9" w14:textId="77777777" w:rsidR="00400623" w:rsidRPr="003A7BF2" w:rsidRDefault="00400623" w:rsidP="00336128">
      <w:pPr>
        <w:pStyle w:val="Body"/>
      </w:pPr>
      <w:r w:rsidRPr="00E165DD">
        <w:t>The panel’s core purpose is to:</w:t>
      </w:r>
    </w:p>
    <w:p w14:paraId="60C48889" w14:textId="5009F1B8" w:rsidR="00400623" w:rsidRPr="003A7BF2" w:rsidRDefault="007831E8" w:rsidP="00336128">
      <w:pPr>
        <w:pStyle w:val="Bullet1"/>
      </w:pPr>
      <w:r>
        <w:lastRenderedPageBreak/>
        <w:t>d</w:t>
      </w:r>
      <w:r w:rsidR="00400623" w:rsidRPr="003A7BF2">
        <w:t xml:space="preserve">iscuss, consider and provide multidisciplinary expert advice and recommendations in response to identified questions relating to </w:t>
      </w:r>
      <w:r w:rsidR="00BA4EEE">
        <w:t>people</w:t>
      </w:r>
      <w:r w:rsidR="00BA4EEE" w:rsidRPr="003A7BF2">
        <w:t xml:space="preserve"> </w:t>
      </w:r>
      <w:r w:rsidR="00400623" w:rsidRPr="003A7BF2">
        <w:t>with complex needs</w:t>
      </w:r>
    </w:p>
    <w:p w14:paraId="6EB6EAA6" w14:textId="3714C933" w:rsidR="00400623" w:rsidRPr="003A7BF2" w:rsidRDefault="007831E8" w:rsidP="00336128">
      <w:pPr>
        <w:pStyle w:val="Bullet1"/>
      </w:pPr>
      <w:r>
        <w:t>a</w:t>
      </w:r>
      <w:r w:rsidR="00400623" w:rsidRPr="003A7BF2">
        <w:t xml:space="preserve">dvocate and support pathways into services for </w:t>
      </w:r>
      <w:r w:rsidR="00BA4EEE">
        <w:t xml:space="preserve">people </w:t>
      </w:r>
      <w:r w:rsidR="00400623" w:rsidRPr="003A7BF2">
        <w:t>with complex needs</w:t>
      </w:r>
    </w:p>
    <w:p w14:paraId="7A54DE4F" w14:textId="6910B904" w:rsidR="00400623" w:rsidRPr="003A7BF2" w:rsidRDefault="007831E8" w:rsidP="00336128">
      <w:pPr>
        <w:pStyle w:val="Bullet1"/>
      </w:pPr>
      <w:r>
        <w:t>r</w:t>
      </w:r>
      <w:r w:rsidR="00400623" w:rsidRPr="003A7BF2">
        <w:t>eview bespoke service responses (models of care) and provide multidisciplinary expert advice and recommendations to senior departmental decision-makers and service providers</w:t>
      </w:r>
    </w:p>
    <w:p w14:paraId="24E16E38" w14:textId="3D74E600" w:rsidR="00400623" w:rsidRPr="003A7BF2" w:rsidRDefault="007831E8" w:rsidP="00336128">
      <w:pPr>
        <w:pStyle w:val="Bullet1"/>
      </w:pPr>
      <w:r>
        <w:t>m</w:t>
      </w:r>
      <w:r w:rsidR="00400623" w:rsidRPr="003A7BF2">
        <w:t>onitor the outcomes of interventions and provide further advice if appropriate</w:t>
      </w:r>
      <w:r>
        <w:t>.</w:t>
      </w:r>
    </w:p>
    <w:p w14:paraId="774E1502" w14:textId="295C46EE" w:rsidR="00400623" w:rsidRPr="003A7BF2" w:rsidRDefault="00400623" w:rsidP="009107AF">
      <w:pPr>
        <w:pStyle w:val="Bodyafterbullets"/>
      </w:pPr>
      <w:r w:rsidRPr="00E165DD">
        <w:t>The panel’s systemic focus and functions include</w:t>
      </w:r>
      <w:r w:rsidR="00D92C5C">
        <w:t xml:space="preserve"> to</w:t>
      </w:r>
      <w:r w:rsidRPr="00E165DD">
        <w:t xml:space="preserve">: </w:t>
      </w:r>
    </w:p>
    <w:p w14:paraId="0988F68D" w14:textId="470D312F" w:rsidR="00400623" w:rsidRPr="003A7BF2" w:rsidRDefault="00400623" w:rsidP="007831E8">
      <w:pPr>
        <w:pStyle w:val="Bullet1"/>
      </w:pPr>
      <w:r w:rsidRPr="003A7BF2">
        <w:t>consider identified policy, practice and improvement opportunities and provide multidisciplinary expert advice and recommendations to senior departmental decision-makers</w:t>
      </w:r>
    </w:p>
    <w:p w14:paraId="66672668" w14:textId="0AF222EC" w:rsidR="00400623" w:rsidRPr="003A7BF2" w:rsidRDefault="00400623" w:rsidP="007831E8">
      <w:pPr>
        <w:pStyle w:val="Bullet1"/>
      </w:pPr>
      <w:r w:rsidRPr="003A7BF2">
        <w:t xml:space="preserve">address ongoing opportunities for systemic improvement by identifying, collating and escalating service gaps and barriers for people with complex needs </w:t>
      </w:r>
    </w:p>
    <w:p w14:paraId="1E3963E9" w14:textId="26F20E7C" w:rsidR="00400623" w:rsidRDefault="00400623" w:rsidP="007831E8">
      <w:pPr>
        <w:pStyle w:val="Bullet1"/>
      </w:pPr>
      <w:r w:rsidRPr="003A7BF2">
        <w:t>report</w:t>
      </w:r>
      <w:r w:rsidR="00D92C5C">
        <w:t xml:space="preserve"> regularly</w:t>
      </w:r>
      <w:r w:rsidRPr="003A7BF2">
        <w:t xml:space="preserve"> to Deputy Secretaries on the advice and outcomes of the panel </w:t>
      </w:r>
      <w:r w:rsidR="000C48FC">
        <w:t xml:space="preserve">via the </w:t>
      </w:r>
      <w:r w:rsidR="00BA4EEE">
        <w:t xml:space="preserve">panel’s </w:t>
      </w:r>
      <w:r w:rsidR="005B37CF">
        <w:t>a</w:t>
      </w:r>
      <w:r w:rsidR="000C48FC">
        <w:t xml:space="preserve">nnual </w:t>
      </w:r>
      <w:r w:rsidR="005B37CF">
        <w:t>r</w:t>
      </w:r>
      <w:r w:rsidR="000C48FC">
        <w:t>eport</w:t>
      </w:r>
    </w:p>
    <w:p w14:paraId="0672AFD9" w14:textId="1AF71EC6" w:rsidR="00AA0762" w:rsidRPr="00E165DD" w:rsidRDefault="00AA0762" w:rsidP="007831E8">
      <w:pPr>
        <w:pStyle w:val="Heading3"/>
      </w:pPr>
      <w:r w:rsidRPr="00E165DD">
        <w:t>Consultation, advice and panel activities</w:t>
      </w:r>
    </w:p>
    <w:p w14:paraId="78D0BF51" w14:textId="4FA7DDED" w:rsidR="00AA0762" w:rsidRPr="00E165DD" w:rsidRDefault="00E7653B" w:rsidP="00DD5C31">
      <w:pPr>
        <w:pStyle w:val="Body"/>
      </w:pPr>
      <w:r>
        <w:t>In 2023–24 t</w:t>
      </w:r>
      <w:r w:rsidR="00AA0762" w:rsidRPr="00E165DD">
        <w:t xml:space="preserve">he OCP provided complex needs advice and consultation to departments, services and care teams relating to 41 people. This advice was delivered by attending 134 case conferences, consults or care team meetings. A </w:t>
      </w:r>
      <w:r w:rsidR="009A642F">
        <w:t>D</w:t>
      </w:r>
      <w:r w:rsidR="00AA0762" w:rsidRPr="00E165DD">
        <w:t>eputy Chief Psychiatrist was present for 44% (59) of these meetings to provide expert mental health advice.</w:t>
      </w:r>
    </w:p>
    <w:p w14:paraId="4E9FEDFE" w14:textId="44742A2D" w:rsidR="00FE0C45" w:rsidRPr="00E165DD" w:rsidRDefault="00FE0C45" w:rsidP="00DD5C31">
      <w:pPr>
        <w:pStyle w:val="Body"/>
      </w:pPr>
      <w:r w:rsidRPr="00E165DD">
        <w:t xml:space="preserve">There were </w:t>
      </w:r>
      <w:r w:rsidR="00AD12EC">
        <w:t>7</w:t>
      </w:r>
      <w:r w:rsidR="00AD12EC" w:rsidRPr="00E165DD">
        <w:t xml:space="preserve"> </w:t>
      </w:r>
      <w:r w:rsidRPr="00E165DD">
        <w:t xml:space="preserve">panels held to discuss </w:t>
      </w:r>
      <w:r w:rsidR="00E7653B">
        <w:t>people</w:t>
      </w:r>
      <w:r w:rsidR="00E7653B" w:rsidRPr="00E165DD">
        <w:t xml:space="preserve"> </w:t>
      </w:r>
      <w:r w:rsidRPr="00E165DD">
        <w:t xml:space="preserve">who met the eligibility criteria. There were </w:t>
      </w:r>
      <w:r w:rsidR="00AD12EC">
        <w:t>2</w:t>
      </w:r>
      <w:r w:rsidR="00AD12EC" w:rsidRPr="00E165DD">
        <w:t xml:space="preserve"> </w:t>
      </w:r>
      <w:r w:rsidR="00AD12EC">
        <w:t>other</w:t>
      </w:r>
      <w:r w:rsidR="00AD12EC" w:rsidRPr="00E165DD">
        <w:t xml:space="preserve"> </w:t>
      </w:r>
      <w:r w:rsidRPr="00E165DD">
        <w:t>panels convened</w:t>
      </w:r>
      <w:r w:rsidR="00E7653B">
        <w:t>:</w:t>
      </w:r>
      <w:r w:rsidRPr="00E165DD">
        <w:t xml:space="preserve"> one in December 2023 to discuss the panel’s impact and effectiveness and identifying opportunities for improvement</w:t>
      </w:r>
      <w:r w:rsidR="00E7653B">
        <w:t>,</w:t>
      </w:r>
      <w:r w:rsidRPr="00E165DD">
        <w:t xml:space="preserve"> and one in February to review and endorse the 2023 SCNAP </w:t>
      </w:r>
      <w:r w:rsidR="000800F3">
        <w:t>a</w:t>
      </w:r>
      <w:r w:rsidRPr="00E165DD">
        <w:t xml:space="preserve">nnual </w:t>
      </w:r>
      <w:r w:rsidR="005B37CF">
        <w:t>r</w:t>
      </w:r>
      <w:r w:rsidRPr="00E165DD">
        <w:t>eport.</w:t>
      </w:r>
    </w:p>
    <w:p w14:paraId="6A340001" w14:textId="7049CB85" w:rsidR="00923023" w:rsidRPr="005266A8" w:rsidRDefault="00923023" w:rsidP="00A15220">
      <w:pPr>
        <w:pStyle w:val="Heading2"/>
        <w:rPr>
          <w:szCs w:val="32"/>
        </w:rPr>
      </w:pPr>
      <w:bookmarkStart w:id="45" w:name="_Toc180660142"/>
      <w:r w:rsidRPr="005266A8">
        <w:rPr>
          <w:szCs w:val="32"/>
        </w:rPr>
        <w:t xml:space="preserve">Custodial </w:t>
      </w:r>
      <w:r w:rsidR="00B73919">
        <w:rPr>
          <w:szCs w:val="32"/>
        </w:rPr>
        <w:t>s</w:t>
      </w:r>
      <w:r w:rsidRPr="005266A8">
        <w:rPr>
          <w:szCs w:val="32"/>
        </w:rPr>
        <w:t>ettings</w:t>
      </w:r>
      <w:bookmarkEnd w:id="45"/>
    </w:p>
    <w:p w14:paraId="62EAFE18" w14:textId="0FAB23DF" w:rsidR="009D1D8D" w:rsidRPr="005266A8" w:rsidRDefault="009D1D8D" w:rsidP="00E165DD">
      <w:pPr>
        <w:pStyle w:val="Body"/>
        <w:spacing w:before="240"/>
      </w:pPr>
      <w:r w:rsidRPr="005266A8">
        <w:t xml:space="preserve">Under the </w:t>
      </w:r>
      <w:r w:rsidDel="00E5606B">
        <w:t xml:space="preserve">Mental Health </w:t>
      </w:r>
      <w:r w:rsidR="009E2F0A" w:rsidRPr="00532524">
        <w:t>and Wellbeing Act</w:t>
      </w:r>
      <w:r w:rsidR="001F2C28">
        <w:t>,</w:t>
      </w:r>
      <w:r w:rsidRPr="005266A8">
        <w:t xml:space="preserve"> the Chief Psychiatrist</w:t>
      </w:r>
      <w:r w:rsidR="009E2F0A" w:rsidRPr="00532524">
        <w:t>’</w:t>
      </w:r>
      <w:r w:rsidRPr="005266A8">
        <w:t xml:space="preserve">s </w:t>
      </w:r>
      <w:r w:rsidR="00903FE8">
        <w:t>jurisdiction</w:t>
      </w:r>
      <w:r w:rsidRPr="005266A8">
        <w:t xml:space="preserve"> was expanded to include mental health and wellbeing services in custodial settings. As of </w:t>
      </w:r>
      <w:proofErr w:type="gramStart"/>
      <w:r w:rsidRPr="005266A8">
        <w:t>1 September 2023</w:t>
      </w:r>
      <w:proofErr w:type="gramEnd"/>
      <w:r w:rsidRPr="005266A8">
        <w:t xml:space="preserve"> specialist mental health services in prison and youth justice settings came under the oversight of the Chief Psychiatrist.</w:t>
      </w:r>
    </w:p>
    <w:p w14:paraId="16D7F599" w14:textId="36D71A8F" w:rsidR="009D1D8D" w:rsidRPr="005266A8" w:rsidRDefault="009D1D8D" w:rsidP="005266A8">
      <w:pPr>
        <w:pStyle w:val="Body"/>
      </w:pPr>
      <w:r w:rsidRPr="005266A8">
        <w:t xml:space="preserve">The </w:t>
      </w:r>
      <w:r w:rsidR="005C6425">
        <w:t>OCP</w:t>
      </w:r>
      <w:r w:rsidRPr="005266A8">
        <w:t xml:space="preserve"> has worked with </w:t>
      </w:r>
      <w:proofErr w:type="spellStart"/>
      <w:r w:rsidRPr="005266A8">
        <w:t>Forensicare</w:t>
      </w:r>
      <w:proofErr w:type="spellEnd"/>
      <w:r w:rsidRPr="005266A8">
        <w:t xml:space="preserve"> and </w:t>
      </w:r>
      <w:proofErr w:type="spellStart"/>
      <w:r w:rsidRPr="005266A8">
        <w:t>Orygen</w:t>
      </w:r>
      <w:proofErr w:type="spellEnd"/>
      <w:r w:rsidRPr="005266A8">
        <w:t xml:space="preserve"> to </w:t>
      </w:r>
      <w:r w:rsidR="00BB3B12">
        <w:t xml:space="preserve">help </w:t>
      </w:r>
      <w:r w:rsidRPr="005266A8">
        <w:t>expan</w:t>
      </w:r>
      <w:r w:rsidR="00BB3B12">
        <w:t>d</w:t>
      </w:r>
      <w:r w:rsidRPr="005266A8">
        <w:t xml:space="preserve"> their reporting to cover </w:t>
      </w:r>
      <w:r w:rsidR="009E2F0A" w:rsidRPr="00532524">
        <w:t xml:space="preserve">mental health </w:t>
      </w:r>
      <w:r w:rsidRPr="005266A8">
        <w:t>service</w:t>
      </w:r>
      <w:r w:rsidR="00E7653B">
        <w:t>s</w:t>
      </w:r>
      <w:r w:rsidRPr="005266A8">
        <w:t xml:space="preserve"> in prison and youth justice </w:t>
      </w:r>
      <w:r w:rsidR="00BB3B12">
        <w:t>settings</w:t>
      </w:r>
      <w:r w:rsidRPr="005266A8">
        <w:t>. The data available from these settings is included with the rest of the mental health sector data in this report.</w:t>
      </w:r>
    </w:p>
    <w:p w14:paraId="309A13B8" w14:textId="2B893C59" w:rsidR="009D1D8D" w:rsidRPr="005266A8" w:rsidRDefault="009D1D8D" w:rsidP="005266A8">
      <w:pPr>
        <w:pStyle w:val="Body"/>
      </w:pPr>
      <w:r w:rsidRPr="005266A8">
        <w:t>The successful implementation of the Chief Psychiatrist's expanded role into prison and youth justice settings relies on a collaborative and coordinated relationship with the Department of Justice and Community Safety.</w:t>
      </w:r>
    </w:p>
    <w:p w14:paraId="21F3557C" w14:textId="5BD20025" w:rsidR="009D1D8D" w:rsidRPr="005266A8" w:rsidRDefault="009D1D8D" w:rsidP="005266A8">
      <w:pPr>
        <w:pStyle w:val="Body"/>
      </w:pPr>
      <w:r w:rsidRPr="005266A8">
        <w:t xml:space="preserve">The </w:t>
      </w:r>
      <w:r w:rsidR="009E2F0A" w:rsidRPr="00532524">
        <w:t>OCP</w:t>
      </w:r>
      <w:r w:rsidRPr="005266A8">
        <w:t xml:space="preserve"> has been working with </w:t>
      </w:r>
      <w:r w:rsidR="00AD12EC" w:rsidRPr="005266A8">
        <w:t xml:space="preserve">the </w:t>
      </w:r>
      <w:r w:rsidR="00B037F8">
        <w:t>D</w:t>
      </w:r>
      <w:r w:rsidR="00AD12EC" w:rsidRPr="005266A8">
        <w:t xml:space="preserve">epartment </w:t>
      </w:r>
      <w:r w:rsidR="00B037F8">
        <w:t xml:space="preserve">of Justice and Community Safety </w:t>
      </w:r>
      <w:r w:rsidRPr="005266A8">
        <w:t xml:space="preserve">to support the reviews of reportable deaths that have occurred in custodial settings since 1 September 2023 with a view </w:t>
      </w:r>
      <w:r w:rsidR="009E2F0A" w:rsidRPr="00532524">
        <w:t>to improving</w:t>
      </w:r>
      <w:r w:rsidRPr="005266A8">
        <w:t xml:space="preserve"> the safety and quality of mental health</w:t>
      </w:r>
      <w:r w:rsidR="009E2F0A" w:rsidRPr="00532524">
        <w:t xml:space="preserve"> </w:t>
      </w:r>
      <w:r w:rsidRPr="005266A8">
        <w:t xml:space="preserve">care </w:t>
      </w:r>
      <w:r w:rsidR="009E2F0A" w:rsidRPr="00532524">
        <w:t>in those settings</w:t>
      </w:r>
      <w:r w:rsidRPr="005266A8">
        <w:t xml:space="preserve">. The </w:t>
      </w:r>
      <w:r w:rsidR="009E2F0A" w:rsidRPr="00532524">
        <w:t>OCP</w:t>
      </w:r>
      <w:r w:rsidRPr="005266A8">
        <w:t xml:space="preserve"> has </w:t>
      </w:r>
      <w:r w:rsidR="001D5273" w:rsidRPr="00532524">
        <w:t>taken part in</w:t>
      </w:r>
      <w:r w:rsidRPr="005266A8">
        <w:t xml:space="preserve"> review</w:t>
      </w:r>
      <w:r w:rsidR="001D5273" w:rsidRPr="00532524">
        <w:t>s relating to</w:t>
      </w:r>
      <w:r w:rsidRPr="005266A8" w:rsidDel="001D5273">
        <w:t xml:space="preserve"> </w:t>
      </w:r>
      <w:r w:rsidR="00AD12EC">
        <w:t>6</w:t>
      </w:r>
      <w:r w:rsidR="00AD12EC" w:rsidRPr="005266A8">
        <w:t xml:space="preserve"> </w:t>
      </w:r>
      <w:r w:rsidRPr="005266A8">
        <w:t xml:space="preserve">deaths in custodial settings since the </w:t>
      </w:r>
      <w:r w:rsidR="00FF1D0E">
        <w:t>A</w:t>
      </w:r>
      <w:r w:rsidR="001D5273" w:rsidRPr="00532524">
        <w:t>ct</w:t>
      </w:r>
      <w:r w:rsidRPr="005266A8">
        <w:t xml:space="preserve"> came into effect last year.</w:t>
      </w:r>
    </w:p>
    <w:p w14:paraId="15B31AE3" w14:textId="7959A309" w:rsidR="009D1D8D" w:rsidRPr="005266A8" w:rsidRDefault="009D1D8D" w:rsidP="005266A8">
      <w:pPr>
        <w:pStyle w:val="Body"/>
      </w:pPr>
      <w:r w:rsidRPr="005266A8">
        <w:t xml:space="preserve">The </w:t>
      </w:r>
      <w:r w:rsidR="00FF1D0E">
        <w:t>OCP</w:t>
      </w:r>
      <w:r w:rsidRPr="005266A8">
        <w:t xml:space="preserve"> has been a member of the working group for the Recommissioning of Forensic Mental Health services in prison. </w:t>
      </w:r>
      <w:r w:rsidR="0074256F">
        <w:t>The OCP is working with D</w:t>
      </w:r>
      <w:r w:rsidR="008539E7">
        <w:t>epartment of Justice and Community Safety to</w:t>
      </w:r>
      <w:r w:rsidR="00E7653B">
        <w:t xml:space="preserve"> develop </w:t>
      </w:r>
      <w:r w:rsidRPr="005266A8">
        <w:t>new quality standards for mental health care in prisons.</w:t>
      </w:r>
    </w:p>
    <w:p w14:paraId="169D37C6" w14:textId="2C762A9B" w:rsidR="009D1D8D" w:rsidRPr="005266A8" w:rsidRDefault="009D1D8D" w:rsidP="005266A8">
      <w:pPr>
        <w:pStyle w:val="Heading3"/>
      </w:pPr>
      <w:r w:rsidRPr="005266A8">
        <w:lastRenderedPageBreak/>
        <w:t>River Unit</w:t>
      </w:r>
    </w:p>
    <w:p w14:paraId="7D7B6833" w14:textId="034D57C6" w:rsidR="00E7653B" w:rsidRDefault="009D1D8D" w:rsidP="00556A6D">
      <w:pPr>
        <w:pStyle w:val="Body"/>
      </w:pPr>
      <w:r w:rsidRPr="005266A8">
        <w:t>River Unit</w:t>
      </w:r>
      <w:r w:rsidR="001D5273" w:rsidRPr="001329B9">
        <w:t xml:space="preserve"> is</w:t>
      </w:r>
      <w:r w:rsidRPr="005266A8">
        <w:t xml:space="preserve"> an </w:t>
      </w:r>
      <w:r w:rsidR="00AD12EC">
        <w:t>8</w:t>
      </w:r>
      <w:r w:rsidR="009E1023" w:rsidRPr="001329B9">
        <w:t>-</w:t>
      </w:r>
      <w:r w:rsidRPr="005266A8">
        <w:t>bed mental health unit</w:t>
      </w:r>
      <w:r w:rsidR="009E1023" w:rsidRPr="001329B9">
        <w:t xml:space="preserve"> at Cherry Creek </w:t>
      </w:r>
      <w:r w:rsidR="00E7653B">
        <w:t xml:space="preserve">Youth Justice Centre </w:t>
      </w:r>
      <w:r w:rsidR="009E1023" w:rsidRPr="001329B9">
        <w:t>that is</w:t>
      </w:r>
      <w:r w:rsidRPr="00B46251">
        <w:t xml:space="preserve"> staffed by </w:t>
      </w:r>
      <w:proofErr w:type="spellStart"/>
      <w:r w:rsidRPr="00B46251">
        <w:t>Orygen</w:t>
      </w:r>
      <w:proofErr w:type="spellEnd"/>
      <w:r w:rsidRPr="00B46251">
        <w:t xml:space="preserve"> and Youth Justice</w:t>
      </w:r>
      <w:r w:rsidR="009E1023" w:rsidRPr="001329B9">
        <w:t>. It</w:t>
      </w:r>
      <w:r w:rsidRPr="00B46251">
        <w:t xml:space="preserve"> opened in July 2024</w:t>
      </w:r>
      <w:r w:rsidR="009E1023" w:rsidRPr="001329B9">
        <w:t xml:space="preserve"> and </w:t>
      </w:r>
      <w:r w:rsidRPr="00B46251">
        <w:t>is the first bed</w:t>
      </w:r>
      <w:r w:rsidR="00E7653B">
        <w:t>-</w:t>
      </w:r>
      <w:r w:rsidRPr="00B46251">
        <w:t xml:space="preserve">based mental health unit </w:t>
      </w:r>
      <w:r w:rsidR="00E7653B">
        <w:t xml:space="preserve">in a </w:t>
      </w:r>
      <w:r w:rsidRPr="00B46251">
        <w:t>Victoria</w:t>
      </w:r>
      <w:r w:rsidR="00E7653B">
        <w:t>n youth justice facility</w:t>
      </w:r>
      <w:r w:rsidRPr="00B46251">
        <w:t xml:space="preserve">. </w:t>
      </w:r>
      <w:r w:rsidR="00E7653B">
        <w:t xml:space="preserve">The OCP’s work in 2023–24 included </w:t>
      </w:r>
      <w:r w:rsidRPr="00B46251">
        <w:t xml:space="preserve">collaborating with </w:t>
      </w:r>
      <w:r w:rsidR="009E1023" w:rsidRPr="001329B9">
        <w:t>the Department of</w:t>
      </w:r>
      <w:r w:rsidRPr="00B46251">
        <w:t xml:space="preserve"> Health and Justice Health to prepare for </w:t>
      </w:r>
      <w:r w:rsidR="009E1023" w:rsidRPr="001329B9">
        <w:t>the opening by</w:t>
      </w:r>
      <w:r w:rsidR="00E7653B">
        <w:t>:</w:t>
      </w:r>
      <w:r w:rsidRPr="005266A8">
        <w:t xml:space="preserve"> </w:t>
      </w:r>
    </w:p>
    <w:p w14:paraId="79D9FAAA" w14:textId="69A900C9" w:rsidR="00E7653B" w:rsidRDefault="009D1D8D" w:rsidP="00E7653B">
      <w:pPr>
        <w:pStyle w:val="Bullet1"/>
      </w:pPr>
      <w:r w:rsidRPr="005266A8">
        <w:t>reviewing operating procedures and guidelines</w:t>
      </w:r>
    </w:p>
    <w:p w14:paraId="25051E84" w14:textId="308C992E" w:rsidR="00E7653B" w:rsidRDefault="009D1D8D" w:rsidP="00E7653B">
      <w:pPr>
        <w:pStyle w:val="Bullet1"/>
      </w:pPr>
      <w:r w:rsidRPr="005266A8">
        <w:t xml:space="preserve">undertaking reporting exercises with </w:t>
      </w:r>
      <w:proofErr w:type="spellStart"/>
      <w:r w:rsidRPr="005266A8">
        <w:t>Orygen</w:t>
      </w:r>
      <w:proofErr w:type="spellEnd"/>
      <w:r w:rsidRPr="005266A8">
        <w:t>, Justice Health and Youth Justice</w:t>
      </w:r>
    </w:p>
    <w:p w14:paraId="1C1BCF05" w14:textId="60AB41B8" w:rsidR="00E7653B" w:rsidRDefault="009D1D8D" w:rsidP="00610AE4">
      <w:pPr>
        <w:pStyle w:val="Bullet1"/>
      </w:pPr>
      <w:r w:rsidRPr="005266A8">
        <w:t xml:space="preserve">meeting with stakeholders. </w:t>
      </w:r>
    </w:p>
    <w:p w14:paraId="21B141EB" w14:textId="3BF03F76" w:rsidR="009D1D8D" w:rsidRPr="005266A8" w:rsidRDefault="009D1D8D" w:rsidP="00610AE4">
      <w:pPr>
        <w:pStyle w:val="Bodyafterbullets"/>
      </w:pPr>
      <w:proofErr w:type="gramStart"/>
      <w:r w:rsidRPr="005266A8">
        <w:t>The majority of</w:t>
      </w:r>
      <w:proofErr w:type="gramEnd"/>
      <w:r w:rsidRPr="005266A8">
        <w:t xml:space="preserve"> reporting that will occur in </w:t>
      </w:r>
      <w:r w:rsidR="00E7653B">
        <w:t>y</w:t>
      </w:r>
      <w:r w:rsidRPr="005266A8">
        <w:t xml:space="preserve">outh </w:t>
      </w:r>
      <w:r w:rsidR="00E7653B">
        <w:t>j</w:t>
      </w:r>
      <w:r w:rsidRPr="005266A8">
        <w:t xml:space="preserve">ustice settings will relate to care provided in the River </w:t>
      </w:r>
      <w:r w:rsidR="002B5139" w:rsidRPr="001329B9">
        <w:t>U</w:t>
      </w:r>
      <w:r w:rsidRPr="005266A8">
        <w:rPr>
          <w:bCs/>
        </w:rPr>
        <w:t>nit</w:t>
      </w:r>
      <w:r w:rsidRPr="005266A8">
        <w:t>.</w:t>
      </w:r>
    </w:p>
    <w:p w14:paraId="283A98A2" w14:textId="77777777" w:rsidR="009D1D8D" w:rsidRPr="005266A8" w:rsidRDefault="009D1D8D" w:rsidP="005266A8">
      <w:pPr>
        <w:pStyle w:val="Heading3"/>
      </w:pPr>
      <w:r w:rsidRPr="005266A8">
        <w:t>Forensic Advisory Groups </w:t>
      </w:r>
    </w:p>
    <w:p w14:paraId="379812C3" w14:textId="475F95FD" w:rsidR="009D1D8D" w:rsidRPr="005266A8" w:rsidRDefault="002B5139" w:rsidP="005266A8">
      <w:pPr>
        <w:pStyle w:val="Body"/>
      </w:pPr>
      <w:r w:rsidRPr="001329B9">
        <w:t>T</w:t>
      </w:r>
      <w:r w:rsidR="009D1D8D" w:rsidRPr="00B46251">
        <w:rPr>
          <w:bCs/>
        </w:rPr>
        <w:t>he</w:t>
      </w:r>
      <w:r w:rsidR="009D1D8D" w:rsidRPr="00B46251">
        <w:t xml:space="preserve"> Forensic Advisory Groups have been formed</w:t>
      </w:r>
      <w:r w:rsidRPr="001329B9">
        <w:t xml:space="preserve"> to support the Chief Psychiatrist in their role</w:t>
      </w:r>
      <w:r w:rsidR="009D1D8D" w:rsidRPr="00B46251">
        <w:t xml:space="preserve">. </w:t>
      </w:r>
      <w:r w:rsidR="009D1D8D" w:rsidRPr="00B46251">
        <w:rPr>
          <w:bCs/>
        </w:rPr>
        <w:t>The</w:t>
      </w:r>
      <w:r w:rsidR="009D1D8D" w:rsidRPr="00B46251" w:rsidDel="002B5139">
        <w:t xml:space="preserve"> </w:t>
      </w:r>
      <w:r w:rsidRPr="001329B9">
        <w:t xml:space="preserve">OCP </w:t>
      </w:r>
      <w:r w:rsidR="009D1D8D" w:rsidRPr="00B46251">
        <w:t xml:space="preserve">has initiated </w:t>
      </w:r>
      <w:r w:rsidR="00AD12EC">
        <w:t>2</w:t>
      </w:r>
      <w:r w:rsidR="00AD12EC" w:rsidRPr="00B46251">
        <w:t xml:space="preserve"> </w:t>
      </w:r>
      <w:r w:rsidR="009D1D8D" w:rsidRPr="00B46251">
        <w:t>such groups – one with an adult focus and one with a focus on young people involved with the justice system.  These Forensic Advisory Groups bring together experts within the sector to connect and discuss the issues affecting the quality and safety of mental health care for people involved with the justice system.</w:t>
      </w:r>
      <w:r w:rsidR="009D1D8D" w:rsidRPr="00B46251">
        <w:rPr>
          <w:bCs/>
        </w:rPr>
        <w:t>  The</w:t>
      </w:r>
      <w:r w:rsidR="009D1D8D" w:rsidRPr="00B46251">
        <w:t xml:space="preserve"> groups play a key role in advising the Chief Psychiatrist on the systemic issues impacting mental health consumers in contact with the justice system, and on what more integrated and effective health</w:t>
      </w:r>
      <w:r w:rsidR="00C52B00">
        <w:t xml:space="preserve"> </w:t>
      </w:r>
      <w:r w:rsidR="009D1D8D" w:rsidRPr="00B46251">
        <w:t>care might look like. They provide a forum to connect services and professionals around shared issues</w:t>
      </w:r>
      <w:r w:rsidR="00580258" w:rsidRPr="001329B9">
        <w:t xml:space="preserve">, with </w:t>
      </w:r>
      <w:r w:rsidR="009D1D8D" w:rsidRPr="00B46251">
        <w:t>meetings occur</w:t>
      </w:r>
      <w:r w:rsidR="00580258" w:rsidRPr="001329B9">
        <w:t>ring</w:t>
      </w:r>
      <w:r w:rsidR="009D1D8D" w:rsidRPr="005266A8">
        <w:t xml:space="preserve"> quarterly.</w:t>
      </w:r>
    </w:p>
    <w:p w14:paraId="60149855" w14:textId="5D067D7F" w:rsidR="009D1D8D" w:rsidRPr="005266A8" w:rsidRDefault="009D1D8D" w:rsidP="005266A8">
      <w:pPr>
        <w:pStyle w:val="Heading3"/>
      </w:pPr>
      <w:r w:rsidRPr="005266A8">
        <w:t>Transfer of Care Project</w:t>
      </w:r>
    </w:p>
    <w:p w14:paraId="29B9D8B4" w14:textId="2A2DDF11" w:rsidR="0056410F" w:rsidRPr="00D665F6" w:rsidRDefault="009D1D8D" w:rsidP="00D665F6">
      <w:pPr>
        <w:pStyle w:val="Body"/>
      </w:pPr>
      <w:r w:rsidRPr="005266A8">
        <w:t xml:space="preserve">Issues in the transfer of care process for justice-involved consumers have been </w:t>
      </w:r>
      <w:r w:rsidR="00580258" w:rsidRPr="001329B9">
        <w:t>at the centre of</w:t>
      </w:r>
      <w:r w:rsidRPr="00B46251">
        <w:t xml:space="preserve"> </w:t>
      </w:r>
      <w:proofErr w:type="gramStart"/>
      <w:r w:rsidRPr="00B46251">
        <w:t>a number of</w:t>
      </w:r>
      <w:proofErr w:type="gramEnd"/>
      <w:r w:rsidRPr="00B46251">
        <w:t xml:space="preserve"> </w:t>
      </w:r>
      <w:r w:rsidR="00C52B00">
        <w:t>c</w:t>
      </w:r>
      <w:r w:rsidRPr="00B46251">
        <w:t xml:space="preserve">oronial findings. </w:t>
      </w:r>
      <w:r w:rsidR="00C52B00">
        <w:t>In 2023–24 t</w:t>
      </w:r>
      <w:r w:rsidRPr="00B46251">
        <w:t xml:space="preserve">he </w:t>
      </w:r>
      <w:r w:rsidR="00580258" w:rsidRPr="001329B9">
        <w:t>OCP</w:t>
      </w:r>
      <w:r w:rsidRPr="005266A8">
        <w:t xml:space="preserve"> work</w:t>
      </w:r>
      <w:r w:rsidR="00C52B00">
        <w:t>ed</w:t>
      </w:r>
      <w:r w:rsidRPr="005266A8">
        <w:t xml:space="preserve"> with a range of stakeholders to understand the challenges and barriers to ensuring effective transfers of care for this group. The project will lead to the development of a guideline for transfers of care involving justice-involved consumers.</w:t>
      </w:r>
    </w:p>
    <w:sectPr w:rsidR="0056410F" w:rsidRPr="00D665F6" w:rsidSect="00363C00">
      <w:headerReference w:type="even" r:id="rId26"/>
      <w:headerReference w:type="default" r:id="rId27"/>
      <w:footerReference w:type="even" r:id="rId28"/>
      <w:footerReference w:type="default" r:id="rId29"/>
      <w:headerReference w:type="first" r:id="rId30"/>
      <w:footerReference w:type="first" r:id="rId31"/>
      <w:footnotePr>
        <w:numFmt w:val="chicago"/>
      </w:footnotePr>
      <w:type w:val="continuous"/>
      <w:pgSz w:w="11906" w:h="16838"/>
      <w:pgMar w:top="1411" w:right="1310" w:bottom="850" w:left="1310" w:header="677"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011D7" w14:textId="77777777" w:rsidR="004618F4" w:rsidRDefault="004618F4">
      <w:r>
        <w:separator/>
      </w:r>
    </w:p>
  </w:endnote>
  <w:endnote w:type="continuationSeparator" w:id="0">
    <w:p w14:paraId="04DED596" w14:textId="77777777" w:rsidR="004618F4" w:rsidRDefault="004618F4">
      <w:r>
        <w:continuationSeparator/>
      </w:r>
    </w:p>
  </w:endnote>
  <w:endnote w:type="continuationNotice" w:id="1">
    <w:p w14:paraId="6E738D91" w14:textId="77777777" w:rsidR="004618F4" w:rsidRDefault="00461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48C16" w14:textId="1DC02189" w:rsidR="00F33284" w:rsidRDefault="00F33284">
    <w:pPr>
      <w:pStyle w:val="Footer"/>
    </w:pPr>
    <w:r>
      <w:rPr>
        <w:noProof/>
      </w:rPr>
      <mc:AlternateContent>
        <mc:Choice Requires="wps">
          <w:drawing>
            <wp:anchor distT="0" distB="0" distL="114300" distR="114300" simplePos="0" relativeHeight="251658241" behindDoc="0" locked="0" layoutInCell="0" allowOverlap="1" wp14:anchorId="6ED338FE" wp14:editId="08A28BB1">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35C3F" w14:textId="7DA10E6C"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338FE" id="_x0000_t202" coordsize="21600,21600" o:spt="202" path="m,l,21600r21600,l21600,xe">
              <v:stroke joinstyle="miter"/>
              <v:path gradientshapeok="t" o:connecttype="rect"/>
            </v:shapetype>
            <v:shape id="Text Box 4" o:spid="_x0000_s1027" type="#_x0000_t202" alt="{&quot;HashCode&quot;:904758361,&quot;Height&quot;:841.0,&quot;Width&quot;:595.0,&quot;Placement&quot;:&quot;Footer&quot;,&quot;Index&quot;:&quot;OddAndEven&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F35C3F" w14:textId="7DA10E6C"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947E7" w14:textId="14EA5824" w:rsidR="00F33284" w:rsidRDefault="00F33284">
    <w:pPr>
      <w:pStyle w:val="Footer"/>
    </w:pPr>
    <w:r>
      <w:rPr>
        <w:noProof/>
      </w:rPr>
      <mc:AlternateContent>
        <mc:Choice Requires="wps">
          <w:drawing>
            <wp:anchor distT="0" distB="0" distL="114300" distR="114300" simplePos="0" relativeHeight="251658240" behindDoc="0" locked="0" layoutInCell="0" allowOverlap="1" wp14:anchorId="7D442AA0" wp14:editId="76746DD9">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285477" w14:textId="53AAEA07" w:rsidR="00F33284" w:rsidRPr="00F861AC" w:rsidRDefault="00F33284" w:rsidP="00F861AC">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442AA0" id="_x0000_t202" coordsize="21600,21600" o:spt="202" path="m,l,21600r21600,l21600,xe">
              <v:stroke joinstyle="miter"/>
              <v:path gradientshapeok="t" o:connecttype="rect"/>
            </v:shapetype>
            <v:shape id="Text Box 1"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285477" w14:textId="53AAEA07" w:rsidR="00F33284" w:rsidRPr="00F861AC" w:rsidRDefault="00F33284" w:rsidP="00F861AC">
                    <w:pPr>
                      <w:jc w:val="center"/>
                      <w:rPr>
                        <w:rFonts w:ascii="Arial Black" w:hAnsi="Arial Black"/>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EE30" w14:textId="5915CFAA" w:rsidR="00F33284" w:rsidRPr="00D7458D" w:rsidRDefault="00F33284" w:rsidP="00D745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EFD76" w14:textId="27E2E431" w:rsidR="00F33284" w:rsidRPr="0031753A" w:rsidRDefault="00F33284" w:rsidP="00E969B1">
    <w:pPr>
      <w:pStyle w:val="DHHS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98C0" w14:textId="77777777" w:rsidR="00F33284" w:rsidRPr="001A7E04" w:rsidRDefault="00F33284"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EE87D" w14:textId="77777777" w:rsidR="004618F4" w:rsidRDefault="004618F4">
      <w:r>
        <w:separator/>
      </w:r>
    </w:p>
  </w:footnote>
  <w:footnote w:type="continuationSeparator" w:id="0">
    <w:p w14:paraId="3FF2A35A" w14:textId="77777777" w:rsidR="004618F4" w:rsidRDefault="004618F4">
      <w:r>
        <w:continuationSeparator/>
      </w:r>
    </w:p>
  </w:footnote>
  <w:footnote w:type="continuationNotice" w:id="1">
    <w:p w14:paraId="52C82180" w14:textId="77777777" w:rsidR="004618F4" w:rsidRDefault="00461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B9C8" w14:textId="1444DFC0" w:rsidR="00F33284" w:rsidRPr="00E22F0F" w:rsidRDefault="00D7458D" w:rsidP="00E22F0F">
    <w:pPr>
      <w:pStyle w:val="Header"/>
      <w:rPr>
        <w:b/>
        <w:bCs/>
      </w:rPr>
    </w:pPr>
    <w:r w:rsidRPr="00E22F0F">
      <w:rPr>
        <w:b/>
        <w:bCs/>
      </w:rPr>
      <w:t>Chief Psychiatrist’s annual report 202</w:t>
    </w:r>
    <w:r w:rsidR="00363C00">
      <w:rPr>
        <w:b/>
        <w:bCs/>
      </w:rPr>
      <w:t>3</w:t>
    </w:r>
    <w:r w:rsidRPr="00E22F0F">
      <w:rPr>
        <w:b/>
        <w:bCs/>
      </w:rPr>
      <w:t>–2</w:t>
    </w:r>
    <w:r w:rsidR="00363C00">
      <w:rPr>
        <w:b/>
        <w:bCs/>
      </w:rPr>
      <w:t>4</w:t>
    </w:r>
    <w:r w:rsidRPr="00E22F0F">
      <w:rPr>
        <w:b/>
        <w:bCs/>
      </w:rPr>
      <w:ptab w:relativeTo="margin" w:alignment="right" w:leader="none"/>
    </w:r>
    <w:r w:rsidR="004B766F" w:rsidRPr="004B766F">
      <w:rPr>
        <w:b/>
        <w:bCs/>
      </w:rPr>
      <w:fldChar w:fldCharType="begin"/>
    </w:r>
    <w:r w:rsidR="004B766F" w:rsidRPr="004B766F">
      <w:rPr>
        <w:b/>
        <w:bCs/>
      </w:rPr>
      <w:instrText xml:space="preserve"> PAGE   \* MERGEFORMAT </w:instrText>
    </w:r>
    <w:r w:rsidR="004B766F" w:rsidRPr="004B766F">
      <w:rPr>
        <w:b/>
        <w:bCs/>
      </w:rPr>
      <w:fldChar w:fldCharType="separate"/>
    </w:r>
    <w:r w:rsidR="004B766F" w:rsidRPr="004B766F">
      <w:rPr>
        <w:b/>
        <w:bCs/>
        <w:noProof/>
      </w:rPr>
      <w:t>1</w:t>
    </w:r>
    <w:r w:rsidR="004B766F" w:rsidRPr="004B766F">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96D24" w14:textId="19850C72" w:rsidR="00F33284" w:rsidRPr="00363C00" w:rsidRDefault="00363C00" w:rsidP="00363C00">
    <w:pPr>
      <w:pStyle w:val="Header"/>
      <w:rPr>
        <w:b/>
        <w:bCs/>
      </w:rPr>
    </w:pPr>
    <w:r w:rsidRPr="00E22F0F">
      <w:rPr>
        <w:b/>
        <w:bCs/>
      </w:rPr>
      <w:t>Chief Psychiatrist’s annual report 202</w:t>
    </w:r>
    <w:r>
      <w:rPr>
        <w:b/>
        <w:bCs/>
      </w:rPr>
      <w:t>3</w:t>
    </w:r>
    <w:r w:rsidRPr="00E22F0F">
      <w:rPr>
        <w:b/>
        <w:bCs/>
      </w:rPr>
      <w:t>–2</w:t>
    </w:r>
    <w:r>
      <w:rPr>
        <w:b/>
        <w:bCs/>
      </w:rPr>
      <w:t>4</w:t>
    </w:r>
    <w:r w:rsidRPr="00E22F0F">
      <w:rPr>
        <w:b/>
        <w:bCs/>
      </w:rPr>
      <w:ptab w:relativeTo="margin" w:alignment="right" w:leader="none"/>
    </w:r>
    <w:r w:rsidRPr="004B766F">
      <w:rPr>
        <w:b/>
        <w:bCs/>
      </w:rPr>
      <w:fldChar w:fldCharType="begin"/>
    </w:r>
    <w:r w:rsidRPr="004B766F">
      <w:rPr>
        <w:b/>
        <w:bCs/>
      </w:rPr>
      <w:instrText xml:space="preserve"> PAGE   \* MERGEFORMAT </w:instrText>
    </w:r>
    <w:r w:rsidRPr="004B766F">
      <w:rPr>
        <w:b/>
        <w:bCs/>
      </w:rPr>
      <w:fldChar w:fldCharType="separate"/>
    </w:r>
    <w:r>
      <w:rPr>
        <w:b/>
        <w:bCs/>
      </w:rPr>
      <w:t>12</w:t>
    </w:r>
    <w:r w:rsidRPr="004B766F">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C1BC9" w14:textId="02F637F6" w:rsidR="008E27AC" w:rsidRDefault="008E27AC">
    <w:pPr>
      <w:pStyle w:val="Header"/>
    </w:pPr>
  </w:p>
</w:hdr>
</file>

<file path=word/intelligence2.xml><?xml version="1.0" encoding="utf-8"?>
<int2:intelligence xmlns:int2="http://schemas.microsoft.com/office/intelligence/2020/intelligence" xmlns:oel="http://schemas.microsoft.com/office/2019/extlst">
  <int2:observations>
    <int2:textHash int2:hashCode="LmACF79Yfz+fm0" int2:id="WXYAeYXJ">
      <int2:state int2:value="Rejected" int2:type="AugLoop_Text_Critique"/>
    </int2:textHash>
    <int2:textHash int2:hashCode="MqKi+oYQwIA1A3" int2:id="rQF4wLL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2C27"/>
    <w:multiLevelType w:val="hybridMultilevel"/>
    <w:tmpl w:val="1898CD2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49A3D78"/>
    <w:multiLevelType w:val="hybridMultilevel"/>
    <w:tmpl w:val="AADAE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23624E"/>
    <w:multiLevelType w:val="hybridMultilevel"/>
    <w:tmpl w:val="4FEE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23029"/>
    <w:multiLevelType w:val="multilevel"/>
    <w:tmpl w:val="B83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05622"/>
    <w:multiLevelType w:val="hybridMultilevel"/>
    <w:tmpl w:val="5C3011F6"/>
    <w:lvl w:ilvl="0" w:tplc="5150E172">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A8364EB"/>
    <w:multiLevelType w:val="hybridMultilevel"/>
    <w:tmpl w:val="9BB4C4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C11D5E"/>
    <w:multiLevelType w:val="hybridMultilevel"/>
    <w:tmpl w:val="FFFFFFFF"/>
    <w:lvl w:ilvl="0" w:tplc="C318F398">
      <w:start w:val="1"/>
      <w:numFmt w:val="bullet"/>
      <w:lvlText w:val="•"/>
      <w:lvlJc w:val="left"/>
      <w:pPr>
        <w:ind w:left="1800" w:hanging="360"/>
      </w:pPr>
      <w:rPr>
        <w:rFonts w:ascii="Calibri" w:hAnsi="Calibri" w:hint="default"/>
      </w:rPr>
    </w:lvl>
    <w:lvl w:ilvl="1" w:tplc="D870FCD6">
      <w:start w:val="1"/>
      <w:numFmt w:val="bullet"/>
      <w:lvlText w:val="o"/>
      <w:lvlJc w:val="left"/>
      <w:pPr>
        <w:ind w:left="2520" w:hanging="360"/>
      </w:pPr>
      <w:rPr>
        <w:rFonts w:ascii="&quot;Courier New&quot;" w:hAnsi="&quot;Courier New&quot;" w:hint="default"/>
      </w:rPr>
    </w:lvl>
    <w:lvl w:ilvl="2" w:tplc="6002C90A">
      <w:start w:val="1"/>
      <w:numFmt w:val="bullet"/>
      <w:lvlText w:val=""/>
      <w:lvlJc w:val="left"/>
      <w:pPr>
        <w:ind w:left="2520" w:hanging="360"/>
      </w:pPr>
      <w:rPr>
        <w:rFonts w:ascii="Wingdings" w:hAnsi="Wingdings" w:hint="default"/>
      </w:rPr>
    </w:lvl>
    <w:lvl w:ilvl="3" w:tplc="193C8586">
      <w:start w:val="1"/>
      <w:numFmt w:val="bullet"/>
      <w:lvlText w:val=""/>
      <w:lvlJc w:val="left"/>
      <w:pPr>
        <w:ind w:left="3240" w:hanging="360"/>
      </w:pPr>
      <w:rPr>
        <w:rFonts w:ascii="Symbol" w:hAnsi="Symbol" w:hint="default"/>
      </w:rPr>
    </w:lvl>
    <w:lvl w:ilvl="4" w:tplc="D424E204">
      <w:start w:val="1"/>
      <w:numFmt w:val="bullet"/>
      <w:lvlText w:val="o"/>
      <w:lvlJc w:val="left"/>
      <w:pPr>
        <w:ind w:left="3960" w:hanging="360"/>
      </w:pPr>
      <w:rPr>
        <w:rFonts w:ascii="Courier New" w:hAnsi="Courier New" w:hint="default"/>
      </w:rPr>
    </w:lvl>
    <w:lvl w:ilvl="5" w:tplc="68725622">
      <w:start w:val="1"/>
      <w:numFmt w:val="bullet"/>
      <w:lvlText w:val=""/>
      <w:lvlJc w:val="left"/>
      <w:pPr>
        <w:ind w:left="4680" w:hanging="360"/>
      </w:pPr>
      <w:rPr>
        <w:rFonts w:ascii="Wingdings" w:hAnsi="Wingdings" w:hint="default"/>
      </w:rPr>
    </w:lvl>
    <w:lvl w:ilvl="6" w:tplc="E2AA457A">
      <w:start w:val="1"/>
      <w:numFmt w:val="bullet"/>
      <w:lvlText w:val=""/>
      <w:lvlJc w:val="left"/>
      <w:pPr>
        <w:ind w:left="5400" w:hanging="360"/>
      </w:pPr>
      <w:rPr>
        <w:rFonts w:ascii="Symbol" w:hAnsi="Symbol" w:hint="default"/>
      </w:rPr>
    </w:lvl>
    <w:lvl w:ilvl="7" w:tplc="BD587AF2">
      <w:start w:val="1"/>
      <w:numFmt w:val="bullet"/>
      <w:lvlText w:val="o"/>
      <w:lvlJc w:val="left"/>
      <w:pPr>
        <w:ind w:left="6120" w:hanging="360"/>
      </w:pPr>
      <w:rPr>
        <w:rFonts w:ascii="Courier New" w:hAnsi="Courier New" w:hint="default"/>
      </w:rPr>
    </w:lvl>
    <w:lvl w:ilvl="8" w:tplc="F51A912A">
      <w:start w:val="1"/>
      <w:numFmt w:val="bullet"/>
      <w:lvlText w:val=""/>
      <w:lvlJc w:val="left"/>
      <w:pPr>
        <w:ind w:left="6840" w:hanging="360"/>
      </w:pPr>
      <w:rPr>
        <w:rFonts w:ascii="Wingdings" w:hAnsi="Wingdings" w:hint="default"/>
      </w:rPr>
    </w:lvl>
  </w:abstractNum>
  <w:abstractNum w:abstractNumId="7" w15:restartNumberingAfterBreak="0">
    <w:nsid w:val="10DF7AE2"/>
    <w:multiLevelType w:val="multilevel"/>
    <w:tmpl w:val="1ECA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333CE"/>
    <w:multiLevelType w:val="hybridMultilevel"/>
    <w:tmpl w:val="56F20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A158BB"/>
    <w:multiLevelType w:val="multilevel"/>
    <w:tmpl w:val="A26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8B6A55"/>
    <w:multiLevelType w:val="hybridMultilevel"/>
    <w:tmpl w:val="24FE7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9F6498"/>
    <w:multiLevelType w:val="multilevel"/>
    <w:tmpl w:val="C09A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0A4038"/>
    <w:multiLevelType w:val="hybridMultilevel"/>
    <w:tmpl w:val="CCAC5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9027B1"/>
    <w:multiLevelType w:val="hybridMultilevel"/>
    <w:tmpl w:val="F0827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0704CF"/>
    <w:multiLevelType w:val="hybridMultilevel"/>
    <w:tmpl w:val="3538F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243300"/>
    <w:multiLevelType w:val="multilevel"/>
    <w:tmpl w:val="82B4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D51B47"/>
    <w:multiLevelType w:val="hybridMultilevel"/>
    <w:tmpl w:val="4B4E7622"/>
    <w:styleLink w:val="ZZNumbers"/>
    <w:lvl w:ilvl="0" w:tplc="F522C1C6">
      <w:start w:val="1"/>
      <w:numFmt w:val="decimal"/>
      <w:lvlText w:val="%1."/>
      <w:lvlJc w:val="left"/>
      <w:pPr>
        <w:tabs>
          <w:tab w:val="num" w:pos="681"/>
        </w:tabs>
        <w:ind w:left="681" w:hanging="397"/>
      </w:pPr>
      <w:rPr>
        <w:rFonts w:hint="default"/>
      </w:rPr>
    </w:lvl>
    <w:lvl w:ilvl="1" w:tplc="858E3FA0">
      <w:start w:val="1"/>
      <w:numFmt w:val="decimal"/>
      <w:lvlRestart w:val="0"/>
      <w:lvlText w:val="%2."/>
      <w:lvlJc w:val="left"/>
      <w:pPr>
        <w:tabs>
          <w:tab w:val="num" w:pos="794"/>
        </w:tabs>
        <w:ind w:left="794" w:hanging="397"/>
      </w:pPr>
      <w:rPr>
        <w:rFonts w:hint="default"/>
      </w:rPr>
    </w:lvl>
    <w:lvl w:ilvl="2" w:tplc="45C62204">
      <w:start w:val="1"/>
      <w:numFmt w:val="lowerLetter"/>
      <w:lvlRestart w:val="0"/>
      <w:lvlText w:val="(%3)"/>
      <w:lvlJc w:val="left"/>
      <w:pPr>
        <w:tabs>
          <w:tab w:val="num" w:pos="397"/>
        </w:tabs>
        <w:ind w:left="397" w:hanging="397"/>
      </w:pPr>
      <w:rPr>
        <w:rFonts w:hint="default"/>
      </w:rPr>
    </w:lvl>
    <w:lvl w:ilvl="3" w:tplc="58D20942">
      <w:start w:val="1"/>
      <w:numFmt w:val="lowerLetter"/>
      <w:lvlRestart w:val="0"/>
      <w:lvlText w:val="(%4)"/>
      <w:lvlJc w:val="left"/>
      <w:pPr>
        <w:tabs>
          <w:tab w:val="num" w:pos="794"/>
        </w:tabs>
        <w:ind w:left="794" w:hanging="397"/>
      </w:pPr>
      <w:rPr>
        <w:rFonts w:hint="default"/>
      </w:rPr>
    </w:lvl>
    <w:lvl w:ilvl="4" w:tplc="68108F40">
      <w:start w:val="1"/>
      <w:numFmt w:val="lowerRoman"/>
      <w:lvlRestart w:val="0"/>
      <w:lvlText w:val="(%5)"/>
      <w:lvlJc w:val="left"/>
      <w:pPr>
        <w:tabs>
          <w:tab w:val="num" w:pos="397"/>
        </w:tabs>
        <w:ind w:left="397" w:hanging="397"/>
      </w:pPr>
      <w:rPr>
        <w:rFonts w:hint="default"/>
      </w:rPr>
    </w:lvl>
    <w:lvl w:ilvl="5" w:tplc="32EA8940">
      <w:start w:val="1"/>
      <w:numFmt w:val="lowerRoman"/>
      <w:lvlRestart w:val="0"/>
      <w:lvlText w:val="(%6)"/>
      <w:lvlJc w:val="left"/>
      <w:pPr>
        <w:tabs>
          <w:tab w:val="num" w:pos="794"/>
        </w:tabs>
        <w:ind w:left="794" w:hanging="397"/>
      </w:pPr>
      <w:rPr>
        <w:rFonts w:hint="default"/>
      </w:rPr>
    </w:lvl>
    <w:lvl w:ilvl="6" w:tplc="BE6A8BA0">
      <w:start w:val="1"/>
      <w:numFmt w:val="none"/>
      <w:lvlRestart w:val="0"/>
      <w:lvlText w:val=""/>
      <w:lvlJc w:val="left"/>
      <w:pPr>
        <w:ind w:left="0" w:firstLine="0"/>
      </w:pPr>
      <w:rPr>
        <w:rFonts w:hint="default"/>
      </w:rPr>
    </w:lvl>
    <w:lvl w:ilvl="7" w:tplc="EC5AE78C">
      <w:start w:val="1"/>
      <w:numFmt w:val="none"/>
      <w:lvlRestart w:val="0"/>
      <w:lvlText w:val=""/>
      <w:lvlJc w:val="left"/>
      <w:pPr>
        <w:ind w:left="0" w:firstLine="0"/>
      </w:pPr>
      <w:rPr>
        <w:rFonts w:hint="default"/>
      </w:rPr>
    </w:lvl>
    <w:lvl w:ilvl="8" w:tplc="9F120FCA">
      <w:start w:val="1"/>
      <w:numFmt w:val="none"/>
      <w:lvlRestart w:val="0"/>
      <w:lvlText w:val=""/>
      <w:lvlJc w:val="right"/>
      <w:pPr>
        <w:ind w:left="0" w:firstLine="0"/>
      </w:pPr>
      <w:rPr>
        <w:rFonts w:hint="default"/>
      </w:rPr>
    </w:lvl>
  </w:abstractNum>
  <w:abstractNum w:abstractNumId="17" w15:restartNumberingAfterBreak="0">
    <w:nsid w:val="346D7A59"/>
    <w:multiLevelType w:val="multilevel"/>
    <w:tmpl w:val="38F8D108"/>
    <w:numStyleLink w:val="ZZNumbersdigit"/>
  </w:abstractNum>
  <w:abstractNum w:abstractNumId="18" w15:restartNumberingAfterBreak="0">
    <w:nsid w:val="38542B38"/>
    <w:multiLevelType w:val="hybridMultilevel"/>
    <w:tmpl w:val="8A320E8C"/>
    <w:lvl w:ilvl="0" w:tplc="82849112">
      <w:start w:val="1"/>
      <w:numFmt w:val="lowerLetter"/>
      <w:lvlText w:val="(%1)"/>
      <w:lvlJc w:val="left"/>
      <w:pPr>
        <w:ind w:left="1287" w:hanging="360"/>
      </w:pPr>
      <w:rPr>
        <w:rFonts w:hint="default"/>
      </w:rPr>
    </w:lvl>
    <w:lvl w:ilvl="1" w:tplc="6D20E260">
      <w:numFmt w:val="bullet"/>
      <w:lvlText w:val="-"/>
      <w:lvlJc w:val="left"/>
      <w:pPr>
        <w:ind w:left="2367" w:hanging="720"/>
      </w:pPr>
      <w:rPr>
        <w:rFonts w:ascii="Arial" w:eastAsia="Times" w:hAnsi="Arial" w:cs="Arial" w:hint="default"/>
      </w:r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3B7A7D38"/>
    <w:multiLevelType w:val="hybridMultilevel"/>
    <w:tmpl w:val="FFFFFFFF"/>
    <w:lvl w:ilvl="0" w:tplc="8BF80BAC">
      <w:start w:val="1"/>
      <w:numFmt w:val="bullet"/>
      <w:lvlText w:val=""/>
      <w:lvlJc w:val="left"/>
      <w:pPr>
        <w:ind w:left="720" w:hanging="360"/>
      </w:pPr>
      <w:rPr>
        <w:rFonts w:ascii="Symbol" w:hAnsi="Symbol" w:hint="default"/>
      </w:rPr>
    </w:lvl>
    <w:lvl w:ilvl="1" w:tplc="3A30B22A">
      <w:start w:val="1"/>
      <w:numFmt w:val="bullet"/>
      <w:lvlText w:val="o"/>
      <w:lvlJc w:val="left"/>
      <w:pPr>
        <w:ind w:left="1440" w:hanging="360"/>
      </w:pPr>
      <w:rPr>
        <w:rFonts w:ascii="Courier New" w:hAnsi="Courier New" w:hint="default"/>
      </w:rPr>
    </w:lvl>
    <w:lvl w:ilvl="2" w:tplc="ACE42E3E">
      <w:start w:val="1"/>
      <w:numFmt w:val="bullet"/>
      <w:lvlText w:val=""/>
      <w:lvlJc w:val="left"/>
      <w:pPr>
        <w:ind w:left="2160" w:hanging="360"/>
      </w:pPr>
      <w:rPr>
        <w:rFonts w:ascii="Wingdings" w:hAnsi="Wingdings" w:hint="default"/>
      </w:rPr>
    </w:lvl>
    <w:lvl w:ilvl="3" w:tplc="4C34F0D8">
      <w:start w:val="1"/>
      <w:numFmt w:val="bullet"/>
      <w:lvlText w:val=""/>
      <w:lvlJc w:val="left"/>
      <w:pPr>
        <w:ind w:left="2880" w:hanging="360"/>
      </w:pPr>
      <w:rPr>
        <w:rFonts w:ascii="Symbol" w:hAnsi="Symbol" w:hint="default"/>
      </w:rPr>
    </w:lvl>
    <w:lvl w:ilvl="4" w:tplc="4CEE948A">
      <w:start w:val="1"/>
      <w:numFmt w:val="bullet"/>
      <w:lvlText w:val="o"/>
      <w:lvlJc w:val="left"/>
      <w:pPr>
        <w:ind w:left="3600" w:hanging="360"/>
      </w:pPr>
      <w:rPr>
        <w:rFonts w:ascii="Courier New" w:hAnsi="Courier New" w:hint="default"/>
      </w:rPr>
    </w:lvl>
    <w:lvl w:ilvl="5" w:tplc="1F42785E">
      <w:start w:val="1"/>
      <w:numFmt w:val="bullet"/>
      <w:lvlText w:val=""/>
      <w:lvlJc w:val="left"/>
      <w:pPr>
        <w:ind w:left="4320" w:hanging="360"/>
      </w:pPr>
      <w:rPr>
        <w:rFonts w:ascii="Wingdings" w:hAnsi="Wingdings" w:hint="default"/>
      </w:rPr>
    </w:lvl>
    <w:lvl w:ilvl="6" w:tplc="11265DE0">
      <w:start w:val="1"/>
      <w:numFmt w:val="bullet"/>
      <w:lvlText w:val=""/>
      <w:lvlJc w:val="left"/>
      <w:pPr>
        <w:ind w:left="5040" w:hanging="360"/>
      </w:pPr>
      <w:rPr>
        <w:rFonts w:ascii="Symbol" w:hAnsi="Symbol" w:hint="default"/>
      </w:rPr>
    </w:lvl>
    <w:lvl w:ilvl="7" w:tplc="BAC469AE">
      <w:start w:val="1"/>
      <w:numFmt w:val="bullet"/>
      <w:lvlText w:val="o"/>
      <w:lvlJc w:val="left"/>
      <w:pPr>
        <w:ind w:left="5760" w:hanging="360"/>
      </w:pPr>
      <w:rPr>
        <w:rFonts w:ascii="Courier New" w:hAnsi="Courier New" w:hint="default"/>
      </w:rPr>
    </w:lvl>
    <w:lvl w:ilvl="8" w:tplc="B5CE583A">
      <w:start w:val="1"/>
      <w:numFmt w:val="bullet"/>
      <w:lvlText w:val=""/>
      <w:lvlJc w:val="left"/>
      <w:pPr>
        <w:ind w:left="6480" w:hanging="360"/>
      </w:pPr>
      <w:rPr>
        <w:rFonts w:ascii="Wingdings" w:hAnsi="Wingdings" w:hint="default"/>
      </w:rPr>
    </w:lvl>
  </w:abstractNum>
  <w:abstractNum w:abstractNumId="20" w15:restartNumberingAfterBreak="0">
    <w:nsid w:val="3C4303A5"/>
    <w:multiLevelType w:val="hybridMultilevel"/>
    <w:tmpl w:val="4B4E7622"/>
    <w:lvl w:ilvl="0" w:tplc="9C667276">
      <w:start w:val="1"/>
      <w:numFmt w:val="decimal"/>
      <w:pStyle w:val="DHHSnumberdigit"/>
      <w:lvlText w:val="%1."/>
      <w:lvlJc w:val="left"/>
      <w:pPr>
        <w:tabs>
          <w:tab w:val="num" w:pos="681"/>
        </w:tabs>
        <w:ind w:left="681" w:hanging="397"/>
      </w:pPr>
      <w:rPr>
        <w:rFonts w:hint="default"/>
      </w:rPr>
    </w:lvl>
    <w:lvl w:ilvl="1" w:tplc="BD806162">
      <w:start w:val="1"/>
      <w:numFmt w:val="decimal"/>
      <w:lvlRestart w:val="0"/>
      <w:pStyle w:val="DHHSnumberdigitindent"/>
      <w:lvlText w:val="%2."/>
      <w:lvlJc w:val="left"/>
      <w:pPr>
        <w:tabs>
          <w:tab w:val="num" w:pos="794"/>
        </w:tabs>
        <w:ind w:left="794" w:hanging="397"/>
      </w:pPr>
      <w:rPr>
        <w:rFonts w:hint="default"/>
      </w:rPr>
    </w:lvl>
    <w:lvl w:ilvl="2" w:tplc="5074EC1E">
      <w:start w:val="1"/>
      <w:numFmt w:val="lowerLetter"/>
      <w:lvlRestart w:val="0"/>
      <w:pStyle w:val="DHHSnumberloweralpha"/>
      <w:lvlText w:val="(%3)"/>
      <w:lvlJc w:val="left"/>
      <w:pPr>
        <w:tabs>
          <w:tab w:val="num" w:pos="397"/>
        </w:tabs>
        <w:ind w:left="397" w:hanging="397"/>
      </w:pPr>
      <w:rPr>
        <w:rFonts w:hint="default"/>
      </w:rPr>
    </w:lvl>
    <w:lvl w:ilvl="3" w:tplc="F022128E">
      <w:start w:val="1"/>
      <w:numFmt w:val="lowerLetter"/>
      <w:lvlRestart w:val="0"/>
      <w:pStyle w:val="DHHSnumberloweralphaindent"/>
      <w:lvlText w:val="(%4)"/>
      <w:lvlJc w:val="left"/>
      <w:pPr>
        <w:tabs>
          <w:tab w:val="num" w:pos="794"/>
        </w:tabs>
        <w:ind w:left="794" w:hanging="397"/>
      </w:pPr>
      <w:rPr>
        <w:rFonts w:hint="default"/>
      </w:rPr>
    </w:lvl>
    <w:lvl w:ilvl="4" w:tplc="4D7AA572">
      <w:start w:val="1"/>
      <w:numFmt w:val="lowerRoman"/>
      <w:lvlRestart w:val="0"/>
      <w:pStyle w:val="DHHSnumberlowerroman"/>
      <w:lvlText w:val="(%5)"/>
      <w:lvlJc w:val="left"/>
      <w:pPr>
        <w:tabs>
          <w:tab w:val="num" w:pos="397"/>
        </w:tabs>
        <w:ind w:left="397" w:hanging="397"/>
      </w:pPr>
      <w:rPr>
        <w:rFonts w:hint="default"/>
      </w:rPr>
    </w:lvl>
    <w:lvl w:ilvl="5" w:tplc="8A185C8C">
      <w:start w:val="1"/>
      <w:numFmt w:val="lowerRoman"/>
      <w:lvlRestart w:val="0"/>
      <w:pStyle w:val="DHHSnumberlowerromanindent"/>
      <w:lvlText w:val="(%6)"/>
      <w:lvlJc w:val="left"/>
      <w:pPr>
        <w:tabs>
          <w:tab w:val="num" w:pos="794"/>
        </w:tabs>
        <w:ind w:left="794" w:hanging="397"/>
      </w:pPr>
      <w:rPr>
        <w:rFonts w:hint="default"/>
      </w:rPr>
    </w:lvl>
    <w:lvl w:ilvl="6" w:tplc="C79C30B6">
      <w:start w:val="1"/>
      <w:numFmt w:val="none"/>
      <w:lvlRestart w:val="0"/>
      <w:pStyle w:val="DHHStablebullet"/>
      <w:lvlText w:val=""/>
      <w:lvlJc w:val="left"/>
      <w:pPr>
        <w:ind w:left="0" w:firstLine="0"/>
      </w:pPr>
      <w:rPr>
        <w:rFonts w:hint="default"/>
      </w:rPr>
    </w:lvl>
    <w:lvl w:ilvl="7" w:tplc="2FA06AB8">
      <w:start w:val="1"/>
      <w:numFmt w:val="none"/>
      <w:lvlRestart w:val="0"/>
      <w:lvlText w:val=""/>
      <w:lvlJc w:val="left"/>
      <w:pPr>
        <w:ind w:left="0" w:firstLine="0"/>
      </w:pPr>
      <w:rPr>
        <w:rFonts w:hint="default"/>
      </w:rPr>
    </w:lvl>
    <w:lvl w:ilvl="8" w:tplc="8B245E40">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38F8D108"/>
    <w:styleLink w:val="ZZNumbersdigit"/>
    <w:lvl w:ilvl="0">
      <w:start w:val="1"/>
      <w:numFmt w:val="decimal"/>
      <w:pStyle w:val="Numberdigit"/>
      <w:lvlText w:val="%1."/>
      <w:lvlJc w:val="left"/>
      <w:pPr>
        <w:tabs>
          <w:tab w:val="num" w:pos="-1005"/>
        </w:tabs>
        <w:ind w:left="-1005" w:hanging="397"/>
      </w:pPr>
      <w:rPr>
        <w:rFonts w:hint="default"/>
      </w:rPr>
    </w:lvl>
    <w:lvl w:ilvl="1">
      <w:start w:val="1"/>
      <w:numFmt w:val="decimal"/>
      <w:pStyle w:val="Numberdigitindent"/>
      <w:lvlText w:val="%2."/>
      <w:lvlJc w:val="left"/>
      <w:pPr>
        <w:tabs>
          <w:tab w:val="num" w:pos="-608"/>
        </w:tabs>
        <w:ind w:left="-608" w:hanging="397"/>
      </w:pPr>
      <w:rPr>
        <w:rFonts w:hint="default"/>
      </w:rPr>
    </w:lvl>
    <w:lvl w:ilvl="2">
      <w:start w:val="1"/>
      <w:numFmt w:val="bullet"/>
      <w:lvlRestart w:val="0"/>
      <w:pStyle w:val="Bulletafternumbers1"/>
      <w:lvlText w:val="•"/>
      <w:lvlJc w:val="left"/>
      <w:pPr>
        <w:ind w:left="-608" w:hanging="397"/>
      </w:pPr>
      <w:rPr>
        <w:rFonts w:ascii="Calibri" w:hAnsi="Calibri" w:hint="default"/>
        <w:color w:val="auto"/>
      </w:rPr>
    </w:lvl>
    <w:lvl w:ilvl="3">
      <w:start w:val="1"/>
      <w:numFmt w:val="bullet"/>
      <w:lvlRestart w:val="0"/>
      <w:pStyle w:val="Bulletafternumbers2"/>
      <w:lvlText w:val="–"/>
      <w:lvlJc w:val="left"/>
      <w:pPr>
        <w:ind w:left="-211" w:hanging="397"/>
      </w:pPr>
      <w:rPr>
        <w:rFonts w:ascii="Calibri" w:hAnsi="Calibri" w:hint="default"/>
      </w:rPr>
    </w:lvl>
    <w:lvl w:ilvl="4">
      <w:start w:val="1"/>
      <w:numFmt w:val="none"/>
      <w:lvlRestart w:val="0"/>
      <w:lvlText w:val=""/>
      <w:lvlJc w:val="left"/>
      <w:pPr>
        <w:ind w:left="-1402" w:firstLine="0"/>
      </w:pPr>
      <w:rPr>
        <w:rFonts w:hint="default"/>
      </w:rPr>
    </w:lvl>
    <w:lvl w:ilvl="5">
      <w:start w:val="1"/>
      <w:numFmt w:val="none"/>
      <w:lvlRestart w:val="0"/>
      <w:lvlText w:val=""/>
      <w:lvlJc w:val="left"/>
      <w:pPr>
        <w:tabs>
          <w:tab w:val="num" w:pos="-1402"/>
        </w:tabs>
        <w:ind w:left="-1402" w:firstLine="0"/>
      </w:pPr>
      <w:rPr>
        <w:rFonts w:hint="default"/>
      </w:rPr>
    </w:lvl>
    <w:lvl w:ilvl="6">
      <w:start w:val="1"/>
      <w:numFmt w:val="none"/>
      <w:lvlRestart w:val="0"/>
      <w:lvlText w:val=""/>
      <w:lvlJc w:val="left"/>
      <w:pPr>
        <w:ind w:left="-1402" w:firstLine="0"/>
      </w:pPr>
      <w:rPr>
        <w:rFonts w:hint="default"/>
      </w:rPr>
    </w:lvl>
    <w:lvl w:ilvl="7">
      <w:start w:val="1"/>
      <w:numFmt w:val="none"/>
      <w:lvlRestart w:val="0"/>
      <w:lvlText w:val=""/>
      <w:lvlJc w:val="left"/>
      <w:pPr>
        <w:ind w:left="-1402" w:firstLine="0"/>
      </w:pPr>
      <w:rPr>
        <w:rFonts w:hint="default"/>
      </w:rPr>
    </w:lvl>
    <w:lvl w:ilvl="8">
      <w:start w:val="1"/>
      <w:numFmt w:val="none"/>
      <w:lvlRestart w:val="0"/>
      <w:lvlText w:val=""/>
      <w:lvlJc w:val="right"/>
      <w:pPr>
        <w:ind w:left="-1402" w:firstLine="0"/>
      </w:pPr>
      <w:rPr>
        <w:rFonts w:hint="default"/>
      </w:rPr>
    </w:lvl>
  </w:abstractNum>
  <w:abstractNum w:abstractNumId="22" w15:restartNumberingAfterBreak="0">
    <w:nsid w:val="4A1B24F6"/>
    <w:multiLevelType w:val="hybridMultilevel"/>
    <w:tmpl w:val="45C88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AE752B"/>
    <w:multiLevelType w:val="multilevel"/>
    <w:tmpl w:val="8D9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3302EE"/>
    <w:multiLevelType w:val="multilevel"/>
    <w:tmpl w:val="289E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BA1E5A"/>
    <w:multiLevelType w:val="hybridMultilevel"/>
    <w:tmpl w:val="6C6E1E62"/>
    <w:styleLink w:val="ZZBullets"/>
    <w:lvl w:ilvl="0" w:tplc="F90CC8E8">
      <w:start w:val="1"/>
      <w:numFmt w:val="bullet"/>
      <w:pStyle w:val="DHHSbullet1"/>
      <w:lvlText w:val="•"/>
      <w:lvlJc w:val="left"/>
      <w:pPr>
        <w:ind w:left="284" w:hanging="284"/>
      </w:pPr>
      <w:rPr>
        <w:rFonts w:ascii="Calibri" w:hAnsi="Calibri" w:hint="default"/>
      </w:rPr>
    </w:lvl>
    <w:lvl w:ilvl="1" w:tplc="36167C9E">
      <w:start w:val="1"/>
      <w:numFmt w:val="bullet"/>
      <w:lvlRestart w:val="0"/>
      <w:lvlText w:val="•"/>
      <w:lvlJc w:val="left"/>
      <w:pPr>
        <w:ind w:left="284" w:hanging="284"/>
      </w:pPr>
      <w:rPr>
        <w:rFonts w:ascii="Calibri" w:hAnsi="Calibri" w:hint="default"/>
      </w:rPr>
    </w:lvl>
    <w:lvl w:ilvl="2" w:tplc="3848A12C">
      <w:start w:val="1"/>
      <w:numFmt w:val="bullet"/>
      <w:lvlRestart w:val="0"/>
      <w:lvlText w:val="–"/>
      <w:lvlJc w:val="left"/>
      <w:pPr>
        <w:ind w:left="567" w:hanging="283"/>
      </w:pPr>
      <w:rPr>
        <w:rFonts w:ascii="Arial" w:hAnsi="Arial" w:hint="default"/>
      </w:rPr>
    </w:lvl>
    <w:lvl w:ilvl="3" w:tplc="B778FFF4">
      <w:start w:val="1"/>
      <w:numFmt w:val="bullet"/>
      <w:lvlRestart w:val="0"/>
      <w:lvlText w:val="–"/>
      <w:lvlJc w:val="left"/>
      <w:pPr>
        <w:ind w:left="567" w:hanging="283"/>
      </w:pPr>
      <w:rPr>
        <w:rFonts w:ascii="Arial" w:hAnsi="Arial" w:hint="default"/>
      </w:rPr>
    </w:lvl>
    <w:lvl w:ilvl="4" w:tplc="F0847C9A">
      <w:start w:val="1"/>
      <w:numFmt w:val="bullet"/>
      <w:lvlRestart w:val="0"/>
      <w:pStyle w:val="DHHSbulletindent"/>
      <w:lvlText w:val="•"/>
      <w:lvlJc w:val="left"/>
      <w:pPr>
        <w:ind w:left="680" w:hanging="283"/>
      </w:pPr>
      <w:rPr>
        <w:rFonts w:ascii="Calibri" w:hAnsi="Calibri" w:hint="default"/>
      </w:rPr>
    </w:lvl>
    <w:lvl w:ilvl="5" w:tplc="B22CE23C">
      <w:start w:val="1"/>
      <w:numFmt w:val="bullet"/>
      <w:lvlRestart w:val="0"/>
      <w:pStyle w:val="DHHSbulletindentlastline"/>
      <w:lvlText w:val="•"/>
      <w:lvlJc w:val="left"/>
      <w:pPr>
        <w:ind w:left="680" w:hanging="283"/>
      </w:pPr>
      <w:rPr>
        <w:rFonts w:ascii="Calibri" w:hAnsi="Calibri" w:hint="default"/>
      </w:rPr>
    </w:lvl>
    <w:lvl w:ilvl="6" w:tplc="D7127AD4">
      <w:start w:val="1"/>
      <w:numFmt w:val="bullet"/>
      <w:lvlRestart w:val="0"/>
      <w:lvlText w:val="•"/>
      <w:lvlJc w:val="left"/>
      <w:pPr>
        <w:ind w:left="227" w:hanging="227"/>
      </w:pPr>
      <w:rPr>
        <w:rFonts w:ascii="Calibri" w:hAnsi="Calibri" w:hint="default"/>
      </w:rPr>
    </w:lvl>
    <w:lvl w:ilvl="7" w:tplc="A5CE7F6A">
      <w:start w:val="1"/>
      <w:numFmt w:val="none"/>
      <w:lvlRestart w:val="0"/>
      <w:lvlText w:val=""/>
      <w:lvlJc w:val="left"/>
      <w:pPr>
        <w:ind w:left="0" w:firstLine="0"/>
      </w:pPr>
      <w:rPr>
        <w:rFonts w:hint="default"/>
      </w:rPr>
    </w:lvl>
    <w:lvl w:ilvl="8" w:tplc="6C0A3690">
      <w:start w:val="1"/>
      <w:numFmt w:val="none"/>
      <w:lvlRestart w:val="0"/>
      <w:lvlText w:val=""/>
      <w:lvlJc w:val="left"/>
      <w:pPr>
        <w:ind w:left="0" w:firstLine="0"/>
      </w:pPr>
      <w:rPr>
        <w:rFonts w:hint="default"/>
      </w:rPr>
    </w:lvl>
  </w:abstractNum>
  <w:abstractNum w:abstractNumId="26" w15:restartNumberingAfterBreak="0">
    <w:nsid w:val="559C1158"/>
    <w:multiLevelType w:val="multilevel"/>
    <w:tmpl w:val="160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82B53"/>
    <w:multiLevelType w:val="hybridMultilevel"/>
    <w:tmpl w:val="8CC87C14"/>
    <w:lvl w:ilvl="0" w:tplc="0C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quot;Courier New&quot;" w:hAnsi="&quot;Courier New&quot;"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8" w15:restartNumberingAfterBreak="0">
    <w:nsid w:val="5D42688E"/>
    <w:multiLevelType w:val="hybridMultilevel"/>
    <w:tmpl w:val="B024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0FD076"/>
    <w:multiLevelType w:val="hybridMultilevel"/>
    <w:tmpl w:val="50CC1692"/>
    <w:lvl w:ilvl="0" w:tplc="2F44C6F0">
      <w:start w:val="1"/>
      <w:numFmt w:val="bullet"/>
      <w:lvlText w:val="·"/>
      <w:lvlJc w:val="left"/>
      <w:pPr>
        <w:ind w:left="720" w:hanging="360"/>
      </w:pPr>
      <w:rPr>
        <w:rFonts w:ascii="Symbol" w:hAnsi="Symbol" w:hint="default"/>
      </w:rPr>
    </w:lvl>
    <w:lvl w:ilvl="1" w:tplc="7376D286">
      <w:start w:val="1"/>
      <w:numFmt w:val="bullet"/>
      <w:lvlText w:val="o"/>
      <w:lvlJc w:val="left"/>
      <w:pPr>
        <w:ind w:left="1440" w:hanging="360"/>
      </w:pPr>
      <w:rPr>
        <w:rFonts w:ascii="Courier New" w:hAnsi="Courier New" w:hint="default"/>
      </w:rPr>
    </w:lvl>
    <w:lvl w:ilvl="2" w:tplc="DAC44416">
      <w:start w:val="1"/>
      <w:numFmt w:val="bullet"/>
      <w:lvlText w:val=""/>
      <w:lvlJc w:val="left"/>
      <w:pPr>
        <w:ind w:left="2160" w:hanging="360"/>
      </w:pPr>
      <w:rPr>
        <w:rFonts w:ascii="Wingdings" w:hAnsi="Wingdings" w:hint="default"/>
      </w:rPr>
    </w:lvl>
    <w:lvl w:ilvl="3" w:tplc="76841124">
      <w:start w:val="1"/>
      <w:numFmt w:val="bullet"/>
      <w:lvlText w:val=""/>
      <w:lvlJc w:val="left"/>
      <w:pPr>
        <w:ind w:left="2880" w:hanging="360"/>
      </w:pPr>
      <w:rPr>
        <w:rFonts w:ascii="Symbol" w:hAnsi="Symbol" w:hint="default"/>
      </w:rPr>
    </w:lvl>
    <w:lvl w:ilvl="4" w:tplc="0A409E66">
      <w:start w:val="1"/>
      <w:numFmt w:val="bullet"/>
      <w:lvlText w:val="o"/>
      <w:lvlJc w:val="left"/>
      <w:pPr>
        <w:ind w:left="3600" w:hanging="360"/>
      </w:pPr>
      <w:rPr>
        <w:rFonts w:ascii="Courier New" w:hAnsi="Courier New" w:hint="default"/>
      </w:rPr>
    </w:lvl>
    <w:lvl w:ilvl="5" w:tplc="5CFCCD16">
      <w:start w:val="1"/>
      <w:numFmt w:val="bullet"/>
      <w:lvlText w:val=""/>
      <w:lvlJc w:val="left"/>
      <w:pPr>
        <w:ind w:left="4320" w:hanging="360"/>
      </w:pPr>
      <w:rPr>
        <w:rFonts w:ascii="Wingdings" w:hAnsi="Wingdings" w:hint="default"/>
      </w:rPr>
    </w:lvl>
    <w:lvl w:ilvl="6" w:tplc="6BD8C214">
      <w:start w:val="1"/>
      <w:numFmt w:val="bullet"/>
      <w:lvlText w:val=""/>
      <w:lvlJc w:val="left"/>
      <w:pPr>
        <w:ind w:left="5040" w:hanging="360"/>
      </w:pPr>
      <w:rPr>
        <w:rFonts w:ascii="Symbol" w:hAnsi="Symbol" w:hint="default"/>
      </w:rPr>
    </w:lvl>
    <w:lvl w:ilvl="7" w:tplc="24ECC01C">
      <w:start w:val="1"/>
      <w:numFmt w:val="bullet"/>
      <w:lvlText w:val="o"/>
      <w:lvlJc w:val="left"/>
      <w:pPr>
        <w:ind w:left="5760" w:hanging="360"/>
      </w:pPr>
      <w:rPr>
        <w:rFonts w:ascii="Courier New" w:hAnsi="Courier New" w:hint="default"/>
      </w:rPr>
    </w:lvl>
    <w:lvl w:ilvl="8" w:tplc="7628516A">
      <w:start w:val="1"/>
      <w:numFmt w:val="bullet"/>
      <w:lvlText w:val=""/>
      <w:lvlJc w:val="left"/>
      <w:pPr>
        <w:ind w:left="6480" w:hanging="360"/>
      </w:pPr>
      <w:rPr>
        <w:rFonts w:ascii="Wingdings" w:hAnsi="Wingdings" w:hint="default"/>
      </w:rPr>
    </w:lvl>
  </w:abstractNum>
  <w:abstractNum w:abstractNumId="30" w15:restartNumberingAfterBreak="0">
    <w:nsid w:val="60F012C2"/>
    <w:multiLevelType w:val="hybridMultilevel"/>
    <w:tmpl w:val="89749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735096"/>
    <w:multiLevelType w:val="hybridMultilevel"/>
    <w:tmpl w:val="05F85402"/>
    <w:lvl w:ilvl="0" w:tplc="B8C88742">
      <w:start w:val="1"/>
      <w:numFmt w:val="bullet"/>
      <w:lvlText w:val="‒"/>
      <w:lvlJc w:val="left"/>
      <w:pPr>
        <w:ind w:left="720" w:hanging="360"/>
      </w:pPr>
      <w:rPr>
        <w:rFonts w:ascii="Calibri" w:hAnsi="Calibri"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AA5314"/>
    <w:multiLevelType w:val="hybridMultilevel"/>
    <w:tmpl w:val="D102C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1C54CB"/>
    <w:multiLevelType w:val="hybridMultilevel"/>
    <w:tmpl w:val="8E06DD82"/>
    <w:lvl w:ilvl="0" w:tplc="5DE0B256">
      <w:start w:val="1"/>
      <w:numFmt w:val="bullet"/>
      <w:lvlText w:val=""/>
      <w:lvlJc w:val="left"/>
      <w:pPr>
        <w:tabs>
          <w:tab w:val="num" w:pos="720"/>
        </w:tabs>
        <w:ind w:left="720" w:hanging="360"/>
      </w:pPr>
      <w:rPr>
        <w:rFonts w:ascii="Symbol" w:hAnsi="Symbol" w:hint="default"/>
      </w:rPr>
    </w:lvl>
    <w:lvl w:ilvl="1" w:tplc="04208470" w:tentative="1">
      <w:start w:val="1"/>
      <w:numFmt w:val="bullet"/>
      <w:lvlText w:val=""/>
      <w:lvlJc w:val="left"/>
      <w:pPr>
        <w:tabs>
          <w:tab w:val="num" w:pos="1440"/>
        </w:tabs>
        <w:ind w:left="1440" w:hanging="360"/>
      </w:pPr>
      <w:rPr>
        <w:rFonts w:ascii="Symbol" w:hAnsi="Symbol" w:hint="default"/>
      </w:rPr>
    </w:lvl>
    <w:lvl w:ilvl="2" w:tplc="624EE48C" w:tentative="1">
      <w:start w:val="1"/>
      <w:numFmt w:val="bullet"/>
      <w:lvlText w:val=""/>
      <w:lvlJc w:val="left"/>
      <w:pPr>
        <w:tabs>
          <w:tab w:val="num" w:pos="2160"/>
        </w:tabs>
        <w:ind w:left="2160" w:hanging="360"/>
      </w:pPr>
      <w:rPr>
        <w:rFonts w:ascii="Symbol" w:hAnsi="Symbol" w:hint="default"/>
      </w:rPr>
    </w:lvl>
    <w:lvl w:ilvl="3" w:tplc="759EA1D6" w:tentative="1">
      <w:start w:val="1"/>
      <w:numFmt w:val="bullet"/>
      <w:lvlText w:val=""/>
      <w:lvlJc w:val="left"/>
      <w:pPr>
        <w:tabs>
          <w:tab w:val="num" w:pos="2880"/>
        </w:tabs>
        <w:ind w:left="2880" w:hanging="360"/>
      </w:pPr>
      <w:rPr>
        <w:rFonts w:ascii="Symbol" w:hAnsi="Symbol" w:hint="default"/>
      </w:rPr>
    </w:lvl>
    <w:lvl w:ilvl="4" w:tplc="1B9A2266" w:tentative="1">
      <w:start w:val="1"/>
      <w:numFmt w:val="bullet"/>
      <w:lvlText w:val=""/>
      <w:lvlJc w:val="left"/>
      <w:pPr>
        <w:tabs>
          <w:tab w:val="num" w:pos="3600"/>
        </w:tabs>
        <w:ind w:left="3600" w:hanging="360"/>
      </w:pPr>
      <w:rPr>
        <w:rFonts w:ascii="Symbol" w:hAnsi="Symbol" w:hint="default"/>
      </w:rPr>
    </w:lvl>
    <w:lvl w:ilvl="5" w:tplc="2D80F33A" w:tentative="1">
      <w:start w:val="1"/>
      <w:numFmt w:val="bullet"/>
      <w:lvlText w:val=""/>
      <w:lvlJc w:val="left"/>
      <w:pPr>
        <w:tabs>
          <w:tab w:val="num" w:pos="4320"/>
        </w:tabs>
        <w:ind w:left="4320" w:hanging="360"/>
      </w:pPr>
      <w:rPr>
        <w:rFonts w:ascii="Symbol" w:hAnsi="Symbol" w:hint="default"/>
      </w:rPr>
    </w:lvl>
    <w:lvl w:ilvl="6" w:tplc="89284CCE" w:tentative="1">
      <w:start w:val="1"/>
      <w:numFmt w:val="bullet"/>
      <w:lvlText w:val=""/>
      <w:lvlJc w:val="left"/>
      <w:pPr>
        <w:tabs>
          <w:tab w:val="num" w:pos="5040"/>
        </w:tabs>
        <w:ind w:left="5040" w:hanging="360"/>
      </w:pPr>
      <w:rPr>
        <w:rFonts w:ascii="Symbol" w:hAnsi="Symbol" w:hint="default"/>
      </w:rPr>
    </w:lvl>
    <w:lvl w:ilvl="7" w:tplc="0B1C71E0" w:tentative="1">
      <w:start w:val="1"/>
      <w:numFmt w:val="bullet"/>
      <w:lvlText w:val=""/>
      <w:lvlJc w:val="left"/>
      <w:pPr>
        <w:tabs>
          <w:tab w:val="num" w:pos="5760"/>
        </w:tabs>
        <w:ind w:left="5760" w:hanging="360"/>
      </w:pPr>
      <w:rPr>
        <w:rFonts w:ascii="Symbol" w:hAnsi="Symbol" w:hint="default"/>
      </w:rPr>
    </w:lvl>
    <w:lvl w:ilvl="8" w:tplc="25E6604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5F85CD2"/>
    <w:multiLevelType w:val="hybridMultilevel"/>
    <w:tmpl w:val="FFFFFFFF"/>
    <w:lvl w:ilvl="0" w:tplc="B1A2300E">
      <w:start w:val="1"/>
      <w:numFmt w:val="bullet"/>
      <w:lvlText w:val=""/>
      <w:lvlJc w:val="left"/>
      <w:pPr>
        <w:ind w:left="720" w:hanging="360"/>
      </w:pPr>
      <w:rPr>
        <w:rFonts w:ascii="Symbol" w:hAnsi="Symbol" w:hint="default"/>
      </w:rPr>
    </w:lvl>
    <w:lvl w:ilvl="1" w:tplc="E7F4148C">
      <w:start w:val="1"/>
      <w:numFmt w:val="bullet"/>
      <w:lvlText w:val="o"/>
      <w:lvlJc w:val="left"/>
      <w:pPr>
        <w:ind w:left="1440" w:hanging="360"/>
      </w:pPr>
      <w:rPr>
        <w:rFonts w:ascii="Courier New" w:hAnsi="Courier New" w:hint="default"/>
      </w:rPr>
    </w:lvl>
    <w:lvl w:ilvl="2" w:tplc="B9BE1FCA">
      <w:start w:val="1"/>
      <w:numFmt w:val="bullet"/>
      <w:lvlText w:val=""/>
      <w:lvlJc w:val="left"/>
      <w:pPr>
        <w:ind w:left="2160" w:hanging="360"/>
      </w:pPr>
      <w:rPr>
        <w:rFonts w:ascii="Wingdings" w:hAnsi="Wingdings" w:hint="default"/>
      </w:rPr>
    </w:lvl>
    <w:lvl w:ilvl="3" w:tplc="137A8414">
      <w:start w:val="1"/>
      <w:numFmt w:val="bullet"/>
      <w:lvlText w:val=""/>
      <w:lvlJc w:val="left"/>
      <w:pPr>
        <w:ind w:left="2880" w:hanging="360"/>
      </w:pPr>
      <w:rPr>
        <w:rFonts w:ascii="Symbol" w:hAnsi="Symbol" w:hint="default"/>
      </w:rPr>
    </w:lvl>
    <w:lvl w:ilvl="4" w:tplc="7B76D40E">
      <w:start w:val="1"/>
      <w:numFmt w:val="bullet"/>
      <w:lvlText w:val="o"/>
      <w:lvlJc w:val="left"/>
      <w:pPr>
        <w:ind w:left="3600" w:hanging="360"/>
      </w:pPr>
      <w:rPr>
        <w:rFonts w:ascii="Courier New" w:hAnsi="Courier New" w:hint="default"/>
      </w:rPr>
    </w:lvl>
    <w:lvl w:ilvl="5" w:tplc="BF886A96">
      <w:start w:val="1"/>
      <w:numFmt w:val="bullet"/>
      <w:lvlText w:val=""/>
      <w:lvlJc w:val="left"/>
      <w:pPr>
        <w:ind w:left="4320" w:hanging="360"/>
      </w:pPr>
      <w:rPr>
        <w:rFonts w:ascii="Wingdings" w:hAnsi="Wingdings" w:hint="default"/>
      </w:rPr>
    </w:lvl>
    <w:lvl w:ilvl="6" w:tplc="6B40D930">
      <w:start w:val="1"/>
      <w:numFmt w:val="bullet"/>
      <w:lvlText w:val=""/>
      <w:lvlJc w:val="left"/>
      <w:pPr>
        <w:ind w:left="5040" w:hanging="360"/>
      </w:pPr>
      <w:rPr>
        <w:rFonts w:ascii="Symbol" w:hAnsi="Symbol" w:hint="default"/>
      </w:rPr>
    </w:lvl>
    <w:lvl w:ilvl="7" w:tplc="9788CEDA">
      <w:start w:val="1"/>
      <w:numFmt w:val="bullet"/>
      <w:lvlText w:val="o"/>
      <w:lvlJc w:val="left"/>
      <w:pPr>
        <w:ind w:left="5760" w:hanging="360"/>
      </w:pPr>
      <w:rPr>
        <w:rFonts w:ascii="Courier New" w:hAnsi="Courier New" w:hint="default"/>
      </w:rPr>
    </w:lvl>
    <w:lvl w:ilvl="8" w:tplc="0D1894B8">
      <w:start w:val="1"/>
      <w:numFmt w:val="bullet"/>
      <w:lvlText w:val=""/>
      <w:lvlJc w:val="left"/>
      <w:pPr>
        <w:ind w:left="6480" w:hanging="360"/>
      </w:pPr>
      <w:rPr>
        <w:rFonts w:ascii="Wingdings" w:hAnsi="Wingdings" w:hint="default"/>
      </w:rPr>
    </w:lvl>
  </w:abstractNum>
  <w:abstractNum w:abstractNumId="35" w15:restartNumberingAfterBreak="0">
    <w:nsid w:val="66947A53"/>
    <w:multiLevelType w:val="multilevel"/>
    <w:tmpl w:val="372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BD0F83"/>
    <w:multiLevelType w:val="hybridMultilevel"/>
    <w:tmpl w:val="717E5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EF0F76"/>
    <w:multiLevelType w:val="hybridMultilevel"/>
    <w:tmpl w:val="9FD8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411E3F"/>
    <w:multiLevelType w:val="hybridMultilevel"/>
    <w:tmpl w:val="F5EE4FD8"/>
    <w:lvl w:ilvl="0" w:tplc="8376B4D4">
      <w:start w:val="1"/>
      <w:numFmt w:val="bullet"/>
      <w:pStyle w:val="Bullet2"/>
      <w:lvlText w:val="-"/>
      <w:lvlJc w:val="left"/>
      <w:pPr>
        <w:ind w:left="284" w:hanging="284"/>
      </w:pPr>
      <w:rPr>
        <w:rFonts w:ascii="Courier New" w:hAnsi="Courier New" w:hint="default"/>
      </w:rPr>
    </w:lvl>
    <w:lvl w:ilvl="1" w:tplc="FFFFFFFF">
      <w:start w:val="1"/>
      <w:numFmt w:val="bullet"/>
      <w:lvlRestart w:val="0"/>
      <w:lvlText w:val="•"/>
      <w:lvlJc w:val="left"/>
      <w:pPr>
        <w:ind w:left="284" w:hanging="284"/>
      </w:pPr>
      <w:rPr>
        <w:rFonts w:ascii="Calibri" w:hAnsi="Calibri" w:hint="default"/>
      </w:rPr>
    </w:lvl>
    <w:lvl w:ilvl="2" w:tplc="FFFFFFFF">
      <w:start w:val="1"/>
      <w:numFmt w:val="bullet"/>
      <w:lvlRestart w:val="0"/>
      <w:lvlText w:val="–"/>
      <w:lvlJc w:val="left"/>
      <w:pPr>
        <w:ind w:left="567" w:hanging="283"/>
      </w:pPr>
      <w:rPr>
        <w:rFonts w:ascii="Arial" w:hAnsi="Arial" w:hint="default"/>
      </w:rPr>
    </w:lvl>
    <w:lvl w:ilvl="3" w:tplc="FFFFFFFF">
      <w:start w:val="1"/>
      <w:numFmt w:val="bullet"/>
      <w:lvlRestart w:val="0"/>
      <w:lvlText w:val="–"/>
      <w:lvlJc w:val="left"/>
      <w:pPr>
        <w:ind w:left="567" w:hanging="283"/>
      </w:pPr>
      <w:rPr>
        <w:rFonts w:ascii="Arial" w:hAnsi="Arial" w:hint="default"/>
      </w:rPr>
    </w:lvl>
    <w:lvl w:ilvl="4" w:tplc="FFFFFFFF">
      <w:start w:val="1"/>
      <w:numFmt w:val="bullet"/>
      <w:lvlRestart w:val="0"/>
      <w:lvlText w:val="•"/>
      <w:lvlJc w:val="left"/>
      <w:pPr>
        <w:ind w:left="680" w:hanging="283"/>
      </w:pPr>
      <w:rPr>
        <w:rFonts w:ascii="Calibri" w:hAnsi="Calibri" w:hint="default"/>
      </w:rPr>
    </w:lvl>
    <w:lvl w:ilvl="5" w:tplc="FFFFFFFF">
      <w:start w:val="1"/>
      <w:numFmt w:val="bullet"/>
      <w:lvlRestart w:val="0"/>
      <w:lvlText w:val="•"/>
      <w:lvlJc w:val="left"/>
      <w:pPr>
        <w:ind w:left="680" w:hanging="283"/>
      </w:pPr>
      <w:rPr>
        <w:rFonts w:ascii="Calibri" w:hAnsi="Calibri" w:hint="default"/>
      </w:rPr>
    </w:lvl>
    <w:lvl w:ilvl="6" w:tplc="FFFFFFFF">
      <w:start w:val="1"/>
      <w:numFmt w:val="bullet"/>
      <w:lvlRestart w:val="0"/>
      <w:lvlText w:val="•"/>
      <w:lvlJc w:val="left"/>
      <w:pPr>
        <w:ind w:left="227" w:hanging="227"/>
      </w:pPr>
      <w:rPr>
        <w:rFonts w:ascii="Calibri" w:hAnsi="Calibri" w:hint="default"/>
      </w:rPr>
    </w:lvl>
    <w:lvl w:ilvl="7" w:tplc="FFFFFFFF">
      <w:start w:val="1"/>
      <w:numFmt w:val="none"/>
      <w:lvlRestart w:val="0"/>
      <w:lvlText w:val=""/>
      <w:lvlJc w:val="left"/>
      <w:pPr>
        <w:ind w:left="0" w:firstLine="0"/>
      </w:pPr>
      <w:rPr>
        <w:rFonts w:hint="default"/>
      </w:rPr>
    </w:lvl>
    <w:lvl w:ilvl="8" w:tplc="FFFFFFFF">
      <w:start w:val="1"/>
      <w:numFmt w:val="none"/>
      <w:lvlRestart w:val="0"/>
      <w:lvlText w:val=""/>
      <w:lvlJc w:val="left"/>
      <w:pPr>
        <w:ind w:left="0" w:firstLine="0"/>
      </w:pPr>
      <w:rPr>
        <w:rFonts w:hint="default"/>
      </w:rPr>
    </w:lvl>
  </w:abstractNum>
  <w:abstractNum w:abstractNumId="39" w15:restartNumberingAfterBreak="0">
    <w:nsid w:val="6E0D3C32"/>
    <w:multiLevelType w:val="hybridMultilevel"/>
    <w:tmpl w:val="1A78C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F5F057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AC71C9"/>
    <w:multiLevelType w:val="multilevel"/>
    <w:tmpl w:val="F632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7F667B"/>
    <w:multiLevelType w:val="hybridMultilevel"/>
    <w:tmpl w:val="9DE2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771787"/>
    <w:multiLevelType w:val="hybridMultilevel"/>
    <w:tmpl w:val="5A003992"/>
    <w:lvl w:ilvl="0" w:tplc="B8C88742">
      <w:start w:val="1"/>
      <w:numFmt w:val="bullet"/>
      <w:lvlText w:val="‒"/>
      <w:lvlJc w:val="left"/>
      <w:pPr>
        <w:ind w:left="720" w:hanging="360"/>
      </w:pPr>
      <w:rPr>
        <w:rFonts w:ascii="Calibri" w:hAnsi="Calibri" w:hint="default"/>
        <w:color w:val="000000" w:themeColor="text1"/>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8649F3"/>
    <w:multiLevelType w:val="hybridMultilevel"/>
    <w:tmpl w:val="4E1CE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A3F5C59"/>
    <w:multiLevelType w:val="hybridMultilevel"/>
    <w:tmpl w:val="FB00B764"/>
    <w:lvl w:ilvl="0" w:tplc="03A41B60">
      <w:start w:val="1"/>
      <w:numFmt w:val="bullet"/>
      <w:lvlText w:val=""/>
      <w:lvlJc w:val="left"/>
      <w:pPr>
        <w:ind w:left="720" w:hanging="360"/>
      </w:pPr>
      <w:rPr>
        <w:rFonts w:ascii="Symbol" w:hAnsi="Symbol" w:hint="default"/>
      </w:rPr>
    </w:lvl>
    <w:lvl w:ilvl="1" w:tplc="8948F232">
      <w:start w:val="1"/>
      <w:numFmt w:val="bullet"/>
      <w:lvlText w:val="o"/>
      <w:lvlJc w:val="left"/>
      <w:pPr>
        <w:ind w:left="1440" w:hanging="360"/>
      </w:pPr>
      <w:rPr>
        <w:rFonts w:ascii="Courier New" w:hAnsi="Courier New" w:hint="default"/>
      </w:rPr>
    </w:lvl>
    <w:lvl w:ilvl="2" w:tplc="ECCCF13A">
      <w:start w:val="1"/>
      <w:numFmt w:val="bullet"/>
      <w:lvlText w:val=""/>
      <w:lvlJc w:val="left"/>
      <w:pPr>
        <w:ind w:left="2160" w:hanging="360"/>
      </w:pPr>
      <w:rPr>
        <w:rFonts w:ascii="Wingdings" w:hAnsi="Wingdings" w:hint="default"/>
      </w:rPr>
    </w:lvl>
    <w:lvl w:ilvl="3" w:tplc="ED76653A">
      <w:start w:val="1"/>
      <w:numFmt w:val="bullet"/>
      <w:lvlText w:val=""/>
      <w:lvlJc w:val="left"/>
      <w:pPr>
        <w:ind w:left="2880" w:hanging="360"/>
      </w:pPr>
      <w:rPr>
        <w:rFonts w:ascii="Symbol" w:hAnsi="Symbol" w:hint="default"/>
      </w:rPr>
    </w:lvl>
    <w:lvl w:ilvl="4" w:tplc="CEDE95FE">
      <w:start w:val="1"/>
      <w:numFmt w:val="bullet"/>
      <w:lvlText w:val="o"/>
      <w:lvlJc w:val="left"/>
      <w:pPr>
        <w:ind w:left="3600" w:hanging="360"/>
      </w:pPr>
      <w:rPr>
        <w:rFonts w:ascii="Courier New" w:hAnsi="Courier New" w:hint="default"/>
      </w:rPr>
    </w:lvl>
    <w:lvl w:ilvl="5" w:tplc="A980036E">
      <w:start w:val="1"/>
      <w:numFmt w:val="bullet"/>
      <w:lvlText w:val=""/>
      <w:lvlJc w:val="left"/>
      <w:pPr>
        <w:ind w:left="4320" w:hanging="360"/>
      </w:pPr>
      <w:rPr>
        <w:rFonts w:ascii="Wingdings" w:hAnsi="Wingdings" w:hint="default"/>
      </w:rPr>
    </w:lvl>
    <w:lvl w:ilvl="6" w:tplc="01A691E6">
      <w:start w:val="1"/>
      <w:numFmt w:val="bullet"/>
      <w:lvlText w:val=""/>
      <w:lvlJc w:val="left"/>
      <w:pPr>
        <w:ind w:left="5040" w:hanging="360"/>
      </w:pPr>
      <w:rPr>
        <w:rFonts w:ascii="Symbol" w:hAnsi="Symbol" w:hint="default"/>
      </w:rPr>
    </w:lvl>
    <w:lvl w:ilvl="7" w:tplc="D102C4A2">
      <w:start w:val="1"/>
      <w:numFmt w:val="bullet"/>
      <w:lvlText w:val="o"/>
      <w:lvlJc w:val="left"/>
      <w:pPr>
        <w:ind w:left="5760" w:hanging="360"/>
      </w:pPr>
      <w:rPr>
        <w:rFonts w:ascii="Courier New" w:hAnsi="Courier New" w:hint="default"/>
      </w:rPr>
    </w:lvl>
    <w:lvl w:ilvl="8" w:tplc="37668FF6">
      <w:start w:val="1"/>
      <w:numFmt w:val="bullet"/>
      <w:lvlText w:val=""/>
      <w:lvlJc w:val="left"/>
      <w:pPr>
        <w:ind w:left="6480" w:hanging="360"/>
      </w:pPr>
      <w:rPr>
        <w:rFonts w:ascii="Wingdings" w:hAnsi="Wingdings" w:hint="default"/>
      </w:rPr>
    </w:lvl>
  </w:abstractNum>
  <w:num w:numId="1" w16cid:durableId="309410164">
    <w:abstractNumId w:val="25"/>
  </w:num>
  <w:num w:numId="2" w16cid:durableId="1053383309">
    <w:abstractNumId w:val="16"/>
  </w:num>
  <w:num w:numId="3" w16cid:durableId="338315753">
    <w:abstractNumId w:val="20"/>
  </w:num>
  <w:num w:numId="4" w16cid:durableId="10693609">
    <w:abstractNumId w:val="21"/>
  </w:num>
  <w:num w:numId="5" w16cid:durableId="2004624958">
    <w:abstractNumId w:val="17"/>
  </w:num>
  <w:num w:numId="6" w16cid:durableId="731197649">
    <w:abstractNumId w:val="5"/>
  </w:num>
  <w:num w:numId="7" w16cid:durableId="121195867">
    <w:abstractNumId w:val="38"/>
  </w:num>
  <w:num w:numId="8" w16cid:durableId="17041625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791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314893">
    <w:abstractNumId w:val="13"/>
  </w:num>
  <w:num w:numId="11" w16cid:durableId="1369524079">
    <w:abstractNumId w:val="14"/>
  </w:num>
  <w:num w:numId="12" w16cid:durableId="283855052">
    <w:abstractNumId w:val="12"/>
  </w:num>
  <w:num w:numId="13" w16cid:durableId="1587810405">
    <w:abstractNumId w:val="37"/>
  </w:num>
  <w:num w:numId="14" w16cid:durableId="1224677235">
    <w:abstractNumId w:val="6"/>
  </w:num>
  <w:num w:numId="15" w16cid:durableId="2076009369">
    <w:abstractNumId w:val="36"/>
  </w:num>
  <w:num w:numId="16" w16cid:durableId="456264499">
    <w:abstractNumId w:val="27"/>
  </w:num>
  <w:num w:numId="17" w16cid:durableId="600798316">
    <w:abstractNumId w:val="45"/>
  </w:num>
  <w:num w:numId="18" w16cid:durableId="853418292">
    <w:abstractNumId w:val="29"/>
  </w:num>
  <w:num w:numId="19" w16cid:durableId="228617870">
    <w:abstractNumId w:val="39"/>
  </w:num>
  <w:num w:numId="20" w16cid:durableId="1218400964">
    <w:abstractNumId w:val="44"/>
  </w:num>
  <w:num w:numId="21" w16cid:durableId="1471290801">
    <w:abstractNumId w:val="42"/>
  </w:num>
  <w:num w:numId="22" w16cid:durableId="1737706217">
    <w:abstractNumId w:val="1"/>
  </w:num>
  <w:num w:numId="23" w16cid:durableId="539588733">
    <w:abstractNumId w:val="10"/>
  </w:num>
  <w:num w:numId="24" w16cid:durableId="22051035">
    <w:abstractNumId w:val="22"/>
  </w:num>
  <w:num w:numId="25" w16cid:durableId="1157184197">
    <w:abstractNumId w:val="28"/>
  </w:num>
  <w:num w:numId="26" w16cid:durableId="1226185897">
    <w:abstractNumId w:val="19"/>
  </w:num>
  <w:num w:numId="27" w16cid:durableId="787773850">
    <w:abstractNumId w:val="7"/>
  </w:num>
  <w:num w:numId="28" w16cid:durableId="791510659">
    <w:abstractNumId w:val="3"/>
  </w:num>
  <w:num w:numId="29" w16cid:durableId="1423377869">
    <w:abstractNumId w:val="9"/>
  </w:num>
  <w:num w:numId="30" w16cid:durableId="1375545173">
    <w:abstractNumId w:val="23"/>
  </w:num>
  <w:num w:numId="31" w16cid:durableId="2005475233">
    <w:abstractNumId w:val="41"/>
  </w:num>
  <w:num w:numId="32" w16cid:durableId="486046472">
    <w:abstractNumId w:val="35"/>
  </w:num>
  <w:num w:numId="33" w16cid:durableId="894319394">
    <w:abstractNumId w:val="24"/>
  </w:num>
  <w:num w:numId="34" w16cid:durableId="1507598061">
    <w:abstractNumId w:val="11"/>
  </w:num>
  <w:num w:numId="35" w16cid:durableId="261494983">
    <w:abstractNumId w:val="26"/>
  </w:num>
  <w:num w:numId="36" w16cid:durableId="1288705311">
    <w:abstractNumId w:val="15"/>
  </w:num>
  <w:num w:numId="37" w16cid:durableId="1791388424">
    <w:abstractNumId w:val="32"/>
  </w:num>
  <w:num w:numId="38" w16cid:durableId="1127116984">
    <w:abstractNumId w:val="2"/>
  </w:num>
  <w:num w:numId="39" w16cid:durableId="1821116535">
    <w:abstractNumId w:val="30"/>
  </w:num>
  <w:num w:numId="40" w16cid:durableId="1066875249">
    <w:abstractNumId w:val="33"/>
  </w:num>
  <w:num w:numId="41" w16cid:durableId="1068920391">
    <w:abstractNumId w:val="40"/>
  </w:num>
  <w:num w:numId="42" w16cid:durableId="1414426254">
    <w:abstractNumId w:val="34"/>
  </w:num>
  <w:num w:numId="43" w16cid:durableId="2079208614">
    <w:abstractNumId w:val="8"/>
  </w:num>
  <w:num w:numId="44" w16cid:durableId="609320568">
    <w:abstractNumId w:val="0"/>
  </w:num>
  <w:num w:numId="45" w16cid:durableId="1868594558">
    <w:abstractNumId w:val="4"/>
  </w:num>
  <w:num w:numId="46" w16cid:durableId="235432054">
    <w:abstractNumId w:val="18"/>
  </w:num>
  <w:num w:numId="47" w16cid:durableId="1086262762">
    <w:abstractNumId w:val="31"/>
  </w:num>
  <w:num w:numId="48" w16cid:durableId="1016804412">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wtDS0MLC0sLQwtjBR0lEKTi0uzszPAykwrAUA2/74fCwAAAA="/>
  </w:docVars>
  <w:rsids>
    <w:rsidRoot w:val="004417D5"/>
    <w:rsid w:val="0000005D"/>
    <w:rsid w:val="000003A3"/>
    <w:rsid w:val="00000870"/>
    <w:rsid w:val="000009E1"/>
    <w:rsid w:val="00000B21"/>
    <w:rsid w:val="00000B72"/>
    <w:rsid w:val="0000116D"/>
    <w:rsid w:val="0000120C"/>
    <w:rsid w:val="000012C6"/>
    <w:rsid w:val="000013F0"/>
    <w:rsid w:val="0000144F"/>
    <w:rsid w:val="0000146D"/>
    <w:rsid w:val="0000150D"/>
    <w:rsid w:val="00001553"/>
    <w:rsid w:val="00001681"/>
    <w:rsid w:val="000017D1"/>
    <w:rsid w:val="0000188F"/>
    <w:rsid w:val="00001900"/>
    <w:rsid w:val="00001912"/>
    <w:rsid w:val="00001913"/>
    <w:rsid w:val="00001F92"/>
    <w:rsid w:val="00002128"/>
    <w:rsid w:val="00002221"/>
    <w:rsid w:val="000024BB"/>
    <w:rsid w:val="0000259A"/>
    <w:rsid w:val="0000274D"/>
    <w:rsid w:val="00002776"/>
    <w:rsid w:val="00002990"/>
    <w:rsid w:val="00002AEA"/>
    <w:rsid w:val="00002BD8"/>
    <w:rsid w:val="00002C10"/>
    <w:rsid w:val="00002CEF"/>
    <w:rsid w:val="00002F86"/>
    <w:rsid w:val="000031DC"/>
    <w:rsid w:val="00003361"/>
    <w:rsid w:val="00003426"/>
    <w:rsid w:val="00003576"/>
    <w:rsid w:val="000035D3"/>
    <w:rsid w:val="000036B0"/>
    <w:rsid w:val="00003829"/>
    <w:rsid w:val="00003844"/>
    <w:rsid w:val="00003F1B"/>
    <w:rsid w:val="00003FAF"/>
    <w:rsid w:val="00004348"/>
    <w:rsid w:val="00004711"/>
    <w:rsid w:val="0000474E"/>
    <w:rsid w:val="00004812"/>
    <w:rsid w:val="000048AC"/>
    <w:rsid w:val="00004C7A"/>
    <w:rsid w:val="00004E12"/>
    <w:rsid w:val="00004E44"/>
    <w:rsid w:val="0000510B"/>
    <w:rsid w:val="00005460"/>
    <w:rsid w:val="00005990"/>
    <w:rsid w:val="00005C60"/>
    <w:rsid w:val="00006027"/>
    <w:rsid w:val="0000644C"/>
    <w:rsid w:val="0000658C"/>
    <w:rsid w:val="00006609"/>
    <w:rsid w:val="00006702"/>
    <w:rsid w:val="000067CA"/>
    <w:rsid w:val="000069F8"/>
    <w:rsid w:val="00006E83"/>
    <w:rsid w:val="00006EE3"/>
    <w:rsid w:val="00006F3B"/>
    <w:rsid w:val="00006FA5"/>
    <w:rsid w:val="00006FBC"/>
    <w:rsid w:val="0000705B"/>
    <w:rsid w:val="000071BE"/>
    <w:rsid w:val="00007275"/>
    <w:rsid w:val="00007531"/>
    <w:rsid w:val="00007760"/>
    <w:rsid w:val="00007947"/>
    <w:rsid w:val="00007D52"/>
    <w:rsid w:val="00007E00"/>
    <w:rsid w:val="0001066D"/>
    <w:rsid w:val="00010678"/>
    <w:rsid w:val="000107AE"/>
    <w:rsid w:val="000108F0"/>
    <w:rsid w:val="000109A1"/>
    <w:rsid w:val="00010A54"/>
    <w:rsid w:val="00010DCB"/>
    <w:rsid w:val="00011115"/>
    <w:rsid w:val="00011204"/>
    <w:rsid w:val="0001157A"/>
    <w:rsid w:val="00011639"/>
    <w:rsid w:val="00011893"/>
    <w:rsid w:val="00011915"/>
    <w:rsid w:val="0001197B"/>
    <w:rsid w:val="00011981"/>
    <w:rsid w:val="00011AD1"/>
    <w:rsid w:val="00011C62"/>
    <w:rsid w:val="00011CB5"/>
    <w:rsid w:val="00011DE9"/>
    <w:rsid w:val="00011DF4"/>
    <w:rsid w:val="00011E7F"/>
    <w:rsid w:val="00012077"/>
    <w:rsid w:val="00012140"/>
    <w:rsid w:val="00012425"/>
    <w:rsid w:val="000124BA"/>
    <w:rsid w:val="000125D4"/>
    <w:rsid w:val="0001280A"/>
    <w:rsid w:val="0001284F"/>
    <w:rsid w:val="00012AAB"/>
    <w:rsid w:val="00012BCC"/>
    <w:rsid w:val="00012CDB"/>
    <w:rsid w:val="00013025"/>
    <w:rsid w:val="0001303D"/>
    <w:rsid w:val="000131B9"/>
    <w:rsid w:val="0001325F"/>
    <w:rsid w:val="00013293"/>
    <w:rsid w:val="00013692"/>
    <w:rsid w:val="000137CD"/>
    <w:rsid w:val="00013A17"/>
    <w:rsid w:val="00013A8F"/>
    <w:rsid w:val="00013B1C"/>
    <w:rsid w:val="00013DCA"/>
    <w:rsid w:val="00013ED8"/>
    <w:rsid w:val="00013F2F"/>
    <w:rsid w:val="00014307"/>
    <w:rsid w:val="00014543"/>
    <w:rsid w:val="00014571"/>
    <w:rsid w:val="00014610"/>
    <w:rsid w:val="00014670"/>
    <w:rsid w:val="00014949"/>
    <w:rsid w:val="00014958"/>
    <w:rsid w:val="00014B10"/>
    <w:rsid w:val="00014BC9"/>
    <w:rsid w:val="00014E94"/>
    <w:rsid w:val="00014FC4"/>
    <w:rsid w:val="00015117"/>
    <w:rsid w:val="0001526E"/>
    <w:rsid w:val="00015414"/>
    <w:rsid w:val="00015428"/>
    <w:rsid w:val="00015596"/>
    <w:rsid w:val="0001562C"/>
    <w:rsid w:val="0001587F"/>
    <w:rsid w:val="000158F9"/>
    <w:rsid w:val="000159F9"/>
    <w:rsid w:val="00015B56"/>
    <w:rsid w:val="00015D45"/>
    <w:rsid w:val="00015E16"/>
    <w:rsid w:val="00016057"/>
    <w:rsid w:val="000161C4"/>
    <w:rsid w:val="0001691B"/>
    <w:rsid w:val="00016BE0"/>
    <w:rsid w:val="00016E5B"/>
    <w:rsid w:val="00017193"/>
    <w:rsid w:val="000171FD"/>
    <w:rsid w:val="00017299"/>
    <w:rsid w:val="000174CA"/>
    <w:rsid w:val="00017510"/>
    <w:rsid w:val="000176C1"/>
    <w:rsid w:val="00017AD8"/>
    <w:rsid w:val="00017B7A"/>
    <w:rsid w:val="00017CE6"/>
    <w:rsid w:val="00017D0A"/>
    <w:rsid w:val="000200DB"/>
    <w:rsid w:val="00020374"/>
    <w:rsid w:val="00020489"/>
    <w:rsid w:val="000208E8"/>
    <w:rsid w:val="00020AAB"/>
    <w:rsid w:val="00020DC6"/>
    <w:rsid w:val="00021148"/>
    <w:rsid w:val="00021187"/>
    <w:rsid w:val="00021267"/>
    <w:rsid w:val="000215FF"/>
    <w:rsid w:val="0002199E"/>
    <w:rsid w:val="00021A39"/>
    <w:rsid w:val="00021A94"/>
    <w:rsid w:val="00021D12"/>
    <w:rsid w:val="00021E99"/>
    <w:rsid w:val="00021F0C"/>
    <w:rsid w:val="00022275"/>
    <w:rsid w:val="000223A4"/>
    <w:rsid w:val="000223E9"/>
    <w:rsid w:val="000225E4"/>
    <w:rsid w:val="00022ABD"/>
    <w:rsid w:val="00022DC3"/>
    <w:rsid w:val="00022E60"/>
    <w:rsid w:val="00022F5D"/>
    <w:rsid w:val="00022F85"/>
    <w:rsid w:val="00022FDB"/>
    <w:rsid w:val="0002333C"/>
    <w:rsid w:val="000233C9"/>
    <w:rsid w:val="0002344C"/>
    <w:rsid w:val="000236D2"/>
    <w:rsid w:val="000238B9"/>
    <w:rsid w:val="00023BB4"/>
    <w:rsid w:val="00023D8B"/>
    <w:rsid w:val="00023DB1"/>
    <w:rsid w:val="00023F68"/>
    <w:rsid w:val="000244DA"/>
    <w:rsid w:val="00024B57"/>
    <w:rsid w:val="00024E63"/>
    <w:rsid w:val="00024E88"/>
    <w:rsid w:val="00024F4B"/>
    <w:rsid w:val="00024FF0"/>
    <w:rsid w:val="000251AE"/>
    <w:rsid w:val="000254FE"/>
    <w:rsid w:val="000256CB"/>
    <w:rsid w:val="000256CF"/>
    <w:rsid w:val="00025900"/>
    <w:rsid w:val="00025C2F"/>
    <w:rsid w:val="00025D1C"/>
    <w:rsid w:val="00025DA4"/>
    <w:rsid w:val="00026145"/>
    <w:rsid w:val="0002659E"/>
    <w:rsid w:val="00026AAD"/>
    <w:rsid w:val="00026BA7"/>
    <w:rsid w:val="00026C19"/>
    <w:rsid w:val="00026C23"/>
    <w:rsid w:val="00026F39"/>
    <w:rsid w:val="000272C8"/>
    <w:rsid w:val="00027383"/>
    <w:rsid w:val="000273B6"/>
    <w:rsid w:val="000273CF"/>
    <w:rsid w:val="000277EC"/>
    <w:rsid w:val="00027A12"/>
    <w:rsid w:val="00027A6F"/>
    <w:rsid w:val="00027CDE"/>
    <w:rsid w:val="000300F7"/>
    <w:rsid w:val="000302BB"/>
    <w:rsid w:val="00030317"/>
    <w:rsid w:val="000307FB"/>
    <w:rsid w:val="00030811"/>
    <w:rsid w:val="000309DB"/>
    <w:rsid w:val="00030D06"/>
    <w:rsid w:val="00030F96"/>
    <w:rsid w:val="00031195"/>
    <w:rsid w:val="00031263"/>
    <w:rsid w:val="0003136E"/>
    <w:rsid w:val="00031847"/>
    <w:rsid w:val="0003198D"/>
    <w:rsid w:val="00031B51"/>
    <w:rsid w:val="00032041"/>
    <w:rsid w:val="000321D3"/>
    <w:rsid w:val="00032210"/>
    <w:rsid w:val="00032728"/>
    <w:rsid w:val="00032756"/>
    <w:rsid w:val="00032821"/>
    <w:rsid w:val="00032AC6"/>
    <w:rsid w:val="00032BA9"/>
    <w:rsid w:val="00033267"/>
    <w:rsid w:val="00033301"/>
    <w:rsid w:val="00033350"/>
    <w:rsid w:val="0003337A"/>
    <w:rsid w:val="00033445"/>
    <w:rsid w:val="0003349D"/>
    <w:rsid w:val="0003464B"/>
    <w:rsid w:val="000347B4"/>
    <w:rsid w:val="00034965"/>
    <w:rsid w:val="00034A0A"/>
    <w:rsid w:val="00034A9D"/>
    <w:rsid w:val="00034DFD"/>
    <w:rsid w:val="00034F1B"/>
    <w:rsid w:val="0003558F"/>
    <w:rsid w:val="000356C3"/>
    <w:rsid w:val="000356EE"/>
    <w:rsid w:val="000356F6"/>
    <w:rsid w:val="00035957"/>
    <w:rsid w:val="00035D89"/>
    <w:rsid w:val="00035FF9"/>
    <w:rsid w:val="00035FFB"/>
    <w:rsid w:val="00036195"/>
    <w:rsid w:val="0003685A"/>
    <w:rsid w:val="00036A15"/>
    <w:rsid w:val="00036A1D"/>
    <w:rsid w:val="00036AD0"/>
    <w:rsid w:val="00036DFE"/>
    <w:rsid w:val="00036E72"/>
    <w:rsid w:val="00036FD6"/>
    <w:rsid w:val="00036FEC"/>
    <w:rsid w:val="00037047"/>
    <w:rsid w:val="00037058"/>
    <w:rsid w:val="0003709B"/>
    <w:rsid w:val="0003736D"/>
    <w:rsid w:val="000373D1"/>
    <w:rsid w:val="000376F3"/>
    <w:rsid w:val="00037739"/>
    <w:rsid w:val="00037930"/>
    <w:rsid w:val="00037934"/>
    <w:rsid w:val="00037A09"/>
    <w:rsid w:val="00037C4D"/>
    <w:rsid w:val="00037FC0"/>
    <w:rsid w:val="00040126"/>
    <w:rsid w:val="000401D1"/>
    <w:rsid w:val="000402C8"/>
    <w:rsid w:val="0004071A"/>
    <w:rsid w:val="0004071B"/>
    <w:rsid w:val="000407F5"/>
    <w:rsid w:val="000408DB"/>
    <w:rsid w:val="00040906"/>
    <w:rsid w:val="00040A1A"/>
    <w:rsid w:val="00040C7C"/>
    <w:rsid w:val="00040C84"/>
    <w:rsid w:val="00040CDB"/>
    <w:rsid w:val="00040CF9"/>
    <w:rsid w:val="00040E69"/>
    <w:rsid w:val="00040F6D"/>
    <w:rsid w:val="0004126D"/>
    <w:rsid w:val="000414D6"/>
    <w:rsid w:val="00041562"/>
    <w:rsid w:val="00041662"/>
    <w:rsid w:val="00041BE2"/>
    <w:rsid w:val="00041CC8"/>
    <w:rsid w:val="00041DA5"/>
    <w:rsid w:val="00041F21"/>
    <w:rsid w:val="00041FAC"/>
    <w:rsid w:val="00042172"/>
    <w:rsid w:val="00042218"/>
    <w:rsid w:val="00042503"/>
    <w:rsid w:val="000426CD"/>
    <w:rsid w:val="0004303E"/>
    <w:rsid w:val="000431E7"/>
    <w:rsid w:val="00043300"/>
    <w:rsid w:val="00043412"/>
    <w:rsid w:val="000436A9"/>
    <w:rsid w:val="000438AC"/>
    <w:rsid w:val="0004391A"/>
    <w:rsid w:val="00043AAF"/>
    <w:rsid w:val="00044062"/>
    <w:rsid w:val="000440AF"/>
    <w:rsid w:val="000444F1"/>
    <w:rsid w:val="00044610"/>
    <w:rsid w:val="000446E6"/>
    <w:rsid w:val="000449BC"/>
    <w:rsid w:val="00044B51"/>
    <w:rsid w:val="00044C6E"/>
    <w:rsid w:val="00044E17"/>
    <w:rsid w:val="000451DC"/>
    <w:rsid w:val="00045587"/>
    <w:rsid w:val="00045BDD"/>
    <w:rsid w:val="00046050"/>
    <w:rsid w:val="0004605B"/>
    <w:rsid w:val="000462FB"/>
    <w:rsid w:val="00046324"/>
    <w:rsid w:val="00046479"/>
    <w:rsid w:val="00046A4F"/>
    <w:rsid w:val="00046C81"/>
    <w:rsid w:val="000470B7"/>
    <w:rsid w:val="0004728C"/>
    <w:rsid w:val="000474D7"/>
    <w:rsid w:val="00047509"/>
    <w:rsid w:val="00047764"/>
    <w:rsid w:val="000477EE"/>
    <w:rsid w:val="00047863"/>
    <w:rsid w:val="0004799C"/>
    <w:rsid w:val="000479E3"/>
    <w:rsid w:val="00047B7B"/>
    <w:rsid w:val="00047C73"/>
    <w:rsid w:val="00047CFC"/>
    <w:rsid w:val="00047D22"/>
    <w:rsid w:val="00047F87"/>
    <w:rsid w:val="000504A7"/>
    <w:rsid w:val="00050506"/>
    <w:rsid w:val="0005050E"/>
    <w:rsid w:val="000505B0"/>
    <w:rsid w:val="0005063F"/>
    <w:rsid w:val="00050B82"/>
    <w:rsid w:val="00050BBA"/>
    <w:rsid w:val="00050DCE"/>
    <w:rsid w:val="000515F5"/>
    <w:rsid w:val="00051685"/>
    <w:rsid w:val="00051697"/>
    <w:rsid w:val="000516C9"/>
    <w:rsid w:val="0005193F"/>
    <w:rsid w:val="00051A06"/>
    <w:rsid w:val="00051A54"/>
    <w:rsid w:val="00051AEB"/>
    <w:rsid w:val="00051CB9"/>
    <w:rsid w:val="00051F7C"/>
    <w:rsid w:val="00051FB4"/>
    <w:rsid w:val="0005225B"/>
    <w:rsid w:val="000525EE"/>
    <w:rsid w:val="000527B1"/>
    <w:rsid w:val="00052841"/>
    <w:rsid w:val="00052ADB"/>
    <w:rsid w:val="00052B6A"/>
    <w:rsid w:val="00052BA3"/>
    <w:rsid w:val="00052C3D"/>
    <w:rsid w:val="00052F88"/>
    <w:rsid w:val="00053056"/>
    <w:rsid w:val="00053231"/>
    <w:rsid w:val="000534F4"/>
    <w:rsid w:val="000535BA"/>
    <w:rsid w:val="000537AD"/>
    <w:rsid w:val="000537FD"/>
    <w:rsid w:val="000538C7"/>
    <w:rsid w:val="000538CB"/>
    <w:rsid w:val="000538D4"/>
    <w:rsid w:val="000539FC"/>
    <w:rsid w:val="00053C51"/>
    <w:rsid w:val="00053CA4"/>
    <w:rsid w:val="00053F97"/>
    <w:rsid w:val="00054008"/>
    <w:rsid w:val="0005451B"/>
    <w:rsid w:val="00054623"/>
    <w:rsid w:val="000547CB"/>
    <w:rsid w:val="000548FD"/>
    <w:rsid w:val="0005494B"/>
    <w:rsid w:val="00054A3D"/>
    <w:rsid w:val="00054BD1"/>
    <w:rsid w:val="00054F36"/>
    <w:rsid w:val="000553A7"/>
    <w:rsid w:val="00055449"/>
    <w:rsid w:val="000556B2"/>
    <w:rsid w:val="00055AF6"/>
    <w:rsid w:val="00055B85"/>
    <w:rsid w:val="00055DB7"/>
    <w:rsid w:val="00055E1D"/>
    <w:rsid w:val="00055E77"/>
    <w:rsid w:val="00055E80"/>
    <w:rsid w:val="00055FAD"/>
    <w:rsid w:val="0005606F"/>
    <w:rsid w:val="00056342"/>
    <w:rsid w:val="00056376"/>
    <w:rsid w:val="00056430"/>
    <w:rsid w:val="00056734"/>
    <w:rsid w:val="0005678F"/>
    <w:rsid w:val="000567D0"/>
    <w:rsid w:val="00056C79"/>
    <w:rsid w:val="0005701B"/>
    <w:rsid w:val="00057365"/>
    <w:rsid w:val="000573AF"/>
    <w:rsid w:val="0005744F"/>
    <w:rsid w:val="00057470"/>
    <w:rsid w:val="0005764A"/>
    <w:rsid w:val="000576AD"/>
    <w:rsid w:val="00057B43"/>
    <w:rsid w:val="00057CDF"/>
    <w:rsid w:val="00060072"/>
    <w:rsid w:val="000602F6"/>
    <w:rsid w:val="0006030A"/>
    <w:rsid w:val="0006032F"/>
    <w:rsid w:val="000603DF"/>
    <w:rsid w:val="000605F2"/>
    <w:rsid w:val="00060C39"/>
    <w:rsid w:val="00060D18"/>
    <w:rsid w:val="00060D95"/>
    <w:rsid w:val="00060E93"/>
    <w:rsid w:val="000613C3"/>
    <w:rsid w:val="00061449"/>
    <w:rsid w:val="000614B9"/>
    <w:rsid w:val="0006153F"/>
    <w:rsid w:val="00061A60"/>
    <w:rsid w:val="00061CBD"/>
    <w:rsid w:val="00062670"/>
    <w:rsid w:val="00062817"/>
    <w:rsid w:val="000629BD"/>
    <w:rsid w:val="00062FB9"/>
    <w:rsid w:val="000631A4"/>
    <w:rsid w:val="000631F7"/>
    <w:rsid w:val="000632A1"/>
    <w:rsid w:val="00063789"/>
    <w:rsid w:val="0006378B"/>
    <w:rsid w:val="00064122"/>
    <w:rsid w:val="00064272"/>
    <w:rsid w:val="000645E1"/>
    <w:rsid w:val="0006463E"/>
    <w:rsid w:val="0006472E"/>
    <w:rsid w:val="00064936"/>
    <w:rsid w:val="0006499F"/>
    <w:rsid w:val="00064BA7"/>
    <w:rsid w:val="00064C3F"/>
    <w:rsid w:val="00064CBB"/>
    <w:rsid w:val="000650A3"/>
    <w:rsid w:val="00065115"/>
    <w:rsid w:val="000652EF"/>
    <w:rsid w:val="000653D5"/>
    <w:rsid w:val="0006599B"/>
    <w:rsid w:val="00065A88"/>
    <w:rsid w:val="00066072"/>
    <w:rsid w:val="000660CA"/>
    <w:rsid w:val="0006622B"/>
    <w:rsid w:val="00066268"/>
    <w:rsid w:val="000663D9"/>
    <w:rsid w:val="00066869"/>
    <w:rsid w:val="00066CFD"/>
    <w:rsid w:val="00066D4B"/>
    <w:rsid w:val="000672F8"/>
    <w:rsid w:val="00067306"/>
    <w:rsid w:val="000674CB"/>
    <w:rsid w:val="000675F6"/>
    <w:rsid w:val="000676FF"/>
    <w:rsid w:val="00067CD9"/>
    <w:rsid w:val="00067CF8"/>
    <w:rsid w:val="00067EF7"/>
    <w:rsid w:val="00070043"/>
    <w:rsid w:val="00070192"/>
    <w:rsid w:val="000703C2"/>
    <w:rsid w:val="00070467"/>
    <w:rsid w:val="00070653"/>
    <w:rsid w:val="00070836"/>
    <w:rsid w:val="00070C7B"/>
    <w:rsid w:val="00070CF9"/>
    <w:rsid w:val="00070E66"/>
    <w:rsid w:val="00070ED3"/>
    <w:rsid w:val="00071082"/>
    <w:rsid w:val="00071149"/>
    <w:rsid w:val="0007114A"/>
    <w:rsid w:val="00071615"/>
    <w:rsid w:val="0007181A"/>
    <w:rsid w:val="0007183E"/>
    <w:rsid w:val="00071918"/>
    <w:rsid w:val="00071A1C"/>
    <w:rsid w:val="00071BA4"/>
    <w:rsid w:val="00071E5C"/>
    <w:rsid w:val="00071FB4"/>
    <w:rsid w:val="00072098"/>
    <w:rsid w:val="000720E3"/>
    <w:rsid w:val="00072254"/>
    <w:rsid w:val="000723A9"/>
    <w:rsid w:val="00072591"/>
    <w:rsid w:val="00072653"/>
    <w:rsid w:val="0007276C"/>
    <w:rsid w:val="000728BC"/>
    <w:rsid w:val="00072A2B"/>
    <w:rsid w:val="00072A93"/>
    <w:rsid w:val="00072BAB"/>
    <w:rsid w:val="00072DB7"/>
    <w:rsid w:val="00072DF1"/>
    <w:rsid w:val="00072ED9"/>
    <w:rsid w:val="00072F05"/>
    <w:rsid w:val="000730E8"/>
    <w:rsid w:val="000734F8"/>
    <w:rsid w:val="00073650"/>
    <w:rsid w:val="000736B8"/>
    <w:rsid w:val="000736C6"/>
    <w:rsid w:val="00073854"/>
    <w:rsid w:val="00073985"/>
    <w:rsid w:val="000739B0"/>
    <w:rsid w:val="00073C95"/>
    <w:rsid w:val="00073D27"/>
    <w:rsid w:val="00073D54"/>
    <w:rsid w:val="00073DB0"/>
    <w:rsid w:val="00073E5C"/>
    <w:rsid w:val="0007442C"/>
    <w:rsid w:val="000745FA"/>
    <w:rsid w:val="0007460C"/>
    <w:rsid w:val="0007481E"/>
    <w:rsid w:val="00074A8D"/>
    <w:rsid w:val="00074C83"/>
    <w:rsid w:val="00074CAB"/>
    <w:rsid w:val="000751E7"/>
    <w:rsid w:val="00075261"/>
    <w:rsid w:val="000753E5"/>
    <w:rsid w:val="00075889"/>
    <w:rsid w:val="00075890"/>
    <w:rsid w:val="000759DE"/>
    <w:rsid w:val="000759ED"/>
    <w:rsid w:val="00075F09"/>
    <w:rsid w:val="000761ED"/>
    <w:rsid w:val="000764EB"/>
    <w:rsid w:val="00076847"/>
    <w:rsid w:val="000768FE"/>
    <w:rsid w:val="00076CA0"/>
    <w:rsid w:val="00076F75"/>
    <w:rsid w:val="00076FEB"/>
    <w:rsid w:val="0007706A"/>
    <w:rsid w:val="000771ED"/>
    <w:rsid w:val="0007722D"/>
    <w:rsid w:val="0007729B"/>
    <w:rsid w:val="000775C5"/>
    <w:rsid w:val="0007774B"/>
    <w:rsid w:val="000779C4"/>
    <w:rsid w:val="00077B3C"/>
    <w:rsid w:val="00077C9D"/>
    <w:rsid w:val="00080021"/>
    <w:rsid w:val="000800F3"/>
    <w:rsid w:val="0008025C"/>
    <w:rsid w:val="00080B4D"/>
    <w:rsid w:val="00080E76"/>
    <w:rsid w:val="000810D7"/>
    <w:rsid w:val="00081178"/>
    <w:rsid w:val="0008127A"/>
    <w:rsid w:val="0008142B"/>
    <w:rsid w:val="0008146B"/>
    <w:rsid w:val="000814A0"/>
    <w:rsid w:val="000817CB"/>
    <w:rsid w:val="00081A4B"/>
    <w:rsid w:val="00081FD3"/>
    <w:rsid w:val="0008225A"/>
    <w:rsid w:val="000824BF"/>
    <w:rsid w:val="000825BB"/>
    <w:rsid w:val="00082A60"/>
    <w:rsid w:val="00082CE8"/>
    <w:rsid w:val="00082EB2"/>
    <w:rsid w:val="00082F36"/>
    <w:rsid w:val="00083069"/>
    <w:rsid w:val="000831A2"/>
    <w:rsid w:val="00083309"/>
    <w:rsid w:val="0008330C"/>
    <w:rsid w:val="000834A5"/>
    <w:rsid w:val="000837D9"/>
    <w:rsid w:val="0008389F"/>
    <w:rsid w:val="00083950"/>
    <w:rsid w:val="00083D6B"/>
    <w:rsid w:val="00083EA3"/>
    <w:rsid w:val="00083FB5"/>
    <w:rsid w:val="00084238"/>
    <w:rsid w:val="00084275"/>
    <w:rsid w:val="000842BA"/>
    <w:rsid w:val="0008448F"/>
    <w:rsid w:val="000846DB"/>
    <w:rsid w:val="000849AA"/>
    <w:rsid w:val="00084E7A"/>
    <w:rsid w:val="000852A2"/>
    <w:rsid w:val="0008580E"/>
    <w:rsid w:val="00085A46"/>
    <w:rsid w:val="00085DC6"/>
    <w:rsid w:val="00085F34"/>
    <w:rsid w:val="00085F5C"/>
    <w:rsid w:val="0008605F"/>
    <w:rsid w:val="00086125"/>
    <w:rsid w:val="000861FE"/>
    <w:rsid w:val="000862A1"/>
    <w:rsid w:val="00086323"/>
    <w:rsid w:val="0008650C"/>
    <w:rsid w:val="0008666A"/>
    <w:rsid w:val="000867A0"/>
    <w:rsid w:val="000867F1"/>
    <w:rsid w:val="00086C68"/>
    <w:rsid w:val="00087184"/>
    <w:rsid w:val="00087190"/>
    <w:rsid w:val="000871B6"/>
    <w:rsid w:val="0008728D"/>
    <w:rsid w:val="00087392"/>
    <w:rsid w:val="000873EF"/>
    <w:rsid w:val="00087863"/>
    <w:rsid w:val="000879D5"/>
    <w:rsid w:val="00087CD5"/>
    <w:rsid w:val="00087E9B"/>
    <w:rsid w:val="000902CA"/>
    <w:rsid w:val="00090785"/>
    <w:rsid w:val="00090908"/>
    <w:rsid w:val="0009099B"/>
    <w:rsid w:val="00090F34"/>
    <w:rsid w:val="00090F54"/>
    <w:rsid w:val="000910D9"/>
    <w:rsid w:val="000911B3"/>
    <w:rsid w:val="000913F9"/>
    <w:rsid w:val="00091C0C"/>
    <w:rsid w:val="00091D29"/>
    <w:rsid w:val="00091F0E"/>
    <w:rsid w:val="0009227B"/>
    <w:rsid w:val="000926C8"/>
    <w:rsid w:val="00092B70"/>
    <w:rsid w:val="00092B8B"/>
    <w:rsid w:val="00092D85"/>
    <w:rsid w:val="00092E96"/>
    <w:rsid w:val="00092F13"/>
    <w:rsid w:val="00092FE6"/>
    <w:rsid w:val="0009339E"/>
    <w:rsid w:val="000933D6"/>
    <w:rsid w:val="0009387D"/>
    <w:rsid w:val="0009392B"/>
    <w:rsid w:val="00093A56"/>
    <w:rsid w:val="00093C30"/>
    <w:rsid w:val="00093D89"/>
    <w:rsid w:val="00093E30"/>
    <w:rsid w:val="00093F4D"/>
    <w:rsid w:val="00094031"/>
    <w:rsid w:val="000941D3"/>
    <w:rsid w:val="0009497B"/>
    <w:rsid w:val="000949E5"/>
    <w:rsid w:val="00094D8F"/>
    <w:rsid w:val="00094EFD"/>
    <w:rsid w:val="00094F0E"/>
    <w:rsid w:val="00095073"/>
    <w:rsid w:val="0009508E"/>
    <w:rsid w:val="0009517E"/>
    <w:rsid w:val="00095305"/>
    <w:rsid w:val="0009531E"/>
    <w:rsid w:val="000953FD"/>
    <w:rsid w:val="00095731"/>
    <w:rsid w:val="00095777"/>
    <w:rsid w:val="000959C3"/>
    <w:rsid w:val="000959FA"/>
    <w:rsid w:val="00095B1B"/>
    <w:rsid w:val="00095D3D"/>
    <w:rsid w:val="00095E4A"/>
    <w:rsid w:val="00095E94"/>
    <w:rsid w:val="00095F82"/>
    <w:rsid w:val="000963C9"/>
    <w:rsid w:val="00096592"/>
    <w:rsid w:val="000966A7"/>
    <w:rsid w:val="000966B5"/>
    <w:rsid w:val="00096850"/>
    <w:rsid w:val="00096852"/>
    <w:rsid w:val="00096C39"/>
    <w:rsid w:val="00096D60"/>
    <w:rsid w:val="00096F8B"/>
    <w:rsid w:val="000970DE"/>
    <w:rsid w:val="00097112"/>
    <w:rsid w:val="00097376"/>
    <w:rsid w:val="0009759C"/>
    <w:rsid w:val="00097A0C"/>
    <w:rsid w:val="00097ABA"/>
    <w:rsid w:val="00097C03"/>
    <w:rsid w:val="00097DB9"/>
    <w:rsid w:val="000A01B9"/>
    <w:rsid w:val="000A025F"/>
    <w:rsid w:val="000A03E2"/>
    <w:rsid w:val="000A049F"/>
    <w:rsid w:val="000A0584"/>
    <w:rsid w:val="000A0676"/>
    <w:rsid w:val="000A0740"/>
    <w:rsid w:val="000A0805"/>
    <w:rsid w:val="000A09A4"/>
    <w:rsid w:val="000A0E57"/>
    <w:rsid w:val="000A0EFB"/>
    <w:rsid w:val="000A0FAF"/>
    <w:rsid w:val="000A13F6"/>
    <w:rsid w:val="000A146D"/>
    <w:rsid w:val="000A186A"/>
    <w:rsid w:val="000A1927"/>
    <w:rsid w:val="000A1A19"/>
    <w:rsid w:val="000A1B97"/>
    <w:rsid w:val="000A1ECE"/>
    <w:rsid w:val="000A1F37"/>
    <w:rsid w:val="000A2115"/>
    <w:rsid w:val="000A21D3"/>
    <w:rsid w:val="000A2406"/>
    <w:rsid w:val="000A249F"/>
    <w:rsid w:val="000A253E"/>
    <w:rsid w:val="000A2601"/>
    <w:rsid w:val="000A2662"/>
    <w:rsid w:val="000A275B"/>
    <w:rsid w:val="000A2DF2"/>
    <w:rsid w:val="000A2E07"/>
    <w:rsid w:val="000A30E1"/>
    <w:rsid w:val="000A32E5"/>
    <w:rsid w:val="000A3326"/>
    <w:rsid w:val="000A354C"/>
    <w:rsid w:val="000A359E"/>
    <w:rsid w:val="000A35AF"/>
    <w:rsid w:val="000A36C7"/>
    <w:rsid w:val="000A3747"/>
    <w:rsid w:val="000A3775"/>
    <w:rsid w:val="000A3890"/>
    <w:rsid w:val="000A38D9"/>
    <w:rsid w:val="000A38DC"/>
    <w:rsid w:val="000A3920"/>
    <w:rsid w:val="000A3932"/>
    <w:rsid w:val="000A4237"/>
    <w:rsid w:val="000A45DE"/>
    <w:rsid w:val="000A46CC"/>
    <w:rsid w:val="000A474C"/>
    <w:rsid w:val="000A4A10"/>
    <w:rsid w:val="000A4CD1"/>
    <w:rsid w:val="000A4DBB"/>
    <w:rsid w:val="000A4E10"/>
    <w:rsid w:val="000A4E2C"/>
    <w:rsid w:val="000A4F7D"/>
    <w:rsid w:val="000A5172"/>
    <w:rsid w:val="000A5343"/>
    <w:rsid w:val="000A542B"/>
    <w:rsid w:val="000A5504"/>
    <w:rsid w:val="000A559A"/>
    <w:rsid w:val="000A559C"/>
    <w:rsid w:val="000A56ED"/>
    <w:rsid w:val="000A5A5E"/>
    <w:rsid w:val="000A5A8F"/>
    <w:rsid w:val="000A5D72"/>
    <w:rsid w:val="000A5D79"/>
    <w:rsid w:val="000A5DDC"/>
    <w:rsid w:val="000A5F64"/>
    <w:rsid w:val="000A5FA6"/>
    <w:rsid w:val="000A60B2"/>
    <w:rsid w:val="000A61F1"/>
    <w:rsid w:val="000A62E3"/>
    <w:rsid w:val="000A634F"/>
    <w:rsid w:val="000A63EA"/>
    <w:rsid w:val="000A6412"/>
    <w:rsid w:val="000A658F"/>
    <w:rsid w:val="000A668A"/>
    <w:rsid w:val="000A6904"/>
    <w:rsid w:val="000A69BB"/>
    <w:rsid w:val="000A6B18"/>
    <w:rsid w:val="000A6D88"/>
    <w:rsid w:val="000A6DD7"/>
    <w:rsid w:val="000A6E31"/>
    <w:rsid w:val="000A6F9E"/>
    <w:rsid w:val="000A7015"/>
    <w:rsid w:val="000A70C3"/>
    <w:rsid w:val="000A711A"/>
    <w:rsid w:val="000A72D1"/>
    <w:rsid w:val="000A7385"/>
    <w:rsid w:val="000A7423"/>
    <w:rsid w:val="000A7446"/>
    <w:rsid w:val="000A744C"/>
    <w:rsid w:val="000A7635"/>
    <w:rsid w:val="000A77F4"/>
    <w:rsid w:val="000A78C8"/>
    <w:rsid w:val="000A7B7A"/>
    <w:rsid w:val="000A7C00"/>
    <w:rsid w:val="000A7C49"/>
    <w:rsid w:val="000A7D2F"/>
    <w:rsid w:val="000A7F78"/>
    <w:rsid w:val="000B042C"/>
    <w:rsid w:val="000B0634"/>
    <w:rsid w:val="000B0810"/>
    <w:rsid w:val="000B1075"/>
    <w:rsid w:val="000B113D"/>
    <w:rsid w:val="000B1270"/>
    <w:rsid w:val="000B12E7"/>
    <w:rsid w:val="000B14A6"/>
    <w:rsid w:val="000B14F3"/>
    <w:rsid w:val="000B157A"/>
    <w:rsid w:val="000B177D"/>
    <w:rsid w:val="000B1822"/>
    <w:rsid w:val="000B1897"/>
    <w:rsid w:val="000B18DE"/>
    <w:rsid w:val="000B19D9"/>
    <w:rsid w:val="000B1B79"/>
    <w:rsid w:val="000B1E28"/>
    <w:rsid w:val="000B1ED1"/>
    <w:rsid w:val="000B1F96"/>
    <w:rsid w:val="000B2051"/>
    <w:rsid w:val="000B208B"/>
    <w:rsid w:val="000B215E"/>
    <w:rsid w:val="000B2220"/>
    <w:rsid w:val="000B226E"/>
    <w:rsid w:val="000B232C"/>
    <w:rsid w:val="000B2508"/>
    <w:rsid w:val="000B2971"/>
    <w:rsid w:val="000B29C3"/>
    <w:rsid w:val="000B2C94"/>
    <w:rsid w:val="000B2D8D"/>
    <w:rsid w:val="000B2E59"/>
    <w:rsid w:val="000B311F"/>
    <w:rsid w:val="000B32FC"/>
    <w:rsid w:val="000B3792"/>
    <w:rsid w:val="000B37CE"/>
    <w:rsid w:val="000B388C"/>
    <w:rsid w:val="000B3C02"/>
    <w:rsid w:val="000B3CF7"/>
    <w:rsid w:val="000B3D1E"/>
    <w:rsid w:val="000B40CE"/>
    <w:rsid w:val="000B43EC"/>
    <w:rsid w:val="000B4491"/>
    <w:rsid w:val="000B44DE"/>
    <w:rsid w:val="000B45C6"/>
    <w:rsid w:val="000B4681"/>
    <w:rsid w:val="000B468A"/>
    <w:rsid w:val="000B46DB"/>
    <w:rsid w:val="000B482C"/>
    <w:rsid w:val="000B486D"/>
    <w:rsid w:val="000B4C42"/>
    <w:rsid w:val="000B4D72"/>
    <w:rsid w:val="000B4E91"/>
    <w:rsid w:val="000B500D"/>
    <w:rsid w:val="000B5770"/>
    <w:rsid w:val="000B5932"/>
    <w:rsid w:val="000B5A43"/>
    <w:rsid w:val="000B5A9B"/>
    <w:rsid w:val="000B5ABA"/>
    <w:rsid w:val="000B5D85"/>
    <w:rsid w:val="000B5E54"/>
    <w:rsid w:val="000B6105"/>
    <w:rsid w:val="000B624E"/>
    <w:rsid w:val="000B62D6"/>
    <w:rsid w:val="000B659C"/>
    <w:rsid w:val="000B6900"/>
    <w:rsid w:val="000B6913"/>
    <w:rsid w:val="000B6BBF"/>
    <w:rsid w:val="000B6C4E"/>
    <w:rsid w:val="000B6CEB"/>
    <w:rsid w:val="000B6E5C"/>
    <w:rsid w:val="000B7039"/>
    <w:rsid w:val="000B7175"/>
    <w:rsid w:val="000B71CD"/>
    <w:rsid w:val="000B750A"/>
    <w:rsid w:val="000B759B"/>
    <w:rsid w:val="000B7940"/>
    <w:rsid w:val="000B7AAF"/>
    <w:rsid w:val="000B7C4B"/>
    <w:rsid w:val="000B7C97"/>
    <w:rsid w:val="000B7E29"/>
    <w:rsid w:val="000B7E44"/>
    <w:rsid w:val="000C05CC"/>
    <w:rsid w:val="000C076C"/>
    <w:rsid w:val="000C0771"/>
    <w:rsid w:val="000C0812"/>
    <w:rsid w:val="000C0A89"/>
    <w:rsid w:val="000C0AB5"/>
    <w:rsid w:val="000C0AE6"/>
    <w:rsid w:val="000C0B11"/>
    <w:rsid w:val="000C0CAE"/>
    <w:rsid w:val="000C1347"/>
    <w:rsid w:val="000C15F2"/>
    <w:rsid w:val="000C1AD7"/>
    <w:rsid w:val="000C1CA6"/>
    <w:rsid w:val="000C1D69"/>
    <w:rsid w:val="000C1D91"/>
    <w:rsid w:val="000C2312"/>
    <w:rsid w:val="000C2356"/>
    <w:rsid w:val="000C271A"/>
    <w:rsid w:val="000C27EC"/>
    <w:rsid w:val="000C28BF"/>
    <w:rsid w:val="000C2B40"/>
    <w:rsid w:val="000C2C2B"/>
    <w:rsid w:val="000C330C"/>
    <w:rsid w:val="000C3372"/>
    <w:rsid w:val="000C33B1"/>
    <w:rsid w:val="000C3422"/>
    <w:rsid w:val="000C3657"/>
    <w:rsid w:val="000C39D8"/>
    <w:rsid w:val="000C3C78"/>
    <w:rsid w:val="000C4243"/>
    <w:rsid w:val="000C48FC"/>
    <w:rsid w:val="000C4B29"/>
    <w:rsid w:val="000C4C7A"/>
    <w:rsid w:val="000C5109"/>
    <w:rsid w:val="000C5407"/>
    <w:rsid w:val="000C549E"/>
    <w:rsid w:val="000C582C"/>
    <w:rsid w:val="000C58C7"/>
    <w:rsid w:val="000C5BCA"/>
    <w:rsid w:val="000C5C8A"/>
    <w:rsid w:val="000C5D74"/>
    <w:rsid w:val="000C5D9C"/>
    <w:rsid w:val="000C5E15"/>
    <w:rsid w:val="000C5F1F"/>
    <w:rsid w:val="000C620A"/>
    <w:rsid w:val="000C6242"/>
    <w:rsid w:val="000C6268"/>
    <w:rsid w:val="000C64A4"/>
    <w:rsid w:val="000C6789"/>
    <w:rsid w:val="000C68DB"/>
    <w:rsid w:val="000C6987"/>
    <w:rsid w:val="000C6A0B"/>
    <w:rsid w:val="000C6BA4"/>
    <w:rsid w:val="000C6D61"/>
    <w:rsid w:val="000C6F48"/>
    <w:rsid w:val="000C7015"/>
    <w:rsid w:val="000C7034"/>
    <w:rsid w:val="000C70A0"/>
    <w:rsid w:val="000C7228"/>
    <w:rsid w:val="000C751D"/>
    <w:rsid w:val="000C78FC"/>
    <w:rsid w:val="000C7B0B"/>
    <w:rsid w:val="000C7D74"/>
    <w:rsid w:val="000C7E41"/>
    <w:rsid w:val="000C7F1C"/>
    <w:rsid w:val="000C7FBA"/>
    <w:rsid w:val="000D00AA"/>
    <w:rsid w:val="000D04D6"/>
    <w:rsid w:val="000D056A"/>
    <w:rsid w:val="000D0664"/>
    <w:rsid w:val="000D07B5"/>
    <w:rsid w:val="000D0B9B"/>
    <w:rsid w:val="000D0E02"/>
    <w:rsid w:val="000D0E13"/>
    <w:rsid w:val="000D0F60"/>
    <w:rsid w:val="000D0FE8"/>
    <w:rsid w:val="000D106E"/>
    <w:rsid w:val="000D10A4"/>
    <w:rsid w:val="000D10DE"/>
    <w:rsid w:val="000D1327"/>
    <w:rsid w:val="000D13AE"/>
    <w:rsid w:val="000D1431"/>
    <w:rsid w:val="000D1445"/>
    <w:rsid w:val="000D1449"/>
    <w:rsid w:val="000D1555"/>
    <w:rsid w:val="000D1704"/>
    <w:rsid w:val="000D1880"/>
    <w:rsid w:val="000D1991"/>
    <w:rsid w:val="000D19AE"/>
    <w:rsid w:val="000D1BA5"/>
    <w:rsid w:val="000D1BC9"/>
    <w:rsid w:val="000D1CE6"/>
    <w:rsid w:val="000D1E8F"/>
    <w:rsid w:val="000D1F7E"/>
    <w:rsid w:val="000D23E4"/>
    <w:rsid w:val="000D243B"/>
    <w:rsid w:val="000D24CF"/>
    <w:rsid w:val="000D29A7"/>
    <w:rsid w:val="000D2A94"/>
    <w:rsid w:val="000D2C32"/>
    <w:rsid w:val="000D2C51"/>
    <w:rsid w:val="000D2D5C"/>
    <w:rsid w:val="000D300F"/>
    <w:rsid w:val="000D30C6"/>
    <w:rsid w:val="000D3130"/>
    <w:rsid w:val="000D320D"/>
    <w:rsid w:val="000D337A"/>
    <w:rsid w:val="000D3712"/>
    <w:rsid w:val="000D37F9"/>
    <w:rsid w:val="000D3A0D"/>
    <w:rsid w:val="000D3B4E"/>
    <w:rsid w:val="000D3BAA"/>
    <w:rsid w:val="000D3EDE"/>
    <w:rsid w:val="000D3F9E"/>
    <w:rsid w:val="000D4075"/>
    <w:rsid w:val="000D4171"/>
    <w:rsid w:val="000D477E"/>
    <w:rsid w:val="000D492B"/>
    <w:rsid w:val="000D499E"/>
    <w:rsid w:val="000D4C7D"/>
    <w:rsid w:val="000D4D38"/>
    <w:rsid w:val="000D4D71"/>
    <w:rsid w:val="000D4EB9"/>
    <w:rsid w:val="000D4F55"/>
    <w:rsid w:val="000D5000"/>
    <w:rsid w:val="000D5076"/>
    <w:rsid w:val="000D5116"/>
    <w:rsid w:val="000D5181"/>
    <w:rsid w:val="000D55E7"/>
    <w:rsid w:val="000D5B7E"/>
    <w:rsid w:val="000D5D43"/>
    <w:rsid w:val="000D5E5E"/>
    <w:rsid w:val="000D61B6"/>
    <w:rsid w:val="000D652C"/>
    <w:rsid w:val="000D698E"/>
    <w:rsid w:val="000D69B3"/>
    <w:rsid w:val="000D69DA"/>
    <w:rsid w:val="000D6BE9"/>
    <w:rsid w:val="000D7137"/>
    <w:rsid w:val="000D7148"/>
    <w:rsid w:val="000D7391"/>
    <w:rsid w:val="000D74C1"/>
    <w:rsid w:val="000D7640"/>
    <w:rsid w:val="000D765C"/>
    <w:rsid w:val="000D7830"/>
    <w:rsid w:val="000D7AB8"/>
    <w:rsid w:val="000E0120"/>
    <w:rsid w:val="000E03F1"/>
    <w:rsid w:val="000E06D3"/>
    <w:rsid w:val="000E07DE"/>
    <w:rsid w:val="000E082E"/>
    <w:rsid w:val="000E0934"/>
    <w:rsid w:val="000E0B71"/>
    <w:rsid w:val="000E0FD7"/>
    <w:rsid w:val="000E1384"/>
    <w:rsid w:val="000E13A6"/>
    <w:rsid w:val="000E147B"/>
    <w:rsid w:val="000E14B3"/>
    <w:rsid w:val="000E16DD"/>
    <w:rsid w:val="000E1766"/>
    <w:rsid w:val="000E1811"/>
    <w:rsid w:val="000E1A7F"/>
    <w:rsid w:val="000E1B77"/>
    <w:rsid w:val="000E1BC9"/>
    <w:rsid w:val="000E1D07"/>
    <w:rsid w:val="000E1DA3"/>
    <w:rsid w:val="000E1DCB"/>
    <w:rsid w:val="000E1F22"/>
    <w:rsid w:val="000E2156"/>
    <w:rsid w:val="000E227D"/>
    <w:rsid w:val="000E22E6"/>
    <w:rsid w:val="000E2536"/>
    <w:rsid w:val="000E2625"/>
    <w:rsid w:val="000E2685"/>
    <w:rsid w:val="000E27CE"/>
    <w:rsid w:val="000E28FB"/>
    <w:rsid w:val="000E2922"/>
    <w:rsid w:val="000E2AC7"/>
    <w:rsid w:val="000E2B12"/>
    <w:rsid w:val="000E2D27"/>
    <w:rsid w:val="000E2F58"/>
    <w:rsid w:val="000E307C"/>
    <w:rsid w:val="000E3124"/>
    <w:rsid w:val="000E3678"/>
    <w:rsid w:val="000E3C66"/>
    <w:rsid w:val="000E3DB6"/>
    <w:rsid w:val="000E3F6E"/>
    <w:rsid w:val="000E3FBE"/>
    <w:rsid w:val="000E3FF2"/>
    <w:rsid w:val="000E404A"/>
    <w:rsid w:val="000E47D1"/>
    <w:rsid w:val="000E4864"/>
    <w:rsid w:val="000E4B8C"/>
    <w:rsid w:val="000E4BEC"/>
    <w:rsid w:val="000E4C9A"/>
    <w:rsid w:val="000E4CD7"/>
    <w:rsid w:val="000E4E03"/>
    <w:rsid w:val="000E4E66"/>
    <w:rsid w:val="000E5216"/>
    <w:rsid w:val="000E5487"/>
    <w:rsid w:val="000E56B1"/>
    <w:rsid w:val="000E56C9"/>
    <w:rsid w:val="000E590D"/>
    <w:rsid w:val="000E595A"/>
    <w:rsid w:val="000E5A7A"/>
    <w:rsid w:val="000E5D24"/>
    <w:rsid w:val="000E5F91"/>
    <w:rsid w:val="000E684B"/>
    <w:rsid w:val="000E699F"/>
    <w:rsid w:val="000E6AA9"/>
    <w:rsid w:val="000E6AED"/>
    <w:rsid w:val="000E6BC0"/>
    <w:rsid w:val="000E6F72"/>
    <w:rsid w:val="000E75B8"/>
    <w:rsid w:val="000E7654"/>
    <w:rsid w:val="000E77AB"/>
    <w:rsid w:val="000E7F00"/>
    <w:rsid w:val="000E7F11"/>
    <w:rsid w:val="000E7FE7"/>
    <w:rsid w:val="000F0180"/>
    <w:rsid w:val="000F02EB"/>
    <w:rsid w:val="000F0343"/>
    <w:rsid w:val="000F0478"/>
    <w:rsid w:val="000F04B9"/>
    <w:rsid w:val="000F06EB"/>
    <w:rsid w:val="000F0741"/>
    <w:rsid w:val="000F0747"/>
    <w:rsid w:val="000F09A7"/>
    <w:rsid w:val="000F0A50"/>
    <w:rsid w:val="000F0CAB"/>
    <w:rsid w:val="000F0D39"/>
    <w:rsid w:val="000F0E46"/>
    <w:rsid w:val="000F0F1C"/>
    <w:rsid w:val="000F109C"/>
    <w:rsid w:val="000F1684"/>
    <w:rsid w:val="000F19C1"/>
    <w:rsid w:val="000F1A60"/>
    <w:rsid w:val="000F1A6B"/>
    <w:rsid w:val="000F1A8F"/>
    <w:rsid w:val="000F1DB4"/>
    <w:rsid w:val="000F205D"/>
    <w:rsid w:val="000F20E0"/>
    <w:rsid w:val="000F2224"/>
    <w:rsid w:val="000F23D5"/>
    <w:rsid w:val="000F2493"/>
    <w:rsid w:val="000F27B0"/>
    <w:rsid w:val="000F288F"/>
    <w:rsid w:val="000F2A3D"/>
    <w:rsid w:val="000F2B85"/>
    <w:rsid w:val="000F2DDC"/>
    <w:rsid w:val="000F2FCF"/>
    <w:rsid w:val="000F3228"/>
    <w:rsid w:val="000F350A"/>
    <w:rsid w:val="000F3626"/>
    <w:rsid w:val="000F373B"/>
    <w:rsid w:val="000F3772"/>
    <w:rsid w:val="000F3C08"/>
    <w:rsid w:val="000F3DAC"/>
    <w:rsid w:val="000F3E05"/>
    <w:rsid w:val="000F3F5B"/>
    <w:rsid w:val="000F3FC1"/>
    <w:rsid w:val="000F4261"/>
    <w:rsid w:val="000F43EC"/>
    <w:rsid w:val="000F44FE"/>
    <w:rsid w:val="000F4699"/>
    <w:rsid w:val="000F46EC"/>
    <w:rsid w:val="000F4745"/>
    <w:rsid w:val="000F4959"/>
    <w:rsid w:val="000F49C3"/>
    <w:rsid w:val="000F4CCB"/>
    <w:rsid w:val="000F4D7B"/>
    <w:rsid w:val="000F4D87"/>
    <w:rsid w:val="000F5214"/>
    <w:rsid w:val="000F5231"/>
    <w:rsid w:val="000F53A4"/>
    <w:rsid w:val="000F53FE"/>
    <w:rsid w:val="000F55CA"/>
    <w:rsid w:val="000F5618"/>
    <w:rsid w:val="000F57FF"/>
    <w:rsid w:val="000F593B"/>
    <w:rsid w:val="000F5A8E"/>
    <w:rsid w:val="000F5C8A"/>
    <w:rsid w:val="000F5F4C"/>
    <w:rsid w:val="000F60BF"/>
    <w:rsid w:val="000F61E2"/>
    <w:rsid w:val="000F636B"/>
    <w:rsid w:val="000F6573"/>
    <w:rsid w:val="000F6778"/>
    <w:rsid w:val="000F6792"/>
    <w:rsid w:val="000F68D9"/>
    <w:rsid w:val="000F6AB5"/>
    <w:rsid w:val="000F6D90"/>
    <w:rsid w:val="000F6DAE"/>
    <w:rsid w:val="000F6EE1"/>
    <w:rsid w:val="000F709D"/>
    <w:rsid w:val="000F7345"/>
    <w:rsid w:val="000F735E"/>
    <w:rsid w:val="000F759B"/>
    <w:rsid w:val="000F75F9"/>
    <w:rsid w:val="000F7854"/>
    <w:rsid w:val="000F785B"/>
    <w:rsid w:val="000F7AE2"/>
    <w:rsid w:val="000F7D0E"/>
    <w:rsid w:val="000F7ECC"/>
    <w:rsid w:val="001002A4"/>
    <w:rsid w:val="001002AE"/>
    <w:rsid w:val="00100375"/>
    <w:rsid w:val="0010051F"/>
    <w:rsid w:val="0010063D"/>
    <w:rsid w:val="00100959"/>
    <w:rsid w:val="00100AA4"/>
    <w:rsid w:val="00100D37"/>
    <w:rsid w:val="00100D8E"/>
    <w:rsid w:val="00100DB9"/>
    <w:rsid w:val="00100EFE"/>
    <w:rsid w:val="001016D6"/>
    <w:rsid w:val="00101823"/>
    <w:rsid w:val="00101AE9"/>
    <w:rsid w:val="00101BF9"/>
    <w:rsid w:val="00101FBA"/>
    <w:rsid w:val="001021F5"/>
    <w:rsid w:val="0010223C"/>
    <w:rsid w:val="00102318"/>
    <w:rsid w:val="001025E6"/>
    <w:rsid w:val="00102A0A"/>
    <w:rsid w:val="00102C2F"/>
    <w:rsid w:val="00103133"/>
    <w:rsid w:val="0010338F"/>
    <w:rsid w:val="001033B1"/>
    <w:rsid w:val="0010344E"/>
    <w:rsid w:val="001034DF"/>
    <w:rsid w:val="001038A6"/>
    <w:rsid w:val="00103D5E"/>
    <w:rsid w:val="00103F03"/>
    <w:rsid w:val="0010416A"/>
    <w:rsid w:val="00104304"/>
    <w:rsid w:val="001044F0"/>
    <w:rsid w:val="0010499F"/>
    <w:rsid w:val="00104D6D"/>
    <w:rsid w:val="00104EA7"/>
    <w:rsid w:val="00104F9C"/>
    <w:rsid w:val="0010518D"/>
    <w:rsid w:val="00105192"/>
    <w:rsid w:val="001051AF"/>
    <w:rsid w:val="00105258"/>
    <w:rsid w:val="00105324"/>
    <w:rsid w:val="00105440"/>
    <w:rsid w:val="001057DA"/>
    <w:rsid w:val="001058AB"/>
    <w:rsid w:val="00105A67"/>
    <w:rsid w:val="00105AE9"/>
    <w:rsid w:val="00105E36"/>
    <w:rsid w:val="00105FAD"/>
    <w:rsid w:val="0010626E"/>
    <w:rsid w:val="001067A8"/>
    <w:rsid w:val="00106939"/>
    <w:rsid w:val="00106BA9"/>
    <w:rsid w:val="00106DDF"/>
    <w:rsid w:val="00106F73"/>
    <w:rsid w:val="00106FD2"/>
    <w:rsid w:val="0010715A"/>
    <w:rsid w:val="001076EE"/>
    <w:rsid w:val="00107A46"/>
    <w:rsid w:val="00107A6C"/>
    <w:rsid w:val="00107CEC"/>
    <w:rsid w:val="00107D3B"/>
    <w:rsid w:val="0011002A"/>
    <w:rsid w:val="00110343"/>
    <w:rsid w:val="001108BB"/>
    <w:rsid w:val="00110982"/>
    <w:rsid w:val="001109BE"/>
    <w:rsid w:val="00111191"/>
    <w:rsid w:val="0011153B"/>
    <w:rsid w:val="0011155B"/>
    <w:rsid w:val="00111781"/>
    <w:rsid w:val="0011193F"/>
    <w:rsid w:val="00111952"/>
    <w:rsid w:val="001119A6"/>
    <w:rsid w:val="00111A6A"/>
    <w:rsid w:val="00111B49"/>
    <w:rsid w:val="00111C39"/>
    <w:rsid w:val="00111C8B"/>
    <w:rsid w:val="00111D6D"/>
    <w:rsid w:val="00111F1D"/>
    <w:rsid w:val="00111F92"/>
    <w:rsid w:val="00111FEB"/>
    <w:rsid w:val="0011210D"/>
    <w:rsid w:val="00112184"/>
    <w:rsid w:val="001124BC"/>
    <w:rsid w:val="00112501"/>
    <w:rsid w:val="00112AD8"/>
    <w:rsid w:val="00112B25"/>
    <w:rsid w:val="00112B32"/>
    <w:rsid w:val="00112BC2"/>
    <w:rsid w:val="00112F08"/>
    <w:rsid w:val="00113120"/>
    <w:rsid w:val="001133D4"/>
    <w:rsid w:val="001134AF"/>
    <w:rsid w:val="001135A5"/>
    <w:rsid w:val="001135B6"/>
    <w:rsid w:val="0011391A"/>
    <w:rsid w:val="00113C61"/>
    <w:rsid w:val="001142C2"/>
    <w:rsid w:val="001143AE"/>
    <w:rsid w:val="0011448E"/>
    <w:rsid w:val="00114633"/>
    <w:rsid w:val="00114C56"/>
    <w:rsid w:val="00114C81"/>
    <w:rsid w:val="00114CC3"/>
    <w:rsid w:val="00114D55"/>
    <w:rsid w:val="00114FC4"/>
    <w:rsid w:val="00115378"/>
    <w:rsid w:val="00115457"/>
    <w:rsid w:val="001154EC"/>
    <w:rsid w:val="00115520"/>
    <w:rsid w:val="00115A9D"/>
    <w:rsid w:val="00115B68"/>
    <w:rsid w:val="00115C2C"/>
    <w:rsid w:val="00115CBB"/>
    <w:rsid w:val="00115EA1"/>
    <w:rsid w:val="00115EE4"/>
    <w:rsid w:val="00115F66"/>
    <w:rsid w:val="001161E0"/>
    <w:rsid w:val="001164A7"/>
    <w:rsid w:val="001164DB"/>
    <w:rsid w:val="001165B9"/>
    <w:rsid w:val="00116692"/>
    <w:rsid w:val="0011676A"/>
    <w:rsid w:val="00116B7D"/>
    <w:rsid w:val="00116D19"/>
    <w:rsid w:val="00116E9A"/>
    <w:rsid w:val="001170BD"/>
    <w:rsid w:val="00117447"/>
    <w:rsid w:val="0011763D"/>
    <w:rsid w:val="0011765E"/>
    <w:rsid w:val="0011774A"/>
    <w:rsid w:val="0011774F"/>
    <w:rsid w:val="00117761"/>
    <w:rsid w:val="0011794D"/>
    <w:rsid w:val="001179A7"/>
    <w:rsid w:val="00117A35"/>
    <w:rsid w:val="00117B87"/>
    <w:rsid w:val="00117C84"/>
    <w:rsid w:val="00117CFD"/>
    <w:rsid w:val="00117F93"/>
    <w:rsid w:val="00120602"/>
    <w:rsid w:val="00120691"/>
    <w:rsid w:val="00120756"/>
    <w:rsid w:val="001209FD"/>
    <w:rsid w:val="00120A2C"/>
    <w:rsid w:val="00120ADF"/>
    <w:rsid w:val="00120B0C"/>
    <w:rsid w:val="00120B7C"/>
    <w:rsid w:val="00120B87"/>
    <w:rsid w:val="00120BFD"/>
    <w:rsid w:val="00120CF4"/>
    <w:rsid w:val="00120D31"/>
    <w:rsid w:val="0012127E"/>
    <w:rsid w:val="00121657"/>
    <w:rsid w:val="001216F8"/>
    <w:rsid w:val="001219D8"/>
    <w:rsid w:val="00121BF1"/>
    <w:rsid w:val="00121C01"/>
    <w:rsid w:val="00121D12"/>
    <w:rsid w:val="00121D73"/>
    <w:rsid w:val="00121E32"/>
    <w:rsid w:val="00121F5E"/>
    <w:rsid w:val="00122295"/>
    <w:rsid w:val="0012233E"/>
    <w:rsid w:val="0012234B"/>
    <w:rsid w:val="00122416"/>
    <w:rsid w:val="00122A97"/>
    <w:rsid w:val="00122AF4"/>
    <w:rsid w:val="00122B55"/>
    <w:rsid w:val="00122F30"/>
    <w:rsid w:val="00123091"/>
    <w:rsid w:val="001230AC"/>
    <w:rsid w:val="00123152"/>
    <w:rsid w:val="00123187"/>
    <w:rsid w:val="00123189"/>
    <w:rsid w:val="001231FA"/>
    <w:rsid w:val="001233A6"/>
    <w:rsid w:val="00123627"/>
    <w:rsid w:val="001238B9"/>
    <w:rsid w:val="00123A7A"/>
    <w:rsid w:val="00123AED"/>
    <w:rsid w:val="00123B65"/>
    <w:rsid w:val="00123BD6"/>
    <w:rsid w:val="00123C4A"/>
    <w:rsid w:val="00123D73"/>
    <w:rsid w:val="00124015"/>
    <w:rsid w:val="001242D7"/>
    <w:rsid w:val="00124337"/>
    <w:rsid w:val="001243AA"/>
    <w:rsid w:val="00124885"/>
    <w:rsid w:val="00124C04"/>
    <w:rsid w:val="00125091"/>
    <w:rsid w:val="0012516E"/>
    <w:rsid w:val="00125206"/>
    <w:rsid w:val="0012521F"/>
    <w:rsid w:val="00125326"/>
    <w:rsid w:val="00125502"/>
    <w:rsid w:val="00125867"/>
    <w:rsid w:val="00125906"/>
    <w:rsid w:val="00125918"/>
    <w:rsid w:val="0012593A"/>
    <w:rsid w:val="00125A46"/>
    <w:rsid w:val="00125A99"/>
    <w:rsid w:val="00125CC5"/>
    <w:rsid w:val="0012601E"/>
    <w:rsid w:val="00126111"/>
    <w:rsid w:val="00126114"/>
    <w:rsid w:val="001263E3"/>
    <w:rsid w:val="00126407"/>
    <w:rsid w:val="001266CC"/>
    <w:rsid w:val="001267BB"/>
    <w:rsid w:val="0012686C"/>
    <w:rsid w:val="00126A20"/>
    <w:rsid w:val="00126DD9"/>
    <w:rsid w:val="00126E18"/>
    <w:rsid w:val="00127016"/>
    <w:rsid w:val="001270DF"/>
    <w:rsid w:val="001272BB"/>
    <w:rsid w:val="00127795"/>
    <w:rsid w:val="001278A9"/>
    <w:rsid w:val="00127991"/>
    <w:rsid w:val="00127A8B"/>
    <w:rsid w:val="00127CAF"/>
    <w:rsid w:val="00127E1C"/>
    <w:rsid w:val="00127F4D"/>
    <w:rsid w:val="00127FD7"/>
    <w:rsid w:val="001300E6"/>
    <w:rsid w:val="001302EF"/>
    <w:rsid w:val="0013033A"/>
    <w:rsid w:val="00130359"/>
    <w:rsid w:val="00130418"/>
    <w:rsid w:val="0013080B"/>
    <w:rsid w:val="00130D24"/>
    <w:rsid w:val="00130E73"/>
    <w:rsid w:val="00130EAF"/>
    <w:rsid w:val="00131196"/>
    <w:rsid w:val="001312C8"/>
    <w:rsid w:val="001316F4"/>
    <w:rsid w:val="00131754"/>
    <w:rsid w:val="001318F6"/>
    <w:rsid w:val="00131BB5"/>
    <w:rsid w:val="00131BD6"/>
    <w:rsid w:val="00131C84"/>
    <w:rsid w:val="00131ED3"/>
    <w:rsid w:val="00131F60"/>
    <w:rsid w:val="0013237B"/>
    <w:rsid w:val="001324EC"/>
    <w:rsid w:val="001327D6"/>
    <w:rsid w:val="001327F6"/>
    <w:rsid w:val="00132946"/>
    <w:rsid w:val="001329B9"/>
    <w:rsid w:val="00132B10"/>
    <w:rsid w:val="00132BEE"/>
    <w:rsid w:val="00133079"/>
    <w:rsid w:val="001330ED"/>
    <w:rsid w:val="001330F5"/>
    <w:rsid w:val="0013328C"/>
    <w:rsid w:val="001333E7"/>
    <w:rsid w:val="001333F6"/>
    <w:rsid w:val="00133455"/>
    <w:rsid w:val="00133650"/>
    <w:rsid w:val="001338CF"/>
    <w:rsid w:val="0013398A"/>
    <w:rsid w:val="00133A53"/>
    <w:rsid w:val="0013460A"/>
    <w:rsid w:val="00134920"/>
    <w:rsid w:val="00134954"/>
    <w:rsid w:val="00134B92"/>
    <w:rsid w:val="00134B94"/>
    <w:rsid w:val="00134BE5"/>
    <w:rsid w:val="00134BFA"/>
    <w:rsid w:val="00134C23"/>
    <w:rsid w:val="00134E40"/>
    <w:rsid w:val="001352B6"/>
    <w:rsid w:val="00135362"/>
    <w:rsid w:val="00135422"/>
    <w:rsid w:val="001356ED"/>
    <w:rsid w:val="0013571B"/>
    <w:rsid w:val="00135AE8"/>
    <w:rsid w:val="00135B24"/>
    <w:rsid w:val="00135CBA"/>
    <w:rsid w:val="00135D41"/>
    <w:rsid w:val="00135D53"/>
    <w:rsid w:val="00135E5A"/>
    <w:rsid w:val="00135E92"/>
    <w:rsid w:val="00135ECE"/>
    <w:rsid w:val="00135F27"/>
    <w:rsid w:val="001360BF"/>
    <w:rsid w:val="0013628D"/>
    <w:rsid w:val="001364DE"/>
    <w:rsid w:val="001365BE"/>
    <w:rsid w:val="00136761"/>
    <w:rsid w:val="001367F9"/>
    <w:rsid w:val="00136868"/>
    <w:rsid w:val="00136D83"/>
    <w:rsid w:val="00136E55"/>
    <w:rsid w:val="0013720F"/>
    <w:rsid w:val="0013722F"/>
    <w:rsid w:val="00137279"/>
    <w:rsid w:val="0013727B"/>
    <w:rsid w:val="0013746F"/>
    <w:rsid w:val="0013763C"/>
    <w:rsid w:val="0013779B"/>
    <w:rsid w:val="0014002F"/>
    <w:rsid w:val="00140302"/>
    <w:rsid w:val="00140371"/>
    <w:rsid w:val="001404AF"/>
    <w:rsid w:val="001405C1"/>
    <w:rsid w:val="00140609"/>
    <w:rsid w:val="00140653"/>
    <w:rsid w:val="001406B5"/>
    <w:rsid w:val="00140968"/>
    <w:rsid w:val="00140AF2"/>
    <w:rsid w:val="00140E39"/>
    <w:rsid w:val="00141085"/>
    <w:rsid w:val="00141157"/>
    <w:rsid w:val="001411BE"/>
    <w:rsid w:val="001412D1"/>
    <w:rsid w:val="00141424"/>
    <w:rsid w:val="001414F2"/>
    <w:rsid w:val="00141641"/>
    <w:rsid w:val="0014178F"/>
    <w:rsid w:val="00141A2F"/>
    <w:rsid w:val="00141A64"/>
    <w:rsid w:val="00141AC9"/>
    <w:rsid w:val="00141B1D"/>
    <w:rsid w:val="00141FC0"/>
    <w:rsid w:val="00141FF1"/>
    <w:rsid w:val="00142130"/>
    <w:rsid w:val="001421F2"/>
    <w:rsid w:val="001422B0"/>
    <w:rsid w:val="0014233C"/>
    <w:rsid w:val="001423E3"/>
    <w:rsid w:val="001423EE"/>
    <w:rsid w:val="001425E6"/>
    <w:rsid w:val="001428D4"/>
    <w:rsid w:val="00142AA5"/>
    <w:rsid w:val="00142F13"/>
    <w:rsid w:val="00142FC9"/>
    <w:rsid w:val="0014332F"/>
    <w:rsid w:val="0014391E"/>
    <w:rsid w:val="00143FBD"/>
    <w:rsid w:val="00143FDB"/>
    <w:rsid w:val="00144046"/>
    <w:rsid w:val="001441FB"/>
    <w:rsid w:val="00144714"/>
    <w:rsid w:val="001448E6"/>
    <w:rsid w:val="00144C19"/>
    <w:rsid w:val="00145377"/>
    <w:rsid w:val="00145401"/>
    <w:rsid w:val="00145579"/>
    <w:rsid w:val="0014577C"/>
    <w:rsid w:val="00145938"/>
    <w:rsid w:val="00145A49"/>
    <w:rsid w:val="00145B83"/>
    <w:rsid w:val="00145C61"/>
    <w:rsid w:val="00145CCE"/>
    <w:rsid w:val="00146084"/>
    <w:rsid w:val="00146191"/>
    <w:rsid w:val="0014646A"/>
    <w:rsid w:val="00146694"/>
    <w:rsid w:val="00146E5C"/>
    <w:rsid w:val="00146F48"/>
    <w:rsid w:val="0014733D"/>
    <w:rsid w:val="00147463"/>
    <w:rsid w:val="00147490"/>
    <w:rsid w:val="001475EA"/>
    <w:rsid w:val="00147937"/>
    <w:rsid w:val="00147A1F"/>
    <w:rsid w:val="00147AF1"/>
    <w:rsid w:val="00147B78"/>
    <w:rsid w:val="00147BFC"/>
    <w:rsid w:val="00147C34"/>
    <w:rsid w:val="00147C6E"/>
    <w:rsid w:val="00147E2D"/>
    <w:rsid w:val="00147E86"/>
    <w:rsid w:val="00150041"/>
    <w:rsid w:val="001500C9"/>
    <w:rsid w:val="001501ED"/>
    <w:rsid w:val="001504F5"/>
    <w:rsid w:val="00150813"/>
    <w:rsid w:val="00150876"/>
    <w:rsid w:val="00150925"/>
    <w:rsid w:val="00150BA8"/>
    <w:rsid w:val="00150D8D"/>
    <w:rsid w:val="0015100B"/>
    <w:rsid w:val="00151777"/>
    <w:rsid w:val="001517BD"/>
    <w:rsid w:val="0015191B"/>
    <w:rsid w:val="00151B6F"/>
    <w:rsid w:val="00151FF5"/>
    <w:rsid w:val="0015207B"/>
    <w:rsid w:val="001522CA"/>
    <w:rsid w:val="001522FA"/>
    <w:rsid w:val="0015240E"/>
    <w:rsid w:val="001527A0"/>
    <w:rsid w:val="00152A7B"/>
    <w:rsid w:val="00152CB0"/>
    <w:rsid w:val="00152D08"/>
    <w:rsid w:val="00152F7E"/>
    <w:rsid w:val="00152F83"/>
    <w:rsid w:val="0015322E"/>
    <w:rsid w:val="0015343A"/>
    <w:rsid w:val="001534C3"/>
    <w:rsid w:val="00153958"/>
    <w:rsid w:val="00153A08"/>
    <w:rsid w:val="00153D43"/>
    <w:rsid w:val="00153DDA"/>
    <w:rsid w:val="00153DE0"/>
    <w:rsid w:val="00154492"/>
    <w:rsid w:val="001544D8"/>
    <w:rsid w:val="001545DC"/>
    <w:rsid w:val="0015466C"/>
    <w:rsid w:val="00154B01"/>
    <w:rsid w:val="00154D4D"/>
    <w:rsid w:val="00154E9F"/>
    <w:rsid w:val="00155171"/>
    <w:rsid w:val="0015521E"/>
    <w:rsid w:val="0015527B"/>
    <w:rsid w:val="001555D7"/>
    <w:rsid w:val="00155658"/>
    <w:rsid w:val="00155927"/>
    <w:rsid w:val="00155A60"/>
    <w:rsid w:val="00155B56"/>
    <w:rsid w:val="00155C48"/>
    <w:rsid w:val="00155E2B"/>
    <w:rsid w:val="00156123"/>
    <w:rsid w:val="00156150"/>
    <w:rsid w:val="00156306"/>
    <w:rsid w:val="0015630F"/>
    <w:rsid w:val="001564BA"/>
    <w:rsid w:val="00156782"/>
    <w:rsid w:val="00156825"/>
    <w:rsid w:val="001569E4"/>
    <w:rsid w:val="00156C9B"/>
    <w:rsid w:val="00156E3A"/>
    <w:rsid w:val="00156F45"/>
    <w:rsid w:val="00156FDB"/>
    <w:rsid w:val="001570A4"/>
    <w:rsid w:val="00157187"/>
    <w:rsid w:val="00157194"/>
    <w:rsid w:val="0015730A"/>
    <w:rsid w:val="0015741D"/>
    <w:rsid w:val="00157477"/>
    <w:rsid w:val="0015763B"/>
    <w:rsid w:val="001577FD"/>
    <w:rsid w:val="001578F7"/>
    <w:rsid w:val="00157A12"/>
    <w:rsid w:val="00157CEE"/>
    <w:rsid w:val="001604CE"/>
    <w:rsid w:val="001604DC"/>
    <w:rsid w:val="0016097B"/>
    <w:rsid w:val="00160B0B"/>
    <w:rsid w:val="00160D31"/>
    <w:rsid w:val="00161070"/>
    <w:rsid w:val="00161117"/>
    <w:rsid w:val="0016147D"/>
    <w:rsid w:val="001614AD"/>
    <w:rsid w:val="001619F1"/>
    <w:rsid w:val="0016200A"/>
    <w:rsid w:val="00162160"/>
    <w:rsid w:val="001622D2"/>
    <w:rsid w:val="00162689"/>
    <w:rsid w:val="0016283B"/>
    <w:rsid w:val="00162A71"/>
    <w:rsid w:val="00162FF1"/>
    <w:rsid w:val="00163041"/>
    <w:rsid w:val="00163760"/>
    <w:rsid w:val="00163B09"/>
    <w:rsid w:val="00163B66"/>
    <w:rsid w:val="00163BE1"/>
    <w:rsid w:val="00163BEB"/>
    <w:rsid w:val="0016469F"/>
    <w:rsid w:val="00164A27"/>
    <w:rsid w:val="00164B72"/>
    <w:rsid w:val="00164BBD"/>
    <w:rsid w:val="00164BDC"/>
    <w:rsid w:val="00164C5F"/>
    <w:rsid w:val="00164F05"/>
    <w:rsid w:val="00164F1C"/>
    <w:rsid w:val="00165355"/>
    <w:rsid w:val="0016555A"/>
    <w:rsid w:val="001657C3"/>
    <w:rsid w:val="001659BC"/>
    <w:rsid w:val="00165C0C"/>
    <w:rsid w:val="00165C16"/>
    <w:rsid w:val="00165E95"/>
    <w:rsid w:val="00165FB6"/>
    <w:rsid w:val="00166208"/>
    <w:rsid w:val="00166746"/>
    <w:rsid w:val="00166797"/>
    <w:rsid w:val="00166813"/>
    <w:rsid w:val="00166DDC"/>
    <w:rsid w:val="00167049"/>
    <w:rsid w:val="00167112"/>
    <w:rsid w:val="001673F1"/>
    <w:rsid w:val="00167730"/>
    <w:rsid w:val="00167AC5"/>
    <w:rsid w:val="00167AF5"/>
    <w:rsid w:val="00167BEA"/>
    <w:rsid w:val="00167CA5"/>
    <w:rsid w:val="00167D75"/>
    <w:rsid w:val="00167E66"/>
    <w:rsid w:val="00170079"/>
    <w:rsid w:val="0017008C"/>
    <w:rsid w:val="00170094"/>
    <w:rsid w:val="001700C1"/>
    <w:rsid w:val="00170309"/>
    <w:rsid w:val="00170A67"/>
    <w:rsid w:val="00170BC2"/>
    <w:rsid w:val="00170D4F"/>
    <w:rsid w:val="00170D5A"/>
    <w:rsid w:val="00170DEA"/>
    <w:rsid w:val="00170F3C"/>
    <w:rsid w:val="00171011"/>
    <w:rsid w:val="001710E9"/>
    <w:rsid w:val="001712FC"/>
    <w:rsid w:val="00171502"/>
    <w:rsid w:val="00171566"/>
    <w:rsid w:val="0017163C"/>
    <w:rsid w:val="001717AE"/>
    <w:rsid w:val="001718F4"/>
    <w:rsid w:val="00171912"/>
    <w:rsid w:val="00171926"/>
    <w:rsid w:val="00171DC4"/>
    <w:rsid w:val="00171ED1"/>
    <w:rsid w:val="00172247"/>
    <w:rsid w:val="0017239E"/>
    <w:rsid w:val="0017248D"/>
    <w:rsid w:val="00172890"/>
    <w:rsid w:val="00172ED4"/>
    <w:rsid w:val="00172FC4"/>
    <w:rsid w:val="001731A7"/>
    <w:rsid w:val="001732C3"/>
    <w:rsid w:val="00173393"/>
    <w:rsid w:val="00173484"/>
    <w:rsid w:val="001734ED"/>
    <w:rsid w:val="00173626"/>
    <w:rsid w:val="00173877"/>
    <w:rsid w:val="00173AE2"/>
    <w:rsid w:val="00173DD7"/>
    <w:rsid w:val="00173FB2"/>
    <w:rsid w:val="00174217"/>
    <w:rsid w:val="00174273"/>
    <w:rsid w:val="00174297"/>
    <w:rsid w:val="001742D0"/>
    <w:rsid w:val="00174480"/>
    <w:rsid w:val="00174565"/>
    <w:rsid w:val="0017458F"/>
    <w:rsid w:val="001745AE"/>
    <w:rsid w:val="001745D0"/>
    <w:rsid w:val="00174645"/>
    <w:rsid w:val="00174761"/>
    <w:rsid w:val="001748D2"/>
    <w:rsid w:val="00174D55"/>
    <w:rsid w:val="00174DFA"/>
    <w:rsid w:val="00174F7E"/>
    <w:rsid w:val="0017517B"/>
    <w:rsid w:val="001752FB"/>
    <w:rsid w:val="00175330"/>
    <w:rsid w:val="001756DC"/>
    <w:rsid w:val="001757C1"/>
    <w:rsid w:val="001758A6"/>
    <w:rsid w:val="00175FE1"/>
    <w:rsid w:val="001760B8"/>
    <w:rsid w:val="0017614A"/>
    <w:rsid w:val="0017629E"/>
    <w:rsid w:val="00176643"/>
    <w:rsid w:val="00176EDA"/>
    <w:rsid w:val="0017700B"/>
    <w:rsid w:val="00177327"/>
    <w:rsid w:val="00177364"/>
    <w:rsid w:val="00177407"/>
    <w:rsid w:val="00177527"/>
    <w:rsid w:val="001775F2"/>
    <w:rsid w:val="00177DDC"/>
    <w:rsid w:val="00177E0F"/>
    <w:rsid w:val="00177E30"/>
    <w:rsid w:val="00180181"/>
    <w:rsid w:val="0018024F"/>
    <w:rsid w:val="00180365"/>
    <w:rsid w:val="00180408"/>
    <w:rsid w:val="001807C4"/>
    <w:rsid w:val="00180835"/>
    <w:rsid w:val="00180A81"/>
    <w:rsid w:val="00180AC7"/>
    <w:rsid w:val="00180B37"/>
    <w:rsid w:val="00180DE1"/>
    <w:rsid w:val="00180ED3"/>
    <w:rsid w:val="00180FFE"/>
    <w:rsid w:val="00181337"/>
    <w:rsid w:val="001813E8"/>
    <w:rsid w:val="001813FF"/>
    <w:rsid w:val="0018144A"/>
    <w:rsid w:val="001815C9"/>
    <w:rsid w:val="001817CD"/>
    <w:rsid w:val="00181C25"/>
    <w:rsid w:val="00181E7D"/>
    <w:rsid w:val="0018200F"/>
    <w:rsid w:val="00182070"/>
    <w:rsid w:val="0018235E"/>
    <w:rsid w:val="00182389"/>
    <w:rsid w:val="001823EC"/>
    <w:rsid w:val="001825B0"/>
    <w:rsid w:val="00182636"/>
    <w:rsid w:val="00182679"/>
    <w:rsid w:val="00182788"/>
    <w:rsid w:val="00182807"/>
    <w:rsid w:val="00182859"/>
    <w:rsid w:val="00182BE5"/>
    <w:rsid w:val="00182C31"/>
    <w:rsid w:val="00182C8F"/>
    <w:rsid w:val="00182EA6"/>
    <w:rsid w:val="00182F49"/>
    <w:rsid w:val="001833B4"/>
    <w:rsid w:val="0018347A"/>
    <w:rsid w:val="00183646"/>
    <w:rsid w:val="00183689"/>
    <w:rsid w:val="00183896"/>
    <w:rsid w:val="00183901"/>
    <w:rsid w:val="00183924"/>
    <w:rsid w:val="00183968"/>
    <w:rsid w:val="001839D3"/>
    <w:rsid w:val="00183A5D"/>
    <w:rsid w:val="00183B1A"/>
    <w:rsid w:val="00183BE6"/>
    <w:rsid w:val="00183CD5"/>
    <w:rsid w:val="00183D95"/>
    <w:rsid w:val="00183DA2"/>
    <w:rsid w:val="00183FA4"/>
    <w:rsid w:val="00184260"/>
    <w:rsid w:val="00184293"/>
    <w:rsid w:val="0018429F"/>
    <w:rsid w:val="001843D7"/>
    <w:rsid w:val="0018441F"/>
    <w:rsid w:val="00184427"/>
    <w:rsid w:val="00184604"/>
    <w:rsid w:val="0018470A"/>
    <w:rsid w:val="00184776"/>
    <w:rsid w:val="001847ED"/>
    <w:rsid w:val="00184843"/>
    <w:rsid w:val="00184B9F"/>
    <w:rsid w:val="00184CF3"/>
    <w:rsid w:val="00184CF8"/>
    <w:rsid w:val="00184D6E"/>
    <w:rsid w:val="00184DBE"/>
    <w:rsid w:val="0018501F"/>
    <w:rsid w:val="00185151"/>
    <w:rsid w:val="00185551"/>
    <w:rsid w:val="001855E4"/>
    <w:rsid w:val="00185CC8"/>
    <w:rsid w:val="00185F91"/>
    <w:rsid w:val="001865BE"/>
    <w:rsid w:val="00186646"/>
    <w:rsid w:val="001868ED"/>
    <w:rsid w:val="00186A27"/>
    <w:rsid w:val="00186AA3"/>
    <w:rsid w:val="00186C36"/>
    <w:rsid w:val="00187285"/>
    <w:rsid w:val="0018729D"/>
    <w:rsid w:val="001872B3"/>
    <w:rsid w:val="0018746E"/>
    <w:rsid w:val="001874EE"/>
    <w:rsid w:val="0018768C"/>
    <w:rsid w:val="00187748"/>
    <w:rsid w:val="00187A0F"/>
    <w:rsid w:val="00187C49"/>
    <w:rsid w:val="00187D22"/>
    <w:rsid w:val="00187DB3"/>
    <w:rsid w:val="00187DF9"/>
    <w:rsid w:val="00187E64"/>
    <w:rsid w:val="001904A8"/>
    <w:rsid w:val="001904DB"/>
    <w:rsid w:val="001904F1"/>
    <w:rsid w:val="0019052C"/>
    <w:rsid w:val="00190540"/>
    <w:rsid w:val="00190601"/>
    <w:rsid w:val="0019092D"/>
    <w:rsid w:val="00190ACF"/>
    <w:rsid w:val="00190D37"/>
    <w:rsid w:val="00190E41"/>
    <w:rsid w:val="001910BB"/>
    <w:rsid w:val="00191375"/>
    <w:rsid w:val="001914D3"/>
    <w:rsid w:val="0019152B"/>
    <w:rsid w:val="001915AA"/>
    <w:rsid w:val="001917BE"/>
    <w:rsid w:val="00191A80"/>
    <w:rsid w:val="00191C55"/>
    <w:rsid w:val="00191D63"/>
    <w:rsid w:val="00192197"/>
    <w:rsid w:val="001922D8"/>
    <w:rsid w:val="001923D1"/>
    <w:rsid w:val="00192407"/>
    <w:rsid w:val="001924AE"/>
    <w:rsid w:val="0019255A"/>
    <w:rsid w:val="00192642"/>
    <w:rsid w:val="00192833"/>
    <w:rsid w:val="001928F3"/>
    <w:rsid w:val="00192B73"/>
    <w:rsid w:val="00192B9F"/>
    <w:rsid w:val="00192BA0"/>
    <w:rsid w:val="00192BFE"/>
    <w:rsid w:val="00192CCA"/>
    <w:rsid w:val="00192EDD"/>
    <w:rsid w:val="00192FA7"/>
    <w:rsid w:val="0019338C"/>
    <w:rsid w:val="001934FD"/>
    <w:rsid w:val="00193601"/>
    <w:rsid w:val="00193936"/>
    <w:rsid w:val="0019398C"/>
    <w:rsid w:val="00193CEC"/>
    <w:rsid w:val="00193DAC"/>
    <w:rsid w:val="00193E6A"/>
    <w:rsid w:val="00193FEB"/>
    <w:rsid w:val="00194004"/>
    <w:rsid w:val="00194007"/>
    <w:rsid w:val="001941C6"/>
    <w:rsid w:val="001941EC"/>
    <w:rsid w:val="00194269"/>
    <w:rsid w:val="001942F2"/>
    <w:rsid w:val="00194493"/>
    <w:rsid w:val="001945E9"/>
    <w:rsid w:val="00194782"/>
    <w:rsid w:val="001947B2"/>
    <w:rsid w:val="00194E67"/>
    <w:rsid w:val="00194F3A"/>
    <w:rsid w:val="00195489"/>
    <w:rsid w:val="00195492"/>
    <w:rsid w:val="00195C4F"/>
    <w:rsid w:val="00195D52"/>
    <w:rsid w:val="00195DE0"/>
    <w:rsid w:val="00195E79"/>
    <w:rsid w:val="0019613A"/>
    <w:rsid w:val="001964A6"/>
    <w:rsid w:val="001966DC"/>
    <w:rsid w:val="00196AF2"/>
    <w:rsid w:val="00196F40"/>
    <w:rsid w:val="00196FBC"/>
    <w:rsid w:val="00197303"/>
    <w:rsid w:val="001973F5"/>
    <w:rsid w:val="00197815"/>
    <w:rsid w:val="001978AA"/>
    <w:rsid w:val="00197B7D"/>
    <w:rsid w:val="00197E04"/>
    <w:rsid w:val="00197EC9"/>
    <w:rsid w:val="00197F3A"/>
    <w:rsid w:val="001A003C"/>
    <w:rsid w:val="001A00D2"/>
    <w:rsid w:val="001A036B"/>
    <w:rsid w:val="001A05F1"/>
    <w:rsid w:val="001A061E"/>
    <w:rsid w:val="001A0746"/>
    <w:rsid w:val="001A0A72"/>
    <w:rsid w:val="001A0E0B"/>
    <w:rsid w:val="001A0E30"/>
    <w:rsid w:val="001A103F"/>
    <w:rsid w:val="001A1226"/>
    <w:rsid w:val="001A13CF"/>
    <w:rsid w:val="001A15AA"/>
    <w:rsid w:val="001A17EA"/>
    <w:rsid w:val="001A1D17"/>
    <w:rsid w:val="001A1D36"/>
    <w:rsid w:val="001A1E7B"/>
    <w:rsid w:val="001A1EAF"/>
    <w:rsid w:val="001A1FC7"/>
    <w:rsid w:val="001A20C6"/>
    <w:rsid w:val="001A220A"/>
    <w:rsid w:val="001A2297"/>
    <w:rsid w:val="001A22AA"/>
    <w:rsid w:val="001A2387"/>
    <w:rsid w:val="001A241B"/>
    <w:rsid w:val="001A2771"/>
    <w:rsid w:val="001A27D8"/>
    <w:rsid w:val="001A2A3E"/>
    <w:rsid w:val="001A2DFB"/>
    <w:rsid w:val="001A305A"/>
    <w:rsid w:val="001A3412"/>
    <w:rsid w:val="001A380F"/>
    <w:rsid w:val="001A38B2"/>
    <w:rsid w:val="001A39DE"/>
    <w:rsid w:val="001A3A29"/>
    <w:rsid w:val="001A3C33"/>
    <w:rsid w:val="001A3C90"/>
    <w:rsid w:val="001A4181"/>
    <w:rsid w:val="001A42EF"/>
    <w:rsid w:val="001A47A1"/>
    <w:rsid w:val="001A48B8"/>
    <w:rsid w:val="001A4944"/>
    <w:rsid w:val="001A4A5C"/>
    <w:rsid w:val="001A4B0F"/>
    <w:rsid w:val="001A4BB3"/>
    <w:rsid w:val="001A4BE6"/>
    <w:rsid w:val="001A4E3A"/>
    <w:rsid w:val="001A5008"/>
    <w:rsid w:val="001A52F8"/>
    <w:rsid w:val="001A5626"/>
    <w:rsid w:val="001A564B"/>
    <w:rsid w:val="001A576D"/>
    <w:rsid w:val="001A589C"/>
    <w:rsid w:val="001A5D0A"/>
    <w:rsid w:val="001A5F10"/>
    <w:rsid w:val="001A6132"/>
    <w:rsid w:val="001A6223"/>
    <w:rsid w:val="001A62D8"/>
    <w:rsid w:val="001A6307"/>
    <w:rsid w:val="001A64D4"/>
    <w:rsid w:val="001A65BA"/>
    <w:rsid w:val="001A68C1"/>
    <w:rsid w:val="001A69AF"/>
    <w:rsid w:val="001A6A86"/>
    <w:rsid w:val="001A6AF7"/>
    <w:rsid w:val="001A6C78"/>
    <w:rsid w:val="001A6EF9"/>
    <w:rsid w:val="001A7042"/>
    <w:rsid w:val="001A7119"/>
    <w:rsid w:val="001A76E4"/>
    <w:rsid w:val="001A7867"/>
    <w:rsid w:val="001A7A18"/>
    <w:rsid w:val="001A7BCB"/>
    <w:rsid w:val="001B01F3"/>
    <w:rsid w:val="001B0521"/>
    <w:rsid w:val="001B070B"/>
    <w:rsid w:val="001B0759"/>
    <w:rsid w:val="001B0934"/>
    <w:rsid w:val="001B094C"/>
    <w:rsid w:val="001B0C17"/>
    <w:rsid w:val="001B0E2F"/>
    <w:rsid w:val="001B0F80"/>
    <w:rsid w:val="001B10ED"/>
    <w:rsid w:val="001B121A"/>
    <w:rsid w:val="001B130F"/>
    <w:rsid w:val="001B13D3"/>
    <w:rsid w:val="001B1565"/>
    <w:rsid w:val="001B166D"/>
    <w:rsid w:val="001B171D"/>
    <w:rsid w:val="001B1A21"/>
    <w:rsid w:val="001B1A66"/>
    <w:rsid w:val="001B1A98"/>
    <w:rsid w:val="001B1BA2"/>
    <w:rsid w:val="001B1CC7"/>
    <w:rsid w:val="001B204D"/>
    <w:rsid w:val="001B20BB"/>
    <w:rsid w:val="001B21B5"/>
    <w:rsid w:val="001B21BE"/>
    <w:rsid w:val="001B2479"/>
    <w:rsid w:val="001B259F"/>
    <w:rsid w:val="001B2625"/>
    <w:rsid w:val="001B2873"/>
    <w:rsid w:val="001B28B5"/>
    <w:rsid w:val="001B2975"/>
    <w:rsid w:val="001B2C14"/>
    <w:rsid w:val="001B2CB1"/>
    <w:rsid w:val="001B2DF3"/>
    <w:rsid w:val="001B2FA7"/>
    <w:rsid w:val="001B2FC0"/>
    <w:rsid w:val="001B307F"/>
    <w:rsid w:val="001B30BC"/>
    <w:rsid w:val="001B32B2"/>
    <w:rsid w:val="001B36B3"/>
    <w:rsid w:val="001B36DC"/>
    <w:rsid w:val="001B38D8"/>
    <w:rsid w:val="001B39F2"/>
    <w:rsid w:val="001B3AC1"/>
    <w:rsid w:val="001B3D1E"/>
    <w:rsid w:val="001B3D57"/>
    <w:rsid w:val="001B4505"/>
    <w:rsid w:val="001B4589"/>
    <w:rsid w:val="001B47E3"/>
    <w:rsid w:val="001B497E"/>
    <w:rsid w:val="001B4AB5"/>
    <w:rsid w:val="001B4B92"/>
    <w:rsid w:val="001B4E02"/>
    <w:rsid w:val="001B4F31"/>
    <w:rsid w:val="001B5035"/>
    <w:rsid w:val="001B557C"/>
    <w:rsid w:val="001B5784"/>
    <w:rsid w:val="001B58FA"/>
    <w:rsid w:val="001B5EE6"/>
    <w:rsid w:val="001B5FDC"/>
    <w:rsid w:val="001B64E1"/>
    <w:rsid w:val="001B65B9"/>
    <w:rsid w:val="001B6DE3"/>
    <w:rsid w:val="001B6E99"/>
    <w:rsid w:val="001B6FFC"/>
    <w:rsid w:val="001B7533"/>
    <w:rsid w:val="001B76E1"/>
    <w:rsid w:val="001B7923"/>
    <w:rsid w:val="001B7999"/>
    <w:rsid w:val="001B79EA"/>
    <w:rsid w:val="001B7AD8"/>
    <w:rsid w:val="001B7C0B"/>
    <w:rsid w:val="001B7D78"/>
    <w:rsid w:val="001B7EA2"/>
    <w:rsid w:val="001C0017"/>
    <w:rsid w:val="001C020B"/>
    <w:rsid w:val="001C0309"/>
    <w:rsid w:val="001C063E"/>
    <w:rsid w:val="001C0745"/>
    <w:rsid w:val="001C0782"/>
    <w:rsid w:val="001C0884"/>
    <w:rsid w:val="001C0985"/>
    <w:rsid w:val="001C105B"/>
    <w:rsid w:val="001C122D"/>
    <w:rsid w:val="001C12CA"/>
    <w:rsid w:val="001C15AC"/>
    <w:rsid w:val="001C15E0"/>
    <w:rsid w:val="001C1DF4"/>
    <w:rsid w:val="001C1E2E"/>
    <w:rsid w:val="001C24F5"/>
    <w:rsid w:val="001C25D2"/>
    <w:rsid w:val="001C271F"/>
    <w:rsid w:val="001C279E"/>
    <w:rsid w:val="001C2845"/>
    <w:rsid w:val="001C2B59"/>
    <w:rsid w:val="001C2DF2"/>
    <w:rsid w:val="001C3138"/>
    <w:rsid w:val="001C3678"/>
    <w:rsid w:val="001C3737"/>
    <w:rsid w:val="001C3762"/>
    <w:rsid w:val="001C38D8"/>
    <w:rsid w:val="001C400D"/>
    <w:rsid w:val="001C402C"/>
    <w:rsid w:val="001C4030"/>
    <w:rsid w:val="001C42FF"/>
    <w:rsid w:val="001C440B"/>
    <w:rsid w:val="001C442A"/>
    <w:rsid w:val="001C4556"/>
    <w:rsid w:val="001C4750"/>
    <w:rsid w:val="001C4B90"/>
    <w:rsid w:val="001C4C00"/>
    <w:rsid w:val="001C4D7A"/>
    <w:rsid w:val="001C4E7E"/>
    <w:rsid w:val="001C4ECB"/>
    <w:rsid w:val="001C50E2"/>
    <w:rsid w:val="001C5166"/>
    <w:rsid w:val="001C53F3"/>
    <w:rsid w:val="001C54B8"/>
    <w:rsid w:val="001C54C3"/>
    <w:rsid w:val="001C5C12"/>
    <w:rsid w:val="001C5C76"/>
    <w:rsid w:val="001C5CD6"/>
    <w:rsid w:val="001C5D48"/>
    <w:rsid w:val="001C5E5C"/>
    <w:rsid w:val="001C5EAD"/>
    <w:rsid w:val="001C60D5"/>
    <w:rsid w:val="001C60F2"/>
    <w:rsid w:val="001C65F1"/>
    <w:rsid w:val="001C6809"/>
    <w:rsid w:val="001C683C"/>
    <w:rsid w:val="001C6AE5"/>
    <w:rsid w:val="001C73E9"/>
    <w:rsid w:val="001C7905"/>
    <w:rsid w:val="001C79BC"/>
    <w:rsid w:val="001C7AD1"/>
    <w:rsid w:val="001D03DA"/>
    <w:rsid w:val="001D045D"/>
    <w:rsid w:val="001D0506"/>
    <w:rsid w:val="001D0789"/>
    <w:rsid w:val="001D0A44"/>
    <w:rsid w:val="001D139A"/>
    <w:rsid w:val="001D1428"/>
    <w:rsid w:val="001D154F"/>
    <w:rsid w:val="001D1A50"/>
    <w:rsid w:val="001D1F0F"/>
    <w:rsid w:val="001D2204"/>
    <w:rsid w:val="001D25C8"/>
    <w:rsid w:val="001D27E6"/>
    <w:rsid w:val="001D27F5"/>
    <w:rsid w:val="001D29A7"/>
    <w:rsid w:val="001D2A82"/>
    <w:rsid w:val="001D38E2"/>
    <w:rsid w:val="001D3A39"/>
    <w:rsid w:val="001D3F65"/>
    <w:rsid w:val="001D45C7"/>
    <w:rsid w:val="001D4655"/>
    <w:rsid w:val="001D4891"/>
    <w:rsid w:val="001D4DAE"/>
    <w:rsid w:val="001D4E5F"/>
    <w:rsid w:val="001D5273"/>
    <w:rsid w:val="001D5327"/>
    <w:rsid w:val="001D54C7"/>
    <w:rsid w:val="001D5561"/>
    <w:rsid w:val="001D569B"/>
    <w:rsid w:val="001D56D3"/>
    <w:rsid w:val="001D5884"/>
    <w:rsid w:val="001D5913"/>
    <w:rsid w:val="001D5946"/>
    <w:rsid w:val="001D59A9"/>
    <w:rsid w:val="001D5AF2"/>
    <w:rsid w:val="001D5DD1"/>
    <w:rsid w:val="001D5F84"/>
    <w:rsid w:val="001D5FE6"/>
    <w:rsid w:val="001D614D"/>
    <w:rsid w:val="001D61AD"/>
    <w:rsid w:val="001D64F3"/>
    <w:rsid w:val="001D66DA"/>
    <w:rsid w:val="001D674C"/>
    <w:rsid w:val="001D6775"/>
    <w:rsid w:val="001D6800"/>
    <w:rsid w:val="001D69CE"/>
    <w:rsid w:val="001D70FF"/>
    <w:rsid w:val="001D76A9"/>
    <w:rsid w:val="001D799F"/>
    <w:rsid w:val="001D7CB8"/>
    <w:rsid w:val="001D7D49"/>
    <w:rsid w:val="001E000C"/>
    <w:rsid w:val="001E0401"/>
    <w:rsid w:val="001E0468"/>
    <w:rsid w:val="001E05D1"/>
    <w:rsid w:val="001E0610"/>
    <w:rsid w:val="001E0806"/>
    <w:rsid w:val="001E0A29"/>
    <w:rsid w:val="001E0ABC"/>
    <w:rsid w:val="001E0C90"/>
    <w:rsid w:val="001E0D96"/>
    <w:rsid w:val="001E0EA3"/>
    <w:rsid w:val="001E0F70"/>
    <w:rsid w:val="001E1035"/>
    <w:rsid w:val="001E13BE"/>
    <w:rsid w:val="001E14FA"/>
    <w:rsid w:val="001E151B"/>
    <w:rsid w:val="001E1AFF"/>
    <w:rsid w:val="001E1C42"/>
    <w:rsid w:val="001E1EEB"/>
    <w:rsid w:val="001E2103"/>
    <w:rsid w:val="001E277E"/>
    <w:rsid w:val="001E2811"/>
    <w:rsid w:val="001E2972"/>
    <w:rsid w:val="001E2A15"/>
    <w:rsid w:val="001E2A7D"/>
    <w:rsid w:val="001E2F23"/>
    <w:rsid w:val="001E2F43"/>
    <w:rsid w:val="001E3501"/>
    <w:rsid w:val="001E368D"/>
    <w:rsid w:val="001E376C"/>
    <w:rsid w:val="001E37AE"/>
    <w:rsid w:val="001E37CE"/>
    <w:rsid w:val="001E3901"/>
    <w:rsid w:val="001E3941"/>
    <w:rsid w:val="001E3B86"/>
    <w:rsid w:val="001E3E2B"/>
    <w:rsid w:val="001E4152"/>
    <w:rsid w:val="001E4301"/>
    <w:rsid w:val="001E4356"/>
    <w:rsid w:val="001E44BC"/>
    <w:rsid w:val="001E4571"/>
    <w:rsid w:val="001E4995"/>
    <w:rsid w:val="001E4BA3"/>
    <w:rsid w:val="001E4D33"/>
    <w:rsid w:val="001E4E40"/>
    <w:rsid w:val="001E4E42"/>
    <w:rsid w:val="001E4E49"/>
    <w:rsid w:val="001E4EAD"/>
    <w:rsid w:val="001E5060"/>
    <w:rsid w:val="001E5101"/>
    <w:rsid w:val="001E5259"/>
    <w:rsid w:val="001E54FE"/>
    <w:rsid w:val="001E5626"/>
    <w:rsid w:val="001E5863"/>
    <w:rsid w:val="001E58F2"/>
    <w:rsid w:val="001E5976"/>
    <w:rsid w:val="001E5B3C"/>
    <w:rsid w:val="001E5D65"/>
    <w:rsid w:val="001E5E94"/>
    <w:rsid w:val="001E5ECD"/>
    <w:rsid w:val="001E6253"/>
    <w:rsid w:val="001E62CE"/>
    <w:rsid w:val="001E6443"/>
    <w:rsid w:val="001E648F"/>
    <w:rsid w:val="001E65E3"/>
    <w:rsid w:val="001E66E2"/>
    <w:rsid w:val="001E67E0"/>
    <w:rsid w:val="001E702D"/>
    <w:rsid w:val="001E7112"/>
    <w:rsid w:val="001E7213"/>
    <w:rsid w:val="001E75B8"/>
    <w:rsid w:val="001E78AF"/>
    <w:rsid w:val="001E7A42"/>
    <w:rsid w:val="001E7A7F"/>
    <w:rsid w:val="001E7CC7"/>
    <w:rsid w:val="001E7DC4"/>
    <w:rsid w:val="001E7EE1"/>
    <w:rsid w:val="001F0212"/>
    <w:rsid w:val="001F0535"/>
    <w:rsid w:val="001F058F"/>
    <w:rsid w:val="001F09DC"/>
    <w:rsid w:val="001F0AEE"/>
    <w:rsid w:val="001F0C36"/>
    <w:rsid w:val="001F0C59"/>
    <w:rsid w:val="001F0C67"/>
    <w:rsid w:val="001F1359"/>
    <w:rsid w:val="001F13F6"/>
    <w:rsid w:val="001F1454"/>
    <w:rsid w:val="001F1657"/>
    <w:rsid w:val="001F1661"/>
    <w:rsid w:val="001F1764"/>
    <w:rsid w:val="001F1788"/>
    <w:rsid w:val="001F1AC1"/>
    <w:rsid w:val="001F1BB6"/>
    <w:rsid w:val="001F1BE1"/>
    <w:rsid w:val="001F1DD0"/>
    <w:rsid w:val="001F1F70"/>
    <w:rsid w:val="001F210F"/>
    <w:rsid w:val="001F2562"/>
    <w:rsid w:val="001F25EB"/>
    <w:rsid w:val="001F2626"/>
    <w:rsid w:val="001F2721"/>
    <w:rsid w:val="001F281F"/>
    <w:rsid w:val="001F28C7"/>
    <w:rsid w:val="001F28F2"/>
    <w:rsid w:val="001F291C"/>
    <w:rsid w:val="001F298C"/>
    <w:rsid w:val="001F2C28"/>
    <w:rsid w:val="001F2CAA"/>
    <w:rsid w:val="001F2D0C"/>
    <w:rsid w:val="001F2D33"/>
    <w:rsid w:val="001F2D40"/>
    <w:rsid w:val="001F30A5"/>
    <w:rsid w:val="001F3193"/>
    <w:rsid w:val="001F31D4"/>
    <w:rsid w:val="001F323B"/>
    <w:rsid w:val="001F3436"/>
    <w:rsid w:val="001F3469"/>
    <w:rsid w:val="001F348B"/>
    <w:rsid w:val="001F34CB"/>
    <w:rsid w:val="001F35E8"/>
    <w:rsid w:val="001F3A85"/>
    <w:rsid w:val="001F3BD9"/>
    <w:rsid w:val="001F3F7B"/>
    <w:rsid w:val="001F418F"/>
    <w:rsid w:val="001F423D"/>
    <w:rsid w:val="001F4293"/>
    <w:rsid w:val="001F43E6"/>
    <w:rsid w:val="001F4412"/>
    <w:rsid w:val="001F449B"/>
    <w:rsid w:val="001F4711"/>
    <w:rsid w:val="001F4712"/>
    <w:rsid w:val="001F488F"/>
    <w:rsid w:val="001F4965"/>
    <w:rsid w:val="001F4BB2"/>
    <w:rsid w:val="001F4E82"/>
    <w:rsid w:val="001F52C7"/>
    <w:rsid w:val="001F5458"/>
    <w:rsid w:val="001F555B"/>
    <w:rsid w:val="001F5600"/>
    <w:rsid w:val="001F57A6"/>
    <w:rsid w:val="001F5885"/>
    <w:rsid w:val="001F593D"/>
    <w:rsid w:val="001F598E"/>
    <w:rsid w:val="001F5CCF"/>
    <w:rsid w:val="001F5DEA"/>
    <w:rsid w:val="001F5EA3"/>
    <w:rsid w:val="001F60EE"/>
    <w:rsid w:val="001F6369"/>
    <w:rsid w:val="001F65E1"/>
    <w:rsid w:val="001F67D7"/>
    <w:rsid w:val="001F6A46"/>
    <w:rsid w:val="001F6F1D"/>
    <w:rsid w:val="001F7194"/>
    <w:rsid w:val="001F7305"/>
    <w:rsid w:val="001F7365"/>
    <w:rsid w:val="001F749C"/>
    <w:rsid w:val="001F7590"/>
    <w:rsid w:val="001F75F8"/>
    <w:rsid w:val="001F780B"/>
    <w:rsid w:val="001F787E"/>
    <w:rsid w:val="001F7AB8"/>
    <w:rsid w:val="001F7C4F"/>
    <w:rsid w:val="001F7D04"/>
    <w:rsid w:val="001F7EA2"/>
    <w:rsid w:val="001F8896"/>
    <w:rsid w:val="002000D9"/>
    <w:rsid w:val="0020033C"/>
    <w:rsid w:val="00200370"/>
    <w:rsid w:val="00200758"/>
    <w:rsid w:val="0020092A"/>
    <w:rsid w:val="002009B1"/>
    <w:rsid w:val="00200A0C"/>
    <w:rsid w:val="00200BC4"/>
    <w:rsid w:val="00200C14"/>
    <w:rsid w:val="00200CB7"/>
    <w:rsid w:val="00200DF2"/>
    <w:rsid w:val="00200F6D"/>
    <w:rsid w:val="002015E9"/>
    <w:rsid w:val="002015F2"/>
    <w:rsid w:val="002017CE"/>
    <w:rsid w:val="002017E7"/>
    <w:rsid w:val="00201DE2"/>
    <w:rsid w:val="002020F9"/>
    <w:rsid w:val="00202160"/>
    <w:rsid w:val="002021D9"/>
    <w:rsid w:val="0020229E"/>
    <w:rsid w:val="002022A1"/>
    <w:rsid w:val="0020243D"/>
    <w:rsid w:val="00202837"/>
    <w:rsid w:val="002028EC"/>
    <w:rsid w:val="00202A22"/>
    <w:rsid w:val="00202DAA"/>
    <w:rsid w:val="0020305A"/>
    <w:rsid w:val="00203091"/>
    <w:rsid w:val="002031E9"/>
    <w:rsid w:val="0020346B"/>
    <w:rsid w:val="00203556"/>
    <w:rsid w:val="00203628"/>
    <w:rsid w:val="00203656"/>
    <w:rsid w:val="0020394B"/>
    <w:rsid w:val="00203DEF"/>
    <w:rsid w:val="00203E6C"/>
    <w:rsid w:val="0020404B"/>
    <w:rsid w:val="0020422A"/>
    <w:rsid w:val="0020448A"/>
    <w:rsid w:val="00204658"/>
    <w:rsid w:val="00204877"/>
    <w:rsid w:val="00204C4B"/>
    <w:rsid w:val="002051C2"/>
    <w:rsid w:val="00205240"/>
    <w:rsid w:val="0020547D"/>
    <w:rsid w:val="002056AF"/>
    <w:rsid w:val="002056CA"/>
    <w:rsid w:val="00205B27"/>
    <w:rsid w:val="00205F37"/>
    <w:rsid w:val="0020600A"/>
    <w:rsid w:val="00206210"/>
    <w:rsid w:val="002065A8"/>
    <w:rsid w:val="002068AE"/>
    <w:rsid w:val="002068E8"/>
    <w:rsid w:val="00206935"/>
    <w:rsid w:val="00206C99"/>
    <w:rsid w:val="00206D01"/>
    <w:rsid w:val="00206DAA"/>
    <w:rsid w:val="00206E7D"/>
    <w:rsid w:val="002070AD"/>
    <w:rsid w:val="0020727A"/>
    <w:rsid w:val="002072E3"/>
    <w:rsid w:val="00207606"/>
    <w:rsid w:val="00207614"/>
    <w:rsid w:val="002076E9"/>
    <w:rsid w:val="00207881"/>
    <w:rsid w:val="00207AF9"/>
    <w:rsid w:val="00207D0D"/>
    <w:rsid w:val="00207D96"/>
    <w:rsid w:val="00207F49"/>
    <w:rsid w:val="00207FF6"/>
    <w:rsid w:val="00210558"/>
    <w:rsid w:val="002105AB"/>
    <w:rsid w:val="00210C4C"/>
    <w:rsid w:val="00210FA2"/>
    <w:rsid w:val="0021161C"/>
    <w:rsid w:val="002116DC"/>
    <w:rsid w:val="00211896"/>
    <w:rsid w:val="00211D0D"/>
    <w:rsid w:val="00211D1D"/>
    <w:rsid w:val="00211DBD"/>
    <w:rsid w:val="00211E4B"/>
    <w:rsid w:val="00211EC3"/>
    <w:rsid w:val="0021218E"/>
    <w:rsid w:val="002126FB"/>
    <w:rsid w:val="002128B1"/>
    <w:rsid w:val="00212C9B"/>
    <w:rsid w:val="00212EEC"/>
    <w:rsid w:val="0021309E"/>
    <w:rsid w:val="00213120"/>
    <w:rsid w:val="002131FE"/>
    <w:rsid w:val="002132AB"/>
    <w:rsid w:val="0021343F"/>
    <w:rsid w:val="002134E8"/>
    <w:rsid w:val="00213772"/>
    <w:rsid w:val="00213881"/>
    <w:rsid w:val="002139E3"/>
    <w:rsid w:val="00213ADE"/>
    <w:rsid w:val="00213B63"/>
    <w:rsid w:val="00213D3D"/>
    <w:rsid w:val="00213EA8"/>
    <w:rsid w:val="00214295"/>
    <w:rsid w:val="002143E4"/>
    <w:rsid w:val="00214697"/>
    <w:rsid w:val="00214740"/>
    <w:rsid w:val="00214D7C"/>
    <w:rsid w:val="00214FB2"/>
    <w:rsid w:val="002151F1"/>
    <w:rsid w:val="002152A2"/>
    <w:rsid w:val="002152FD"/>
    <w:rsid w:val="0021559D"/>
    <w:rsid w:val="002155D7"/>
    <w:rsid w:val="00215738"/>
    <w:rsid w:val="00215807"/>
    <w:rsid w:val="00215ABF"/>
    <w:rsid w:val="00215B77"/>
    <w:rsid w:val="00215CC3"/>
    <w:rsid w:val="00215CC5"/>
    <w:rsid w:val="00215CE7"/>
    <w:rsid w:val="00215ECD"/>
    <w:rsid w:val="00216259"/>
    <w:rsid w:val="002163E6"/>
    <w:rsid w:val="00216476"/>
    <w:rsid w:val="0021655E"/>
    <w:rsid w:val="002166BD"/>
    <w:rsid w:val="002167A6"/>
    <w:rsid w:val="00216822"/>
    <w:rsid w:val="00216846"/>
    <w:rsid w:val="00216B46"/>
    <w:rsid w:val="00216C5A"/>
    <w:rsid w:val="00216CFE"/>
    <w:rsid w:val="00216F49"/>
    <w:rsid w:val="002171F5"/>
    <w:rsid w:val="002171FB"/>
    <w:rsid w:val="00217417"/>
    <w:rsid w:val="002174F9"/>
    <w:rsid w:val="00217562"/>
    <w:rsid w:val="00217661"/>
    <w:rsid w:val="00217816"/>
    <w:rsid w:val="00217A73"/>
    <w:rsid w:val="00217A9C"/>
    <w:rsid w:val="00217FEA"/>
    <w:rsid w:val="00220112"/>
    <w:rsid w:val="00220113"/>
    <w:rsid w:val="0022058F"/>
    <w:rsid w:val="00220749"/>
    <w:rsid w:val="00220B8D"/>
    <w:rsid w:val="00220D12"/>
    <w:rsid w:val="0022136B"/>
    <w:rsid w:val="00221428"/>
    <w:rsid w:val="00221840"/>
    <w:rsid w:val="00221844"/>
    <w:rsid w:val="00221973"/>
    <w:rsid w:val="002219B4"/>
    <w:rsid w:val="00221A4F"/>
    <w:rsid w:val="00221C07"/>
    <w:rsid w:val="00221CC4"/>
    <w:rsid w:val="00221E9E"/>
    <w:rsid w:val="002223F9"/>
    <w:rsid w:val="0022261B"/>
    <w:rsid w:val="002227B3"/>
    <w:rsid w:val="00222C08"/>
    <w:rsid w:val="00222E00"/>
    <w:rsid w:val="00222E44"/>
    <w:rsid w:val="00222F4B"/>
    <w:rsid w:val="0022302A"/>
    <w:rsid w:val="00223282"/>
    <w:rsid w:val="002233A8"/>
    <w:rsid w:val="00223499"/>
    <w:rsid w:val="0022369E"/>
    <w:rsid w:val="0022386E"/>
    <w:rsid w:val="00223880"/>
    <w:rsid w:val="002239E6"/>
    <w:rsid w:val="00223C12"/>
    <w:rsid w:val="00223EC9"/>
    <w:rsid w:val="00224173"/>
    <w:rsid w:val="0022422C"/>
    <w:rsid w:val="002244E9"/>
    <w:rsid w:val="002244FA"/>
    <w:rsid w:val="0022468F"/>
    <w:rsid w:val="002247CC"/>
    <w:rsid w:val="0022494A"/>
    <w:rsid w:val="002249F5"/>
    <w:rsid w:val="00224A65"/>
    <w:rsid w:val="00224D6A"/>
    <w:rsid w:val="00224E7B"/>
    <w:rsid w:val="00224ED8"/>
    <w:rsid w:val="00224F08"/>
    <w:rsid w:val="00224F87"/>
    <w:rsid w:val="002250ED"/>
    <w:rsid w:val="00225455"/>
    <w:rsid w:val="00225876"/>
    <w:rsid w:val="0022598E"/>
    <w:rsid w:val="00226174"/>
    <w:rsid w:val="002263F3"/>
    <w:rsid w:val="00226406"/>
    <w:rsid w:val="00226431"/>
    <w:rsid w:val="002264C6"/>
    <w:rsid w:val="002266AB"/>
    <w:rsid w:val="0022699A"/>
    <w:rsid w:val="00226A89"/>
    <w:rsid w:val="00226AE6"/>
    <w:rsid w:val="00226B59"/>
    <w:rsid w:val="00226DD0"/>
    <w:rsid w:val="0022724E"/>
    <w:rsid w:val="00227403"/>
    <w:rsid w:val="002276D0"/>
    <w:rsid w:val="002279BB"/>
    <w:rsid w:val="00227A19"/>
    <w:rsid w:val="00227B2C"/>
    <w:rsid w:val="00227C21"/>
    <w:rsid w:val="00227FF2"/>
    <w:rsid w:val="0023025D"/>
    <w:rsid w:val="0023028F"/>
    <w:rsid w:val="00230563"/>
    <w:rsid w:val="00230656"/>
    <w:rsid w:val="00230666"/>
    <w:rsid w:val="00230694"/>
    <w:rsid w:val="0023089C"/>
    <w:rsid w:val="00230A4F"/>
    <w:rsid w:val="00230B0B"/>
    <w:rsid w:val="00230B12"/>
    <w:rsid w:val="00230C25"/>
    <w:rsid w:val="00231153"/>
    <w:rsid w:val="002311EC"/>
    <w:rsid w:val="00231303"/>
    <w:rsid w:val="00231547"/>
    <w:rsid w:val="00231A4B"/>
    <w:rsid w:val="00231B59"/>
    <w:rsid w:val="00231DF0"/>
    <w:rsid w:val="00231E8A"/>
    <w:rsid w:val="00232315"/>
    <w:rsid w:val="002324E8"/>
    <w:rsid w:val="0023252E"/>
    <w:rsid w:val="00232556"/>
    <w:rsid w:val="002325FD"/>
    <w:rsid w:val="002326E5"/>
    <w:rsid w:val="002329F3"/>
    <w:rsid w:val="00232B80"/>
    <w:rsid w:val="00232C41"/>
    <w:rsid w:val="00232C78"/>
    <w:rsid w:val="00232DFF"/>
    <w:rsid w:val="00232EE1"/>
    <w:rsid w:val="00233032"/>
    <w:rsid w:val="002332F6"/>
    <w:rsid w:val="00233403"/>
    <w:rsid w:val="00233507"/>
    <w:rsid w:val="00233D77"/>
    <w:rsid w:val="00233D99"/>
    <w:rsid w:val="00233FD1"/>
    <w:rsid w:val="00233FD3"/>
    <w:rsid w:val="002340F5"/>
    <w:rsid w:val="0023437C"/>
    <w:rsid w:val="00234454"/>
    <w:rsid w:val="002346A2"/>
    <w:rsid w:val="002347BC"/>
    <w:rsid w:val="00234969"/>
    <w:rsid w:val="00234BB5"/>
    <w:rsid w:val="00234DD3"/>
    <w:rsid w:val="00234DE5"/>
    <w:rsid w:val="00234F0C"/>
    <w:rsid w:val="00235120"/>
    <w:rsid w:val="002354E9"/>
    <w:rsid w:val="002356AF"/>
    <w:rsid w:val="00235853"/>
    <w:rsid w:val="002358DB"/>
    <w:rsid w:val="00235A2D"/>
    <w:rsid w:val="00235B78"/>
    <w:rsid w:val="002360E0"/>
    <w:rsid w:val="00236447"/>
    <w:rsid w:val="00236658"/>
    <w:rsid w:val="0023680A"/>
    <w:rsid w:val="00236909"/>
    <w:rsid w:val="002369AE"/>
    <w:rsid w:val="002369B9"/>
    <w:rsid w:val="00236A32"/>
    <w:rsid w:val="00236D5B"/>
    <w:rsid w:val="00236D69"/>
    <w:rsid w:val="00236D77"/>
    <w:rsid w:val="00236DDC"/>
    <w:rsid w:val="00236EA2"/>
    <w:rsid w:val="00236F17"/>
    <w:rsid w:val="002374B2"/>
    <w:rsid w:val="002375C9"/>
    <w:rsid w:val="002376C8"/>
    <w:rsid w:val="00237C87"/>
    <w:rsid w:val="00237D40"/>
    <w:rsid w:val="00237DAB"/>
    <w:rsid w:val="00237E07"/>
    <w:rsid w:val="00237F20"/>
    <w:rsid w:val="002401A8"/>
    <w:rsid w:val="0024063E"/>
    <w:rsid w:val="00240690"/>
    <w:rsid w:val="002409B9"/>
    <w:rsid w:val="00240A25"/>
    <w:rsid w:val="00240B39"/>
    <w:rsid w:val="00240BE6"/>
    <w:rsid w:val="00240D69"/>
    <w:rsid w:val="00240DD7"/>
    <w:rsid w:val="00240DDF"/>
    <w:rsid w:val="00240DF4"/>
    <w:rsid w:val="00240E80"/>
    <w:rsid w:val="00240F18"/>
    <w:rsid w:val="00241299"/>
    <w:rsid w:val="002412BE"/>
    <w:rsid w:val="00241316"/>
    <w:rsid w:val="00241418"/>
    <w:rsid w:val="0024146A"/>
    <w:rsid w:val="002414C2"/>
    <w:rsid w:val="002414FC"/>
    <w:rsid w:val="002417AC"/>
    <w:rsid w:val="002418B9"/>
    <w:rsid w:val="002419B2"/>
    <w:rsid w:val="00241C31"/>
    <w:rsid w:val="00241D26"/>
    <w:rsid w:val="00241E33"/>
    <w:rsid w:val="00241EB7"/>
    <w:rsid w:val="00241F99"/>
    <w:rsid w:val="0024206C"/>
    <w:rsid w:val="0024218F"/>
    <w:rsid w:val="002421DB"/>
    <w:rsid w:val="00242504"/>
    <w:rsid w:val="002426A3"/>
    <w:rsid w:val="002426E5"/>
    <w:rsid w:val="002428DB"/>
    <w:rsid w:val="00242902"/>
    <w:rsid w:val="00242917"/>
    <w:rsid w:val="00242C69"/>
    <w:rsid w:val="00242F14"/>
    <w:rsid w:val="00242F93"/>
    <w:rsid w:val="002432AA"/>
    <w:rsid w:val="002432C7"/>
    <w:rsid w:val="002438E2"/>
    <w:rsid w:val="0024398B"/>
    <w:rsid w:val="002439B9"/>
    <w:rsid w:val="00243AA9"/>
    <w:rsid w:val="00243C2B"/>
    <w:rsid w:val="00243E0D"/>
    <w:rsid w:val="00244496"/>
    <w:rsid w:val="00244B6F"/>
    <w:rsid w:val="00244BF5"/>
    <w:rsid w:val="00244DA2"/>
    <w:rsid w:val="00244F24"/>
    <w:rsid w:val="0024506D"/>
    <w:rsid w:val="00245428"/>
    <w:rsid w:val="0024566E"/>
    <w:rsid w:val="00245692"/>
    <w:rsid w:val="00245761"/>
    <w:rsid w:val="002458A6"/>
    <w:rsid w:val="00245911"/>
    <w:rsid w:val="00245976"/>
    <w:rsid w:val="00245AAE"/>
    <w:rsid w:val="00245B21"/>
    <w:rsid w:val="00245C56"/>
    <w:rsid w:val="00246230"/>
    <w:rsid w:val="00246343"/>
    <w:rsid w:val="00246511"/>
    <w:rsid w:val="00246519"/>
    <w:rsid w:val="00246574"/>
    <w:rsid w:val="002467C8"/>
    <w:rsid w:val="002469DF"/>
    <w:rsid w:val="00246D68"/>
    <w:rsid w:val="00246DB5"/>
    <w:rsid w:val="00247166"/>
    <w:rsid w:val="00247498"/>
    <w:rsid w:val="0024775A"/>
    <w:rsid w:val="00247F6D"/>
    <w:rsid w:val="00247FE5"/>
    <w:rsid w:val="0025024A"/>
    <w:rsid w:val="002505F3"/>
    <w:rsid w:val="0025069C"/>
    <w:rsid w:val="002507F9"/>
    <w:rsid w:val="00250ADB"/>
    <w:rsid w:val="00250B7E"/>
    <w:rsid w:val="00250D85"/>
    <w:rsid w:val="00250E34"/>
    <w:rsid w:val="00251020"/>
    <w:rsid w:val="002510BD"/>
    <w:rsid w:val="002510D3"/>
    <w:rsid w:val="002510D6"/>
    <w:rsid w:val="00251494"/>
    <w:rsid w:val="002514C8"/>
    <w:rsid w:val="00251628"/>
    <w:rsid w:val="002516B7"/>
    <w:rsid w:val="0025172A"/>
    <w:rsid w:val="0025178A"/>
    <w:rsid w:val="0025182F"/>
    <w:rsid w:val="00251AB0"/>
    <w:rsid w:val="00251BE9"/>
    <w:rsid w:val="00251C67"/>
    <w:rsid w:val="00251D2E"/>
    <w:rsid w:val="00251E68"/>
    <w:rsid w:val="00251E84"/>
    <w:rsid w:val="00251EDF"/>
    <w:rsid w:val="002520A9"/>
    <w:rsid w:val="0025216C"/>
    <w:rsid w:val="00252269"/>
    <w:rsid w:val="002522BA"/>
    <w:rsid w:val="00252306"/>
    <w:rsid w:val="00252569"/>
    <w:rsid w:val="002525A7"/>
    <w:rsid w:val="0025267E"/>
    <w:rsid w:val="0025282C"/>
    <w:rsid w:val="00252841"/>
    <w:rsid w:val="00252E23"/>
    <w:rsid w:val="00252EB3"/>
    <w:rsid w:val="00252F16"/>
    <w:rsid w:val="0025302F"/>
    <w:rsid w:val="00253042"/>
    <w:rsid w:val="002532E2"/>
    <w:rsid w:val="0025359A"/>
    <w:rsid w:val="002537A7"/>
    <w:rsid w:val="002537F3"/>
    <w:rsid w:val="00253DD4"/>
    <w:rsid w:val="00254072"/>
    <w:rsid w:val="002540FF"/>
    <w:rsid w:val="0025427C"/>
    <w:rsid w:val="002545EC"/>
    <w:rsid w:val="002545F3"/>
    <w:rsid w:val="00254826"/>
    <w:rsid w:val="0025485A"/>
    <w:rsid w:val="00254D23"/>
    <w:rsid w:val="00254E00"/>
    <w:rsid w:val="00255042"/>
    <w:rsid w:val="00255A55"/>
    <w:rsid w:val="00255BF3"/>
    <w:rsid w:val="00255DC4"/>
    <w:rsid w:val="00255F4F"/>
    <w:rsid w:val="00256235"/>
    <w:rsid w:val="002562D6"/>
    <w:rsid w:val="002569B2"/>
    <w:rsid w:val="00256BEB"/>
    <w:rsid w:val="00256DDD"/>
    <w:rsid w:val="00256ED7"/>
    <w:rsid w:val="0025700B"/>
    <w:rsid w:val="00257267"/>
    <w:rsid w:val="002579C5"/>
    <w:rsid w:val="00257BEB"/>
    <w:rsid w:val="0026030A"/>
    <w:rsid w:val="00260701"/>
    <w:rsid w:val="00260D89"/>
    <w:rsid w:val="00260EA7"/>
    <w:rsid w:val="00260F8A"/>
    <w:rsid w:val="00261613"/>
    <w:rsid w:val="00261B45"/>
    <w:rsid w:val="00261B9E"/>
    <w:rsid w:val="00261BDD"/>
    <w:rsid w:val="00261C09"/>
    <w:rsid w:val="00261DBF"/>
    <w:rsid w:val="00261E7D"/>
    <w:rsid w:val="00261FFB"/>
    <w:rsid w:val="002621C4"/>
    <w:rsid w:val="002622C1"/>
    <w:rsid w:val="00262431"/>
    <w:rsid w:val="00262BD7"/>
    <w:rsid w:val="00262D47"/>
    <w:rsid w:val="00262D80"/>
    <w:rsid w:val="00262E0B"/>
    <w:rsid w:val="002634EA"/>
    <w:rsid w:val="00263712"/>
    <w:rsid w:val="0026395F"/>
    <w:rsid w:val="002639C0"/>
    <w:rsid w:val="00263B11"/>
    <w:rsid w:val="00263BB9"/>
    <w:rsid w:val="00264145"/>
    <w:rsid w:val="00264390"/>
    <w:rsid w:val="002643C5"/>
    <w:rsid w:val="00264658"/>
    <w:rsid w:val="002649C6"/>
    <w:rsid w:val="00264AFF"/>
    <w:rsid w:val="00264B36"/>
    <w:rsid w:val="002650C2"/>
    <w:rsid w:val="002651B2"/>
    <w:rsid w:val="002656B6"/>
    <w:rsid w:val="00265807"/>
    <w:rsid w:val="0026595C"/>
    <w:rsid w:val="0026597A"/>
    <w:rsid w:val="00265B17"/>
    <w:rsid w:val="00265B9D"/>
    <w:rsid w:val="00265C31"/>
    <w:rsid w:val="00265D22"/>
    <w:rsid w:val="00265DDD"/>
    <w:rsid w:val="00265FED"/>
    <w:rsid w:val="002661F6"/>
    <w:rsid w:val="0026622C"/>
    <w:rsid w:val="002667D5"/>
    <w:rsid w:val="00266B8A"/>
    <w:rsid w:val="00266C8B"/>
    <w:rsid w:val="00267345"/>
    <w:rsid w:val="0026751D"/>
    <w:rsid w:val="00267950"/>
    <w:rsid w:val="0026798B"/>
    <w:rsid w:val="002679D5"/>
    <w:rsid w:val="00267A02"/>
    <w:rsid w:val="00267A78"/>
    <w:rsid w:val="00267AD4"/>
    <w:rsid w:val="00267B18"/>
    <w:rsid w:val="00267C3E"/>
    <w:rsid w:val="00270107"/>
    <w:rsid w:val="00270126"/>
    <w:rsid w:val="002708A5"/>
    <w:rsid w:val="00270AEC"/>
    <w:rsid w:val="00270B64"/>
    <w:rsid w:val="00270C7A"/>
    <w:rsid w:val="00270CB4"/>
    <w:rsid w:val="00270E45"/>
    <w:rsid w:val="00270E86"/>
    <w:rsid w:val="00270EF3"/>
    <w:rsid w:val="00270F3D"/>
    <w:rsid w:val="00270F3F"/>
    <w:rsid w:val="0027135F"/>
    <w:rsid w:val="002714B1"/>
    <w:rsid w:val="002714FD"/>
    <w:rsid w:val="00271AA6"/>
    <w:rsid w:val="00271CDA"/>
    <w:rsid w:val="00271E90"/>
    <w:rsid w:val="00272290"/>
    <w:rsid w:val="00272421"/>
    <w:rsid w:val="00272423"/>
    <w:rsid w:val="002724F8"/>
    <w:rsid w:val="0027283A"/>
    <w:rsid w:val="00272A27"/>
    <w:rsid w:val="00272AC2"/>
    <w:rsid w:val="00272C01"/>
    <w:rsid w:val="00272C8C"/>
    <w:rsid w:val="00272DFF"/>
    <w:rsid w:val="00272F9A"/>
    <w:rsid w:val="00273214"/>
    <w:rsid w:val="00273262"/>
    <w:rsid w:val="00273282"/>
    <w:rsid w:val="00273565"/>
    <w:rsid w:val="002737E6"/>
    <w:rsid w:val="0027397A"/>
    <w:rsid w:val="00273BBD"/>
    <w:rsid w:val="00273FD7"/>
    <w:rsid w:val="00273FE4"/>
    <w:rsid w:val="0027423B"/>
    <w:rsid w:val="00274300"/>
    <w:rsid w:val="0027452F"/>
    <w:rsid w:val="0027454E"/>
    <w:rsid w:val="00274618"/>
    <w:rsid w:val="002747C9"/>
    <w:rsid w:val="002749A6"/>
    <w:rsid w:val="00274A4E"/>
    <w:rsid w:val="00274B9B"/>
    <w:rsid w:val="00274ED9"/>
    <w:rsid w:val="00275150"/>
    <w:rsid w:val="00275248"/>
    <w:rsid w:val="0027527A"/>
    <w:rsid w:val="002755CA"/>
    <w:rsid w:val="00275637"/>
    <w:rsid w:val="0027573F"/>
    <w:rsid w:val="002757DE"/>
    <w:rsid w:val="00275A0A"/>
    <w:rsid w:val="00275B83"/>
    <w:rsid w:val="00275E64"/>
    <w:rsid w:val="00275F94"/>
    <w:rsid w:val="00276259"/>
    <w:rsid w:val="00276293"/>
    <w:rsid w:val="0027657D"/>
    <w:rsid w:val="00276AB7"/>
    <w:rsid w:val="00276BB7"/>
    <w:rsid w:val="00276C3D"/>
    <w:rsid w:val="00276F0E"/>
    <w:rsid w:val="0027728C"/>
    <w:rsid w:val="00277495"/>
    <w:rsid w:val="002775AE"/>
    <w:rsid w:val="00277607"/>
    <w:rsid w:val="00277677"/>
    <w:rsid w:val="0027769B"/>
    <w:rsid w:val="002778A2"/>
    <w:rsid w:val="002779FB"/>
    <w:rsid w:val="00277A49"/>
    <w:rsid w:val="00277B19"/>
    <w:rsid w:val="00277BA0"/>
    <w:rsid w:val="00277D3A"/>
    <w:rsid w:val="00277EB1"/>
    <w:rsid w:val="00277EE7"/>
    <w:rsid w:val="00277EF8"/>
    <w:rsid w:val="00277F51"/>
    <w:rsid w:val="00280133"/>
    <w:rsid w:val="00280228"/>
    <w:rsid w:val="00280237"/>
    <w:rsid w:val="00280443"/>
    <w:rsid w:val="00280578"/>
    <w:rsid w:val="002806E3"/>
    <w:rsid w:val="0028090E"/>
    <w:rsid w:val="0028093F"/>
    <w:rsid w:val="00280A86"/>
    <w:rsid w:val="00280B0C"/>
    <w:rsid w:val="00280BAE"/>
    <w:rsid w:val="00280C7F"/>
    <w:rsid w:val="00280D16"/>
    <w:rsid w:val="00280FEC"/>
    <w:rsid w:val="00281026"/>
    <w:rsid w:val="002810E2"/>
    <w:rsid w:val="0028126B"/>
    <w:rsid w:val="002814B8"/>
    <w:rsid w:val="002814E4"/>
    <w:rsid w:val="00281784"/>
    <w:rsid w:val="002817FF"/>
    <w:rsid w:val="00281A7E"/>
    <w:rsid w:val="00281B9C"/>
    <w:rsid w:val="00281BA5"/>
    <w:rsid w:val="00281D37"/>
    <w:rsid w:val="002821FE"/>
    <w:rsid w:val="002822B2"/>
    <w:rsid w:val="00282353"/>
    <w:rsid w:val="0028250E"/>
    <w:rsid w:val="00282A2F"/>
    <w:rsid w:val="00283034"/>
    <w:rsid w:val="00283130"/>
    <w:rsid w:val="00283139"/>
    <w:rsid w:val="00283205"/>
    <w:rsid w:val="00283720"/>
    <w:rsid w:val="00283930"/>
    <w:rsid w:val="00283ACB"/>
    <w:rsid w:val="00283BD6"/>
    <w:rsid w:val="00283C5B"/>
    <w:rsid w:val="00283E18"/>
    <w:rsid w:val="00284016"/>
    <w:rsid w:val="00284165"/>
    <w:rsid w:val="002841E2"/>
    <w:rsid w:val="0028444C"/>
    <w:rsid w:val="00284476"/>
    <w:rsid w:val="00284826"/>
    <w:rsid w:val="00284849"/>
    <w:rsid w:val="00284876"/>
    <w:rsid w:val="0028493C"/>
    <w:rsid w:val="00284C9B"/>
    <w:rsid w:val="00284DEE"/>
    <w:rsid w:val="00284EF9"/>
    <w:rsid w:val="00285035"/>
    <w:rsid w:val="00285069"/>
    <w:rsid w:val="002854A6"/>
    <w:rsid w:val="002855B8"/>
    <w:rsid w:val="002856A4"/>
    <w:rsid w:val="002856DC"/>
    <w:rsid w:val="0028573D"/>
    <w:rsid w:val="00285747"/>
    <w:rsid w:val="00285A3F"/>
    <w:rsid w:val="00285CC6"/>
    <w:rsid w:val="00285F07"/>
    <w:rsid w:val="00285F1F"/>
    <w:rsid w:val="00286073"/>
    <w:rsid w:val="002860CD"/>
    <w:rsid w:val="0028619A"/>
    <w:rsid w:val="0028627E"/>
    <w:rsid w:val="0028633E"/>
    <w:rsid w:val="002863AD"/>
    <w:rsid w:val="0028697B"/>
    <w:rsid w:val="00286995"/>
    <w:rsid w:val="00286B78"/>
    <w:rsid w:val="00286D68"/>
    <w:rsid w:val="00286F66"/>
    <w:rsid w:val="00286F8F"/>
    <w:rsid w:val="0028703D"/>
    <w:rsid w:val="00287147"/>
    <w:rsid w:val="0028765E"/>
    <w:rsid w:val="002876B5"/>
    <w:rsid w:val="002876E4"/>
    <w:rsid w:val="00287C17"/>
    <w:rsid w:val="002885E8"/>
    <w:rsid w:val="00290150"/>
    <w:rsid w:val="002908E6"/>
    <w:rsid w:val="00290C40"/>
    <w:rsid w:val="00291056"/>
    <w:rsid w:val="00291064"/>
    <w:rsid w:val="0029116D"/>
    <w:rsid w:val="00291180"/>
    <w:rsid w:val="00291286"/>
    <w:rsid w:val="002912CA"/>
    <w:rsid w:val="00291409"/>
    <w:rsid w:val="0029196D"/>
    <w:rsid w:val="00291A41"/>
    <w:rsid w:val="00291CA1"/>
    <w:rsid w:val="00292660"/>
    <w:rsid w:val="002929A1"/>
    <w:rsid w:val="00292A98"/>
    <w:rsid w:val="00292AA5"/>
    <w:rsid w:val="00292B99"/>
    <w:rsid w:val="00292C4B"/>
    <w:rsid w:val="00292D5C"/>
    <w:rsid w:val="00292EEB"/>
    <w:rsid w:val="00292F21"/>
    <w:rsid w:val="00293019"/>
    <w:rsid w:val="002930B9"/>
    <w:rsid w:val="00293171"/>
    <w:rsid w:val="002931F6"/>
    <w:rsid w:val="00293714"/>
    <w:rsid w:val="00293943"/>
    <w:rsid w:val="002939BE"/>
    <w:rsid w:val="00293A42"/>
    <w:rsid w:val="00293E3A"/>
    <w:rsid w:val="00293ED6"/>
    <w:rsid w:val="00293F2C"/>
    <w:rsid w:val="00293FC4"/>
    <w:rsid w:val="00294135"/>
    <w:rsid w:val="0029451B"/>
    <w:rsid w:val="00294B2E"/>
    <w:rsid w:val="00294DA3"/>
    <w:rsid w:val="00294DEA"/>
    <w:rsid w:val="00294EA6"/>
    <w:rsid w:val="00295138"/>
    <w:rsid w:val="0029515F"/>
    <w:rsid w:val="002952C9"/>
    <w:rsid w:val="00295696"/>
    <w:rsid w:val="002958AF"/>
    <w:rsid w:val="0029597E"/>
    <w:rsid w:val="0029598A"/>
    <w:rsid w:val="00295C0A"/>
    <w:rsid w:val="00295D35"/>
    <w:rsid w:val="00295D4D"/>
    <w:rsid w:val="00295FC1"/>
    <w:rsid w:val="00295FC9"/>
    <w:rsid w:val="00296115"/>
    <w:rsid w:val="00296290"/>
    <w:rsid w:val="0029646C"/>
    <w:rsid w:val="00296AEC"/>
    <w:rsid w:val="00296B45"/>
    <w:rsid w:val="00296B63"/>
    <w:rsid w:val="00296D17"/>
    <w:rsid w:val="00296EF0"/>
    <w:rsid w:val="00296F32"/>
    <w:rsid w:val="00296FE3"/>
    <w:rsid w:val="00297308"/>
    <w:rsid w:val="002975D7"/>
    <w:rsid w:val="00297662"/>
    <w:rsid w:val="00297AA3"/>
    <w:rsid w:val="002A0069"/>
    <w:rsid w:val="002A02EC"/>
    <w:rsid w:val="002A0317"/>
    <w:rsid w:val="002A03C5"/>
    <w:rsid w:val="002A08FE"/>
    <w:rsid w:val="002A0CF4"/>
    <w:rsid w:val="002A0DDA"/>
    <w:rsid w:val="002A0FB0"/>
    <w:rsid w:val="002A133B"/>
    <w:rsid w:val="002A13C6"/>
    <w:rsid w:val="002A141B"/>
    <w:rsid w:val="002A1426"/>
    <w:rsid w:val="002A14D4"/>
    <w:rsid w:val="002A170B"/>
    <w:rsid w:val="002A1C2C"/>
    <w:rsid w:val="002A1DE6"/>
    <w:rsid w:val="002A1F47"/>
    <w:rsid w:val="002A20BC"/>
    <w:rsid w:val="002A2127"/>
    <w:rsid w:val="002A2158"/>
    <w:rsid w:val="002A2198"/>
    <w:rsid w:val="002A2419"/>
    <w:rsid w:val="002A2691"/>
    <w:rsid w:val="002A26B6"/>
    <w:rsid w:val="002A2773"/>
    <w:rsid w:val="002A2AD8"/>
    <w:rsid w:val="002A2B12"/>
    <w:rsid w:val="002A2BCD"/>
    <w:rsid w:val="002A2CE0"/>
    <w:rsid w:val="002A2D69"/>
    <w:rsid w:val="002A2D8B"/>
    <w:rsid w:val="002A300A"/>
    <w:rsid w:val="002A302E"/>
    <w:rsid w:val="002A30D0"/>
    <w:rsid w:val="002A31EF"/>
    <w:rsid w:val="002A32CA"/>
    <w:rsid w:val="002A330F"/>
    <w:rsid w:val="002A3528"/>
    <w:rsid w:val="002A3A2F"/>
    <w:rsid w:val="002A3D82"/>
    <w:rsid w:val="002A3DD2"/>
    <w:rsid w:val="002A3EF1"/>
    <w:rsid w:val="002A4123"/>
    <w:rsid w:val="002A4DA5"/>
    <w:rsid w:val="002A50CA"/>
    <w:rsid w:val="002A50F8"/>
    <w:rsid w:val="002A522E"/>
    <w:rsid w:val="002A5366"/>
    <w:rsid w:val="002A564C"/>
    <w:rsid w:val="002A591B"/>
    <w:rsid w:val="002A595E"/>
    <w:rsid w:val="002A6338"/>
    <w:rsid w:val="002A63FE"/>
    <w:rsid w:val="002A6470"/>
    <w:rsid w:val="002A64BE"/>
    <w:rsid w:val="002A6521"/>
    <w:rsid w:val="002A683F"/>
    <w:rsid w:val="002A6865"/>
    <w:rsid w:val="002A6924"/>
    <w:rsid w:val="002A6A4E"/>
    <w:rsid w:val="002A6DDF"/>
    <w:rsid w:val="002A6F3D"/>
    <w:rsid w:val="002A6F58"/>
    <w:rsid w:val="002A7674"/>
    <w:rsid w:val="002A787E"/>
    <w:rsid w:val="002A7947"/>
    <w:rsid w:val="002A7978"/>
    <w:rsid w:val="002A7A5D"/>
    <w:rsid w:val="002A7C03"/>
    <w:rsid w:val="002A7CE7"/>
    <w:rsid w:val="002A7ED9"/>
    <w:rsid w:val="002B0105"/>
    <w:rsid w:val="002B020F"/>
    <w:rsid w:val="002B0AD5"/>
    <w:rsid w:val="002B0D14"/>
    <w:rsid w:val="002B103C"/>
    <w:rsid w:val="002B1129"/>
    <w:rsid w:val="002B14AA"/>
    <w:rsid w:val="002B1630"/>
    <w:rsid w:val="002B1772"/>
    <w:rsid w:val="002B1B3D"/>
    <w:rsid w:val="002B1B6B"/>
    <w:rsid w:val="002B1F1C"/>
    <w:rsid w:val="002B25A2"/>
    <w:rsid w:val="002B270E"/>
    <w:rsid w:val="002B29EA"/>
    <w:rsid w:val="002B2A0B"/>
    <w:rsid w:val="002B34F2"/>
    <w:rsid w:val="002B3689"/>
    <w:rsid w:val="002B384F"/>
    <w:rsid w:val="002B3889"/>
    <w:rsid w:val="002B3A53"/>
    <w:rsid w:val="002B3DBD"/>
    <w:rsid w:val="002B3FB8"/>
    <w:rsid w:val="002B3FE7"/>
    <w:rsid w:val="002B40E5"/>
    <w:rsid w:val="002B4212"/>
    <w:rsid w:val="002B42CA"/>
    <w:rsid w:val="002B44E3"/>
    <w:rsid w:val="002B45DA"/>
    <w:rsid w:val="002B4662"/>
    <w:rsid w:val="002B4716"/>
    <w:rsid w:val="002B48A0"/>
    <w:rsid w:val="002B4969"/>
    <w:rsid w:val="002B4AAC"/>
    <w:rsid w:val="002B4E93"/>
    <w:rsid w:val="002B4F16"/>
    <w:rsid w:val="002B4F3E"/>
    <w:rsid w:val="002B4F59"/>
    <w:rsid w:val="002B5139"/>
    <w:rsid w:val="002B585E"/>
    <w:rsid w:val="002B59EF"/>
    <w:rsid w:val="002B5A85"/>
    <w:rsid w:val="002B5B92"/>
    <w:rsid w:val="002B5CA7"/>
    <w:rsid w:val="002B5FB8"/>
    <w:rsid w:val="002B629D"/>
    <w:rsid w:val="002B6359"/>
    <w:rsid w:val="002B63A7"/>
    <w:rsid w:val="002B6449"/>
    <w:rsid w:val="002B644F"/>
    <w:rsid w:val="002B6688"/>
    <w:rsid w:val="002B67DD"/>
    <w:rsid w:val="002B68CD"/>
    <w:rsid w:val="002B69F5"/>
    <w:rsid w:val="002B69FA"/>
    <w:rsid w:val="002B6B86"/>
    <w:rsid w:val="002B6CAB"/>
    <w:rsid w:val="002B6D33"/>
    <w:rsid w:val="002B7025"/>
    <w:rsid w:val="002B722A"/>
    <w:rsid w:val="002B739A"/>
    <w:rsid w:val="002B740F"/>
    <w:rsid w:val="002B7656"/>
    <w:rsid w:val="002B77EE"/>
    <w:rsid w:val="002B794B"/>
    <w:rsid w:val="002B7A08"/>
    <w:rsid w:val="002C0286"/>
    <w:rsid w:val="002C0314"/>
    <w:rsid w:val="002C0642"/>
    <w:rsid w:val="002C06C1"/>
    <w:rsid w:val="002C07A9"/>
    <w:rsid w:val="002C082D"/>
    <w:rsid w:val="002C0838"/>
    <w:rsid w:val="002C08A5"/>
    <w:rsid w:val="002C0A8E"/>
    <w:rsid w:val="002C0FCA"/>
    <w:rsid w:val="002C0FD1"/>
    <w:rsid w:val="002C104C"/>
    <w:rsid w:val="002C1120"/>
    <w:rsid w:val="002C16BC"/>
    <w:rsid w:val="002C1896"/>
    <w:rsid w:val="002C18D3"/>
    <w:rsid w:val="002C19B8"/>
    <w:rsid w:val="002C1A57"/>
    <w:rsid w:val="002C1B65"/>
    <w:rsid w:val="002C1CB8"/>
    <w:rsid w:val="002C1D09"/>
    <w:rsid w:val="002C1D7F"/>
    <w:rsid w:val="002C1EFB"/>
    <w:rsid w:val="002C209C"/>
    <w:rsid w:val="002C216F"/>
    <w:rsid w:val="002C27F9"/>
    <w:rsid w:val="002C28AB"/>
    <w:rsid w:val="002C2AAF"/>
    <w:rsid w:val="002C2B55"/>
    <w:rsid w:val="002C2F75"/>
    <w:rsid w:val="002C2FC6"/>
    <w:rsid w:val="002C30C4"/>
    <w:rsid w:val="002C3143"/>
    <w:rsid w:val="002C31F5"/>
    <w:rsid w:val="002C3254"/>
    <w:rsid w:val="002C3534"/>
    <w:rsid w:val="002C362D"/>
    <w:rsid w:val="002C3699"/>
    <w:rsid w:val="002C37F3"/>
    <w:rsid w:val="002C3852"/>
    <w:rsid w:val="002C3C30"/>
    <w:rsid w:val="002C3DBF"/>
    <w:rsid w:val="002C3ECC"/>
    <w:rsid w:val="002C42F4"/>
    <w:rsid w:val="002C4326"/>
    <w:rsid w:val="002C4433"/>
    <w:rsid w:val="002C449C"/>
    <w:rsid w:val="002C46F9"/>
    <w:rsid w:val="002C482A"/>
    <w:rsid w:val="002C4B71"/>
    <w:rsid w:val="002C4F2A"/>
    <w:rsid w:val="002C4FBD"/>
    <w:rsid w:val="002C5092"/>
    <w:rsid w:val="002C5352"/>
    <w:rsid w:val="002C5382"/>
    <w:rsid w:val="002C5478"/>
    <w:rsid w:val="002C5543"/>
    <w:rsid w:val="002C57D6"/>
    <w:rsid w:val="002C6201"/>
    <w:rsid w:val="002C62D6"/>
    <w:rsid w:val="002C643F"/>
    <w:rsid w:val="002C6A55"/>
    <w:rsid w:val="002C6C1A"/>
    <w:rsid w:val="002C6C58"/>
    <w:rsid w:val="002C7211"/>
    <w:rsid w:val="002C72A6"/>
    <w:rsid w:val="002C76B1"/>
    <w:rsid w:val="002C7834"/>
    <w:rsid w:val="002C7844"/>
    <w:rsid w:val="002C7C7A"/>
    <w:rsid w:val="002C7D96"/>
    <w:rsid w:val="002C7FEF"/>
    <w:rsid w:val="002D01E2"/>
    <w:rsid w:val="002D0338"/>
    <w:rsid w:val="002D0447"/>
    <w:rsid w:val="002D0521"/>
    <w:rsid w:val="002D0632"/>
    <w:rsid w:val="002D08C6"/>
    <w:rsid w:val="002D0E6E"/>
    <w:rsid w:val="002D0F7F"/>
    <w:rsid w:val="002D0FFD"/>
    <w:rsid w:val="002D1018"/>
    <w:rsid w:val="002D1221"/>
    <w:rsid w:val="002D1381"/>
    <w:rsid w:val="002D150E"/>
    <w:rsid w:val="002D17B9"/>
    <w:rsid w:val="002D1912"/>
    <w:rsid w:val="002D1B4F"/>
    <w:rsid w:val="002D1B65"/>
    <w:rsid w:val="002D1B8D"/>
    <w:rsid w:val="002D1CCD"/>
    <w:rsid w:val="002D1EE2"/>
    <w:rsid w:val="002D25A6"/>
    <w:rsid w:val="002D2725"/>
    <w:rsid w:val="002D28A6"/>
    <w:rsid w:val="002D2A12"/>
    <w:rsid w:val="002D2B46"/>
    <w:rsid w:val="002D31E5"/>
    <w:rsid w:val="002D32D0"/>
    <w:rsid w:val="002D380E"/>
    <w:rsid w:val="002D3892"/>
    <w:rsid w:val="002D3BD1"/>
    <w:rsid w:val="002D41B1"/>
    <w:rsid w:val="002D422E"/>
    <w:rsid w:val="002D458D"/>
    <w:rsid w:val="002D478D"/>
    <w:rsid w:val="002D47A3"/>
    <w:rsid w:val="002D47FE"/>
    <w:rsid w:val="002D49A8"/>
    <w:rsid w:val="002D4D0E"/>
    <w:rsid w:val="002D4D54"/>
    <w:rsid w:val="002D4D5F"/>
    <w:rsid w:val="002D5011"/>
    <w:rsid w:val="002D508E"/>
    <w:rsid w:val="002D533B"/>
    <w:rsid w:val="002D55B1"/>
    <w:rsid w:val="002D5688"/>
    <w:rsid w:val="002D56DA"/>
    <w:rsid w:val="002D5A24"/>
    <w:rsid w:val="002D5A4B"/>
    <w:rsid w:val="002D5B9B"/>
    <w:rsid w:val="002D5BB4"/>
    <w:rsid w:val="002D5D4E"/>
    <w:rsid w:val="002D5E87"/>
    <w:rsid w:val="002D5EDA"/>
    <w:rsid w:val="002D5F5B"/>
    <w:rsid w:val="002D604B"/>
    <w:rsid w:val="002D6361"/>
    <w:rsid w:val="002D69EC"/>
    <w:rsid w:val="002D6A39"/>
    <w:rsid w:val="002D6DDD"/>
    <w:rsid w:val="002D6E2F"/>
    <w:rsid w:val="002D6FC1"/>
    <w:rsid w:val="002D7056"/>
    <w:rsid w:val="002D70BD"/>
    <w:rsid w:val="002D70FB"/>
    <w:rsid w:val="002D7132"/>
    <w:rsid w:val="002D7208"/>
    <w:rsid w:val="002D724D"/>
    <w:rsid w:val="002D7392"/>
    <w:rsid w:val="002D73A6"/>
    <w:rsid w:val="002D77C7"/>
    <w:rsid w:val="002D7959"/>
    <w:rsid w:val="002D796E"/>
    <w:rsid w:val="002D79DE"/>
    <w:rsid w:val="002D7C6D"/>
    <w:rsid w:val="002E0026"/>
    <w:rsid w:val="002E0198"/>
    <w:rsid w:val="002E02DA"/>
    <w:rsid w:val="002E038F"/>
    <w:rsid w:val="002E0573"/>
    <w:rsid w:val="002E0697"/>
    <w:rsid w:val="002E085D"/>
    <w:rsid w:val="002E09E9"/>
    <w:rsid w:val="002E0A92"/>
    <w:rsid w:val="002E0ACC"/>
    <w:rsid w:val="002E0B85"/>
    <w:rsid w:val="002E0DBE"/>
    <w:rsid w:val="002E0EE6"/>
    <w:rsid w:val="002E0F05"/>
    <w:rsid w:val="002E0F28"/>
    <w:rsid w:val="002E0F2E"/>
    <w:rsid w:val="002E1016"/>
    <w:rsid w:val="002E11A0"/>
    <w:rsid w:val="002E12BF"/>
    <w:rsid w:val="002E13A8"/>
    <w:rsid w:val="002E18C4"/>
    <w:rsid w:val="002E19C3"/>
    <w:rsid w:val="002E1D7C"/>
    <w:rsid w:val="002E2073"/>
    <w:rsid w:val="002E20F8"/>
    <w:rsid w:val="002E2160"/>
    <w:rsid w:val="002E2221"/>
    <w:rsid w:val="002E2344"/>
    <w:rsid w:val="002E25C9"/>
    <w:rsid w:val="002E27E8"/>
    <w:rsid w:val="002E2900"/>
    <w:rsid w:val="002E2ACD"/>
    <w:rsid w:val="002E2E46"/>
    <w:rsid w:val="002E33D0"/>
    <w:rsid w:val="002E3563"/>
    <w:rsid w:val="002E3881"/>
    <w:rsid w:val="002E3952"/>
    <w:rsid w:val="002E3A23"/>
    <w:rsid w:val="002E3B3F"/>
    <w:rsid w:val="002E4039"/>
    <w:rsid w:val="002E4189"/>
    <w:rsid w:val="002E42FC"/>
    <w:rsid w:val="002E4537"/>
    <w:rsid w:val="002E46A2"/>
    <w:rsid w:val="002E4A80"/>
    <w:rsid w:val="002E53A1"/>
    <w:rsid w:val="002E54B7"/>
    <w:rsid w:val="002E5786"/>
    <w:rsid w:val="002E5958"/>
    <w:rsid w:val="002E5C22"/>
    <w:rsid w:val="002E5CEE"/>
    <w:rsid w:val="002E604B"/>
    <w:rsid w:val="002E608C"/>
    <w:rsid w:val="002E60B1"/>
    <w:rsid w:val="002E630D"/>
    <w:rsid w:val="002E63ED"/>
    <w:rsid w:val="002E640B"/>
    <w:rsid w:val="002E6652"/>
    <w:rsid w:val="002E6A6D"/>
    <w:rsid w:val="002E6C81"/>
    <w:rsid w:val="002E6DF1"/>
    <w:rsid w:val="002E6E2C"/>
    <w:rsid w:val="002E6F5E"/>
    <w:rsid w:val="002E710B"/>
    <w:rsid w:val="002E712A"/>
    <w:rsid w:val="002E7229"/>
    <w:rsid w:val="002E7712"/>
    <w:rsid w:val="002E7882"/>
    <w:rsid w:val="002E7A14"/>
    <w:rsid w:val="002E7CAF"/>
    <w:rsid w:val="002E7D15"/>
    <w:rsid w:val="002E7FF1"/>
    <w:rsid w:val="002F000B"/>
    <w:rsid w:val="002F0104"/>
    <w:rsid w:val="002F01D3"/>
    <w:rsid w:val="002F031A"/>
    <w:rsid w:val="002F0467"/>
    <w:rsid w:val="002F0672"/>
    <w:rsid w:val="002F06AA"/>
    <w:rsid w:val="002F0B29"/>
    <w:rsid w:val="002F0B72"/>
    <w:rsid w:val="002F0E43"/>
    <w:rsid w:val="002F0EE3"/>
    <w:rsid w:val="002F10EA"/>
    <w:rsid w:val="002F127B"/>
    <w:rsid w:val="002F166B"/>
    <w:rsid w:val="002F1786"/>
    <w:rsid w:val="002F18DC"/>
    <w:rsid w:val="002F1A31"/>
    <w:rsid w:val="002F1B13"/>
    <w:rsid w:val="002F1E31"/>
    <w:rsid w:val="002F1ED4"/>
    <w:rsid w:val="002F1F53"/>
    <w:rsid w:val="002F20AE"/>
    <w:rsid w:val="002F2249"/>
    <w:rsid w:val="002F2481"/>
    <w:rsid w:val="002F2515"/>
    <w:rsid w:val="002F2634"/>
    <w:rsid w:val="002F2702"/>
    <w:rsid w:val="002F277B"/>
    <w:rsid w:val="002F28F8"/>
    <w:rsid w:val="002F2B83"/>
    <w:rsid w:val="002F2CE7"/>
    <w:rsid w:val="002F2F08"/>
    <w:rsid w:val="002F2F52"/>
    <w:rsid w:val="002F2F65"/>
    <w:rsid w:val="002F33AA"/>
    <w:rsid w:val="002F33F5"/>
    <w:rsid w:val="002F34CD"/>
    <w:rsid w:val="002F361F"/>
    <w:rsid w:val="002F3677"/>
    <w:rsid w:val="002F374C"/>
    <w:rsid w:val="002F3896"/>
    <w:rsid w:val="002F3991"/>
    <w:rsid w:val="002F3BC3"/>
    <w:rsid w:val="002F3C4A"/>
    <w:rsid w:val="002F3DE3"/>
    <w:rsid w:val="002F3EE2"/>
    <w:rsid w:val="002F40DF"/>
    <w:rsid w:val="002F449B"/>
    <w:rsid w:val="002F45A7"/>
    <w:rsid w:val="002F45F0"/>
    <w:rsid w:val="002F46EC"/>
    <w:rsid w:val="002F47C1"/>
    <w:rsid w:val="002F4807"/>
    <w:rsid w:val="002F48C4"/>
    <w:rsid w:val="002F48C9"/>
    <w:rsid w:val="002F492C"/>
    <w:rsid w:val="002F4A3E"/>
    <w:rsid w:val="002F4BD3"/>
    <w:rsid w:val="002F4CC8"/>
    <w:rsid w:val="002F4D86"/>
    <w:rsid w:val="002F4E26"/>
    <w:rsid w:val="002F4E2E"/>
    <w:rsid w:val="002F4E63"/>
    <w:rsid w:val="002F50FE"/>
    <w:rsid w:val="002F512A"/>
    <w:rsid w:val="002F522B"/>
    <w:rsid w:val="002F5280"/>
    <w:rsid w:val="002F5323"/>
    <w:rsid w:val="002F5343"/>
    <w:rsid w:val="002F53FF"/>
    <w:rsid w:val="002F5432"/>
    <w:rsid w:val="002F5467"/>
    <w:rsid w:val="002F564B"/>
    <w:rsid w:val="002F56FC"/>
    <w:rsid w:val="002F572C"/>
    <w:rsid w:val="002F58CC"/>
    <w:rsid w:val="002F595B"/>
    <w:rsid w:val="002F59B3"/>
    <w:rsid w:val="002F5A19"/>
    <w:rsid w:val="002F5AB1"/>
    <w:rsid w:val="002F5D69"/>
    <w:rsid w:val="002F5D7C"/>
    <w:rsid w:val="002F5FC7"/>
    <w:rsid w:val="002F6358"/>
    <w:rsid w:val="002F6649"/>
    <w:rsid w:val="002F6A91"/>
    <w:rsid w:val="002F6B04"/>
    <w:rsid w:val="002F6B97"/>
    <w:rsid w:val="002F6D1F"/>
    <w:rsid w:val="002F6E65"/>
    <w:rsid w:val="002F73FF"/>
    <w:rsid w:val="002F75BE"/>
    <w:rsid w:val="002F775A"/>
    <w:rsid w:val="002F77D0"/>
    <w:rsid w:val="002F786C"/>
    <w:rsid w:val="002F79BE"/>
    <w:rsid w:val="002F7A29"/>
    <w:rsid w:val="002F7B26"/>
    <w:rsid w:val="002F7BF6"/>
    <w:rsid w:val="002F7BF9"/>
    <w:rsid w:val="002F7C4B"/>
    <w:rsid w:val="002F7C77"/>
    <w:rsid w:val="002F7C92"/>
    <w:rsid w:val="002F7CAC"/>
    <w:rsid w:val="002F7DD2"/>
    <w:rsid w:val="002F7FA3"/>
    <w:rsid w:val="00300128"/>
    <w:rsid w:val="00300187"/>
    <w:rsid w:val="003008DC"/>
    <w:rsid w:val="00300CB3"/>
    <w:rsid w:val="003010B5"/>
    <w:rsid w:val="003010FC"/>
    <w:rsid w:val="0030119A"/>
    <w:rsid w:val="003011E2"/>
    <w:rsid w:val="003014B2"/>
    <w:rsid w:val="00301D8C"/>
    <w:rsid w:val="00301E45"/>
    <w:rsid w:val="00301E87"/>
    <w:rsid w:val="00301FB8"/>
    <w:rsid w:val="0030213D"/>
    <w:rsid w:val="0030214A"/>
    <w:rsid w:val="00302162"/>
    <w:rsid w:val="003025A0"/>
    <w:rsid w:val="003029AA"/>
    <w:rsid w:val="00302EF3"/>
    <w:rsid w:val="00303095"/>
    <w:rsid w:val="00303272"/>
    <w:rsid w:val="003032F4"/>
    <w:rsid w:val="00303528"/>
    <w:rsid w:val="00303793"/>
    <w:rsid w:val="003038B1"/>
    <w:rsid w:val="00303901"/>
    <w:rsid w:val="0030394B"/>
    <w:rsid w:val="0030421B"/>
    <w:rsid w:val="003042EB"/>
    <w:rsid w:val="0030431A"/>
    <w:rsid w:val="00304452"/>
    <w:rsid w:val="003047FC"/>
    <w:rsid w:val="00304B17"/>
    <w:rsid w:val="00304F73"/>
    <w:rsid w:val="0030514B"/>
    <w:rsid w:val="00305281"/>
    <w:rsid w:val="003053B2"/>
    <w:rsid w:val="003056DC"/>
    <w:rsid w:val="0030577C"/>
    <w:rsid w:val="00305930"/>
    <w:rsid w:val="00305E0B"/>
    <w:rsid w:val="00305F3C"/>
    <w:rsid w:val="0030632F"/>
    <w:rsid w:val="00306497"/>
    <w:rsid w:val="00306771"/>
    <w:rsid w:val="003068E7"/>
    <w:rsid w:val="0030697D"/>
    <w:rsid w:val="00306C72"/>
    <w:rsid w:val="00306D72"/>
    <w:rsid w:val="0030703A"/>
    <w:rsid w:val="00307083"/>
    <w:rsid w:val="00307181"/>
    <w:rsid w:val="0030726F"/>
    <w:rsid w:val="003072C6"/>
    <w:rsid w:val="0030756B"/>
    <w:rsid w:val="003076C8"/>
    <w:rsid w:val="00307A26"/>
    <w:rsid w:val="00307B69"/>
    <w:rsid w:val="00307F65"/>
    <w:rsid w:val="00310093"/>
    <w:rsid w:val="00310245"/>
    <w:rsid w:val="003103C6"/>
    <w:rsid w:val="003103FD"/>
    <w:rsid w:val="00310498"/>
    <w:rsid w:val="00310557"/>
    <w:rsid w:val="003105AD"/>
    <w:rsid w:val="0031073D"/>
    <w:rsid w:val="00310D8E"/>
    <w:rsid w:val="00310E8F"/>
    <w:rsid w:val="003112BE"/>
    <w:rsid w:val="003114CA"/>
    <w:rsid w:val="00311811"/>
    <w:rsid w:val="00311844"/>
    <w:rsid w:val="00311AB8"/>
    <w:rsid w:val="00311B71"/>
    <w:rsid w:val="003125B2"/>
    <w:rsid w:val="00312856"/>
    <w:rsid w:val="003128E9"/>
    <w:rsid w:val="003129A1"/>
    <w:rsid w:val="00312A88"/>
    <w:rsid w:val="00312AA6"/>
    <w:rsid w:val="00312B7D"/>
    <w:rsid w:val="003131B9"/>
    <w:rsid w:val="003134B6"/>
    <w:rsid w:val="00313666"/>
    <w:rsid w:val="0031393B"/>
    <w:rsid w:val="00313D82"/>
    <w:rsid w:val="00313F17"/>
    <w:rsid w:val="00314082"/>
    <w:rsid w:val="00314430"/>
    <w:rsid w:val="003150D2"/>
    <w:rsid w:val="003156BE"/>
    <w:rsid w:val="0031598D"/>
    <w:rsid w:val="00315BBD"/>
    <w:rsid w:val="00315BD4"/>
    <w:rsid w:val="00315C17"/>
    <w:rsid w:val="00315DD6"/>
    <w:rsid w:val="0031607A"/>
    <w:rsid w:val="00316163"/>
    <w:rsid w:val="00316197"/>
    <w:rsid w:val="003162AD"/>
    <w:rsid w:val="00316335"/>
    <w:rsid w:val="0031659F"/>
    <w:rsid w:val="0031663F"/>
    <w:rsid w:val="00316888"/>
    <w:rsid w:val="0031689E"/>
    <w:rsid w:val="003168E1"/>
    <w:rsid w:val="00316984"/>
    <w:rsid w:val="00316A38"/>
    <w:rsid w:val="00316B56"/>
    <w:rsid w:val="00316B99"/>
    <w:rsid w:val="00316CFC"/>
    <w:rsid w:val="0031700E"/>
    <w:rsid w:val="00317090"/>
    <w:rsid w:val="003170F4"/>
    <w:rsid w:val="003171D1"/>
    <w:rsid w:val="0031748E"/>
    <w:rsid w:val="003174C6"/>
    <w:rsid w:val="003174CA"/>
    <w:rsid w:val="0031753A"/>
    <w:rsid w:val="00317563"/>
    <w:rsid w:val="00317618"/>
    <w:rsid w:val="00317970"/>
    <w:rsid w:val="00317AE4"/>
    <w:rsid w:val="00317CAF"/>
    <w:rsid w:val="00320075"/>
    <w:rsid w:val="0032015C"/>
    <w:rsid w:val="00320293"/>
    <w:rsid w:val="00320443"/>
    <w:rsid w:val="003204BF"/>
    <w:rsid w:val="00320AF2"/>
    <w:rsid w:val="00320C13"/>
    <w:rsid w:val="00321383"/>
    <w:rsid w:val="0032154F"/>
    <w:rsid w:val="00321688"/>
    <w:rsid w:val="003216A1"/>
    <w:rsid w:val="00321954"/>
    <w:rsid w:val="0032196F"/>
    <w:rsid w:val="00322037"/>
    <w:rsid w:val="00322231"/>
    <w:rsid w:val="00322569"/>
    <w:rsid w:val="00322613"/>
    <w:rsid w:val="00322713"/>
    <w:rsid w:val="00322722"/>
    <w:rsid w:val="00322785"/>
    <w:rsid w:val="003227D7"/>
    <w:rsid w:val="00322947"/>
    <w:rsid w:val="00322B4A"/>
    <w:rsid w:val="00322CC2"/>
    <w:rsid w:val="00322D4C"/>
    <w:rsid w:val="00322E1B"/>
    <w:rsid w:val="00322F36"/>
    <w:rsid w:val="00323189"/>
    <w:rsid w:val="003232F6"/>
    <w:rsid w:val="003234E3"/>
    <w:rsid w:val="0032358C"/>
    <w:rsid w:val="003236BA"/>
    <w:rsid w:val="00323786"/>
    <w:rsid w:val="00323789"/>
    <w:rsid w:val="00323968"/>
    <w:rsid w:val="00323969"/>
    <w:rsid w:val="00323A82"/>
    <w:rsid w:val="00323B2B"/>
    <w:rsid w:val="00323BFE"/>
    <w:rsid w:val="00324357"/>
    <w:rsid w:val="0032447F"/>
    <w:rsid w:val="00324537"/>
    <w:rsid w:val="0032459A"/>
    <w:rsid w:val="00324A3D"/>
    <w:rsid w:val="003251F3"/>
    <w:rsid w:val="00325381"/>
    <w:rsid w:val="00325590"/>
    <w:rsid w:val="00325893"/>
    <w:rsid w:val="003259E9"/>
    <w:rsid w:val="00325A7C"/>
    <w:rsid w:val="00325B86"/>
    <w:rsid w:val="00325DD4"/>
    <w:rsid w:val="00325F3F"/>
    <w:rsid w:val="00325FF6"/>
    <w:rsid w:val="003260BD"/>
    <w:rsid w:val="0032614F"/>
    <w:rsid w:val="00326857"/>
    <w:rsid w:val="0032690B"/>
    <w:rsid w:val="003270F1"/>
    <w:rsid w:val="00327188"/>
    <w:rsid w:val="003271DC"/>
    <w:rsid w:val="00327246"/>
    <w:rsid w:val="003274EA"/>
    <w:rsid w:val="0032767C"/>
    <w:rsid w:val="003276CF"/>
    <w:rsid w:val="0032793F"/>
    <w:rsid w:val="00327ADD"/>
    <w:rsid w:val="00327B9A"/>
    <w:rsid w:val="00327BE9"/>
    <w:rsid w:val="00327C76"/>
    <w:rsid w:val="00327CBB"/>
    <w:rsid w:val="00327D78"/>
    <w:rsid w:val="00330021"/>
    <w:rsid w:val="00330176"/>
    <w:rsid w:val="003302EF"/>
    <w:rsid w:val="00330519"/>
    <w:rsid w:val="003307D4"/>
    <w:rsid w:val="00330883"/>
    <w:rsid w:val="0033112F"/>
    <w:rsid w:val="003312D2"/>
    <w:rsid w:val="003313D2"/>
    <w:rsid w:val="00331500"/>
    <w:rsid w:val="00331882"/>
    <w:rsid w:val="0033198C"/>
    <w:rsid w:val="00331A33"/>
    <w:rsid w:val="00331A5C"/>
    <w:rsid w:val="00331C4C"/>
    <w:rsid w:val="00331C73"/>
    <w:rsid w:val="00331CB9"/>
    <w:rsid w:val="00331D21"/>
    <w:rsid w:val="00331D2C"/>
    <w:rsid w:val="003320E6"/>
    <w:rsid w:val="00332141"/>
    <w:rsid w:val="00332201"/>
    <w:rsid w:val="00332331"/>
    <w:rsid w:val="003323AD"/>
    <w:rsid w:val="003323F1"/>
    <w:rsid w:val="003324FE"/>
    <w:rsid w:val="003328DD"/>
    <w:rsid w:val="00332A0C"/>
    <w:rsid w:val="00332AD5"/>
    <w:rsid w:val="00332BF4"/>
    <w:rsid w:val="003335C7"/>
    <w:rsid w:val="003335E4"/>
    <w:rsid w:val="0033368B"/>
    <w:rsid w:val="0033372F"/>
    <w:rsid w:val="00333868"/>
    <w:rsid w:val="00333B31"/>
    <w:rsid w:val="00333CA2"/>
    <w:rsid w:val="00333D4C"/>
    <w:rsid w:val="00333D59"/>
    <w:rsid w:val="00333E8B"/>
    <w:rsid w:val="003340DD"/>
    <w:rsid w:val="003341DC"/>
    <w:rsid w:val="0033420A"/>
    <w:rsid w:val="00334564"/>
    <w:rsid w:val="00334696"/>
    <w:rsid w:val="0033473B"/>
    <w:rsid w:val="003347B8"/>
    <w:rsid w:val="003348AB"/>
    <w:rsid w:val="003348B8"/>
    <w:rsid w:val="0033497B"/>
    <w:rsid w:val="00334B54"/>
    <w:rsid w:val="00334CAE"/>
    <w:rsid w:val="00334D67"/>
    <w:rsid w:val="00334D99"/>
    <w:rsid w:val="00334F15"/>
    <w:rsid w:val="003352BE"/>
    <w:rsid w:val="00335513"/>
    <w:rsid w:val="003360B6"/>
    <w:rsid w:val="003360C8"/>
    <w:rsid w:val="00336128"/>
    <w:rsid w:val="0033616F"/>
    <w:rsid w:val="003361D0"/>
    <w:rsid w:val="0033620B"/>
    <w:rsid w:val="0033628D"/>
    <w:rsid w:val="00336537"/>
    <w:rsid w:val="00336631"/>
    <w:rsid w:val="003368A2"/>
    <w:rsid w:val="003368C8"/>
    <w:rsid w:val="00336950"/>
    <w:rsid w:val="00336F2E"/>
    <w:rsid w:val="00337043"/>
    <w:rsid w:val="0033739E"/>
    <w:rsid w:val="00337473"/>
    <w:rsid w:val="00337734"/>
    <w:rsid w:val="00337E73"/>
    <w:rsid w:val="003402D5"/>
    <w:rsid w:val="0034033A"/>
    <w:rsid w:val="0034035B"/>
    <w:rsid w:val="0034094A"/>
    <w:rsid w:val="00340BF0"/>
    <w:rsid w:val="003412BC"/>
    <w:rsid w:val="00341351"/>
    <w:rsid w:val="003415F6"/>
    <w:rsid w:val="00341BBE"/>
    <w:rsid w:val="00341CFA"/>
    <w:rsid w:val="00341D57"/>
    <w:rsid w:val="00342088"/>
    <w:rsid w:val="0034210F"/>
    <w:rsid w:val="00342179"/>
    <w:rsid w:val="00342239"/>
    <w:rsid w:val="00342676"/>
    <w:rsid w:val="003427CB"/>
    <w:rsid w:val="003429FE"/>
    <w:rsid w:val="00342EA4"/>
    <w:rsid w:val="0034300B"/>
    <w:rsid w:val="0034363E"/>
    <w:rsid w:val="00343733"/>
    <w:rsid w:val="003437D1"/>
    <w:rsid w:val="00343DC2"/>
    <w:rsid w:val="00344170"/>
    <w:rsid w:val="003441BE"/>
    <w:rsid w:val="00344455"/>
    <w:rsid w:val="003448B5"/>
    <w:rsid w:val="00344AD7"/>
    <w:rsid w:val="00344D86"/>
    <w:rsid w:val="00344E29"/>
    <w:rsid w:val="00344F08"/>
    <w:rsid w:val="003450CF"/>
    <w:rsid w:val="003450D3"/>
    <w:rsid w:val="003452DD"/>
    <w:rsid w:val="003454BA"/>
    <w:rsid w:val="003457D6"/>
    <w:rsid w:val="0034596C"/>
    <w:rsid w:val="00345CCA"/>
    <w:rsid w:val="00346394"/>
    <w:rsid w:val="0034660F"/>
    <w:rsid w:val="003467CB"/>
    <w:rsid w:val="003467E9"/>
    <w:rsid w:val="00346A47"/>
    <w:rsid w:val="00346E61"/>
    <w:rsid w:val="003471B7"/>
    <w:rsid w:val="00347246"/>
    <w:rsid w:val="00347439"/>
    <w:rsid w:val="00347459"/>
    <w:rsid w:val="00347548"/>
    <w:rsid w:val="00347653"/>
    <w:rsid w:val="0034769E"/>
    <w:rsid w:val="0034778A"/>
    <w:rsid w:val="003477FA"/>
    <w:rsid w:val="00347A10"/>
    <w:rsid w:val="00347CC0"/>
    <w:rsid w:val="00347FF3"/>
    <w:rsid w:val="00350213"/>
    <w:rsid w:val="00350478"/>
    <w:rsid w:val="0035062D"/>
    <w:rsid w:val="003509F3"/>
    <w:rsid w:val="00350C3E"/>
    <w:rsid w:val="00350F1E"/>
    <w:rsid w:val="0035106A"/>
    <w:rsid w:val="003515F8"/>
    <w:rsid w:val="003516FB"/>
    <w:rsid w:val="00351974"/>
    <w:rsid w:val="0035197F"/>
    <w:rsid w:val="003519A3"/>
    <w:rsid w:val="00351A0D"/>
    <w:rsid w:val="00351A6F"/>
    <w:rsid w:val="00351B16"/>
    <w:rsid w:val="00351D36"/>
    <w:rsid w:val="00351EFC"/>
    <w:rsid w:val="0035229F"/>
    <w:rsid w:val="00352895"/>
    <w:rsid w:val="00352E3C"/>
    <w:rsid w:val="00352E48"/>
    <w:rsid w:val="0035385B"/>
    <w:rsid w:val="00353865"/>
    <w:rsid w:val="003539A3"/>
    <w:rsid w:val="00353A3F"/>
    <w:rsid w:val="00353AC9"/>
    <w:rsid w:val="00353DF0"/>
    <w:rsid w:val="00353EA0"/>
    <w:rsid w:val="003540F7"/>
    <w:rsid w:val="003544AC"/>
    <w:rsid w:val="003544C7"/>
    <w:rsid w:val="003546AA"/>
    <w:rsid w:val="003546CB"/>
    <w:rsid w:val="00354C52"/>
    <w:rsid w:val="003553E8"/>
    <w:rsid w:val="0035544F"/>
    <w:rsid w:val="003555BE"/>
    <w:rsid w:val="003557FE"/>
    <w:rsid w:val="00355886"/>
    <w:rsid w:val="00355A31"/>
    <w:rsid w:val="00355A94"/>
    <w:rsid w:val="00355DF9"/>
    <w:rsid w:val="00355E3B"/>
    <w:rsid w:val="00355F45"/>
    <w:rsid w:val="00355F84"/>
    <w:rsid w:val="0035602E"/>
    <w:rsid w:val="00356097"/>
    <w:rsid w:val="003562C4"/>
    <w:rsid w:val="00356455"/>
    <w:rsid w:val="00356798"/>
    <w:rsid w:val="00356814"/>
    <w:rsid w:val="0035699C"/>
    <w:rsid w:val="00356F34"/>
    <w:rsid w:val="00356FDA"/>
    <w:rsid w:val="00357234"/>
    <w:rsid w:val="00357623"/>
    <w:rsid w:val="00357767"/>
    <w:rsid w:val="0035791A"/>
    <w:rsid w:val="003579D4"/>
    <w:rsid w:val="00357B45"/>
    <w:rsid w:val="00357EE3"/>
    <w:rsid w:val="00357FB9"/>
    <w:rsid w:val="00357FF8"/>
    <w:rsid w:val="00360139"/>
    <w:rsid w:val="00360184"/>
    <w:rsid w:val="003601B9"/>
    <w:rsid w:val="00360443"/>
    <w:rsid w:val="0036050B"/>
    <w:rsid w:val="003605F4"/>
    <w:rsid w:val="0036081D"/>
    <w:rsid w:val="00360824"/>
    <w:rsid w:val="003609C1"/>
    <w:rsid w:val="00360A41"/>
    <w:rsid w:val="00360E45"/>
    <w:rsid w:val="003613AA"/>
    <w:rsid w:val="0036188F"/>
    <w:rsid w:val="003618F8"/>
    <w:rsid w:val="00361CF7"/>
    <w:rsid w:val="00361DD6"/>
    <w:rsid w:val="00361F2B"/>
    <w:rsid w:val="00361F2E"/>
    <w:rsid w:val="00361FD4"/>
    <w:rsid w:val="003620DD"/>
    <w:rsid w:val="003622C6"/>
    <w:rsid w:val="003623B7"/>
    <w:rsid w:val="00362672"/>
    <w:rsid w:val="00362810"/>
    <w:rsid w:val="0036282D"/>
    <w:rsid w:val="003629FF"/>
    <w:rsid w:val="00362D2B"/>
    <w:rsid w:val="00362F1B"/>
    <w:rsid w:val="00363B05"/>
    <w:rsid w:val="00363B9E"/>
    <w:rsid w:val="00363C00"/>
    <w:rsid w:val="00363CFC"/>
    <w:rsid w:val="00363E7C"/>
    <w:rsid w:val="00363FAB"/>
    <w:rsid w:val="0036401A"/>
    <w:rsid w:val="003640C3"/>
    <w:rsid w:val="003641FB"/>
    <w:rsid w:val="003642D6"/>
    <w:rsid w:val="00364331"/>
    <w:rsid w:val="003643AC"/>
    <w:rsid w:val="00364426"/>
    <w:rsid w:val="00364428"/>
    <w:rsid w:val="0036465A"/>
    <w:rsid w:val="003646A7"/>
    <w:rsid w:val="0036477D"/>
    <w:rsid w:val="00364786"/>
    <w:rsid w:val="003648D3"/>
    <w:rsid w:val="0036494C"/>
    <w:rsid w:val="00364A09"/>
    <w:rsid w:val="00364AEF"/>
    <w:rsid w:val="00364C43"/>
    <w:rsid w:val="00364D9E"/>
    <w:rsid w:val="00364E84"/>
    <w:rsid w:val="00364EE3"/>
    <w:rsid w:val="00365166"/>
    <w:rsid w:val="00365730"/>
    <w:rsid w:val="003658DF"/>
    <w:rsid w:val="0036594E"/>
    <w:rsid w:val="003659B5"/>
    <w:rsid w:val="00365B82"/>
    <w:rsid w:val="00365C33"/>
    <w:rsid w:val="00365D53"/>
    <w:rsid w:val="0036603C"/>
    <w:rsid w:val="003660B7"/>
    <w:rsid w:val="0036629D"/>
    <w:rsid w:val="003663D5"/>
    <w:rsid w:val="0036677D"/>
    <w:rsid w:val="0036679E"/>
    <w:rsid w:val="003668A2"/>
    <w:rsid w:val="00366BA0"/>
    <w:rsid w:val="00366BA4"/>
    <w:rsid w:val="00366D91"/>
    <w:rsid w:val="00366EEC"/>
    <w:rsid w:val="00366F2C"/>
    <w:rsid w:val="00366FC5"/>
    <w:rsid w:val="00367360"/>
    <w:rsid w:val="00367668"/>
    <w:rsid w:val="0036779F"/>
    <w:rsid w:val="003677C5"/>
    <w:rsid w:val="00367819"/>
    <w:rsid w:val="00367CF7"/>
    <w:rsid w:val="0037046E"/>
    <w:rsid w:val="003705FA"/>
    <w:rsid w:val="00370A7B"/>
    <w:rsid w:val="00370CFB"/>
    <w:rsid w:val="00370D2B"/>
    <w:rsid w:val="00370D67"/>
    <w:rsid w:val="00371081"/>
    <w:rsid w:val="0037109B"/>
    <w:rsid w:val="0037109E"/>
    <w:rsid w:val="0037139D"/>
    <w:rsid w:val="003714F9"/>
    <w:rsid w:val="0037167C"/>
    <w:rsid w:val="003717E5"/>
    <w:rsid w:val="00371C0A"/>
    <w:rsid w:val="00371FE6"/>
    <w:rsid w:val="00372078"/>
    <w:rsid w:val="00372115"/>
    <w:rsid w:val="00372137"/>
    <w:rsid w:val="00372246"/>
    <w:rsid w:val="003722FB"/>
    <w:rsid w:val="003724EE"/>
    <w:rsid w:val="003727EC"/>
    <w:rsid w:val="00372B5A"/>
    <w:rsid w:val="00372B97"/>
    <w:rsid w:val="00372D92"/>
    <w:rsid w:val="00372DE5"/>
    <w:rsid w:val="00372F10"/>
    <w:rsid w:val="00372FCD"/>
    <w:rsid w:val="0037341B"/>
    <w:rsid w:val="00373757"/>
    <w:rsid w:val="00373D12"/>
    <w:rsid w:val="00373D93"/>
    <w:rsid w:val="00373E81"/>
    <w:rsid w:val="00373EB8"/>
    <w:rsid w:val="00374144"/>
    <w:rsid w:val="003741E7"/>
    <w:rsid w:val="0037440F"/>
    <w:rsid w:val="0037464F"/>
    <w:rsid w:val="00374A67"/>
    <w:rsid w:val="00374E25"/>
    <w:rsid w:val="00374F82"/>
    <w:rsid w:val="003750F6"/>
    <w:rsid w:val="003752EB"/>
    <w:rsid w:val="00375345"/>
    <w:rsid w:val="0037538F"/>
    <w:rsid w:val="0037544B"/>
    <w:rsid w:val="0037594C"/>
    <w:rsid w:val="00375A48"/>
    <w:rsid w:val="00375CF9"/>
    <w:rsid w:val="00375F47"/>
    <w:rsid w:val="00376070"/>
    <w:rsid w:val="0037616B"/>
    <w:rsid w:val="003763DE"/>
    <w:rsid w:val="00376802"/>
    <w:rsid w:val="00376875"/>
    <w:rsid w:val="00376B72"/>
    <w:rsid w:val="00376D50"/>
    <w:rsid w:val="00376D62"/>
    <w:rsid w:val="003770E6"/>
    <w:rsid w:val="003773BC"/>
    <w:rsid w:val="00377433"/>
    <w:rsid w:val="003776FC"/>
    <w:rsid w:val="00377705"/>
    <w:rsid w:val="00377C29"/>
    <w:rsid w:val="00377DE9"/>
    <w:rsid w:val="00377FD4"/>
    <w:rsid w:val="00380131"/>
    <w:rsid w:val="00380156"/>
    <w:rsid w:val="0038019F"/>
    <w:rsid w:val="00380270"/>
    <w:rsid w:val="00380326"/>
    <w:rsid w:val="003806C8"/>
    <w:rsid w:val="003808BE"/>
    <w:rsid w:val="00380ADD"/>
    <w:rsid w:val="00380B0B"/>
    <w:rsid w:val="00380CA6"/>
    <w:rsid w:val="00380FB3"/>
    <w:rsid w:val="00381229"/>
    <w:rsid w:val="0038139B"/>
    <w:rsid w:val="003814B0"/>
    <w:rsid w:val="003815EC"/>
    <w:rsid w:val="00381708"/>
    <w:rsid w:val="003817BA"/>
    <w:rsid w:val="003819A6"/>
    <w:rsid w:val="00381B2F"/>
    <w:rsid w:val="00381C49"/>
    <w:rsid w:val="00381E8E"/>
    <w:rsid w:val="00381F17"/>
    <w:rsid w:val="00382071"/>
    <w:rsid w:val="00382213"/>
    <w:rsid w:val="0038280D"/>
    <w:rsid w:val="00382813"/>
    <w:rsid w:val="003829CC"/>
    <w:rsid w:val="00382E49"/>
    <w:rsid w:val="00382F59"/>
    <w:rsid w:val="0038311C"/>
    <w:rsid w:val="0038346F"/>
    <w:rsid w:val="003836D4"/>
    <w:rsid w:val="00383721"/>
    <w:rsid w:val="003837B9"/>
    <w:rsid w:val="00383814"/>
    <w:rsid w:val="0038394C"/>
    <w:rsid w:val="00383E7C"/>
    <w:rsid w:val="003841CC"/>
    <w:rsid w:val="0038434A"/>
    <w:rsid w:val="00384631"/>
    <w:rsid w:val="003846A6"/>
    <w:rsid w:val="003848C6"/>
    <w:rsid w:val="003849ED"/>
    <w:rsid w:val="00384ADD"/>
    <w:rsid w:val="00384BA4"/>
    <w:rsid w:val="00384CE7"/>
    <w:rsid w:val="00385023"/>
    <w:rsid w:val="003851E6"/>
    <w:rsid w:val="00385674"/>
    <w:rsid w:val="003857AA"/>
    <w:rsid w:val="003857C4"/>
    <w:rsid w:val="00385A95"/>
    <w:rsid w:val="00385AB1"/>
    <w:rsid w:val="00385B63"/>
    <w:rsid w:val="00385FBA"/>
    <w:rsid w:val="003860F8"/>
    <w:rsid w:val="0038630F"/>
    <w:rsid w:val="00386310"/>
    <w:rsid w:val="00386719"/>
    <w:rsid w:val="0038677C"/>
    <w:rsid w:val="003869EC"/>
    <w:rsid w:val="00386C6E"/>
    <w:rsid w:val="00387099"/>
    <w:rsid w:val="00387398"/>
    <w:rsid w:val="00387511"/>
    <w:rsid w:val="00387540"/>
    <w:rsid w:val="0038756E"/>
    <w:rsid w:val="003878BE"/>
    <w:rsid w:val="00387979"/>
    <w:rsid w:val="00387A7B"/>
    <w:rsid w:val="00387B77"/>
    <w:rsid w:val="00387C06"/>
    <w:rsid w:val="00387D5C"/>
    <w:rsid w:val="00387EF5"/>
    <w:rsid w:val="00387FBE"/>
    <w:rsid w:val="00387FDB"/>
    <w:rsid w:val="0038BAE9"/>
    <w:rsid w:val="00390013"/>
    <w:rsid w:val="003902D1"/>
    <w:rsid w:val="00390382"/>
    <w:rsid w:val="00390440"/>
    <w:rsid w:val="003904B9"/>
    <w:rsid w:val="003904D5"/>
    <w:rsid w:val="0039063E"/>
    <w:rsid w:val="00390761"/>
    <w:rsid w:val="00390928"/>
    <w:rsid w:val="00390A2F"/>
    <w:rsid w:val="00390B53"/>
    <w:rsid w:val="00390D2C"/>
    <w:rsid w:val="00390EF2"/>
    <w:rsid w:val="00390EF6"/>
    <w:rsid w:val="00390FD0"/>
    <w:rsid w:val="0039111C"/>
    <w:rsid w:val="00391316"/>
    <w:rsid w:val="003917EB"/>
    <w:rsid w:val="00391B40"/>
    <w:rsid w:val="0039202F"/>
    <w:rsid w:val="003922EB"/>
    <w:rsid w:val="00392395"/>
    <w:rsid w:val="003923AF"/>
    <w:rsid w:val="0039240C"/>
    <w:rsid w:val="003924C9"/>
    <w:rsid w:val="003926F6"/>
    <w:rsid w:val="00392744"/>
    <w:rsid w:val="00392B65"/>
    <w:rsid w:val="00392C8A"/>
    <w:rsid w:val="0039339C"/>
    <w:rsid w:val="003939BC"/>
    <w:rsid w:val="00393D85"/>
    <w:rsid w:val="003941C7"/>
    <w:rsid w:val="00394320"/>
    <w:rsid w:val="003944DD"/>
    <w:rsid w:val="00394504"/>
    <w:rsid w:val="003945C1"/>
    <w:rsid w:val="003945C9"/>
    <w:rsid w:val="003945D1"/>
    <w:rsid w:val="003946F1"/>
    <w:rsid w:val="003947DB"/>
    <w:rsid w:val="003948B2"/>
    <w:rsid w:val="00394900"/>
    <w:rsid w:val="00394AC7"/>
    <w:rsid w:val="0039519F"/>
    <w:rsid w:val="003951B2"/>
    <w:rsid w:val="00395349"/>
    <w:rsid w:val="00395872"/>
    <w:rsid w:val="00395884"/>
    <w:rsid w:val="0039592B"/>
    <w:rsid w:val="00395EF5"/>
    <w:rsid w:val="003962C7"/>
    <w:rsid w:val="0039631A"/>
    <w:rsid w:val="00396411"/>
    <w:rsid w:val="0039654A"/>
    <w:rsid w:val="0039680E"/>
    <w:rsid w:val="00396965"/>
    <w:rsid w:val="00396F6C"/>
    <w:rsid w:val="00397272"/>
    <w:rsid w:val="003972B2"/>
    <w:rsid w:val="00397913"/>
    <w:rsid w:val="0039798A"/>
    <w:rsid w:val="00397999"/>
    <w:rsid w:val="00397B12"/>
    <w:rsid w:val="00397C34"/>
    <w:rsid w:val="00397DA6"/>
    <w:rsid w:val="00397F52"/>
    <w:rsid w:val="00397F78"/>
    <w:rsid w:val="003A0178"/>
    <w:rsid w:val="003A0216"/>
    <w:rsid w:val="003A0393"/>
    <w:rsid w:val="003A0461"/>
    <w:rsid w:val="003A05AF"/>
    <w:rsid w:val="003A05EF"/>
    <w:rsid w:val="003A06B6"/>
    <w:rsid w:val="003A095E"/>
    <w:rsid w:val="003A0997"/>
    <w:rsid w:val="003A0BD6"/>
    <w:rsid w:val="003A0BED"/>
    <w:rsid w:val="003A0D5A"/>
    <w:rsid w:val="003A0DD0"/>
    <w:rsid w:val="003A0E93"/>
    <w:rsid w:val="003A1068"/>
    <w:rsid w:val="003A13FA"/>
    <w:rsid w:val="003A1469"/>
    <w:rsid w:val="003A16A4"/>
    <w:rsid w:val="003A18B7"/>
    <w:rsid w:val="003A18BC"/>
    <w:rsid w:val="003A19CC"/>
    <w:rsid w:val="003A1A9D"/>
    <w:rsid w:val="003A1FD5"/>
    <w:rsid w:val="003A214C"/>
    <w:rsid w:val="003A2185"/>
    <w:rsid w:val="003A21C3"/>
    <w:rsid w:val="003A24C5"/>
    <w:rsid w:val="003A2541"/>
    <w:rsid w:val="003A25B4"/>
    <w:rsid w:val="003A2A0A"/>
    <w:rsid w:val="003A2F25"/>
    <w:rsid w:val="003A307A"/>
    <w:rsid w:val="003A3089"/>
    <w:rsid w:val="003A362F"/>
    <w:rsid w:val="003A37CF"/>
    <w:rsid w:val="003A391C"/>
    <w:rsid w:val="003A3944"/>
    <w:rsid w:val="003A394E"/>
    <w:rsid w:val="003A3954"/>
    <w:rsid w:val="003A3A5E"/>
    <w:rsid w:val="003A3BF8"/>
    <w:rsid w:val="003A3C07"/>
    <w:rsid w:val="003A3C74"/>
    <w:rsid w:val="003A3E25"/>
    <w:rsid w:val="003A4571"/>
    <w:rsid w:val="003A4770"/>
    <w:rsid w:val="003A480A"/>
    <w:rsid w:val="003A485B"/>
    <w:rsid w:val="003A4A73"/>
    <w:rsid w:val="003A4AFA"/>
    <w:rsid w:val="003A4C68"/>
    <w:rsid w:val="003A4FE7"/>
    <w:rsid w:val="003A5308"/>
    <w:rsid w:val="003A5441"/>
    <w:rsid w:val="003A54F8"/>
    <w:rsid w:val="003A556A"/>
    <w:rsid w:val="003A567C"/>
    <w:rsid w:val="003A57AE"/>
    <w:rsid w:val="003A594E"/>
    <w:rsid w:val="003A5B3A"/>
    <w:rsid w:val="003A5CEB"/>
    <w:rsid w:val="003A5F7B"/>
    <w:rsid w:val="003A6152"/>
    <w:rsid w:val="003A6322"/>
    <w:rsid w:val="003A65DD"/>
    <w:rsid w:val="003A65FA"/>
    <w:rsid w:val="003A6809"/>
    <w:rsid w:val="003A6966"/>
    <w:rsid w:val="003A6A68"/>
    <w:rsid w:val="003A6C3E"/>
    <w:rsid w:val="003A6C6C"/>
    <w:rsid w:val="003A6C76"/>
    <w:rsid w:val="003A709B"/>
    <w:rsid w:val="003A735B"/>
    <w:rsid w:val="003A74A3"/>
    <w:rsid w:val="003A753D"/>
    <w:rsid w:val="003A7579"/>
    <w:rsid w:val="003A75DC"/>
    <w:rsid w:val="003A76B4"/>
    <w:rsid w:val="003A7702"/>
    <w:rsid w:val="003A7BAB"/>
    <w:rsid w:val="003A7BD5"/>
    <w:rsid w:val="003A7BF2"/>
    <w:rsid w:val="003A7D04"/>
    <w:rsid w:val="003B01F6"/>
    <w:rsid w:val="003B0231"/>
    <w:rsid w:val="003B0475"/>
    <w:rsid w:val="003B0616"/>
    <w:rsid w:val="003B0684"/>
    <w:rsid w:val="003B06D0"/>
    <w:rsid w:val="003B07F4"/>
    <w:rsid w:val="003B0872"/>
    <w:rsid w:val="003B08F1"/>
    <w:rsid w:val="003B0B25"/>
    <w:rsid w:val="003B0D9D"/>
    <w:rsid w:val="003B0F06"/>
    <w:rsid w:val="003B1035"/>
    <w:rsid w:val="003B11C4"/>
    <w:rsid w:val="003B11CE"/>
    <w:rsid w:val="003B1605"/>
    <w:rsid w:val="003B16F5"/>
    <w:rsid w:val="003B18C5"/>
    <w:rsid w:val="003B18F8"/>
    <w:rsid w:val="003B198C"/>
    <w:rsid w:val="003B19BE"/>
    <w:rsid w:val="003B1C98"/>
    <w:rsid w:val="003B1D8B"/>
    <w:rsid w:val="003B1EC2"/>
    <w:rsid w:val="003B1F2D"/>
    <w:rsid w:val="003B217E"/>
    <w:rsid w:val="003B2195"/>
    <w:rsid w:val="003B22E1"/>
    <w:rsid w:val="003B24E3"/>
    <w:rsid w:val="003B25CD"/>
    <w:rsid w:val="003B27F2"/>
    <w:rsid w:val="003B2807"/>
    <w:rsid w:val="003B292B"/>
    <w:rsid w:val="003B2968"/>
    <w:rsid w:val="003B29DA"/>
    <w:rsid w:val="003B2C8C"/>
    <w:rsid w:val="003B32F0"/>
    <w:rsid w:val="003B3358"/>
    <w:rsid w:val="003B3450"/>
    <w:rsid w:val="003B34FB"/>
    <w:rsid w:val="003B3694"/>
    <w:rsid w:val="003B3733"/>
    <w:rsid w:val="003B3AC4"/>
    <w:rsid w:val="003B3C0A"/>
    <w:rsid w:val="003B43AF"/>
    <w:rsid w:val="003B43B6"/>
    <w:rsid w:val="003B4428"/>
    <w:rsid w:val="003B44A1"/>
    <w:rsid w:val="003B4561"/>
    <w:rsid w:val="003B48E0"/>
    <w:rsid w:val="003B4CD4"/>
    <w:rsid w:val="003B4D50"/>
    <w:rsid w:val="003B4E04"/>
    <w:rsid w:val="003B4E7D"/>
    <w:rsid w:val="003B4FD1"/>
    <w:rsid w:val="003B5126"/>
    <w:rsid w:val="003B521C"/>
    <w:rsid w:val="003B52D3"/>
    <w:rsid w:val="003B5313"/>
    <w:rsid w:val="003B5388"/>
    <w:rsid w:val="003B54E5"/>
    <w:rsid w:val="003B550F"/>
    <w:rsid w:val="003B5A06"/>
    <w:rsid w:val="003B5B35"/>
    <w:rsid w:val="003B5B6B"/>
    <w:rsid w:val="003B5CA7"/>
    <w:rsid w:val="003B5DC4"/>
    <w:rsid w:val="003B5E26"/>
    <w:rsid w:val="003B5E7C"/>
    <w:rsid w:val="003B5F1F"/>
    <w:rsid w:val="003B6464"/>
    <w:rsid w:val="003B67E7"/>
    <w:rsid w:val="003B69F1"/>
    <w:rsid w:val="003B6D26"/>
    <w:rsid w:val="003B6D6D"/>
    <w:rsid w:val="003B6E54"/>
    <w:rsid w:val="003B6E8E"/>
    <w:rsid w:val="003B6E9B"/>
    <w:rsid w:val="003B6F20"/>
    <w:rsid w:val="003B6FBF"/>
    <w:rsid w:val="003B73C1"/>
    <w:rsid w:val="003B74BA"/>
    <w:rsid w:val="003B7620"/>
    <w:rsid w:val="003B7704"/>
    <w:rsid w:val="003B7887"/>
    <w:rsid w:val="003B793E"/>
    <w:rsid w:val="003C004E"/>
    <w:rsid w:val="003C01FD"/>
    <w:rsid w:val="003C0473"/>
    <w:rsid w:val="003C0533"/>
    <w:rsid w:val="003C09DF"/>
    <w:rsid w:val="003C0CC3"/>
    <w:rsid w:val="003C10E3"/>
    <w:rsid w:val="003C11C8"/>
    <w:rsid w:val="003C120A"/>
    <w:rsid w:val="003C135E"/>
    <w:rsid w:val="003C146D"/>
    <w:rsid w:val="003C17FF"/>
    <w:rsid w:val="003C19DF"/>
    <w:rsid w:val="003C1A33"/>
    <w:rsid w:val="003C1C00"/>
    <w:rsid w:val="003C1D3F"/>
    <w:rsid w:val="003C1E9A"/>
    <w:rsid w:val="003C1EA1"/>
    <w:rsid w:val="003C1FE1"/>
    <w:rsid w:val="003C2177"/>
    <w:rsid w:val="003C2195"/>
    <w:rsid w:val="003C21E2"/>
    <w:rsid w:val="003C2219"/>
    <w:rsid w:val="003C2259"/>
    <w:rsid w:val="003C240F"/>
    <w:rsid w:val="003C25F4"/>
    <w:rsid w:val="003C27C2"/>
    <w:rsid w:val="003C2EB8"/>
    <w:rsid w:val="003C2EFF"/>
    <w:rsid w:val="003C2FC5"/>
    <w:rsid w:val="003C3004"/>
    <w:rsid w:val="003C3148"/>
    <w:rsid w:val="003C3183"/>
    <w:rsid w:val="003C31AF"/>
    <w:rsid w:val="003C3342"/>
    <w:rsid w:val="003C3503"/>
    <w:rsid w:val="003C3A4C"/>
    <w:rsid w:val="003C3C3B"/>
    <w:rsid w:val="003C3DA0"/>
    <w:rsid w:val="003C3DAE"/>
    <w:rsid w:val="003C3DD1"/>
    <w:rsid w:val="003C3FB1"/>
    <w:rsid w:val="003C449F"/>
    <w:rsid w:val="003C45F9"/>
    <w:rsid w:val="003C4715"/>
    <w:rsid w:val="003C4A6A"/>
    <w:rsid w:val="003C4C56"/>
    <w:rsid w:val="003C4D4A"/>
    <w:rsid w:val="003C5014"/>
    <w:rsid w:val="003C50A6"/>
    <w:rsid w:val="003C5220"/>
    <w:rsid w:val="003C5480"/>
    <w:rsid w:val="003C55A4"/>
    <w:rsid w:val="003C589B"/>
    <w:rsid w:val="003C5FC0"/>
    <w:rsid w:val="003C603B"/>
    <w:rsid w:val="003C6205"/>
    <w:rsid w:val="003C65E7"/>
    <w:rsid w:val="003C65F1"/>
    <w:rsid w:val="003C6687"/>
    <w:rsid w:val="003C66D5"/>
    <w:rsid w:val="003C67B7"/>
    <w:rsid w:val="003C68F2"/>
    <w:rsid w:val="003C6980"/>
    <w:rsid w:val="003C6AC1"/>
    <w:rsid w:val="003C6C66"/>
    <w:rsid w:val="003C6FD5"/>
    <w:rsid w:val="003C70BB"/>
    <w:rsid w:val="003C71A7"/>
    <w:rsid w:val="003C74AD"/>
    <w:rsid w:val="003C76A3"/>
    <w:rsid w:val="003C7878"/>
    <w:rsid w:val="003C7AAA"/>
    <w:rsid w:val="003C7AB5"/>
    <w:rsid w:val="003C7C1E"/>
    <w:rsid w:val="003C7D2D"/>
    <w:rsid w:val="003C7DB7"/>
    <w:rsid w:val="003C7E2C"/>
    <w:rsid w:val="003D0073"/>
    <w:rsid w:val="003D011D"/>
    <w:rsid w:val="003D020E"/>
    <w:rsid w:val="003D029C"/>
    <w:rsid w:val="003D0375"/>
    <w:rsid w:val="003D04D5"/>
    <w:rsid w:val="003D0554"/>
    <w:rsid w:val="003D0768"/>
    <w:rsid w:val="003D07D2"/>
    <w:rsid w:val="003D087E"/>
    <w:rsid w:val="003D0E25"/>
    <w:rsid w:val="003D101C"/>
    <w:rsid w:val="003D1043"/>
    <w:rsid w:val="003D1065"/>
    <w:rsid w:val="003D11B3"/>
    <w:rsid w:val="003D15CD"/>
    <w:rsid w:val="003D16EC"/>
    <w:rsid w:val="003D176C"/>
    <w:rsid w:val="003D17B6"/>
    <w:rsid w:val="003D1902"/>
    <w:rsid w:val="003D19EE"/>
    <w:rsid w:val="003D1A4F"/>
    <w:rsid w:val="003D1AC7"/>
    <w:rsid w:val="003D1BD7"/>
    <w:rsid w:val="003D1C76"/>
    <w:rsid w:val="003D1EA3"/>
    <w:rsid w:val="003D23C9"/>
    <w:rsid w:val="003D246A"/>
    <w:rsid w:val="003D25D4"/>
    <w:rsid w:val="003D28AA"/>
    <w:rsid w:val="003D28F4"/>
    <w:rsid w:val="003D2926"/>
    <w:rsid w:val="003D2A1F"/>
    <w:rsid w:val="003D2BB7"/>
    <w:rsid w:val="003D2CAB"/>
    <w:rsid w:val="003D2D31"/>
    <w:rsid w:val="003D2D76"/>
    <w:rsid w:val="003D2E54"/>
    <w:rsid w:val="003D3096"/>
    <w:rsid w:val="003D321F"/>
    <w:rsid w:val="003D32CD"/>
    <w:rsid w:val="003D35C7"/>
    <w:rsid w:val="003D35E1"/>
    <w:rsid w:val="003D3678"/>
    <w:rsid w:val="003D3680"/>
    <w:rsid w:val="003D37B6"/>
    <w:rsid w:val="003D38F8"/>
    <w:rsid w:val="003D3ABC"/>
    <w:rsid w:val="003D3BCA"/>
    <w:rsid w:val="003D3C05"/>
    <w:rsid w:val="003D3CB2"/>
    <w:rsid w:val="003D41A9"/>
    <w:rsid w:val="003D4308"/>
    <w:rsid w:val="003D44A7"/>
    <w:rsid w:val="003D48D3"/>
    <w:rsid w:val="003D4AE0"/>
    <w:rsid w:val="003D5146"/>
    <w:rsid w:val="003D5323"/>
    <w:rsid w:val="003D55BB"/>
    <w:rsid w:val="003D57C6"/>
    <w:rsid w:val="003D58B8"/>
    <w:rsid w:val="003D5A28"/>
    <w:rsid w:val="003D5BFD"/>
    <w:rsid w:val="003D5CFB"/>
    <w:rsid w:val="003D5DD3"/>
    <w:rsid w:val="003D5F07"/>
    <w:rsid w:val="003D60F2"/>
    <w:rsid w:val="003D627B"/>
    <w:rsid w:val="003D6668"/>
    <w:rsid w:val="003D6907"/>
    <w:rsid w:val="003D69B0"/>
    <w:rsid w:val="003D6D7E"/>
    <w:rsid w:val="003D6D83"/>
    <w:rsid w:val="003D701C"/>
    <w:rsid w:val="003D7277"/>
    <w:rsid w:val="003D74D0"/>
    <w:rsid w:val="003D7B60"/>
    <w:rsid w:val="003D7BD0"/>
    <w:rsid w:val="003D7C1C"/>
    <w:rsid w:val="003E02BC"/>
    <w:rsid w:val="003E0899"/>
    <w:rsid w:val="003E0D59"/>
    <w:rsid w:val="003E0DAB"/>
    <w:rsid w:val="003E0ECE"/>
    <w:rsid w:val="003E1137"/>
    <w:rsid w:val="003E11A8"/>
    <w:rsid w:val="003E1481"/>
    <w:rsid w:val="003E1509"/>
    <w:rsid w:val="003E178C"/>
    <w:rsid w:val="003E180B"/>
    <w:rsid w:val="003E1FDA"/>
    <w:rsid w:val="003E2078"/>
    <w:rsid w:val="003E23E6"/>
    <w:rsid w:val="003E2425"/>
    <w:rsid w:val="003E2431"/>
    <w:rsid w:val="003E243A"/>
    <w:rsid w:val="003E2636"/>
    <w:rsid w:val="003E273D"/>
    <w:rsid w:val="003E276E"/>
    <w:rsid w:val="003E27AC"/>
    <w:rsid w:val="003E290B"/>
    <w:rsid w:val="003E2A46"/>
    <w:rsid w:val="003E2AFE"/>
    <w:rsid w:val="003E2D82"/>
    <w:rsid w:val="003E2E12"/>
    <w:rsid w:val="003E2F05"/>
    <w:rsid w:val="003E3097"/>
    <w:rsid w:val="003E3280"/>
    <w:rsid w:val="003E35D4"/>
    <w:rsid w:val="003E3796"/>
    <w:rsid w:val="003E3832"/>
    <w:rsid w:val="003E3952"/>
    <w:rsid w:val="003E3B66"/>
    <w:rsid w:val="003E3C59"/>
    <w:rsid w:val="003E3D45"/>
    <w:rsid w:val="003E41F9"/>
    <w:rsid w:val="003E42BC"/>
    <w:rsid w:val="003E42D4"/>
    <w:rsid w:val="003E4850"/>
    <w:rsid w:val="003E4917"/>
    <w:rsid w:val="003E4B21"/>
    <w:rsid w:val="003E4D1D"/>
    <w:rsid w:val="003E4D88"/>
    <w:rsid w:val="003E4DA8"/>
    <w:rsid w:val="003E4F71"/>
    <w:rsid w:val="003E58A1"/>
    <w:rsid w:val="003E58F2"/>
    <w:rsid w:val="003E5E00"/>
    <w:rsid w:val="003E5FEC"/>
    <w:rsid w:val="003E62EE"/>
    <w:rsid w:val="003E6611"/>
    <w:rsid w:val="003E6902"/>
    <w:rsid w:val="003E6CA1"/>
    <w:rsid w:val="003E6EBD"/>
    <w:rsid w:val="003E6F0A"/>
    <w:rsid w:val="003E70DB"/>
    <w:rsid w:val="003E7105"/>
    <w:rsid w:val="003E710D"/>
    <w:rsid w:val="003E7159"/>
    <w:rsid w:val="003E7459"/>
    <w:rsid w:val="003E75B4"/>
    <w:rsid w:val="003E7612"/>
    <w:rsid w:val="003E76B7"/>
    <w:rsid w:val="003E76D5"/>
    <w:rsid w:val="003E7B47"/>
    <w:rsid w:val="003E7C29"/>
    <w:rsid w:val="003E7E1E"/>
    <w:rsid w:val="003E7EE7"/>
    <w:rsid w:val="003F0034"/>
    <w:rsid w:val="003F00E1"/>
    <w:rsid w:val="003F0132"/>
    <w:rsid w:val="003F0282"/>
    <w:rsid w:val="003F03A6"/>
    <w:rsid w:val="003F04F0"/>
    <w:rsid w:val="003F0B6D"/>
    <w:rsid w:val="003F0E09"/>
    <w:rsid w:val="003F0E68"/>
    <w:rsid w:val="003F1160"/>
    <w:rsid w:val="003F16F0"/>
    <w:rsid w:val="003F1A30"/>
    <w:rsid w:val="003F1A9C"/>
    <w:rsid w:val="003F1F49"/>
    <w:rsid w:val="003F2361"/>
    <w:rsid w:val="003F2382"/>
    <w:rsid w:val="003F2534"/>
    <w:rsid w:val="003F2BF1"/>
    <w:rsid w:val="003F2CD2"/>
    <w:rsid w:val="003F302F"/>
    <w:rsid w:val="003F3220"/>
    <w:rsid w:val="003F32CE"/>
    <w:rsid w:val="003F357C"/>
    <w:rsid w:val="003F3949"/>
    <w:rsid w:val="003F39CE"/>
    <w:rsid w:val="003F39DB"/>
    <w:rsid w:val="003F3AA4"/>
    <w:rsid w:val="003F3AC7"/>
    <w:rsid w:val="003F3D6D"/>
    <w:rsid w:val="003F3D8E"/>
    <w:rsid w:val="003F3E6C"/>
    <w:rsid w:val="003F415C"/>
    <w:rsid w:val="003F4194"/>
    <w:rsid w:val="003F42EB"/>
    <w:rsid w:val="003F438D"/>
    <w:rsid w:val="003F467B"/>
    <w:rsid w:val="003F4712"/>
    <w:rsid w:val="003F4992"/>
    <w:rsid w:val="003F49C3"/>
    <w:rsid w:val="003F4D97"/>
    <w:rsid w:val="003F5099"/>
    <w:rsid w:val="003F511A"/>
    <w:rsid w:val="003F5191"/>
    <w:rsid w:val="003F5369"/>
    <w:rsid w:val="003F5554"/>
    <w:rsid w:val="003F56D0"/>
    <w:rsid w:val="003F57E9"/>
    <w:rsid w:val="003F5847"/>
    <w:rsid w:val="003F60AA"/>
    <w:rsid w:val="003F6102"/>
    <w:rsid w:val="003F6341"/>
    <w:rsid w:val="003F6494"/>
    <w:rsid w:val="003F670C"/>
    <w:rsid w:val="003F676C"/>
    <w:rsid w:val="003F6B58"/>
    <w:rsid w:val="003F6BD8"/>
    <w:rsid w:val="003F6C30"/>
    <w:rsid w:val="003F706A"/>
    <w:rsid w:val="003F70F0"/>
    <w:rsid w:val="003F7373"/>
    <w:rsid w:val="003F73B8"/>
    <w:rsid w:val="003F76FA"/>
    <w:rsid w:val="003F76FF"/>
    <w:rsid w:val="003F774A"/>
    <w:rsid w:val="003F77F1"/>
    <w:rsid w:val="003F799C"/>
    <w:rsid w:val="003F7E45"/>
    <w:rsid w:val="003F8BE4"/>
    <w:rsid w:val="0040018D"/>
    <w:rsid w:val="0040035E"/>
    <w:rsid w:val="00400623"/>
    <w:rsid w:val="00400673"/>
    <w:rsid w:val="00400996"/>
    <w:rsid w:val="00400A0E"/>
    <w:rsid w:val="00400B16"/>
    <w:rsid w:val="00400CD1"/>
    <w:rsid w:val="00400E87"/>
    <w:rsid w:val="00400EC4"/>
    <w:rsid w:val="004010B3"/>
    <w:rsid w:val="004010FC"/>
    <w:rsid w:val="00401108"/>
    <w:rsid w:val="004014C4"/>
    <w:rsid w:val="0040158E"/>
    <w:rsid w:val="004015FD"/>
    <w:rsid w:val="00401920"/>
    <w:rsid w:val="00401F70"/>
    <w:rsid w:val="004020C0"/>
    <w:rsid w:val="00402239"/>
    <w:rsid w:val="0040250B"/>
    <w:rsid w:val="00402772"/>
    <w:rsid w:val="00402927"/>
    <w:rsid w:val="00402944"/>
    <w:rsid w:val="00402CAE"/>
    <w:rsid w:val="00402E01"/>
    <w:rsid w:val="00403189"/>
    <w:rsid w:val="004031D9"/>
    <w:rsid w:val="00403258"/>
    <w:rsid w:val="004032AF"/>
    <w:rsid w:val="00403390"/>
    <w:rsid w:val="0040382E"/>
    <w:rsid w:val="00403992"/>
    <w:rsid w:val="004039D3"/>
    <w:rsid w:val="00403B80"/>
    <w:rsid w:val="00403BC0"/>
    <w:rsid w:val="00403EA8"/>
    <w:rsid w:val="00403FC5"/>
    <w:rsid w:val="0040411A"/>
    <w:rsid w:val="004045B3"/>
    <w:rsid w:val="00404651"/>
    <w:rsid w:val="00404861"/>
    <w:rsid w:val="00404BD0"/>
    <w:rsid w:val="00404C4A"/>
    <w:rsid w:val="00404EFC"/>
    <w:rsid w:val="00404FA4"/>
    <w:rsid w:val="0040507D"/>
    <w:rsid w:val="004050C9"/>
    <w:rsid w:val="004051BB"/>
    <w:rsid w:val="00405275"/>
    <w:rsid w:val="004052B1"/>
    <w:rsid w:val="00405860"/>
    <w:rsid w:val="00405C07"/>
    <w:rsid w:val="00405CB5"/>
    <w:rsid w:val="00405E95"/>
    <w:rsid w:val="00405E9B"/>
    <w:rsid w:val="00405F0B"/>
    <w:rsid w:val="00406110"/>
    <w:rsid w:val="004064AD"/>
    <w:rsid w:val="0040653C"/>
    <w:rsid w:val="004065AD"/>
    <w:rsid w:val="004066C3"/>
    <w:rsid w:val="004069A3"/>
    <w:rsid w:val="00406BAB"/>
    <w:rsid w:val="00406DF4"/>
    <w:rsid w:val="0040700D"/>
    <w:rsid w:val="0040702F"/>
    <w:rsid w:val="004070CE"/>
    <w:rsid w:val="004072DE"/>
    <w:rsid w:val="0040735E"/>
    <w:rsid w:val="004073A4"/>
    <w:rsid w:val="004074D6"/>
    <w:rsid w:val="004074F4"/>
    <w:rsid w:val="00407993"/>
    <w:rsid w:val="00407E00"/>
    <w:rsid w:val="00407FD1"/>
    <w:rsid w:val="004103E0"/>
    <w:rsid w:val="004104B7"/>
    <w:rsid w:val="00410622"/>
    <w:rsid w:val="00410C83"/>
    <w:rsid w:val="00410EBB"/>
    <w:rsid w:val="00410F28"/>
    <w:rsid w:val="004110AE"/>
    <w:rsid w:val="004110B4"/>
    <w:rsid w:val="004110BB"/>
    <w:rsid w:val="00411457"/>
    <w:rsid w:val="00411608"/>
    <w:rsid w:val="0041169A"/>
    <w:rsid w:val="004116BC"/>
    <w:rsid w:val="00411833"/>
    <w:rsid w:val="004119CF"/>
    <w:rsid w:val="00411A8E"/>
    <w:rsid w:val="00411D41"/>
    <w:rsid w:val="00411E5B"/>
    <w:rsid w:val="00411EEE"/>
    <w:rsid w:val="0041205C"/>
    <w:rsid w:val="0041213C"/>
    <w:rsid w:val="004121F4"/>
    <w:rsid w:val="00412A0D"/>
    <w:rsid w:val="00412B73"/>
    <w:rsid w:val="00412BB3"/>
    <w:rsid w:val="00412EEA"/>
    <w:rsid w:val="00412F64"/>
    <w:rsid w:val="00412FC7"/>
    <w:rsid w:val="00412FD7"/>
    <w:rsid w:val="0041304D"/>
    <w:rsid w:val="00413237"/>
    <w:rsid w:val="0041336A"/>
    <w:rsid w:val="00413593"/>
    <w:rsid w:val="0041365C"/>
    <w:rsid w:val="00413848"/>
    <w:rsid w:val="00413A67"/>
    <w:rsid w:val="00413B18"/>
    <w:rsid w:val="00413BB1"/>
    <w:rsid w:val="00413C77"/>
    <w:rsid w:val="00413CEC"/>
    <w:rsid w:val="00413CFA"/>
    <w:rsid w:val="00413F85"/>
    <w:rsid w:val="00413FD1"/>
    <w:rsid w:val="00413FF9"/>
    <w:rsid w:val="004142D3"/>
    <w:rsid w:val="00414420"/>
    <w:rsid w:val="00414443"/>
    <w:rsid w:val="004144CE"/>
    <w:rsid w:val="00414873"/>
    <w:rsid w:val="004148AD"/>
    <w:rsid w:val="00414AC9"/>
    <w:rsid w:val="00414D5A"/>
    <w:rsid w:val="00414EA5"/>
    <w:rsid w:val="00414EFB"/>
    <w:rsid w:val="00415281"/>
    <w:rsid w:val="00415DB0"/>
    <w:rsid w:val="00415E68"/>
    <w:rsid w:val="00415F5E"/>
    <w:rsid w:val="00416321"/>
    <w:rsid w:val="00416565"/>
    <w:rsid w:val="00416589"/>
    <w:rsid w:val="0041662B"/>
    <w:rsid w:val="0041664A"/>
    <w:rsid w:val="0041675C"/>
    <w:rsid w:val="004168EE"/>
    <w:rsid w:val="004169C8"/>
    <w:rsid w:val="004169FA"/>
    <w:rsid w:val="00416B47"/>
    <w:rsid w:val="00416CF5"/>
    <w:rsid w:val="0041707B"/>
    <w:rsid w:val="0041720C"/>
    <w:rsid w:val="00417290"/>
    <w:rsid w:val="004174B4"/>
    <w:rsid w:val="004174B7"/>
    <w:rsid w:val="004174E6"/>
    <w:rsid w:val="004175F4"/>
    <w:rsid w:val="0041760E"/>
    <w:rsid w:val="004178F2"/>
    <w:rsid w:val="0041790D"/>
    <w:rsid w:val="004179E0"/>
    <w:rsid w:val="00417BEB"/>
    <w:rsid w:val="00417CF9"/>
    <w:rsid w:val="00417F7D"/>
    <w:rsid w:val="004201A6"/>
    <w:rsid w:val="00420618"/>
    <w:rsid w:val="004206E8"/>
    <w:rsid w:val="0042085B"/>
    <w:rsid w:val="0042088C"/>
    <w:rsid w:val="00420B4C"/>
    <w:rsid w:val="00420F2E"/>
    <w:rsid w:val="004210C2"/>
    <w:rsid w:val="004210E6"/>
    <w:rsid w:val="00421400"/>
    <w:rsid w:val="00421406"/>
    <w:rsid w:val="0042145A"/>
    <w:rsid w:val="00421484"/>
    <w:rsid w:val="004214DD"/>
    <w:rsid w:val="00421582"/>
    <w:rsid w:val="00421627"/>
    <w:rsid w:val="00421751"/>
    <w:rsid w:val="00421932"/>
    <w:rsid w:val="00421A70"/>
    <w:rsid w:val="00421C8C"/>
    <w:rsid w:val="00421CDD"/>
    <w:rsid w:val="00421EED"/>
    <w:rsid w:val="004221B2"/>
    <w:rsid w:val="00422336"/>
    <w:rsid w:val="00422351"/>
    <w:rsid w:val="0042254A"/>
    <w:rsid w:val="00422B0F"/>
    <w:rsid w:val="00422B4E"/>
    <w:rsid w:val="00422D9E"/>
    <w:rsid w:val="00422FF2"/>
    <w:rsid w:val="00423222"/>
    <w:rsid w:val="00423392"/>
    <w:rsid w:val="004233AF"/>
    <w:rsid w:val="004235BE"/>
    <w:rsid w:val="0042362B"/>
    <w:rsid w:val="00423727"/>
    <w:rsid w:val="0042379F"/>
    <w:rsid w:val="004237A0"/>
    <w:rsid w:val="00423AE8"/>
    <w:rsid w:val="00423B3A"/>
    <w:rsid w:val="00423BF0"/>
    <w:rsid w:val="00423F7F"/>
    <w:rsid w:val="00424109"/>
    <w:rsid w:val="0042426A"/>
    <w:rsid w:val="004242F5"/>
    <w:rsid w:val="0042448F"/>
    <w:rsid w:val="004246B3"/>
    <w:rsid w:val="00424C24"/>
    <w:rsid w:val="00424C2D"/>
    <w:rsid w:val="00424EFA"/>
    <w:rsid w:val="00424FCA"/>
    <w:rsid w:val="00425049"/>
    <w:rsid w:val="00425061"/>
    <w:rsid w:val="004250D4"/>
    <w:rsid w:val="00425316"/>
    <w:rsid w:val="0042538B"/>
    <w:rsid w:val="004255F1"/>
    <w:rsid w:val="00425A11"/>
    <w:rsid w:val="00425ECB"/>
    <w:rsid w:val="00425EEB"/>
    <w:rsid w:val="00425F79"/>
    <w:rsid w:val="004260E9"/>
    <w:rsid w:val="0042619C"/>
    <w:rsid w:val="004263C1"/>
    <w:rsid w:val="00426411"/>
    <w:rsid w:val="004265D1"/>
    <w:rsid w:val="0042669C"/>
    <w:rsid w:val="00426703"/>
    <w:rsid w:val="0042689D"/>
    <w:rsid w:val="00426DB6"/>
    <w:rsid w:val="00426FF6"/>
    <w:rsid w:val="00427155"/>
    <w:rsid w:val="00427874"/>
    <w:rsid w:val="004278F2"/>
    <w:rsid w:val="00427921"/>
    <w:rsid w:val="0042798C"/>
    <w:rsid w:val="00427B62"/>
    <w:rsid w:val="00427BA0"/>
    <w:rsid w:val="00427BA8"/>
    <w:rsid w:val="00427C2E"/>
    <w:rsid w:val="00427C51"/>
    <w:rsid w:val="00427CF9"/>
    <w:rsid w:val="00427DC4"/>
    <w:rsid w:val="00427F47"/>
    <w:rsid w:val="00427FDD"/>
    <w:rsid w:val="0043041E"/>
    <w:rsid w:val="0043047F"/>
    <w:rsid w:val="00430AC8"/>
    <w:rsid w:val="00430CDA"/>
    <w:rsid w:val="00430E5B"/>
    <w:rsid w:val="004310A9"/>
    <w:rsid w:val="004317EB"/>
    <w:rsid w:val="00431A1B"/>
    <w:rsid w:val="00431A79"/>
    <w:rsid w:val="00431AB9"/>
    <w:rsid w:val="00431AC5"/>
    <w:rsid w:val="00431B57"/>
    <w:rsid w:val="00431BD8"/>
    <w:rsid w:val="00431C1D"/>
    <w:rsid w:val="00431CD8"/>
    <w:rsid w:val="00431D47"/>
    <w:rsid w:val="00431DB9"/>
    <w:rsid w:val="00431E27"/>
    <w:rsid w:val="00431FB7"/>
    <w:rsid w:val="00432117"/>
    <w:rsid w:val="004324FF"/>
    <w:rsid w:val="00432623"/>
    <w:rsid w:val="00432A55"/>
    <w:rsid w:val="00432A71"/>
    <w:rsid w:val="00432F85"/>
    <w:rsid w:val="00432FB5"/>
    <w:rsid w:val="00433121"/>
    <w:rsid w:val="004331C5"/>
    <w:rsid w:val="004332D0"/>
    <w:rsid w:val="00433334"/>
    <w:rsid w:val="00433366"/>
    <w:rsid w:val="004333A2"/>
    <w:rsid w:val="0043362A"/>
    <w:rsid w:val="00433881"/>
    <w:rsid w:val="00433930"/>
    <w:rsid w:val="00433BB5"/>
    <w:rsid w:val="00433CB1"/>
    <w:rsid w:val="00433CEA"/>
    <w:rsid w:val="00433F44"/>
    <w:rsid w:val="00434134"/>
    <w:rsid w:val="004343D8"/>
    <w:rsid w:val="00434862"/>
    <w:rsid w:val="004348C1"/>
    <w:rsid w:val="00434A33"/>
    <w:rsid w:val="00434B70"/>
    <w:rsid w:val="00434BFE"/>
    <w:rsid w:val="004352FE"/>
    <w:rsid w:val="0043540E"/>
    <w:rsid w:val="00435458"/>
    <w:rsid w:val="004354A4"/>
    <w:rsid w:val="004356C0"/>
    <w:rsid w:val="00435B20"/>
    <w:rsid w:val="00435C1D"/>
    <w:rsid w:val="00435E0B"/>
    <w:rsid w:val="00435EF9"/>
    <w:rsid w:val="00436099"/>
    <w:rsid w:val="00436104"/>
    <w:rsid w:val="0043635A"/>
    <w:rsid w:val="004365BF"/>
    <w:rsid w:val="004365C9"/>
    <w:rsid w:val="004366DA"/>
    <w:rsid w:val="00436843"/>
    <w:rsid w:val="00436941"/>
    <w:rsid w:val="00436A86"/>
    <w:rsid w:val="00436ED7"/>
    <w:rsid w:val="0043707C"/>
    <w:rsid w:val="00437612"/>
    <w:rsid w:val="00437880"/>
    <w:rsid w:val="004379BF"/>
    <w:rsid w:val="004400A2"/>
    <w:rsid w:val="004400DE"/>
    <w:rsid w:val="00440289"/>
    <w:rsid w:val="00440470"/>
    <w:rsid w:val="0044059F"/>
    <w:rsid w:val="00440617"/>
    <w:rsid w:val="004406D2"/>
    <w:rsid w:val="004407FD"/>
    <w:rsid w:val="004408FE"/>
    <w:rsid w:val="00440923"/>
    <w:rsid w:val="00440B33"/>
    <w:rsid w:val="00440D0F"/>
    <w:rsid w:val="00440E0B"/>
    <w:rsid w:val="00440FAE"/>
    <w:rsid w:val="0044148C"/>
    <w:rsid w:val="004415C5"/>
    <w:rsid w:val="0044161F"/>
    <w:rsid w:val="00441627"/>
    <w:rsid w:val="0044166C"/>
    <w:rsid w:val="00441674"/>
    <w:rsid w:val="004417D5"/>
    <w:rsid w:val="00441995"/>
    <w:rsid w:val="00441ACC"/>
    <w:rsid w:val="00441E7E"/>
    <w:rsid w:val="004421C1"/>
    <w:rsid w:val="00442211"/>
    <w:rsid w:val="0044232A"/>
    <w:rsid w:val="004423F7"/>
    <w:rsid w:val="00442489"/>
    <w:rsid w:val="0044260A"/>
    <w:rsid w:val="004428D5"/>
    <w:rsid w:val="00442937"/>
    <w:rsid w:val="0044298D"/>
    <w:rsid w:val="00442BC1"/>
    <w:rsid w:val="00442E50"/>
    <w:rsid w:val="00443105"/>
    <w:rsid w:val="00443192"/>
    <w:rsid w:val="00443196"/>
    <w:rsid w:val="0044325C"/>
    <w:rsid w:val="00443309"/>
    <w:rsid w:val="004434A6"/>
    <w:rsid w:val="0044351C"/>
    <w:rsid w:val="004436A5"/>
    <w:rsid w:val="004437D7"/>
    <w:rsid w:val="00443A51"/>
    <w:rsid w:val="00443B0A"/>
    <w:rsid w:val="00443C4A"/>
    <w:rsid w:val="00443CC5"/>
    <w:rsid w:val="00443EAA"/>
    <w:rsid w:val="00443F1B"/>
    <w:rsid w:val="0044421F"/>
    <w:rsid w:val="004442A4"/>
    <w:rsid w:val="0044475C"/>
    <w:rsid w:val="004448F3"/>
    <w:rsid w:val="00444D82"/>
    <w:rsid w:val="00444EF4"/>
    <w:rsid w:val="00445007"/>
    <w:rsid w:val="0044511E"/>
    <w:rsid w:val="004451DB"/>
    <w:rsid w:val="004453CA"/>
    <w:rsid w:val="0044563F"/>
    <w:rsid w:val="00445BED"/>
    <w:rsid w:val="00445D29"/>
    <w:rsid w:val="00445FE2"/>
    <w:rsid w:val="00446111"/>
    <w:rsid w:val="0044616E"/>
    <w:rsid w:val="00446323"/>
    <w:rsid w:val="0044664D"/>
    <w:rsid w:val="00446B2A"/>
    <w:rsid w:val="00446C56"/>
    <w:rsid w:val="00446CB8"/>
    <w:rsid w:val="00446CC3"/>
    <w:rsid w:val="00446CE4"/>
    <w:rsid w:val="00447632"/>
    <w:rsid w:val="004476A0"/>
    <w:rsid w:val="00447921"/>
    <w:rsid w:val="00447963"/>
    <w:rsid w:val="00447C46"/>
    <w:rsid w:val="00447D8D"/>
    <w:rsid w:val="00450119"/>
    <w:rsid w:val="004501AA"/>
    <w:rsid w:val="00450755"/>
    <w:rsid w:val="00450AEA"/>
    <w:rsid w:val="00450B38"/>
    <w:rsid w:val="00450C5D"/>
    <w:rsid w:val="00450CC6"/>
    <w:rsid w:val="00450DBD"/>
    <w:rsid w:val="00450E00"/>
    <w:rsid w:val="0045113F"/>
    <w:rsid w:val="00451167"/>
    <w:rsid w:val="00451428"/>
    <w:rsid w:val="004514A6"/>
    <w:rsid w:val="0045163C"/>
    <w:rsid w:val="0045174F"/>
    <w:rsid w:val="0045178A"/>
    <w:rsid w:val="004518FD"/>
    <w:rsid w:val="00451A9D"/>
    <w:rsid w:val="00451BEE"/>
    <w:rsid w:val="00451DE4"/>
    <w:rsid w:val="00451F4A"/>
    <w:rsid w:val="004521C0"/>
    <w:rsid w:val="0045250B"/>
    <w:rsid w:val="00452583"/>
    <w:rsid w:val="0045280C"/>
    <w:rsid w:val="00452BAC"/>
    <w:rsid w:val="00452DC9"/>
    <w:rsid w:val="00452EE3"/>
    <w:rsid w:val="00452F19"/>
    <w:rsid w:val="0045326B"/>
    <w:rsid w:val="00453340"/>
    <w:rsid w:val="00453391"/>
    <w:rsid w:val="0045397B"/>
    <w:rsid w:val="00453A73"/>
    <w:rsid w:val="00453ADE"/>
    <w:rsid w:val="00453D69"/>
    <w:rsid w:val="00453D9E"/>
    <w:rsid w:val="00453F28"/>
    <w:rsid w:val="00453F48"/>
    <w:rsid w:val="004544AE"/>
    <w:rsid w:val="00454C1C"/>
    <w:rsid w:val="00454E21"/>
    <w:rsid w:val="00454FCA"/>
    <w:rsid w:val="004552EA"/>
    <w:rsid w:val="0045569E"/>
    <w:rsid w:val="00455764"/>
    <w:rsid w:val="0045578C"/>
    <w:rsid w:val="00455D9D"/>
    <w:rsid w:val="00455E32"/>
    <w:rsid w:val="00455FB0"/>
    <w:rsid w:val="00455FDB"/>
    <w:rsid w:val="00456111"/>
    <w:rsid w:val="0045619A"/>
    <w:rsid w:val="00456200"/>
    <w:rsid w:val="0045628B"/>
    <w:rsid w:val="00456419"/>
    <w:rsid w:val="004564C6"/>
    <w:rsid w:val="00456511"/>
    <w:rsid w:val="004565D5"/>
    <w:rsid w:val="00456770"/>
    <w:rsid w:val="00456771"/>
    <w:rsid w:val="00456865"/>
    <w:rsid w:val="00456C9E"/>
    <w:rsid w:val="00456E13"/>
    <w:rsid w:val="00456F0C"/>
    <w:rsid w:val="00456F44"/>
    <w:rsid w:val="004571F9"/>
    <w:rsid w:val="004573EC"/>
    <w:rsid w:val="00457422"/>
    <w:rsid w:val="0045751D"/>
    <w:rsid w:val="004577E0"/>
    <w:rsid w:val="004577E8"/>
    <w:rsid w:val="00457D3F"/>
    <w:rsid w:val="00457E9C"/>
    <w:rsid w:val="00457EBB"/>
    <w:rsid w:val="004600C0"/>
    <w:rsid w:val="0046063C"/>
    <w:rsid w:val="004608C3"/>
    <w:rsid w:val="0046098E"/>
    <w:rsid w:val="004609A8"/>
    <w:rsid w:val="004610CC"/>
    <w:rsid w:val="004611B5"/>
    <w:rsid w:val="00461416"/>
    <w:rsid w:val="00461474"/>
    <w:rsid w:val="004614AB"/>
    <w:rsid w:val="004618F4"/>
    <w:rsid w:val="00461B61"/>
    <w:rsid w:val="00461CC4"/>
    <w:rsid w:val="00461D78"/>
    <w:rsid w:val="00462084"/>
    <w:rsid w:val="00462461"/>
    <w:rsid w:val="0046272E"/>
    <w:rsid w:val="004627FC"/>
    <w:rsid w:val="00462B91"/>
    <w:rsid w:val="00463023"/>
    <w:rsid w:val="0046302B"/>
    <w:rsid w:val="00463124"/>
    <w:rsid w:val="004631E7"/>
    <w:rsid w:val="00463233"/>
    <w:rsid w:val="0046351B"/>
    <w:rsid w:val="0046368D"/>
    <w:rsid w:val="00463861"/>
    <w:rsid w:val="004638DC"/>
    <w:rsid w:val="00463925"/>
    <w:rsid w:val="00463EAD"/>
    <w:rsid w:val="00464026"/>
    <w:rsid w:val="00464106"/>
    <w:rsid w:val="0046485C"/>
    <w:rsid w:val="00464B53"/>
    <w:rsid w:val="00464EA7"/>
    <w:rsid w:val="00465298"/>
    <w:rsid w:val="00465464"/>
    <w:rsid w:val="00465490"/>
    <w:rsid w:val="0046561B"/>
    <w:rsid w:val="00465626"/>
    <w:rsid w:val="004657A1"/>
    <w:rsid w:val="0046593A"/>
    <w:rsid w:val="00465C54"/>
    <w:rsid w:val="00465E87"/>
    <w:rsid w:val="0046635D"/>
    <w:rsid w:val="0046658C"/>
    <w:rsid w:val="004669B0"/>
    <w:rsid w:val="00466B84"/>
    <w:rsid w:val="00466D0D"/>
    <w:rsid w:val="00466D19"/>
    <w:rsid w:val="00466F58"/>
    <w:rsid w:val="004671A9"/>
    <w:rsid w:val="004671D4"/>
    <w:rsid w:val="00467207"/>
    <w:rsid w:val="0046720C"/>
    <w:rsid w:val="0046724F"/>
    <w:rsid w:val="00467256"/>
    <w:rsid w:val="004673AB"/>
    <w:rsid w:val="0046749B"/>
    <w:rsid w:val="004674CA"/>
    <w:rsid w:val="00467577"/>
    <w:rsid w:val="004679B1"/>
    <w:rsid w:val="00467C2B"/>
    <w:rsid w:val="00470138"/>
    <w:rsid w:val="004701D7"/>
    <w:rsid w:val="004706BF"/>
    <w:rsid w:val="004709D8"/>
    <w:rsid w:val="00470A56"/>
    <w:rsid w:val="00470B67"/>
    <w:rsid w:val="00470D4A"/>
    <w:rsid w:val="00470D6F"/>
    <w:rsid w:val="00470E8C"/>
    <w:rsid w:val="00470F5F"/>
    <w:rsid w:val="00470FD8"/>
    <w:rsid w:val="00471022"/>
    <w:rsid w:val="0047121A"/>
    <w:rsid w:val="004712D4"/>
    <w:rsid w:val="00471A03"/>
    <w:rsid w:val="00471EAF"/>
    <w:rsid w:val="00471FA1"/>
    <w:rsid w:val="0047209A"/>
    <w:rsid w:val="00472324"/>
    <w:rsid w:val="004723C0"/>
    <w:rsid w:val="004724C2"/>
    <w:rsid w:val="0047264B"/>
    <w:rsid w:val="004729DF"/>
    <w:rsid w:val="00472AC4"/>
    <w:rsid w:val="00472B5C"/>
    <w:rsid w:val="00472F54"/>
    <w:rsid w:val="00473197"/>
    <w:rsid w:val="00473335"/>
    <w:rsid w:val="0047345A"/>
    <w:rsid w:val="004736E1"/>
    <w:rsid w:val="004736E7"/>
    <w:rsid w:val="004739EC"/>
    <w:rsid w:val="00473A9A"/>
    <w:rsid w:val="00473C7D"/>
    <w:rsid w:val="00474272"/>
    <w:rsid w:val="004742D2"/>
    <w:rsid w:val="00474397"/>
    <w:rsid w:val="0047441F"/>
    <w:rsid w:val="004746C4"/>
    <w:rsid w:val="00474743"/>
    <w:rsid w:val="00474760"/>
    <w:rsid w:val="0047477C"/>
    <w:rsid w:val="00474AFA"/>
    <w:rsid w:val="00474B93"/>
    <w:rsid w:val="00474BC2"/>
    <w:rsid w:val="00474DA4"/>
    <w:rsid w:val="00475247"/>
    <w:rsid w:val="004756B4"/>
    <w:rsid w:val="0047585F"/>
    <w:rsid w:val="004758AF"/>
    <w:rsid w:val="00475D27"/>
    <w:rsid w:val="0047609E"/>
    <w:rsid w:val="004766D1"/>
    <w:rsid w:val="00476C27"/>
    <w:rsid w:val="00476E5F"/>
    <w:rsid w:val="00477178"/>
    <w:rsid w:val="00477281"/>
    <w:rsid w:val="00477380"/>
    <w:rsid w:val="00477392"/>
    <w:rsid w:val="004775B4"/>
    <w:rsid w:val="0047786A"/>
    <w:rsid w:val="00477A65"/>
    <w:rsid w:val="00477AFB"/>
    <w:rsid w:val="00477ED3"/>
    <w:rsid w:val="00477F5E"/>
    <w:rsid w:val="00477F91"/>
    <w:rsid w:val="0048002F"/>
    <w:rsid w:val="0048095A"/>
    <w:rsid w:val="00480C65"/>
    <w:rsid w:val="00481009"/>
    <w:rsid w:val="004813DB"/>
    <w:rsid w:val="0048149A"/>
    <w:rsid w:val="004816FB"/>
    <w:rsid w:val="004817D1"/>
    <w:rsid w:val="004819E3"/>
    <w:rsid w:val="00481A0C"/>
    <w:rsid w:val="00481BDE"/>
    <w:rsid w:val="00481C06"/>
    <w:rsid w:val="00481D22"/>
    <w:rsid w:val="00481D36"/>
    <w:rsid w:val="00481DCE"/>
    <w:rsid w:val="00481F06"/>
    <w:rsid w:val="00482003"/>
    <w:rsid w:val="0048229F"/>
    <w:rsid w:val="004822E9"/>
    <w:rsid w:val="00482611"/>
    <w:rsid w:val="00482C05"/>
    <w:rsid w:val="00482C5B"/>
    <w:rsid w:val="00482DB3"/>
    <w:rsid w:val="00482ECC"/>
    <w:rsid w:val="00483171"/>
    <w:rsid w:val="0048320F"/>
    <w:rsid w:val="00483594"/>
    <w:rsid w:val="004836F8"/>
    <w:rsid w:val="00483739"/>
    <w:rsid w:val="0048378B"/>
    <w:rsid w:val="00483D7A"/>
    <w:rsid w:val="00483E88"/>
    <w:rsid w:val="00484059"/>
    <w:rsid w:val="004840C0"/>
    <w:rsid w:val="0048423C"/>
    <w:rsid w:val="004844F5"/>
    <w:rsid w:val="00484659"/>
    <w:rsid w:val="0048468A"/>
    <w:rsid w:val="004846CB"/>
    <w:rsid w:val="00484D63"/>
    <w:rsid w:val="004850BC"/>
    <w:rsid w:val="00485176"/>
    <w:rsid w:val="00485287"/>
    <w:rsid w:val="00485642"/>
    <w:rsid w:val="0048589A"/>
    <w:rsid w:val="00485B5A"/>
    <w:rsid w:val="00485B99"/>
    <w:rsid w:val="00485BDE"/>
    <w:rsid w:val="00485F57"/>
    <w:rsid w:val="0048607D"/>
    <w:rsid w:val="00486083"/>
    <w:rsid w:val="00486089"/>
    <w:rsid w:val="004866A8"/>
    <w:rsid w:val="00486774"/>
    <w:rsid w:val="00486A32"/>
    <w:rsid w:val="00486C17"/>
    <w:rsid w:val="00486C27"/>
    <w:rsid w:val="004870AC"/>
    <w:rsid w:val="00487121"/>
    <w:rsid w:val="00487125"/>
    <w:rsid w:val="004871F0"/>
    <w:rsid w:val="00487260"/>
    <w:rsid w:val="004872CF"/>
    <w:rsid w:val="0048741E"/>
    <w:rsid w:val="00487426"/>
    <w:rsid w:val="004874EE"/>
    <w:rsid w:val="004875D8"/>
    <w:rsid w:val="0048766A"/>
    <w:rsid w:val="00487A29"/>
    <w:rsid w:val="00487ABD"/>
    <w:rsid w:val="00487D44"/>
    <w:rsid w:val="00487DC2"/>
    <w:rsid w:val="00487E0B"/>
    <w:rsid w:val="00487E2B"/>
    <w:rsid w:val="00487F58"/>
    <w:rsid w:val="00487F5E"/>
    <w:rsid w:val="00487FF3"/>
    <w:rsid w:val="00490207"/>
    <w:rsid w:val="004905EE"/>
    <w:rsid w:val="00490C17"/>
    <w:rsid w:val="00490C3A"/>
    <w:rsid w:val="00490EF3"/>
    <w:rsid w:val="00490F60"/>
    <w:rsid w:val="00490FD1"/>
    <w:rsid w:val="00491121"/>
    <w:rsid w:val="00491132"/>
    <w:rsid w:val="0049114F"/>
    <w:rsid w:val="004911F7"/>
    <w:rsid w:val="00491335"/>
    <w:rsid w:val="004915DD"/>
    <w:rsid w:val="0049196B"/>
    <w:rsid w:val="004919B2"/>
    <w:rsid w:val="00491A0A"/>
    <w:rsid w:val="00491B08"/>
    <w:rsid w:val="00491C10"/>
    <w:rsid w:val="00491D25"/>
    <w:rsid w:val="00491EF1"/>
    <w:rsid w:val="00491FB9"/>
    <w:rsid w:val="00492199"/>
    <w:rsid w:val="0049222B"/>
    <w:rsid w:val="00492383"/>
    <w:rsid w:val="00492447"/>
    <w:rsid w:val="004924B7"/>
    <w:rsid w:val="00492638"/>
    <w:rsid w:val="0049270B"/>
    <w:rsid w:val="0049278C"/>
    <w:rsid w:val="004928BC"/>
    <w:rsid w:val="004928DB"/>
    <w:rsid w:val="00492AA8"/>
    <w:rsid w:val="00492B6D"/>
    <w:rsid w:val="00492F99"/>
    <w:rsid w:val="00493126"/>
    <w:rsid w:val="004931AF"/>
    <w:rsid w:val="00493773"/>
    <w:rsid w:val="0049382A"/>
    <w:rsid w:val="004939FC"/>
    <w:rsid w:val="00493CAA"/>
    <w:rsid w:val="00493D67"/>
    <w:rsid w:val="00493E25"/>
    <w:rsid w:val="0049402E"/>
    <w:rsid w:val="004943EB"/>
    <w:rsid w:val="00494774"/>
    <w:rsid w:val="00494816"/>
    <w:rsid w:val="004948A2"/>
    <w:rsid w:val="00494900"/>
    <w:rsid w:val="00494A8A"/>
    <w:rsid w:val="00494C4E"/>
    <w:rsid w:val="00494C59"/>
    <w:rsid w:val="00494C9F"/>
    <w:rsid w:val="00494D34"/>
    <w:rsid w:val="00494FD0"/>
    <w:rsid w:val="004950B7"/>
    <w:rsid w:val="0049515A"/>
    <w:rsid w:val="004952F2"/>
    <w:rsid w:val="00495626"/>
    <w:rsid w:val="004957D6"/>
    <w:rsid w:val="004957EB"/>
    <w:rsid w:val="0049581B"/>
    <w:rsid w:val="00495884"/>
    <w:rsid w:val="00495900"/>
    <w:rsid w:val="00495EE5"/>
    <w:rsid w:val="00495FA0"/>
    <w:rsid w:val="0049615B"/>
    <w:rsid w:val="00496292"/>
    <w:rsid w:val="00496323"/>
    <w:rsid w:val="004966AA"/>
    <w:rsid w:val="00496A96"/>
    <w:rsid w:val="00496BC9"/>
    <w:rsid w:val="00496C7B"/>
    <w:rsid w:val="00496DAD"/>
    <w:rsid w:val="00496E41"/>
    <w:rsid w:val="00496F16"/>
    <w:rsid w:val="00496FAA"/>
    <w:rsid w:val="004975C6"/>
    <w:rsid w:val="004979A7"/>
    <w:rsid w:val="00497BAB"/>
    <w:rsid w:val="00497DEF"/>
    <w:rsid w:val="00497F04"/>
    <w:rsid w:val="004A00BB"/>
    <w:rsid w:val="004A022A"/>
    <w:rsid w:val="004A0236"/>
    <w:rsid w:val="004A02B7"/>
    <w:rsid w:val="004A0572"/>
    <w:rsid w:val="004A068A"/>
    <w:rsid w:val="004A0835"/>
    <w:rsid w:val="004A0BA1"/>
    <w:rsid w:val="004A0BC6"/>
    <w:rsid w:val="004A0C48"/>
    <w:rsid w:val="004A0CAE"/>
    <w:rsid w:val="004A0D29"/>
    <w:rsid w:val="004A0FC3"/>
    <w:rsid w:val="004A0FEB"/>
    <w:rsid w:val="004A1104"/>
    <w:rsid w:val="004A116A"/>
    <w:rsid w:val="004A1231"/>
    <w:rsid w:val="004A1529"/>
    <w:rsid w:val="004A1871"/>
    <w:rsid w:val="004A195A"/>
    <w:rsid w:val="004A199D"/>
    <w:rsid w:val="004A1E22"/>
    <w:rsid w:val="004A1F9F"/>
    <w:rsid w:val="004A212B"/>
    <w:rsid w:val="004A2485"/>
    <w:rsid w:val="004A2661"/>
    <w:rsid w:val="004A271B"/>
    <w:rsid w:val="004A29BD"/>
    <w:rsid w:val="004A2A47"/>
    <w:rsid w:val="004A2DB4"/>
    <w:rsid w:val="004A30B5"/>
    <w:rsid w:val="004A3160"/>
    <w:rsid w:val="004A31A1"/>
    <w:rsid w:val="004A34B4"/>
    <w:rsid w:val="004A35E5"/>
    <w:rsid w:val="004A369A"/>
    <w:rsid w:val="004A382A"/>
    <w:rsid w:val="004A3B3E"/>
    <w:rsid w:val="004A3BA2"/>
    <w:rsid w:val="004A3FEF"/>
    <w:rsid w:val="004A4094"/>
    <w:rsid w:val="004A4116"/>
    <w:rsid w:val="004A4159"/>
    <w:rsid w:val="004A4691"/>
    <w:rsid w:val="004A473C"/>
    <w:rsid w:val="004A4762"/>
    <w:rsid w:val="004A4805"/>
    <w:rsid w:val="004A4823"/>
    <w:rsid w:val="004A4ADC"/>
    <w:rsid w:val="004A4C8A"/>
    <w:rsid w:val="004A4CAE"/>
    <w:rsid w:val="004A4DB8"/>
    <w:rsid w:val="004A52A4"/>
    <w:rsid w:val="004A5450"/>
    <w:rsid w:val="004A54D5"/>
    <w:rsid w:val="004A55F7"/>
    <w:rsid w:val="004A5DB4"/>
    <w:rsid w:val="004A5F05"/>
    <w:rsid w:val="004A6063"/>
    <w:rsid w:val="004A60D9"/>
    <w:rsid w:val="004A60DC"/>
    <w:rsid w:val="004A618B"/>
    <w:rsid w:val="004A6232"/>
    <w:rsid w:val="004A638B"/>
    <w:rsid w:val="004A6861"/>
    <w:rsid w:val="004A6C3F"/>
    <w:rsid w:val="004A6C91"/>
    <w:rsid w:val="004A6CFE"/>
    <w:rsid w:val="004A6E8E"/>
    <w:rsid w:val="004A6F9A"/>
    <w:rsid w:val="004A6FDE"/>
    <w:rsid w:val="004A7706"/>
    <w:rsid w:val="004A78ED"/>
    <w:rsid w:val="004A792F"/>
    <w:rsid w:val="004A7B2D"/>
    <w:rsid w:val="004B07DE"/>
    <w:rsid w:val="004B0D2E"/>
    <w:rsid w:val="004B0D7B"/>
    <w:rsid w:val="004B0EC1"/>
    <w:rsid w:val="004B0EF2"/>
    <w:rsid w:val="004B1018"/>
    <w:rsid w:val="004B109B"/>
    <w:rsid w:val="004B1276"/>
    <w:rsid w:val="004B13EA"/>
    <w:rsid w:val="004B14B0"/>
    <w:rsid w:val="004B14E8"/>
    <w:rsid w:val="004B1594"/>
    <w:rsid w:val="004B15D5"/>
    <w:rsid w:val="004B15F5"/>
    <w:rsid w:val="004B1BCD"/>
    <w:rsid w:val="004B1D7C"/>
    <w:rsid w:val="004B2719"/>
    <w:rsid w:val="004B2970"/>
    <w:rsid w:val="004B2C9A"/>
    <w:rsid w:val="004B305D"/>
    <w:rsid w:val="004B3062"/>
    <w:rsid w:val="004B3197"/>
    <w:rsid w:val="004B398B"/>
    <w:rsid w:val="004B3B0E"/>
    <w:rsid w:val="004B3B9E"/>
    <w:rsid w:val="004B3E48"/>
    <w:rsid w:val="004B3F4F"/>
    <w:rsid w:val="004B4361"/>
    <w:rsid w:val="004B453C"/>
    <w:rsid w:val="004B4D31"/>
    <w:rsid w:val="004B4FD0"/>
    <w:rsid w:val="004B5653"/>
    <w:rsid w:val="004B5C52"/>
    <w:rsid w:val="004B5C5F"/>
    <w:rsid w:val="004B5FB7"/>
    <w:rsid w:val="004B619E"/>
    <w:rsid w:val="004B634C"/>
    <w:rsid w:val="004B661D"/>
    <w:rsid w:val="004B6824"/>
    <w:rsid w:val="004B6AA6"/>
    <w:rsid w:val="004B6AFB"/>
    <w:rsid w:val="004B6C98"/>
    <w:rsid w:val="004B6F7B"/>
    <w:rsid w:val="004B75B2"/>
    <w:rsid w:val="004B766F"/>
    <w:rsid w:val="004B7CB1"/>
    <w:rsid w:val="004B7E61"/>
    <w:rsid w:val="004B7FAC"/>
    <w:rsid w:val="004C00F2"/>
    <w:rsid w:val="004C02AF"/>
    <w:rsid w:val="004C02F0"/>
    <w:rsid w:val="004C0371"/>
    <w:rsid w:val="004C0449"/>
    <w:rsid w:val="004C0485"/>
    <w:rsid w:val="004C0714"/>
    <w:rsid w:val="004C0951"/>
    <w:rsid w:val="004C0B04"/>
    <w:rsid w:val="004C0E9C"/>
    <w:rsid w:val="004C104B"/>
    <w:rsid w:val="004C10ED"/>
    <w:rsid w:val="004C1166"/>
    <w:rsid w:val="004C1302"/>
    <w:rsid w:val="004C14D5"/>
    <w:rsid w:val="004C15F1"/>
    <w:rsid w:val="004C1918"/>
    <w:rsid w:val="004C1ACA"/>
    <w:rsid w:val="004C1C74"/>
    <w:rsid w:val="004C1CE7"/>
    <w:rsid w:val="004C1D95"/>
    <w:rsid w:val="004C20EC"/>
    <w:rsid w:val="004C2587"/>
    <w:rsid w:val="004C2726"/>
    <w:rsid w:val="004C2773"/>
    <w:rsid w:val="004C2870"/>
    <w:rsid w:val="004C29CE"/>
    <w:rsid w:val="004C2A03"/>
    <w:rsid w:val="004C2B9B"/>
    <w:rsid w:val="004C2E25"/>
    <w:rsid w:val="004C2FF1"/>
    <w:rsid w:val="004C3138"/>
    <w:rsid w:val="004C3223"/>
    <w:rsid w:val="004C33B9"/>
    <w:rsid w:val="004C3512"/>
    <w:rsid w:val="004C3706"/>
    <w:rsid w:val="004C3A1D"/>
    <w:rsid w:val="004C3B39"/>
    <w:rsid w:val="004C3CB9"/>
    <w:rsid w:val="004C3D3B"/>
    <w:rsid w:val="004C3F29"/>
    <w:rsid w:val="004C4284"/>
    <w:rsid w:val="004C4583"/>
    <w:rsid w:val="004C4A4D"/>
    <w:rsid w:val="004C4B6B"/>
    <w:rsid w:val="004C4C82"/>
    <w:rsid w:val="004C4D7B"/>
    <w:rsid w:val="004C4ECD"/>
    <w:rsid w:val="004C4F5E"/>
    <w:rsid w:val="004C5036"/>
    <w:rsid w:val="004C50C3"/>
    <w:rsid w:val="004C5221"/>
    <w:rsid w:val="004C5228"/>
    <w:rsid w:val="004C5304"/>
    <w:rsid w:val="004C53D5"/>
    <w:rsid w:val="004C5530"/>
    <w:rsid w:val="004C55A8"/>
    <w:rsid w:val="004C56B8"/>
    <w:rsid w:val="004C5777"/>
    <w:rsid w:val="004C57CE"/>
    <w:rsid w:val="004C594A"/>
    <w:rsid w:val="004C59D0"/>
    <w:rsid w:val="004C5A82"/>
    <w:rsid w:val="004C5B1F"/>
    <w:rsid w:val="004C5CFF"/>
    <w:rsid w:val="004C5DBB"/>
    <w:rsid w:val="004C5E13"/>
    <w:rsid w:val="004C5E67"/>
    <w:rsid w:val="004C5FC3"/>
    <w:rsid w:val="004C600F"/>
    <w:rsid w:val="004C61A5"/>
    <w:rsid w:val="004C62B4"/>
    <w:rsid w:val="004C62FC"/>
    <w:rsid w:val="004C6338"/>
    <w:rsid w:val="004C64FC"/>
    <w:rsid w:val="004C6694"/>
    <w:rsid w:val="004C670B"/>
    <w:rsid w:val="004C67CE"/>
    <w:rsid w:val="004C6CEA"/>
    <w:rsid w:val="004C6DE1"/>
    <w:rsid w:val="004C6E88"/>
    <w:rsid w:val="004C6FB6"/>
    <w:rsid w:val="004C6FB8"/>
    <w:rsid w:val="004C6FDA"/>
    <w:rsid w:val="004C7285"/>
    <w:rsid w:val="004C728D"/>
    <w:rsid w:val="004C739A"/>
    <w:rsid w:val="004C77DA"/>
    <w:rsid w:val="004C781A"/>
    <w:rsid w:val="004C784E"/>
    <w:rsid w:val="004C7D98"/>
    <w:rsid w:val="004D0173"/>
    <w:rsid w:val="004D01F1"/>
    <w:rsid w:val="004D0309"/>
    <w:rsid w:val="004D0422"/>
    <w:rsid w:val="004D0540"/>
    <w:rsid w:val="004D066B"/>
    <w:rsid w:val="004D0724"/>
    <w:rsid w:val="004D0764"/>
    <w:rsid w:val="004D0876"/>
    <w:rsid w:val="004D0D94"/>
    <w:rsid w:val="004D1056"/>
    <w:rsid w:val="004D13CD"/>
    <w:rsid w:val="004D194A"/>
    <w:rsid w:val="004D1DC4"/>
    <w:rsid w:val="004D1E47"/>
    <w:rsid w:val="004D2206"/>
    <w:rsid w:val="004D229F"/>
    <w:rsid w:val="004D272A"/>
    <w:rsid w:val="004D273F"/>
    <w:rsid w:val="004D297A"/>
    <w:rsid w:val="004D29B1"/>
    <w:rsid w:val="004D2B89"/>
    <w:rsid w:val="004D2C08"/>
    <w:rsid w:val="004D2FA6"/>
    <w:rsid w:val="004D3029"/>
    <w:rsid w:val="004D30E7"/>
    <w:rsid w:val="004D33A9"/>
    <w:rsid w:val="004D3543"/>
    <w:rsid w:val="004D357F"/>
    <w:rsid w:val="004D36DD"/>
    <w:rsid w:val="004D3789"/>
    <w:rsid w:val="004D383C"/>
    <w:rsid w:val="004D3908"/>
    <w:rsid w:val="004D396B"/>
    <w:rsid w:val="004D39F5"/>
    <w:rsid w:val="004D3BD3"/>
    <w:rsid w:val="004D3BD8"/>
    <w:rsid w:val="004D3E5B"/>
    <w:rsid w:val="004D3F0E"/>
    <w:rsid w:val="004D4136"/>
    <w:rsid w:val="004D4154"/>
    <w:rsid w:val="004D4BF4"/>
    <w:rsid w:val="004D4CF1"/>
    <w:rsid w:val="004D4DFA"/>
    <w:rsid w:val="004D50BA"/>
    <w:rsid w:val="004D52D9"/>
    <w:rsid w:val="004D54CB"/>
    <w:rsid w:val="004D57E1"/>
    <w:rsid w:val="004D5B5F"/>
    <w:rsid w:val="004D5BA7"/>
    <w:rsid w:val="004D5BF6"/>
    <w:rsid w:val="004D5D58"/>
    <w:rsid w:val="004D5D81"/>
    <w:rsid w:val="004D5FC4"/>
    <w:rsid w:val="004D6145"/>
    <w:rsid w:val="004D629A"/>
    <w:rsid w:val="004D62FF"/>
    <w:rsid w:val="004D63B8"/>
    <w:rsid w:val="004D66C3"/>
    <w:rsid w:val="004D66F2"/>
    <w:rsid w:val="004D6D31"/>
    <w:rsid w:val="004D6ED1"/>
    <w:rsid w:val="004D6F8F"/>
    <w:rsid w:val="004D7132"/>
    <w:rsid w:val="004D713E"/>
    <w:rsid w:val="004D7248"/>
    <w:rsid w:val="004D77A9"/>
    <w:rsid w:val="004D7C8E"/>
    <w:rsid w:val="004D7D57"/>
    <w:rsid w:val="004E061C"/>
    <w:rsid w:val="004E09DD"/>
    <w:rsid w:val="004E0A91"/>
    <w:rsid w:val="004E0D84"/>
    <w:rsid w:val="004E0F59"/>
    <w:rsid w:val="004E11BD"/>
    <w:rsid w:val="004E135C"/>
    <w:rsid w:val="004E14E5"/>
    <w:rsid w:val="004E1938"/>
    <w:rsid w:val="004E1CFF"/>
    <w:rsid w:val="004E1E66"/>
    <w:rsid w:val="004E1EDE"/>
    <w:rsid w:val="004E1F85"/>
    <w:rsid w:val="004E21C4"/>
    <w:rsid w:val="004E21E2"/>
    <w:rsid w:val="004E22B7"/>
    <w:rsid w:val="004E24A2"/>
    <w:rsid w:val="004E277F"/>
    <w:rsid w:val="004E28C1"/>
    <w:rsid w:val="004E28CD"/>
    <w:rsid w:val="004E293F"/>
    <w:rsid w:val="004E2A03"/>
    <w:rsid w:val="004E2A98"/>
    <w:rsid w:val="004E2D4B"/>
    <w:rsid w:val="004E3429"/>
    <w:rsid w:val="004E35EF"/>
    <w:rsid w:val="004E37D6"/>
    <w:rsid w:val="004E380D"/>
    <w:rsid w:val="004E3831"/>
    <w:rsid w:val="004E38F8"/>
    <w:rsid w:val="004E39D4"/>
    <w:rsid w:val="004E3C8C"/>
    <w:rsid w:val="004E3CFE"/>
    <w:rsid w:val="004E3F5D"/>
    <w:rsid w:val="004E40C7"/>
    <w:rsid w:val="004E4385"/>
    <w:rsid w:val="004E4398"/>
    <w:rsid w:val="004E44AD"/>
    <w:rsid w:val="004E492E"/>
    <w:rsid w:val="004E4BCB"/>
    <w:rsid w:val="004E4DD6"/>
    <w:rsid w:val="004E4FAD"/>
    <w:rsid w:val="004E5546"/>
    <w:rsid w:val="004E5A13"/>
    <w:rsid w:val="004E5A1D"/>
    <w:rsid w:val="004E5B71"/>
    <w:rsid w:val="004E5D80"/>
    <w:rsid w:val="004E5DF4"/>
    <w:rsid w:val="004E63A2"/>
    <w:rsid w:val="004E6A12"/>
    <w:rsid w:val="004E6E9B"/>
    <w:rsid w:val="004E70B4"/>
    <w:rsid w:val="004E7189"/>
    <w:rsid w:val="004E7781"/>
    <w:rsid w:val="004E7922"/>
    <w:rsid w:val="004E7A00"/>
    <w:rsid w:val="004E7C84"/>
    <w:rsid w:val="004E7CCB"/>
    <w:rsid w:val="004F0063"/>
    <w:rsid w:val="004F00C0"/>
    <w:rsid w:val="004F0110"/>
    <w:rsid w:val="004F01E6"/>
    <w:rsid w:val="004F0399"/>
    <w:rsid w:val="004F0426"/>
    <w:rsid w:val="004F0454"/>
    <w:rsid w:val="004F0649"/>
    <w:rsid w:val="004F087D"/>
    <w:rsid w:val="004F0B74"/>
    <w:rsid w:val="004F0DAD"/>
    <w:rsid w:val="004F0DD9"/>
    <w:rsid w:val="004F0DFC"/>
    <w:rsid w:val="004F0E5A"/>
    <w:rsid w:val="004F11DE"/>
    <w:rsid w:val="004F1313"/>
    <w:rsid w:val="004F1328"/>
    <w:rsid w:val="004F141D"/>
    <w:rsid w:val="004F14A5"/>
    <w:rsid w:val="004F1508"/>
    <w:rsid w:val="004F155C"/>
    <w:rsid w:val="004F16D7"/>
    <w:rsid w:val="004F1811"/>
    <w:rsid w:val="004F18D2"/>
    <w:rsid w:val="004F1D84"/>
    <w:rsid w:val="004F1E77"/>
    <w:rsid w:val="004F21D6"/>
    <w:rsid w:val="004F224C"/>
    <w:rsid w:val="004F23B5"/>
    <w:rsid w:val="004F255D"/>
    <w:rsid w:val="004F259F"/>
    <w:rsid w:val="004F2728"/>
    <w:rsid w:val="004F27BF"/>
    <w:rsid w:val="004F2894"/>
    <w:rsid w:val="004F2943"/>
    <w:rsid w:val="004F2B19"/>
    <w:rsid w:val="004F2B4E"/>
    <w:rsid w:val="004F2C1D"/>
    <w:rsid w:val="004F2D80"/>
    <w:rsid w:val="004F2EC3"/>
    <w:rsid w:val="004F3137"/>
    <w:rsid w:val="004F3205"/>
    <w:rsid w:val="004F336C"/>
    <w:rsid w:val="004F3441"/>
    <w:rsid w:val="004F37F8"/>
    <w:rsid w:val="004F3806"/>
    <w:rsid w:val="004F3B44"/>
    <w:rsid w:val="004F3DE5"/>
    <w:rsid w:val="004F4116"/>
    <w:rsid w:val="004F41A4"/>
    <w:rsid w:val="004F41B2"/>
    <w:rsid w:val="004F41D6"/>
    <w:rsid w:val="004F42E1"/>
    <w:rsid w:val="004F46EE"/>
    <w:rsid w:val="004F4767"/>
    <w:rsid w:val="004F4AFC"/>
    <w:rsid w:val="004F4B33"/>
    <w:rsid w:val="004F4C52"/>
    <w:rsid w:val="004F4CC5"/>
    <w:rsid w:val="004F4F7A"/>
    <w:rsid w:val="004F519F"/>
    <w:rsid w:val="004F52A5"/>
    <w:rsid w:val="004F572E"/>
    <w:rsid w:val="004F58D3"/>
    <w:rsid w:val="004F5BF1"/>
    <w:rsid w:val="004F5CE1"/>
    <w:rsid w:val="004F5D1F"/>
    <w:rsid w:val="004F5FF1"/>
    <w:rsid w:val="004F6363"/>
    <w:rsid w:val="004F640E"/>
    <w:rsid w:val="004F646F"/>
    <w:rsid w:val="004F6554"/>
    <w:rsid w:val="004F69E9"/>
    <w:rsid w:val="004F6CFE"/>
    <w:rsid w:val="004F6DFF"/>
    <w:rsid w:val="004F73E9"/>
    <w:rsid w:val="004F7846"/>
    <w:rsid w:val="004F7A3B"/>
    <w:rsid w:val="004F7AC4"/>
    <w:rsid w:val="004F7AD1"/>
    <w:rsid w:val="004F7D76"/>
    <w:rsid w:val="004F7E82"/>
    <w:rsid w:val="005001C2"/>
    <w:rsid w:val="00500234"/>
    <w:rsid w:val="005003A0"/>
    <w:rsid w:val="005003F1"/>
    <w:rsid w:val="005005D1"/>
    <w:rsid w:val="00500664"/>
    <w:rsid w:val="0050085D"/>
    <w:rsid w:val="005008AD"/>
    <w:rsid w:val="0050097D"/>
    <w:rsid w:val="005009F6"/>
    <w:rsid w:val="00500A00"/>
    <w:rsid w:val="00500BCF"/>
    <w:rsid w:val="00500C8C"/>
    <w:rsid w:val="00500E26"/>
    <w:rsid w:val="00500F79"/>
    <w:rsid w:val="00500FB1"/>
    <w:rsid w:val="0050102A"/>
    <w:rsid w:val="00501375"/>
    <w:rsid w:val="00501532"/>
    <w:rsid w:val="00501619"/>
    <w:rsid w:val="0050164A"/>
    <w:rsid w:val="005016EE"/>
    <w:rsid w:val="00501AA3"/>
    <w:rsid w:val="00501C39"/>
    <w:rsid w:val="00501D3B"/>
    <w:rsid w:val="00502093"/>
    <w:rsid w:val="005020A4"/>
    <w:rsid w:val="005022C5"/>
    <w:rsid w:val="005022C9"/>
    <w:rsid w:val="0050235F"/>
    <w:rsid w:val="005023D1"/>
    <w:rsid w:val="00502461"/>
    <w:rsid w:val="00502517"/>
    <w:rsid w:val="0050254F"/>
    <w:rsid w:val="005025C9"/>
    <w:rsid w:val="0050262E"/>
    <w:rsid w:val="005027F9"/>
    <w:rsid w:val="00502B1F"/>
    <w:rsid w:val="00502C6B"/>
    <w:rsid w:val="00502D6D"/>
    <w:rsid w:val="00502F96"/>
    <w:rsid w:val="00503117"/>
    <w:rsid w:val="0050315A"/>
    <w:rsid w:val="0050335E"/>
    <w:rsid w:val="005033BF"/>
    <w:rsid w:val="00503C61"/>
    <w:rsid w:val="00503C8D"/>
    <w:rsid w:val="00503DD9"/>
    <w:rsid w:val="00503EA2"/>
    <w:rsid w:val="00503FB9"/>
    <w:rsid w:val="00504378"/>
    <w:rsid w:val="0050476E"/>
    <w:rsid w:val="005047FF"/>
    <w:rsid w:val="00504883"/>
    <w:rsid w:val="005048FB"/>
    <w:rsid w:val="00504B29"/>
    <w:rsid w:val="00504CA3"/>
    <w:rsid w:val="00504F8D"/>
    <w:rsid w:val="0050506C"/>
    <w:rsid w:val="005051C7"/>
    <w:rsid w:val="005052C7"/>
    <w:rsid w:val="005052D7"/>
    <w:rsid w:val="00505369"/>
    <w:rsid w:val="0050538F"/>
    <w:rsid w:val="0050547F"/>
    <w:rsid w:val="00505627"/>
    <w:rsid w:val="00505699"/>
    <w:rsid w:val="005056AA"/>
    <w:rsid w:val="005057F8"/>
    <w:rsid w:val="00505B12"/>
    <w:rsid w:val="00505C3F"/>
    <w:rsid w:val="00505EDD"/>
    <w:rsid w:val="00505F87"/>
    <w:rsid w:val="00506165"/>
    <w:rsid w:val="005061A3"/>
    <w:rsid w:val="00506213"/>
    <w:rsid w:val="00506721"/>
    <w:rsid w:val="005068F4"/>
    <w:rsid w:val="00506EE0"/>
    <w:rsid w:val="00507045"/>
    <w:rsid w:val="0050779D"/>
    <w:rsid w:val="00507811"/>
    <w:rsid w:val="00507A5E"/>
    <w:rsid w:val="00507C36"/>
    <w:rsid w:val="00507C6F"/>
    <w:rsid w:val="00507DFA"/>
    <w:rsid w:val="00507E54"/>
    <w:rsid w:val="00510355"/>
    <w:rsid w:val="005103B7"/>
    <w:rsid w:val="00510602"/>
    <w:rsid w:val="00510B36"/>
    <w:rsid w:val="00510D20"/>
    <w:rsid w:val="00510DAE"/>
    <w:rsid w:val="00510E1D"/>
    <w:rsid w:val="00511204"/>
    <w:rsid w:val="005112BA"/>
    <w:rsid w:val="005115A4"/>
    <w:rsid w:val="005116E4"/>
    <w:rsid w:val="0051170C"/>
    <w:rsid w:val="00512194"/>
    <w:rsid w:val="005121C0"/>
    <w:rsid w:val="00512491"/>
    <w:rsid w:val="005124D2"/>
    <w:rsid w:val="0051259B"/>
    <w:rsid w:val="005125DF"/>
    <w:rsid w:val="005127A6"/>
    <w:rsid w:val="005127BD"/>
    <w:rsid w:val="00512A93"/>
    <w:rsid w:val="00512B32"/>
    <w:rsid w:val="00512CB9"/>
    <w:rsid w:val="00512DB6"/>
    <w:rsid w:val="00512E49"/>
    <w:rsid w:val="00513452"/>
    <w:rsid w:val="00513545"/>
    <w:rsid w:val="0051372E"/>
    <w:rsid w:val="00513757"/>
    <w:rsid w:val="00513996"/>
    <w:rsid w:val="005139CA"/>
    <w:rsid w:val="005139EA"/>
    <w:rsid w:val="00513AA3"/>
    <w:rsid w:val="00513AFA"/>
    <w:rsid w:val="00513ECE"/>
    <w:rsid w:val="00514062"/>
    <w:rsid w:val="005141ED"/>
    <w:rsid w:val="00514225"/>
    <w:rsid w:val="0051441C"/>
    <w:rsid w:val="00514463"/>
    <w:rsid w:val="005146DE"/>
    <w:rsid w:val="005146E6"/>
    <w:rsid w:val="0051479F"/>
    <w:rsid w:val="0051480F"/>
    <w:rsid w:val="0051481D"/>
    <w:rsid w:val="00514B86"/>
    <w:rsid w:val="00514CB2"/>
    <w:rsid w:val="00514D98"/>
    <w:rsid w:val="00514ECF"/>
    <w:rsid w:val="00515287"/>
    <w:rsid w:val="00515A6B"/>
    <w:rsid w:val="00515E22"/>
    <w:rsid w:val="00515F43"/>
    <w:rsid w:val="00515FEB"/>
    <w:rsid w:val="005160B0"/>
    <w:rsid w:val="00516228"/>
    <w:rsid w:val="0051636C"/>
    <w:rsid w:val="0051656C"/>
    <w:rsid w:val="005168DD"/>
    <w:rsid w:val="0051690C"/>
    <w:rsid w:val="005169D9"/>
    <w:rsid w:val="00516C3D"/>
    <w:rsid w:val="00516D4D"/>
    <w:rsid w:val="00516DD1"/>
    <w:rsid w:val="00517270"/>
    <w:rsid w:val="00517312"/>
    <w:rsid w:val="00517335"/>
    <w:rsid w:val="005173F0"/>
    <w:rsid w:val="005176C7"/>
    <w:rsid w:val="00517799"/>
    <w:rsid w:val="0051779A"/>
    <w:rsid w:val="00517870"/>
    <w:rsid w:val="00517AB0"/>
    <w:rsid w:val="00517BAB"/>
    <w:rsid w:val="00517BBE"/>
    <w:rsid w:val="00517E5B"/>
    <w:rsid w:val="00517E5C"/>
    <w:rsid w:val="00517E69"/>
    <w:rsid w:val="00520342"/>
    <w:rsid w:val="00520375"/>
    <w:rsid w:val="005204B8"/>
    <w:rsid w:val="00520743"/>
    <w:rsid w:val="0052084D"/>
    <w:rsid w:val="00520857"/>
    <w:rsid w:val="0052088B"/>
    <w:rsid w:val="005208A3"/>
    <w:rsid w:val="00520AD8"/>
    <w:rsid w:val="00520B78"/>
    <w:rsid w:val="00520BBB"/>
    <w:rsid w:val="00520E24"/>
    <w:rsid w:val="00520E71"/>
    <w:rsid w:val="00520FDD"/>
    <w:rsid w:val="005211BA"/>
    <w:rsid w:val="005211FD"/>
    <w:rsid w:val="0052149D"/>
    <w:rsid w:val="00521581"/>
    <w:rsid w:val="00521598"/>
    <w:rsid w:val="005215D6"/>
    <w:rsid w:val="0052189D"/>
    <w:rsid w:val="00521A7E"/>
    <w:rsid w:val="00521B2E"/>
    <w:rsid w:val="00521C7D"/>
    <w:rsid w:val="005221E6"/>
    <w:rsid w:val="0052224B"/>
    <w:rsid w:val="00522369"/>
    <w:rsid w:val="00522392"/>
    <w:rsid w:val="005223E7"/>
    <w:rsid w:val="005224A6"/>
    <w:rsid w:val="00522631"/>
    <w:rsid w:val="0052263A"/>
    <w:rsid w:val="00522BDC"/>
    <w:rsid w:val="00522EA4"/>
    <w:rsid w:val="00522FA0"/>
    <w:rsid w:val="005232A6"/>
    <w:rsid w:val="00523925"/>
    <w:rsid w:val="00523BC8"/>
    <w:rsid w:val="00523C74"/>
    <w:rsid w:val="00523FE8"/>
    <w:rsid w:val="00524036"/>
    <w:rsid w:val="00524269"/>
    <w:rsid w:val="0052447E"/>
    <w:rsid w:val="0052455B"/>
    <w:rsid w:val="005248C7"/>
    <w:rsid w:val="00524C78"/>
    <w:rsid w:val="00524D14"/>
    <w:rsid w:val="00524D86"/>
    <w:rsid w:val="00524E12"/>
    <w:rsid w:val="00525108"/>
    <w:rsid w:val="00525318"/>
    <w:rsid w:val="00525328"/>
    <w:rsid w:val="00525456"/>
    <w:rsid w:val="005255F1"/>
    <w:rsid w:val="005255F4"/>
    <w:rsid w:val="005259FF"/>
    <w:rsid w:val="00525C05"/>
    <w:rsid w:val="00525CC5"/>
    <w:rsid w:val="00525E04"/>
    <w:rsid w:val="0052612B"/>
    <w:rsid w:val="005262AB"/>
    <w:rsid w:val="00526510"/>
    <w:rsid w:val="005266A8"/>
    <w:rsid w:val="00526984"/>
    <w:rsid w:val="00526A0F"/>
    <w:rsid w:val="00526AF1"/>
    <w:rsid w:val="00526C3A"/>
    <w:rsid w:val="00526E69"/>
    <w:rsid w:val="005270F9"/>
    <w:rsid w:val="005273EC"/>
    <w:rsid w:val="00527491"/>
    <w:rsid w:val="00527545"/>
    <w:rsid w:val="00527589"/>
    <w:rsid w:val="005276D2"/>
    <w:rsid w:val="00527CA1"/>
    <w:rsid w:val="00527E7F"/>
    <w:rsid w:val="005300A3"/>
    <w:rsid w:val="005302E0"/>
    <w:rsid w:val="00530352"/>
    <w:rsid w:val="00530354"/>
    <w:rsid w:val="0053049E"/>
    <w:rsid w:val="00530892"/>
    <w:rsid w:val="005308E1"/>
    <w:rsid w:val="00530B54"/>
    <w:rsid w:val="00530E22"/>
    <w:rsid w:val="00530F2A"/>
    <w:rsid w:val="005310A1"/>
    <w:rsid w:val="0053124F"/>
    <w:rsid w:val="0053131E"/>
    <w:rsid w:val="00531410"/>
    <w:rsid w:val="005315DD"/>
    <w:rsid w:val="0053160B"/>
    <w:rsid w:val="005317EA"/>
    <w:rsid w:val="00531C43"/>
    <w:rsid w:val="00531CFD"/>
    <w:rsid w:val="00532236"/>
    <w:rsid w:val="00532405"/>
    <w:rsid w:val="00532524"/>
    <w:rsid w:val="00532684"/>
    <w:rsid w:val="0053270A"/>
    <w:rsid w:val="005327B5"/>
    <w:rsid w:val="005327CA"/>
    <w:rsid w:val="00532C8E"/>
    <w:rsid w:val="00532CC6"/>
    <w:rsid w:val="00532D7E"/>
    <w:rsid w:val="00532DBB"/>
    <w:rsid w:val="00532DFB"/>
    <w:rsid w:val="0053302F"/>
    <w:rsid w:val="00533282"/>
    <w:rsid w:val="00533374"/>
    <w:rsid w:val="005334BE"/>
    <w:rsid w:val="0053369D"/>
    <w:rsid w:val="00533787"/>
    <w:rsid w:val="00533971"/>
    <w:rsid w:val="00533B35"/>
    <w:rsid w:val="00533B82"/>
    <w:rsid w:val="00533F06"/>
    <w:rsid w:val="00534109"/>
    <w:rsid w:val="0053417E"/>
    <w:rsid w:val="00534434"/>
    <w:rsid w:val="00534946"/>
    <w:rsid w:val="00534A83"/>
    <w:rsid w:val="00534E70"/>
    <w:rsid w:val="00534F14"/>
    <w:rsid w:val="00535062"/>
    <w:rsid w:val="00535237"/>
    <w:rsid w:val="0053542C"/>
    <w:rsid w:val="00535554"/>
    <w:rsid w:val="005355D3"/>
    <w:rsid w:val="005356E9"/>
    <w:rsid w:val="0053589B"/>
    <w:rsid w:val="00535DEC"/>
    <w:rsid w:val="00535E45"/>
    <w:rsid w:val="00535FE3"/>
    <w:rsid w:val="005361E4"/>
    <w:rsid w:val="0053623A"/>
    <w:rsid w:val="00536D86"/>
    <w:rsid w:val="00537161"/>
    <w:rsid w:val="00537429"/>
    <w:rsid w:val="00537434"/>
    <w:rsid w:val="00537442"/>
    <w:rsid w:val="0053788B"/>
    <w:rsid w:val="00537952"/>
    <w:rsid w:val="005379E4"/>
    <w:rsid w:val="00537A58"/>
    <w:rsid w:val="00537A9A"/>
    <w:rsid w:val="00537AFC"/>
    <w:rsid w:val="005400EA"/>
    <w:rsid w:val="0054020F"/>
    <w:rsid w:val="005402C0"/>
    <w:rsid w:val="005402E7"/>
    <w:rsid w:val="00540481"/>
    <w:rsid w:val="005409DE"/>
    <w:rsid w:val="00540A05"/>
    <w:rsid w:val="00540A15"/>
    <w:rsid w:val="00540B77"/>
    <w:rsid w:val="00540D28"/>
    <w:rsid w:val="005418A9"/>
    <w:rsid w:val="005418D4"/>
    <w:rsid w:val="00541DFE"/>
    <w:rsid w:val="00542284"/>
    <w:rsid w:val="0054237D"/>
    <w:rsid w:val="005423AD"/>
    <w:rsid w:val="0054244C"/>
    <w:rsid w:val="005425AA"/>
    <w:rsid w:val="0054269A"/>
    <w:rsid w:val="00542A9C"/>
    <w:rsid w:val="00542B17"/>
    <w:rsid w:val="00542C85"/>
    <w:rsid w:val="00542D5A"/>
    <w:rsid w:val="00542E1D"/>
    <w:rsid w:val="00542E3D"/>
    <w:rsid w:val="00542FDC"/>
    <w:rsid w:val="005430D8"/>
    <w:rsid w:val="00543348"/>
    <w:rsid w:val="0054334E"/>
    <w:rsid w:val="00543410"/>
    <w:rsid w:val="005436CA"/>
    <w:rsid w:val="005438C3"/>
    <w:rsid w:val="00543E6C"/>
    <w:rsid w:val="00544184"/>
    <w:rsid w:val="00544291"/>
    <w:rsid w:val="005442C6"/>
    <w:rsid w:val="00544426"/>
    <w:rsid w:val="00544447"/>
    <w:rsid w:val="005444E0"/>
    <w:rsid w:val="0054457D"/>
    <w:rsid w:val="00544858"/>
    <w:rsid w:val="00544C85"/>
    <w:rsid w:val="00544E93"/>
    <w:rsid w:val="00545756"/>
    <w:rsid w:val="0054576D"/>
    <w:rsid w:val="00545A92"/>
    <w:rsid w:val="00545D6C"/>
    <w:rsid w:val="00545D7B"/>
    <w:rsid w:val="005460FA"/>
    <w:rsid w:val="005462B3"/>
    <w:rsid w:val="00546316"/>
    <w:rsid w:val="00546318"/>
    <w:rsid w:val="005463EE"/>
    <w:rsid w:val="00546423"/>
    <w:rsid w:val="00546485"/>
    <w:rsid w:val="005465D7"/>
    <w:rsid w:val="00546ABE"/>
    <w:rsid w:val="00546BA1"/>
    <w:rsid w:val="00546CE2"/>
    <w:rsid w:val="00546FE7"/>
    <w:rsid w:val="00547075"/>
    <w:rsid w:val="005471FA"/>
    <w:rsid w:val="00547313"/>
    <w:rsid w:val="00547457"/>
    <w:rsid w:val="00547640"/>
    <w:rsid w:val="00547686"/>
    <w:rsid w:val="00547836"/>
    <w:rsid w:val="00547FE7"/>
    <w:rsid w:val="00550371"/>
    <w:rsid w:val="005505E8"/>
    <w:rsid w:val="00550651"/>
    <w:rsid w:val="005508BF"/>
    <w:rsid w:val="005509E0"/>
    <w:rsid w:val="00550CD0"/>
    <w:rsid w:val="005511AE"/>
    <w:rsid w:val="005512A9"/>
    <w:rsid w:val="00551359"/>
    <w:rsid w:val="005513B8"/>
    <w:rsid w:val="005518ED"/>
    <w:rsid w:val="00551C0C"/>
    <w:rsid w:val="00551F0E"/>
    <w:rsid w:val="00551FA9"/>
    <w:rsid w:val="00551FE5"/>
    <w:rsid w:val="00552198"/>
    <w:rsid w:val="0055239D"/>
    <w:rsid w:val="0055247E"/>
    <w:rsid w:val="00552705"/>
    <w:rsid w:val="00552875"/>
    <w:rsid w:val="00552A06"/>
    <w:rsid w:val="00552AE7"/>
    <w:rsid w:val="00552D8C"/>
    <w:rsid w:val="00552F84"/>
    <w:rsid w:val="00553076"/>
    <w:rsid w:val="005533A7"/>
    <w:rsid w:val="00553542"/>
    <w:rsid w:val="005536F2"/>
    <w:rsid w:val="005537C3"/>
    <w:rsid w:val="00553823"/>
    <w:rsid w:val="0055392E"/>
    <w:rsid w:val="0055394D"/>
    <w:rsid w:val="00553AE7"/>
    <w:rsid w:val="00553B3A"/>
    <w:rsid w:val="00553BDC"/>
    <w:rsid w:val="00553E30"/>
    <w:rsid w:val="00554157"/>
    <w:rsid w:val="005543EA"/>
    <w:rsid w:val="0055468C"/>
    <w:rsid w:val="0055483B"/>
    <w:rsid w:val="00554BD2"/>
    <w:rsid w:val="0055503E"/>
    <w:rsid w:val="005551C7"/>
    <w:rsid w:val="005552FD"/>
    <w:rsid w:val="00555397"/>
    <w:rsid w:val="00555632"/>
    <w:rsid w:val="005556BD"/>
    <w:rsid w:val="00555813"/>
    <w:rsid w:val="005558E3"/>
    <w:rsid w:val="005559E0"/>
    <w:rsid w:val="00555B1A"/>
    <w:rsid w:val="00555BDA"/>
    <w:rsid w:val="00555C32"/>
    <w:rsid w:val="00555EF4"/>
    <w:rsid w:val="00555F81"/>
    <w:rsid w:val="005560B8"/>
    <w:rsid w:val="005560FE"/>
    <w:rsid w:val="00556601"/>
    <w:rsid w:val="005568BE"/>
    <w:rsid w:val="005568CE"/>
    <w:rsid w:val="00556991"/>
    <w:rsid w:val="00556A6D"/>
    <w:rsid w:val="00556A83"/>
    <w:rsid w:val="00556BF1"/>
    <w:rsid w:val="00556C2E"/>
    <w:rsid w:val="00556C3A"/>
    <w:rsid w:val="00556C52"/>
    <w:rsid w:val="00556C56"/>
    <w:rsid w:val="00556CE3"/>
    <w:rsid w:val="00556D82"/>
    <w:rsid w:val="00556EF3"/>
    <w:rsid w:val="00556FF1"/>
    <w:rsid w:val="00557376"/>
    <w:rsid w:val="00557468"/>
    <w:rsid w:val="005575CC"/>
    <w:rsid w:val="005579EC"/>
    <w:rsid w:val="00557A28"/>
    <w:rsid w:val="00557A36"/>
    <w:rsid w:val="00557AD3"/>
    <w:rsid w:val="00557BFB"/>
    <w:rsid w:val="00557D31"/>
    <w:rsid w:val="005600E1"/>
    <w:rsid w:val="005600E5"/>
    <w:rsid w:val="005602BF"/>
    <w:rsid w:val="005602F4"/>
    <w:rsid w:val="005606A2"/>
    <w:rsid w:val="0056097B"/>
    <w:rsid w:val="00561006"/>
    <w:rsid w:val="00561401"/>
    <w:rsid w:val="00561415"/>
    <w:rsid w:val="005616CC"/>
    <w:rsid w:val="00561A60"/>
    <w:rsid w:val="00561BD7"/>
    <w:rsid w:val="005621DE"/>
    <w:rsid w:val="00562220"/>
    <w:rsid w:val="00562385"/>
    <w:rsid w:val="005623DA"/>
    <w:rsid w:val="005625BB"/>
    <w:rsid w:val="0056292D"/>
    <w:rsid w:val="00562B90"/>
    <w:rsid w:val="00562BA5"/>
    <w:rsid w:val="00562C4F"/>
    <w:rsid w:val="00562D3B"/>
    <w:rsid w:val="00562D77"/>
    <w:rsid w:val="00562DD5"/>
    <w:rsid w:val="00562EDB"/>
    <w:rsid w:val="00562FA3"/>
    <w:rsid w:val="0056380D"/>
    <w:rsid w:val="0056391F"/>
    <w:rsid w:val="00563AF5"/>
    <w:rsid w:val="00563C62"/>
    <w:rsid w:val="00563D08"/>
    <w:rsid w:val="00564035"/>
    <w:rsid w:val="005640AF"/>
    <w:rsid w:val="0056410F"/>
    <w:rsid w:val="00564211"/>
    <w:rsid w:val="00564256"/>
    <w:rsid w:val="0056430A"/>
    <w:rsid w:val="005644BE"/>
    <w:rsid w:val="00564551"/>
    <w:rsid w:val="0056466A"/>
    <w:rsid w:val="00564C39"/>
    <w:rsid w:val="00564C9C"/>
    <w:rsid w:val="00564DF2"/>
    <w:rsid w:val="00564E8F"/>
    <w:rsid w:val="0056519F"/>
    <w:rsid w:val="00565211"/>
    <w:rsid w:val="00565271"/>
    <w:rsid w:val="005653D2"/>
    <w:rsid w:val="0056541B"/>
    <w:rsid w:val="0056541C"/>
    <w:rsid w:val="005656B2"/>
    <w:rsid w:val="00565841"/>
    <w:rsid w:val="00565A10"/>
    <w:rsid w:val="00565A58"/>
    <w:rsid w:val="00565AC7"/>
    <w:rsid w:val="00565B36"/>
    <w:rsid w:val="00565DD3"/>
    <w:rsid w:val="00565EB2"/>
    <w:rsid w:val="00566051"/>
    <w:rsid w:val="00566550"/>
    <w:rsid w:val="005669E4"/>
    <w:rsid w:val="00566A0D"/>
    <w:rsid w:val="00566BEA"/>
    <w:rsid w:val="00566C5B"/>
    <w:rsid w:val="00566F88"/>
    <w:rsid w:val="005674EE"/>
    <w:rsid w:val="005675CB"/>
    <w:rsid w:val="00567AB0"/>
    <w:rsid w:val="00567BE2"/>
    <w:rsid w:val="00567D11"/>
    <w:rsid w:val="005687DF"/>
    <w:rsid w:val="005702B0"/>
    <w:rsid w:val="00570453"/>
    <w:rsid w:val="005704D1"/>
    <w:rsid w:val="00570544"/>
    <w:rsid w:val="0057054A"/>
    <w:rsid w:val="00570794"/>
    <w:rsid w:val="00570984"/>
    <w:rsid w:val="00570AB2"/>
    <w:rsid w:val="00570C81"/>
    <w:rsid w:val="00570C83"/>
    <w:rsid w:val="00570DC6"/>
    <w:rsid w:val="00570E1A"/>
    <w:rsid w:val="00570E82"/>
    <w:rsid w:val="00570FAA"/>
    <w:rsid w:val="0057106C"/>
    <w:rsid w:val="005711FA"/>
    <w:rsid w:val="00571217"/>
    <w:rsid w:val="005713B1"/>
    <w:rsid w:val="005713D1"/>
    <w:rsid w:val="0057165E"/>
    <w:rsid w:val="00571842"/>
    <w:rsid w:val="00571921"/>
    <w:rsid w:val="00571BD2"/>
    <w:rsid w:val="00571C23"/>
    <w:rsid w:val="00571DF4"/>
    <w:rsid w:val="00571EC4"/>
    <w:rsid w:val="0057202B"/>
    <w:rsid w:val="00572168"/>
    <w:rsid w:val="005725CD"/>
    <w:rsid w:val="005726A7"/>
    <w:rsid w:val="005728A4"/>
    <w:rsid w:val="005729C2"/>
    <w:rsid w:val="00572A19"/>
    <w:rsid w:val="00572C71"/>
    <w:rsid w:val="00572E3E"/>
    <w:rsid w:val="00572E47"/>
    <w:rsid w:val="00573029"/>
    <w:rsid w:val="005730FA"/>
    <w:rsid w:val="00573309"/>
    <w:rsid w:val="00573BC4"/>
    <w:rsid w:val="00573D26"/>
    <w:rsid w:val="005743D5"/>
    <w:rsid w:val="00574565"/>
    <w:rsid w:val="005746F4"/>
    <w:rsid w:val="0057482E"/>
    <w:rsid w:val="00574A04"/>
    <w:rsid w:val="00574A26"/>
    <w:rsid w:val="00574A41"/>
    <w:rsid w:val="00574C09"/>
    <w:rsid w:val="00574F6D"/>
    <w:rsid w:val="00575127"/>
    <w:rsid w:val="00575587"/>
    <w:rsid w:val="00575B54"/>
    <w:rsid w:val="00575BEC"/>
    <w:rsid w:val="00575FAE"/>
    <w:rsid w:val="00576006"/>
    <w:rsid w:val="0057621B"/>
    <w:rsid w:val="00576271"/>
    <w:rsid w:val="0057635D"/>
    <w:rsid w:val="005763FC"/>
    <w:rsid w:val="00576485"/>
    <w:rsid w:val="00576996"/>
    <w:rsid w:val="00576B5E"/>
    <w:rsid w:val="00576C4E"/>
    <w:rsid w:val="00576CED"/>
    <w:rsid w:val="00576D3A"/>
    <w:rsid w:val="00576EB4"/>
    <w:rsid w:val="00577243"/>
    <w:rsid w:val="0057726E"/>
    <w:rsid w:val="005772B6"/>
    <w:rsid w:val="00577440"/>
    <w:rsid w:val="005774BD"/>
    <w:rsid w:val="00577602"/>
    <w:rsid w:val="0057779F"/>
    <w:rsid w:val="00577804"/>
    <w:rsid w:val="00577967"/>
    <w:rsid w:val="00577B30"/>
    <w:rsid w:val="00577EA2"/>
    <w:rsid w:val="00577FE1"/>
    <w:rsid w:val="00580258"/>
    <w:rsid w:val="005803F7"/>
    <w:rsid w:val="00580969"/>
    <w:rsid w:val="00580A4E"/>
    <w:rsid w:val="00581265"/>
    <w:rsid w:val="00581344"/>
    <w:rsid w:val="005813A1"/>
    <w:rsid w:val="00581426"/>
    <w:rsid w:val="00581D68"/>
    <w:rsid w:val="00581F52"/>
    <w:rsid w:val="00581F80"/>
    <w:rsid w:val="0058205E"/>
    <w:rsid w:val="005825E1"/>
    <w:rsid w:val="00582611"/>
    <w:rsid w:val="0058261D"/>
    <w:rsid w:val="00582645"/>
    <w:rsid w:val="00582768"/>
    <w:rsid w:val="00582828"/>
    <w:rsid w:val="0058284C"/>
    <w:rsid w:val="0058286A"/>
    <w:rsid w:val="005828C8"/>
    <w:rsid w:val="005829AB"/>
    <w:rsid w:val="005829D3"/>
    <w:rsid w:val="00582B47"/>
    <w:rsid w:val="00582C34"/>
    <w:rsid w:val="00582CCE"/>
    <w:rsid w:val="00582ED0"/>
    <w:rsid w:val="005830AC"/>
    <w:rsid w:val="005832E0"/>
    <w:rsid w:val="0058336A"/>
    <w:rsid w:val="00583461"/>
    <w:rsid w:val="005835C2"/>
    <w:rsid w:val="005836B6"/>
    <w:rsid w:val="005836CB"/>
    <w:rsid w:val="00583BED"/>
    <w:rsid w:val="00583F87"/>
    <w:rsid w:val="005840B9"/>
    <w:rsid w:val="005841EA"/>
    <w:rsid w:val="0058431D"/>
    <w:rsid w:val="00584559"/>
    <w:rsid w:val="005848B6"/>
    <w:rsid w:val="005848C3"/>
    <w:rsid w:val="00584C3B"/>
    <w:rsid w:val="00584F6E"/>
    <w:rsid w:val="00585142"/>
    <w:rsid w:val="005852E0"/>
    <w:rsid w:val="0058539A"/>
    <w:rsid w:val="00585444"/>
    <w:rsid w:val="005854C3"/>
    <w:rsid w:val="00585699"/>
    <w:rsid w:val="005856A4"/>
    <w:rsid w:val="00585919"/>
    <w:rsid w:val="00585933"/>
    <w:rsid w:val="00585990"/>
    <w:rsid w:val="00585DCF"/>
    <w:rsid w:val="00585EA2"/>
    <w:rsid w:val="00585EDE"/>
    <w:rsid w:val="00585EF9"/>
    <w:rsid w:val="00585FD4"/>
    <w:rsid w:val="0058636A"/>
    <w:rsid w:val="00586483"/>
    <w:rsid w:val="005864DA"/>
    <w:rsid w:val="005866AE"/>
    <w:rsid w:val="005866D9"/>
    <w:rsid w:val="005868EA"/>
    <w:rsid w:val="0058695C"/>
    <w:rsid w:val="005869AD"/>
    <w:rsid w:val="00586A11"/>
    <w:rsid w:val="00586A1C"/>
    <w:rsid w:val="00586B37"/>
    <w:rsid w:val="00586D1B"/>
    <w:rsid w:val="00586DC5"/>
    <w:rsid w:val="00587003"/>
    <w:rsid w:val="005871D8"/>
    <w:rsid w:val="0058758A"/>
    <w:rsid w:val="005875CE"/>
    <w:rsid w:val="005875F7"/>
    <w:rsid w:val="00587859"/>
    <w:rsid w:val="0058798A"/>
    <w:rsid w:val="00587A21"/>
    <w:rsid w:val="00587BD2"/>
    <w:rsid w:val="00587D98"/>
    <w:rsid w:val="00587E50"/>
    <w:rsid w:val="00590520"/>
    <w:rsid w:val="00590730"/>
    <w:rsid w:val="00590848"/>
    <w:rsid w:val="00590A53"/>
    <w:rsid w:val="00590D0D"/>
    <w:rsid w:val="005910FA"/>
    <w:rsid w:val="005911AB"/>
    <w:rsid w:val="0059157C"/>
    <w:rsid w:val="005917E9"/>
    <w:rsid w:val="0059190F"/>
    <w:rsid w:val="00591986"/>
    <w:rsid w:val="0059198F"/>
    <w:rsid w:val="00591B0B"/>
    <w:rsid w:val="00591B15"/>
    <w:rsid w:val="00591B7A"/>
    <w:rsid w:val="00591C1F"/>
    <w:rsid w:val="00591E4E"/>
    <w:rsid w:val="005921F7"/>
    <w:rsid w:val="005922AF"/>
    <w:rsid w:val="0059269B"/>
    <w:rsid w:val="0059283C"/>
    <w:rsid w:val="005928CD"/>
    <w:rsid w:val="005928E9"/>
    <w:rsid w:val="00593024"/>
    <w:rsid w:val="00593135"/>
    <w:rsid w:val="00593165"/>
    <w:rsid w:val="0059363C"/>
    <w:rsid w:val="00593766"/>
    <w:rsid w:val="005937A7"/>
    <w:rsid w:val="005937DC"/>
    <w:rsid w:val="00593891"/>
    <w:rsid w:val="00593E8A"/>
    <w:rsid w:val="00594008"/>
    <w:rsid w:val="00594176"/>
    <w:rsid w:val="00594260"/>
    <w:rsid w:val="005945F2"/>
    <w:rsid w:val="005946D4"/>
    <w:rsid w:val="00594746"/>
    <w:rsid w:val="0059478F"/>
    <w:rsid w:val="0059486C"/>
    <w:rsid w:val="00594A1A"/>
    <w:rsid w:val="00594A62"/>
    <w:rsid w:val="00594A76"/>
    <w:rsid w:val="00594B76"/>
    <w:rsid w:val="005951DC"/>
    <w:rsid w:val="005954EB"/>
    <w:rsid w:val="0059553D"/>
    <w:rsid w:val="00595577"/>
    <w:rsid w:val="00595664"/>
    <w:rsid w:val="00595763"/>
    <w:rsid w:val="0059597C"/>
    <w:rsid w:val="00595AAA"/>
    <w:rsid w:val="00595B3F"/>
    <w:rsid w:val="00595D51"/>
    <w:rsid w:val="00595D59"/>
    <w:rsid w:val="00595D61"/>
    <w:rsid w:val="00595FD7"/>
    <w:rsid w:val="005962F1"/>
    <w:rsid w:val="005963DE"/>
    <w:rsid w:val="0059665F"/>
    <w:rsid w:val="00596935"/>
    <w:rsid w:val="00596BB1"/>
    <w:rsid w:val="00596D6B"/>
    <w:rsid w:val="00596F6D"/>
    <w:rsid w:val="00596FEF"/>
    <w:rsid w:val="00597160"/>
    <w:rsid w:val="005971EF"/>
    <w:rsid w:val="00597236"/>
    <w:rsid w:val="0059724A"/>
    <w:rsid w:val="005972EA"/>
    <w:rsid w:val="0059730D"/>
    <w:rsid w:val="0059743C"/>
    <w:rsid w:val="0059747D"/>
    <w:rsid w:val="0059786D"/>
    <w:rsid w:val="0059791C"/>
    <w:rsid w:val="00597C0B"/>
    <w:rsid w:val="00597CE2"/>
    <w:rsid w:val="00597DDD"/>
    <w:rsid w:val="00597FAA"/>
    <w:rsid w:val="005A01AA"/>
    <w:rsid w:val="005A01D4"/>
    <w:rsid w:val="005A0240"/>
    <w:rsid w:val="005A02A4"/>
    <w:rsid w:val="005A0799"/>
    <w:rsid w:val="005A0956"/>
    <w:rsid w:val="005A0BEB"/>
    <w:rsid w:val="005A0C05"/>
    <w:rsid w:val="005A0CFF"/>
    <w:rsid w:val="005A0DFD"/>
    <w:rsid w:val="005A10D4"/>
    <w:rsid w:val="005A16DC"/>
    <w:rsid w:val="005A1754"/>
    <w:rsid w:val="005A1AD6"/>
    <w:rsid w:val="005A1B28"/>
    <w:rsid w:val="005A1B65"/>
    <w:rsid w:val="005A1D45"/>
    <w:rsid w:val="005A1E19"/>
    <w:rsid w:val="005A1E2C"/>
    <w:rsid w:val="005A1E36"/>
    <w:rsid w:val="005A21F3"/>
    <w:rsid w:val="005A2246"/>
    <w:rsid w:val="005A2541"/>
    <w:rsid w:val="005A28A1"/>
    <w:rsid w:val="005A2932"/>
    <w:rsid w:val="005A2A28"/>
    <w:rsid w:val="005A2A7A"/>
    <w:rsid w:val="005A2AD8"/>
    <w:rsid w:val="005A2B6C"/>
    <w:rsid w:val="005A2BBB"/>
    <w:rsid w:val="005A2D65"/>
    <w:rsid w:val="005A2D66"/>
    <w:rsid w:val="005A2F6C"/>
    <w:rsid w:val="005A3051"/>
    <w:rsid w:val="005A30A7"/>
    <w:rsid w:val="005A3166"/>
    <w:rsid w:val="005A31B2"/>
    <w:rsid w:val="005A356D"/>
    <w:rsid w:val="005A35A1"/>
    <w:rsid w:val="005A38FD"/>
    <w:rsid w:val="005A3931"/>
    <w:rsid w:val="005A3AFF"/>
    <w:rsid w:val="005A3B49"/>
    <w:rsid w:val="005A3C99"/>
    <w:rsid w:val="005A3E32"/>
    <w:rsid w:val="005A3E55"/>
    <w:rsid w:val="005A3F90"/>
    <w:rsid w:val="005A43C4"/>
    <w:rsid w:val="005A4664"/>
    <w:rsid w:val="005A47EC"/>
    <w:rsid w:val="005A4933"/>
    <w:rsid w:val="005A49FE"/>
    <w:rsid w:val="005A4A31"/>
    <w:rsid w:val="005A4AA3"/>
    <w:rsid w:val="005A4C75"/>
    <w:rsid w:val="005A523A"/>
    <w:rsid w:val="005A53FE"/>
    <w:rsid w:val="005A55F5"/>
    <w:rsid w:val="005A57BA"/>
    <w:rsid w:val="005A5895"/>
    <w:rsid w:val="005A5C11"/>
    <w:rsid w:val="005A5EB0"/>
    <w:rsid w:val="005A6034"/>
    <w:rsid w:val="005A6484"/>
    <w:rsid w:val="005A655D"/>
    <w:rsid w:val="005A6578"/>
    <w:rsid w:val="005A6587"/>
    <w:rsid w:val="005A6649"/>
    <w:rsid w:val="005A683E"/>
    <w:rsid w:val="005A6991"/>
    <w:rsid w:val="005A6C8A"/>
    <w:rsid w:val="005A6CBE"/>
    <w:rsid w:val="005A6CD2"/>
    <w:rsid w:val="005A6DD4"/>
    <w:rsid w:val="005A705A"/>
    <w:rsid w:val="005A7478"/>
    <w:rsid w:val="005A75D2"/>
    <w:rsid w:val="005A7C28"/>
    <w:rsid w:val="005A7C39"/>
    <w:rsid w:val="005B02AF"/>
    <w:rsid w:val="005B0485"/>
    <w:rsid w:val="005B05AB"/>
    <w:rsid w:val="005B0764"/>
    <w:rsid w:val="005B090B"/>
    <w:rsid w:val="005B0EC1"/>
    <w:rsid w:val="005B1078"/>
    <w:rsid w:val="005B10D1"/>
    <w:rsid w:val="005B119B"/>
    <w:rsid w:val="005B13F4"/>
    <w:rsid w:val="005B1584"/>
    <w:rsid w:val="005B1729"/>
    <w:rsid w:val="005B174D"/>
    <w:rsid w:val="005B1814"/>
    <w:rsid w:val="005B1BD4"/>
    <w:rsid w:val="005B1D0A"/>
    <w:rsid w:val="005B1D34"/>
    <w:rsid w:val="005B1D83"/>
    <w:rsid w:val="005B1EE9"/>
    <w:rsid w:val="005B20EC"/>
    <w:rsid w:val="005B21A3"/>
    <w:rsid w:val="005B2266"/>
    <w:rsid w:val="005B2301"/>
    <w:rsid w:val="005B2779"/>
    <w:rsid w:val="005B2908"/>
    <w:rsid w:val="005B2B3B"/>
    <w:rsid w:val="005B2BAF"/>
    <w:rsid w:val="005B2C79"/>
    <w:rsid w:val="005B2D6A"/>
    <w:rsid w:val="005B33BB"/>
    <w:rsid w:val="005B36B8"/>
    <w:rsid w:val="005B37CF"/>
    <w:rsid w:val="005B3C41"/>
    <w:rsid w:val="005B3DBE"/>
    <w:rsid w:val="005B3F4E"/>
    <w:rsid w:val="005B40F7"/>
    <w:rsid w:val="005B40FA"/>
    <w:rsid w:val="005B4D04"/>
    <w:rsid w:val="005B4DE4"/>
    <w:rsid w:val="005B4E2B"/>
    <w:rsid w:val="005B4EEC"/>
    <w:rsid w:val="005B4FCA"/>
    <w:rsid w:val="005B50BE"/>
    <w:rsid w:val="005B520E"/>
    <w:rsid w:val="005B53C9"/>
    <w:rsid w:val="005B54BB"/>
    <w:rsid w:val="005B5871"/>
    <w:rsid w:val="005B597A"/>
    <w:rsid w:val="005B5CC1"/>
    <w:rsid w:val="005B5D10"/>
    <w:rsid w:val="005B5DED"/>
    <w:rsid w:val="005B6123"/>
    <w:rsid w:val="005B6280"/>
    <w:rsid w:val="005B644B"/>
    <w:rsid w:val="005B6487"/>
    <w:rsid w:val="005B64C8"/>
    <w:rsid w:val="005B6AAB"/>
    <w:rsid w:val="005B6B14"/>
    <w:rsid w:val="005B6B3B"/>
    <w:rsid w:val="005B6B7D"/>
    <w:rsid w:val="005B6BFB"/>
    <w:rsid w:val="005B6C3E"/>
    <w:rsid w:val="005B6EEB"/>
    <w:rsid w:val="005B7313"/>
    <w:rsid w:val="005B73A2"/>
    <w:rsid w:val="005B75B5"/>
    <w:rsid w:val="005B76EF"/>
    <w:rsid w:val="005B7D22"/>
    <w:rsid w:val="005B7E7B"/>
    <w:rsid w:val="005B7FAB"/>
    <w:rsid w:val="005C0029"/>
    <w:rsid w:val="005C0047"/>
    <w:rsid w:val="005C00DC"/>
    <w:rsid w:val="005C01F0"/>
    <w:rsid w:val="005C029E"/>
    <w:rsid w:val="005C0666"/>
    <w:rsid w:val="005C0692"/>
    <w:rsid w:val="005C06F5"/>
    <w:rsid w:val="005C07F2"/>
    <w:rsid w:val="005C08C0"/>
    <w:rsid w:val="005C0931"/>
    <w:rsid w:val="005C0948"/>
    <w:rsid w:val="005C12CE"/>
    <w:rsid w:val="005C12D2"/>
    <w:rsid w:val="005C1982"/>
    <w:rsid w:val="005C1A32"/>
    <w:rsid w:val="005C1D7C"/>
    <w:rsid w:val="005C1F4D"/>
    <w:rsid w:val="005C2381"/>
    <w:rsid w:val="005C2389"/>
    <w:rsid w:val="005C244C"/>
    <w:rsid w:val="005C244E"/>
    <w:rsid w:val="005C256C"/>
    <w:rsid w:val="005C2657"/>
    <w:rsid w:val="005C2A1C"/>
    <w:rsid w:val="005C2B06"/>
    <w:rsid w:val="005C30EE"/>
    <w:rsid w:val="005C3186"/>
    <w:rsid w:val="005C31C8"/>
    <w:rsid w:val="005C3209"/>
    <w:rsid w:val="005C393B"/>
    <w:rsid w:val="005C3A39"/>
    <w:rsid w:val="005C3B91"/>
    <w:rsid w:val="005C3BCB"/>
    <w:rsid w:val="005C3C22"/>
    <w:rsid w:val="005C3D4C"/>
    <w:rsid w:val="005C3F22"/>
    <w:rsid w:val="005C43A8"/>
    <w:rsid w:val="005C4517"/>
    <w:rsid w:val="005C4823"/>
    <w:rsid w:val="005C49F5"/>
    <w:rsid w:val="005C4A51"/>
    <w:rsid w:val="005C4BFA"/>
    <w:rsid w:val="005C4D3A"/>
    <w:rsid w:val="005C4E0A"/>
    <w:rsid w:val="005C4EB3"/>
    <w:rsid w:val="005C5025"/>
    <w:rsid w:val="005C5327"/>
    <w:rsid w:val="005C549A"/>
    <w:rsid w:val="005C5500"/>
    <w:rsid w:val="005C5B81"/>
    <w:rsid w:val="005C5FF4"/>
    <w:rsid w:val="005C6026"/>
    <w:rsid w:val="005C6249"/>
    <w:rsid w:val="005C635A"/>
    <w:rsid w:val="005C6425"/>
    <w:rsid w:val="005C67E7"/>
    <w:rsid w:val="005C6899"/>
    <w:rsid w:val="005C6E3D"/>
    <w:rsid w:val="005C6EEA"/>
    <w:rsid w:val="005C70BA"/>
    <w:rsid w:val="005C7A67"/>
    <w:rsid w:val="005C7BBE"/>
    <w:rsid w:val="005C7D0F"/>
    <w:rsid w:val="005C7DC6"/>
    <w:rsid w:val="005C7E94"/>
    <w:rsid w:val="005C7EA8"/>
    <w:rsid w:val="005D0031"/>
    <w:rsid w:val="005D018B"/>
    <w:rsid w:val="005D0254"/>
    <w:rsid w:val="005D0739"/>
    <w:rsid w:val="005D07A0"/>
    <w:rsid w:val="005D0C31"/>
    <w:rsid w:val="005D0D0E"/>
    <w:rsid w:val="005D0EE3"/>
    <w:rsid w:val="005D1077"/>
    <w:rsid w:val="005D13AB"/>
    <w:rsid w:val="005D1463"/>
    <w:rsid w:val="005D1550"/>
    <w:rsid w:val="005D1A98"/>
    <w:rsid w:val="005D1B5C"/>
    <w:rsid w:val="005D1C0C"/>
    <w:rsid w:val="005D1ED1"/>
    <w:rsid w:val="005D1ED9"/>
    <w:rsid w:val="005D1F27"/>
    <w:rsid w:val="005D20D2"/>
    <w:rsid w:val="005D24B9"/>
    <w:rsid w:val="005D2558"/>
    <w:rsid w:val="005D2592"/>
    <w:rsid w:val="005D295D"/>
    <w:rsid w:val="005D2A55"/>
    <w:rsid w:val="005D2BB8"/>
    <w:rsid w:val="005D2C2B"/>
    <w:rsid w:val="005D2CB6"/>
    <w:rsid w:val="005D2D40"/>
    <w:rsid w:val="005D2EBB"/>
    <w:rsid w:val="005D2F48"/>
    <w:rsid w:val="005D3138"/>
    <w:rsid w:val="005D362E"/>
    <w:rsid w:val="005D38CA"/>
    <w:rsid w:val="005D39EE"/>
    <w:rsid w:val="005D3E63"/>
    <w:rsid w:val="005D3EB3"/>
    <w:rsid w:val="005D4146"/>
    <w:rsid w:val="005D45EA"/>
    <w:rsid w:val="005D482B"/>
    <w:rsid w:val="005D4A42"/>
    <w:rsid w:val="005D4AAE"/>
    <w:rsid w:val="005D4D60"/>
    <w:rsid w:val="005D4F22"/>
    <w:rsid w:val="005D503C"/>
    <w:rsid w:val="005D51E5"/>
    <w:rsid w:val="005D527D"/>
    <w:rsid w:val="005D54E2"/>
    <w:rsid w:val="005D5A56"/>
    <w:rsid w:val="005D5B29"/>
    <w:rsid w:val="005D5BFF"/>
    <w:rsid w:val="005D5C88"/>
    <w:rsid w:val="005D5CA1"/>
    <w:rsid w:val="005D5CF0"/>
    <w:rsid w:val="005D601A"/>
    <w:rsid w:val="005D62D1"/>
    <w:rsid w:val="005D63CD"/>
    <w:rsid w:val="005D63DF"/>
    <w:rsid w:val="005D6745"/>
    <w:rsid w:val="005D689A"/>
    <w:rsid w:val="005D698D"/>
    <w:rsid w:val="005D6B4F"/>
    <w:rsid w:val="005D6B56"/>
    <w:rsid w:val="005D6F99"/>
    <w:rsid w:val="005D7060"/>
    <w:rsid w:val="005D715A"/>
    <w:rsid w:val="005D727F"/>
    <w:rsid w:val="005D73D4"/>
    <w:rsid w:val="005D7573"/>
    <w:rsid w:val="005D75E1"/>
    <w:rsid w:val="005D75FC"/>
    <w:rsid w:val="005D791D"/>
    <w:rsid w:val="005D7951"/>
    <w:rsid w:val="005D79D3"/>
    <w:rsid w:val="005D79E0"/>
    <w:rsid w:val="005D7A2E"/>
    <w:rsid w:val="005D7BD6"/>
    <w:rsid w:val="005D7CC0"/>
    <w:rsid w:val="005D7D61"/>
    <w:rsid w:val="005D7EEE"/>
    <w:rsid w:val="005E02A1"/>
    <w:rsid w:val="005E045C"/>
    <w:rsid w:val="005E0465"/>
    <w:rsid w:val="005E07B6"/>
    <w:rsid w:val="005E085D"/>
    <w:rsid w:val="005E09CF"/>
    <w:rsid w:val="005E0C39"/>
    <w:rsid w:val="005E0F3F"/>
    <w:rsid w:val="005E15B3"/>
    <w:rsid w:val="005E18F5"/>
    <w:rsid w:val="005E1C87"/>
    <w:rsid w:val="005E1D5F"/>
    <w:rsid w:val="005E225C"/>
    <w:rsid w:val="005E253F"/>
    <w:rsid w:val="005E257A"/>
    <w:rsid w:val="005E263C"/>
    <w:rsid w:val="005E264D"/>
    <w:rsid w:val="005E2C81"/>
    <w:rsid w:val="005E2E6A"/>
    <w:rsid w:val="005E31EB"/>
    <w:rsid w:val="005E320A"/>
    <w:rsid w:val="005E3221"/>
    <w:rsid w:val="005E332D"/>
    <w:rsid w:val="005E3739"/>
    <w:rsid w:val="005E3863"/>
    <w:rsid w:val="005E390F"/>
    <w:rsid w:val="005E3BC6"/>
    <w:rsid w:val="005E3BE0"/>
    <w:rsid w:val="005E3EA3"/>
    <w:rsid w:val="005E3F40"/>
    <w:rsid w:val="005E3FA7"/>
    <w:rsid w:val="005E42BE"/>
    <w:rsid w:val="005E42FB"/>
    <w:rsid w:val="005E442D"/>
    <w:rsid w:val="005E4695"/>
    <w:rsid w:val="005E4C6B"/>
    <w:rsid w:val="005E4CD3"/>
    <w:rsid w:val="005E4E15"/>
    <w:rsid w:val="005E4E60"/>
    <w:rsid w:val="005E4EC7"/>
    <w:rsid w:val="005E4F65"/>
    <w:rsid w:val="005E5031"/>
    <w:rsid w:val="005E52B4"/>
    <w:rsid w:val="005E544A"/>
    <w:rsid w:val="005E5516"/>
    <w:rsid w:val="005E551C"/>
    <w:rsid w:val="005E554A"/>
    <w:rsid w:val="005E56A3"/>
    <w:rsid w:val="005E57FA"/>
    <w:rsid w:val="005E58D9"/>
    <w:rsid w:val="005E59BD"/>
    <w:rsid w:val="005E5A1A"/>
    <w:rsid w:val="005E5A61"/>
    <w:rsid w:val="005E5AA4"/>
    <w:rsid w:val="005E5D8F"/>
    <w:rsid w:val="005E5E04"/>
    <w:rsid w:val="005E5F59"/>
    <w:rsid w:val="005E6037"/>
    <w:rsid w:val="005E60DA"/>
    <w:rsid w:val="005E636D"/>
    <w:rsid w:val="005E661E"/>
    <w:rsid w:val="005E6645"/>
    <w:rsid w:val="005E682F"/>
    <w:rsid w:val="005E7066"/>
    <w:rsid w:val="005E718F"/>
    <w:rsid w:val="005E74C8"/>
    <w:rsid w:val="005E76B5"/>
    <w:rsid w:val="005E790B"/>
    <w:rsid w:val="005E7963"/>
    <w:rsid w:val="005E79A8"/>
    <w:rsid w:val="005E7BCC"/>
    <w:rsid w:val="005E7CBB"/>
    <w:rsid w:val="005E7CD6"/>
    <w:rsid w:val="005E7E91"/>
    <w:rsid w:val="005F02A2"/>
    <w:rsid w:val="005F0320"/>
    <w:rsid w:val="005F06F0"/>
    <w:rsid w:val="005F07E7"/>
    <w:rsid w:val="005F094A"/>
    <w:rsid w:val="005F0A82"/>
    <w:rsid w:val="005F0CB0"/>
    <w:rsid w:val="005F0E60"/>
    <w:rsid w:val="005F10A7"/>
    <w:rsid w:val="005F13F4"/>
    <w:rsid w:val="005F141C"/>
    <w:rsid w:val="005F199B"/>
    <w:rsid w:val="005F1DF9"/>
    <w:rsid w:val="005F20AD"/>
    <w:rsid w:val="005F218C"/>
    <w:rsid w:val="005F2344"/>
    <w:rsid w:val="005F250C"/>
    <w:rsid w:val="005F2783"/>
    <w:rsid w:val="005F27C2"/>
    <w:rsid w:val="005F29EA"/>
    <w:rsid w:val="005F2AF4"/>
    <w:rsid w:val="005F2C19"/>
    <w:rsid w:val="005F2D47"/>
    <w:rsid w:val="005F301D"/>
    <w:rsid w:val="005F312F"/>
    <w:rsid w:val="005F31E3"/>
    <w:rsid w:val="005F34AF"/>
    <w:rsid w:val="005F3584"/>
    <w:rsid w:val="005F38C6"/>
    <w:rsid w:val="005F3949"/>
    <w:rsid w:val="005F39E7"/>
    <w:rsid w:val="005F3F0D"/>
    <w:rsid w:val="005F40A8"/>
    <w:rsid w:val="005F412F"/>
    <w:rsid w:val="005F4292"/>
    <w:rsid w:val="005F4502"/>
    <w:rsid w:val="005F4523"/>
    <w:rsid w:val="005F467D"/>
    <w:rsid w:val="005F4A0C"/>
    <w:rsid w:val="005F4A39"/>
    <w:rsid w:val="005F50C3"/>
    <w:rsid w:val="005F5135"/>
    <w:rsid w:val="005F5297"/>
    <w:rsid w:val="005F53D6"/>
    <w:rsid w:val="005F547D"/>
    <w:rsid w:val="005F54B0"/>
    <w:rsid w:val="005F562A"/>
    <w:rsid w:val="005F59F1"/>
    <w:rsid w:val="005F5A1C"/>
    <w:rsid w:val="005F5A2E"/>
    <w:rsid w:val="005F5BC0"/>
    <w:rsid w:val="005F5F95"/>
    <w:rsid w:val="005F6190"/>
    <w:rsid w:val="005F6263"/>
    <w:rsid w:val="005F6676"/>
    <w:rsid w:val="005F684E"/>
    <w:rsid w:val="005F6BB1"/>
    <w:rsid w:val="005F76AB"/>
    <w:rsid w:val="005F76BA"/>
    <w:rsid w:val="005F7796"/>
    <w:rsid w:val="005F79D2"/>
    <w:rsid w:val="005F7A02"/>
    <w:rsid w:val="005F7B4A"/>
    <w:rsid w:val="005F7BFA"/>
    <w:rsid w:val="005F7C6C"/>
    <w:rsid w:val="005F7C8E"/>
    <w:rsid w:val="00600087"/>
    <w:rsid w:val="006000A7"/>
    <w:rsid w:val="006000FC"/>
    <w:rsid w:val="006002D2"/>
    <w:rsid w:val="006003A6"/>
    <w:rsid w:val="006003DE"/>
    <w:rsid w:val="00600600"/>
    <w:rsid w:val="006008B5"/>
    <w:rsid w:val="006008E3"/>
    <w:rsid w:val="00600A04"/>
    <w:rsid w:val="00600A22"/>
    <w:rsid w:val="00600D15"/>
    <w:rsid w:val="00600FDE"/>
    <w:rsid w:val="0060110C"/>
    <w:rsid w:val="00601248"/>
    <w:rsid w:val="006013AD"/>
    <w:rsid w:val="006013F0"/>
    <w:rsid w:val="00601512"/>
    <w:rsid w:val="006015C0"/>
    <w:rsid w:val="00601605"/>
    <w:rsid w:val="00601ABF"/>
    <w:rsid w:val="00601B19"/>
    <w:rsid w:val="00601B25"/>
    <w:rsid w:val="00601B88"/>
    <w:rsid w:val="00601D47"/>
    <w:rsid w:val="00601D4D"/>
    <w:rsid w:val="0060210B"/>
    <w:rsid w:val="006021B4"/>
    <w:rsid w:val="006021B8"/>
    <w:rsid w:val="006021D9"/>
    <w:rsid w:val="00602250"/>
    <w:rsid w:val="00602605"/>
    <w:rsid w:val="00602797"/>
    <w:rsid w:val="00602951"/>
    <w:rsid w:val="00602B01"/>
    <w:rsid w:val="00602BCA"/>
    <w:rsid w:val="00602CCE"/>
    <w:rsid w:val="00602EBD"/>
    <w:rsid w:val="00602FBC"/>
    <w:rsid w:val="0060346E"/>
    <w:rsid w:val="006034E0"/>
    <w:rsid w:val="00603579"/>
    <w:rsid w:val="006035D6"/>
    <w:rsid w:val="0060365C"/>
    <w:rsid w:val="0060374C"/>
    <w:rsid w:val="006037DF"/>
    <w:rsid w:val="00603CCD"/>
    <w:rsid w:val="00603DEC"/>
    <w:rsid w:val="00603E62"/>
    <w:rsid w:val="00603F99"/>
    <w:rsid w:val="00604012"/>
    <w:rsid w:val="00604066"/>
    <w:rsid w:val="006042D2"/>
    <w:rsid w:val="00604599"/>
    <w:rsid w:val="00604886"/>
    <w:rsid w:val="00604908"/>
    <w:rsid w:val="00604A41"/>
    <w:rsid w:val="00604A43"/>
    <w:rsid w:val="00604DC4"/>
    <w:rsid w:val="006050B7"/>
    <w:rsid w:val="006053F7"/>
    <w:rsid w:val="0060546E"/>
    <w:rsid w:val="00605580"/>
    <w:rsid w:val="006059B7"/>
    <w:rsid w:val="00605B46"/>
    <w:rsid w:val="00605B5B"/>
    <w:rsid w:val="00605DFF"/>
    <w:rsid w:val="0060600E"/>
    <w:rsid w:val="0060605E"/>
    <w:rsid w:val="0060610C"/>
    <w:rsid w:val="006062D8"/>
    <w:rsid w:val="00606416"/>
    <w:rsid w:val="006065E6"/>
    <w:rsid w:val="0060663F"/>
    <w:rsid w:val="006067CF"/>
    <w:rsid w:val="00606827"/>
    <w:rsid w:val="00606F35"/>
    <w:rsid w:val="00607023"/>
    <w:rsid w:val="0060706A"/>
    <w:rsid w:val="0060741C"/>
    <w:rsid w:val="00607A76"/>
    <w:rsid w:val="00607FCB"/>
    <w:rsid w:val="0061010B"/>
    <w:rsid w:val="00610295"/>
    <w:rsid w:val="00610356"/>
    <w:rsid w:val="0061066E"/>
    <w:rsid w:val="00610687"/>
    <w:rsid w:val="006109B7"/>
    <w:rsid w:val="00610AE4"/>
    <w:rsid w:val="00610D5E"/>
    <w:rsid w:val="00610FE5"/>
    <w:rsid w:val="00611085"/>
    <w:rsid w:val="0061115D"/>
    <w:rsid w:val="0061119B"/>
    <w:rsid w:val="006111FA"/>
    <w:rsid w:val="0061165F"/>
    <w:rsid w:val="00611A18"/>
    <w:rsid w:val="00611A92"/>
    <w:rsid w:val="00611AB1"/>
    <w:rsid w:val="00611FC9"/>
    <w:rsid w:val="00612276"/>
    <w:rsid w:val="006122A9"/>
    <w:rsid w:val="0061237E"/>
    <w:rsid w:val="00612485"/>
    <w:rsid w:val="006128A7"/>
    <w:rsid w:val="006128E5"/>
    <w:rsid w:val="006128F4"/>
    <w:rsid w:val="00612AA9"/>
    <w:rsid w:val="00612BA9"/>
    <w:rsid w:val="00612BB7"/>
    <w:rsid w:val="00612C32"/>
    <w:rsid w:val="00612CF6"/>
    <w:rsid w:val="006130CD"/>
    <w:rsid w:val="0061333D"/>
    <w:rsid w:val="0061354A"/>
    <w:rsid w:val="00613598"/>
    <w:rsid w:val="006139A4"/>
    <w:rsid w:val="00613A23"/>
    <w:rsid w:val="00613A2A"/>
    <w:rsid w:val="00613A56"/>
    <w:rsid w:val="00613A97"/>
    <w:rsid w:val="00613B2D"/>
    <w:rsid w:val="00613D1B"/>
    <w:rsid w:val="00613DFF"/>
    <w:rsid w:val="00613EB4"/>
    <w:rsid w:val="0061402B"/>
    <w:rsid w:val="006141CC"/>
    <w:rsid w:val="0061476E"/>
    <w:rsid w:val="00614795"/>
    <w:rsid w:val="00614C26"/>
    <w:rsid w:val="00614E86"/>
    <w:rsid w:val="00614F88"/>
    <w:rsid w:val="00615198"/>
    <w:rsid w:val="006152E5"/>
    <w:rsid w:val="006156B3"/>
    <w:rsid w:val="0061578F"/>
    <w:rsid w:val="00615CEC"/>
    <w:rsid w:val="00615CF9"/>
    <w:rsid w:val="00615E00"/>
    <w:rsid w:val="00615E8A"/>
    <w:rsid w:val="00615EC2"/>
    <w:rsid w:val="0061608F"/>
    <w:rsid w:val="00616430"/>
    <w:rsid w:val="006169E8"/>
    <w:rsid w:val="00616B50"/>
    <w:rsid w:val="00616C5A"/>
    <w:rsid w:val="00617164"/>
    <w:rsid w:val="006173CE"/>
    <w:rsid w:val="006173E8"/>
    <w:rsid w:val="006177B9"/>
    <w:rsid w:val="00617B2F"/>
    <w:rsid w:val="00617B49"/>
    <w:rsid w:val="00617EE7"/>
    <w:rsid w:val="00617F18"/>
    <w:rsid w:val="00620135"/>
    <w:rsid w:val="0062024E"/>
    <w:rsid w:val="0062025E"/>
    <w:rsid w:val="00620262"/>
    <w:rsid w:val="00620278"/>
    <w:rsid w:val="006205DC"/>
    <w:rsid w:val="00620A43"/>
    <w:rsid w:val="00620C3A"/>
    <w:rsid w:val="00620EC9"/>
    <w:rsid w:val="00620FA9"/>
    <w:rsid w:val="006213C8"/>
    <w:rsid w:val="006215F2"/>
    <w:rsid w:val="00621856"/>
    <w:rsid w:val="0062189F"/>
    <w:rsid w:val="00621A26"/>
    <w:rsid w:val="00621ACE"/>
    <w:rsid w:val="00621B4C"/>
    <w:rsid w:val="00621E47"/>
    <w:rsid w:val="00622236"/>
    <w:rsid w:val="006225F6"/>
    <w:rsid w:val="006226AB"/>
    <w:rsid w:val="0062282B"/>
    <w:rsid w:val="00622D1C"/>
    <w:rsid w:val="00622E06"/>
    <w:rsid w:val="00622EDB"/>
    <w:rsid w:val="00623148"/>
    <w:rsid w:val="00623538"/>
    <w:rsid w:val="00623A94"/>
    <w:rsid w:val="00623CD7"/>
    <w:rsid w:val="00623DAA"/>
    <w:rsid w:val="0062448C"/>
    <w:rsid w:val="00624A91"/>
    <w:rsid w:val="00624B8C"/>
    <w:rsid w:val="00624FD4"/>
    <w:rsid w:val="00625268"/>
    <w:rsid w:val="006255A2"/>
    <w:rsid w:val="0062568D"/>
    <w:rsid w:val="006256B6"/>
    <w:rsid w:val="006258AC"/>
    <w:rsid w:val="006258C5"/>
    <w:rsid w:val="00625C08"/>
    <w:rsid w:val="00626147"/>
    <w:rsid w:val="00626316"/>
    <w:rsid w:val="006264D4"/>
    <w:rsid w:val="006265C4"/>
    <w:rsid w:val="006266F9"/>
    <w:rsid w:val="00626833"/>
    <w:rsid w:val="006268E9"/>
    <w:rsid w:val="00626CDD"/>
    <w:rsid w:val="00626D9C"/>
    <w:rsid w:val="00626FCF"/>
    <w:rsid w:val="00626FE8"/>
    <w:rsid w:val="0062703F"/>
    <w:rsid w:val="0062729C"/>
    <w:rsid w:val="006273E6"/>
    <w:rsid w:val="00627498"/>
    <w:rsid w:val="00627547"/>
    <w:rsid w:val="006277AA"/>
    <w:rsid w:val="0062795C"/>
    <w:rsid w:val="00627C52"/>
    <w:rsid w:val="00627CE0"/>
    <w:rsid w:val="00627D03"/>
    <w:rsid w:val="0063013A"/>
    <w:rsid w:val="006303CD"/>
    <w:rsid w:val="006303E0"/>
    <w:rsid w:val="006303F8"/>
    <w:rsid w:val="006305A4"/>
    <w:rsid w:val="00630643"/>
    <w:rsid w:val="00630937"/>
    <w:rsid w:val="00630AB4"/>
    <w:rsid w:val="00630E27"/>
    <w:rsid w:val="00630E81"/>
    <w:rsid w:val="00630FC1"/>
    <w:rsid w:val="00631024"/>
    <w:rsid w:val="006312B8"/>
    <w:rsid w:val="00631580"/>
    <w:rsid w:val="00631617"/>
    <w:rsid w:val="00631628"/>
    <w:rsid w:val="00631765"/>
    <w:rsid w:val="00631A4E"/>
    <w:rsid w:val="00631C4B"/>
    <w:rsid w:val="00632244"/>
    <w:rsid w:val="00632276"/>
    <w:rsid w:val="006322D5"/>
    <w:rsid w:val="00632412"/>
    <w:rsid w:val="00632421"/>
    <w:rsid w:val="00632A01"/>
    <w:rsid w:val="00633168"/>
    <w:rsid w:val="006334BD"/>
    <w:rsid w:val="0063359B"/>
    <w:rsid w:val="00633969"/>
    <w:rsid w:val="00633B26"/>
    <w:rsid w:val="00633B9C"/>
    <w:rsid w:val="00633CFC"/>
    <w:rsid w:val="00633D6D"/>
    <w:rsid w:val="00633E3B"/>
    <w:rsid w:val="00634126"/>
    <w:rsid w:val="0063413B"/>
    <w:rsid w:val="006341A0"/>
    <w:rsid w:val="0063425D"/>
    <w:rsid w:val="006344CE"/>
    <w:rsid w:val="0063455E"/>
    <w:rsid w:val="006345D5"/>
    <w:rsid w:val="00634815"/>
    <w:rsid w:val="006349F7"/>
    <w:rsid w:val="00634A64"/>
    <w:rsid w:val="00634A8F"/>
    <w:rsid w:val="00634B89"/>
    <w:rsid w:val="00634BFE"/>
    <w:rsid w:val="00634D97"/>
    <w:rsid w:val="00634DED"/>
    <w:rsid w:val="00634F77"/>
    <w:rsid w:val="00634FFD"/>
    <w:rsid w:val="00635079"/>
    <w:rsid w:val="006350A2"/>
    <w:rsid w:val="00635446"/>
    <w:rsid w:val="0063560C"/>
    <w:rsid w:val="00635649"/>
    <w:rsid w:val="0063576A"/>
    <w:rsid w:val="00635782"/>
    <w:rsid w:val="00635866"/>
    <w:rsid w:val="006359F9"/>
    <w:rsid w:val="00635C50"/>
    <w:rsid w:val="00635EC3"/>
    <w:rsid w:val="006360A3"/>
    <w:rsid w:val="00636110"/>
    <w:rsid w:val="00636422"/>
    <w:rsid w:val="006364A9"/>
    <w:rsid w:val="00636779"/>
    <w:rsid w:val="006367F3"/>
    <w:rsid w:val="00636934"/>
    <w:rsid w:val="00636945"/>
    <w:rsid w:val="006369FF"/>
    <w:rsid w:val="00636E0F"/>
    <w:rsid w:val="00636E1A"/>
    <w:rsid w:val="00637042"/>
    <w:rsid w:val="0063755D"/>
    <w:rsid w:val="00637644"/>
    <w:rsid w:val="006376F5"/>
    <w:rsid w:val="00637CF5"/>
    <w:rsid w:val="00637E2F"/>
    <w:rsid w:val="00637F57"/>
    <w:rsid w:val="00637FD8"/>
    <w:rsid w:val="00640248"/>
    <w:rsid w:val="00640700"/>
    <w:rsid w:val="006407A8"/>
    <w:rsid w:val="006407C0"/>
    <w:rsid w:val="00640A12"/>
    <w:rsid w:val="00640C90"/>
    <w:rsid w:val="00640D5B"/>
    <w:rsid w:val="00640DE5"/>
    <w:rsid w:val="00640EAA"/>
    <w:rsid w:val="00640F99"/>
    <w:rsid w:val="00641179"/>
    <w:rsid w:val="006411D9"/>
    <w:rsid w:val="006415EA"/>
    <w:rsid w:val="00641752"/>
    <w:rsid w:val="0064177E"/>
    <w:rsid w:val="006417F3"/>
    <w:rsid w:val="00641CA6"/>
    <w:rsid w:val="00641D28"/>
    <w:rsid w:val="00642079"/>
    <w:rsid w:val="00642099"/>
    <w:rsid w:val="00642695"/>
    <w:rsid w:val="0064269A"/>
    <w:rsid w:val="00642700"/>
    <w:rsid w:val="006430CB"/>
    <w:rsid w:val="00643441"/>
    <w:rsid w:val="00643556"/>
    <w:rsid w:val="006435BE"/>
    <w:rsid w:val="0064363C"/>
    <w:rsid w:val="00643662"/>
    <w:rsid w:val="006439D8"/>
    <w:rsid w:val="00643B04"/>
    <w:rsid w:val="00643CC4"/>
    <w:rsid w:val="006441D1"/>
    <w:rsid w:val="00644580"/>
    <w:rsid w:val="0064459D"/>
    <w:rsid w:val="0064471C"/>
    <w:rsid w:val="00644A54"/>
    <w:rsid w:val="00644AB1"/>
    <w:rsid w:val="00645002"/>
    <w:rsid w:val="00645156"/>
    <w:rsid w:val="0064515B"/>
    <w:rsid w:val="006452F7"/>
    <w:rsid w:val="00645356"/>
    <w:rsid w:val="00645363"/>
    <w:rsid w:val="00645463"/>
    <w:rsid w:val="00645791"/>
    <w:rsid w:val="00645794"/>
    <w:rsid w:val="00645835"/>
    <w:rsid w:val="00645836"/>
    <w:rsid w:val="006459DF"/>
    <w:rsid w:val="00645BE7"/>
    <w:rsid w:val="006468F9"/>
    <w:rsid w:val="00646A10"/>
    <w:rsid w:val="00646A82"/>
    <w:rsid w:val="00646DE5"/>
    <w:rsid w:val="00646E44"/>
    <w:rsid w:val="00646F9D"/>
    <w:rsid w:val="006475FD"/>
    <w:rsid w:val="0064778B"/>
    <w:rsid w:val="00647A75"/>
    <w:rsid w:val="00647B7A"/>
    <w:rsid w:val="00647D0D"/>
    <w:rsid w:val="00647D4D"/>
    <w:rsid w:val="00647EE2"/>
    <w:rsid w:val="00650175"/>
    <w:rsid w:val="0065030D"/>
    <w:rsid w:val="00650538"/>
    <w:rsid w:val="0065092B"/>
    <w:rsid w:val="00650A9C"/>
    <w:rsid w:val="00650D36"/>
    <w:rsid w:val="00650D8E"/>
    <w:rsid w:val="00650ED4"/>
    <w:rsid w:val="00651231"/>
    <w:rsid w:val="0065132A"/>
    <w:rsid w:val="006513AC"/>
    <w:rsid w:val="0065169F"/>
    <w:rsid w:val="006517AB"/>
    <w:rsid w:val="00651AC4"/>
    <w:rsid w:val="00651B93"/>
    <w:rsid w:val="00651B9E"/>
    <w:rsid w:val="00651C2E"/>
    <w:rsid w:val="00651D5D"/>
    <w:rsid w:val="00651ED7"/>
    <w:rsid w:val="00651EEB"/>
    <w:rsid w:val="006520B0"/>
    <w:rsid w:val="006529B2"/>
    <w:rsid w:val="00652AAE"/>
    <w:rsid w:val="00652C23"/>
    <w:rsid w:val="00652EFB"/>
    <w:rsid w:val="00653015"/>
    <w:rsid w:val="006532DF"/>
    <w:rsid w:val="00653326"/>
    <w:rsid w:val="0065334B"/>
    <w:rsid w:val="00653759"/>
    <w:rsid w:val="006538E1"/>
    <w:rsid w:val="006539A0"/>
    <w:rsid w:val="00653A18"/>
    <w:rsid w:val="00653A9E"/>
    <w:rsid w:val="00653B84"/>
    <w:rsid w:val="00653D4F"/>
    <w:rsid w:val="00653E0D"/>
    <w:rsid w:val="00653E2F"/>
    <w:rsid w:val="00653FB6"/>
    <w:rsid w:val="006544D9"/>
    <w:rsid w:val="00654562"/>
    <w:rsid w:val="006548A6"/>
    <w:rsid w:val="00654A59"/>
    <w:rsid w:val="00654B43"/>
    <w:rsid w:val="00654B6F"/>
    <w:rsid w:val="00654C84"/>
    <w:rsid w:val="00654E4B"/>
    <w:rsid w:val="00654F65"/>
    <w:rsid w:val="006553F7"/>
    <w:rsid w:val="00655507"/>
    <w:rsid w:val="00655603"/>
    <w:rsid w:val="00655670"/>
    <w:rsid w:val="00655861"/>
    <w:rsid w:val="006558B3"/>
    <w:rsid w:val="00655ABE"/>
    <w:rsid w:val="00655D97"/>
    <w:rsid w:val="006561D4"/>
    <w:rsid w:val="006562A3"/>
    <w:rsid w:val="006564F3"/>
    <w:rsid w:val="006565B6"/>
    <w:rsid w:val="00656A4B"/>
    <w:rsid w:val="00656A91"/>
    <w:rsid w:val="00656B1C"/>
    <w:rsid w:val="00656EED"/>
    <w:rsid w:val="00656F12"/>
    <w:rsid w:val="00656F5D"/>
    <w:rsid w:val="00656FC3"/>
    <w:rsid w:val="006570A8"/>
    <w:rsid w:val="00657267"/>
    <w:rsid w:val="0065742F"/>
    <w:rsid w:val="00657503"/>
    <w:rsid w:val="00657BDF"/>
    <w:rsid w:val="00657C0A"/>
    <w:rsid w:val="00657C6C"/>
    <w:rsid w:val="00657D34"/>
    <w:rsid w:val="00657D7E"/>
    <w:rsid w:val="00660001"/>
    <w:rsid w:val="006600EB"/>
    <w:rsid w:val="006602EC"/>
    <w:rsid w:val="00660642"/>
    <w:rsid w:val="00660850"/>
    <w:rsid w:val="006608E1"/>
    <w:rsid w:val="00660C05"/>
    <w:rsid w:val="00660E90"/>
    <w:rsid w:val="006612A8"/>
    <w:rsid w:val="006612E1"/>
    <w:rsid w:val="0066167C"/>
    <w:rsid w:val="00661684"/>
    <w:rsid w:val="00661752"/>
    <w:rsid w:val="00661EDE"/>
    <w:rsid w:val="00661FAC"/>
    <w:rsid w:val="00662131"/>
    <w:rsid w:val="0066221D"/>
    <w:rsid w:val="00662777"/>
    <w:rsid w:val="00662B3E"/>
    <w:rsid w:val="00662C47"/>
    <w:rsid w:val="00662CEE"/>
    <w:rsid w:val="00662D06"/>
    <w:rsid w:val="0066301D"/>
    <w:rsid w:val="0066313E"/>
    <w:rsid w:val="00663204"/>
    <w:rsid w:val="006632E2"/>
    <w:rsid w:val="00663347"/>
    <w:rsid w:val="0066343F"/>
    <w:rsid w:val="0066354A"/>
    <w:rsid w:val="00663686"/>
    <w:rsid w:val="006636E1"/>
    <w:rsid w:val="00663BE3"/>
    <w:rsid w:val="00663CE4"/>
    <w:rsid w:val="00663CE5"/>
    <w:rsid w:val="00663EF3"/>
    <w:rsid w:val="00664074"/>
    <w:rsid w:val="00664168"/>
    <w:rsid w:val="00664504"/>
    <w:rsid w:val="00664728"/>
    <w:rsid w:val="00664B06"/>
    <w:rsid w:val="0066500C"/>
    <w:rsid w:val="00665127"/>
    <w:rsid w:val="00665178"/>
    <w:rsid w:val="00665228"/>
    <w:rsid w:val="006652EB"/>
    <w:rsid w:val="006653C5"/>
    <w:rsid w:val="006654A1"/>
    <w:rsid w:val="006656F2"/>
    <w:rsid w:val="006658A2"/>
    <w:rsid w:val="00665FB9"/>
    <w:rsid w:val="006662BC"/>
    <w:rsid w:val="006664B9"/>
    <w:rsid w:val="006664FF"/>
    <w:rsid w:val="00666668"/>
    <w:rsid w:val="006666D0"/>
    <w:rsid w:val="00666A25"/>
    <w:rsid w:val="00666CCC"/>
    <w:rsid w:val="00666EA5"/>
    <w:rsid w:val="00667126"/>
    <w:rsid w:val="006671E7"/>
    <w:rsid w:val="00667217"/>
    <w:rsid w:val="00667353"/>
    <w:rsid w:val="006675DE"/>
    <w:rsid w:val="0066779C"/>
    <w:rsid w:val="006677B0"/>
    <w:rsid w:val="00667956"/>
    <w:rsid w:val="0066795C"/>
    <w:rsid w:val="00667AD4"/>
    <w:rsid w:val="00667BCD"/>
    <w:rsid w:val="00667D3E"/>
    <w:rsid w:val="00667EBC"/>
    <w:rsid w:val="006687FA"/>
    <w:rsid w:val="006700FF"/>
    <w:rsid w:val="00670198"/>
    <w:rsid w:val="00670295"/>
    <w:rsid w:val="00670352"/>
    <w:rsid w:val="00670883"/>
    <w:rsid w:val="00670AD1"/>
    <w:rsid w:val="00670B8D"/>
    <w:rsid w:val="00670E47"/>
    <w:rsid w:val="00671319"/>
    <w:rsid w:val="0067138C"/>
    <w:rsid w:val="0067155A"/>
    <w:rsid w:val="00671648"/>
    <w:rsid w:val="00671675"/>
    <w:rsid w:val="006717C5"/>
    <w:rsid w:val="00671844"/>
    <w:rsid w:val="00671C58"/>
    <w:rsid w:val="00671D30"/>
    <w:rsid w:val="00671E7C"/>
    <w:rsid w:val="0067257D"/>
    <w:rsid w:val="006725BA"/>
    <w:rsid w:val="00672610"/>
    <w:rsid w:val="00672790"/>
    <w:rsid w:val="00672A01"/>
    <w:rsid w:val="00672C27"/>
    <w:rsid w:val="0067305D"/>
    <w:rsid w:val="0067313E"/>
    <w:rsid w:val="00673265"/>
    <w:rsid w:val="006733B6"/>
    <w:rsid w:val="006737F1"/>
    <w:rsid w:val="006739FA"/>
    <w:rsid w:val="00673D8C"/>
    <w:rsid w:val="0067410C"/>
    <w:rsid w:val="00674170"/>
    <w:rsid w:val="0067421A"/>
    <w:rsid w:val="00674222"/>
    <w:rsid w:val="006742F1"/>
    <w:rsid w:val="0067441D"/>
    <w:rsid w:val="00674A38"/>
    <w:rsid w:val="00674A7E"/>
    <w:rsid w:val="00674D82"/>
    <w:rsid w:val="00674E00"/>
    <w:rsid w:val="00674FB8"/>
    <w:rsid w:val="00674FBB"/>
    <w:rsid w:val="006751AA"/>
    <w:rsid w:val="006751F1"/>
    <w:rsid w:val="006753F2"/>
    <w:rsid w:val="0067565F"/>
    <w:rsid w:val="00675697"/>
    <w:rsid w:val="006756B3"/>
    <w:rsid w:val="00675870"/>
    <w:rsid w:val="0067598C"/>
    <w:rsid w:val="00675ABE"/>
    <w:rsid w:val="00675AE0"/>
    <w:rsid w:val="00675C9F"/>
    <w:rsid w:val="00675E77"/>
    <w:rsid w:val="00676150"/>
    <w:rsid w:val="00676218"/>
    <w:rsid w:val="006762CD"/>
    <w:rsid w:val="006763F1"/>
    <w:rsid w:val="006765C9"/>
    <w:rsid w:val="00676A72"/>
    <w:rsid w:val="00676C51"/>
    <w:rsid w:val="00676EA0"/>
    <w:rsid w:val="00677094"/>
    <w:rsid w:val="006772E6"/>
    <w:rsid w:val="00677300"/>
    <w:rsid w:val="0067742D"/>
    <w:rsid w:val="0067764D"/>
    <w:rsid w:val="00677679"/>
    <w:rsid w:val="006776B7"/>
    <w:rsid w:val="0067780F"/>
    <w:rsid w:val="0067791E"/>
    <w:rsid w:val="00677A26"/>
    <w:rsid w:val="00677C9F"/>
    <w:rsid w:val="00677E3B"/>
    <w:rsid w:val="00677E77"/>
    <w:rsid w:val="00677F75"/>
    <w:rsid w:val="0067ED1D"/>
    <w:rsid w:val="0068003C"/>
    <w:rsid w:val="0068021D"/>
    <w:rsid w:val="0068033D"/>
    <w:rsid w:val="0068073B"/>
    <w:rsid w:val="00680910"/>
    <w:rsid w:val="00680959"/>
    <w:rsid w:val="00680B73"/>
    <w:rsid w:val="00680C10"/>
    <w:rsid w:val="00680E92"/>
    <w:rsid w:val="00680F8D"/>
    <w:rsid w:val="00681142"/>
    <w:rsid w:val="00681369"/>
    <w:rsid w:val="006813B4"/>
    <w:rsid w:val="00681551"/>
    <w:rsid w:val="00681740"/>
    <w:rsid w:val="006818CD"/>
    <w:rsid w:val="00681955"/>
    <w:rsid w:val="00681995"/>
    <w:rsid w:val="00681A22"/>
    <w:rsid w:val="00681D87"/>
    <w:rsid w:val="00681FC2"/>
    <w:rsid w:val="006820D5"/>
    <w:rsid w:val="006825BC"/>
    <w:rsid w:val="00682685"/>
    <w:rsid w:val="006827A9"/>
    <w:rsid w:val="006827F7"/>
    <w:rsid w:val="00682C72"/>
    <w:rsid w:val="00682DC9"/>
    <w:rsid w:val="00682FE5"/>
    <w:rsid w:val="0068307C"/>
    <w:rsid w:val="00683281"/>
    <w:rsid w:val="006834EC"/>
    <w:rsid w:val="0068382E"/>
    <w:rsid w:val="00683C54"/>
    <w:rsid w:val="00683DB5"/>
    <w:rsid w:val="00683EAA"/>
    <w:rsid w:val="00684295"/>
    <w:rsid w:val="00684392"/>
    <w:rsid w:val="006845C7"/>
    <w:rsid w:val="006845FF"/>
    <w:rsid w:val="00684680"/>
    <w:rsid w:val="006846C0"/>
    <w:rsid w:val="006849B6"/>
    <w:rsid w:val="00684B39"/>
    <w:rsid w:val="00684C02"/>
    <w:rsid w:val="0068517A"/>
    <w:rsid w:val="006851E1"/>
    <w:rsid w:val="006851E7"/>
    <w:rsid w:val="00685634"/>
    <w:rsid w:val="0068575C"/>
    <w:rsid w:val="0068583A"/>
    <w:rsid w:val="00685954"/>
    <w:rsid w:val="006860BC"/>
    <w:rsid w:val="006860F5"/>
    <w:rsid w:val="0068637B"/>
    <w:rsid w:val="006863F4"/>
    <w:rsid w:val="006863FA"/>
    <w:rsid w:val="006865C8"/>
    <w:rsid w:val="006867B5"/>
    <w:rsid w:val="00686B48"/>
    <w:rsid w:val="00686E0B"/>
    <w:rsid w:val="00686EEC"/>
    <w:rsid w:val="00687038"/>
    <w:rsid w:val="0068705B"/>
    <w:rsid w:val="0068714E"/>
    <w:rsid w:val="00687205"/>
    <w:rsid w:val="0068737B"/>
    <w:rsid w:val="006873EC"/>
    <w:rsid w:val="006874B8"/>
    <w:rsid w:val="0068762E"/>
    <w:rsid w:val="006876A3"/>
    <w:rsid w:val="00687704"/>
    <w:rsid w:val="006877A1"/>
    <w:rsid w:val="0068785A"/>
    <w:rsid w:val="00687905"/>
    <w:rsid w:val="00687C84"/>
    <w:rsid w:val="006900FC"/>
    <w:rsid w:val="00690222"/>
    <w:rsid w:val="00690351"/>
    <w:rsid w:val="006904DD"/>
    <w:rsid w:val="006905CA"/>
    <w:rsid w:val="0069070C"/>
    <w:rsid w:val="00690A53"/>
    <w:rsid w:val="00690CB7"/>
    <w:rsid w:val="00690D8D"/>
    <w:rsid w:val="00690DA2"/>
    <w:rsid w:val="00690ECE"/>
    <w:rsid w:val="00690FF6"/>
    <w:rsid w:val="0069155A"/>
    <w:rsid w:val="006915F7"/>
    <w:rsid w:val="0069160B"/>
    <w:rsid w:val="00691619"/>
    <w:rsid w:val="00691927"/>
    <w:rsid w:val="006919D8"/>
    <w:rsid w:val="00691BC0"/>
    <w:rsid w:val="00691F78"/>
    <w:rsid w:val="00692219"/>
    <w:rsid w:val="00692250"/>
    <w:rsid w:val="00692368"/>
    <w:rsid w:val="0069250F"/>
    <w:rsid w:val="0069266C"/>
    <w:rsid w:val="0069276D"/>
    <w:rsid w:val="006927E9"/>
    <w:rsid w:val="006929F7"/>
    <w:rsid w:val="006929FD"/>
    <w:rsid w:val="00692A85"/>
    <w:rsid w:val="00692B73"/>
    <w:rsid w:val="00692BA9"/>
    <w:rsid w:val="00692CD9"/>
    <w:rsid w:val="00692DD0"/>
    <w:rsid w:val="00692E57"/>
    <w:rsid w:val="00692F52"/>
    <w:rsid w:val="00692FD7"/>
    <w:rsid w:val="006931B5"/>
    <w:rsid w:val="006931BD"/>
    <w:rsid w:val="0069374A"/>
    <w:rsid w:val="0069375D"/>
    <w:rsid w:val="00693B5B"/>
    <w:rsid w:val="00693DCD"/>
    <w:rsid w:val="006941F3"/>
    <w:rsid w:val="006943F3"/>
    <w:rsid w:val="006947A1"/>
    <w:rsid w:val="006947D3"/>
    <w:rsid w:val="006949B1"/>
    <w:rsid w:val="00694AB8"/>
    <w:rsid w:val="00694AF1"/>
    <w:rsid w:val="00695328"/>
    <w:rsid w:val="006953A5"/>
    <w:rsid w:val="006953B2"/>
    <w:rsid w:val="00695485"/>
    <w:rsid w:val="00695490"/>
    <w:rsid w:val="00695512"/>
    <w:rsid w:val="0069578E"/>
    <w:rsid w:val="00695871"/>
    <w:rsid w:val="006958D7"/>
    <w:rsid w:val="00695A47"/>
    <w:rsid w:val="00695B36"/>
    <w:rsid w:val="00695C29"/>
    <w:rsid w:val="00695C3E"/>
    <w:rsid w:val="00695DEF"/>
    <w:rsid w:val="00695EF7"/>
    <w:rsid w:val="00695F05"/>
    <w:rsid w:val="006962CD"/>
    <w:rsid w:val="00696304"/>
    <w:rsid w:val="006964AA"/>
    <w:rsid w:val="00696602"/>
    <w:rsid w:val="006966EE"/>
    <w:rsid w:val="00696719"/>
    <w:rsid w:val="00696744"/>
    <w:rsid w:val="0069680D"/>
    <w:rsid w:val="0069699D"/>
    <w:rsid w:val="00696C60"/>
    <w:rsid w:val="00696F4E"/>
    <w:rsid w:val="00696FBD"/>
    <w:rsid w:val="006970C3"/>
    <w:rsid w:val="006972D3"/>
    <w:rsid w:val="00697527"/>
    <w:rsid w:val="0069755A"/>
    <w:rsid w:val="0069781A"/>
    <w:rsid w:val="00697B5C"/>
    <w:rsid w:val="00697B97"/>
    <w:rsid w:val="00697D57"/>
    <w:rsid w:val="006A0039"/>
    <w:rsid w:val="006A02AB"/>
    <w:rsid w:val="006A02D4"/>
    <w:rsid w:val="006A0365"/>
    <w:rsid w:val="006A037D"/>
    <w:rsid w:val="006A08A5"/>
    <w:rsid w:val="006A096E"/>
    <w:rsid w:val="006A0B08"/>
    <w:rsid w:val="006A0B6B"/>
    <w:rsid w:val="006A0D84"/>
    <w:rsid w:val="006A0E6E"/>
    <w:rsid w:val="006A139F"/>
    <w:rsid w:val="006A14F2"/>
    <w:rsid w:val="006A17C0"/>
    <w:rsid w:val="006A1806"/>
    <w:rsid w:val="006A18EC"/>
    <w:rsid w:val="006A196B"/>
    <w:rsid w:val="006A1AE1"/>
    <w:rsid w:val="006A1B55"/>
    <w:rsid w:val="006A1BDC"/>
    <w:rsid w:val="006A1C13"/>
    <w:rsid w:val="006A1C6E"/>
    <w:rsid w:val="006A2169"/>
    <w:rsid w:val="006A22AF"/>
    <w:rsid w:val="006A249F"/>
    <w:rsid w:val="006A24E0"/>
    <w:rsid w:val="006A25E3"/>
    <w:rsid w:val="006A266C"/>
    <w:rsid w:val="006A2730"/>
    <w:rsid w:val="006A2751"/>
    <w:rsid w:val="006A2940"/>
    <w:rsid w:val="006A29CA"/>
    <w:rsid w:val="006A2A21"/>
    <w:rsid w:val="006A2CCF"/>
    <w:rsid w:val="006A3134"/>
    <w:rsid w:val="006A323A"/>
    <w:rsid w:val="006A32ED"/>
    <w:rsid w:val="006A3411"/>
    <w:rsid w:val="006A34D7"/>
    <w:rsid w:val="006A3504"/>
    <w:rsid w:val="006A3517"/>
    <w:rsid w:val="006A3657"/>
    <w:rsid w:val="006A39CA"/>
    <w:rsid w:val="006A3B9B"/>
    <w:rsid w:val="006A4430"/>
    <w:rsid w:val="006A449C"/>
    <w:rsid w:val="006A46A8"/>
    <w:rsid w:val="006A4926"/>
    <w:rsid w:val="006A4A84"/>
    <w:rsid w:val="006A4C42"/>
    <w:rsid w:val="006A4D9B"/>
    <w:rsid w:val="006A4E07"/>
    <w:rsid w:val="006A4E53"/>
    <w:rsid w:val="006A4FAD"/>
    <w:rsid w:val="006A512F"/>
    <w:rsid w:val="006A5417"/>
    <w:rsid w:val="006A550E"/>
    <w:rsid w:val="006A56EF"/>
    <w:rsid w:val="006A57D3"/>
    <w:rsid w:val="006A5829"/>
    <w:rsid w:val="006A5C8D"/>
    <w:rsid w:val="006A5E08"/>
    <w:rsid w:val="006A5E53"/>
    <w:rsid w:val="006A5E9C"/>
    <w:rsid w:val="006A5FB8"/>
    <w:rsid w:val="006A6204"/>
    <w:rsid w:val="006A6227"/>
    <w:rsid w:val="006A6579"/>
    <w:rsid w:val="006A667D"/>
    <w:rsid w:val="006A66D5"/>
    <w:rsid w:val="006A68A6"/>
    <w:rsid w:val="006A6B53"/>
    <w:rsid w:val="006A6B7F"/>
    <w:rsid w:val="006A6BDC"/>
    <w:rsid w:val="006A6C60"/>
    <w:rsid w:val="006A6E6A"/>
    <w:rsid w:val="006A6FFA"/>
    <w:rsid w:val="006A716D"/>
    <w:rsid w:val="006A7361"/>
    <w:rsid w:val="006A7520"/>
    <w:rsid w:val="006A76B3"/>
    <w:rsid w:val="006A7827"/>
    <w:rsid w:val="006A7D0D"/>
    <w:rsid w:val="006B0338"/>
    <w:rsid w:val="006B0358"/>
    <w:rsid w:val="006B04DA"/>
    <w:rsid w:val="006B058A"/>
    <w:rsid w:val="006B06F4"/>
    <w:rsid w:val="006B081C"/>
    <w:rsid w:val="006B0905"/>
    <w:rsid w:val="006B09D5"/>
    <w:rsid w:val="006B0A88"/>
    <w:rsid w:val="006B0AA1"/>
    <w:rsid w:val="006B0ADD"/>
    <w:rsid w:val="006B0B98"/>
    <w:rsid w:val="006B0C88"/>
    <w:rsid w:val="006B0E52"/>
    <w:rsid w:val="006B106A"/>
    <w:rsid w:val="006B1170"/>
    <w:rsid w:val="006B1271"/>
    <w:rsid w:val="006B1364"/>
    <w:rsid w:val="006B143C"/>
    <w:rsid w:val="006B17E2"/>
    <w:rsid w:val="006B18F8"/>
    <w:rsid w:val="006B19D8"/>
    <w:rsid w:val="006B1A63"/>
    <w:rsid w:val="006B1B88"/>
    <w:rsid w:val="006B1EF3"/>
    <w:rsid w:val="006B1F58"/>
    <w:rsid w:val="006B20E1"/>
    <w:rsid w:val="006B2C40"/>
    <w:rsid w:val="006B2C51"/>
    <w:rsid w:val="006B2F96"/>
    <w:rsid w:val="006B30C7"/>
    <w:rsid w:val="006B317C"/>
    <w:rsid w:val="006B3527"/>
    <w:rsid w:val="006B395F"/>
    <w:rsid w:val="006B3DC6"/>
    <w:rsid w:val="006B3ED2"/>
    <w:rsid w:val="006B3F7E"/>
    <w:rsid w:val="006B3FA6"/>
    <w:rsid w:val="006B424B"/>
    <w:rsid w:val="006B466C"/>
    <w:rsid w:val="006B48EA"/>
    <w:rsid w:val="006B4BF4"/>
    <w:rsid w:val="006B4F4E"/>
    <w:rsid w:val="006B5055"/>
    <w:rsid w:val="006B52BA"/>
    <w:rsid w:val="006B5310"/>
    <w:rsid w:val="006B56D4"/>
    <w:rsid w:val="006B56E0"/>
    <w:rsid w:val="006B5C32"/>
    <w:rsid w:val="006B5ECC"/>
    <w:rsid w:val="006B5F49"/>
    <w:rsid w:val="006B6257"/>
    <w:rsid w:val="006B6268"/>
    <w:rsid w:val="006B6355"/>
    <w:rsid w:val="006B6361"/>
    <w:rsid w:val="006B63F7"/>
    <w:rsid w:val="006B640D"/>
    <w:rsid w:val="006B6502"/>
    <w:rsid w:val="006B6607"/>
    <w:rsid w:val="006B67BF"/>
    <w:rsid w:val="006B6E31"/>
    <w:rsid w:val="006B7176"/>
    <w:rsid w:val="006B7655"/>
    <w:rsid w:val="006B789B"/>
    <w:rsid w:val="006B789E"/>
    <w:rsid w:val="006B7B4D"/>
    <w:rsid w:val="006B7EF6"/>
    <w:rsid w:val="006C00B0"/>
    <w:rsid w:val="006C01DB"/>
    <w:rsid w:val="006C01EB"/>
    <w:rsid w:val="006C0271"/>
    <w:rsid w:val="006C047E"/>
    <w:rsid w:val="006C0AF4"/>
    <w:rsid w:val="006C0B6D"/>
    <w:rsid w:val="006C0CA8"/>
    <w:rsid w:val="006C0D16"/>
    <w:rsid w:val="006C1118"/>
    <w:rsid w:val="006C11C3"/>
    <w:rsid w:val="006C1423"/>
    <w:rsid w:val="006C145A"/>
    <w:rsid w:val="006C17B9"/>
    <w:rsid w:val="006C18E8"/>
    <w:rsid w:val="006C1933"/>
    <w:rsid w:val="006C1A75"/>
    <w:rsid w:val="006C1F6E"/>
    <w:rsid w:val="006C1F79"/>
    <w:rsid w:val="006C2180"/>
    <w:rsid w:val="006C2205"/>
    <w:rsid w:val="006C29A5"/>
    <w:rsid w:val="006C29CE"/>
    <w:rsid w:val="006C2B48"/>
    <w:rsid w:val="006C2D50"/>
    <w:rsid w:val="006C2E57"/>
    <w:rsid w:val="006C3194"/>
    <w:rsid w:val="006C321B"/>
    <w:rsid w:val="006C3441"/>
    <w:rsid w:val="006C34A5"/>
    <w:rsid w:val="006C3A28"/>
    <w:rsid w:val="006C3BA5"/>
    <w:rsid w:val="006C3BF0"/>
    <w:rsid w:val="006C3C21"/>
    <w:rsid w:val="006C3D4D"/>
    <w:rsid w:val="006C3DFD"/>
    <w:rsid w:val="006C3E64"/>
    <w:rsid w:val="006C3EC8"/>
    <w:rsid w:val="006C3FA5"/>
    <w:rsid w:val="006C4105"/>
    <w:rsid w:val="006C4136"/>
    <w:rsid w:val="006C42C4"/>
    <w:rsid w:val="006C43CE"/>
    <w:rsid w:val="006C46D3"/>
    <w:rsid w:val="006C49D7"/>
    <w:rsid w:val="006C4B9B"/>
    <w:rsid w:val="006C4C24"/>
    <w:rsid w:val="006C4EBB"/>
    <w:rsid w:val="006C4EC1"/>
    <w:rsid w:val="006C4F94"/>
    <w:rsid w:val="006C4FBD"/>
    <w:rsid w:val="006C518A"/>
    <w:rsid w:val="006C54C5"/>
    <w:rsid w:val="006C54F2"/>
    <w:rsid w:val="006C55C5"/>
    <w:rsid w:val="006C5727"/>
    <w:rsid w:val="006C59DA"/>
    <w:rsid w:val="006C5A28"/>
    <w:rsid w:val="006C6078"/>
    <w:rsid w:val="006C6152"/>
    <w:rsid w:val="006C6184"/>
    <w:rsid w:val="006C61C2"/>
    <w:rsid w:val="006C65A8"/>
    <w:rsid w:val="006C663D"/>
    <w:rsid w:val="006C665E"/>
    <w:rsid w:val="006C67A1"/>
    <w:rsid w:val="006C6AFF"/>
    <w:rsid w:val="006C6E1C"/>
    <w:rsid w:val="006C6F44"/>
    <w:rsid w:val="006C702B"/>
    <w:rsid w:val="006C70F5"/>
    <w:rsid w:val="006C731F"/>
    <w:rsid w:val="006C7883"/>
    <w:rsid w:val="006C797F"/>
    <w:rsid w:val="006C7B71"/>
    <w:rsid w:val="006C7BD5"/>
    <w:rsid w:val="006D0087"/>
    <w:rsid w:val="006D012B"/>
    <w:rsid w:val="006D0325"/>
    <w:rsid w:val="006D03CA"/>
    <w:rsid w:val="006D03FD"/>
    <w:rsid w:val="006D0406"/>
    <w:rsid w:val="006D06CD"/>
    <w:rsid w:val="006D074C"/>
    <w:rsid w:val="006D0E4D"/>
    <w:rsid w:val="006D0EEB"/>
    <w:rsid w:val="006D10E2"/>
    <w:rsid w:val="006D13CF"/>
    <w:rsid w:val="006D14C7"/>
    <w:rsid w:val="006D19C7"/>
    <w:rsid w:val="006D1CE7"/>
    <w:rsid w:val="006D1F8E"/>
    <w:rsid w:val="006D20D6"/>
    <w:rsid w:val="006D2220"/>
    <w:rsid w:val="006D2325"/>
    <w:rsid w:val="006D23A5"/>
    <w:rsid w:val="006D2459"/>
    <w:rsid w:val="006D2602"/>
    <w:rsid w:val="006D2770"/>
    <w:rsid w:val="006D295C"/>
    <w:rsid w:val="006D29A9"/>
    <w:rsid w:val="006D2B83"/>
    <w:rsid w:val="006D2C79"/>
    <w:rsid w:val="006D31D5"/>
    <w:rsid w:val="006D360C"/>
    <w:rsid w:val="006D3817"/>
    <w:rsid w:val="006D384B"/>
    <w:rsid w:val="006D3CDE"/>
    <w:rsid w:val="006D41EB"/>
    <w:rsid w:val="006D4228"/>
    <w:rsid w:val="006D44D3"/>
    <w:rsid w:val="006D465B"/>
    <w:rsid w:val="006D471E"/>
    <w:rsid w:val="006D479E"/>
    <w:rsid w:val="006D48AE"/>
    <w:rsid w:val="006D4976"/>
    <w:rsid w:val="006D49CD"/>
    <w:rsid w:val="006D4A08"/>
    <w:rsid w:val="006D4BF7"/>
    <w:rsid w:val="006D4F11"/>
    <w:rsid w:val="006D514F"/>
    <w:rsid w:val="006D5467"/>
    <w:rsid w:val="006D5676"/>
    <w:rsid w:val="006D5AC9"/>
    <w:rsid w:val="006D5B78"/>
    <w:rsid w:val="006D5EB3"/>
    <w:rsid w:val="006D6012"/>
    <w:rsid w:val="006D62A0"/>
    <w:rsid w:val="006D62B6"/>
    <w:rsid w:val="006D62D3"/>
    <w:rsid w:val="006D66ED"/>
    <w:rsid w:val="006D6751"/>
    <w:rsid w:val="006D6A35"/>
    <w:rsid w:val="006D6B1A"/>
    <w:rsid w:val="006D7115"/>
    <w:rsid w:val="006D72B6"/>
    <w:rsid w:val="006D76D4"/>
    <w:rsid w:val="006D7A65"/>
    <w:rsid w:val="006D7DA7"/>
    <w:rsid w:val="006E0178"/>
    <w:rsid w:val="006E0B4A"/>
    <w:rsid w:val="006E0BA1"/>
    <w:rsid w:val="006E0CBC"/>
    <w:rsid w:val="006E0DEA"/>
    <w:rsid w:val="006E0E0B"/>
    <w:rsid w:val="006E0E6A"/>
    <w:rsid w:val="006E0FD7"/>
    <w:rsid w:val="006E101E"/>
    <w:rsid w:val="006E109F"/>
    <w:rsid w:val="006E121E"/>
    <w:rsid w:val="006E12A5"/>
    <w:rsid w:val="006E1396"/>
    <w:rsid w:val="006E172A"/>
    <w:rsid w:val="006E1EDE"/>
    <w:rsid w:val="006E202E"/>
    <w:rsid w:val="006E2566"/>
    <w:rsid w:val="006E269B"/>
    <w:rsid w:val="006E296E"/>
    <w:rsid w:val="006E29EA"/>
    <w:rsid w:val="006E2A17"/>
    <w:rsid w:val="006E2DAC"/>
    <w:rsid w:val="006E2EC1"/>
    <w:rsid w:val="006E2F11"/>
    <w:rsid w:val="006E2F7F"/>
    <w:rsid w:val="006E30BC"/>
    <w:rsid w:val="006E3216"/>
    <w:rsid w:val="006E3228"/>
    <w:rsid w:val="006E3360"/>
    <w:rsid w:val="006E33CC"/>
    <w:rsid w:val="006E362F"/>
    <w:rsid w:val="006E3653"/>
    <w:rsid w:val="006E3797"/>
    <w:rsid w:val="006E3B92"/>
    <w:rsid w:val="006E3DB6"/>
    <w:rsid w:val="006E3ED5"/>
    <w:rsid w:val="006E4144"/>
    <w:rsid w:val="006E4153"/>
    <w:rsid w:val="006E4267"/>
    <w:rsid w:val="006E42FE"/>
    <w:rsid w:val="006E43FE"/>
    <w:rsid w:val="006E442A"/>
    <w:rsid w:val="006E450E"/>
    <w:rsid w:val="006E5030"/>
    <w:rsid w:val="006E5188"/>
    <w:rsid w:val="006E52F7"/>
    <w:rsid w:val="006E55E2"/>
    <w:rsid w:val="006E59F6"/>
    <w:rsid w:val="006E5D63"/>
    <w:rsid w:val="006E5F9B"/>
    <w:rsid w:val="006E5FD1"/>
    <w:rsid w:val="006E6239"/>
    <w:rsid w:val="006E6298"/>
    <w:rsid w:val="006E6517"/>
    <w:rsid w:val="006E6878"/>
    <w:rsid w:val="006E689E"/>
    <w:rsid w:val="006E68B7"/>
    <w:rsid w:val="006E6934"/>
    <w:rsid w:val="006E6B05"/>
    <w:rsid w:val="006E6E73"/>
    <w:rsid w:val="006E709B"/>
    <w:rsid w:val="006E7234"/>
    <w:rsid w:val="006E73FF"/>
    <w:rsid w:val="006E786B"/>
    <w:rsid w:val="006E7A48"/>
    <w:rsid w:val="006E7A62"/>
    <w:rsid w:val="006E7BC6"/>
    <w:rsid w:val="006E7C3A"/>
    <w:rsid w:val="006E7C7E"/>
    <w:rsid w:val="006E7DEB"/>
    <w:rsid w:val="006F005D"/>
    <w:rsid w:val="006F01B6"/>
    <w:rsid w:val="006F041A"/>
    <w:rsid w:val="006F0897"/>
    <w:rsid w:val="006F08A2"/>
    <w:rsid w:val="006F0A65"/>
    <w:rsid w:val="006F0A66"/>
    <w:rsid w:val="006F0BBD"/>
    <w:rsid w:val="006F0ED0"/>
    <w:rsid w:val="006F1163"/>
    <w:rsid w:val="006F14DD"/>
    <w:rsid w:val="006F1551"/>
    <w:rsid w:val="006F1608"/>
    <w:rsid w:val="006F19D1"/>
    <w:rsid w:val="006F1AD3"/>
    <w:rsid w:val="006F1B03"/>
    <w:rsid w:val="006F1C04"/>
    <w:rsid w:val="006F1D1D"/>
    <w:rsid w:val="006F1D5B"/>
    <w:rsid w:val="006F1D66"/>
    <w:rsid w:val="006F1DEE"/>
    <w:rsid w:val="006F1F01"/>
    <w:rsid w:val="006F229E"/>
    <w:rsid w:val="006F22BC"/>
    <w:rsid w:val="006F22EC"/>
    <w:rsid w:val="006F2332"/>
    <w:rsid w:val="006F2660"/>
    <w:rsid w:val="006F295A"/>
    <w:rsid w:val="006F2EDB"/>
    <w:rsid w:val="006F30F0"/>
    <w:rsid w:val="006F312F"/>
    <w:rsid w:val="006F3239"/>
    <w:rsid w:val="006F35BC"/>
    <w:rsid w:val="006F3648"/>
    <w:rsid w:val="006F393F"/>
    <w:rsid w:val="006F3CC1"/>
    <w:rsid w:val="006F3D14"/>
    <w:rsid w:val="006F3E81"/>
    <w:rsid w:val="006F4185"/>
    <w:rsid w:val="006F43C0"/>
    <w:rsid w:val="006F49B9"/>
    <w:rsid w:val="006F4A1E"/>
    <w:rsid w:val="006F4C98"/>
    <w:rsid w:val="006F4D76"/>
    <w:rsid w:val="006F4D8E"/>
    <w:rsid w:val="006F517A"/>
    <w:rsid w:val="006F51DA"/>
    <w:rsid w:val="006F52A4"/>
    <w:rsid w:val="006F535E"/>
    <w:rsid w:val="006F55A8"/>
    <w:rsid w:val="006F566D"/>
    <w:rsid w:val="006F5878"/>
    <w:rsid w:val="006F5B88"/>
    <w:rsid w:val="006F5D04"/>
    <w:rsid w:val="006F5E89"/>
    <w:rsid w:val="006F6401"/>
    <w:rsid w:val="006F65EB"/>
    <w:rsid w:val="006F65FE"/>
    <w:rsid w:val="006F67E2"/>
    <w:rsid w:val="006F6850"/>
    <w:rsid w:val="006F69F4"/>
    <w:rsid w:val="006F6A63"/>
    <w:rsid w:val="006F6AC1"/>
    <w:rsid w:val="006F6C65"/>
    <w:rsid w:val="006F6CDC"/>
    <w:rsid w:val="006F6EEC"/>
    <w:rsid w:val="006F6F8E"/>
    <w:rsid w:val="006F6FE0"/>
    <w:rsid w:val="006F7219"/>
    <w:rsid w:val="006F74E2"/>
    <w:rsid w:val="006F7787"/>
    <w:rsid w:val="006F7804"/>
    <w:rsid w:val="006F7B4D"/>
    <w:rsid w:val="006F7B78"/>
    <w:rsid w:val="006F7EE6"/>
    <w:rsid w:val="007000C3"/>
    <w:rsid w:val="007002B1"/>
    <w:rsid w:val="0070044D"/>
    <w:rsid w:val="00700860"/>
    <w:rsid w:val="00700A86"/>
    <w:rsid w:val="00700D13"/>
    <w:rsid w:val="00700E3D"/>
    <w:rsid w:val="00700E64"/>
    <w:rsid w:val="00700F97"/>
    <w:rsid w:val="0070105A"/>
    <w:rsid w:val="0070129D"/>
    <w:rsid w:val="0070162A"/>
    <w:rsid w:val="00701695"/>
    <w:rsid w:val="00701A1A"/>
    <w:rsid w:val="00701A44"/>
    <w:rsid w:val="00701C85"/>
    <w:rsid w:val="00701CA4"/>
    <w:rsid w:val="00701D18"/>
    <w:rsid w:val="00701D2A"/>
    <w:rsid w:val="00701FDF"/>
    <w:rsid w:val="007025D5"/>
    <w:rsid w:val="00702605"/>
    <w:rsid w:val="00702852"/>
    <w:rsid w:val="0070299E"/>
    <w:rsid w:val="007029A6"/>
    <w:rsid w:val="00702C0E"/>
    <w:rsid w:val="00702E33"/>
    <w:rsid w:val="00703126"/>
    <w:rsid w:val="00703128"/>
    <w:rsid w:val="0070338C"/>
    <w:rsid w:val="00703470"/>
    <w:rsid w:val="00703677"/>
    <w:rsid w:val="00703967"/>
    <w:rsid w:val="00703B6B"/>
    <w:rsid w:val="00703CE5"/>
    <w:rsid w:val="00704063"/>
    <w:rsid w:val="0070420E"/>
    <w:rsid w:val="007044AA"/>
    <w:rsid w:val="007045DD"/>
    <w:rsid w:val="00704609"/>
    <w:rsid w:val="0070460B"/>
    <w:rsid w:val="00704CAE"/>
    <w:rsid w:val="00704DD7"/>
    <w:rsid w:val="00704EB7"/>
    <w:rsid w:val="00704EC6"/>
    <w:rsid w:val="007050AC"/>
    <w:rsid w:val="00705253"/>
    <w:rsid w:val="00705381"/>
    <w:rsid w:val="00705671"/>
    <w:rsid w:val="00705742"/>
    <w:rsid w:val="0070586E"/>
    <w:rsid w:val="00706661"/>
    <w:rsid w:val="0070670E"/>
    <w:rsid w:val="007068F0"/>
    <w:rsid w:val="0070692A"/>
    <w:rsid w:val="00706BC8"/>
    <w:rsid w:val="00706D57"/>
    <w:rsid w:val="00706D58"/>
    <w:rsid w:val="00706DD8"/>
    <w:rsid w:val="00706F5E"/>
    <w:rsid w:val="00707153"/>
    <w:rsid w:val="007071EC"/>
    <w:rsid w:val="007071FD"/>
    <w:rsid w:val="007073C5"/>
    <w:rsid w:val="007074D5"/>
    <w:rsid w:val="0070751D"/>
    <w:rsid w:val="0070791C"/>
    <w:rsid w:val="00707A07"/>
    <w:rsid w:val="00707A10"/>
    <w:rsid w:val="00707A95"/>
    <w:rsid w:val="00707E72"/>
    <w:rsid w:val="00707EAD"/>
    <w:rsid w:val="00710185"/>
    <w:rsid w:val="007101E7"/>
    <w:rsid w:val="0071035B"/>
    <w:rsid w:val="0071040A"/>
    <w:rsid w:val="007104CC"/>
    <w:rsid w:val="007104FE"/>
    <w:rsid w:val="007106B7"/>
    <w:rsid w:val="007107C3"/>
    <w:rsid w:val="00710A98"/>
    <w:rsid w:val="00710B34"/>
    <w:rsid w:val="00710C43"/>
    <w:rsid w:val="00710C91"/>
    <w:rsid w:val="00710ED7"/>
    <w:rsid w:val="00710EF0"/>
    <w:rsid w:val="007110D1"/>
    <w:rsid w:val="00711158"/>
    <w:rsid w:val="00711282"/>
    <w:rsid w:val="00711340"/>
    <w:rsid w:val="007114F8"/>
    <w:rsid w:val="00711517"/>
    <w:rsid w:val="00711531"/>
    <w:rsid w:val="0071156D"/>
    <w:rsid w:val="00711592"/>
    <w:rsid w:val="007115AA"/>
    <w:rsid w:val="00711760"/>
    <w:rsid w:val="0071191A"/>
    <w:rsid w:val="00711AC0"/>
    <w:rsid w:val="00711B0C"/>
    <w:rsid w:val="00711BEC"/>
    <w:rsid w:val="00711D6A"/>
    <w:rsid w:val="007121A2"/>
    <w:rsid w:val="0071238B"/>
    <w:rsid w:val="007123C2"/>
    <w:rsid w:val="0071293D"/>
    <w:rsid w:val="00712967"/>
    <w:rsid w:val="00712BA3"/>
    <w:rsid w:val="00712C7B"/>
    <w:rsid w:val="00712E45"/>
    <w:rsid w:val="00712F12"/>
    <w:rsid w:val="00713143"/>
    <w:rsid w:val="007136ED"/>
    <w:rsid w:val="0071387C"/>
    <w:rsid w:val="00713981"/>
    <w:rsid w:val="007139F7"/>
    <w:rsid w:val="00713B5C"/>
    <w:rsid w:val="00713F1D"/>
    <w:rsid w:val="00713FA6"/>
    <w:rsid w:val="00713FB0"/>
    <w:rsid w:val="007141E6"/>
    <w:rsid w:val="00714395"/>
    <w:rsid w:val="00714685"/>
    <w:rsid w:val="007146BA"/>
    <w:rsid w:val="00714C7B"/>
    <w:rsid w:val="00714CD5"/>
    <w:rsid w:val="00714E3C"/>
    <w:rsid w:val="00714F7C"/>
    <w:rsid w:val="007151FC"/>
    <w:rsid w:val="00715537"/>
    <w:rsid w:val="007156C9"/>
    <w:rsid w:val="00715748"/>
    <w:rsid w:val="00715778"/>
    <w:rsid w:val="00715872"/>
    <w:rsid w:val="00715B56"/>
    <w:rsid w:val="00715DA0"/>
    <w:rsid w:val="00716533"/>
    <w:rsid w:val="00716647"/>
    <w:rsid w:val="0071669C"/>
    <w:rsid w:val="007167B0"/>
    <w:rsid w:val="00716851"/>
    <w:rsid w:val="007168AD"/>
    <w:rsid w:val="00716A5E"/>
    <w:rsid w:val="00716E58"/>
    <w:rsid w:val="00716E90"/>
    <w:rsid w:val="0071717C"/>
    <w:rsid w:val="007175F7"/>
    <w:rsid w:val="007176D6"/>
    <w:rsid w:val="00717703"/>
    <w:rsid w:val="00717777"/>
    <w:rsid w:val="00717823"/>
    <w:rsid w:val="00717BF1"/>
    <w:rsid w:val="00717D29"/>
    <w:rsid w:val="00717E6C"/>
    <w:rsid w:val="00717E8E"/>
    <w:rsid w:val="0071A68D"/>
    <w:rsid w:val="007200AB"/>
    <w:rsid w:val="007200BB"/>
    <w:rsid w:val="007201D1"/>
    <w:rsid w:val="00720358"/>
    <w:rsid w:val="007206A0"/>
    <w:rsid w:val="00720B25"/>
    <w:rsid w:val="00720D34"/>
    <w:rsid w:val="00720FB9"/>
    <w:rsid w:val="00721185"/>
    <w:rsid w:val="0072146E"/>
    <w:rsid w:val="0072152A"/>
    <w:rsid w:val="007215DF"/>
    <w:rsid w:val="007218BD"/>
    <w:rsid w:val="00721A94"/>
    <w:rsid w:val="00721C5F"/>
    <w:rsid w:val="00721C69"/>
    <w:rsid w:val="00721E29"/>
    <w:rsid w:val="00722003"/>
    <w:rsid w:val="0072250A"/>
    <w:rsid w:val="007225E9"/>
    <w:rsid w:val="007226FE"/>
    <w:rsid w:val="0072272B"/>
    <w:rsid w:val="007227DD"/>
    <w:rsid w:val="0072290E"/>
    <w:rsid w:val="0072297E"/>
    <w:rsid w:val="00722B55"/>
    <w:rsid w:val="00722C1B"/>
    <w:rsid w:val="00722C89"/>
    <w:rsid w:val="00722CAF"/>
    <w:rsid w:val="00722FFE"/>
    <w:rsid w:val="00723095"/>
    <w:rsid w:val="00723100"/>
    <w:rsid w:val="007232DC"/>
    <w:rsid w:val="0072351E"/>
    <w:rsid w:val="00723B84"/>
    <w:rsid w:val="00723B86"/>
    <w:rsid w:val="0072413B"/>
    <w:rsid w:val="00724168"/>
    <w:rsid w:val="007242D2"/>
    <w:rsid w:val="00724420"/>
    <w:rsid w:val="00724455"/>
    <w:rsid w:val="00724567"/>
    <w:rsid w:val="00724630"/>
    <w:rsid w:val="00724686"/>
    <w:rsid w:val="00724874"/>
    <w:rsid w:val="007248D4"/>
    <w:rsid w:val="0072493F"/>
    <w:rsid w:val="0072497C"/>
    <w:rsid w:val="00724A0D"/>
    <w:rsid w:val="00724AB4"/>
    <w:rsid w:val="00724B3B"/>
    <w:rsid w:val="00724CAF"/>
    <w:rsid w:val="00724CD5"/>
    <w:rsid w:val="00724EFE"/>
    <w:rsid w:val="00724F20"/>
    <w:rsid w:val="007252A4"/>
    <w:rsid w:val="00725DFC"/>
    <w:rsid w:val="00725E30"/>
    <w:rsid w:val="00725E99"/>
    <w:rsid w:val="00726035"/>
    <w:rsid w:val="00726077"/>
    <w:rsid w:val="0072609B"/>
    <w:rsid w:val="007261BE"/>
    <w:rsid w:val="007262BD"/>
    <w:rsid w:val="00726529"/>
    <w:rsid w:val="0072673F"/>
    <w:rsid w:val="0072678D"/>
    <w:rsid w:val="00726E4D"/>
    <w:rsid w:val="00727680"/>
    <w:rsid w:val="00727D54"/>
    <w:rsid w:val="00727E99"/>
    <w:rsid w:val="00727F52"/>
    <w:rsid w:val="007303B7"/>
    <w:rsid w:val="0073094C"/>
    <w:rsid w:val="007310F0"/>
    <w:rsid w:val="00731111"/>
    <w:rsid w:val="007311A6"/>
    <w:rsid w:val="0073134C"/>
    <w:rsid w:val="00731989"/>
    <w:rsid w:val="00731B6B"/>
    <w:rsid w:val="007320FB"/>
    <w:rsid w:val="007323CD"/>
    <w:rsid w:val="0073257C"/>
    <w:rsid w:val="00732D5B"/>
    <w:rsid w:val="00732EC9"/>
    <w:rsid w:val="0073307A"/>
    <w:rsid w:val="00733233"/>
    <w:rsid w:val="007335EF"/>
    <w:rsid w:val="0073377C"/>
    <w:rsid w:val="00733902"/>
    <w:rsid w:val="0073390F"/>
    <w:rsid w:val="007339BA"/>
    <w:rsid w:val="007339CB"/>
    <w:rsid w:val="00733A23"/>
    <w:rsid w:val="00733A48"/>
    <w:rsid w:val="00733BA9"/>
    <w:rsid w:val="00733D63"/>
    <w:rsid w:val="0073420C"/>
    <w:rsid w:val="00734223"/>
    <w:rsid w:val="0073425D"/>
    <w:rsid w:val="007344C5"/>
    <w:rsid w:val="007346BD"/>
    <w:rsid w:val="007347D4"/>
    <w:rsid w:val="007348C4"/>
    <w:rsid w:val="00734959"/>
    <w:rsid w:val="00734B01"/>
    <w:rsid w:val="00734E00"/>
    <w:rsid w:val="00735137"/>
    <w:rsid w:val="00735169"/>
    <w:rsid w:val="0073520D"/>
    <w:rsid w:val="00735447"/>
    <w:rsid w:val="00735608"/>
    <w:rsid w:val="00735741"/>
    <w:rsid w:val="00735992"/>
    <w:rsid w:val="00735C83"/>
    <w:rsid w:val="00735F69"/>
    <w:rsid w:val="00735F8A"/>
    <w:rsid w:val="00735FC5"/>
    <w:rsid w:val="00736250"/>
    <w:rsid w:val="00736280"/>
    <w:rsid w:val="007362FB"/>
    <w:rsid w:val="007363DC"/>
    <w:rsid w:val="00736472"/>
    <w:rsid w:val="0073648B"/>
    <w:rsid w:val="00736650"/>
    <w:rsid w:val="00736828"/>
    <w:rsid w:val="007368AC"/>
    <w:rsid w:val="00736A33"/>
    <w:rsid w:val="00737303"/>
    <w:rsid w:val="00737334"/>
    <w:rsid w:val="007373AA"/>
    <w:rsid w:val="00737563"/>
    <w:rsid w:val="0073762F"/>
    <w:rsid w:val="0073778D"/>
    <w:rsid w:val="00737CC0"/>
    <w:rsid w:val="00737CF3"/>
    <w:rsid w:val="00737FE9"/>
    <w:rsid w:val="00740160"/>
    <w:rsid w:val="0074032A"/>
    <w:rsid w:val="007405F2"/>
    <w:rsid w:val="007406FA"/>
    <w:rsid w:val="007407C3"/>
    <w:rsid w:val="00740989"/>
    <w:rsid w:val="007409A4"/>
    <w:rsid w:val="00740AE1"/>
    <w:rsid w:val="00740C02"/>
    <w:rsid w:val="00740EC3"/>
    <w:rsid w:val="00740EE9"/>
    <w:rsid w:val="00740EF8"/>
    <w:rsid w:val="00740F41"/>
    <w:rsid w:val="00740FC3"/>
    <w:rsid w:val="00741240"/>
    <w:rsid w:val="0074129B"/>
    <w:rsid w:val="007413C1"/>
    <w:rsid w:val="007416B6"/>
    <w:rsid w:val="00741725"/>
    <w:rsid w:val="0074172D"/>
    <w:rsid w:val="007417F8"/>
    <w:rsid w:val="007418F0"/>
    <w:rsid w:val="00741AB2"/>
    <w:rsid w:val="00741D6D"/>
    <w:rsid w:val="00741D98"/>
    <w:rsid w:val="00741F6B"/>
    <w:rsid w:val="00742156"/>
    <w:rsid w:val="0074256F"/>
    <w:rsid w:val="00742737"/>
    <w:rsid w:val="00742763"/>
    <w:rsid w:val="00742A25"/>
    <w:rsid w:val="00742BD2"/>
    <w:rsid w:val="00742E6E"/>
    <w:rsid w:val="0074318D"/>
    <w:rsid w:val="00743B85"/>
    <w:rsid w:val="00743D6D"/>
    <w:rsid w:val="00743E2D"/>
    <w:rsid w:val="00744238"/>
    <w:rsid w:val="00744453"/>
    <w:rsid w:val="00744465"/>
    <w:rsid w:val="007448FB"/>
    <w:rsid w:val="007449F9"/>
    <w:rsid w:val="00744B7F"/>
    <w:rsid w:val="00744E02"/>
    <w:rsid w:val="00744EBD"/>
    <w:rsid w:val="00744FFD"/>
    <w:rsid w:val="0074517C"/>
    <w:rsid w:val="00745214"/>
    <w:rsid w:val="007453E2"/>
    <w:rsid w:val="007456A1"/>
    <w:rsid w:val="00745837"/>
    <w:rsid w:val="007458DB"/>
    <w:rsid w:val="00745BCF"/>
    <w:rsid w:val="00745C3A"/>
    <w:rsid w:val="00745CA5"/>
    <w:rsid w:val="00745E16"/>
    <w:rsid w:val="00745FEF"/>
    <w:rsid w:val="007462D8"/>
    <w:rsid w:val="00746320"/>
    <w:rsid w:val="007465A6"/>
    <w:rsid w:val="00746741"/>
    <w:rsid w:val="00746863"/>
    <w:rsid w:val="007468C5"/>
    <w:rsid w:val="00746B14"/>
    <w:rsid w:val="00746D6B"/>
    <w:rsid w:val="00746D6E"/>
    <w:rsid w:val="00746F7F"/>
    <w:rsid w:val="0074722F"/>
    <w:rsid w:val="0074753D"/>
    <w:rsid w:val="007475EB"/>
    <w:rsid w:val="007477FF"/>
    <w:rsid w:val="00747997"/>
    <w:rsid w:val="0074799E"/>
    <w:rsid w:val="007479DD"/>
    <w:rsid w:val="00747A8B"/>
    <w:rsid w:val="00750674"/>
    <w:rsid w:val="007506C4"/>
    <w:rsid w:val="007509EF"/>
    <w:rsid w:val="00750AE4"/>
    <w:rsid w:val="00750D95"/>
    <w:rsid w:val="00750EB4"/>
    <w:rsid w:val="0075102A"/>
    <w:rsid w:val="007511BB"/>
    <w:rsid w:val="00751299"/>
    <w:rsid w:val="0075166E"/>
    <w:rsid w:val="00751A64"/>
    <w:rsid w:val="00751D97"/>
    <w:rsid w:val="00751DCA"/>
    <w:rsid w:val="0075271E"/>
    <w:rsid w:val="00752A10"/>
    <w:rsid w:val="00752B0D"/>
    <w:rsid w:val="00752B6B"/>
    <w:rsid w:val="00752C5F"/>
    <w:rsid w:val="00753250"/>
    <w:rsid w:val="007532F8"/>
    <w:rsid w:val="00753356"/>
    <w:rsid w:val="007533CF"/>
    <w:rsid w:val="007534BB"/>
    <w:rsid w:val="007536E8"/>
    <w:rsid w:val="00753748"/>
    <w:rsid w:val="00753787"/>
    <w:rsid w:val="007537FF"/>
    <w:rsid w:val="00753ADD"/>
    <w:rsid w:val="00753CE6"/>
    <w:rsid w:val="00753D6A"/>
    <w:rsid w:val="007541E1"/>
    <w:rsid w:val="007542D9"/>
    <w:rsid w:val="007544B8"/>
    <w:rsid w:val="00754B30"/>
    <w:rsid w:val="00754CA8"/>
    <w:rsid w:val="00754FF2"/>
    <w:rsid w:val="0075565C"/>
    <w:rsid w:val="00755927"/>
    <w:rsid w:val="00755E3B"/>
    <w:rsid w:val="00755E9D"/>
    <w:rsid w:val="00755F28"/>
    <w:rsid w:val="00756071"/>
    <w:rsid w:val="00756117"/>
    <w:rsid w:val="007561CB"/>
    <w:rsid w:val="0075634A"/>
    <w:rsid w:val="00756596"/>
    <w:rsid w:val="007567B8"/>
    <w:rsid w:val="00756995"/>
    <w:rsid w:val="00756A36"/>
    <w:rsid w:val="00756AB2"/>
    <w:rsid w:val="00756F95"/>
    <w:rsid w:val="0075711E"/>
    <w:rsid w:val="007573DB"/>
    <w:rsid w:val="007577EC"/>
    <w:rsid w:val="00757A94"/>
    <w:rsid w:val="007600F8"/>
    <w:rsid w:val="0076019F"/>
    <w:rsid w:val="007605E2"/>
    <w:rsid w:val="0076093D"/>
    <w:rsid w:val="00760AB0"/>
    <w:rsid w:val="00760B04"/>
    <w:rsid w:val="00761198"/>
    <w:rsid w:val="00761237"/>
    <w:rsid w:val="007614D8"/>
    <w:rsid w:val="0076192D"/>
    <w:rsid w:val="00761BCD"/>
    <w:rsid w:val="00761DB8"/>
    <w:rsid w:val="00761E0A"/>
    <w:rsid w:val="0076213C"/>
    <w:rsid w:val="00762429"/>
    <w:rsid w:val="00762466"/>
    <w:rsid w:val="007626A6"/>
    <w:rsid w:val="007626B2"/>
    <w:rsid w:val="00762AAA"/>
    <w:rsid w:val="00762C85"/>
    <w:rsid w:val="00762E88"/>
    <w:rsid w:val="00762FA5"/>
    <w:rsid w:val="00763096"/>
    <w:rsid w:val="007633CB"/>
    <w:rsid w:val="0076351A"/>
    <w:rsid w:val="007635C0"/>
    <w:rsid w:val="0076369D"/>
    <w:rsid w:val="007637C3"/>
    <w:rsid w:val="007639C1"/>
    <w:rsid w:val="00763A89"/>
    <w:rsid w:val="00764165"/>
    <w:rsid w:val="00764708"/>
    <w:rsid w:val="0076481C"/>
    <w:rsid w:val="0076493E"/>
    <w:rsid w:val="00764DFA"/>
    <w:rsid w:val="00764E3F"/>
    <w:rsid w:val="00764E93"/>
    <w:rsid w:val="00765011"/>
    <w:rsid w:val="0076516A"/>
    <w:rsid w:val="007651C6"/>
    <w:rsid w:val="00765362"/>
    <w:rsid w:val="007656CB"/>
    <w:rsid w:val="007657F8"/>
    <w:rsid w:val="00765CD2"/>
    <w:rsid w:val="00765E67"/>
    <w:rsid w:val="00765FF1"/>
    <w:rsid w:val="0076601A"/>
    <w:rsid w:val="0076616B"/>
    <w:rsid w:val="0076627B"/>
    <w:rsid w:val="00766325"/>
    <w:rsid w:val="0076633B"/>
    <w:rsid w:val="00766429"/>
    <w:rsid w:val="00766454"/>
    <w:rsid w:val="00766490"/>
    <w:rsid w:val="00766693"/>
    <w:rsid w:val="00766790"/>
    <w:rsid w:val="00766802"/>
    <w:rsid w:val="00766907"/>
    <w:rsid w:val="00766FB1"/>
    <w:rsid w:val="00767104"/>
    <w:rsid w:val="007675FD"/>
    <w:rsid w:val="00767670"/>
    <w:rsid w:val="007678FB"/>
    <w:rsid w:val="00767915"/>
    <w:rsid w:val="00767C41"/>
    <w:rsid w:val="00767CE7"/>
    <w:rsid w:val="00767D73"/>
    <w:rsid w:val="00767D9A"/>
    <w:rsid w:val="00767E8E"/>
    <w:rsid w:val="00767FA1"/>
    <w:rsid w:val="00770145"/>
    <w:rsid w:val="00770150"/>
    <w:rsid w:val="007701C6"/>
    <w:rsid w:val="0077050D"/>
    <w:rsid w:val="00770823"/>
    <w:rsid w:val="007708A3"/>
    <w:rsid w:val="00770BE2"/>
    <w:rsid w:val="00770DCC"/>
    <w:rsid w:val="00770F86"/>
    <w:rsid w:val="00771008"/>
    <w:rsid w:val="007710C5"/>
    <w:rsid w:val="007711EC"/>
    <w:rsid w:val="007713E5"/>
    <w:rsid w:val="007713FC"/>
    <w:rsid w:val="007715D7"/>
    <w:rsid w:val="00771628"/>
    <w:rsid w:val="0077172B"/>
    <w:rsid w:val="00771782"/>
    <w:rsid w:val="00771BA3"/>
    <w:rsid w:val="00771BF1"/>
    <w:rsid w:val="00771CFD"/>
    <w:rsid w:val="00771DF0"/>
    <w:rsid w:val="007722B9"/>
    <w:rsid w:val="00772392"/>
    <w:rsid w:val="00772425"/>
    <w:rsid w:val="00772782"/>
    <w:rsid w:val="00772B68"/>
    <w:rsid w:val="00772C6F"/>
    <w:rsid w:val="00773107"/>
    <w:rsid w:val="00773178"/>
    <w:rsid w:val="007733D8"/>
    <w:rsid w:val="0077347F"/>
    <w:rsid w:val="00773546"/>
    <w:rsid w:val="00773660"/>
    <w:rsid w:val="00773703"/>
    <w:rsid w:val="00773AC2"/>
    <w:rsid w:val="00773BCE"/>
    <w:rsid w:val="00773C01"/>
    <w:rsid w:val="00773C64"/>
    <w:rsid w:val="0077402A"/>
    <w:rsid w:val="0077418F"/>
    <w:rsid w:val="00774431"/>
    <w:rsid w:val="007746B1"/>
    <w:rsid w:val="007748DC"/>
    <w:rsid w:val="007748EB"/>
    <w:rsid w:val="0077498B"/>
    <w:rsid w:val="00774B37"/>
    <w:rsid w:val="00774B65"/>
    <w:rsid w:val="007751C6"/>
    <w:rsid w:val="0077557E"/>
    <w:rsid w:val="007756F7"/>
    <w:rsid w:val="00775A56"/>
    <w:rsid w:val="00775CD3"/>
    <w:rsid w:val="00775F65"/>
    <w:rsid w:val="0077617C"/>
    <w:rsid w:val="00776271"/>
    <w:rsid w:val="00776311"/>
    <w:rsid w:val="0077661E"/>
    <w:rsid w:val="007767A1"/>
    <w:rsid w:val="007767E2"/>
    <w:rsid w:val="007767E7"/>
    <w:rsid w:val="007768CF"/>
    <w:rsid w:val="00776987"/>
    <w:rsid w:val="00776A9A"/>
    <w:rsid w:val="00776B0C"/>
    <w:rsid w:val="00776C3D"/>
    <w:rsid w:val="00776CAF"/>
    <w:rsid w:val="00776D35"/>
    <w:rsid w:val="00776D5F"/>
    <w:rsid w:val="00776EBD"/>
    <w:rsid w:val="00776F6D"/>
    <w:rsid w:val="0077708B"/>
    <w:rsid w:val="00777218"/>
    <w:rsid w:val="007772E6"/>
    <w:rsid w:val="007775CB"/>
    <w:rsid w:val="0077772C"/>
    <w:rsid w:val="007779AF"/>
    <w:rsid w:val="00777CB5"/>
    <w:rsid w:val="00777E38"/>
    <w:rsid w:val="00777EB1"/>
    <w:rsid w:val="00777F08"/>
    <w:rsid w:val="007800B5"/>
    <w:rsid w:val="007801F0"/>
    <w:rsid w:val="00780226"/>
    <w:rsid w:val="0078039F"/>
    <w:rsid w:val="00780787"/>
    <w:rsid w:val="007807C4"/>
    <w:rsid w:val="00780D2B"/>
    <w:rsid w:val="0078119D"/>
    <w:rsid w:val="00781699"/>
    <w:rsid w:val="007817B9"/>
    <w:rsid w:val="007818C6"/>
    <w:rsid w:val="00781938"/>
    <w:rsid w:val="007819C0"/>
    <w:rsid w:val="00781AB4"/>
    <w:rsid w:val="00781B94"/>
    <w:rsid w:val="00781C99"/>
    <w:rsid w:val="00781DA4"/>
    <w:rsid w:val="0078217D"/>
    <w:rsid w:val="00782207"/>
    <w:rsid w:val="007822C6"/>
    <w:rsid w:val="0078240D"/>
    <w:rsid w:val="007827FC"/>
    <w:rsid w:val="00782801"/>
    <w:rsid w:val="007828F1"/>
    <w:rsid w:val="00782A22"/>
    <w:rsid w:val="00782B79"/>
    <w:rsid w:val="00782D9E"/>
    <w:rsid w:val="00782FF4"/>
    <w:rsid w:val="00782FFD"/>
    <w:rsid w:val="00783066"/>
    <w:rsid w:val="00783067"/>
    <w:rsid w:val="00783142"/>
    <w:rsid w:val="007831D4"/>
    <w:rsid w:val="007831E8"/>
    <w:rsid w:val="007831FE"/>
    <w:rsid w:val="007833B9"/>
    <w:rsid w:val="007833E4"/>
    <w:rsid w:val="0078353A"/>
    <w:rsid w:val="00783544"/>
    <w:rsid w:val="0078359E"/>
    <w:rsid w:val="007835B4"/>
    <w:rsid w:val="007837A6"/>
    <w:rsid w:val="00783AA3"/>
    <w:rsid w:val="00783C35"/>
    <w:rsid w:val="007840FA"/>
    <w:rsid w:val="0078499D"/>
    <w:rsid w:val="00784A8D"/>
    <w:rsid w:val="00784AF7"/>
    <w:rsid w:val="00784E6F"/>
    <w:rsid w:val="00784EDD"/>
    <w:rsid w:val="007850D4"/>
    <w:rsid w:val="00785445"/>
    <w:rsid w:val="0078571D"/>
    <w:rsid w:val="00785846"/>
    <w:rsid w:val="00785867"/>
    <w:rsid w:val="00785A27"/>
    <w:rsid w:val="00785A7D"/>
    <w:rsid w:val="00785B58"/>
    <w:rsid w:val="00785BE6"/>
    <w:rsid w:val="00785E6D"/>
    <w:rsid w:val="00785FFD"/>
    <w:rsid w:val="00786209"/>
    <w:rsid w:val="00786499"/>
    <w:rsid w:val="007864E9"/>
    <w:rsid w:val="00786716"/>
    <w:rsid w:val="0078697A"/>
    <w:rsid w:val="00786997"/>
    <w:rsid w:val="007869EE"/>
    <w:rsid w:val="00786D2A"/>
    <w:rsid w:val="00786FB1"/>
    <w:rsid w:val="0078704C"/>
    <w:rsid w:val="00787080"/>
    <w:rsid w:val="00787238"/>
    <w:rsid w:val="0078733C"/>
    <w:rsid w:val="0078741C"/>
    <w:rsid w:val="007874D0"/>
    <w:rsid w:val="0078761C"/>
    <w:rsid w:val="007878E0"/>
    <w:rsid w:val="00787965"/>
    <w:rsid w:val="00787A15"/>
    <w:rsid w:val="00787B23"/>
    <w:rsid w:val="00787BED"/>
    <w:rsid w:val="00787E04"/>
    <w:rsid w:val="00787E15"/>
    <w:rsid w:val="007900D6"/>
    <w:rsid w:val="0079028D"/>
    <w:rsid w:val="007902F1"/>
    <w:rsid w:val="00790848"/>
    <w:rsid w:val="0079088F"/>
    <w:rsid w:val="00790899"/>
    <w:rsid w:val="00790BE0"/>
    <w:rsid w:val="00790CBD"/>
    <w:rsid w:val="00790CCE"/>
    <w:rsid w:val="00790E51"/>
    <w:rsid w:val="0079109F"/>
    <w:rsid w:val="007910BE"/>
    <w:rsid w:val="0079143F"/>
    <w:rsid w:val="0079153A"/>
    <w:rsid w:val="007916B2"/>
    <w:rsid w:val="007918E3"/>
    <w:rsid w:val="007919E2"/>
    <w:rsid w:val="00791A77"/>
    <w:rsid w:val="00791C47"/>
    <w:rsid w:val="00791DF4"/>
    <w:rsid w:val="00791E50"/>
    <w:rsid w:val="0079231E"/>
    <w:rsid w:val="007923B7"/>
    <w:rsid w:val="00792533"/>
    <w:rsid w:val="00792616"/>
    <w:rsid w:val="007926BB"/>
    <w:rsid w:val="0079282C"/>
    <w:rsid w:val="00792A06"/>
    <w:rsid w:val="00792C42"/>
    <w:rsid w:val="00792C63"/>
    <w:rsid w:val="00792C7A"/>
    <w:rsid w:val="00792DAE"/>
    <w:rsid w:val="00792DE8"/>
    <w:rsid w:val="00792E1E"/>
    <w:rsid w:val="00792EE4"/>
    <w:rsid w:val="00793367"/>
    <w:rsid w:val="0079344C"/>
    <w:rsid w:val="00793491"/>
    <w:rsid w:val="00793509"/>
    <w:rsid w:val="007937E5"/>
    <w:rsid w:val="00793A5F"/>
    <w:rsid w:val="00793D64"/>
    <w:rsid w:val="00793FA1"/>
    <w:rsid w:val="00794017"/>
    <w:rsid w:val="00794071"/>
    <w:rsid w:val="007942EC"/>
    <w:rsid w:val="00794488"/>
    <w:rsid w:val="007944D3"/>
    <w:rsid w:val="007944FE"/>
    <w:rsid w:val="00794620"/>
    <w:rsid w:val="00794E54"/>
    <w:rsid w:val="00794F58"/>
    <w:rsid w:val="00794FA5"/>
    <w:rsid w:val="00794FD9"/>
    <w:rsid w:val="00795061"/>
    <w:rsid w:val="00795152"/>
    <w:rsid w:val="007952F1"/>
    <w:rsid w:val="0079534B"/>
    <w:rsid w:val="0079579E"/>
    <w:rsid w:val="00795856"/>
    <w:rsid w:val="007958F5"/>
    <w:rsid w:val="00795953"/>
    <w:rsid w:val="00795E31"/>
    <w:rsid w:val="00795E85"/>
    <w:rsid w:val="00795E8C"/>
    <w:rsid w:val="00795F51"/>
    <w:rsid w:val="007961A9"/>
    <w:rsid w:val="00796331"/>
    <w:rsid w:val="007963F7"/>
    <w:rsid w:val="007965FE"/>
    <w:rsid w:val="00796602"/>
    <w:rsid w:val="00796727"/>
    <w:rsid w:val="0079677B"/>
    <w:rsid w:val="007968AE"/>
    <w:rsid w:val="00796994"/>
    <w:rsid w:val="00796B56"/>
    <w:rsid w:val="00796CB7"/>
    <w:rsid w:val="00796F95"/>
    <w:rsid w:val="00796FC7"/>
    <w:rsid w:val="0079746D"/>
    <w:rsid w:val="007978DC"/>
    <w:rsid w:val="0079795A"/>
    <w:rsid w:val="00797B95"/>
    <w:rsid w:val="00797F07"/>
    <w:rsid w:val="00797FEE"/>
    <w:rsid w:val="007A00BE"/>
    <w:rsid w:val="007A019F"/>
    <w:rsid w:val="007A0283"/>
    <w:rsid w:val="007A037D"/>
    <w:rsid w:val="007A043B"/>
    <w:rsid w:val="007A045A"/>
    <w:rsid w:val="007A05E0"/>
    <w:rsid w:val="007A06A0"/>
    <w:rsid w:val="007A0720"/>
    <w:rsid w:val="007A07A6"/>
    <w:rsid w:val="007A07B3"/>
    <w:rsid w:val="007A08BB"/>
    <w:rsid w:val="007A0AC5"/>
    <w:rsid w:val="007A0C35"/>
    <w:rsid w:val="007A0C61"/>
    <w:rsid w:val="007A0C89"/>
    <w:rsid w:val="007A0DF2"/>
    <w:rsid w:val="007A0F18"/>
    <w:rsid w:val="007A0F6F"/>
    <w:rsid w:val="007A115A"/>
    <w:rsid w:val="007A147A"/>
    <w:rsid w:val="007A1952"/>
    <w:rsid w:val="007A1959"/>
    <w:rsid w:val="007A1FB0"/>
    <w:rsid w:val="007A21B3"/>
    <w:rsid w:val="007A2691"/>
    <w:rsid w:val="007A2C05"/>
    <w:rsid w:val="007A2D4A"/>
    <w:rsid w:val="007A2F57"/>
    <w:rsid w:val="007A374D"/>
    <w:rsid w:val="007A3849"/>
    <w:rsid w:val="007A3AEC"/>
    <w:rsid w:val="007A3C0C"/>
    <w:rsid w:val="007A3CAF"/>
    <w:rsid w:val="007A3DD9"/>
    <w:rsid w:val="007A3E1F"/>
    <w:rsid w:val="007A3EB0"/>
    <w:rsid w:val="007A3EDF"/>
    <w:rsid w:val="007A3F59"/>
    <w:rsid w:val="007A42D1"/>
    <w:rsid w:val="007A4590"/>
    <w:rsid w:val="007A4893"/>
    <w:rsid w:val="007A4A87"/>
    <w:rsid w:val="007A4BBD"/>
    <w:rsid w:val="007A503F"/>
    <w:rsid w:val="007A5199"/>
    <w:rsid w:val="007A52A2"/>
    <w:rsid w:val="007A5400"/>
    <w:rsid w:val="007A5643"/>
    <w:rsid w:val="007A5B82"/>
    <w:rsid w:val="007A5C85"/>
    <w:rsid w:val="007A5DFD"/>
    <w:rsid w:val="007A5E5A"/>
    <w:rsid w:val="007A6061"/>
    <w:rsid w:val="007A610E"/>
    <w:rsid w:val="007A627A"/>
    <w:rsid w:val="007A6586"/>
    <w:rsid w:val="007A6678"/>
    <w:rsid w:val="007A67E9"/>
    <w:rsid w:val="007A698A"/>
    <w:rsid w:val="007A6B39"/>
    <w:rsid w:val="007A6BDD"/>
    <w:rsid w:val="007A6D11"/>
    <w:rsid w:val="007A70A4"/>
    <w:rsid w:val="007A71BE"/>
    <w:rsid w:val="007A73C6"/>
    <w:rsid w:val="007A73E4"/>
    <w:rsid w:val="007A7767"/>
    <w:rsid w:val="007A7887"/>
    <w:rsid w:val="007A78BB"/>
    <w:rsid w:val="007A7C50"/>
    <w:rsid w:val="007A7C9C"/>
    <w:rsid w:val="007A7D42"/>
    <w:rsid w:val="007B0010"/>
    <w:rsid w:val="007B015A"/>
    <w:rsid w:val="007B04DF"/>
    <w:rsid w:val="007B04ED"/>
    <w:rsid w:val="007B0655"/>
    <w:rsid w:val="007B0B59"/>
    <w:rsid w:val="007B0DBB"/>
    <w:rsid w:val="007B0DD4"/>
    <w:rsid w:val="007B0F0F"/>
    <w:rsid w:val="007B0F7F"/>
    <w:rsid w:val="007B0FE2"/>
    <w:rsid w:val="007B1037"/>
    <w:rsid w:val="007B13A9"/>
    <w:rsid w:val="007B1475"/>
    <w:rsid w:val="007B14BE"/>
    <w:rsid w:val="007B17D2"/>
    <w:rsid w:val="007B1884"/>
    <w:rsid w:val="007B18AD"/>
    <w:rsid w:val="007B1930"/>
    <w:rsid w:val="007B1AF2"/>
    <w:rsid w:val="007B20FF"/>
    <w:rsid w:val="007B216E"/>
    <w:rsid w:val="007B2175"/>
    <w:rsid w:val="007B24E6"/>
    <w:rsid w:val="007B24EC"/>
    <w:rsid w:val="007B26C5"/>
    <w:rsid w:val="007B26F9"/>
    <w:rsid w:val="007B2747"/>
    <w:rsid w:val="007B27E8"/>
    <w:rsid w:val="007B28A7"/>
    <w:rsid w:val="007B2C12"/>
    <w:rsid w:val="007B2D63"/>
    <w:rsid w:val="007B2DBE"/>
    <w:rsid w:val="007B346B"/>
    <w:rsid w:val="007B3471"/>
    <w:rsid w:val="007B36C7"/>
    <w:rsid w:val="007B3817"/>
    <w:rsid w:val="007B394E"/>
    <w:rsid w:val="007B39D5"/>
    <w:rsid w:val="007B39F9"/>
    <w:rsid w:val="007B3A3C"/>
    <w:rsid w:val="007B3B24"/>
    <w:rsid w:val="007B3C6A"/>
    <w:rsid w:val="007B4150"/>
    <w:rsid w:val="007B481A"/>
    <w:rsid w:val="007B484F"/>
    <w:rsid w:val="007B49E2"/>
    <w:rsid w:val="007B4A9F"/>
    <w:rsid w:val="007B4B63"/>
    <w:rsid w:val="007B4C48"/>
    <w:rsid w:val="007B4DEF"/>
    <w:rsid w:val="007B5053"/>
    <w:rsid w:val="007B519F"/>
    <w:rsid w:val="007B56F1"/>
    <w:rsid w:val="007B5762"/>
    <w:rsid w:val="007B5B5D"/>
    <w:rsid w:val="007B5C50"/>
    <w:rsid w:val="007B5E54"/>
    <w:rsid w:val="007B6089"/>
    <w:rsid w:val="007B61C0"/>
    <w:rsid w:val="007B6239"/>
    <w:rsid w:val="007B627D"/>
    <w:rsid w:val="007B62BC"/>
    <w:rsid w:val="007B6426"/>
    <w:rsid w:val="007B652F"/>
    <w:rsid w:val="007B6578"/>
    <w:rsid w:val="007B67D4"/>
    <w:rsid w:val="007B6B19"/>
    <w:rsid w:val="007B6EEC"/>
    <w:rsid w:val="007B728B"/>
    <w:rsid w:val="007B73DB"/>
    <w:rsid w:val="007B7513"/>
    <w:rsid w:val="007B776D"/>
    <w:rsid w:val="007B7779"/>
    <w:rsid w:val="007B78ED"/>
    <w:rsid w:val="007B79EC"/>
    <w:rsid w:val="007B7A3C"/>
    <w:rsid w:val="007B7D37"/>
    <w:rsid w:val="007B7FAC"/>
    <w:rsid w:val="007BEC95"/>
    <w:rsid w:val="007C0116"/>
    <w:rsid w:val="007C023C"/>
    <w:rsid w:val="007C02C7"/>
    <w:rsid w:val="007C0391"/>
    <w:rsid w:val="007C03DA"/>
    <w:rsid w:val="007C062B"/>
    <w:rsid w:val="007C0A24"/>
    <w:rsid w:val="007C0B18"/>
    <w:rsid w:val="007C0B64"/>
    <w:rsid w:val="007C0E7E"/>
    <w:rsid w:val="007C103E"/>
    <w:rsid w:val="007C12B5"/>
    <w:rsid w:val="007C14CF"/>
    <w:rsid w:val="007C1518"/>
    <w:rsid w:val="007C19DE"/>
    <w:rsid w:val="007C1A30"/>
    <w:rsid w:val="007C1B05"/>
    <w:rsid w:val="007C1E98"/>
    <w:rsid w:val="007C1FA4"/>
    <w:rsid w:val="007C207F"/>
    <w:rsid w:val="007C2147"/>
    <w:rsid w:val="007C21EE"/>
    <w:rsid w:val="007C2272"/>
    <w:rsid w:val="007C24D5"/>
    <w:rsid w:val="007C250A"/>
    <w:rsid w:val="007C25F6"/>
    <w:rsid w:val="007C2D50"/>
    <w:rsid w:val="007C2E04"/>
    <w:rsid w:val="007C2EEB"/>
    <w:rsid w:val="007C30A2"/>
    <w:rsid w:val="007C327D"/>
    <w:rsid w:val="007C3415"/>
    <w:rsid w:val="007C3430"/>
    <w:rsid w:val="007C3944"/>
    <w:rsid w:val="007C3C5F"/>
    <w:rsid w:val="007C3CEC"/>
    <w:rsid w:val="007C3EF0"/>
    <w:rsid w:val="007C3FA0"/>
    <w:rsid w:val="007C4215"/>
    <w:rsid w:val="007C4265"/>
    <w:rsid w:val="007C4682"/>
    <w:rsid w:val="007C469D"/>
    <w:rsid w:val="007C4716"/>
    <w:rsid w:val="007C4BBC"/>
    <w:rsid w:val="007C4DF7"/>
    <w:rsid w:val="007C4E40"/>
    <w:rsid w:val="007C4F39"/>
    <w:rsid w:val="007C5022"/>
    <w:rsid w:val="007C50BE"/>
    <w:rsid w:val="007C512F"/>
    <w:rsid w:val="007C513E"/>
    <w:rsid w:val="007C54E3"/>
    <w:rsid w:val="007C55DF"/>
    <w:rsid w:val="007C57FE"/>
    <w:rsid w:val="007C5904"/>
    <w:rsid w:val="007C5A14"/>
    <w:rsid w:val="007C5BAC"/>
    <w:rsid w:val="007C5BC0"/>
    <w:rsid w:val="007C5C08"/>
    <w:rsid w:val="007C63BF"/>
    <w:rsid w:val="007C68A3"/>
    <w:rsid w:val="007C692A"/>
    <w:rsid w:val="007C6943"/>
    <w:rsid w:val="007C6BD3"/>
    <w:rsid w:val="007C6BE3"/>
    <w:rsid w:val="007C6DB8"/>
    <w:rsid w:val="007C6E64"/>
    <w:rsid w:val="007C70A5"/>
    <w:rsid w:val="007C7167"/>
    <w:rsid w:val="007C733C"/>
    <w:rsid w:val="007C793A"/>
    <w:rsid w:val="007C7A55"/>
    <w:rsid w:val="007C7CF0"/>
    <w:rsid w:val="007C7D00"/>
    <w:rsid w:val="007C7F72"/>
    <w:rsid w:val="007D01AA"/>
    <w:rsid w:val="007D0411"/>
    <w:rsid w:val="007D04AA"/>
    <w:rsid w:val="007D066B"/>
    <w:rsid w:val="007D08E4"/>
    <w:rsid w:val="007D0ADD"/>
    <w:rsid w:val="007D0CA8"/>
    <w:rsid w:val="007D0CF8"/>
    <w:rsid w:val="007D10D5"/>
    <w:rsid w:val="007D1361"/>
    <w:rsid w:val="007D14FD"/>
    <w:rsid w:val="007D164F"/>
    <w:rsid w:val="007D16B6"/>
    <w:rsid w:val="007D1781"/>
    <w:rsid w:val="007D1C35"/>
    <w:rsid w:val="007D1D4A"/>
    <w:rsid w:val="007D2075"/>
    <w:rsid w:val="007D2124"/>
    <w:rsid w:val="007D251D"/>
    <w:rsid w:val="007D260B"/>
    <w:rsid w:val="007D260E"/>
    <w:rsid w:val="007D2779"/>
    <w:rsid w:val="007D3044"/>
    <w:rsid w:val="007D30E2"/>
    <w:rsid w:val="007D30FA"/>
    <w:rsid w:val="007D3103"/>
    <w:rsid w:val="007D3128"/>
    <w:rsid w:val="007D318C"/>
    <w:rsid w:val="007D3234"/>
    <w:rsid w:val="007D378D"/>
    <w:rsid w:val="007D37BD"/>
    <w:rsid w:val="007D39C5"/>
    <w:rsid w:val="007D3A2E"/>
    <w:rsid w:val="007D3A69"/>
    <w:rsid w:val="007D3B65"/>
    <w:rsid w:val="007D3D24"/>
    <w:rsid w:val="007D3F01"/>
    <w:rsid w:val="007D3F60"/>
    <w:rsid w:val="007D40D8"/>
    <w:rsid w:val="007D4151"/>
    <w:rsid w:val="007D4350"/>
    <w:rsid w:val="007D435C"/>
    <w:rsid w:val="007D47DC"/>
    <w:rsid w:val="007D4927"/>
    <w:rsid w:val="007D495D"/>
    <w:rsid w:val="007D49EA"/>
    <w:rsid w:val="007D4A08"/>
    <w:rsid w:val="007D51B8"/>
    <w:rsid w:val="007D525C"/>
    <w:rsid w:val="007D53AF"/>
    <w:rsid w:val="007D56F7"/>
    <w:rsid w:val="007D59AD"/>
    <w:rsid w:val="007D5B23"/>
    <w:rsid w:val="007D5E25"/>
    <w:rsid w:val="007D5F11"/>
    <w:rsid w:val="007D6108"/>
    <w:rsid w:val="007D6146"/>
    <w:rsid w:val="007D6652"/>
    <w:rsid w:val="007D6BB7"/>
    <w:rsid w:val="007D6DF1"/>
    <w:rsid w:val="007D6FB9"/>
    <w:rsid w:val="007D717E"/>
    <w:rsid w:val="007D72DB"/>
    <w:rsid w:val="007D735B"/>
    <w:rsid w:val="007D7A36"/>
    <w:rsid w:val="007D7D99"/>
    <w:rsid w:val="007D7E11"/>
    <w:rsid w:val="007E05F0"/>
    <w:rsid w:val="007E0742"/>
    <w:rsid w:val="007E0747"/>
    <w:rsid w:val="007E07A7"/>
    <w:rsid w:val="007E088B"/>
    <w:rsid w:val="007E0B65"/>
    <w:rsid w:val="007E0BED"/>
    <w:rsid w:val="007E1066"/>
    <w:rsid w:val="007E1085"/>
    <w:rsid w:val="007E1393"/>
    <w:rsid w:val="007E155A"/>
    <w:rsid w:val="007E183C"/>
    <w:rsid w:val="007E18E3"/>
    <w:rsid w:val="007E1C68"/>
    <w:rsid w:val="007E1DB4"/>
    <w:rsid w:val="007E1E10"/>
    <w:rsid w:val="007E1E32"/>
    <w:rsid w:val="007E2080"/>
    <w:rsid w:val="007E2170"/>
    <w:rsid w:val="007E2652"/>
    <w:rsid w:val="007E27EE"/>
    <w:rsid w:val="007E2A2A"/>
    <w:rsid w:val="007E2B58"/>
    <w:rsid w:val="007E2BF6"/>
    <w:rsid w:val="007E2C92"/>
    <w:rsid w:val="007E343D"/>
    <w:rsid w:val="007E344A"/>
    <w:rsid w:val="007E36F4"/>
    <w:rsid w:val="007E38EB"/>
    <w:rsid w:val="007E395F"/>
    <w:rsid w:val="007E4072"/>
    <w:rsid w:val="007E40FA"/>
    <w:rsid w:val="007E4119"/>
    <w:rsid w:val="007E4234"/>
    <w:rsid w:val="007E4317"/>
    <w:rsid w:val="007E46FF"/>
    <w:rsid w:val="007E47F3"/>
    <w:rsid w:val="007E484B"/>
    <w:rsid w:val="007E4BCC"/>
    <w:rsid w:val="007E4D44"/>
    <w:rsid w:val="007E4DB3"/>
    <w:rsid w:val="007E4E28"/>
    <w:rsid w:val="007E4EA5"/>
    <w:rsid w:val="007E4FB9"/>
    <w:rsid w:val="007E4FDA"/>
    <w:rsid w:val="007E5256"/>
    <w:rsid w:val="007E53CA"/>
    <w:rsid w:val="007E53E0"/>
    <w:rsid w:val="007E58D7"/>
    <w:rsid w:val="007E5D7A"/>
    <w:rsid w:val="007E628E"/>
    <w:rsid w:val="007E62BF"/>
    <w:rsid w:val="007E640F"/>
    <w:rsid w:val="007E643B"/>
    <w:rsid w:val="007E6841"/>
    <w:rsid w:val="007E6D23"/>
    <w:rsid w:val="007E6D6F"/>
    <w:rsid w:val="007E712E"/>
    <w:rsid w:val="007E7338"/>
    <w:rsid w:val="007E74BF"/>
    <w:rsid w:val="007E74CD"/>
    <w:rsid w:val="007E7711"/>
    <w:rsid w:val="007E7742"/>
    <w:rsid w:val="007E78FD"/>
    <w:rsid w:val="007E7994"/>
    <w:rsid w:val="007E7B3E"/>
    <w:rsid w:val="007E7BF1"/>
    <w:rsid w:val="007E7C42"/>
    <w:rsid w:val="007ED27E"/>
    <w:rsid w:val="007F05F0"/>
    <w:rsid w:val="007F0862"/>
    <w:rsid w:val="007F08F5"/>
    <w:rsid w:val="007F0AE0"/>
    <w:rsid w:val="007F0CAC"/>
    <w:rsid w:val="007F0E31"/>
    <w:rsid w:val="007F0FAB"/>
    <w:rsid w:val="007F108E"/>
    <w:rsid w:val="007F10A3"/>
    <w:rsid w:val="007F115E"/>
    <w:rsid w:val="007F13CE"/>
    <w:rsid w:val="007F16D6"/>
    <w:rsid w:val="007F185C"/>
    <w:rsid w:val="007F1A73"/>
    <w:rsid w:val="007F1C7C"/>
    <w:rsid w:val="007F1D77"/>
    <w:rsid w:val="007F1E29"/>
    <w:rsid w:val="007F2025"/>
    <w:rsid w:val="007F202B"/>
    <w:rsid w:val="007F2030"/>
    <w:rsid w:val="007F2255"/>
    <w:rsid w:val="007F2383"/>
    <w:rsid w:val="007F2775"/>
    <w:rsid w:val="007F29B3"/>
    <w:rsid w:val="007F2AD6"/>
    <w:rsid w:val="007F2B9B"/>
    <w:rsid w:val="007F2C48"/>
    <w:rsid w:val="007F2D3A"/>
    <w:rsid w:val="007F2D58"/>
    <w:rsid w:val="007F2EE5"/>
    <w:rsid w:val="007F2F61"/>
    <w:rsid w:val="007F2FA3"/>
    <w:rsid w:val="007F3060"/>
    <w:rsid w:val="007F3071"/>
    <w:rsid w:val="007F3175"/>
    <w:rsid w:val="007F327D"/>
    <w:rsid w:val="007F3318"/>
    <w:rsid w:val="007F3568"/>
    <w:rsid w:val="007F3879"/>
    <w:rsid w:val="007F3935"/>
    <w:rsid w:val="007F3B24"/>
    <w:rsid w:val="007F3C8C"/>
    <w:rsid w:val="007F4212"/>
    <w:rsid w:val="007F4254"/>
    <w:rsid w:val="007F4383"/>
    <w:rsid w:val="007F4386"/>
    <w:rsid w:val="007F4526"/>
    <w:rsid w:val="007F4A82"/>
    <w:rsid w:val="007F4DE7"/>
    <w:rsid w:val="007F4FDE"/>
    <w:rsid w:val="007F4FE2"/>
    <w:rsid w:val="007F521A"/>
    <w:rsid w:val="007F5316"/>
    <w:rsid w:val="007F5496"/>
    <w:rsid w:val="007F562F"/>
    <w:rsid w:val="007F57BC"/>
    <w:rsid w:val="007F596B"/>
    <w:rsid w:val="007F5A72"/>
    <w:rsid w:val="007F5F34"/>
    <w:rsid w:val="007F5FED"/>
    <w:rsid w:val="007F6132"/>
    <w:rsid w:val="007F615F"/>
    <w:rsid w:val="007F6783"/>
    <w:rsid w:val="007F6826"/>
    <w:rsid w:val="007F684C"/>
    <w:rsid w:val="007F6C21"/>
    <w:rsid w:val="007F6D4C"/>
    <w:rsid w:val="007F7018"/>
    <w:rsid w:val="007F737C"/>
    <w:rsid w:val="007F7DB4"/>
    <w:rsid w:val="007F7DD1"/>
    <w:rsid w:val="007F7E72"/>
    <w:rsid w:val="007F7EA8"/>
    <w:rsid w:val="007F7F21"/>
    <w:rsid w:val="00800337"/>
    <w:rsid w:val="0080048F"/>
    <w:rsid w:val="00800604"/>
    <w:rsid w:val="00800710"/>
    <w:rsid w:val="00800939"/>
    <w:rsid w:val="00800985"/>
    <w:rsid w:val="00800AF3"/>
    <w:rsid w:val="00800B63"/>
    <w:rsid w:val="00800F9E"/>
    <w:rsid w:val="0080127F"/>
    <w:rsid w:val="008013D4"/>
    <w:rsid w:val="0080145E"/>
    <w:rsid w:val="0080152B"/>
    <w:rsid w:val="00801601"/>
    <w:rsid w:val="008016F1"/>
    <w:rsid w:val="00801A0F"/>
    <w:rsid w:val="00801BE5"/>
    <w:rsid w:val="00801DED"/>
    <w:rsid w:val="00801EC2"/>
    <w:rsid w:val="00801F5B"/>
    <w:rsid w:val="008023A2"/>
    <w:rsid w:val="008028E5"/>
    <w:rsid w:val="008028FF"/>
    <w:rsid w:val="00802AF4"/>
    <w:rsid w:val="00802DC6"/>
    <w:rsid w:val="00802FF0"/>
    <w:rsid w:val="00803354"/>
    <w:rsid w:val="00803391"/>
    <w:rsid w:val="00803755"/>
    <w:rsid w:val="00803770"/>
    <w:rsid w:val="00803996"/>
    <w:rsid w:val="00803ABB"/>
    <w:rsid w:val="00803E29"/>
    <w:rsid w:val="00803E38"/>
    <w:rsid w:val="00803EE8"/>
    <w:rsid w:val="008041E9"/>
    <w:rsid w:val="008042C9"/>
    <w:rsid w:val="00804308"/>
    <w:rsid w:val="008044F1"/>
    <w:rsid w:val="00804643"/>
    <w:rsid w:val="008046DB"/>
    <w:rsid w:val="00804734"/>
    <w:rsid w:val="0080481F"/>
    <w:rsid w:val="00804A70"/>
    <w:rsid w:val="00804C29"/>
    <w:rsid w:val="00804CFD"/>
    <w:rsid w:val="00804D4C"/>
    <w:rsid w:val="00804E7C"/>
    <w:rsid w:val="00804FEC"/>
    <w:rsid w:val="008051D7"/>
    <w:rsid w:val="008056A3"/>
    <w:rsid w:val="008057A3"/>
    <w:rsid w:val="0080584E"/>
    <w:rsid w:val="00805AD4"/>
    <w:rsid w:val="00805BB6"/>
    <w:rsid w:val="00805BFF"/>
    <w:rsid w:val="00805E5D"/>
    <w:rsid w:val="0080624A"/>
    <w:rsid w:val="00806293"/>
    <w:rsid w:val="008063CA"/>
    <w:rsid w:val="00806491"/>
    <w:rsid w:val="0080694F"/>
    <w:rsid w:val="00806A0E"/>
    <w:rsid w:val="00806DC0"/>
    <w:rsid w:val="00806E49"/>
    <w:rsid w:val="008070D5"/>
    <w:rsid w:val="008074C9"/>
    <w:rsid w:val="008074DE"/>
    <w:rsid w:val="00807957"/>
    <w:rsid w:val="008079A2"/>
    <w:rsid w:val="00807C9C"/>
    <w:rsid w:val="00807DA2"/>
    <w:rsid w:val="00810153"/>
    <w:rsid w:val="008104FC"/>
    <w:rsid w:val="0081064F"/>
    <w:rsid w:val="0081076B"/>
    <w:rsid w:val="0081077B"/>
    <w:rsid w:val="00810873"/>
    <w:rsid w:val="00810890"/>
    <w:rsid w:val="00810991"/>
    <w:rsid w:val="00810A6E"/>
    <w:rsid w:val="00810BC0"/>
    <w:rsid w:val="00810C14"/>
    <w:rsid w:val="00810C32"/>
    <w:rsid w:val="00810E96"/>
    <w:rsid w:val="0081137B"/>
    <w:rsid w:val="0081193F"/>
    <w:rsid w:val="00811A30"/>
    <w:rsid w:val="00811D93"/>
    <w:rsid w:val="0081213E"/>
    <w:rsid w:val="00812279"/>
    <w:rsid w:val="008123B2"/>
    <w:rsid w:val="00812448"/>
    <w:rsid w:val="0081262F"/>
    <w:rsid w:val="008126CF"/>
    <w:rsid w:val="008127F6"/>
    <w:rsid w:val="008128C1"/>
    <w:rsid w:val="00812AA2"/>
    <w:rsid w:val="00812CD4"/>
    <w:rsid w:val="00812DB8"/>
    <w:rsid w:val="00812DDF"/>
    <w:rsid w:val="00812F4B"/>
    <w:rsid w:val="00813427"/>
    <w:rsid w:val="00813851"/>
    <w:rsid w:val="0081386F"/>
    <w:rsid w:val="00813AFB"/>
    <w:rsid w:val="00813BE8"/>
    <w:rsid w:val="00813D20"/>
    <w:rsid w:val="00813DAF"/>
    <w:rsid w:val="00813E2B"/>
    <w:rsid w:val="00813EBA"/>
    <w:rsid w:val="00814093"/>
    <w:rsid w:val="00814171"/>
    <w:rsid w:val="008142CA"/>
    <w:rsid w:val="008142F1"/>
    <w:rsid w:val="0081443D"/>
    <w:rsid w:val="008146F8"/>
    <w:rsid w:val="00814758"/>
    <w:rsid w:val="00814A9B"/>
    <w:rsid w:val="00814D3F"/>
    <w:rsid w:val="00814D86"/>
    <w:rsid w:val="00814DBE"/>
    <w:rsid w:val="00814F66"/>
    <w:rsid w:val="00814FBF"/>
    <w:rsid w:val="008150F8"/>
    <w:rsid w:val="008152A4"/>
    <w:rsid w:val="008152AB"/>
    <w:rsid w:val="00815337"/>
    <w:rsid w:val="008154BD"/>
    <w:rsid w:val="008158AD"/>
    <w:rsid w:val="00815921"/>
    <w:rsid w:val="00815BE5"/>
    <w:rsid w:val="00815C60"/>
    <w:rsid w:val="00815F1B"/>
    <w:rsid w:val="00815F4B"/>
    <w:rsid w:val="008161BF"/>
    <w:rsid w:val="008163A4"/>
    <w:rsid w:val="0081691B"/>
    <w:rsid w:val="00816C27"/>
    <w:rsid w:val="00816C45"/>
    <w:rsid w:val="00816FB5"/>
    <w:rsid w:val="00817690"/>
    <w:rsid w:val="00817946"/>
    <w:rsid w:val="00817BA2"/>
    <w:rsid w:val="00817C9E"/>
    <w:rsid w:val="00817E24"/>
    <w:rsid w:val="00817F3D"/>
    <w:rsid w:val="00817FB6"/>
    <w:rsid w:val="008201F8"/>
    <w:rsid w:val="008202F8"/>
    <w:rsid w:val="0082044D"/>
    <w:rsid w:val="008205AF"/>
    <w:rsid w:val="008205BD"/>
    <w:rsid w:val="008207EA"/>
    <w:rsid w:val="00820B69"/>
    <w:rsid w:val="00820C41"/>
    <w:rsid w:val="00820E30"/>
    <w:rsid w:val="008214B6"/>
    <w:rsid w:val="00821587"/>
    <w:rsid w:val="00821611"/>
    <w:rsid w:val="0082171E"/>
    <w:rsid w:val="008217DD"/>
    <w:rsid w:val="0082199C"/>
    <w:rsid w:val="00821A6B"/>
    <w:rsid w:val="00821BD2"/>
    <w:rsid w:val="00821CD3"/>
    <w:rsid w:val="00821E69"/>
    <w:rsid w:val="008220D7"/>
    <w:rsid w:val="008223E3"/>
    <w:rsid w:val="008225E5"/>
    <w:rsid w:val="00822892"/>
    <w:rsid w:val="008229F3"/>
    <w:rsid w:val="00822DE3"/>
    <w:rsid w:val="00822DFD"/>
    <w:rsid w:val="00822F31"/>
    <w:rsid w:val="0082305A"/>
    <w:rsid w:val="008230FE"/>
    <w:rsid w:val="0082310E"/>
    <w:rsid w:val="0082331A"/>
    <w:rsid w:val="0082351A"/>
    <w:rsid w:val="00823886"/>
    <w:rsid w:val="0082389F"/>
    <w:rsid w:val="00823D9A"/>
    <w:rsid w:val="00824053"/>
    <w:rsid w:val="0082413E"/>
    <w:rsid w:val="008246EF"/>
    <w:rsid w:val="00824750"/>
    <w:rsid w:val="00824849"/>
    <w:rsid w:val="00824A13"/>
    <w:rsid w:val="00824A1C"/>
    <w:rsid w:val="00824A2A"/>
    <w:rsid w:val="00825509"/>
    <w:rsid w:val="008256B9"/>
    <w:rsid w:val="00825835"/>
    <w:rsid w:val="00825A5A"/>
    <w:rsid w:val="00825D60"/>
    <w:rsid w:val="00825D9E"/>
    <w:rsid w:val="00826199"/>
    <w:rsid w:val="00826304"/>
    <w:rsid w:val="00826609"/>
    <w:rsid w:val="008268D9"/>
    <w:rsid w:val="00826A92"/>
    <w:rsid w:val="00826B94"/>
    <w:rsid w:val="00826C37"/>
    <w:rsid w:val="00826E34"/>
    <w:rsid w:val="00826EB3"/>
    <w:rsid w:val="00826EC5"/>
    <w:rsid w:val="00826FE2"/>
    <w:rsid w:val="008270BF"/>
    <w:rsid w:val="008270DB"/>
    <w:rsid w:val="00827305"/>
    <w:rsid w:val="008273F5"/>
    <w:rsid w:val="00827A25"/>
    <w:rsid w:val="00827FB3"/>
    <w:rsid w:val="008300CF"/>
    <w:rsid w:val="0083020B"/>
    <w:rsid w:val="008303E6"/>
    <w:rsid w:val="0083082D"/>
    <w:rsid w:val="008309AD"/>
    <w:rsid w:val="00830A33"/>
    <w:rsid w:val="00830B0E"/>
    <w:rsid w:val="00830F28"/>
    <w:rsid w:val="0083103A"/>
    <w:rsid w:val="00831043"/>
    <w:rsid w:val="00831053"/>
    <w:rsid w:val="00831207"/>
    <w:rsid w:val="008314D2"/>
    <w:rsid w:val="00831529"/>
    <w:rsid w:val="008316C9"/>
    <w:rsid w:val="0083193C"/>
    <w:rsid w:val="00831AA6"/>
    <w:rsid w:val="00831BF9"/>
    <w:rsid w:val="00832223"/>
    <w:rsid w:val="0083222E"/>
    <w:rsid w:val="008322A0"/>
    <w:rsid w:val="008322C0"/>
    <w:rsid w:val="0083254D"/>
    <w:rsid w:val="00832819"/>
    <w:rsid w:val="0083299C"/>
    <w:rsid w:val="00832A62"/>
    <w:rsid w:val="00832ED8"/>
    <w:rsid w:val="00833197"/>
    <w:rsid w:val="00833307"/>
    <w:rsid w:val="0083332D"/>
    <w:rsid w:val="008336DC"/>
    <w:rsid w:val="008337CF"/>
    <w:rsid w:val="0083386B"/>
    <w:rsid w:val="00833BA3"/>
    <w:rsid w:val="00833E22"/>
    <w:rsid w:val="00833E35"/>
    <w:rsid w:val="00833E5A"/>
    <w:rsid w:val="00833FFA"/>
    <w:rsid w:val="00834162"/>
    <w:rsid w:val="00834587"/>
    <w:rsid w:val="00834588"/>
    <w:rsid w:val="00834C49"/>
    <w:rsid w:val="00834FDD"/>
    <w:rsid w:val="00835077"/>
    <w:rsid w:val="00835348"/>
    <w:rsid w:val="0083559B"/>
    <w:rsid w:val="008356A3"/>
    <w:rsid w:val="008357C8"/>
    <w:rsid w:val="00835847"/>
    <w:rsid w:val="008359D7"/>
    <w:rsid w:val="00835A21"/>
    <w:rsid w:val="00835BD4"/>
    <w:rsid w:val="00835D9D"/>
    <w:rsid w:val="008361BE"/>
    <w:rsid w:val="00836249"/>
    <w:rsid w:val="00836351"/>
    <w:rsid w:val="00836544"/>
    <w:rsid w:val="0083696D"/>
    <w:rsid w:val="00836B99"/>
    <w:rsid w:val="00836E18"/>
    <w:rsid w:val="00836F00"/>
    <w:rsid w:val="00836FE1"/>
    <w:rsid w:val="008373CE"/>
    <w:rsid w:val="00837434"/>
    <w:rsid w:val="00837471"/>
    <w:rsid w:val="00837739"/>
    <w:rsid w:val="00837936"/>
    <w:rsid w:val="00837BA2"/>
    <w:rsid w:val="00840002"/>
    <w:rsid w:val="0084005D"/>
    <w:rsid w:val="008402F9"/>
    <w:rsid w:val="00840518"/>
    <w:rsid w:val="0084054F"/>
    <w:rsid w:val="0084083E"/>
    <w:rsid w:val="008409BE"/>
    <w:rsid w:val="00840B6E"/>
    <w:rsid w:val="00840BAA"/>
    <w:rsid w:val="00840C1F"/>
    <w:rsid w:val="00840ECD"/>
    <w:rsid w:val="00840F40"/>
    <w:rsid w:val="0084139E"/>
    <w:rsid w:val="00841467"/>
    <w:rsid w:val="008417CB"/>
    <w:rsid w:val="00841908"/>
    <w:rsid w:val="008419DA"/>
    <w:rsid w:val="00841E77"/>
    <w:rsid w:val="0084224A"/>
    <w:rsid w:val="0084274C"/>
    <w:rsid w:val="00842A0F"/>
    <w:rsid w:val="00842C50"/>
    <w:rsid w:val="00842D7F"/>
    <w:rsid w:val="00843412"/>
    <w:rsid w:val="008434D7"/>
    <w:rsid w:val="0084354A"/>
    <w:rsid w:val="00843977"/>
    <w:rsid w:val="008439D7"/>
    <w:rsid w:val="00843BBE"/>
    <w:rsid w:val="00843E13"/>
    <w:rsid w:val="00843EB6"/>
    <w:rsid w:val="00843FFA"/>
    <w:rsid w:val="0084404A"/>
    <w:rsid w:val="008440C8"/>
    <w:rsid w:val="008443DB"/>
    <w:rsid w:val="008443E1"/>
    <w:rsid w:val="008443F7"/>
    <w:rsid w:val="008447AE"/>
    <w:rsid w:val="00844ACC"/>
    <w:rsid w:val="00844BE7"/>
    <w:rsid w:val="00844C67"/>
    <w:rsid w:val="00844E66"/>
    <w:rsid w:val="00845098"/>
    <w:rsid w:val="00845321"/>
    <w:rsid w:val="0084556D"/>
    <w:rsid w:val="008458B0"/>
    <w:rsid w:val="00845A8D"/>
    <w:rsid w:val="00845AF3"/>
    <w:rsid w:val="00845C1F"/>
    <w:rsid w:val="00845F61"/>
    <w:rsid w:val="00846189"/>
    <w:rsid w:val="00846192"/>
    <w:rsid w:val="008462B2"/>
    <w:rsid w:val="008468E0"/>
    <w:rsid w:val="0084693D"/>
    <w:rsid w:val="00846A19"/>
    <w:rsid w:val="00846ACC"/>
    <w:rsid w:val="00846B4E"/>
    <w:rsid w:val="00846C06"/>
    <w:rsid w:val="00846E17"/>
    <w:rsid w:val="00846FB4"/>
    <w:rsid w:val="0084712B"/>
    <w:rsid w:val="00847520"/>
    <w:rsid w:val="00847BBA"/>
    <w:rsid w:val="00847ED0"/>
    <w:rsid w:val="00847FF5"/>
    <w:rsid w:val="00850511"/>
    <w:rsid w:val="00850806"/>
    <w:rsid w:val="00850874"/>
    <w:rsid w:val="008508EE"/>
    <w:rsid w:val="008510F2"/>
    <w:rsid w:val="00851270"/>
    <w:rsid w:val="00851564"/>
    <w:rsid w:val="00851892"/>
    <w:rsid w:val="008519B9"/>
    <w:rsid w:val="00851ABE"/>
    <w:rsid w:val="00851C44"/>
    <w:rsid w:val="00851CF5"/>
    <w:rsid w:val="00851FA4"/>
    <w:rsid w:val="00852170"/>
    <w:rsid w:val="008521A9"/>
    <w:rsid w:val="0085233D"/>
    <w:rsid w:val="0085242D"/>
    <w:rsid w:val="00852711"/>
    <w:rsid w:val="008527EA"/>
    <w:rsid w:val="00852A99"/>
    <w:rsid w:val="00852B8C"/>
    <w:rsid w:val="00852D16"/>
    <w:rsid w:val="00852FB5"/>
    <w:rsid w:val="00853054"/>
    <w:rsid w:val="0085331D"/>
    <w:rsid w:val="0085335C"/>
    <w:rsid w:val="008533AD"/>
    <w:rsid w:val="00853530"/>
    <w:rsid w:val="008537C3"/>
    <w:rsid w:val="008539E7"/>
    <w:rsid w:val="00853CF0"/>
    <w:rsid w:val="00853F6E"/>
    <w:rsid w:val="0085401B"/>
    <w:rsid w:val="00854135"/>
    <w:rsid w:val="0085437A"/>
    <w:rsid w:val="0085450D"/>
    <w:rsid w:val="00854565"/>
    <w:rsid w:val="0085469D"/>
    <w:rsid w:val="00854763"/>
    <w:rsid w:val="008547EA"/>
    <w:rsid w:val="00854930"/>
    <w:rsid w:val="00854971"/>
    <w:rsid w:val="008549DA"/>
    <w:rsid w:val="00854AF2"/>
    <w:rsid w:val="00854D5E"/>
    <w:rsid w:val="008550E6"/>
    <w:rsid w:val="008552B7"/>
    <w:rsid w:val="00855400"/>
    <w:rsid w:val="0085564E"/>
    <w:rsid w:val="00855709"/>
    <w:rsid w:val="0085570A"/>
    <w:rsid w:val="008557D5"/>
    <w:rsid w:val="0085580A"/>
    <w:rsid w:val="008558B1"/>
    <w:rsid w:val="00855903"/>
    <w:rsid w:val="00855988"/>
    <w:rsid w:val="00855AB9"/>
    <w:rsid w:val="00855C4E"/>
    <w:rsid w:val="00855CAF"/>
    <w:rsid w:val="00855D93"/>
    <w:rsid w:val="00855DA0"/>
    <w:rsid w:val="00855DAF"/>
    <w:rsid w:val="008563BC"/>
    <w:rsid w:val="0085684E"/>
    <w:rsid w:val="00856A1B"/>
    <w:rsid w:val="00856C87"/>
    <w:rsid w:val="00857118"/>
    <w:rsid w:val="00857406"/>
    <w:rsid w:val="0085745F"/>
    <w:rsid w:val="0085757B"/>
    <w:rsid w:val="00857723"/>
    <w:rsid w:val="008577CD"/>
    <w:rsid w:val="00857948"/>
    <w:rsid w:val="00857BDA"/>
    <w:rsid w:val="00857F65"/>
    <w:rsid w:val="00857FAA"/>
    <w:rsid w:val="0085DF4C"/>
    <w:rsid w:val="0086004A"/>
    <w:rsid w:val="0086069E"/>
    <w:rsid w:val="00860701"/>
    <w:rsid w:val="00860A3A"/>
    <w:rsid w:val="00860A77"/>
    <w:rsid w:val="00860CF3"/>
    <w:rsid w:val="00860F01"/>
    <w:rsid w:val="008615FC"/>
    <w:rsid w:val="0086194D"/>
    <w:rsid w:val="00861956"/>
    <w:rsid w:val="00861AFE"/>
    <w:rsid w:val="00861FF8"/>
    <w:rsid w:val="0086200F"/>
    <w:rsid w:val="0086212F"/>
    <w:rsid w:val="0086214D"/>
    <w:rsid w:val="008621C3"/>
    <w:rsid w:val="00862231"/>
    <w:rsid w:val="00862671"/>
    <w:rsid w:val="00862844"/>
    <w:rsid w:val="00862896"/>
    <w:rsid w:val="008629A8"/>
    <w:rsid w:val="00862F04"/>
    <w:rsid w:val="0086315A"/>
    <w:rsid w:val="0086334B"/>
    <w:rsid w:val="0086340C"/>
    <w:rsid w:val="00863447"/>
    <w:rsid w:val="008634CA"/>
    <w:rsid w:val="008635AB"/>
    <w:rsid w:val="008637AB"/>
    <w:rsid w:val="00863A76"/>
    <w:rsid w:val="00863AED"/>
    <w:rsid w:val="00863CF0"/>
    <w:rsid w:val="00863D52"/>
    <w:rsid w:val="0086472D"/>
    <w:rsid w:val="008649A8"/>
    <w:rsid w:val="00864AC1"/>
    <w:rsid w:val="00864B25"/>
    <w:rsid w:val="00864FB9"/>
    <w:rsid w:val="00865182"/>
    <w:rsid w:val="008652C8"/>
    <w:rsid w:val="00865486"/>
    <w:rsid w:val="0086556F"/>
    <w:rsid w:val="00865688"/>
    <w:rsid w:val="0086569D"/>
    <w:rsid w:val="008656ED"/>
    <w:rsid w:val="0086570E"/>
    <w:rsid w:val="00865931"/>
    <w:rsid w:val="00865997"/>
    <w:rsid w:val="008659E1"/>
    <w:rsid w:val="00865A41"/>
    <w:rsid w:val="00865BC6"/>
    <w:rsid w:val="00865DD1"/>
    <w:rsid w:val="0086605C"/>
    <w:rsid w:val="00866142"/>
    <w:rsid w:val="008661B4"/>
    <w:rsid w:val="008665DB"/>
    <w:rsid w:val="00866896"/>
    <w:rsid w:val="00866CCE"/>
    <w:rsid w:val="00866CE3"/>
    <w:rsid w:val="00866E5C"/>
    <w:rsid w:val="0086726A"/>
    <w:rsid w:val="008674E6"/>
    <w:rsid w:val="008677DF"/>
    <w:rsid w:val="00867946"/>
    <w:rsid w:val="008679C4"/>
    <w:rsid w:val="00867A22"/>
    <w:rsid w:val="00867B17"/>
    <w:rsid w:val="00867B8F"/>
    <w:rsid w:val="00867BB4"/>
    <w:rsid w:val="00867DD0"/>
    <w:rsid w:val="008706AC"/>
    <w:rsid w:val="00870735"/>
    <w:rsid w:val="00870B53"/>
    <w:rsid w:val="00870CD4"/>
    <w:rsid w:val="00870CDF"/>
    <w:rsid w:val="00870F30"/>
    <w:rsid w:val="00870FFC"/>
    <w:rsid w:val="00871143"/>
    <w:rsid w:val="00871189"/>
    <w:rsid w:val="008714A0"/>
    <w:rsid w:val="0087185A"/>
    <w:rsid w:val="008719E8"/>
    <w:rsid w:val="00871F49"/>
    <w:rsid w:val="00872012"/>
    <w:rsid w:val="0087205B"/>
    <w:rsid w:val="00872089"/>
    <w:rsid w:val="008720ED"/>
    <w:rsid w:val="008724F2"/>
    <w:rsid w:val="0087274E"/>
    <w:rsid w:val="008728B0"/>
    <w:rsid w:val="0087292D"/>
    <w:rsid w:val="0087297E"/>
    <w:rsid w:val="008729C5"/>
    <w:rsid w:val="00872BB4"/>
    <w:rsid w:val="00872C9D"/>
    <w:rsid w:val="00872EF2"/>
    <w:rsid w:val="0087323F"/>
    <w:rsid w:val="00873796"/>
    <w:rsid w:val="00873A07"/>
    <w:rsid w:val="00873ABD"/>
    <w:rsid w:val="00873DEC"/>
    <w:rsid w:val="00873EC9"/>
    <w:rsid w:val="0087414D"/>
    <w:rsid w:val="00874188"/>
    <w:rsid w:val="0087447D"/>
    <w:rsid w:val="00874580"/>
    <w:rsid w:val="00874A48"/>
    <w:rsid w:val="00874AAA"/>
    <w:rsid w:val="00874BE3"/>
    <w:rsid w:val="00874D11"/>
    <w:rsid w:val="00874EEF"/>
    <w:rsid w:val="00875003"/>
    <w:rsid w:val="008751F3"/>
    <w:rsid w:val="00875499"/>
    <w:rsid w:val="00875586"/>
    <w:rsid w:val="0087558B"/>
    <w:rsid w:val="00875619"/>
    <w:rsid w:val="0087598A"/>
    <w:rsid w:val="0087598D"/>
    <w:rsid w:val="00875B4F"/>
    <w:rsid w:val="00875BF6"/>
    <w:rsid w:val="00875F1B"/>
    <w:rsid w:val="0087626B"/>
    <w:rsid w:val="00876275"/>
    <w:rsid w:val="008765A5"/>
    <w:rsid w:val="0087667E"/>
    <w:rsid w:val="00876A9E"/>
    <w:rsid w:val="00876CF0"/>
    <w:rsid w:val="00876D56"/>
    <w:rsid w:val="00877170"/>
    <w:rsid w:val="00877880"/>
    <w:rsid w:val="00877AAC"/>
    <w:rsid w:val="00877BFE"/>
    <w:rsid w:val="00877C2D"/>
    <w:rsid w:val="00877E62"/>
    <w:rsid w:val="00877EA2"/>
    <w:rsid w:val="008802B0"/>
    <w:rsid w:val="00880451"/>
    <w:rsid w:val="0088086E"/>
    <w:rsid w:val="00880AB1"/>
    <w:rsid w:val="00880B2D"/>
    <w:rsid w:val="00880C24"/>
    <w:rsid w:val="00880D58"/>
    <w:rsid w:val="00881351"/>
    <w:rsid w:val="00881365"/>
    <w:rsid w:val="008815B5"/>
    <w:rsid w:val="00881721"/>
    <w:rsid w:val="0088187C"/>
    <w:rsid w:val="008819C9"/>
    <w:rsid w:val="00881DE0"/>
    <w:rsid w:val="00882009"/>
    <w:rsid w:val="0088212A"/>
    <w:rsid w:val="00882208"/>
    <w:rsid w:val="00882518"/>
    <w:rsid w:val="008827B0"/>
    <w:rsid w:val="00882B99"/>
    <w:rsid w:val="00882BE9"/>
    <w:rsid w:val="00882CBB"/>
    <w:rsid w:val="00882D89"/>
    <w:rsid w:val="00882DE1"/>
    <w:rsid w:val="00883126"/>
    <w:rsid w:val="00883454"/>
    <w:rsid w:val="00883740"/>
    <w:rsid w:val="00883938"/>
    <w:rsid w:val="00883B28"/>
    <w:rsid w:val="00883D08"/>
    <w:rsid w:val="00883FAF"/>
    <w:rsid w:val="008841A9"/>
    <w:rsid w:val="00884204"/>
    <w:rsid w:val="0088425C"/>
    <w:rsid w:val="008842E3"/>
    <w:rsid w:val="008843E3"/>
    <w:rsid w:val="00884481"/>
    <w:rsid w:val="0088474E"/>
    <w:rsid w:val="00884780"/>
    <w:rsid w:val="00884CB8"/>
    <w:rsid w:val="00884F44"/>
    <w:rsid w:val="00884F70"/>
    <w:rsid w:val="008850D0"/>
    <w:rsid w:val="0088510C"/>
    <w:rsid w:val="008854A5"/>
    <w:rsid w:val="008854FD"/>
    <w:rsid w:val="0088574C"/>
    <w:rsid w:val="008857AB"/>
    <w:rsid w:val="008859C8"/>
    <w:rsid w:val="008859FA"/>
    <w:rsid w:val="00885BDE"/>
    <w:rsid w:val="00885C3E"/>
    <w:rsid w:val="00885C47"/>
    <w:rsid w:val="00885E25"/>
    <w:rsid w:val="00886121"/>
    <w:rsid w:val="00886178"/>
    <w:rsid w:val="0088627D"/>
    <w:rsid w:val="00886395"/>
    <w:rsid w:val="00886656"/>
    <w:rsid w:val="008867F3"/>
    <w:rsid w:val="00886BAF"/>
    <w:rsid w:val="00886DE0"/>
    <w:rsid w:val="00886E09"/>
    <w:rsid w:val="008871BC"/>
    <w:rsid w:val="00887276"/>
    <w:rsid w:val="008875A8"/>
    <w:rsid w:val="008876B3"/>
    <w:rsid w:val="008876CA"/>
    <w:rsid w:val="00887722"/>
    <w:rsid w:val="0088773B"/>
    <w:rsid w:val="008878D0"/>
    <w:rsid w:val="008879B0"/>
    <w:rsid w:val="00887A33"/>
    <w:rsid w:val="00887AA8"/>
    <w:rsid w:val="00887D1C"/>
    <w:rsid w:val="00887EE7"/>
    <w:rsid w:val="00887F92"/>
    <w:rsid w:val="008900E7"/>
    <w:rsid w:val="00890682"/>
    <w:rsid w:val="008907FC"/>
    <w:rsid w:val="0089098B"/>
    <w:rsid w:val="008909F0"/>
    <w:rsid w:val="00890EDD"/>
    <w:rsid w:val="00890EF4"/>
    <w:rsid w:val="00890F19"/>
    <w:rsid w:val="008911C8"/>
    <w:rsid w:val="0089132E"/>
    <w:rsid w:val="0089134B"/>
    <w:rsid w:val="00891416"/>
    <w:rsid w:val="008916A3"/>
    <w:rsid w:val="008916B9"/>
    <w:rsid w:val="0089179D"/>
    <w:rsid w:val="00891846"/>
    <w:rsid w:val="00891F21"/>
    <w:rsid w:val="008924B3"/>
    <w:rsid w:val="00892552"/>
    <w:rsid w:val="00892665"/>
    <w:rsid w:val="008929FD"/>
    <w:rsid w:val="00892CE9"/>
    <w:rsid w:val="00892E21"/>
    <w:rsid w:val="00892E6E"/>
    <w:rsid w:val="00892ED8"/>
    <w:rsid w:val="00892F17"/>
    <w:rsid w:val="008931D3"/>
    <w:rsid w:val="00893303"/>
    <w:rsid w:val="00893392"/>
    <w:rsid w:val="0089355B"/>
    <w:rsid w:val="008935BE"/>
    <w:rsid w:val="00893662"/>
    <w:rsid w:val="00893B20"/>
    <w:rsid w:val="00893C24"/>
    <w:rsid w:val="00893CA3"/>
    <w:rsid w:val="00893D64"/>
    <w:rsid w:val="00893F84"/>
    <w:rsid w:val="00893FC4"/>
    <w:rsid w:val="008942A1"/>
    <w:rsid w:val="008942F0"/>
    <w:rsid w:val="0089435A"/>
    <w:rsid w:val="0089451A"/>
    <w:rsid w:val="0089452B"/>
    <w:rsid w:val="008948B2"/>
    <w:rsid w:val="00894D7E"/>
    <w:rsid w:val="00894F57"/>
    <w:rsid w:val="00895045"/>
    <w:rsid w:val="00895143"/>
    <w:rsid w:val="0089514B"/>
    <w:rsid w:val="0089529A"/>
    <w:rsid w:val="008952F6"/>
    <w:rsid w:val="00895434"/>
    <w:rsid w:val="008956C4"/>
    <w:rsid w:val="008957DE"/>
    <w:rsid w:val="00895B83"/>
    <w:rsid w:val="00896407"/>
    <w:rsid w:val="00896547"/>
    <w:rsid w:val="008965FB"/>
    <w:rsid w:val="00896757"/>
    <w:rsid w:val="00896785"/>
    <w:rsid w:val="00896809"/>
    <w:rsid w:val="008969A9"/>
    <w:rsid w:val="00896A1D"/>
    <w:rsid w:val="00896D72"/>
    <w:rsid w:val="008971D3"/>
    <w:rsid w:val="00897293"/>
    <w:rsid w:val="00897982"/>
    <w:rsid w:val="008979EB"/>
    <w:rsid w:val="00897B98"/>
    <w:rsid w:val="00897BCB"/>
    <w:rsid w:val="00897C22"/>
    <w:rsid w:val="00897DCE"/>
    <w:rsid w:val="00897E05"/>
    <w:rsid w:val="00898C89"/>
    <w:rsid w:val="008A028C"/>
    <w:rsid w:val="008A0483"/>
    <w:rsid w:val="008A073D"/>
    <w:rsid w:val="008A07F2"/>
    <w:rsid w:val="008A09CF"/>
    <w:rsid w:val="008A0AFD"/>
    <w:rsid w:val="008A0BA9"/>
    <w:rsid w:val="008A0CEE"/>
    <w:rsid w:val="008A0E59"/>
    <w:rsid w:val="008A1152"/>
    <w:rsid w:val="008A16B0"/>
    <w:rsid w:val="008A1B40"/>
    <w:rsid w:val="008A1C25"/>
    <w:rsid w:val="008A1C60"/>
    <w:rsid w:val="008A1F5C"/>
    <w:rsid w:val="008A20C3"/>
    <w:rsid w:val="008A2179"/>
    <w:rsid w:val="008A21F7"/>
    <w:rsid w:val="008A252E"/>
    <w:rsid w:val="008A2692"/>
    <w:rsid w:val="008A275B"/>
    <w:rsid w:val="008A27E6"/>
    <w:rsid w:val="008A295B"/>
    <w:rsid w:val="008A2AB4"/>
    <w:rsid w:val="008A2AC9"/>
    <w:rsid w:val="008A2CAE"/>
    <w:rsid w:val="008A2D1B"/>
    <w:rsid w:val="008A2DF2"/>
    <w:rsid w:val="008A2FDA"/>
    <w:rsid w:val="008A3522"/>
    <w:rsid w:val="008A3B6A"/>
    <w:rsid w:val="008A3BCA"/>
    <w:rsid w:val="008A3D02"/>
    <w:rsid w:val="008A3F24"/>
    <w:rsid w:val="008A4109"/>
    <w:rsid w:val="008A4396"/>
    <w:rsid w:val="008A4618"/>
    <w:rsid w:val="008A494E"/>
    <w:rsid w:val="008A49CB"/>
    <w:rsid w:val="008A4C20"/>
    <w:rsid w:val="008A4CA5"/>
    <w:rsid w:val="008A4D32"/>
    <w:rsid w:val="008A4F99"/>
    <w:rsid w:val="008A5295"/>
    <w:rsid w:val="008A535F"/>
    <w:rsid w:val="008A5451"/>
    <w:rsid w:val="008A56FC"/>
    <w:rsid w:val="008A5A67"/>
    <w:rsid w:val="008A5DD7"/>
    <w:rsid w:val="008A5DEF"/>
    <w:rsid w:val="008A5ECF"/>
    <w:rsid w:val="008A625F"/>
    <w:rsid w:val="008A630E"/>
    <w:rsid w:val="008A63BA"/>
    <w:rsid w:val="008A6604"/>
    <w:rsid w:val="008A66B9"/>
    <w:rsid w:val="008A6829"/>
    <w:rsid w:val="008A68FF"/>
    <w:rsid w:val="008A698D"/>
    <w:rsid w:val="008A6CD0"/>
    <w:rsid w:val="008A7094"/>
    <w:rsid w:val="008A7262"/>
    <w:rsid w:val="008A73B9"/>
    <w:rsid w:val="008A7466"/>
    <w:rsid w:val="008A76E7"/>
    <w:rsid w:val="008A775B"/>
    <w:rsid w:val="008A7F28"/>
    <w:rsid w:val="008B0183"/>
    <w:rsid w:val="008B037D"/>
    <w:rsid w:val="008B0B29"/>
    <w:rsid w:val="008B0BCF"/>
    <w:rsid w:val="008B0DF7"/>
    <w:rsid w:val="008B0E34"/>
    <w:rsid w:val="008B0FBE"/>
    <w:rsid w:val="008B14F4"/>
    <w:rsid w:val="008B1558"/>
    <w:rsid w:val="008B1633"/>
    <w:rsid w:val="008B1707"/>
    <w:rsid w:val="008B1987"/>
    <w:rsid w:val="008B1A27"/>
    <w:rsid w:val="008B1CC0"/>
    <w:rsid w:val="008B1EFE"/>
    <w:rsid w:val="008B1FF5"/>
    <w:rsid w:val="008B21F5"/>
    <w:rsid w:val="008B2210"/>
    <w:rsid w:val="008B252E"/>
    <w:rsid w:val="008B2560"/>
    <w:rsid w:val="008B2779"/>
    <w:rsid w:val="008B2A34"/>
    <w:rsid w:val="008B2A8F"/>
    <w:rsid w:val="008B2E78"/>
    <w:rsid w:val="008B2F22"/>
    <w:rsid w:val="008B30C0"/>
    <w:rsid w:val="008B31AC"/>
    <w:rsid w:val="008B3242"/>
    <w:rsid w:val="008B32BF"/>
    <w:rsid w:val="008B32CE"/>
    <w:rsid w:val="008B3539"/>
    <w:rsid w:val="008B3BC6"/>
    <w:rsid w:val="008B3BDD"/>
    <w:rsid w:val="008B3D42"/>
    <w:rsid w:val="008B3E80"/>
    <w:rsid w:val="008B3F22"/>
    <w:rsid w:val="008B3F27"/>
    <w:rsid w:val="008B40CF"/>
    <w:rsid w:val="008B468E"/>
    <w:rsid w:val="008B4B58"/>
    <w:rsid w:val="008B4CCE"/>
    <w:rsid w:val="008B4E8B"/>
    <w:rsid w:val="008B4EDE"/>
    <w:rsid w:val="008B4F45"/>
    <w:rsid w:val="008B5006"/>
    <w:rsid w:val="008B514B"/>
    <w:rsid w:val="008B5357"/>
    <w:rsid w:val="008B53F3"/>
    <w:rsid w:val="008B5400"/>
    <w:rsid w:val="008B541B"/>
    <w:rsid w:val="008B544A"/>
    <w:rsid w:val="008B5482"/>
    <w:rsid w:val="008B5778"/>
    <w:rsid w:val="008B582B"/>
    <w:rsid w:val="008B5875"/>
    <w:rsid w:val="008B5932"/>
    <w:rsid w:val="008B5C37"/>
    <w:rsid w:val="008B5E64"/>
    <w:rsid w:val="008B6046"/>
    <w:rsid w:val="008B63D9"/>
    <w:rsid w:val="008B6542"/>
    <w:rsid w:val="008B66A6"/>
    <w:rsid w:val="008B66F6"/>
    <w:rsid w:val="008B670A"/>
    <w:rsid w:val="008B6765"/>
    <w:rsid w:val="008B67E9"/>
    <w:rsid w:val="008B6829"/>
    <w:rsid w:val="008B68EA"/>
    <w:rsid w:val="008B6B25"/>
    <w:rsid w:val="008B6BDD"/>
    <w:rsid w:val="008B6F0C"/>
    <w:rsid w:val="008B723A"/>
    <w:rsid w:val="008B7245"/>
    <w:rsid w:val="008B724D"/>
    <w:rsid w:val="008B7351"/>
    <w:rsid w:val="008B753C"/>
    <w:rsid w:val="008B763B"/>
    <w:rsid w:val="008B7852"/>
    <w:rsid w:val="008B788D"/>
    <w:rsid w:val="008B78C1"/>
    <w:rsid w:val="008B7DC4"/>
    <w:rsid w:val="008C005D"/>
    <w:rsid w:val="008C0173"/>
    <w:rsid w:val="008C030C"/>
    <w:rsid w:val="008C04F6"/>
    <w:rsid w:val="008C055D"/>
    <w:rsid w:val="008C06B6"/>
    <w:rsid w:val="008C0732"/>
    <w:rsid w:val="008C0943"/>
    <w:rsid w:val="008C0AD9"/>
    <w:rsid w:val="008C0B9C"/>
    <w:rsid w:val="008C1097"/>
    <w:rsid w:val="008C10FB"/>
    <w:rsid w:val="008C11F4"/>
    <w:rsid w:val="008C1286"/>
    <w:rsid w:val="008C13B9"/>
    <w:rsid w:val="008C181B"/>
    <w:rsid w:val="008C189B"/>
    <w:rsid w:val="008C1935"/>
    <w:rsid w:val="008C1966"/>
    <w:rsid w:val="008C1AEA"/>
    <w:rsid w:val="008C1B23"/>
    <w:rsid w:val="008C1BE0"/>
    <w:rsid w:val="008C1CB2"/>
    <w:rsid w:val="008C1EFF"/>
    <w:rsid w:val="008C1FD0"/>
    <w:rsid w:val="008C2166"/>
    <w:rsid w:val="008C22BE"/>
    <w:rsid w:val="008C22CE"/>
    <w:rsid w:val="008C2385"/>
    <w:rsid w:val="008C2599"/>
    <w:rsid w:val="008C26C0"/>
    <w:rsid w:val="008C2961"/>
    <w:rsid w:val="008C2BEC"/>
    <w:rsid w:val="008C2D33"/>
    <w:rsid w:val="008C30C6"/>
    <w:rsid w:val="008C3424"/>
    <w:rsid w:val="008C3819"/>
    <w:rsid w:val="008C3982"/>
    <w:rsid w:val="008C39EB"/>
    <w:rsid w:val="008C3B06"/>
    <w:rsid w:val="008C3BAA"/>
    <w:rsid w:val="008C3C46"/>
    <w:rsid w:val="008C3D62"/>
    <w:rsid w:val="008C3DA6"/>
    <w:rsid w:val="008C3E35"/>
    <w:rsid w:val="008C3E8C"/>
    <w:rsid w:val="008C406F"/>
    <w:rsid w:val="008C4371"/>
    <w:rsid w:val="008C4922"/>
    <w:rsid w:val="008C49B8"/>
    <w:rsid w:val="008C4BD7"/>
    <w:rsid w:val="008C4C83"/>
    <w:rsid w:val="008C4CEC"/>
    <w:rsid w:val="008C4D68"/>
    <w:rsid w:val="008C4E4C"/>
    <w:rsid w:val="008C51C7"/>
    <w:rsid w:val="008C55B3"/>
    <w:rsid w:val="008C5654"/>
    <w:rsid w:val="008C5A06"/>
    <w:rsid w:val="008C5B56"/>
    <w:rsid w:val="008C5BD3"/>
    <w:rsid w:val="008C5BDD"/>
    <w:rsid w:val="008C5D80"/>
    <w:rsid w:val="008C5F0A"/>
    <w:rsid w:val="008C6310"/>
    <w:rsid w:val="008C635E"/>
    <w:rsid w:val="008C64DA"/>
    <w:rsid w:val="008C6523"/>
    <w:rsid w:val="008C661D"/>
    <w:rsid w:val="008C693A"/>
    <w:rsid w:val="008C69C7"/>
    <w:rsid w:val="008C6A9F"/>
    <w:rsid w:val="008C6C69"/>
    <w:rsid w:val="008C6D0E"/>
    <w:rsid w:val="008C6DDA"/>
    <w:rsid w:val="008C6EED"/>
    <w:rsid w:val="008C72F1"/>
    <w:rsid w:val="008C730C"/>
    <w:rsid w:val="008C739E"/>
    <w:rsid w:val="008C777B"/>
    <w:rsid w:val="008C77D0"/>
    <w:rsid w:val="008C79BC"/>
    <w:rsid w:val="008C79ED"/>
    <w:rsid w:val="008C7D60"/>
    <w:rsid w:val="008C7E4E"/>
    <w:rsid w:val="008C7E62"/>
    <w:rsid w:val="008D03DE"/>
    <w:rsid w:val="008D060F"/>
    <w:rsid w:val="008D063D"/>
    <w:rsid w:val="008D0822"/>
    <w:rsid w:val="008D09D2"/>
    <w:rsid w:val="008D0C38"/>
    <w:rsid w:val="008D1169"/>
    <w:rsid w:val="008D1205"/>
    <w:rsid w:val="008D1281"/>
    <w:rsid w:val="008D13ED"/>
    <w:rsid w:val="008D140A"/>
    <w:rsid w:val="008D1605"/>
    <w:rsid w:val="008D19EA"/>
    <w:rsid w:val="008D1A38"/>
    <w:rsid w:val="008D1C83"/>
    <w:rsid w:val="008D1CA6"/>
    <w:rsid w:val="008D1E0F"/>
    <w:rsid w:val="008D1E13"/>
    <w:rsid w:val="008D1E9C"/>
    <w:rsid w:val="008D2089"/>
    <w:rsid w:val="008D2117"/>
    <w:rsid w:val="008D27D4"/>
    <w:rsid w:val="008D2839"/>
    <w:rsid w:val="008D2A47"/>
    <w:rsid w:val="008D2D06"/>
    <w:rsid w:val="008D2D72"/>
    <w:rsid w:val="008D2ED1"/>
    <w:rsid w:val="008D3331"/>
    <w:rsid w:val="008D33F1"/>
    <w:rsid w:val="008D3571"/>
    <w:rsid w:val="008D37DA"/>
    <w:rsid w:val="008D384F"/>
    <w:rsid w:val="008D39C5"/>
    <w:rsid w:val="008D39FB"/>
    <w:rsid w:val="008D3A4C"/>
    <w:rsid w:val="008D3BD4"/>
    <w:rsid w:val="008D3CE2"/>
    <w:rsid w:val="008D3D38"/>
    <w:rsid w:val="008D3EC8"/>
    <w:rsid w:val="008D3FAD"/>
    <w:rsid w:val="008D422D"/>
    <w:rsid w:val="008D4262"/>
    <w:rsid w:val="008D46D9"/>
    <w:rsid w:val="008D4757"/>
    <w:rsid w:val="008D48F9"/>
    <w:rsid w:val="008D493F"/>
    <w:rsid w:val="008D4A66"/>
    <w:rsid w:val="008D4AE9"/>
    <w:rsid w:val="008D4B60"/>
    <w:rsid w:val="008D4C03"/>
    <w:rsid w:val="008D512C"/>
    <w:rsid w:val="008D52BB"/>
    <w:rsid w:val="008D552C"/>
    <w:rsid w:val="008D55A8"/>
    <w:rsid w:val="008D55E6"/>
    <w:rsid w:val="008D563E"/>
    <w:rsid w:val="008D5710"/>
    <w:rsid w:val="008D57CE"/>
    <w:rsid w:val="008D596C"/>
    <w:rsid w:val="008D59D0"/>
    <w:rsid w:val="008D5BC3"/>
    <w:rsid w:val="008D5C92"/>
    <w:rsid w:val="008D5F4D"/>
    <w:rsid w:val="008D60A5"/>
    <w:rsid w:val="008D624E"/>
    <w:rsid w:val="008D638C"/>
    <w:rsid w:val="008D6435"/>
    <w:rsid w:val="008D6907"/>
    <w:rsid w:val="008D6931"/>
    <w:rsid w:val="008D6B86"/>
    <w:rsid w:val="008D6D34"/>
    <w:rsid w:val="008D6DD5"/>
    <w:rsid w:val="008D6E07"/>
    <w:rsid w:val="008D70CC"/>
    <w:rsid w:val="008D7398"/>
    <w:rsid w:val="008D7455"/>
    <w:rsid w:val="008D7669"/>
    <w:rsid w:val="008D784D"/>
    <w:rsid w:val="008D78EC"/>
    <w:rsid w:val="008D7968"/>
    <w:rsid w:val="008D7AE4"/>
    <w:rsid w:val="008D7B65"/>
    <w:rsid w:val="008D7C46"/>
    <w:rsid w:val="008D7D9A"/>
    <w:rsid w:val="008D7E12"/>
    <w:rsid w:val="008D7E53"/>
    <w:rsid w:val="008E00B0"/>
    <w:rsid w:val="008E035F"/>
    <w:rsid w:val="008E03FE"/>
    <w:rsid w:val="008E0587"/>
    <w:rsid w:val="008E05D5"/>
    <w:rsid w:val="008E0742"/>
    <w:rsid w:val="008E09D5"/>
    <w:rsid w:val="008E0B8D"/>
    <w:rsid w:val="008E0F5A"/>
    <w:rsid w:val="008E0F94"/>
    <w:rsid w:val="008E1054"/>
    <w:rsid w:val="008E13DC"/>
    <w:rsid w:val="008E13E5"/>
    <w:rsid w:val="008E13FC"/>
    <w:rsid w:val="008E149D"/>
    <w:rsid w:val="008E165A"/>
    <w:rsid w:val="008E167C"/>
    <w:rsid w:val="008E169C"/>
    <w:rsid w:val="008E16E7"/>
    <w:rsid w:val="008E1778"/>
    <w:rsid w:val="008E180F"/>
    <w:rsid w:val="008E1AF5"/>
    <w:rsid w:val="008E1D89"/>
    <w:rsid w:val="008E1F52"/>
    <w:rsid w:val="008E2044"/>
    <w:rsid w:val="008E2096"/>
    <w:rsid w:val="008E241A"/>
    <w:rsid w:val="008E24A6"/>
    <w:rsid w:val="008E256C"/>
    <w:rsid w:val="008E26D4"/>
    <w:rsid w:val="008E27AC"/>
    <w:rsid w:val="008E2989"/>
    <w:rsid w:val="008E2C35"/>
    <w:rsid w:val="008E2D5C"/>
    <w:rsid w:val="008E31ED"/>
    <w:rsid w:val="008E3561"/>
    <w:rsid w:val="008E3656"/>
    <w:rsid w:val="008E3902"/>
    <w:rsid w:val="008E395F"/>
    <w:rsid w:val="008E3E3E"/>
    <w:rsid w:val="008E4607"/>
    <w:rsid w:val="008E466F"/>
    <w:rsid w:val="008E4963"/>
    <w:rsid w:val="008E4E01"/>
    <w:rsid w:val="008E4E0C"/>
    <w:rsid w:val="008E5032"/>
    <w:rsid w:val="008E5041"/>
    <w:rsid w:val="008E5211"/>
    <w:rsid w:val="008E53BF"/>
    <w:rsid w:val="008E540C"/>
    <w:rsid w:val="008E54CE"/>
    <w:rsid w:val="008E56E7"/>
    <w:rsid w:val="008E570A"/>
    <w:rsid w:val="008E593D"/>
    <w:rsid w:val="008E5973"/>
    <w:rsid w:val="008E5984"/>
    <w:rsid w:val="008E59B8"/>
    <w:rsid w:val="008E5A52"/>
    <w:rsid w:val="008E5A84"/>
    <w:rsid w:val="008E5A91"/>
    <w:rsid w:val="008E5CC0"/>
    <w:rsid w:val="008E5E0E"/>
    <w:rsid w:val="008E5E90"/>
    <w:rsid w:val="008E62B5"/>
    <w:rsid w:val="008E649B"/>
    <w:rsid w:val="008E6567"/>
    <w:rsid w:val="008E65C7"/>
    <w:rsid w:val="008E698E"/>
    <w:rsid w:val="008E6B17"/>
    <w:rsid w:val="008E6BF3"/>
    <w:rsid w:val="008E6E78"/>
    <w:rsid w:val="008E715C"/>
    <w:rsid w:val="008E73E2"/>
    <w:rsid w:val="008E754E"/>
    <w:rsid w:val="008E7555"/>
    <w:rsid w:val="008E7569"/>
    <w:rsid w:val="008E7571"/>
    <w:rsid w:val="008E76AC"/>
    <w:rsid w:val="008E76D0"/>
    <w:rsid w:val="008E7719"/>
    <w:rsid w:val="008E7956"/>
    <w:rsid w:val="008E79CB"/>
    <w:rsid w:val="008E7A58"/>
    <w:rsid w:val="008E7C1C"/>
    <w:rsid w:val="008E7D31"/>
    <w:rsid w:val="008E7E45"/>
    <w:rsid w:val="008F022E"/>
    <w:rsid w:val="008F06D9"/>
    <w:rsid w:val="008F07D1"/>
    <w:rsid w:val="008F083C"/>
    <w:rsid w:val="008F097E"/>
    <w:rsid w:val="008F0CC2"/>
    <w:rsid w:val="008F0CF7"/>
    <w:rsid w:val="008F0DD5"/>
    <w:rsid w:val="008F0F1F"/>
    <w:rsid w:val="008F171D"/>
    <w:rsid w:val="008F1A3E"/>
    <w:rsid w:val="008F1D88"/>
    <w:rsid w:val="008F1DB8"/>
    <w:rsid w:val="008F1DDA"/>
    <w:rsid w:val="008F1FF3"/>
    <w:rsid w:val="008F2109"/>
    <w:rsid w:val="008F23A0"/>
    <w:rsid w:val="008F251B"/>
    <w:rsid w:val="008F2599"/>
    <w:rsid w:val="008F285C"/>
    <w:rsid w:val="008F2907"/>
    <w:rsid w:val="008F29CC"/>
    <w:rsid w:val="008F2AD7"/>
    <w:rsid w:val="008F2F64"/>
    <w:rsid w:val="008F30BD"/>
    <w:rsid w:val="008F3292"/>
    <w:rsid w:val="008F32EA"/>
    <w:rsid w:val="008F3619"/>
    <w:rsid w:val="008F3700"/>
    <w:rsid w:val="008F3967"/>
    <w:rsid w:val="008F4030"/>
    <w:rsid w:val="008F416B"/>
    <w:rsid w:val="008F4214"/>
    <w:rsid w:val="008F426E"/>
    <w:rsid w:val="008F42E1"/>
    <w:rsid w:val="008F43C6"/>
    <w:rsid w:val="008F445D"/>
    <w:rsid w:val="008F4643"/>
    <w:rsid w:val="008F49A4"/>
    <w:rsid w:val="008F4FBE"/>
    <w:rsid w:val="008F4FDA"/>
    <w:rsid w:val="008F511C"/>
    <w:rsid w:val="008F51FF"/>
    <w:rsid w:val="008F5247"/>
    <w:rsid w:val="008F5404"/>
    <w:rsid w:val="008F55B0"/>
    <w:rsid w:val="008F57B9"/>
    <w:rsid w:val="008F5A12"/>
    <w:rsid w:val="008F5A3C"/>
    <w:rsid w:val="008F5D82"/>
    <w:rsid w:val="008F5DE4"/>
    <w:rsid w:val="008F5F87"/>
    <w:rsid w:val="008F632E"/>
    <w:rsid w:val="008F633C"/>
    <w:rsid w:val="008F6501"/>
    <w:rsid w:val="008F65A9"/>
    <w:rsid w:val="008F662A"/>
    <w:rsid w:val="008F6632"/>
    <w:rsid w:val="008F6693"/>
    <w:rsid w:val="008F67E7"/>
    <w:rsid w:val="008F6A8A"/>
    <w:rsid w:val="008F6C1A"/>
    <w:rsid w:val="008F6C3D"/>
    <w:rsid w:val="008F6E2F"/>
    <w:rsid w:val="008F6FCA"/>
    <w:rsid w:val="008F74B0"/>
    <w:rsid w:val="008F760B"/>
    <w:rsid w:val="008F7693"/>
    <w:rsid w:val="008F76AA"/>
    <w:rsid w:val="008F7813"/>
    <w:rsid w:val="008F797A"/>
    <w:rsid w:val="008F7AAE"/>
    <w:rsid w:val="008F7AD8"/>
    <w:rsid w:val="008F7C15"/>
    <w:rsid w:val="008F7F3F"/>
    <w:rsid w:val="008F7FD6"/>
    <w:rsid w:val="00900233"/>
    <w:rsid w:val="009003A7"/>
    <w:rsid w:val="0090099B"/>
    <w:rsid w:val="009009C2"/>
    <w:rsid w:val="00900A34"/>
    <w:rsid w:val="00900B05"/>
    <w:rsid w:val="00900B84"/>
    <w:rsid w:val="00900F83"/>
    <w:rsid w:val="009010CA"/>
    <w:rsid w:val="009011FE"/>
    <w:rsid w:val="009012B2"/>
    <w:rsid w:val="0090136A"/>
    <w:rsid w:val="00901443"/>
    <w:rsid w:val="0090158E"/>
    <w:rsid w:val="009015A4"/>
    <w:rsid w:val="00901693"/>
    <w:rsid w:val="009016E5"/>
    <w:rsid w:val="00901984"/>
    <w:rsid w:val="00901B58"/>
    <w:rsid w:val="00901D6A"/>
    <w:rsid w:val="00901D9C"/>
    <w:rsid w:val="00901FBA"/>
    <w:rsid w:val="009020C5"/>
    <w:rsid w:val="0090222E"/>
    <w:rsid w:val="009026E0"/>
    <w:rsid w:val="00902714"/>
    <w:rsid w:val="0090281C"/>
    <w:rsid w:val="00902876"/>
    <w:rsid w:val="00902A26"/>
    <w:rsid w:val="00902B8A"/>
    <w:rsid w:val="00902D86"/>
    <w:rsid w:val="00902DBA"/>
    <w:rsid w:val="00902FA1"/>
    <w:rsid w:val="00903043"/>
    <w:rsid w:val="0090307C"/>
    <w:rsid w:val="009036A7"/>
    <w:rsid w:val="009036DE"/>
    <w:rsid w:val="009036E8"/>
    <w:rsid w:val="00903904"/>
    <w:rsid w:val="00903B6D"/>
    <w:rsid w:val="00903C67"/>
    <w:rsid w:val="00903C99"/>
    <w:rsid w:val="00903D7E"/>
    <w:rsid w:val="00903E6F"/>
    <w:rsid w:val="00903F7A"/>
    <w:rsid w:val="00903FE8"/>
    <w:rsid w:val="00904051"/>
    <w:rsid w:val="009040CD"/>
    <w:rsid w:val="0090478E"/>
    <w:rsid w:val="00904968"/>
    <w:rsid w:val="00904AD0"/>
    <w:rsid w:val="00904EA1"/>
    <w:rsid w:val="00905072"/>
    <w:rsid w:val="00905318"/>
    <w:rsid w:val="009056E9"/>
    <w:rsid w:val="00905988"/>
    <w:rsid w:val="00905DB7"/>
    <w:rsid w:val="009060D5"/>
    <w:rsid w:val="009060D9"/>
    <w:rsid w:val="00906156"/>
    <w:rsid w:val="009062A5"/>
    <w:rsid w:val="0090650F"/>
    <w:rsid w:val="009066B4"/>
    <w:rsid w:val="009069BE"/>
    <w:rsid w:val="009069F5"/>
    <w:rsid w:val="00906B4A"/>
    <w:rsid w:val="00906BF8"/>
    <w:rsid w:val="00906F7C"/>
    <w:rsid w:val="00907036"/>
    <w:rsid w:val="00907073"/>
    <w:rsid w:val="00907273"/>
    <w:rsid w:val="009072A1"/>
    <w:rsid w:val="009072F2"/>
    <w:rsid w:val="00907469"/>
    <w:rsid w:val="009077D3"/>
    <w:rsid w:val="00907AC7"/>
    <w:rsid w:val="00907F25"/>
    <w:rsid w:val="00907F97"/>
    <w:rsid w:val="009104DC"/>
    <w:rsid w:val="009107AF"/>
    <w:rsid w:val="009109CB"/>
    <w:rsid w:val="00910A26"/>
    <w:rsid w:val="00910B17"/>
    <w:rsid w:val="00910C33"/>
    <w:rsid w:val="00910EA6"/>
    <w:rsid w:val="00911233"/>
    <w:rsid w:val="00911251"/>
    <w:rsid w:val="009112AA"/>
    <w:rsid w:val="009114A3"/>
    <w:rsid w:val="009115D4"/>
    <w:rsid w:val="0091170D"/>
    <w:rsid w:val="00911813"/>
    <w:rsid w:val="00911930"/>
    <w:rsid w:val="0091196E"/>
    <w:rsid w:val="00911D97"/>
    <w:rsid w:val="00911DC9"/>
    <w:rsid w:val="00911FBA"/>
    <w:rsid w:val="009122FA"/>
    <w:rsid w:val="0091232F"/>
    <w:rsid w:val="009128B0"/>
    <w:rsid w:val="00912A5A"/>
    <w:rsid w:val="00912AA9"/>
    <w:rsid w:val="00912C16"/>
    <w:rsid w:val="00912EDD"/>
    <w:rsid w:val="009130D6"/>
    <w:rsid w:val="0091334D"/>
    <w:rsid w:val="0091338C"/>
    <w:rsid w:val="00913A63"/>
    <w:rsid w:val="00913D0D"/>
    <w:rsid w:val="009141C5"/>
    <w:rsid w:val="0091442F"/>
    <w:rsid w:val="00914659"/>
    <w:rsid w:val="009149A7"/>
    <w:rsid w:val="00914AC3"/>
    <w:rsid w:val="00914C95"/>
    <w:rsid w:val="00914F62"/>
    <w:rsid w:val="0091506F"/>
    <w:rsid w:val="00915249"/>
    <w:rsid w:val="009159EC"/>
    <w:rsid w:val="00915A97"/>
    <w:rsid w:val="00915E28"/>
    <w:rsid w:val="00915F48"/>
    <w:rsid w:val="00915F6E"/>
    <w:rsid w:val="00916194"/>
    <w:rsid w:val="0091624D"/>
    <w:rsid w:val="00916A80"/>
    <w:rsid w:val="00916A86"/>
    <w:rsid w:val="00916B55"/>
    <w:rsid w:val="00916BD7"/>
    <w:rsid w:val="00916EDA"/>
    <w:rsid w:val="00916F00"/>
    <w:rsid w:val="00916F1D"/>
    <w:rsid w:val="009171EC"/>
    <w:rsid w:val="00917549"/>
    <w:rsid w:val="00917946"/>
    <w:rsid w:val="0091795F"/>
    <w:rsid w:val="009179E4"/>
    <w:rsid w:val="00917A5A"/>
    <w:rsid w:val="00917A7B"/>
    <w:rsid w:val="00917B2F"/>
    <w:rsid w:val="00917D27"/>
    <w:rsid w:val="009201D9"/>
    <w:rsid w:val="0092053E"/>
    <w:rsid w:val="009205CE"/>
    <w:rsid w:val="00920621"/>
    <w:rsid w:val="0092070D"/>
    <w:rsid w:val="0092083C"/>
    <w:rsid w:val="009208F5"/>
    <w:rsid w:val="00920909"/>
    <w:rsid w:val="00920B26"/>
    <w:rsid w:val="00920C36"/>
    <w:rsid w:val="00920D65"/>
    <w:rsid w:val="00920F1B"/>
    <w:rsid w:val="00920F37"/>
    <w:rsid w:val="00920F46"/>
    <w:rsid w:val="0092120B"/>
    <w:rsid w:val="0092129F"/>
    <w:rsid w:val="0092153B"/>
    <w:rsid w:val="0092158C"/>
    <w:rsid w:val="0092197D"/>
    <w:rsid w:val="00921A17"/>
    <w:rsid w:val="00921B94"/>
    <w:rsid w:val="00921F68"/>
    <w:rsid w:val="00921FA0"/>
    <w:rsid w:val="009221CD"/>
    <w:rsid w:val="00922272"/>
    <w:rsid w:val="009222CD"/>
    <w:rsid w:val="00922307"/>
    <w:rsid w:val="009224D9"/>
    <w:rsid w:val="00922909"/>
    <w:rsid w:val="00922AC0"/>
    <w:rsid w:val="00922BE2"/>
    <w:rsid w:val="00922FA4"/>
    <w:rsid w:val="00923023"/>
    <w:rsid w:val="009232E8"/>
    <w:rsid w:val="009233F3"/>
    <w:rsid w:val="009235C3"/>
    <w:rsid w:val="009238C7"/>
    <w:rsid w:val="00923C43"/>
    <w:rsid w:val="00923D8D"/>
    <w:rsid w:val="00923EEC"/>
    <w:rsid w:val="009240D0"/>
    <w:rsid w:val="0092417F"/>
    <w:rsid w:val="00924384"/>
    <w:rsid w:val="00924438"/>
    <w:rsid w:val="00924522"/>
    <w:rsid w:val="00924667"/>
    <w:rsid w:val="00924B1C"/>
    <w:rsid w:val="00924BF5"/>
    <w:rsid w:val="00924C05"/>
    <w:rsid w:val="00924C85"/>
    <w:rsid w:val="00924D42"/>
    <w:rsid w:val="00924E55"/>
    <w:rsid w:val="00924FA5"/>
    <w:rsid w:val="00925126"/>
    <w:rsid w:val="009252F3"/>
    <w:rsid w:val="00925590"/>
    <w:rsid w:val="009255AC"/>
    <w:rsid w:val="00925925"/>
    <w:rsid w:val="00925A6D"/>
    <w:rsid w:val="00925CC8"/>
    <w:rsid w:val="00925D43"/>
    <w:rsid w:val="00925D76"/>
    <w:rsid w:val="00925EEC"/>
    <w:rsid w:val="00926115"/>
    <w:rsid w:val="00926204"/>
    <w:rsid w:val="00926258"/>
    <w:rsid w:val="00926292"/>
    <w:rsid w:val="00926346"/>
    <w:rsid w:val="0092652A"/>
    <w:rsid w:val="0092653E"/>
    <w:rsid w:val="00926CBF"/>
    <w:rsid w:val="00927090"/>
    <w:rsid w:val="0092730E"/>
    <w:rsid w:val="009273CD"/>
    <w:rsid w:val="009275AB"/>
    <w:rsid w:val="0092775C"/>
    <w:rsid w:val="009278F2"/>
    <w:rsid w:val="00927934"/>
    <w:rsid w:val="00927982"/>
    <w:rsid w:val="00927AF7"/>
    <w:rsid w:val="00927CD5"/>
    <w:rsid w:val="00927D51"/>
    <w:rsid w:val="00927F64"/>
    <w:rsid w:val="00930172"/>
    <w:rsid w:val="009301F5"/>
    <w:rsid w:val="00930670"/>
    <w:rsid w:val="009308A2"/>
    <w:rsid w:val="00930A02"/>
    <w:rsid w:val="00930D19"/>
    <w:rsid w:val="00930F42"/>
    <w:rsid w:val="0093110C"/>
    <w:rsid w:val="0093133D"/>
    <w:rsid w:val="00931649"/>
    <w:rsid w:val="00931782"/>
    <w:rsid w:val="00931859"/>
    <w:rsid w:val="009318B4"/>
    <w:rsid w:val="009319F3"/>
    <w:rsid w:val="00931BBA"/>
    <w:rsid w:val="00931D5C"/>
    <w:rsid w:val="00931DC3"/>
    <w:rsid w:val="00931E62"/>
    <w:rsid w:val="00932116"/>
    <w:rsid w:val="00932272"/>
    <w:rsid w:val="009323E7"/>
    <w:rsid w:val="0093259E"/>
    <w:rsid w:val="00932862"/>
    <w:rsid w:val="009329E4"/>
    <w:rsid w:val="00932BEF"/>
    <w:rsid w:val="00932FC3"/>
    <w:rsid w:val="009330E2"/>
    <w:rsid w:val="00933132"/>
    <w:rsid w:val="00933185"/>
    <w:rsid w:val="009336D8"/>
    <w:rsid w:val="00933DDC"/>
    <w:rsid w:val="00933FF7"/>
    <w:rsid w:val="009340AE"/>
    <w:rsid w:val="00934AB2"/>
    <w:rsid w:val="00934B5A"/>
    <w:rsid w:val="00934BBD"/>
    <w:rsid w:val="00934BD2"/>
    <w:rsid w:val="00934CB4"/>
    <w:rsid w:val="00934FFD"/>
    <w:rsid w:val="0093540D"/>
    <w:rsid w:val="0093543E"/>
    <w:rsid w:val="0093553B"/>
    <w:rsid w:val="00935671"/>
    <w:rsid w:val="009356F1"/>
    <w:rsid w:val="00935737"/>
    <w:rsid w:val="00935ABC"/>
    <w:rsid w:val="00935C77"/>
    <w:rsid w:val="00935D60"/>
    <w:rsid w:val="00935E2D"/>
    <w:rsid w:val="009360C0"/>
    <w:rsid w:val="00936166"/>
    <w:rsid w:val="009361B9"/>
    <w:rsid w:val="00936306"/>
    <w:rsid w:val="0093646F"/>
    <w:rsid w:val="009365DA"/>
    <w:rsid w:val="00936931"/>
    <w:rsid w:val="00936A44"/>
    <w:rsid w:val="00936CA4"/>
    <w:rsid w:val="009370FB"/>
    <w:rsid w:val="00937264"/>
    <w:rsid w:val="00937286"/>
    <w:rsid w:val="009372CE"/>
    <w:rsid w:val="00937437"/>
    <w:rsid w:val="00937627"/>
    <w:rsid w:val="0093770B"/>
    <w:rsid w:val="009378FC"/>
    <w:rsid w:val="00937979"/>
    <w:rsid w:val="00937996"/>
    <w:rsid w:val="00937DFB"/>
    <w:rsid w:val="0094016E"/>
    <w:rsid w:val="009401B9"/>
    <w:rsid w:val="0094036B"/>
    <w:rsid w:val="009403FB"/>
    <w:rsid w:val="00940445"/>
    <w:rsid w:val="009404D9"/>
    <w:rsid w:val="00940555"/>
    <w:rsid w:val="0094083F"/>
    <w:rsid w:val="0094096D"/>
    <w:rsid w:val="00940A5C"/>
    <w:rsid w:val="00940A98"/>
    <w:rsid w:val="00940D8F"/>
    <w:rsid w:val="009410DF"/>
    <w:rsid w:val="0094111B"/>
    <w:rsid w:val="00941537"/>
    <w:rsid w:val="00941611"/>
    <w:rsid w:val="00941694"/>
    <w:rsid w:val="00941AD5"/>
    <w:rsid w:val="00941CFB"/>
    <w:rsid w:val="00941EF7"/>
    <w:rsid w:val="0094210C"/>
    <w:rsid w:val="009422F1"/>
    <w:rsid w:val="00942421"/>
    <w:rsid w:val="009426B1"/>
    <w:rsid w:val="00942ADB"/>
    <w:rsid w:val="00942F9F"/>
    <w:rsid w:val="00943262"/>
    <w:rsid w:val="009433D8"/>
    <w:rsid w:val="00943535"/>
    <w:rsid w:val="00943682"/>
    <w:rsid w:val="009437B3"/>
    <w:rsid w:val="00943AEC"/>
    <w:rsid w:val="00943C29"/>
    <w:rsid w:val="009440C1"/>
    <w:rsid w:val="009441D0"/>
    <w:rsid w:val="009443D0"/>
    <w:rsid w:val="0094442E"/>
    <w:rsid w:val="009446C0"/>
    <w:rsid w:val="009447BB"/>
    <w:rsid w:val="00944938"/>
    <w:rsid w:val="00944966"/>
    <w:rsid w:val="00944A83"/>
    <w:rsid w:val="00944A9A"/>
    <w:rsid w:val="00944AF4"/>
    <w:rsid w:val="00944BB7"/>
    <w:rsid w:val="00944C48"/>
    <w:rsid w:val="00944C92"/>
    <w:rsid w:val="00944F31"/>
    <w:rsid w:val="00944FED"/>
    <w:rsid w:val="0094513D"/>
    <w:rsid w:val="009451D1"/>
    <w:rsid w:val="009455AA"/>
    <w:rsid w:val="0094562B"/>
    <w:rsid w:val="0094577C"/>
    <w:rsid w:val="009457D7"/>
    <w:rsid w:val="00945908"/>
    <w:rsid w:val="009460A0"/>
    <w:rsid w:val="00946225"/>
    <w:rsid w:val="00946245"/>
    <w:rsid w:val="00946335"/>
    <w:rsid w:val="00946596"/>
    <w:rsid w:val="009465E9"/>
    <w:rsid w:val="009467F4"/>
    <w:rsid w:val="009468AE"/>
    <w:rsid w:val="009469CC"/>
    <w:rsid w:val="00946ADC"/>
    <w:rsid w:val="00946B1D"/>
    <w:rsid w:val="00946CC4"/>
    <w:rsid w:val="00947314"/>
    <w:rsid w:val="00947591"/>
    <w:rsid w:val="0094775C"/>
    <w:rsid w:val="00947997"/>
    <w:rsid w:val="00947B24"/>
    <w:rsid w:val="00947CC1"/>
    <w:rsid w:val="00947DA7"/>
    <w:rsid w:val="00947DFD"/>
    <w:rsid w:val="00947EF0"/>
    <w:rsid w:val="009501B4"/>
    <w:rsid w:val="0095034E"/>
    <w:rsid w:val="009504BC"/>
    <w:rsid w:val="009508C1"/>
    <w:rsid w:val="00950A50"/>
    <w:rsid w:val="00950B13"/>
    <w:rsid w:val="00951258"/>
    <w:rsid w:val="0095134E"/>
    <w:rsid w:val="009513C4"/>
    <w:rsid w:val="0095162C"/>
    <w:rsid w:val="00951684"/>
    <w:rsid w:val="00951861"/>
    <w:rsid w:val="00951D81"/>
    <w:rsid w:val="0095200F"/>
    <w:rsid w:val="00952052"/>
    <w:rsid w:val="0095251B"/>
    <w:rsid w:val="00952B63"/>
    <w:rsid w:val="00952F6A"/>
    <w:rsid w:val="00953068"/>
    <w:rsid w:val="009531C6"/>
    <w:rsid w:val="009533EE"/>
    <w:rsid w:val="00953437"/>
    <w:rsid w:val="0095347C"/>
    <w:rsid w:val="00953636"/>
    <w:rsid w:val="009538C0"/>
    <w:rsid w:val="00953C49"/>
    <w:rsid w:val="00953CFD"/>
    <w:rsid w:val="00953D14"/>
    <w:rsid w:val="00953E56"/>
    <w:rsid w:val="00954063"/>
    <w:rsid w:val="00954112"/>
    <w:rsid w:val="00954176"/>
    <w:rsid w:val="0095438C"/>
    <w:rsid w:val="009545C7"/>
    <w:rsid w:val="009546CC"/>
    <w:rsid w:val="00954722"/>
    <w:rsid w:val="00954989"/>
    <w:rsid w:val="009549C5"/>
    <w:rsid w:val="009549E2"/>
    <w:rsid w:val="00954A3F"/>
    <w:rsid w:val="00954F1B"/>
    <w:rsid w:val="00954FDF"/>
    <w:rsid w:val="0095503D"/>
    <w:rsid w:val="0095538F"/>
    <w:rsid w:val="00955451"/>
    <w:rsid w:val="0095545B"/>
    <w:rsid w:val="009554FD"/>
    <w:rsid w:val="0095574B"/>
    <w:rsid w:val="009557E5"/>
    <w:rsid w:val="00955B12"/>
    <w:rsid w:val="00955C02"/>
    <w:rsid w:val="00955E55"/>
    <w:rsid w:val="00955F1B"/>
    <w:rsid w:val="00955FCA"/>
    <w:rsid w:val="0095602A"/>
    <w:rsid w:val="009562FA"/>
    <w:rsid w:val="00956568"/>
    <w:rsid w:val="009565BF"/>
    <w:rsid w:val="0095661A"/>
    <w:rsid w:val="00956664"/>
    <w:rsid w:val="00956807"/>
    <w:rsid w:val="0095687B"/>
    <w:rsid w:val="00956970"/>
    <w:rsid w:val="00956B1A"/>
    <w:rsid w:val="00956CDD"/>
    <w:rsid w:val="00956EE4"/>
    <w:rsid w:val="00957356"/>
    <w:rsid w:val="00957527"/>
    <w:rsid w:val="00957915"/>
    <w:rsid w:val="0095794C"/>
    <w:rsid w:val="00957AFC"/>
    <w:rsid w:val="00957B82"/>
    <w:rsid w:val="00960ABA"/>
    <w:rsid w:val="00960B23"/>
    <w:rsid w:val="00960CF3"/>
    <w:rsid w:val="00960E65"/>
    <w:rsid w:val="0096123F"/>
    <w:rsid w:val="00961240"/>
    <w:rsid w:val="00961A85"/>
    <w:rsid w:val="00961B25"/>
    <w:rsid w:val="00961CC6"/>
    <w:rsid w:val="00961D90"/>
    <w:rsid w:val="00961F08"/>
    <w:rsid w:val="009621DE"/>
    <w:rsid w:val="00962200"/>
    <w:rsid w:val="009622CC"/>
    <w:rsid w:val="009626EB"/>
    <w:rsid w:val="00962727"/>
    <w:rsid w:val="009627E1"/>
    <w:rsid w:val="009627FF"/>
    <w:rsid w:val="00962AA6"/>
    <w:rsid w:val="00962B82"/>
    <w:rsid w:val="00962D9B"/>
    <w:rsid w:val="00962EC7"/>
    <w:rsid w:val="00962F48"/>
    <w:rsid w:val="009630A1"/>
    <w:rsid w:val="00963581"/>
    <w:rsid w:val="009636E2"/>
    <w:rsid w:val="009639F0"/>
    <w:rsid w:val="00963C2E"/>
    <w:rsid w:val="00963C41"/>
    <w:rsid w:val="00963D02"/>
    <w:rsid w:val="00963F09"/>
    <w:rsid w:val="0096415E"/>
    <w:rsid w:val="00964204"/>
    <w:rsid w:val="00964439"/>
    <w:rsid w:val="00964692"/>
    <w:rsid w:val="009648FD"/>
    <w:rsid w:val="00964BB0"/>
    <w:rsid w:val="00964E15"/>
    <w:rsid w:val="009653F0"/>
    <w:rsid w:val="0096542F"/>
    <w:rsid w:val="00965A63"/>
    <w:rsid w:val="00965ABA"/>
    <w:rsid w:val="00965B4B"/>
    <w:rsid w:val="00965BCA"/>
    <w:rsid w:val="00965BEB"/>
    <w:rsid w:val="00965DF1"/>
    <w:rsid w:val="00965E08"/>
    <w:rsid w:val="00965E72"/>
    <w:rsid w:val="00965F10"/>
    <w:rsid w:val="00965F61"/>
    <w:rsid w:val="009661A3"/>
    <w:rsid w:val="00966609"/>
    <w:rsid w:val="00966745"/>
    <w:rsid w:val="0096695B"/>
    <w:rsid w:val="00966A94"/>
    <w:rsid w:val="00966AC3"/>
    <w:rsid w:val="00966F54"/>
    <w:rsid w:val="00966FC1"/>
    <w:rsid w:val="00967278"/>
    <w:rsid w:val="00967722"/>
    <w:rsid w:val="0096772D"/>
    <w:rsid w:val="00967743"/>
    <w:rsid w:val="00967946"/>
    <w:rsid w:val="009679E5"/>
    <w:rsid w:val="00967AD4"/>
    <w:rsid w:val="00967B97"/>
    <w:rsid w:val="00967C46"/>
    <w:rsid w:val="00967D5D"/>
    <w:rsid w:val="00967DA9"/>
    <w:rsid w:val="00967E3C"/>
    <w:rsid w:val="00967E79"/>
    <w:rsid w:val="009700BC"/>
    <w:rsid w:val="009700E5"/>
    <w:rsid w:val="00970426"/>
    <w:rsid w:val="00970527"/>
    <w:rsid w:val="0097074A"/>
    <w:rsid w:val="00970855"/>
    <w:rsid w:val="0097145F"/>
    <w:rsid w:val="009714D4"/>
    <w:rsid w:val="0097160F"/>
    <w:rsid w:val="009717A4"/>
    <w:rsid w:val="009717C1"/>
    <w:rsid w:val="00971B03"/>
    <w:rsid w:val="00971B25"/>
    <w:rsid w:val="00971E56"/>
    <w:rsid w:val="00971FE9"/>
    <w:rsid w:val="0097211B"/>
    <w:rsid w:val="009721B3"/>
    <w:rsid w:val="009724EC"/>
    <w:rsid w:val="00972B3B"/>
    <w:rsid w:val="00972D60"/>
    <w:rsid w:val="00972DFD"/>
    <w:rsid w:val="00972F51"/>
    <w:rsid w:val="00972F9A"/>
    <w:rsid w:val="00972FDD"/>
    <w:rsid w:val="0097338E"/>
    <w:rsid w:val="009733A7"/>
    <w:rsid w:val="009733D4"/>
    <w:rsid w:val="00973425"/>
    <w:rsid w:val="009735D0"/>
    <w:rsid w:val="0097385C"/>
    <w:rsid w:val="00973916"/>
    <w:rsid w:val="0097396C"/>
    <w:rsid w:val="00973A37"/>
    <w:rsid w:val="00973B5A"/>
    <w:rsid w:val="00973C0D"/>
    <w:rsid w:val="00974197"/>
    <w:rsid w:val="0097422C"/>
    <w:rsid w:val="00974570"/>
    <w:rsid w:val="00974C8D"/>
    <w:rsid w:val="00974E88"/>
    <w:rsid w:val="00974F19"/>
    <w:rsid w:val="009759F1"/>
    <w:rsid w:val="00975A57"/>
    <w:rsid w:val="00975A93"/>
    <w:rsid w:val="00975D7A"/>
    <w:rsid w:val="00975E61"/>
    <w:rsid w:val="00976006"/>
    <w:rsid w:val="00976154"/>
    <w:rsid w:val="00976435"/>
    <w:rsid w:val="00976682"/>
    <w:rsid w:val="00976910"/>
    <w:rsid w:val="00976967"/>
    <w:rsid w:val="00976C69"/>
    <w:rsid w:val="00976E31"/>
    <w:rsid w:val="00976F6F"/>
    <w:rsid w:val="009771F6"/>
    <w:rsid w:val="00977233"/>
    <w:rsid w:val="00977254"/>
    <w:rsid w:val="00977261"/>
    <w:rsid w:val="0097755E"/>
    <w:rsid w:val="00977724"/>
    <w:rsid w:val="00977B57"/>
    <w:rsid w:val="00977BC2"/>
    <w:rsid w:val="00977BEF"/>
    <w:rsid w:val="00977C04"/>
    <w:rsid w:val="00977C63"/>
    <w:rsid w:val="00977F91"/>
    <w:rsid w:val="00980087"/>
    <w:rsid w:val="009800B8"/>
    <w:rsid w:val="00980293"/>
    <w:rsid w:val="009804B9"/>
    <w:rsid w:val="009804F1"/>
    <w:rsid w:val="0098096C"/>
    <w:rsid w:val="009809C3"/>
    <w:rsid w:val="00980A19"/>
    <w:rsid w:val="00980BA8"/>
    <w:rsid w:val="00980C0B"/>
    <w:rsid w:val="00980E20"/>
    <w:rsid w:val="00980EEC"/>
    <w:rsid w:val="00980FF8"/>
    <w:rsid w:val="00981207"/>
    <w:rsid w:val="0098135D"/>
    <w:rsid w:val="00981431"/>
    <w:rsid w:val="0098143B"/>
    <w:rsid w:val="00981706"/>
    <w:rsid w:val="00981708"/>
    <w:rsid w:val="00981FBF"/>
    <w:rsid w:val="0098200B"/>
    <w:rsid w:val="0098212F"/>
    <w:rsid w:val="00982710"/>
    <w:rsid w:val="00982718"/>
    <w:rsid w:val="00982910"/>
    <w:rsid w:val="00982995"/>
    <w:rsid w:val="00982AD1"/>
    <w:rsid w:val="00982BC7"/>
    <w:rsid w:val="00982CC3"/>
    <w:rsid w:val="00982D3A"/>
    <w:rsid w:val="00982F56"/>
    <w:rsid w:val="00982FB2"/>
    <w:rsid w:val="0098315B"/>
    <w:rsid w:val="009831FD"/>
    <w:rsid w:val="009832EE"/>
    <w:rsid w:val="009832FC"/>
    <w:rsid w:val="00983311"/>
    <w:rsid w:val="009833CF"/>
    <w:rsid w:val="00983440"/>
    <w:rsid w:val="00983459"/>
    <w:rsid w:val="009835F9"/>
    <w:rsid w:val="0098367B"/>
    <w:rsid w:val="009837BB"/>
    <w:rsid w:val="00983E66"/>
    <w:rsid w:val="00984042"/>
    <w:rsid w:val="00984138"/>
    <w:rsid w:val="00984229"/>
    <w:rsid w:val="0098422D"/>
    <w:rsid w:val="0098430F"/>
    <w:rsid w:val="00984473"/>
    <w:rsid w:val="0098448F"/>
    <w:rsid w:val="00984507"/>
    <w:rsid w:val="00984610"/>
    <w:rsid w:val="00984784"/>
    <w:rsid w:val="00984DCF"/>
    <w:rsid w:val="00984F0C"/>
    <w:rsid w:val="00985209"/>
    <w:rsid w:val="0098524F"/>
    <w:rsid w:val="0098525B"/>
    <w:rsid w:val="0098533F"/>
    <w:rsid w:val="0098537E"/>
    <w:rsid w:val="0098568B"/>
    <w:rsid w:val="00985825"/>
    <w:rsid w:val="00985894"/>
    <w:rsid w:val="009859B0"/>
    <w:rsid w:val="00985A80"/>
    <w:rsid w:val="00985EA3"/>
    <w:rsid w:val="00985EC3"/>
    <w:rsid w:val="00985EC4"/>
    <w:rsid w:val="00985ECD"/>
    <w:rsid w:val="00985F1A"/>
    <w:rsid w:val="00985F76"/>
    <w:rsid w:val="00985FDA"/>
    <w:rsid w:val="009860B1"/>
    <w:rsid w:val="00986270"/>
    <w:rsid w:val="009864DA"/>
    <w:rsid w:val="0098658B"/>
    <w:rsid w:val="009866CE"/>
    <w:rsid w:val="00986762"/>
    <w:rsid w:val="00986A14"/>
    <w:rsid w:val="00986A49"/>
    <w:rsid w:val="00986B71"/>
    <w:rsid w:val="00986C95"/>
    <w:rsid w:val="00986CB3"/>
    <w:rsid w:val="00986CF8"/>
    <w:rsid w:val="00987207"/>
    <w:rsid w:val="00987408"/>
    <w:rsid w:val="00987673"/>
    <w:rsid w:val="00987767"/>
    <w:rsid w:val="009879E0"/>
    <w:rsid w:val="00987ABE"/>
    <w:rsid w:val="00987B75"/>
    <w:rsid w:val="00987C4F"/>
    <w:rsid w:val="00987D9C"/>
    <w:rsid w:val="00987E3C"/>
    <w:rsid w:val="00987F5E"/>
    <w:rsid w:val="00988931"/>
    <w:rsid w:val="00990157"/>
    <w:rsid w:val="00990308"/>
    <w:rsid w:val="00990412"/>
    <w:rsid w:val="009906C7"/>
    <w:rsid w:val="00990F45"/>
    <w:rsid w:val="00990FD3"/>
    <w:rsid w:val="00991111"/>
    <w:rsid w:val="009911A1"/>
    <w:rsid w:val="009915BB"/>
    <w:rsid w:val="00991B26"/>
    <w:rsid w:val="00991BDE"/>
    <w:rsid w:val="00991EFB"/>
    <w:rsid w:val="00991FC3"/>
    <w:rsid w:val="00992051"/>
    <w:rsid w:val="00992202"/>
    <w:rsid w:val="00992631"/>
    <w:rsid w:val="00992FF4"/>
    <w:rsid w:val="0099319F"/>
    <w:rsid w:val="00993238"/>
    <w:rsid w:val="00993239"/>
    <w:rsid w:val="009934CA"/>
    <w:rsid w:val="009936E7"/>
    <w:rsid w:val="00993717"/>
    <w:rsid w:val="00993941"/>
    <w:rsid w:val="00993AFE"/>
    <w:rsid w:val="00993C80"/>
    <w:rsid w:val="00993CCA"/>
    <w:rsid w:val="00993F8A"/>
    <w:rsid w:val="00994035"/>
    <w:rsid w:val="00994074"/>
    <w:rsid w:val="0099456A"/>
    <w:rsid w:val="009945BB"/>
    <w:rsid w:val="009945FF"/>
    <w:rsid w:val="00994A94"/>
    <w:rsid w:val="00994AE3"/>
    <w:rsid w:val="00994B8A"/>
    <w:rsid w:val="00994C16"/>
    <w:rsid w:val="009950A5"/>
    <w:rsid w:val="00995162"/>
    <w:rsid w:val="009951E9"/>
    <w:rsid w:val="0099539B"/>
    <w:rsid w:val="00995A44"/>
    <w:rsid w:val="00995D91"/>
    <w:rsid w:val="00995E8B"/>
    <w:rsid w:val="00995EE0"/>
    <w:rsid w:val="00995F8C"/>
    <w:rsid w:val="0099608C"/>
    <w:rsid w:val="0099630F"/>
    <w:rsid w:val="009963CD"/>
    <w:rsid w:val="00996478"/>
    <w:rsid w:val="0099654B"/>
    <w:rsid w:val="009966F1"/>
    <w:rsid w:val="0099680D"/>
    <w:rsid w:val="0099684E"/>
    <w:rsid w:val="00996B5A"/>
    <w:rsid w:val="00996BC1"/>
    <w:rsid w:val="00996D16"/>
    <w:rsid w:val="009976B9"/>
    <w:rsid w:val="00997924"/>
    <w:rsid w:val="009979EF"/>
    <w:rsid w:val="00997E0D"/>
    <w:rsid w:val="00997F49"/>
    <w:rsid w:val="009A01D3"/>
    <w:rsid w:val="009A0298"/>
    <w:rsid w:val="009A03EC"/>
    <w:rsid w:val="009A0502"/>
    <w:rsid w:val="009A05D3"/>
    <w:rsid w:val="009A089D"/>
    <w:rsid w:val="009A09E5"/>
    <w:rsid w:val="009A0FD9"/>
    <w:rsid w:val="009A1048"/>
    <w:rsid w:val="009A1159"/>
    <w:rsid w:val="009A1463"/>
    <w:rsid w:val="009A188B"/>
    <w:rsid w:val="009A189B"/>
    <w:rsid w:val="009A18D2"/>
    <w:rsid w:val="009A197F"/>
    <w:rsid w:val="009A1B50"/>
    <w:rsid w:val="009A1B60"/>
    <w:rsid w:val="009A1F25"/>
    <w:rsid w:val="009A2346"/>
    <w:rsid w:val="009A251A"/>
    <w:rsid w:val="009A2984"/>
    <w:rsid w:val="009A29FB"/>
    <w:rsid w:val="009A2A44"/>
    <w:rsid w:val="009A2B51"/>
    <w:rsid w:val="009A2C4A"/>
    <w:rsid w:val="009A2C69"/>
    <w:rsid w:val="009A2C6B"/>
    <w:rsid w:val="009A2F75"/>
    <w:rsid w:val="009A36A6"/>
    <w:rsid w:val="009A36A9"/>
    <w:rsid w:val="009A371A"/>
    <w:rsid w:val="009A393C"/>
    <w:rsid w:val="009A395D"/>
    <w:rsid w:val="009A3D15"/>
    <w:rsid w:val="009A3F43"/>
    <w:rsid w:val="009A4505"/>
    <w:rsid w:val="009A4607"/>
    <w:rsid w:val="009A4838"/>
    <w:rsid w:val="009A4979"/>
    <w:rsid w:val="009A4ABB"/>
    <w:rsid w:val="009A4B40"/>
    <w:rsid w:val="009A4CCA"/>
    <w:rsid w:val="009A4F92"/>
    <w:rsid w:val="009A5145"/>
    <w:rsid w:val="009A5337"/>
    <w:rsid w:val="009A53F7"/>
    <w:rsid w:val="009A5423"/>
    <w:rsid w:val="009A5463"/>
    <w:rsid w:val="009A54EA"/>
    <w:rsid w:val="009A5620"/>
    <w:rsid w:val="009A5698"/>
    <w:rsid w:val="009A5999"/>
    <w:rsid w:val="009A5C97"/>
    <w:rsid w:val="009A5DAC"/>
    <w:rsid w:val="009A601D"/>
    <w:rsid w:val="009A6034"/>
    <w:rsid w:val="009A61E6"/>
    <w:rsid w:val="009A6272"/>
    <w:rsid w:val="009A62DA"/>
    <w:rsid w:val="009A63E7"/>
    <w:rsid w:val="009A642F"/>
    <w:rsid w:val="009A65DE"/>
    <w:rsid w:val="009A668C"/>
    <w:rsid w:val="009A6B8C"/>
    <w:rsid w:val="009A744F"/>
    <w:rsid w:val="009A74D3"/>
    <w:rsid w:val="009A790B"/>
    <w:rsid w:val="009A7A90"/>
    <w:rsid w:val="009A7B23"/>
    <w:rsid w:val="009A7B9C"/>
    <w:rsid w:val="009A7BDC"/>
    <w:rsid w:val="009A7D56"/>
    <w:rsid w:val="009A7D7B"/>
    <w:rsid w:val="009B01ED"/>
    <w:rsid w:val="009B032B"/>
    <w:rsid w:val="009B04DF"/>
    <w:rsid w:val="009B073F"/>
    <w:rsid w:val="009B0950"/>
    <w:rsid w:val="009B09EA"/>
    <w:rsid w:val="009B0C4B"/>
    <w:rsid w:val="009B0E86"/>
    <w:rsid w:val="009B0F9E"/>
    <w:rsid w:val="009B0FA8"/>
    <w:rsid w:val="009B11AA"/>
    <w:rsid w:val="009B13E1"/>
    <w:rsid w:val="009B1622"/>
    <w:rsid w:val="009B1950"/>
    <w:rsid w:val="009B1A90"/>
    <w:rsid w:val="009B1B3A"/>
    <w:rsid w:val="009B1D0D"/>
    <w:rsid w:val="009B1FCB"/>
    <w:rsid w:val="009B2463"/>
    <w:rsid w:val="009B266D"/>
    <w:rsid w:val="009B2770"/>
    <w:rsid w:val="009B2818"/>
    <w:rsid w:val="009B2A19"/>
    <w:rsid w:val="009B2A39"/>
    <w:rsid w:val="009B2C25"/>
    <w:rsid w:val="009B2CA4"/>
    <w:rsid w:val="009B30B2"/>
    <w:rsid w:val="009B327C"/>
    <w:rsid w:val="009B36CE"/>
    <w:rsid w:val="009B389D"/>
    <w:rsid w:val="009B38D8"/>
    <w:rsid w:val="009B3A85"/>
    <w:rsid w:val="009B3AAC"/>
    <w:rsid w:val="009B3BD2"/>
    <w:rsid w:val="009B3F7A"/>
    <w:rsid w:val="009B3FF6"/>
    <w:rsid w:val="009B4061"/>
    <w:rsid w:val="009B4155"/>
    <w:rsid w:val="009B4397"/>
    <w:rsid w:val="009B4536"/>
    <w:rsid w:val="009B4606"/>
    <w:rsid w:val="009B461E"/>
    <w:rsid w:val="009B48E8"/>
    <w:rsid w:val="009B4B9E"/>
    <w:rsid w:val="009B4CDA"/>
    <w:rsid w:val="009B5213"/>
    <w:rsid w:val="009B569E"/>
    <w:rsid w:val="009B59E5"/>
    <w:rsid w:val="009B5BDF"/>
    <w:rsid w:val="009B5CA2"/>
    <w:rsid w:val="009B5CBF"/>
    <w:rsid w:val="009B5EEE"/>
    <w:rsid w:val="009B6046"/>
    <w:rsid w:val="009B6154"/>
    <w:rsid w:val="009B634F"/>
    <w:rsid w:val="009B641D"/>
    <w:rsid w:val="009B6779"/>
    <w:rsid w:val="009B6A73"/>
    <w:rsid w:val="009B6B2E"/>
    <w:rsid w:val="009B6B6D"/>
    <w:rsid w:val="009B6C7E"/>
    <w:rsid w:val="009B6D3C"/>
    <w:rsid w:val="009B6ED8"/>
    <w:rsid w:val="009B6FA0"/>
    <w:rsid w:val="009B74B9"/>
    <w:rsid w:val="009B775F"/>
    <w:rsid w:val="009B77A6"/>
    <w:rsid w:val="009B7844"/>
    <w:rsid w:val="009B7880"/>
    <w:rsid w:val="009B794D"/>
    <w:rsid w:val="009B79D4"/>
    <w:rsid w:val="009B7BCA"/>
    <w:rsid w:val="009B7DDF"/>
    <w:rsid w:val="009B7F5E"/>
    <w:rsid w:val="009C02A9"/>
    <w:rsid w:val="009C031A"/>
    <w:rsid w:val="009C03CA"/>
    <w:rsid w:val="009C046D"/>
    <w:rsid w:val="009C0620"/>
    <w:rsid w:val="009C06A4"/>
    <w:rsid w:val="009C0D05"/>
    <w:rsid w:val="009C0DFD"/>
    <w:rsid w:val="009C0E31"/>
    <w:rsid w:val="009C0E4C"/>
    <w:rsid w:val="009C1028"/>
    <w:rsid w:val="009C1104"/>
    <w:rsid w:val="009C12BA"/>
    <w:rsid w:val="009C1515"/>
    <w:rsid w:val="009C177E"/>
    <w:rsid w:val="009C184A"/>
    <w:rsid w:val="009C19FA"/>
    <w:rsid w:val="009C1D1C"/>
    <w:rsid w:val="009C1D54"/>
    <w:rsid w:val="009C1EC1"/>
    <w:rsid w:val="009C1F3F"/>
    <w:rsid w:val="009C232E"/>
    <w:rsid w:val="009C2526"/>
    <w:rsid w:val="009C2634"/>
    <w:rsid w:val="009C26EA"/>
    <w:rsid w:val="009C2CA5"/>
    <w:rsid w:val="009C2F70"/>
    <w:rsid w:val="009C3123"/>
    <w:rsid w:val="009C32E0"/>
    <w:rsid w:val="009C32FD"/>
    <w:rsid w:val="009C3405"/>
    <w:rsid w:val="009C34F6"/>
    <w:rsid w:val="009C3B10"/>
    <w:rsid w:val="009C3BEC"/>
    <w:rsid w:val="009C3C21"/>
    <w:rsid w:val="009C3D26"/>
    <w:rsid w:val="009C3DF0"/>
    <w:rsid w:val="009C3E6F"/>
    <w:rsid w:val="009C3EB1"/>
    <w:rsid w:val="009C42D1"/>
    <w:rsid w:val="009C4798"/>
    <w:rsid w:val="009C479E"/>
    <w:rsid w:val="009C48E0"/>
    <w:rsid w:val="009C4910"/>
    <w:rsid w:val="009C4B79"/>
    <w:rsid w:val="009C5243"/>
    <w:rsid w:val="009C5265"/>
    <w:rsid w:val="009C5502"/>
    <w:rsid w:val="009C5735"/>
    <w:rsid w:val="009C5BC6"/>
    <w:rsid w:val="009C5E33"/>
    <w:rsid w:val="009C5FC9"/>
    <w:rsid w:val="009C6082"/>
    <w:rsid w:val="009C6441"/>
    <w:rsid w:val="009C6477"/>
    <w:rsid w:val="009C66AD"/>
    <w:rsid w:val="009C67F1"/>
    <w:rsid w:val="009C6898"/>
    <w:rsid w:val="009C68EE"/>
    <w:rsid w:val="009C6B7D"/>
    <w:rsid w:val="009C6CEE"/>
    <w:rsid w:val="009C7092"/>
    <w:rsid w:val="009C73B5"/>
    <w:rsid w:val="009C75CB"/>
    <w:rsid w:val="009C765A"/>
    <w:rsid w:val="009C766C"/>
    <w:rsid w:val="009C7F40"/>
    <w:rsid w:val="009D006D"/>
    <w:rsid w:val="009D0445"/>
    <w:rsid w:val="009D0B73"/>
    <w:rsid w:val="009D0E92"/>
    <w:rsid w:val="009D0F13"/>
    <w:rsid w:val="009D0F63"/>
    <w:rsid w:val="009D119A"/>
    <w:rsid w:val="009D15A7"/>
    <w:rsid w:val="009D164E"/>
    <w:rsid w:val="009D1784"/>
    <w:rsid w:val="009D1900"/>
    <w:rsid w:val="009D1C91"/>
    <w:rsid w:val="009D1CF1"/>
    <w:rsid w:val="009D1D8D"/>
    <w:rsid w:val="009D1DDC"/>
    <w:rsid w:val="009D1E46"/>
    <w:rsid w:val="009D1FC5"/>
    <w:rsid w:val="009D251D"/>
    <w:rsid w:val="009D2535"/>
    <w:rsid w:val="009D2647"/>
    <w:rsid w:val="009D2729"/>
    <w:rsid w:val="009D27CA"/>
    <w:rsid w:val="009D28B7"/>
    <w:rsid w:val="009D2948"/>
    <w:rsid w:val="009D2A47"/>
    <w:rsid w:val="009D2CAE"/>
    <w:rsid w:val="009D2CCA"/>
    <w:rsid w:val="009D30F1"/>
    <w:rsid w:val="009D35B5"/>
    <w:rsid w:val="009D35EA"/>
    <w:rsid w:val="009D3669"/>
    <w:rsid w:val="009D3683"/>
    <w:rsid w:val="009D384C"/>
    <w:rsid w:val="009D394E"/>
    <w:rsid w:val="009D39BE"/>
    <w:rsid w:val="009D39F8"/>
    <w:rsid w:val="009D3ABC"/>
    <w:rsid w:val="009D3B04"/>
    <w:rsid w:val="009D3B5B"/>
    <w:rsid w:val="009D3BEB"/>
    <w:rsid w:val="009D3C10"/>
    <w:rsid w:val="009D3D97"/>
    <w:rsid w:val="009D3E45"/>
    <w:rsid w:val="009D3E4E"/>
    <w:rsid w:val="009D3F33"/>
    <w:rsid w:val="009D4095"/>
    <w:rsid w:val="009D475F"/>
    <w:rsid w:val="009D4A9D"/>
    <w:rsid w:val="009D4B14"/>
    <w:rsid w:val="009D4B46"/>
    <w:rsid w:val="009D4D59"/>
    <w:rsid w:val="009D4DFE"/>
    <w:rsid w:val="009D523A"/>
    <w:rsid w:val="009D537C"/>
    <w:rsid w:val="009D568E"/>
    <w:rsid w:val="009D56DF"/>
    <w:rsid w:val="009D571D"/>
    <w:rsid w:val="009D5876"/>
    <w:rsid w:val="009D5ADA"/>
    <w:rsid w:val="009D5D0E"/>
    <w:rsid w:val="009D5D3F"/>
    <w:rsid w:val="009D5D8A"/>
    <w:rsid w:val="009D5E0A"/>
    <w:rsid w:val="009D5E1F"/>
    <w:rsid w:val="009D5E63"/>
    <w:rsid w:val="009D5FE7"/>
    <w:rsid w:val="009D68EF"/>
    <w:rsid w:val="009D693F"/>
    <w:rsid w:val="009D6D03"/>
    <w:rsid w:val="009D6E0B"/>
    <w:rsid w:val="009D6E83"/>
    <w:rsid w:val="009D70C1"/>
    <w:rsid w:val="009D7188"/>
    <w:rsid w:val="009D71FE"/>
    <w:rsid w:val="009D7358"/>
    <w:rsid w:val="009D751D"/>
    <w:rsid w:val="009D77E7"/>
    <w:rsid w:val="009D7BE1"/>
    <w:rsid w:val="009D7BE4"/>
    <w:rsid w:val="009D7C57"/>
    <w:rsid w:val="009D7E3E"/>
    <w:rsid w:val="009E026F"/>
    <w:rsid w:val="009E0276"/>
    <w:rsid w:val="009E04A6"/>
    <w:rsid w:val="009E0522"/>
    <w:rsid w:val="009E0560"/>
    <w:rsid w:val="009E07D7"/>
    <w:rsid w:val="009E0C88"/>
    <w:rsid w:val="009E0D16"/>
    <w:rsid w:val="009E1023"/>
    <w:rsid w:val="009E10CF"/>
    <w:rsid w:val="009E10EA"/>
    <w:rsid w:val="009E113A"/>
    <w:rsid w:val="009E11B7"/>
    <w:rsid w:val="009E1367"/>
    <w:rsid w:val="009E13DA"/>
    <w:rsid w:val="009E166E"/>
    <w:rsid w:val="009E1880"/>
    <w:rsid w:val="009E19B8"/>
    <w:rsid w:val="009E2065"/>
    <w:rsid w:val="009E21BD"/>
    <w:rsid w:val="009E22AC"/>
    <w:rsid w:val="009E2B37"/>
    <w:rsid w:val="009E2BBB"/>
    <w:rsid w:val="009E2E08"/>
    <w:rsid w:val="009E2E39"/>
    <w:rsid w:val="009E2E7B"/>
    <w:rsid w:val="009E2F0A"/>
    <w:rsid w:val="009E3133"/>
    <w:rsid w:val="009E3417"/>
    <w:rsid w:val="009E3446"/>
    <w:rsid w:val="009E362A"/>
    <w:rsid w:val="009E38AF"/>
    <w:rsid w:val="009E3922"/>
    <w:rsid w:val="009E3AAD"/>
    <w:rsid w:val="009E3D8E"/>
    <w:rsid w:val="009E4211"/>
    <w:rsid w:val="009E466A"/>
    <w:rsid w:val="009E4C98"/>
    <w:rsid w:val="009E4DB0"/>
    <w:rsid w:val="009E4FF6"/>
    <w:rsid w:val="009E5275"/>
    <w:rsid w:val="009E52D8"/>
    <w:rsid w:val="009E536B"/>
    <w:rsid w:val="009E53C1"/>
    <w:rsid w:val="009E5AC3"/>
    <w:rsid w:val="009E5B30"/>
    <w:rsid w:val="009E5B4E"/>
    <w:rsid w:val="009E5C0B"/>
    <w:rsid w:val="009E5CEC"/>
    <w:rsid w:val="009E5D6D"/>
    <w:rsid w:val="009E5E82"/>
    <w:rsid w:val="009E60E6"/>
    <w:rsid w:val="009E6139"/>
    <w:rsid w:val="009E6262"/>
    <w:rsid w:val="009E6729"/>
    <w:rsid w:val="009E6A5D"/>
    <w:rsid w:val="009E6ADE"/>
    <w:rsid w:val="009E6C07"/>
    <w:rsid w:val="009E6EBA"/>
    <w:rsid w:val="009E7008"/>
    <w:rsid w:val="009E7035"/>
    <w:rsid w:val="009E713A"/>
    <w:rsid w:val="009E7480"/>
    <w:rsid w:val="009E74A8"/>
    <w:rsid w:val="009E74EC"/>
    <w:rsid w:val="009E7602"/>
    <w:rsid w:val="009E78FD"/>
    <w:rsid w:val="009E7BE2"/>
    <w:rsid w:val="009E7E72"/>
    <w:rsid w:val="009F0440"/>
    <w:rsid w:val="009F0474"/>
    <w:rsid w:val="009F04F7"/>
    <w:rsid w:val="009F0691"/>
    <w:rsid w:val="009F0798"/>
    <w:rsid w:val="009F080F"/>
    <w:rsid w:val="009F0868"/>
    <w:rsid w:val="009F0D26"/>
    <w:rsid w:val="009F0FFC"/>
    <w:rsid w:val="009F110C"/>
    <w:rsid w:val="009F11CB"/>
    <w:rsid w:val="009F12BD"/>
    <w:rsid w:val="009F1359"/>
    <w:rsid w:val="009F135F"/>
    <w:rsid w:val="009F14A1"/>
    <w:rsid w:val="009F14AD"/>
    <w:rsid w:val="009F15B6"/>
    <w:rsid w:val="009F19DC"/>
    <w:rsid w:val="009F1C6B"/>
    <w:rsid w:val="009F1C7E"/>
    <w:rsid w:val="009F1E81"/>
    <w:rsid w:val="009F1F54"/>
    <w:rsid w:val="009F2079"/>
    <w:rsid w:val="009F2220"/>
    <w:rsid w:val="009F24EA"/>
    <w:rsid w:val="009F3217"/>
    <w:rsid w:val="009F3317"/>
    <w:rsid w:val="009F33C2"/>
    <w:rsid w:val="009F351F"/>
    <w:rsid w:val="009F36FA"/>
    <w:rsid w:val="009F375B"/>
    <w:rsid w:val="009F397A"/>
    <w:rsid w:val="009F3CCB"/>
    <w:rsid w:val="009F3D20"/>
    <w:rsid w:val="009F3F89"/>
    <w:rsid w:val="009F3FB2"/>
    <w:rsid w:val="009F4504"/>
    <w:rsid w:val="009F4551"/>
    <w:rsid w:val="009F46C1"/>
    <w:rsid w:val="009F480E"/>
    <w:rsid w:val="009F4959"/>
    <w:rsid w:val="009F4B41"/>
    <w:rsid w:val="009F4BFD"/>
    <w:rsid w:val="009F4C23"/>
    <w:rsid w:val="009F4FF5"/>
    <w:rsid w:val="009F51FC"/>
    <w:rsid w:val="009F537C"/>
    <w:rsid w:val="009F53D0"/>
    <w:rsid w:val="009F54AE"/>
    <w:rsid w:val="009F54E9"/>
    <w:rsid w:val="009F56E1"/>
    <w:rsid w:val="009F5789"/>
    <w:rsid w:val="009F581B"/>
    <w:rsid w:val="009F5881"/>
    <w:rsid w:val="009F5E4D"/>
    <w:rsid w:val="009F5FA6"/>
    <w:rsid w:val="009F600B"/>
    <w:rsid w:val="009F6708"/>
    <w:rsid w:val="009F6881"/>
    <w:rsid w:val="009F6991"/>
    <w:rsid w:val="009F6A32"/>
    <w:rsid w:val="009F6BD3"/>
    <w:rsid w:val="009F6D0E"/>
    <w:rsid w:val="009F6DF0"/>
    <w:rsid w:val="009F707C"/>
    <w:rsid w:val="009F7080"/>
    <w:rsid w:val="009F708E"/>
    <w:rsid w:val="009F712B"/>
    <w:rsid w:val="009F7244"/>
    <w:rsid w:val="009F7426"/>
    <w:rsid w:val="009F760C"/>
    <w:rsid w:val="009F7658"/>
    <w:rsid w:val="009F7785"/>
    <w:rsid w:val="009F7A0C"/>
    <w:rsid w:val="009F7A47"/>
    <w:rsid w:val="009F7B34"/>
    <w:rsid w:val="009F7B66"/>
    <w:rsid w:val="009F7CD2"/>
    <w:rsid w:val="009F7D30"/>
    <w:rsid w:val="00A000C2"/>
    <w:rsid w:val="00A0065E"/>
    <w:rsid w:val="00A00DAB"/>
    <w:rsid w:val="00A00FB7"/>
    <w:rsid w:val="00A011BD"/>
    <w:rsid w:val="00A011EA"/>
    <w:rsid w:val="00A01393"/>
    <w:rsid w:val="00A013FB"/>
    <w:rsid w:val="00A014F4"/>
    <w:rsid w:val="00A0186C"/>
    <w:rsid w:val="00A018DC"/>
    <w:rsid w:val="00A01A75"/>
    <w:rsid w:val="00A01CC4"/>
    <w:rsid w:val="00A01D3A"/>
    <w:rsid w:val="00A01E84"/>
    <w:rsid w:val="00A01EFC"/>
    <w:rsid w:val="00A022A2"/>
    <w:rsid w:val="00A02758"/>
    <w:rsid w:val="00A02785"/>
    <w:rsid w:val="00A02A07"/>
    <w:rsid w:val="00A02BC7"/>
    <w:rsid w:val="00A02D15"/>
    <w:rsid w:val="00A02D65"/>
    <w:rsid w:val="00A02DD5"/>
    <w:rsid w:val="00A031B1"/>
    <w:rsid w:val="00A0353E"/>
    <w:rsid w:val="00A0367B"/>
    <w:rsid w:val="00A0374A"/>
    <w:rsid w:val="00A03920"/>
    <w:rsid w:val="00A03AAF"/>
    <w:rsid w:val="00A03C87"/>
    <w:rsid w:val="00A03D96"/>
    <w:rsid w:val="00A03EB1"/>
    <w:rsid w:val="00A03ECE"/>
    <w:rsid w:val="00A04106"/>
    <w:rsid w:val="00A04152"/>
    <w:rsid w:val="00A04436"/>
    <w:rsid w:val="00A045FF"/>
    <w:rsid w:val="00A0473A"/>
    <w:rsid w:val="00A048A0"/>
    <w:rsid w:val="00A0498F"/>
    <w:rsid w:val="00A049ED"/>
    <w:rsid w:val="00A04CF0"/>
    <w:rsid w:val="00A04E1B"/>
    <w:rsid w:val="00A05001"/>
    <w:rsid w:val="00A0517D"/>
    <w:rsid w:val="00A051A6"/>
    <w:rsid w:val="00A0520A"/>
    <w:rsid w:val="00A05283"/>
    <w:rsid w:val="00A0548F"/>
    <w:rsid w:val="00A05514"/>
    <w:rsid w:val="00A057DB"/>
    <w:rsid w:val="00A0586B"/>
    <w:rsid w:val="00A05ACB"/>
    <w:rsid w:val="00A05AFA"/>
    <w:rsid w:val="00A05DAB"/>
    <w:rsid w:val="00A061A0"/>
    <w:rsid w:val="00A0642D"/>
    <w:rsid w:val="00A06630"/>
    <w:rsid w:val="00A06729"/>
    <w:rsid w:val="00A06AAE"/>
    <w:rsid w:val="00A06ADB"/>
    <w:rsid w:val="00A06BB8"/>
    <w:rsid w:val="00A0751C"/>
    <w:rsid w:val="00A0755F"/>
    <w:rsid w:val="00A076C5"/>
    <w:rsid w:val="00A077C8"/>
    <w:rsid w:val="00A07800"/>
    <w:rsid w:val="00A10059"/>
    <w:rsid w:val="00A1033D"/>
    <w:rsid w:val="00A103E9"/>
    <w:rsid w:val="00A10551"/>
    <w:rsid w:val="00A10653"/>
    <w:rsid w:val="00A10AAA"/>
    <w:rsid w:val="00A10B29"/>
    <w:rsid w:val="00A10EB9"/>
    <w:rsid w:val="00A10F22"/>
    <w:rsid w:val="00A10FA9"/>
    <w:rsid w:val="00A1100B"/>
    <w:rsid w:val="00A1102E"/>
    <w:rsid w:val="00A11238"/>
    <w:rsid w:val="00A11403"/>
    <w:rsid w:val="00A117DD"/>
    <w:rsid w:val="00A11936"/>
    <w:rsid w:val="00A11ABD"/>
    <w:rsid w:val="00A11AEF"/>
    <w:rsid w:val="00A11B9F"/>
    <w:rsid w:val="00A11C17"/>
    <w:rsid w:val="00A12380"/>
    <w:rsid w:val="00A12442"/>
    <w:rsid w:val="00A1265A"/>
    <w:rsid w:val="00A12735"/>
    <w:rsid w:val="00A1295F"/>
    <w:rsid w:val="00A12E80"/>
    <w:rsid w:val="00A12F02"/>
    <w:rsid w:val="00A12F6F"/>
    <w:rsid w:val="00A131B0"/>
    <w:rsid w:val="00A132F3"/>
    <w:rsid w:val="00A1335F"/>
    <w:rsid w:val="00A1337F"/>
    <w:rsid w:val="00A136B2"/>
    <w:rsid w:val="00A13B27"/>
    <w:rsid w:val="00A13BAA"/>
    <w:rsid w:val="00A13DC9"/>
    <w:rsid w:val="00A13E88"/>
    <w:rsid w:val="00A13FAA"/>
    <w:rsid w:val="00A142C9"/>
    <w:rsid w:val="00A142F8"/>
    <w:rsid w:val="00A14438"/>
    <w:rsid w:val="00A14609"/>
    <w:rsid w:val="00A14666"/>
    <w:rsid w:val="00A14894"/>
    <w:rsid w:val="00A14AB9"/>
    <w:rsid w:val="00A14AF5"/>
    <w:rsid w:val="00A14DFD"/>
    <w:rsid w:val="00A15220"/>
    <w:rsid w:val="00A15242"/>
    <w:rsid w:val="00A15472"/>
    <w:rsid w:val="00A1547B"/>
    <w:rsid w:val="00A155A4"/>
    <w:rsid w:val="00A1593C"/>
    <w:rsid w:val="00A164C2"/>
    <w:rsid w:val="00A16752"/>
    <w:rsid w:val="00A16858"/>
    <w:rsid w:val="00A169FF"/>
    <w:rsid w:val="00A16A76"/>
    <w:rsid w:val="00A16B33"/>
    <w:rsid w:val="00A16BAD"/>
    <w:rsid w:val="00A16EEB"/>
    <w:rsid w:val="00A16F08"/>
    <w:rsid w:val="00A17014"/>
    <w:rsid w:val="00A17104"/>
    <w:rsid w:val="00A17112"/>
    <w:rsid w:val="00A1722B"/>
    <w:rsid w:val="00A17351"/>
    <w:rsid w:val="00A175BC"/>
    <w:rsid w:val="00A17B42"/>
    <w:rsid w:val="00A17D73"/>
    <w:rsid w:val="00A17D7A"/>
    <w:rsid w:val="00A17E7C"/>
    <w:rsid w:val="00A20128"/>
    <w:rsid w:val="00A20347"/>
    <w:rsid w:val="00A203BF"/>
    <w:rsid w:val="00A20445"/>
    <w:rsid w:val="00A2082A"/>
    <w:rsid w:val="00A20EAA"/>
    <w:rsid w:val="00A20FFA"/>
    <w:rsid w:val="00A212AF"/>
    <w:rsid w:val="00A21386"/>
    <w:rsid w:val="00A21491"/>
    <w:rsid w:val="00A21584"/>
    <w:rsid w:val="00A2158C"/>
    <w:rsid w:val="00A216C9"/>
    <w:rsid w:val="00A21861"/>
    <w:rsid w:val="00A21C3C"/>
    <w:rsid w:val="00A22073"/>
    <w:rsid w:val="00A22351"/>
    <w:rsid w:val="00A224B8"/>
    <w:rsid w:val="00A226FA"/>
    <w:rsid w:val="00A2294E"/>
    <w:rsid w:val="00A22B04"/>
    <w:rsid w:val="00A22B8A"/>
    <w:rsid w:val="00A22C2E"/>
    <w:rsid w:val="00A22C91"/>
    <w:rsid w:val="00A22DDD"/>
    <w:rsid w:val="00A23003"/>
    <w:rsid w:val="00A23344"/>
    <w:rsid w:val="00A23786"/>
    <w:rsid w:val="00A23B1B"/>
    <w:rsid w:val="00A23BF8"/>
    <w:rsid w:val="00A23C82"/>
    <w:rsid w:val="00A24309"/>
    <w:rsid w:val="00A243AE"/>
    <w:rsid w:val="00A2490F"/>
    <w:rsid w:val="00A24AD8"/>
    <w:rsid w:val="00A24DF0"/>
    <w:rsid w:val="00A24E73"/>
    <w:rsid w:val="00A25045"/>
    <w:rsid w:val="00A2514F"/>
    <w:rsid w:val="00A25547"/>
    <w:rsid w:val="00A2564B"/>
    <w:rsid w:val="00A256E9"/>
    <w:rsid w:val="00A2591C"/>
    <w:rsid w:val="00A25AF0"/>
    <w:rsid w:val="00A25D8A"/>
    <w:rsid w:val="00A25DD8"/>
    <w:rsid w:val="00A25F29"/>
    <w:rsid w:val="00A25F55"/>
    <w:rsid w:val="00A26366"/>
    <w:rsid w:val="00A263EA"/>
    <w:rsid w:val="00A26517"/>
    <w:rsid w:val="00A26633"/>
    <w:rsid w:val="00A2669F"/>
    <w:rsid w:val="00A268BC"/>
    <w:rsid w:val="00A2692B"/>
    <w:rsid w:val="00A26B0D"/>
    <w:rsid w:val="00A26BDD"/>
    <w:rsid w:val="00A26F4C"/>
    <w:rsid w:val="00A26FB9"/>
    <w:rsid w:val="00A2790E"/>
    <w:rsid w:val="00A27970"/>
    <w:rsid w:val="00A27C4D"/>
    <w:rsid w:val="00A27D93"/>
    <w:rsid w:val="00A30229"/>
    <w:rsid w:val="00A30232"/>
    <w:rsid w:val="00A30609"/>
    <w:rsid w:val="00A30A08"/>
    <w:rsid w:val="00A30B65"/>
    <w:rsid w:val="00A30D86"/>
    <w:rsid w:val="00A30ED4"/>
    <w:rsid w:val="00A31324"/>
    <w:rsid w:val="00A31374"/>
    <w:rsid w:val="00A31400"/>
    <w:rsid w:val="00A315EB"/>
    <w:rsid w:val="00A318DB"/>
    <w:rsid w:val="00A31A9C"/>
    <w:rsid w:val="00A31F3D"/>
    <w:rsid w:val="00A31FD3"/>
    <w:rsid w:val="00A320E7"/>
    <w:rsid w:val="00A3248E"/>
    <w:rsid w:val="00A324FE"/>
    <w:rsid w:val="00A3251E"/>
    <w:rsid w:val="00A32568"/>
    <w:rsid w:val="00A32B13"/>
    <w:rsid w:val="00A32CB5"/>
    <w:rsid w:val="00A32F13"/>
    <w:rsid w:val="00A33220"/>
    <w:rsid w:val="00A3336F"/>
    <w:rsid w:val="00A33596"/>
    <w:rsid w:val="00A337E4"/>
    <w:rsid w:val="00A339B4"/>
    <w:rsid w:val="00A33CA3"/>
    <w:rsid w:val="00A33D03"/>
    <w:rsid w:val="00A3432A"/>
    <w:rsid w:val="00A3439F"/>
    <w:rsid w:val="00A344E0"/>
    <w:rsid w:val="00A34824"/>
    <w:rsid w:val="00A34B75"/>
    <w:rsid w:val="00A34D12"/>
    <w:rsid w:val="00A34D64"/>
    <w:rsid w:val="00A34DDA"/>
    <w:rsid w:val="00A35088"/>
    <w:rsid w:val="00A3535F"/>
    <w:rsid w:val="00A357FE"/>
    <w:rsid w:val="00A35A04"/>
    <w:rsid w:val="00A35A2F"/>
    <w:rsid w:val="00A35A76"/>
    <w:rsid w:val="00A35AE3"/>
    <w:rsid w:val="00A35B5D"/>
    <w:rsid w:val="00A35CB9"/>
    <w:rsid w:val="00A36039"/>
    <w:rsid w:val="00A36400"/>
    <w:rsid w:val="00A36718"/>
    <w:rsid w:val="00A368D7"/>
    <w:rsid w:val="00A36B50"/>
    <w:rsid w:val="00A36BEC"/>
    <w:rsid w:val="00A36FA4"/>
    <w:rsid w:val="00A370B2"/>
    <w:rsid w:val="00A3735A"/>
    <w:rsid w:val="00A3740B"/>
    <w:rsid w:val="00A3744B"/>
    <w:rsid w:val="00A374C9"/>
    <w:rsid w:val="00A3762E"/>
    <w:rsid w:val="00A37801"/>
    <w:rsid w:val="00A3781D"/>
    <w:rsid w:val="00A3782B"/>
    <w:rsid w:val="00A3784D"/>
    <w:rsid w:val="00A37927"/>
    <w:rsid w:val="00A3794B"/>
    <w:rsid w:val="00A37965"/>
    <w:rsid w:val="00A37978"/>
    <w:rsid w:val="00A379EF"/>
    <w:rsid w:val="00A37A49"/>
    <w:rsid w:val="00A37AF5"/>
    <w:rsid w:val="00A37E68"/>
    <w:rsid w:val="00A40041"/>
    <w:rsid w:val="00A4024B"/>
    <w:rsid w:val="00A402E0"/>
    <w:rsid w:val="00A40390"/>
    <w:rsid w:val="00A4051B"/>
    <w:rsid w:val="00A40799"/>
    <w:rsid w:val="00A40999"/>
    <w:rsid w:val="00A40A54"/>
    <w:rsid w:val="00A40B1B"/>
    <w:rsid w:val="00A40BED"/>
    <w:rsid w:val="00A40C06"/>
    <w:rsid w:val="00A40EED"/>
    <w:rsid w:val="00A40FC4"/>
    <w:rsid w:val="00A41087"/>
    <w:rsid w:val="00A410B2"/>
    <w:rsid w:val="00A4114B"/>
    <w:rsid w:val="00A41152"/>
    <w:rsid w:val="00A412F3"/>
    <w:rsid w:val="00A4152C"/>
    <w:rsid w:val="00A418FB"/>
    <w:rsid w:val="00A419F2"/>
    <w:rsid w:val="00A41B11"/>
    <w:rsid w:val="00A42005"/>
    <w:rsid w:val="00A42079"/>
    <w:rsid w:val="00A424DB"/>
    <w:rsid w:val="00A427CE"/>
    <w:rsid w:val="00A42A73"/>
    <w:rsid w:val="00A42B9B"/>
    <w:rsid w:val="00A42BB3"/>
    <w:rsid w:val="00A42F1B"/>
    <w:rsid w:val="00A4309E"/>
    <w:rsid w:val="00A4310E"/>
    <w:rsid w:val="00A4314E"/>
    <w:rsid w:val="00A4320A"/>
    <w:rsid w:val="00A434EB"/>
    <w:rsid w:val="00A43B09"/>
    <w:rsid w:val="00A43C54"/>
    <w:rsid w:val="00A43D36"/>
    <w:rsid w:val="00A43DA7"/>
    <w:rsid w:val="00A43DF0"/>
    <w:rsid w:val="00A43FDF"/>
    <w:rsid w:val="00A43FE4"/>
    <w:rsid w:val="00A440AD"/>
    <w:rsid w:val="00A4411F"/>
    <w:rsid w:val="00A442FF"/>
    <w:rsid w:val="00A44477"/>
    <w:rsid w:val="00A44512"/>
    <w:rsid w:val="00A4493C"/>
    <w:rsid w:val="00A449DD"/>
    <w:rsid w:val="00A44BE6"/>
    <w:rsid w:val="00A44DCB"/>
    <w:rsid w:val="00A44E02"/>
    <w:rsid w:val="00A44E96"/>
    <w:rsid w:val="00A44F28"/>
    <w:rsid w:val="00A44F81"/>
    <w:rsid w:val="00A45629"/>
    <w:rsid w:val="00A456C2"/>
    <w:rsid w:val="00A457BD"/>
    <w:rsid w:val="00A458FD"/>
    <w:rsid w:val="00A459B7"/>
    <w:rsid w:val="00A45D0F"/>
    <w:rsid w:val="00A46070"/>
    <w:rsid w:val="00A460D8"/>
    <w:rsid w:val="00A461A2"/>
    <w:rsid w:val="00A46269"/>
    <w:rsid w:val="00A465D5"/>
    <w:rsid w:val="00A467F6"/>
    <w:rsid w:val="00A468CA"/>
    <w:rsid w:val="00A46FE9"/>
    <w:rsid w:val="00A470C7"/>
    <w:rsid w:val="00A472E7"/>
    <w:rsid w:val="00A4762F"/>
    <w:rsid w:val="00A4783C"/>
    <w:rsid w:val="00A479CF"/>
    <w:rsid w:val="00A47A8A"/>
    <w:rsid w:val="00A47ABF"/>
    <w:rsid w:val="00A47E83"/>
    <w:rsid w:val="00A500B4"/>
    <w:rsid w:val="00A5018A"/>
    <w:rsid w:val="00A507C7"/>
    <w:rsid w:val="00A508B2"/>
    <w:rsid w:val="00A50A0A"/>
    <w:rsid w:val="00A50B0C"/>
    <w:rsid w:val="00A50B2D"/>
    <w:rsid w:val="00A50CA4"/>
    <w:rsid w:val="00A50D1F"/>
    <w:rsid w:val="00A50DD0"/>
    <w:rsid w:val="00A510D7"/>
    <w:rsid w:val="00A511F7"/>
    <w:rsid w:val="00A5126E"/>
    <w:rsid w:val="00A51271"/>
    <w:rsid w:val="00A513AA"/>
    <w:rsid w:val="00A513E7"/>
    <w:rsid w:val="00A515D7"/>
    <w:rsid w:val="00A5160A"/>
    <w:rsid w:val="00A51742"/>
    <w:rsid w:val="00A51A0D"/>
    <w:rsid w:val="00A51A3A"/>
    <w:rsid w:val="00A51BDA"/>
    <w:rsid w:val="00A52081"/>
    <w:rsid w:val="00A523C7"/>
    <w:rsid w:val="00A523E3"/>
    <w:rsid w:val="00A52502"/>
    <w:rsid w:val="00A52557"/>
    <w:rsid w:val="00A5261D"/>
    <w:rsid w:val="00A5269C"/>
    <w:rsid w:val="00A527D7"/>
    <w:rsid w:val="00A52921"/>
    <w:rsid w:val="00A52E64"/>
    <w:rsid w:val="00A532BA"/>
    <w:rsid w:val="00A53375"/>
    <w:rsid w:val="00A533D5"/>
    <w:rsid w:val="00A5357C"/>
    <w:rsid w:val="00A536BC"/>
    <w:rsid w:val="00A53B50"/>
    <w:rsid w:val="00A53C1E"/>
    <w:rsid w:val="00A53F40"/>
    <w:rsid w:val="00A542AE"/>
    <w:rsid w:val="00A546BC"/>
    <w:rsid w:val="00A54728"/>
    <w:rsid w:val="00A54A9E"/>
    <w:rsid w:val="00A55027"/>
    <w:rsid w:val="00A55245"/>
    <w:rsid w:val="00A552A1"/>
    <w:rsid w:val="00A55486"/>
    <w:rsid w:val="00A55547"/>
    <w:rsid w:val="00A555CA"/>
    <w:rsid w:val="00A5572A"/>
    <w:rsid w:val="00A55772"/>
    <w:rsid w:val="00A557B0"/>
    <w:rsid w:val="00A55989"/>
    <w:rsid w:val="00A55DC6"/>
    <w:rsid w:val="00A55E06"/>
    <w:rsid w:val="00A55F41"/>
    <w:rsid w:val="00A55F83"/>
    <w:rsid w:val="00A561DF"/>
    <w:rsid w:val="00A56477"/>
    <w:rsid w:val="00A564FE"/>
    <w:rsid w:val="00A5671D"/>
    <w:rsid w:val="00A56803"/>
    <w:rsid w:val="00A5688C"/>
    <w:rsid w:val="00A5694A"/>
    <w:rsid w:val="00A56BCA"/>
    <w:rsid w:val="00A56F8F"/>
    <w:rsid w:val="00A56FF6"/>
    <w:rsid w:val="00A5707C"/>
    <w:rsid w:val="00A57192"/>
    <w:rsid w:val="00A57306"/>
    <w:rsid w:val="00A573DE"/>
    <w:rsid w:val="00A57565"/>
    <w:rsid w:val="00A57965"/>
    <w:rsid w:val="00A57BEC"/>
    <w:rsid w:val="00A57C24"/>
    <w:rsid w:val="00A57CD9"/>
    <w:rsid w:val="00A57E42"/>
    <w:rsid w:val="00A57EDD"/>
    <w:rsid w:val="00A57F59"/>
    <w:rsid w:val="00A60562"/>
    <w:rsid w:val="00A6070A"/>
    <w:rsid w:val="00A60742"/>
    <w:rsid w:val="00A608C4"/>
    <w:rsid w:val="00A60B62"/>
    <w:rsid w:val="00A60D83"/>
    <w:rsid w:val="00A60EEB"/>
    <w:rsid w:val="00A610C1"/>
    <w:rsid w:val="00A611EF"/>
    <w:rsid w:val="00A61312"/>
    <w:rsid w:val="00A61AF1"/>
    <w:rsid w:val="00A61B25"/>
    <w:rsid w:val="00A61CDC"/>
    <w:rsid w:val="00A62157"/>
    <w:rsid w:val="00A6218A"/>
    <w:rsid w:val="00A621CC"/>
    <w:rsid w:val="00A621E1"/>
    <w:rsid w:val="00A622EB"/>
    <w:rsid w:val="00A6233E"/>
    <w:rsid w:val="00A6262F"/>
    <w:rsid w:val="00A62751"/>
    <w:rsid w:val="00A62776"/>
    <w:rsid w:val="00A62FB2"/>
    <w:rsid w:val="00A63097"/>
    <w:rsid w:val="00A63469"/>
    <w:rsid w:val="00A63541"/>
    <w:rsid w:val="00A635DD"/>
    <w:rsid w:val="00A636DF"/>
    <w:rsid w:val="00A63892"/>
    <w:rsid w:val="00A63D7C"/>
    <w:rsid w:val="00A63DA4"/>
    <w:rsid w:val="00A63DDC"/>
    <w:rsid w:val="00A63F2B"/>
    <w:rsid w:val="00A63F84"/>
    <w:rsid w:val="00A63F99"/>
    <w:rsid w:val="00A63FB1"/>
    <w:rsid w:val="00A64584"/>
    <w:rsid w:val="00A645F1"/>
    <w:rsid w:val="00A64635"/>
    <w:rsid w:val="00A64655"/>
    <w:rsid w:val="00A64934"/>
    <w:rsid w:val="00A64AB4"/>
    <w:rsid w:val="00A64B2D"/>
    <w:rsid w:val="00A64C24"/>
    <w:rsid w:val="00A64CEA"/>
    <w:rsid w:val="00A65204"/>
    <w:rsid w:val="00A65681"/>
    <w:rsid w:val="00A657D8"/>
    <w:rsid w:val="00A657E9"/>
    <w:rsid w:val="00A658A3"/>
    <w:rsid w:val="00A65983"/>
    <w:rsid w:val="00A65ACB"/>
    <w:rsid w:val="00A65DF8"/>
    <w:rsid w:val="00A65E58"/>
    <w:rsid w:val="00A66315"/>
    <w:rsid w:val="00A664AF"/>
    <w:rsid w:val="00A66689"/>
    <w:rsid w:val="00A66753"/>
    <w:rsid w:val="00A66832"/>
    <w:rsid w:val="00A668AE"/>
    <w:rsid w:val="00A66909"/>
    <w:rsid w:val="00A669CE"/>
    <w:rsid w:val="00A66A43"/>
    <w:rsid w:val="00A6711D"/>
    <w:rsid w:val="00A67820"/>
    <w:rsid w:val="00A679B2"/>
    <w:rsid w:val="00A67B59"/>
    <w:rsid w:val="00A67D2F"/>
    <w:rsid w:val="00A67DC4"/>
    <w:rsid w:val="00A67E5F"/>
    <w:rsid w:val="00A67E91"/>
    <w:rsid w:val="00A67E9B"/>
    <w:rsid w:val="00A70050"/>
    <w:rsid w:val="00A70794"/>
    <w:rsid w:val="00A707BE"/>
    <w:rsid w:val="00A707CF"/>
    <w:rsid w:val="00A70B44"/>
    <w:rsid w:val="00A70C53"/>
    <w:rsid w:val="00A70D1F"/>
    <w:rsid w:val="00A71095"/>
    <w:rsid w:val="00A7111E"/>
    <w:rsid w:val="00A712EA"/>
    <w:rsid w:val="00A714D0"/>
    <w:rsid w:val="00A715DE"/>
    <w:rsid w:val="00A71603"/>
    <w:rsid w:val="00A71E18"/>
    <w:rsid w:val="00A71EAB"/>
    <w:rsid w:val="00A71F9E"/>
    <w:rsid w:val="00A7244A"/>
    <w:rsid w:val="00A7252A"/>
    <w:rsid w:val="00A72581"/>
    <w:rsid w:val="00A72BA1"/>
    <w:rsid w:val="00A72BBA"/>
    <w:rsid w:val="00A72F84"/>
    <w:rsid w:val="00A731DA"/>
    <w:rsid w:val="00A73458"/>
    <w:rsid w:val="00A735D5"/>
    <w:rsid w:val="00A736E5"/>
    <w:rsid w:val="00A73808"/>
    <w:rsid w:val="00A73D34"/>
    <w:rsid w:val="00A73D6C"/>
    <w:rsid w:val="00A73D98"/>
    <w:rsid w:val="00A73ECF"/>
    <w:rsid w:val="00A746A6"/>
    <w:rsid w:val="00A74770"/>
    <w:rsid w:val="00A748DC"/>
    <w:rsid w:val="00A748E2"/>
    <w:rsid w:val="00A74A47"/>
    <w:rsid w:val="00A7539F"/>
    <w:rsid w:val="00A7556B"/>
    <w:rsid w:val="00A75687"/>
    <w:rsid w:val="00A7581B"/>
    <w:rsid w:val="00A75946"/>
    <w:rsid w:val="00A75CD5"/>
    <w:rsid w:val="00A75D4B"/>
    <w:rsid w:val="00A7612A"/>
    <w:rsid w:val="00A76162"/>
    <w:rsid w:val="00A761D2"/>
    <w:rsid w:val="00A76370"/>
    <w:rsid w:val="00A765A7"/>
    <w:rsid w:val="00A768AD"/>
    <w:rsid w:val="00A76F99"/>
    <w:rsid w:val="00A771FC"/>
    <w:rsid w:val="00A7724D"/>
    <w:rsid w:val="00A7728B"/>
    <w:rsid w:val="00A777D7"/>
    <w:rsid w:val="00A778EB"/>
    <w:rsid w:val="00A7790F"/>
    <w:rsid w:val="00A7E00B"/>
    <w:rsid w:val="00A800ED"/>
    <w:rsid w:val="00A801A1"/>
    <w:rsid w:val="00A80B72"/>
    <w:rsid w:val="00A80B98"/>
    <w:rsid w:val="00A80DA1"/>
    <w:rsid w:val="00A80DAC"/>
    <w:rsid w:val="00A80DDE"/>
    <w:rsid w:val="00A80F94"/>
    <w:rsid w:val="00A810C4"/>
    <w:rsid w:val="00A81466"/>
    <w:rsid w:val="00A8157D"/>
    <w:rsid w:val="00A816AC"/>
    <w:rsid w:val="00A81858"/>
    <w:rsid w:val="00A81968"/>
    <w:rsid w:val="00A81B6B"/>
    <w:rsid w:val="00A81D3F"/>
    <w:rsid w:val="00A81D99"/>
    <w:rsid w:val="00A81DC4"/>
    <w:rsid w:val="00A81EEC"/>
    <w:rsid w:val="00A81F59"/>
    <w:rsid w:val="00A81F8F"/>
    <w:rsid w:val="00A8200C"/>
    <w:rsid w:val="00A8212F"/>
    <w:rsid w:val="00A82205"/>
    <w:rsid w:val="00A822BA"/>
    <w:rsid w:val="00A8236E"/>
    <w:rsid w:val="00A8255A"/>
    <w:rsid w:val="00A8312D"/>
    <w:rsid w:val="00A83130"/>
    <w:rsid w:val="00A8319D"/>
    <w:rsid w:val="00A83438"/>
    <w:rsid w:val="00A83553"/>
    <w:rsid w:val="00A8364F"/>
    <w:rsid w:val="00A83919"/>
    <w:rsid w:val="00A83AB4"/>
    <w:rsid w:val="00A83DF3"/>
    <w:rsid w:val="00A8425D"/>
    <w:rsid w:val="00A843B6"/>
    <w:rsid w:val="00A844E4"/>
    <w:rsid w:val="00A84948"/>
    <w:rsid w:val="00A849A4"/>
    <w:rsid w:val="00A84AC7"/>
    <w:rsid w:val="00A84E88"/>
    <w:rsid w:val="00A84E95"/>
    <w:rsid w:val="00A850E0"/>
    <w:rsid w:val="00A85188"/>
    <w:rsid w:val="00A85368"/>
    <w:rsid w:val="00A856D5"/>
    <w:rsid w:val="00A85915"/>
    <w:rsid w:val="00A85E3A"/>
    <w:rsid w:val="00A861C2"/>
    <w:rsid w:val="00A861FE"/>
    <w:rsid w:val="00A8629A"/>
    <w:rsid w:val="00A863A0"/>
    <w:rsid w:val="00A8674B"/>
    <w:rsid w:val="00A86BE9"/>
    <w:rsid w:val="00A87287"/>
    <w:rsid w:val="00A87396"/>
    <w:rsid w:val="00A87469"/>
    <w:rsid w:val="00A874C6"/>
    <w:rsid w:val="00A87676"/>
    <w:rsid w:val="00A8768F"/>
    <w:rsid w:val="00A87722"/>
    <w:rsid w:val="00A87BC1"/>
    <w:rsid w:val="00A87F8F"/>
    <w:rsid w:val="00A9001C"/>
    <w:rsid w:val="00A900A0"/>
    <w:rsid w:val="00A904C0"/>
    <w:rsid w:val="00A905AC"/>
    <w:rsid w:val="00A907C7"/>
    <w:rsid w:val="00A90A0B"/>
    <w:rsid w:val="00A90A16"/>
    <w:rsid w:val="00A90A53"/>
    <w:rsid w:val="00A90BE8"/>
    <w:rsid w:val="00A91108"/>
    <w:rsid w:val="00A9123F"/>
    <w:rsid w:val="00A915C3"/>
    <w:rsid w:val="00A91660"/>
    <w:rsid w:val="00A91802"/>
    <w:rsid w:val="00A91BE8"/>
    <w:rsid w:val="00A91E75"/>
    <w:rsid w:val="00A91EA9"/>
    <w:rsid w:val="00A91EAB"/>
    <w:rsid w:val="00A91F19"/>
    <w:rsid w:val="00A92124"/>
    <w:rsid w:val="00A92345"/>
    <w:rsid w:val="00A92CA7"/>
    <w:rsid w:val="00A92EEB"/>
    <w:rsid w:val="00A92F70"/>
    <w:rsid w:val="00A93427"/>
    <w:rsid w:val="00A93463"/>
    <w:rsid w:val="00A936D8"/>
    <w:rsid w:val="00A9376F"/>
    <w:rsid w:val="00A938AC"/>
    <w:rsid w:val="00A93D09"/>
    <w:rsid w:val="00A94457"/>
    <w:rsid w:val="00A9450F"/>
    <w:rsid w:val="00A948BC"/>
    <w:rsid w:val="00A949F3"/>
    <w:rsid w:val="00A94CF6"/>
    <w:rsid w:val="00A94DF5"/>
    <w:rsid w:val="00A94EB1"/>
    <w:rsid w:val="00A94F47"/>
    <w:rsid w:val="00A94F4D"/>
    <w:rsid w:val="00A94FB0"/>
    <w:rsid w:val="00A950DE"/>
    <w:rsid w:val="00A952AB"/>
    <w:rsid w:val="00A9539C"/>
    <w:rsid w:val="00A95570"/>
    <w:rsid w:val="00A95764"/>
    <w:rsid w:val="00A95791"/>
    <w:rsid w:val="00A957F1"/>
    <w:rsid w:val="00A95BA9"/>
    <w:rsid w:val="00A95BD9"/>
    <w:rsid w:val="00A96382"/>
    <w:rsid w:val="00A96534"/>
    <w:rsid w:val="00A96555"/>
    <w:rsid w:val="00A96729"/>
    <w:rsid w:val="00A96733"/>
    <w:rsid w:val="00A96866"/>
    <w:rsid w:val="00A96C14"/>
    <w:rsid w:val="00A96C15"/>
    <w:rsid w:val="00A96D10"/>
    <w:rsid w:val="00A96DA5"/>
    <w:rsid w:val="00A971FE"/>
    <w:rsid w:val="00A97475"/>
    <w:rsid w:val="00A974E6"/>
    <w:rsid w:val="00A97745"/>
    <w:rsid w:val="00A9783D"/>
    <w:rsid w:val="00A97D77"/>
    <w:rsid w:val="00A97F73"/>
    <w:rsid w:val="00AA00D3"/>
    <w:rsid w:val="00AA0227"/>
    <w:rsid w:val="00AA06FB"/>
    <w:rsid w:val="00AA0762"/>
    <w:rsid w:val="00AA07FA"/>
    <w:rsid w:val="00AA0853"/>
    <w:rsid w:val="00AA088B"/>
    <w:rsid w:val="00AA0A3E"/>
    <w:rsid w:val="00AA0A95"/>
    <w:rsid w:val="00AA0B84"/>
    <w:rsid w:val="00AA0B97"/>
    <w:rsid w:val="00AA0BA9"/>
    <w:rsid w:val="00AA1368"/>
    <w:rsid w:val="00AA1586"/>
    <w:rsid w:val="00AA1653"/>
    <w:rsid w:val="00AA16D0"/>
    <w:rsid w:val="00AA1A9A"/>
    <w:rsid w:val="00AA1F69"/>
    <w:rsid w:val="00AA20D0"/>
    <w:rsid w:val="00AA2303"/>
    <w:rsid w:val="00AA2326"/>
    <w:rsid w:val="00AA255F"/>
    <w:rsid w:val="00AA2789"/>
    <w:rsid w:val="00AA29A5"/>
    <w:rsid w:val="00AA2DA0"/>
    <w:rsid w:val="00AA2DBA"/>
    <w:rsid w:val="00AA2E6B"/>
    <w:rsid w:val="00AA30B6"/>
    <w:rsid w:val="00AA3422"/>
    <w:rsid w:val="00AA396A"/>
    <w:rsid w:val="00AA3B07"/>
    <w:rsid w:val="00AA3BA6"/>
    <w:rsid w:val="00AA3CB0"/>
    <w:rsid w:val="00AA3D1C"/>
    <w:rsid w:val="00AA3EE7"/>
    <w:rsid w:val="00AA407A"/>
    <w:rsid w:val="00AA41A2"/>
    <w:rsid w:val="00AA41ED"/>
    <w:rsid w:val="00AA4263"/>
    <w:rsid w:val="00AA4390"/>
    <w:rsid w:val="00AA44B0"/>
    <w:rsid w:val="00AA45E6"/>
    <w:rsid w:val="00AA4A6C"/>
    <w:rsid w:val="00AA4B78"/>
    <w:rsid w:val="00AA4C07"/>
    <w:rsid w:val="00AA4C95"/>
    <w:rsid w:val="00AA4EC2"/>
    <w:rsid w:val="00AA503C"/>
    <w:rsid w:val="00AA5211"/>
    <w:rsid w:val="00AA52BC"/>
    <w:rsid w:val="00AA52CC"/>
    <w:rsid w:val="00AA52D2"/>
    <w:rsid w:val="00AA534D"/>
    <w:rsid w:val="00AA53FE"/>
    <w:rsid w:val="00AA5571"/>
    <w:rsid w:val="00AA5623"/>
    <w:rsid w:val="00AA5A37"/>
    <w:rsid w:val="00AA5C02"/>
    <w:rsid w:val="00AA5D31"/>
    <w:rsid w:val="00AA60DD"/>
    <w:rsid w:val="00AA648B"/>
    <w:rsid w:val="00AA651C"/>
    <w:rsid w:val="00AA662E"/>
    <w:rsid w:val="00AA67C0"/>
    <w:rsid w:val="00AA6A84"/>
    <w:rsid w:val="00AA6B44"/>
    <w:rsid w:val="00AA6C49"/>
    <w:rsid w:val="00AA6F18"/>
    <w:rsid w:val="00AA70F2"/>
    <w:rsid w:val="00AA735E"/>
    <w:rsid w:val="00AA73BB"/>
    <w:rsid w:val="00AA7520"/>
    <w:rsid w:val="00AA75AD"/>
    <w:rsid w:val="00AA7645"/>
    <w:rsid w:val="00AA77EF"/>
    <w:rsid w:val="00AA7810"/>
    <w:rsid w:val="00AA7BBB"/>
    <w:rsid w:val="00AA7E7B"/>
    <w:rsid w:val="00AA7EEA"/>
    <w:rsid w:val="00AB04BC"/>
    <w:rsid w:val="00AB08F9"/>
    <w:rsid w:val="00AB0A74"/>
    <w:rsid w:val="00AB139C"/>
    <w:rsid w:val="00AB1401"/>
    <w:rsid w:val="00AB14AC"/>
    <w:rsid w:val="00AB14FD"/>
    <w:rsid w:val="00AB18F6"/>
    <w:rsid w:val="00AB1940"/>
    <w:rsid w:val="00AB19B7"/>
    <w:rsid w:val="00AB1E3A"/>
    <w:rsid w:val="00AB2362"/>
    <w:rsid w:val="00AB242F"/>
    <w:rsid w:val="00AB2514"/>
    <w:rsid w:val="00AB25CB"/>
    <w:rsid w:val="00AB2654"/>
    <w:rsid w:val="00AB2B08"/>
    <w:rsid w:val="00AB2C03"/>
    <w:rsid w:val="00AB2CB5"/>
    <w:rsid w:val="00AB2D9A"/>
    <w:rsid w:val="00AB2E13"/>
    <w:rsid w:val="00AB2FD0"/>
    <w:rsid w:val="00AB31F7"/>
    <w:rsid w:val="00AB3F6C"/>
    <w:rsid w:val="00AB4370"/>
    <w:rsid w:val="00AB489C"/>
    <w:rsid w:val="00AB48F3"/>
    <w:rsid w:val="00AB48F4"/>
    <w:rsid w:val="00AB50C1"/>
    <w:rsid w:val="00AB530D"/>
    <w:rsid w:val="00AB532D"/>
    <w:rsid w:val="00AB5DC1"/>
    <w:rsid w:val="00AB5E8D"/>
    <w:rsid w:val="00AB620B"/>
    <w:rsid w:val="00AB68A4"/>
    <w:rsid w:val="00AB68A8"/>
    <w:rsid w:val="00AB6936"/>
    <w:rsid w:val="00AB69D5"/>
    <w:rsid w:val="00AB6A39"/>
    <w:rsid w:val="00AB6ADB"/>
    <w:rsid w:val="00AB7139"/>
    <w:rsid w:val="00AB72FA"/>
    <w:rsid w:val="00AB738D"/>
    <w:rsid w:val="00AB73E3"/>
    <w:rsid w:val="00AB764E"/>
    <w:rsid w:val="00AB7932"/>
    <w:rsid w:val="00AB7B32"/>
    <w:rsid w:val="00AB7C7D"/>
    <w:rsid w:val="00AB7E68"/>
    <w:rsid w:val="00AC01B1"/>
    <w:rsid w:val="00AC04EF"/>
    <w:rsid w:val="00AC0834"/>
    <w:rsid w:val="00AC09E5"/>
    <w:rsid w:val="00AC0A34"/>
    <w:rsid w:val="00AC0BD2"/>
    <w:rsid w:val="00AC0C3B"/>
    <w:rsid w:val="00AC0EAA"/>
    <w:rsid w:val="00AC1232"/>
    <w:rsid w:val="00AC1426"/>
    <w:rsid w:val="00AC14F7"/>
    <w:rsid w:val="00AC1672"/>
    <w:rsid w:val="00AC1736"/>
    <w:rsid w:val="00AC1786"/>
    <w:rsid w:val="00AC19F3"/>
    <w:rsid w:val="00AC1C32"/>
    <w:rsid w:val="00AC1CAE"/>
    <w:rsid w:val="00AC1D4B"/>
    <w:rsid w:val="00AC22A4"/>
    <w:rsid w:val="00AC23E4"/>
    <w:rsid w:val="00AC2600"/>
    <w:rsid w:val="00AC2616"/>
    <w:rsid w:val="00AC26AD"/>
    <w:rsid w:val="00AC283F"/>
    <w:rsid w:val="00AC2CCC"/>
    <w:rsid w:val="00AC2D5B"/>
    <w:rsid w:val="00AC2D63"/>
    <w:rsid w:val="00AC2F1F"/>
    <w:rsid w:val="00AC2FEC"/>
    <w:rsid w:val="00AC374B"/>
    <w:rsid w:val="00AC3B9E"/>
    <w:rsid w:val="00AC3C49"/>
    <w:rsid w:val="00AC3D00"/>
    <w:rsid w:val="00AC3EE1"/>
    <w:rsid w:val="00AC3F65"/>
    <w:rsid w:val="00AC410B"/>
    <w:rsid w:val="00AC445E"/>
    <w:rsid w:val="00AC4558"/>
    <w:rsid w:val="00AC4570"/>
    <w:rsid w:val="00AC4625"/>
    <w:rsid w:val="00AC46D3"/>
    <w:rsid w:val="00AC47BA"/>
    <w:rsid w:val="00AC4A68"/>
    <w:rsid w:val="00AC4B19"/>
    <w:rsid w:val="00AC4CB9"/>
    <w:rsid w:val="00AC4EA0"/>
    <w:rsid w:val="00AC5065"/>
    <w:rsid w:val="00AC517D"/>
    <w:rsid w:val="00AC52BF"/>
    <w:rsid w:val="00AC52C1"/>
    <w:rsid w:val="00AC54CE"/>
    <w:rsid w:val="00AC5616"/>
    <w:rsid w:val="00AC56C2"/>
    <w:rsid w:val="00AC5713"/>
    <w:rsid w:val="00AC57F1"/>
    <w:rsid w:val="00AC5893"/>
    <w:rsid w:val="00AC592F"/>
    <w:rsid w:val="00AC5BF5"/>
    <w:rsid w:val="00AC5D1A"/>
    <w:rsid w:val="00AC5ED3"/>
    <w:rsid w:val="00AC6369"/>
    <w:rsid w:val="00AC647B"/>
    <w:rsid w:val="00AC64AE"/>
    <w:rsid w:val="00AC686A"/>
    <w:rsid w:val="00AC6991"/>
    <w:rsid w:val="00AC6BF6"/>
    <w:rsid w:val="00AC6C46"/>
    <w:rsid w:val="00AC6C88"/>
    <w:rsid w:val="00AC6D29"/>
    <w:rsid w:val="00AC6DF0"/>
    <w:rsid w:val="00AC6F45"/>
    <w:rsid w:val="00AC7084"/>
    <w:rsid w:val="00AC71C3"/>
    <w:rsid w:val="00AC762E"/>
    <w:rsid w:val="00AC76AC"/>
    <w:rsid w:val="00AC78F4"/>
    <w:rsid w:val="00AC7C4C"/>
    <w:rsid w:val="00AC7EA2"/>
    <w:rsid w:val="00AC7EA6"/>
    <w:rsid w:val="00AC7EA9"/>
    <w:rsid w:val="00AD006D"/>
    <w:rsid w:val="00AD0205"/>
    <w:rsid w:val="00AD0375"/>
    <w:rsid w:val="00AD03D8"/>
    <w:rsid w:val="00AD03E4"/>
    <w:rsid w:val="00AD06CC"/>
    <w:rsid w:val="00AD0711"/>
    <w:rsid w:val="00AD080C"/>
    <w:rsid w:val="00AD0857"/>
    <w:rsid w:val="00AD0A95"/>
    <w:rsid w:val="00AD0AC8"/>
    <w:rsid w:val="00AD0C8F"/>
    <w:rsid w:val="00AD0FB2"/>
    <w:rsid w:val="00AD109C"/>
    <w:rsid w:val="00AD10A2"/>
    <w:rsid w:val="00AD1134"/>
    <w:rsid w:val="00AD11A3"/>
    <w:rsid w:val="00AD12EC"/>
    <w:rsid w:val="00AD12F3"/>
    <w:rsid w:val="00AD1364"/>
    <w:rsid w:val="00AD16AA"/>
    <w:rsid w:val="00AD16D4"/>
    <w:rsid w:val="00AD16D6"/>
    <w:rsid w:val="00AD17AE"/>
    <w:rsid w:val="00AD18F9"/>
    <w:rsid w:val="00AD1A96"/>
    <w:rsid w:val="00AD1AE0"/>
    <w:rsid w:val="00AD1B8B"/>
    <w:rsid w:val="00AD1C8A"/>
    <w:rsid w:val="00AD1EEF"/>
    <w:rsid w:val="00AD2180"/>
    <w:rsid w:val="00AD2192"/>
    <w:rsid w:val="00AD2277"/>
    <w:rsid w:val="00AD23F1"/>
    <w:rsid w:val="00AD25F1"/>
    <w:rsid w:val="00AD2659"/>
    <w:rsid w:val="00AD288A"/>
    <w:rsid w:val="00AD2ADC"/>
    <w:rsid w:val="00AD2D1B"/>
    <w:rsid w:val="00AD2D91"/>
    <w:rsid w:val="00AD2E96"/>
    <w:rsid w:val="00AD2ECB"/>
    <w:rsid w:val="00AD3039"/>
    <w:rsid w:val="00AD3166"/>
    <w:rsid w:val="00AD3446"/>
    <w:rsid w:val="00AD346B"/>
    <w:rsid w:val="00AD3C19"/>
    <w:rsid w:val="00AD3EFC"/>
    <w:rsid w:val="00AD409C"/>
    <w:rsid w:val="00AD418C"/>
    <w:rsid w:val="00AD42AA"/>
    <w:rsid w:val="00AD4311"/>
    <w:rsid w:val="00AD44FA"/>
    <w:rsid w:val="00AD459D"/>
    <w:rsid w:val="00AD4887"/>
    <w:rsid w:val="00AD4A42"/>
    <w:rsid w:val="00AD4CB0"/>
    <w:rsid w:val="00AD4F54"/>
    <w:rsid w:val="00AD4F77"/>
    <w:rsid w:val="00AD50EF"/>
    <w:rsid w:val="00AD56D6"/>
    <w:rsid w:val="00AD57CF"/>
    <w:rsid w:val="00AD5922"/>
    <w:rsid w:val="00AD5A1C"/>
    <w:rsid w:val="00AD5B95"/>
    <w:rsid w:val="00AD5D1E"/>
    <w:rsid w:val="00AD5E9C"/>
    <w:rsid w:val="00AD6013"/>
    <w:rsid w:val="00AD61F5"/>
    <w:rsid w:val="00AD625A"/>
    <w:rsid w:val="00AD677A"/>
    <w:rsid w:val="00AD6796"/>
    <w:rsid w:val="00AD6A72"/>
    <w:rsid w:val="00AD6B50"/>
    <w:rsid w:val="00AD6CBF"/>
    <w:rsid w:val="00AD6DD5"/>
    <w:rsid w:val="00AD6F7D"/>
    <w:rsid w:val="00AD704E"/>
    <w:rsid w:val="00AD70CB"/>
    <w:rsid w:val="00AD72AB"/>
    <w:rsid w:val="00AD7427"/>
    <w:rsid w:val="00AD7696"/>
    <w:rsid w:val="00AD76DE"/>
    <w:rsid w:val="00AD771E"/>
    <w:rsid w:val="00AD78E6"/>
    <w:rsid w:val="00AD7AD7"/>
    <w:rsid w:val="00AD7BE9"/>
    <w:rsid w:val="00AE0248"/>
    <w:rsid w:val="00AE02D3"/>
    <w:rsid w:val="00AE032B"/>
    <w:rsid w:val="00AE036A"/>
    <w:rsid w:val="00AE03CB"/>
    <w:rsid w:val="00AE05F0"/>
    <w:rsid w:val="00AE0883"/>
    <w:rsid w:val="00AE0BA9"/>
    <w:rsid w:val="00AE0CE8"/>
    <w:rsid w:val="00AE0D8B"/>
    <w:rsid w:val="00AE0D92"/>
    <w:rsid w:val="00AE113D"/>
    <w:rsid w:val="00AE131A"/>
    <w:rsid w:val="00AE1579"/>
    <w:rsid w:val="00AE1739"/>
    <w:rsid w:val="00AE17E8"/>
    <w:rsid w:val="00AE1A32"/>
    <w:rsid w:val="00AE1E3C"/>
    <w:rsid w:val="00AE1F72"/>
    <w:rsid w:val="00AE2490"/>
    <w:rsid w:val="00AE251A"/>
    <w:rsid w:val="00AE2E72"/>
    <w:rsid w:val="00AE323F"/>
    <w:rsid w:val="00AE3289"/>
    <w:rsid w:val="00AE341F"/>
    <w:rsid w:val="00AE3485"/>
    <w:rsid w:val="00AE38AC"/>
    <w:rsid w:val="00AE397D"/>
    <w:rsid w:val="00AE3B07"/>
    <w:rsid w:val="00AE3D40"/>
    <w:rsid w:val="00AE4015"/>
    <w:rsid w:val="00AE41C9"/>
    <w:rsid w:val="00AE4336"/>
    <w:rsid w:val="00AE43D9"/>
    <w:rsid w:val="00AE4575"/>
    <w:rsid w:val="00AE4647"/>
    <w:rsid w:val="00AE4749"/>
    <w:rsid w:val="00AE47A7"/>
    <w:rsid w:val="00AE47DB"/>
    <w:rsid w:val="00AE489B"/>
    <w:rsid w:val="00AE4B6A"/>
    <w:rsid w:val="00AE4C31"/>
    <w:rsid w:val="00AE4D72"/>
    <w:rsid w:val="00AE4E3D"/>
    <w:rsid w:val="00AE5205"/>
    <w:rsid w:val="00AE526D"/>
    <w:rsid w:val="00AE5498"/>
    <w:rsid w:val="00AE54EE"/>
    <w:rsid w:val="00AE5510"/>
    <w:rsid w:val="00AE5512"/>
    <w:rsid w:val="00AE59FE"/>
    <w:rsid w:val="00AE5C15"/>
    <w:rsid w:val="00AE5C64"/>
    <w:rsid w:val="00AE5EC0"/>
    <w:rsid w:val="00AE5FE0"/>
    <w:rsid w:val="00AE6045"/>
    <w:rsid w:val="00AE60B7"/>
    <w:rsid w:val="00AE6166"/>
    <w:rsid w:val="00AE6275"/>
    <w:rsid w:val="00AE62B6"/>
    <w:rsid w:val="00AE62ED"/>
    <w:rsid w:val="00AE68BB"/>
    <w:rsid w:val="00AE6A4F"/>
    <w:rsid w:val="00AE6AA1"/>
    <w:rsid w:val="00AE6D5C"/>
    <w:rsid w:val="00AE6DF1"/>
    <w:rsid w:val="00AE6ECA"/>
    <w:rsid w:val="00AE6EF3"/>
    <w:rsid w:val="00AE7141"/>
    <w:rsid w:val="00AE71AA"/>
    <w:rsid w:val="00AE75E9"/>
    <w:rsid w:val="00AE7633"/>
    <w:rsid w:val="00AE7711"/>
    <w:rsid w:val="00AE78A9"/>
    <w:rsid w:val="00AE7DC7"/>
    <w:rsid w:val="00AE7EAE"/>
    <w:rsid w:val="00AE7F3F"/>
    <w:rsid w:val="00AF02C4"/>
    <w:rsid w:val="00AF0338"/>
    <w:rsid w:val="00AF0480"/>
    <w:rsid w:val="00AF065C"/>
    <w:rsid w:val="00AF078A"/>
    <w:rsid w:val="00AF082C"/>
    <w:rsid w:val="00AF0BD6"/>
    <w:rsid w:val="00AF0BE4"/>
    <w:rsid w:val="00AF0F6E"/>
    <w:rsid w:val="00AF11CC"/>
    <w:rsid w:val="00AF128A"/>
    <w:rsid w:val="00AF153F"/>
    <w:rsid w:val="00AF17EE"/>
    <w:rsid w:val="00AF1854"/>
    <w:rsid w:val="00AF1AAF"/>
    <w:rsid w:val="00AF1DA7"/>
    <w:rsid w:val="00AF1E01"/>
    <w:rsid w:val="00AF1EBF"/>
    <w:rsid w:val="00AF217E"/>
    <w:rsid w:val="00AF232F"/>
    <w:rsid w:val="00AF23A7"/>
    <w:rsid w:val="00AF262F"/>
    <w:rsid w:val="00AF2A81"/>
    <w:rsid w:val="00AF2AB7"/>
    <w:rsid w:val="00AF2B1C"/>
    <w:rsid w:val="00AF2BB2"/>
    <w:rsid w:val="00AF2F79"/>
    <w:rsid w:val="00AF3301"/>
    <w:rsid w:val="00AF3415"/>
    <w:rsid w:val="00AF34B7"/>
    <w:rsid w:val="00AF35D9"/>
    <w:rsid w:val="00AF3658"/>
    <w:rsid w:val="00AF365E"/>
    <w:rsid w:val="00AF3682"/>
    <w:rsid w:val="00AF39C3"/>
    <w:rsid w:val="00AF3A25"/>
    <w:rsid w:val="00AF3A3D"/>
    <w:rsid w:val="00AF3BCE"/>
    <w:rsid w:val="00AF3C17"/>
    <w:rsid w:val="00AF4101"/>
    <w:rsid w:val="00AF4122"/>
    <w:rsid w:val="00AF423F"/>
    <w:rsid w:val="00AF4295"/>
    <w:rsid w:val="00AF45B6"/>
    <w:rsid w:val="00AF4760"/>
    <w:rsid w:val="00AF4854"/>
    <w:rsid w:val="00AF4957"/>
    <w:rsid w:val="00AF4D3F"/>
    <w:rsid w:val="00AF4DD5"/>
    <w:rsid w:val="00AF4E8D"/>
    <w:rsid w:val="00AF5347"/>
    <w:rsid w:val="00AF5372"/>
    <w:rsid w:val="00AF541B"/>
    <w:rsid w:val="00AF5818"/>
    <w:rsid w:val="00AF5890"/>
    <w:rsid w:val="00AF58A6"/>
    <w:rsid w:val="00AF5DE9"/>
    <w:rsid w:val="00AF5F17"/>
    <w:rsid w:val="00AF6038"/>
    <w:rsid w:val="00AF614A"/>
    <w:rsid w:val="00AF618B"/>
    <w:rsid w:val="00AF6280"/>
    <w:rsid w:val="00AF64BB"/>
    <w:rsid w:val="00AF64C9"/>
    <w:rsid w:val="00AF6917"/>
    <w:rsid w:val="00AF6B63"/>
    <w:rsid w:val="00AF6BE8"/>
    <w:rsid w:val="00AF6EBB"/>
    <w:rsid w:val="00AF730F"/>
    <w:rsid w:val="00AF7574"/>
    <w:rsid w:val="00AF7719"/>
    <w:rsid w:val="00AF78DA"/>
    <w:rsid w:val="00AF7916"/>
    <w:rsid w:val="00AF7BDD"/>
    <w:rsid w:val="00AF7F02"/>
    <w:rsid w:val="00B00193"/>
    <w:rsid w:val="00B00380"/>
    <w:rsid w:val="00B00508"/>
    <w:rsid w:val="00B0051C"/>
    <w:rsid w:val="00B00763"/>
    <w:rsid w:val="00B007E7"/>
    <w:rsid w:val="00B00889"/>
    <w:rsid w:val="00B00D2E"/>
    <w:rsid w:val="00B00E57"/>
    <w:rsid w:val="00B01529"/>
    <w:rsid w:val="00B017B6"/>
    <w:rsid w:val="00B01B3B"/>
    <w:rsid w:val="00B01BF1"/>
    <w:rsid w:val="00B01ED4"/>
    <w:rsid w:val="00B0208F"/>
    <w:rsid w:val="00B02136"/>
    <w:rsid w:val="00B02328"/>
    <w:rsid w:val="00B02418"/>
    <w:rsid w:val="00B02565"/>
    <w:rsid w:val="00B02667"/>
    <w:rsid w:val="00B027FA"/>
    <w:rsid w:val="00B02836"/>
    <w:rsid w:val="00B028AB"/>
    <w:rsid w:val="00B028E3"/>
    <w:rsid w:val="00B02B52"/>
    <w:rsid w:val="00B02C12"/>
    <w:rsid w:val="00B02CB7"/>
    <w:rsid w:val="00B02E28"/>
    <w:rsid w:val="00B02EA0"/>
    <w:rsid w:val="00B02F97"/>
    <w:rsid w:val="00B02F9F"/>
    <w:rsid w:val="00B0300B"/>
    <w:rsid w:val="00B031C0"/>
    <w:rsid w:val="00B032ED"/>
    <w:rsid w:val="00B037F8"/>
    <w:rsid w:val="00B039DB"/>
    <w:rsid w:val="00B03F0C"/>
    <w:rsid w:val="00B04081"/>
    <w:rsid w:val="00B04144"/>
    <w:rsid w:val="00B0449A"/>
    <w:rsid w:val="00B046CC"/>
    <w:rsid w:val="00B0484D"/>
    <w:rsid w:val="00B04972"/>
    <w:rsid w:val="00B04A23"/>
    <w:rsid w:val="00B04A88"/>
    <w:rsid w:val="00B04BF9"/>
    <w:rsid w:val="00B04D48"/>
    <w:rsid w:val="00B04F0A"/>
    <w:rsid w:val="00B04FD5"/>
    <w:rsid w:val="00B05272"/>
    <w:rsid w:val="00B05457"/>
    <w:rsid w:val="00B056E5"/>
    <w:rsid w:val="00B0576B"/>
    <w:rsid w:val="00B057F1"/>
    <w:rsid w:val="00B058B3"/>
    <w:rsid w:val="00B05AA7"/>
    <w:rsid w:val="00B05D61"/>
    <w:rsid w:val="00B05D7E"/>
    <w:rsid w:val="00B05D94"/>
    <w:rsid w:val="00B05F0E"/>
    <w:rsid w:val="00B0624E"/>
    <w:rsid w:val="00B06284"/>
    <w:rsid w:val="00B0628E"/>
    <w:rsid w:val="00B065FF"/>
    <w:rsid w:val="00B0664D"/>
    <w:rsid w:val="00B069FA"/>
    <w:rsid w:val="00B06B7F"/>
    <w:rsid w:val="00B06C86"/>
    <w:rsid w:val="00B06E8D"/>
    <w:rsid w:val="00B06ED8"/>
    <w:rsid w:val="00B07214"/>
    <w:rsid w:val="00B07349"/>
    <w:rsid w:val="00B07478"/>
    <w:rsid w:val="00B074DD"/>
    <w:rsid w:val="00B075E7"/>
    <w:rsid w:val="00B0791C"/>
    <w:rsid w:val="00B07969"/>
    <w:rsid w:val="00B07B10"/>
    <w:rsid w:val="00B07EF9"/>
    <w:rsid w:val="00B10167"/>
    <w:rsid w:val="00B1016D"/>
    <w:rsid w:val="00B1018E"/>
    <w:rsid w:val="00B10451"/>
    <w:rsid w:val="00B10548"/>
    <w:rsid w:val="00B106CF"/>
    <w:rsid w:val="00B106DB"/>
    <w:rsid w:val="00B1073B"/>
    <w:rsid w:val="00B1085B"/>
    <w:rsid w:val="00B10979"/>
    <w:rsid w:val="00B1097D"/>
    <w:rsid w:val="00B10B39"/>
    <w:rsid w:val="00B10E94"/>
    <w:rsid w:val="00B10F0A"/>
    <w:rsid w:val="00B10F4E"/>
    <w:rsid w:val="00B10FE4"/>
    <w:rsid w:val="00B11165"/>
    <w:rsid w:val="00B11338"/>
    <w:rsid w:val="00B114C7"/>
    <w:rsid w:val="00B114F6"/>
    <w:rsid w:val="00B117B9"/>
    <w:rsid w:val="00B11B9B"/>
    <w:rsid w:val="00B11DB3"/>
    <w:rsid w:val="00B11F48"/>
    <w:rsid w:val="00B11FF0"/>
    <w:rsid w:val="00B1211A"/>
    <w:rsid w:val="00B12674"/>
    <w:rsid w:val="00B12890"/>
    <w:rsid w:val="00B128A0"/>
    <w:rsid w:val="00B12995"/>
    <w:rsid w:val="00B12BD1"/>
    <w:rsid w:val="00B13042"/>
    <w:rsid w:val="00B131FE"/>
    <w:rsid w:val="00B13241"/>
    <w:rsid w:val="00B13396"/>
    <w:rsid w:val="00B133C9"/>
    <w:rsid w:val="00B13436"/>
    <w:rsid w:val="00B135B1"/>
    <w:rsid w:val="00B1368F"/>
    <w:rsid w:val="00B137F5"/>
    <w:rsid w:val="00B1399F"/>
    <w:rsid w:val="00B13A35"/>
    <w:rsid w:val="00B13E4B"/>
    <w:rsid w:val="00B13E8F"/>
    <w:rsid w:val="00B13ED5"/>
    <w:rsid w:val="00B13ED9"/>
    <w:rsid w:val="00B13F27"/>
    <w:rsid w:val="00B13FE9"/>
    <w:rsid w:val="00B14244"/>
    <w:rsid w:val="00B143DE"/>
    <w:rsid w:val="00B14411"/>
    <w:rsid w:val="00B14437"/>
    <w:rsid w:val="00B14514"/>
    <w:rsid w:val="00B147C7"/>
    <w:rsid w:val="00B1496E"/>
    <w:rsid w:val="00B14A9D"/>
    <w:rsid w:val="00B14B4C"/>
    <w:rsid w:val="00B14B8E"/>
    <w:rsid w:val="00B14D9C"/>
    <w:rsid w:val="00B14FD4"/>
    <w:rsid w:val="00B152A8"/>
    <w:rsid w:val="00B15334"/>
    <w:rsid w:val="00B154AA"/>
    <w:rsid w:val="00B1551D"/>
    <w:rsid w:val="00B15646"/>
    <w:rsid w:val="00B15ADC"/>
    <w:rsid w:val="00B1644E"/>
    <w:rsid w:val="00B16475"/>
    <w:rsid w:val="00B164C3"/>
    <w:rsid w:val="00B169AC"/>
    <w:rsid w:val="00B16B27"/>
    <w:rsid w:val="00B16D51"/>
    <w:rsid w:val="00B16EC1"/>
    <w:rsid w:val="00B1705B"/>
    <w:rsid w:val="00B17169"/>
    <w:rsid w:val="00B172B5"/>
    <w:rsid w:val="00B1755E"/>
    <w:rsid w:val="00B17768"/>
    <w:rsid w:val="00B17CEA"/>
    <w:rsid w:val="00B17DEB"/>
    <w:rsid w:val="00B17E61"/>
    <w:rsid w:val="00B20050"/>
    <w:rsid w:val="00B200C5"/>
    <w:rsid w:val="00B201BE"/>
    <w:rsid w:val="00B201E2"/>
    <w:rsid w:val="00B20240"/>
    <w:rsid w:val="00B202FD"/>
    <w:rsid w:val="00B20CCC"/>
    <w:rsid w:val="00B21094"/>
    <w:rsid w:val="00B211DF"/>
    <w:rsid w:val="00B216CD"/>
    <w:rsid w:val="00B21850"/>
    <w:rsid w:val="00B220BB"/>
    <w:rsid w:val="00B2239B"/>
    <w:rsid w:val="00B22499"/>
    <w:rsid w:val="00B22667"/>
    <w:rsid w:val="00B2285F"/>
    <w:rsid w:val="00B2295C"/>
    <w:rsid w:val="00B229FB"/>
    <w:rsid w:val="00B22BCB"/>
    <w:rsid w:val="00B22C9E"/>
    <w:rsid w:val="00B22DA3"/>
    <w:rsid w:val="00B22E54"/>
    <w:rsid w:val="00B22FA9"/>
    <w:rsid w:val="00B22FD3"/>
    <w:rsid w:val="00B23167"/>
    <w:rsid w:val="00B23230"/>
    <w:rsid w:val="00B23281"/>
    <w:rsid w:val="00B232F6"/>
    <w:rsid w:val="00B2333A"/>
    <w:rsid w:val="00B237D5"/>
    <w:rsid w:val="00B23932"/>
    <w:rsid w:val="00B23CB6"/>
    <w:rsid w:val="00B23E40"/>
    <w:rsid w:val="00B23E52"/>
    <w:rsid w:val="00B2400C"/>
    <w:rsid w:val="00B24457"/>
    <w:rsid w:val="00B244AC"/>
    <w:rsid w:val="00B246D2"/>
    <w:rsid w:val="00B2489A"/>
    <w:rsid w:val="00B24ABC"/>
    <w:rsid w:val="00B24EA0"/>
    <w:rsid w:val="00B252B8"/>
    <w:rsid w:val="00B25783"/>
    <w:rsid w:val="00B25896"/>
    <w:rsid w:val="00B2595D"/>
    <w:rsid w:val="00B25A9A"/>
    <w:rsid w:val="00B25D7C"/>
    <w:rsid w:val="00B25E31"/>
    <w:rsid w:val="00B26378"/>
    <w:rsid w:val="00B265BA"/>
    <w:rsid w:val="00B26790"/>
    <w:rsid w:val="00B267EF"/>
    <w:rsid w:val="00B2681B"/>
    <w:rsid w:val="00B26F14"/>
    <w:rsid w:val="00B26F56"/>
    <w:rsid w:val="00B2726E"/>
    <w:rsid w:val="00B272AA"/>
    <w:rsid w:val="00B2734D"/>
    <w:rsid w:val="00B27351"/>
    <w:rsid w:val="00B2737A"/>
    <w:rsid w:val="00B273EA"/>
    <w:rsid w:val="00B2748C"/>
    <w:rsid w:val="00B27571"/>
    <w:rsid w:val="00B277BF"/>
    <w:rsid w:val="00B27980"/>
    <w:rsid w:val="00B27CBC"/>
    <w:rsid w:val="00B27D6E"/>
    <w:rsid w:val="00B27E9A"/>
    <w:rsid w:val="00B27EB1"/>
    <w:rsid w:val="00B30177"/>
    <w:rsid w:val="00B303D5"/>
    <w:rsid w:val="00B308A3"/>
    <w:rsid w:val="00B30B39"/>
    <w:rsid w:val="00B30C62"/>
    <w:rsid w:val="00B30F0C"/>
    <w:rsid w:val="00B311A7"/>
    <w:rsid w:val="00B31218"/>
    <w:rsid w:val="00B3172E"/>
    <w:rsid w:val="00B3186C"/>
    <w:rsid w:val="00B31AAC"/>
    <w:rsid w:val="00B31B47"/>
    <w:rsid w:val="00B31D54"/>
    <w:rsid w:val="00B3205F"/>
    <w:rsid w:val="00B3247B"/>
    <w:rsid w:val="00B326EC"/>
    <w:rsid w:val="00B328AA"/>
    <w:rsid w:val="00B328D2"/>
    <w:rsid w:val="00B32982"/>
    <w:rsid w:val="00B32A21"/>
    <w:rsid w:val="00B32F42"/>
    <w:rsid w:val="00B32FC8"/>
    <w:rsid w:val="00B331E6"/>
    <w:rsid w:val="00B3331D"/>
    <w:rsid w:val="00B333E8"/>
    <w:rsid w:val="00B334A0"/>
    <w:rsid w:val="00B33601"/>
    <w:rsid w:val="00B339D8"/>
    <w:rsid w:val="00B33A3C"/>
    <w:rsid w:val="00B33AA6"/>
    <w:rsid w:val="00B33D81"/>
    <w:rsid w:val="00B33F56"/>
    <w:rsid w:val="00B34120"/>
    <w:rsid w:val="00B3425F"/>
    <w:rsid w:val="00B34268"/>
    <w:rsid w:val="00B34335"/>
    <w:rsid w:val="00B34466"/>
    <w:rsid w:val="00B344A5"/>
    <w:rsid w:val="00B34654"/>
    <w:rsid w:val="00B34AD4"/>
    <w:rsid w:val="00B34C55"/>
    <w:rsid w:val="00B35084"/>
    <w:rsid w:val="00B358AA"/>
    <w:rsid w:val="00B35925"/>
    <w:rsid w:val="00B35D80"/>
    <w:rsid w:val="00B35D8C"/>
    <w:rsid w:val="00B35EA6"/>
    <w:rsid w:val="00B3603C"/>
    <w:rsid w:val="00B36077"/>
    <w:rsid w:val="00B360A4"/>
    <w:rsid w:val="00B360D1"/>
    <w:rsid w:val="00B3615C"/>
    <w:rsid w:val="00B36449"/>
    <w:rsid w:val="00B364BD"/>
    <w:rsid w:val="00B36560"/>
    <w:rsid w:val="00B3656B"/>
    <w:rsid w:val="00B3657D"/>
    <w:rsid w:val="00B36685"/>
    <w:rsid w:val="00B36BC6"/>
    <w:rsid w:val="00B36BCB"/>
    <w:rsid w:val="00B36BE3"/>
    <w:rsid w:val="00B36E35"/>
    <w:rsid w:val="00B36F14"/>
    <w:rsid w:val="00B37302"/>
    <w:rsid w:val="00B3738B"/>
    <w:rsid w:val="00B37677"/>
    <w:rsid w:val="00B3773F"/>
    <w:rsid w:val="00B378D3"/>
    <w:rsid w:val="00B37EB1"/>
    <w:rsid w:val="00B37FA0"/>
    <w:rsid w:val="00B40014"/>
    <w:rsid w:val="00B4002E"/>
    <w:rsid w:val="00B400A0"/>
    <w:rsid w:val="00B40282"/>
    <w:rsid w:val="00B4031D"/>
    <w:rsid w:val="00B403CE"/>
    <w:rsid w:val="00B4067E"/>
    <w:rsid w:val="00B406C9"/>
    <w:rsid w:val="00B407AD"/>
    <w:rsid w:val="00B40A54"/>
    <w:rsid w:val="00B40C43"/>
    <w:rsid w:val="00B4114B"/>
    <w:rsid w:val="00B413AC"/>
    <w:rsid w:val="00B41521"/>
    <w:rsid w:val="00B4156C"/>
    <w:rsid w:val="00B4159C"/>
    <w:rsid w:val="00B4160B"/>
    <w:rsid w:val="00B4164B"/>
    <w:rsid w:val="00B41C39"/>
    <w:rsid w:val="00B41CC2"/>
    <w:rsid w:val="00B41E33"/>
    <w:rsid w:val="00B41F47"/>
    <w:rsid w:val="00B41FE5"/>
    <w:rsid w:val="00B420A2"/>
    <w:rsid w:val="00B420FC"/>
    <w:rsid w:val="00B42358"/>
    <w:rsid w:val="00B42420"/>
    <w:rsid w:val="00B424A0"/>
    <w:rsid w:val="00B4269D"/>
    <w:rsid w:val="00B4274A"/>
    <w:rsid w:val="00B4274B"/>
    <w:rsid w:val="00B42799"/>
    <w:rsid w:val="00B42AB9"/>
    <w:rsid w:val="00B43239"/>
    <w:rsid w:val="00B435D7"/>
    <w:rsid w:val="00B436A9"/>
    <w:rsid w:val="00B43935"/>
    <w:rsid w:val="00B43D6A"/>
    <w:rsid w:val="00B44055"/>
    <w:rsid w:val="00B440C3"/>
    <w:rsid w:val="00B44507"/>
    <w:rsid w:val="00B446B9"/>
    <w:rsid w:val="00B4470D"/>
    <w:rsid w:val="00B44766"/>
    <w:rsid w:val="00B44A1F"/>
    <w:rsid w:val="00B44D42"/>
    <w:rsid w:val="00B44E0E"/>
    <w:rsid w:val="00B450AD"/>
    <w:rsid w:val="00B451D0"/>
    <w:rsid w:val="00B4570A"/>
    <w:rsid w:val="00B4579A"/>
    <w:rsid w:val="00B457A0"/>
    <w:rsid w:val="00B4581E"/>
    <w:rsid w:val="00B45BE6"/>
    <w:rsid w:val="00B45C09"/>
    <w:rsid w:val="00B45C73"/>
    <w:rsid w:val="00B45E03"/>
    <w:rsid w:val="00B4602C"/>
    <w:rsid w:val="00B46251"/>
    <w:rsid w:val="00B462EA"/>
    <w:rsid w:val="00B46435"/>
    <w:rsid w:val="00B465A7"/>
    <w:rsid w:val="00B466C0"/>
    <w:rsid w:val="00B466E6"/>
    <w:rsid w:val="00B46A5D"/>
    <w:rsid w:val="00B46B00"/>
    <w:rsid w:val="00B46B81"/>
    <w:rsid w:val="00B46CDB"/>
    <w:rsid w:val="00B46ECD"/>
    <w:rsid w:val="00B47093"/>
    <w:rsid w:val="00B47297"/>
    <w:rsid w:val="00B473F6"/>
    <w:rsid w:val="00B47437"/>
    <w:rsid w:val="00B47563"/>
    <w:rsid w:val="00B477EB"/>
    <w:rsid w:val="00B478B9"/>
    <w:rsid w:val="00B478C9"/>
    <w:rsid w:val="00B47BE1"/>
    <w:rsid w:val="00B47BF5"/>
    <w:rsid w:val="00B47CC3"/>
    <w:rsid w:val="00B501FD"/>
    <w:rsid w:val="00B50210"/>
    <w:rsid w:val="00B502C6"/>
    <w:rsid w:val="00B502FE"/>
    <w:rsid w:val="00B50351"/>
    <w:rsid w:val="00B5048B"/>
    <w:rsid w:val="00B5069E"/>
    <w:rsid w:val="00B50C27"/>
    <w:rsid w:val="00B50D0E"/>
    <w:rsid w:val="00B50F5B"/>
    <w:rsid w:val="00B5103B"/>
    <w:rsid w:val="00B510B5"/>
    <w:rsid w:val="00B513C0"/>
    <w:rsid w:val="00B51432"/>
    <w:rsid w:val="00B514FB"/>
    <w:rsid w:val="00B51521"/>
    <w:rsid w:val="00B51778"/>
    <w:rsid w:val="00B51A91"/>
    <w:rsid w:val="00B51BD7"/>
    <w:rsid w:val="00B51C74"/>
    <w:rsid w:val="00B51D63"/>
    <w:rsid w:val="00B51DE5"/>
    <w:rsid w:val="00B51EF0"/>
    <w:rsid w:val="00B52149"/>
    <w:rsid w:val="00B522ED"/>
    <w:rsid w:val="00B52580"/>
    <w:rsid w:val="00B525B4"/>
    <w:rsid w:val="00B525C2"/>
    <w:rsid w:val="00B528B8"/>
    <w:rsid w:val="00B52B94"/>
    <w:rsid w:val="00B52C6E"/>
    <w:rsid w:val="00B52C96"/>
    <w:rsid w:val="00B52D6E"/>
    <w:rsid w:val="00B52FCC"/>
    <w:rsid w:val="00B531E8"/>
    <w:rsid w:val="00B5325A"/>
    <w:rsid w:val="00B5325D"/>
    <w:rsid w:val="00B5334F"/>
    <w:rsid w:val="00B53371"/>
    <w:rsid w:val="00B53479"/>
    <w:rsid w:val="00B53ABF"/>
    <w:rsid w:val="00B53B5A"/>
    <w:rsid w:val="00B53C62"/>
    <w:rsid w:val="00B54060"/>
    <w:rsid w:val="00B5409A"/>
    <w:rsid w:val="00B540FB"/>
    <w:rsid w:val="00B542CB"/>
    <w:rsid w:val="00B54347"/>
    <w:rsid w:val="00B543F6"/>
    <w:rsid w:val="00B54A7C"/>
    <w:rsid w:val="00B54FB3"/>
    <w:rsid w:val="00B54FE5"/>
    <w:rsid w:val="00B5528D"/>
    <w:rsid w:val="00B55306"/>
    <w:rsid w:val="00B553AA"/>
    <w:rsid w:val="00B55466"/>
    <w:rsid w:val="00B5548B"/>
    <w:rsid w:val="00B55574"/>
    <w:rsid w:val="00B555BE"/>
    <w:rsid w:val="00B55650"/>
    <w:rsid w:val="00B55949"/>
    <w:rsid w:val="00B55A33"/>
    <w:rsid w:val="00B55B52"/>
    <w:rsid w:val="00B55C26"/>
    <w:rsid w:val="00B55D6B"/>
    <w:rsid w:val="00B5628F"/>
    <w:rsid w:val="00B5632C"/>
    <w:rsid w:val="00B56361"/>
    <w:rsid w:val="00B56370"/>
    <w:rsid w:val="00B5657C"/>
    <w:rsid w:val="00B566B3"/>
    <w:rsid w:val="00B56703"/>
    <w:rsid w:val="00B56790"/>
    <w:rsid w:val="00B56A59"/>
    <w:rsid w:val="00B56B9C"/>
    <w:rsid w:val="00B56C24"/>
    <w:rsid w:val="00B56D7E"/>
    <w:rsid w:val="00B56D82"/>
    <w:rsid w:val="00B56E6B"/>
    <w:rsid w:val="00B56F29"/>
    <w:rsid w:val="00B5721A"/>
    <w:rsid w:val="00B57340"/>
    <w:rsid w:val="00B573E4"/>
    <w:rsid w:val="00B57AD9"/>
    <w:rsid w:val="00B57B08"/>
    <w:rsid w:val="00B57CFA"/>
    <w:rsid w:val="00B60107"/>
    <w:rsid w:val="00B601B4"/>
    <w:rsid w:val="00B6028D"/>
    <w:rsid w:val="00B602E2"/>
    <w:rsid w:val="00B605E9"/>
    <w:rsid w:val="00B607E9"/>
    <w:rsid w:val="00B60BC4"/>
    <w:rsid w:val="00B60CDB"/>
    <w:rsid w:val="00B60FA0"/>
    <w:rsid w:val="00B6119E"/>
    <w:rsid w:val="00B614A6"/>
    <w:rsid w:val="00B618C2"/>
    <w:rsid w:val="00B61B53"/>
    <w:rsid w:val="00B61E9B"/>
    <w:rsid w:val="00B621E3"/>
    <w:rsid w:val="00B621FA"/>
    <w:rsid w:val="00B623D4"/>
    <w:rsid w:val="00B62443"/>
    <w:rsid w:val="00B6267D"/>
    <w:rsid w:val="00B6297B"/>
    <w:rsid w:val="00B630F9"/>
    <w:rsid w:val="00B631CF"/>
    <w:rsid w:val="00B63383"/>
    <w:rsid w:val="00B6345F"/>
    <w:rsid w:val="00B63705"/>
    <w:rsid w:val="00B63785"/>
    <w:rsid w:val="00B63A97"/>
    <w:rsid w:val="00B63AFB"/>
    <w:rsid w:val="00B63B09"/>
    <w:rsid w:val="00B63E24"/>
    <w:rsid w:val="00B63EC5"/>
    <w:rsid w:val="00B64119"/>
    <w:rsid w:val="00B64121"/>
    <w:rsid w:val="00B64260"/>
    <w:rsid w:val="00B64377"/>
    <w:rsid w:val="00B645A4"/>
    <w:rsid w:val="00B65174"/>
    <w:rsid w:val="00B6524E"/>
    <w:rsid w:val="00B6525D"/>
    <w:rsid w:val="00B654C4"/>
    <w:rsid w:val="00B6590C"/>
    <w:rsid w:val="00B65986"/>
    <w:rsid w:val="00B65ABA"/>
    <w:rsid w:val="00B65AEA"/>
    <w:rsid w:val="00B65B40"/>
    <w:rsid w:val="00B65EC9"/>
    <w:rsid w:val="00B663E3"/>
    <w:rsid w:val="00B66485"/>
    <w:rsid w:val="00B664BD"/>
    <w:rsid w:val="00B6676A"/>
    <w:rsid w:val="00B66778"/>
    <w:rsid w:val="00B668F2"/>
    <w:rsid w:val="00B66BA6"/>
    <w:rsid w:val="00B66BC9"/>
    <w:rsid w:val="00B66C08"/>
    <w:rsid w:val="00B672FF"/>
    <w:rsid w:val="00B67340"/>
    <w:rsid w:val="00B67643"/>
    <w:rsid w:val="00B67699"/>
    <w:rsid w:val="00B6769C"/>
    <w:rsid w:val="00B67768"/>
    <w:rsid w:val="00B6790F"/>
    <w:rsid w:val="00B67ADF"/>
    <w:rsid w:val="00B67AE9"/>
    <w:rsid w:val="00B67B48"/>
    <w:rsid w:val="00B67BA8"/>
    <w:rsid w:val="00B67D91"/>
    <w:rsid w:val="00B67E2C"/>
    <w:rsid w:val="00B67EB8"/>
    <w:rsid w:val="00B70359"/>
    <w:rsid w:val="00B7037E"/>
    <w:rsid w:val="00B703DC"/>
    <w:rsid w:val="00B707DB"/>
    <w:rsid w:val="00B70A52"/>
    <w:rsid w:val="00B70C25"/>
    <w:rsid w:val="00B70E41"/>
    <w:rsid w:val="00B70E80"/>
    <w:rsid w:val="00B71037"/>
    <w:rsid w:val="00B710C4"/>
    <w:rsid w:val="00B7119F"/>
    <w:rsid w:val="00B7121F"/>
    <w:rsid w:val="00B7134C"/>
    <w:rsid w:val="00B713C7"/>
    <w:rsid w:val="00B71424"/>
    <w:rsid w:val="00B71471"/>
    <w:rsid w:val="00B716B8"/>
    <w:rsid w:val="00B71747"/>
    <w:rsid w:val="00B717F9"/>
    <w:rsid w:val="00B71B3B"/>
    <w:rsid w:val="00B71B43"/>
    <w:rsid w:val="00B721F0"/>
    <w:rsid w:val="00B7233F"/>
    <w:rsid w:val="00B72458"/>
    <w:rsid w:val="00B72555"/>
    <w:rsid w:val="00B7277B"/>
    <w:rsid w:val="00B729E0"/>
    <w:rsid w:val="00B72A1E"/>
    <w:rsid w:val="00B72A60"/>
    <w:rsid w:val="00B72CF0"/>
    <w:rsid w:val="00B72FC2"/>
    <w:rsid w:val="00B7381B"/>
    <w:rsid w:val="00B73919"/>
    <w:rsid w:val="00B74190"/>
    <w:rsid w:val="00B741D0"/>
    <w:rsid w:val="00B7435D"/>
    <w:rsid w:val="00B743FF"/>
    <w:rsid w:val="00B744DC"/>
    <w:rsid w:val="00B74A8C"/>
    <w:rsid w:val="00B759A5"/>
    <w:rsid w:val="00B75A05"/>
    <w:rsid w:val="00B75AA4"/>
    <w:rsid w:val="00B75AA8"/>
    <w:rsid w:val="00B75CA9"/>
    <w:rsid w:val="00B75CEC"/>
    <w:rsid w:val="00B76135"/>
    <w:rsid w:val="00B762A8"/>
    <w:rsid w:val="00B764C4"/>
    <w:rsid w:val="00B76539"/>
    <w:rsid w:val="00B765FB"/>
    <w:rsid w:val="00B76692"/>
    <w:rsid w:val="00B769CC"/>
    <w:rsid w:val="00B76A38"/>
    <w:rsid w:val="00B76C25"/>
    <w:rsid w:val="00B76D1B"/>
    <w:rsid w:val="00B76D34"/>
    <w:rsid w:val="00B771D4"/>
    <w:rsid w:val="00B772CF"/>
    <w:rsid w:val="00B774DD"/>
    <w:rsid w:val="00B77852"/>
    <w:rsid w:val="00B778B8"/>
    <w:rsid w:val="00B77949"/>
    <w:rsid w:val="00B77CD0"/>
    <w:rsid w:val="00B80222"/>
    <w:rsid w:val="00B802A7"/>
    <w:rsid w:val="00B80752"/>
    <w:rsid w:val="00B80865"/>
    <w:rsid w:val="00B80A42"/>
    <w:rsid w:val="00B80AE0"/>
    <w:rsid w:val="00B80AEC"/>
    <w:rsid w:val="00B80BD1"/>
    <w:rsid w:val="00B80CBE"/>
    <w:rsid w:val="00B80EDB"/>
    <w:rsid w:val="00B81240"/>
    <w:rsid w:val="00B816B4"/>
    <w:rsid w:val="00B81A53"/>
    <w:rsid w:val="00B81B85"/>
    <w:rsid w:val="00B820E4"/>
    <w:rsid w:val="00B8242E"/>
    <w:rsid w:val="00B82468"/>
    <w:rsid w:val="00B82508"/>
    <w:rsid w:val="00B82799"/>
    <w:rsid w:val="00B82AA7"/>
    <w:rsid w:val="00B82B21"/>
    <w:rsid w:val="00B82CF8"/>
    <w:rsid w:val="00B831E4"/>
    <w:rsid w:val="00B836CD"/>
    <w:rsid w:val="00B8371B"/>
    <w:rsid w:val="00B83AB4"/>
    <w:rsid w:val="00B8410B"/>
    <w:rsid w:val="00B84196"/>
    <w:rsid w:val="00B84392"/>
    <w:rsid w:val="00B843F7"/>
    <w:rsid w:val="00B84628"/>
    <w:rsid w:val="00B84653"/>
    <w:rsid w:val="00B8469C"/>
    <w:rsid w:val="00B84C45"/>
    <w:rsid w:val="00B84F4F"/>
    <w:rsid w:val="00B85059"/>
    <w:rsid w:val="00B851AE"/>
    <w:rsid w:val="00B857C6"/>
    <w:rsid w:val="00B8586F"/>
    <w:rsid w:val="00B859AF"/>
    <w:rsid w:val="00B85B1B"/>
    <w:rsid w:val="00B85CC5"/>
    <w:rsid w:val="00B85E49"/>
    <w:rsid w:val="00B85F04"/>
    <w:rsid w:val="00B860F9"/>
    <w:rsid w:val="00B861ED"/>
    <w:rsid w:val="00B864AD"/>
    <w:rsid w:val="00B865F3"/>
    <w:rsid w:val="00B86671"/>
    <w:rsid w:val="00B86966"/>
    <w:rsid w:val="00B86CA0"/>
    <w:rsid w:val="00B86E7A"/>
    <w:rsid w:val="00B86F2A"/>
    <w:rsid w:val="00B86F62"/>
    <w:rsid w:val="00B86FB4"/>
    <w:rsid w:val="00B871A3"/>
    <w:rsid w:val="00B871AC"/>
    <w:rsid w:val="00B8728C"/>
    <w:rsid w:val="00B8751F"/>
    <w:rsid w:val="00B875C0"/>
    <w:rsid w:val="00B877F1"/>
    <w:rsid w:val="00B87A85"/>
    <w:rsid w:val="00B87AB6"/>
    <w:rsid w:val="00B87B95"/>
    <w:rsid w:val="00B87C23"/>
    <w:rsid w:val="00B87D61"/>
    <w:rsid w:val="00B87ED7"/>
    <w:rsid w:val="00B901E4"/>
    <w:rsid w:val="00B90223"/>
    <w:rsid w:val="00B9089D"/>
    <w:rsid w:val="00B90937"/>
    <w:rsid w:val="00B90974"/>
    <w:rsid w:val="00B90CAC"/>
    <w:rsid w:val="00B90D1C"/>
    <w:rsid w:val="00B90FC1"/>
    <w:rsid w:val="00B910BE"/>
    <w:rsid w:val="00B91315"/>
    <w:rsid w:val="00B91685"/>
    <w:rsid w:val="00B91764"/>
    <w:rsid w:val="00B917AF"/>
    <w:rsid w:val="00B91937"/>
    <w:rsid w:val="00B91980"/>
    <w:rsid w:val="00B91A74"/>
    <w:rsid w:val="00B91A75"/>
    <w:rsid w:val="00B91B3E"/>
    <w:rsid w:val="00B91C0D"/>
    <w:rsid w:val="00B91C19"/>
    <w:rsid w:val="00B91C30"/>
    <w:rsid w:val="00B91FB6"/>
    <w:rsid w:val="00B92256"/>
    <w:rsid w:val="00B92585"/>
    <w:rsid w:val="00B92A31"/>
    <w:rsid w:val="00B92BE0"/>
    <w:rsid w:val="00B92D14"/>
    <w:rsid w:val="00B92F97"/>
    <w:rsid w:val="00B93619"/>
    <w:rsid w:val="00B93687"/>
    <w:rsid w:val="00B937A4"/>
    <w:rsid w:val="00B93948"/>
    <w:rsid w:val="00B93A55"/>
    <w:rsid w:val="00B93FAD"/>
    <w:rsid w:val="00B94357"/>
    <w:rsid w:val="00B9438F"/>
    <w:rsid w:val="00B94509"/>
    <w:rsid w:val="00B9460F"/>
    <w:rsid w:val="00B94716"/>
    <w:rsid w:val="00B9474D"/>
    <w:rsid w:val="00B94BB8"/>
    <w:rsid w:val="00B94C63"/>
    <w:rsid w:val="00B94D6B"/>
    <w:rsid w:val="00B94E87"/>
    <w:rsid w:val="00B95035"/>
    <w:rsid w:val="00B9536A"/>
    <w:rsid w:val="00B95446"/>
    <w:rsid w:val="00B9557A"/>
    <w:rsid w:val="00B9559C"/>
    <w:rsid w:val="00B9560F"/>
    <w:rsid w:val="00B9595C"/>
    <w:rsid w:val="00B9595D"/>
    <w:rsid w:val="00B96022"/>
    <w:rsid w:val="00B9603D"/>
    <w:rsid w:val="00B961A7"/>
    <w:rsid w:val="00B96202"/>
    <w:rsid w:val="00B9624B"/>
    <w:rsid w:val="00B966BD"/>
    <w:rsid w:val="00B966BE"/>
    <w:rsid w:val="00B96AA3"/>
    <w:rsid w:val="00B96B14"/>
    <w:rsid w:val="00B96BC1"/>
    <w:rsid w:val="00B96D5D"/>
    <w:rsid w:val="00B97270"/>
    <w:rsid w:val="00B9740D"/>
    <w:rsid w:val="00B97AEB"/>
    <w:rsid w:val="00BA0144"/>
    <w:rsid w:val="00BA060B"/>
    <w:rsid w:val="00BA076A"/>
    <w:rsid w:val="00BA093E"/>
    <w:rsid w:val="00BA0C38"/>
    <w:rsid w:val="00BA0DED"/>
    <w:rsid w:val="00BA0E91"/>
    <w:rsid w:val="00BA125B"/>
    <w:rsid w:val="00BA13B2"/>
    <w:rsid w:val="00BA166D"/>
    <w:rsid w:val="00BA17AF"/>
    <w:rsid w:val="00BA17EC"/>
    <w:rsid w:val="00BA1B97"/>
    <w:rsid w:val="00BA1CCF"/>
    <w:rsid w:val="00BA1EB5"/>
    <w:rsid w:val="00BA224E"/>
    <w:rsid w:val="00BA24E6"/>
    <w:rsid w:val="00BA26BE"/>
    <w:rsid w:val="00BA294D"/>
    <w:rsid w:val="00BA295E"/>
    <w:rsid w:val="00BA296F"/>
    <w:rsid w:val="00BA2B48"/>
    <w:rsid w:val="00BA2BCC"/>
    <w:rsid w:val="00BA2CC6"/>
    <w:rsid w:val="00BA301A"/>
    <w:rsid w:val="00BA30B4"/>
    <w:rsid w:val="00BA30EC"/>
    <w:rsid w:val="00BA311F"/>
    <w:rsid w:val="00BA33B0"/>
    <w:rsid w:val="00BA3469"/>
    <w:rsid w:val="00BA3497"/>
    <w:rsid w:val="00BA36BA"/>
    <w:rsid w:val="00BA37EE"/>
    <w:rsid w:val="00BA398C"/>
    <w:rsid w:val="00BA3CBD"/>
    <w:rsid w:val="00BA3D28"/>
    <w:rsid w:val="00BA3E26"/>
    <w:rsid w:val="00BA40FB"/>
    <w:rsid w:val="00BA42F7"/>
    <w:rsid w:val="00BA436F"/>
    <w:rsid w:val="00BA44D7"/>
    <w:rsid w:val="00BA45DF"/>
    <w:rsid w:val="00BA4B4D"/>
    <w:rsid w:val="00BA4BC7"/>
    <w:rsid w:val="00BA4E4C"/>
    <w:rsid w:val="00BA4E68"/>
    <w:rsid w:val="00BA4EEE"/>
    <w:rsid w:val="00BA51EE"/>
    <w:rsid w:val="00BA5233"/>
    <w:rsid w:val="00BA557A"/>
    <w:rsid w:val="00BA55B7"/>
    <w:rsid w:val="00BA576F"/>
    <w:rsid w:val="00BA5896"/>
    <w:rsid w:val="00BA58C6"/>
    <w:rsid w:val="00BA59BD"/>
    <w:rsid w:val="00BA5CDA"/>
    <w:rsid w:val="00BA5DE8"/>
    <w:rsid w:val="00BA5E47"/>
    <w:rsid w:val="00BA5F4D"/>
    <w:rsid w:val="00BA5F58"/>
    <w:rsid w:val="00BA6028"/>
    <w:rsid w:val="00BA634F"/>
    <w:rsid w:val="00BA68B1"/>
    <w:rsid w:val="00BA69B1"/>
    <w:rsid w:val="00BA6A17"/>
    <w:rsid w:val="00BA6B3E"/>
    <w:rsid w:val="00BA6C4D"/>
    <w:rsid w:val="00BA6D82"/>
    <w:rsid w:val="00BA6DFA"/>
    <w:rsid w:val="00BA700D"/>
    <w:rsid w:val="00BA70FB"/>
    <w:rsid w:val="00BA7384"/>
    <w:rsid w:val="00BA7454"/>
    <w:rsid w:val="00BA753E"/>
    <w:rsid w:val="00BA7670"/>
    <w:rsid w:val="00BA7691"/>
    <w:rsid w:val="00BA76E0"/>
    <w:rsid w:val="00BA79FD"/>
    <w:rsid w:val="00BA7A0B"/>
    <w:rsid w:val="00BA7A92"/>
    <w:rsid w:val="00BA7B88"/>
    <w:rsid w:val="00BA7CD0"/>
    <w:rsid w:val="00BA7D57"/>
    <w:rsid w:val="00BA7D8D"/>
    <w:rsid w:val="00BB0062"/>
    <w:rsid w:val="00BB00FE"/>
    <w:rsid w:val="00BB011A"/>
    <w:rsid w:val="00BB0195"/>
    <w:rsid w:val="00BB03D8"/>
    <w:rsid w:val="00BB04BC"/>
    <w:rsid w:val="00BB0A87"/>
    <w:rsid w:val="00BB0A8C"/>
    <w:rsid w:val="00BB0AAE"/>
    <w:rsid w:val="00BB10B5"/>
    <w:rsid w:val="00BB1338"/>
    <w:rsid w:val="00BB156E"/>
    <w:rsid w:val="00BB165B"/>
    <w:rsid w:val="00BB18EE"/>
    <w:rsid w:val="00BB193B"/>
    <w:rsid w:val="00BB1F9A"/>
    <w:rsid w:val="00BB20E2"/>
    <w:rsid w:val="00BB2820"/>
    <w:rsid w:val="00BB28AE"/>
    <w:rsid w:val="00BB28E8"/>
    <w:rsid w:val="00BB2905"/>
    <w:rsid w:val="00BB2912"/>
    <w:rsid w:val="00BB2F74"/>
    <w:rsid w:val="00BB3050"/>
    <w:rsid w:val="00BB30E4"/>
    <w:rsid w:val="00BB310A"/>
    <w:rsid w:val="00BB3267"/>
    <w:rsid w:val="00BB3268"/>
    <w:rsid w:val="00BB331F"/>
    <w:rsid w:val="00BB3330"/>
    <w:rsid w:val="00BB3360"/>
    <w:rsid w:val="00BB33F3"/>
    <w:rsid w:val="00BB374C"/>
    <w:rsid w:val="00BB3764"/>
    <w:rsid w:val="00BB3847"/>
    <w:rsid w:val="00BB3B12"/>
    <w:rsid w:val="00BB3D45"/>
    <w:rsid w:val="00BB3FC5"/>
    <w:rsid w:val="00BB44C6"/>
    <w:rsid w:val="00BB47D7"/>
    <w:rsid w:val="00BB48AB"/>
    <w:rsid w:val="00BB4A62"/>
    <w:rsid w:val="00BB4A88"/>
    <w:rsid w:val="00BB4D18"/>
    <w:rsid w:val="00BB4E1F"/>
    <w:rsid w:val="00BB4E38"/>
    <w:rsid w:val="00BB4FC6"/>
    <w:rsid w:val="00BB527A"/>
    <w:rsid w:val="00BB565C"/>
    <w:rsid w:val="00BB5B4C"/>
    <w:rsid w:val="00BB5BD3"/>
    <w:rsid w:val="00BB5C1B"/>
    <w:rsid w:val="00BB5CCF"/>
    <w:rsid w:val="00BB5D80"/>
    <w:rsid w:val="00BB5E9A"/>
    <w:rsid w:val="00BB617F"/>
    <w:rsid w:val="00BB61E5"/>
    <w:rsid w:val="00BB6460"/>
    <w:rsid w:val="00BB6759"/>
    <w:rsid w:val="00BB6889"/>
    <w:rsid w:val="00BB6A90"/>
    <w:rsid w:val="00BB6AAA"/>
    <w:rsid w:val="00BB6B84"/>
    <w:rsid w:val="00BB6F12"/>
    <w:rsid w:val="00BB72D6"/>
    <w:rsid w:val="00BB74AA"/>
    <w:rsid w:val="00BB7660"/>
    <w:rsid w:val="00BB76AD"/>
    <w:rsid w:val="00BB76CB"/>
    <w:rsid w:val="00BB7711"/>
    <w:rsid w:val="00BB7A7E"/>
    <w:rsid w:val="00BB7C1C"/>
    <w:rsid w:val="00BB7DAE"/>
    <w:rsid w:val="00BB7DF1"/>
    <w:rsid w:val="00BB7F43"/>
    <w:rsid w:val="00BB7F94"/>
    <w:rsid w:val="00BC0167"/>
    <w:rsid w:val="00BC01C1"/>
    <w:rsid w:val="00BC0278"/>
    <w:rsid w:val="00BC049A"/>
    <w:rsid w:val="00BC05F7"/>
    <w:rsid w:val="00BC07EB"/>
    <w:rsid w:val="00BC07FB"/>
    <w:rsid w:val="00BC0A9E"/>
    <w:rsid w:val="00BC0CF0"/>
    <w:rsid w:val="00BC0D9B"/>
    <w:rsid w:val="00BC0DB9"/>
    <w:rsid w:val="00BC1417"/>
    <w:rsid w:val="00BC167C"/>
    <w:rsid w:val="00BC1682"/>
    <w:rsid w:val="00BC17C0"/>
    <w:rsid w:val="00BC180C"/>
    <w:rsid w:val="00BC1874"/>
    <w:rsid w:val="00BC1BE3"/>
    <w:rsid w:val="00BC1D58"/>
    <w:rsid w:val="00BC1D79"/>
    <w:rsid w:val="00BC1D9F"/>
    <w:rsid w:val="00BC1E2F"/>
    <w:rsid w:val="00BC1EC2"/>
    <w:rsid w:val="00BC1FE2"/>
    <w:rsid w:val="00BC2032"/>
    <w:rsid w:val="00BC208B"/>
    <w:rsid w:val="00BC2571"/>
    <w:rsid w:val="00BC26BE"/>
    <w:rsid w:val="00BC2748"/>
    <w:rsid w:val="00BC2756"/>
    <w:rsid w:val="00BC2767"/>
    <w:rsid w:val="00BC2801"/>
    <w:rsid w:val="00BC2933"/>
    <w:rsid w:val="00BC296A"/>
    <w:rsid w:val="00BC2E24"/>
    <w:rsid w:val="00BC2EB9"/>
    <w:rsid w:val="00BC2F1A"/>
    <w:rsid w:val="00BC30A9"/>
    <w:rsid w:val="00BC31ED"/>
    <w:rsid w:val="00BC32EF"/>
    <w:rsid w:val="00BC357A"/>
    <w:rsid w:val="00BC394A"/>
    <w:rsid w:val="00BC3C41"/>
    <w:rsid w:val="00BC3CD1"/>
    <w:rsid w:val="00BC3E96"/>
    <w:rsid w:val="00BC3EF9"/>
    <w:rsid w:val="00BC405C"/>
    <w:rsid w:val="00BC4104"/>
    <w:rsid w:val="00BC423F"/>
    <w:rsid w:val="00BC4382"/>
    <w:rsid w:val="00BC4606"/>
    <w:rsid w:val="00BC464F"/>
    <w:rsid w:val="00BC4A20"/>
    <w:rsid w:val="00BC5193"/>
    <w:rsid w:val="00BC51D3"/>
    <w:rsid w:val="00BC528C"/>
    <w:rsid w:val="00BC53E1"/>
    <w:rsid w:val="00BC542C"/>
    <w:rsid w:val="00BC560C"/>
    <w:rsid w:val="00BC5880"/>
    <w:rsid w:val="00BC5A34"/>
    <w:rsid w:val="00BC5C8F"/>
    <w:rsid w:val="00BC5E0A"/>
    <w:rsid w:val="00BC5F54"/>
    <w:rsid w:val="00BC63FB"/>
    <w:rsid w:val="00BC67C9"/>
    <w:rsid w:val="00BC69CD"/>
    <w:rsid w:val="00BC6A5F"/>
    <w:rsid w:val="00BC6C48"/>
    <w:rsid w:val="00BC6E11"/>
    <w:rsid w:val="00BC6F3A"/>
    <w:rsid w:val="00BC7157"/>
    <w:rsid w:val="00BC76D8"/>
    <w:rsid w:val="00BC7804"/>
    <w:rsid w:val="00BC7BD6"/>
    <w:rsid w:val="00BC7C92"/>
    <w:rsid w:val="00BC7F2F"/>
    <w:rsid w:val="00BD0237"/>
    <w:rsid w:val="00BD0398"/>
    <w:rsid w:val="00BD0698"/>
    <w:rsid w:val="00BD06A7"/>
    <w:rsid w:val="00BD0B6D"/>
    <w:rsid w:val="00BD0DAF"/>
    <w:rsid w:val="00BD11DA"/>
    <w:rsid w:val="00BD12BA"/>
    <w:rsid w:val="00BD1497"/>
    <w:rsid w:val="00BD16A0"/>
    <w:rsid w:val="00BD17F5"/>
    <w:rsid w:val="00BD1B54"/>
    <w:rsid w:val="00BD1F96"/>
    <w:rsid w:val="00BD21A0"/>
    <w:rsid w:val="00BD22A8"/>
    <w:rsid w:val="00BD2548"/>
    <w:rsid w:val="00BD262D"/>
    <w:rsid w:val="00BD2820"/>
    <w:rsid w:val="00BD2B89"/>
    <w:rsid w:val="00BD2BAD"/>
    <w:rsid w:val="00BD2F4A"/>
    <w:rsid w:val="00BD2FA8"/>
    <w:rsid w:val="00BD2FAB"/>
    <w:rsid w:val="00BD3023"/>
    <w:rsid w:val="00BD3121"/>
    <w:rsid w:val="00BD35D3"/>
    <w:rsid w:val="00BD3616"/>
    <w:rsid w:val="00BD3855"/>
    <w:rsid w:val="00BD3B43"/>
    <w:rsid w:val="00BD3CCC"/>
    <w:rsid w:val="00BD3D09"/>
    <w:rsid w:val="00BD3DC5"/>
    <w:rsid w:val="00BD3EDE"/>
    <w:rsid w:val="00BD42F4"/>
    <w:rsid w:val="00BD44B5"/>
    <w:rsid w:val="00BD463D"/>
    <w:rsid w:val="00BD4694"/>
    <w:rsid w:val="00BD4795"/>
    <w:rsid w:val="00BD47A3"/>
    <w:rsid w:val="00BD4859"/>
    <w:rsid w:val="00BD4A5B"/>
    <w:rsid w:val="00BD4E5B"/>
    <w:rsid w:val="00BD4EF7"/>
    <w:rsid w:val="00BD5068"/>
    <w:rsid w:val="00BD519D"/>
    <w:rsid w:val="00BD5210"/>
    <w:rsid w:val="00BD534B"/>
    <w:rsid w:val="00BD543A"/>
    <w:rsid w:val="00BD5539"/>
    <w:rsid w:val="00BD5616"/>
    <w:rsid w:val="00BD57A4"/>
    <w:rsid w:val="00BD5BBA"/>
    <w:rsid w:val="00BD5DDD"/>
    <w:rsid w:val="00BD5EF3"/>
    <w:rsid w:val="00BD5EFD"/>
    <w:rsid w:val="00BD605A"/>
    <w:rsid w:val="00BD6091"/>
    <w:rsid w:val="00BD60FF"/>
    <w:rsid w:val="00BD613A"/>
    <w:rsid w:val="00BD618B"/>
    <w:rsid w:val="00BD6293"/>
    <w:rsid w:val="00BD63D9"/>
    <w:rsid w:val="00BD648D"/>
    <w:rsid w:val="00BD6532"/>
    <w:rsid w:val="00BD66A3"/>
    <w:rsid w:val="00BD6894"/>
    <w:rsid w:val="00BD6901"/>
    <w:rsid w:val="00BD6988"/>
    <w:rsid w:val="00BD6C2F"/>
    <w:rsid w:val="00BD6E05"/>
    <w:rsid w:val="00BD6E15"/>
    <w:rsid w:val="00BD6F22"/>
    <w:rsid w:val="00BD711E"/>
    <w:rsid w:val="00BD713B"/>
    <w:rsid w:val="00BD716F"/>
    <w:rsid w:val="00BD71F5"/>
    <w:rsid w:val="00BD7299"/>
    <w:rsid w:val="00BD72EB"/>
    <w:rsid w:val="00BD73EC"/>
    <w:rsid w:val="00BD771C"/>
    <w:rsid w:val="00BD7925"/>
    <w:rsid w:val="00BD7CAF"/>
    <w:rsid w:val="00BD7DA0"/>
    <w:rsid w:val="00BD7E08"/>
    <w:rsid w:val="00BD7E81"/>
    <w:rsid w:val="00BE0033"/>
    <w:rsid w:val="00BE01B0"/>
    <w:rsid w:val="00BE0522"/>
    <w:rsid w:val="00BE05AE"/>
    <w:rsid w:val="00BE0722"/>
    <w:rsid w:val="00BE0B5B"/>
    <w:rsid w:val="00BE1047"/>
    <w:rsid w:val="00BE11FD"/>
    <w:rsid w:val="00BE15BD"/>
    <w:rsid w:val="00BE16A7"/>
    <w:rsid w:val="00BE16E6"/>
    <w:rsid w:val="00BE1785"/>
    <w:rsid w:val="00BE1978"/>
    <w:rsid w:val="00BE1B08"/>
    <w:rsid w:val="00BE1BBC"/>
    <w:rsid w:val="00BE1E19"/>
    <w:rsid w:val="00BE1E6B"/>
    <w:rsid w:val="00BE2022"/>
    <w:rsid w:val="00BE21E2"/>
    <w:rsid w:val="00BE2423"/>
    <w:rsid w:val="00BE249D"/>
    <w:rsid w:val="00BE2669"/>
    <w:rsid w:val="00BE26C0"/>
    <w:rsid w:val="00BE28C6"/>
    <w:rsid w:val="00BE2970"/>
    <w:rsid w:val="00BE2B4C"/>
    <w:rsid w:val="00BE2F6B"/>
    <w:rsid w:val="00BE3168"/>
    <w:rsid w:val="00BE3F95"/>
    <w:rsid w:val="00BE4134"/>
    <w:rsid w:val="00BE457B"/>
    <w:rsid w:val="00BE471E"/>
    <w:rsid w:val="00BE4761"/>
    <w:rsid w:val="00BE4BD6"/>
    <w:rsid w:val="00BE4C46"/>
    <w:rsid w:val="00BE4F1B"/>
    <w:rsid w:val="00BE54D0"/>
    <w:rsid w:val="00BE58BA"/>
    <w:rsid w:val="00BE5B2C"/>
    <w:rsid w:val="00BE5E64"/>
    <w:rsid w:val="00BE5EEA"/>
    <w:rsid w:val="00BE617E"/>
    <w:rsid w:val="00BE63D7"/>
    <w:rsid w:val="00BE653B"/>
    <w:rsid w:val="00BE6736"/>
    <w:rsid w:val="00BE6A70"/>
    <w:rsid w:val="00BE6BC0"/>
    <w:rsid w:val="00BE6F4E"/>
    <w:rsid w:val="00BE7520"/>
    <w:rsid w:val="00BE7906"/>
    <w:rsid w:val="00BE7960"/>
    <w:rsid w:val="00BE7972"/>
    <w:rsid w:val="00BE7A74"/>
    <w:rsid w:val="00BE7AA0"/>
    <w:rsid w:val="00BE7F93"/>
    <w:rsid w:val="00BE9607"/>
    <w:rsid w:val="00BF03D8"/>
    <w:rsid w:val="00BF051F"/>
    <w:rsid w:val="00BF0638"/>
    <w:rsid w:val="00BF06ED"/>
    <w:rsid w:val="00BF0A06"/>
    <w:rsid w:val="00BF0D93"/>
    <w:rsid w:val="00BF0E7A"/>
    <w:rsid w:val="00BF103D"/>
    <w:rsid w:val="00BF13BA"/>
    <w:rsid w:val="00BF1581"/>
    <w:rsid w:val="00BF16C7"/>
    <w:rsid w:val="00BF17B6"/>
    <w:rsid w:val="00BF1931"/>
    <w:rsid w:val="00BF1A2F"/>
    <w:rsid w:val="00BF1ACC"/>
    <w:rsid w:val="00BF1C81"/>
    <w:rsid w:val="00BF1D4A"/>
    <w:rsid w:val="00BF1D50"/>
    <w:rsid w:val="00BF2061"/>
    <w:rsid w:val="00BF2105"/>
    <w:rsid w:val="00BF2189"/>
    <w:rsid w:val="00BF2431"/>
    <w:rsid w:val="00BF2679"/>
    <w:rsid w:val="00BF2730"/>
    <w:rsid w:val="00BF2A7D"/>
    <w:rsid w:val="00BF2ACF"/>
    <w:rsid w:val="00BF2DAF"/>
    <w:rsid w:val="00BF2EC5"/>
    <w:rsid w:val="00BF3136"/>
    <w:rsid w:val="00BF31D2"/>
    <w:rsid w:val="00BF3320"/>
    <w:rsid w:val="00BF3841"/>
    <w:rsid w:val="00BF3B3F"/>
    <w:rsid w:val="00BF3B78"/>
    <w:rsid w:val="00BF3C21"/>
    <w:rsid w:val="00BF3DD4"/>
    <w:rsid w:val="00BF3DF5"/>
    <w:rsid w:val="00BF3DFA"/>
    <w:rsid w:val="00BF3FDF"/>
    <w:rsid w:val="00BF419D"/>
    <w:rsid w:val="00BF41B3"/>
    <w:rsid w:val="00BF439F"/>
    <w:rsid w:val="00BF4419"/>
    <w:rsid w:val="00BF45AE"/>
    <w:rsid w:val="00BF4744"/>
    <w:rsid w:val="00BF4AE1"/>
    <w:rsid w:val="00BF4BD2"/>
    <w:rsid w:val="00BF4D17"/>
    <w:rsid w:val="00BF4D88"/>
    <w:rsid w:val="00BF5131"/>
    <w:rsid w:val="00BF5331"/>
    <w:rsid w:val="00BF5400"/>
    <w:rsid w:val="00BF5B87"/>
    <w:rsid w:val="00BF5FBC"/>
    <w:rsid w:val="00BF6066"/>
    <w:rsid w:val="00BF60A9"/>
    <w:rsid w:val="00BF6107"/>
    <w:rsid w:val="00BF6466"/>
    <w:rsid w:val="00BF6497"/>
    <w:rsid w:val="00BF64C4"/>
    <w:rsid w:val="00BF6585"/>
    <w:rsid w:val="00BF6879"/>
    <w:rsid w:val="00BF6A7D"/>
    <w:rsid w:val="00BF6B6C"/>
    <w:rsid w:val="00BF6CFE"/>
    <w:rsid w:val="00BF6DE5"/>
    <w:rsid w:val="00BF6E35"/>
    <w:rsid w:val="00BF6FDF"/>
    <w:rsid w:val="00BF70B9"/>
    <w:rsid w:val="00BF7251"/>
    <w:rsid w:val="00BF7410"/>
    <w:rsid w:val="00BF77D9"/>
    <w:rsid w:val="00BF7872"/>
    <w:rsid w:val="00BF7915"/>
    <w:rsid w:val="00BF798A"/>
    <w:rsid w:val="00BF7A7D"/>
    <w:rsid w:val="00BF7DA1"/>
    <w:rsid w:val="00BF7F28"/>
    <w:rsid w:val="00C0008E"/>
    <w:rsid w:val="00C00115"/>
    <w:rsid w:val="00C00155"/>
    <w:rsid w:val="00C001B2"/>
    <w:rsid w:val="00C00309"/>
    <w:rsid w:val="00C00584"/>
    <w:rsid w:val="00C0069B"/>
    <w:rsid w:val="00C007FF"/>
    <w:rsid w:val="00C008DE"/>
    <w:rsid w:val="00C00906"/>
    <w:rsid w:val="00C00A47"/>
    <w:rsid w:val="00C00B56"/>
    <w:rsid w:val="00C00E28"/>
    <w:rsid w:val="00C00EEA"/>
    <w:rsid w:val="00C00F7A"/>
    <w:rsid w:val="00C01100"/>
    <w:rsid w:val="00C0122F"/>
    <w:rsid w:val="00C012EA"/>
    <w:rsid w:val="00C0173E"/>
    <w:rsid w:val="00C0176A"/>
    <w:rsid w:val="00C0179D"/>
    <w:rsid w:val="00C01909"/>
    <w:rsid w:val="00C019F2"/>
    <w:rsid w:val="00C019FD"/>
    <w:rsid w:val="00C0210B"/>
    <w:rsid w:val="00C02112"/>
    <w:rsid w:val="00C02132"/>
    <w:rsid w:val="00C0213C"/>
    <w:rsid w:val="00C02144"/>
    <w:rsid w:val="00C021DD"/>
    <w:rsid w:val="00C02266"/>
    <w:rsid w:val="00C02476"/>
    <w:rsid w:val="00C024C1"/>
    <w:rsid w:val="00C02532"/>
    <w:rsid w:val="00C02831"/>
    <w:rsid w:val="00C02906"/>
    <w:rsid w:val="00C02AEA"/>
    <w:rsid w:val="00C02D91"/>
    <w:rsid w:val="00C02E2F"/>
    <w:rsid w:val="00C03100"/>
    <w:rsid w:val="00C03108"/>
    <w:rsid w:val="00C03305"/>
    <w:rsid w:val="00C03470"/>
    <w:rsid w:val="00C0353A"/>
    <w:rsid w:val="00C0363D"/>
    <w:rsid w:val="00C0370E"/>
    <w:rsid w:val="00C03A24"/>
    <w:rsid w:val="00C03AB2"/>
    <w:rsid w:val="00C03B74"/>
    <w:rsid w:val="00C041FA"/>
    <w:rsid w:val="00C04238"/>
    <w:rsid w:val="00C04252"/>
    <w:rsid w:val="00C04677"/>
    <w:rsid w:val="00C046CF"/>
    <w:rsid w:val="00C04799"/>
    <w:rsid w:val="00C04B5F"/>
    <w:rsid w:val="00C04F00"/>
    <w:rsid w:val="00C04F8C"/>
    <w:rsid w:val="00C04FA0"/>
    <w:rsid w:val="00C0514E"/>
    <w:rsid w:val="00C051D6"/>
    <w:rsid w:val="00C052FC"/>
    <w:rsid w:val="00C0566E"/>
    <w:rsid w:val="00C0567A"/>
    <w:rsid w:val="00C05787"/>
    <w:rsid w:val="00C058C9"/>
    <w:rsid w:val="00C05A8C"/>
    <w:rsid w:val="00C05AFC"/>
    <w:rsid w:val="00C05C37"/>
    <w:rsid w:val="00C062A8"/>
    <w:rsid w:val="00C063F0"/>
    <w:rsid w:val="00C06789"/>
    <w:rsid w:val="00C0697A"/>
    <w:rsid w:val="00C06994"/>
    <w:rsid w:val="00C06B70"/>
    <w:rsid w:val="00C06C77"/>
    <w:rsid w:val="00C06D16"/>
    <w:rsid w:val="00C06E64"/>
    <w:rsid w:val="00C06F33"/>
    <w:rsid w:val="00C07257"/>
    <w:rsid w:val="00C073B6"/>
    <w:rsid w:val="00C0740A"/>
    <w:rsid w:val="00C075BD"/>
    <w:rsid w:val="00C07782"/>
    <w:rsid w:val="00C07C4B"/>
    <w:rsid w:val="00C07D94"/>
    <w:rsid w:val="00C07E5E"/>
    <w:rsid w:val="00C07FD4"/>
    <w:rsid w:val="00C1008E"/>
    <w:rsid w:val="00C104D5"/>
    <w:rsid w:val="00C105CD"/>
    <w:rsid w:val="00C1065F"/>
    <w:rsid w:val="00C107DA"/>
    <w:rsid w:val="00C107FD"/>
    <w:rsid w:val="00C10BA3"/>
    <w:rsid w:val="00C10E36"/>
    <w:rsid w:val="00C117FF"/>
    <w:rsid w:val="00C1189D"/>
    <w:rsid w:val="00C11B08"/>
    <w:rsid w:val="00C11C04"/>
    <w:rsid w:val="00C1219F"/>
    <w:rsid w:val="00C1235A"/>
    <w:rsid w:val="00C12363"/>
    <w:rsid w:val="00C12442"/>
    <w:rsid w:val="00C1271F"/>
    <w:rsid w:val="00C12D61"/>
    <w:rsid w:val="00C12D76"/>
    <w:rsid w:val="00C12DF6"/>
    <w:rsid w:val="00C13059"/>
    <w:rsid w:val="00C13292"/>
    <w:rsid w:val="00C132CC"/>
    <w:rsid w:val="00C132F0"/>
    <w:rsid w:val="00C13350"/>
    <w:rsid w:val="00C134A6"/>
    <w:rsid w:val="00C13538"/>
    <w:rsid w:val="00C135B0"/>
    <w:rsid w:val="00C13779"/>
    <w:rsid w:val="00C13901"/>
    <w:rsid w:val="00C13972"/>
    <w:rsid w:val="00C13C35"/>
    <w:rsid w:val="00C143A1"/>
    <w:rsid w:val="00C14587"/>
    <w:rsid w:val="00C14610"/>
    <w:rsid w:val="00C1461B"/>
    <w:rsid w:val="00C1498B"/>
    <w:rsid w:val="00C14D05"/>
    <w:rsid w:val="00C14D16"/>
    <w:rsid w:val="00C14E82"/>
    <w:rsid w:val="00C15018"/>
    <w:rsid w:val="00C15078"/>
    <w:rsid w:val="00C150D3"/>
    <w:rsid w:val="00C151B9"/>
    <w:rsid w:val="00C15211"/>
    <w:rsid w:val="00C15235"/>
    <w:rsid w:val="00C152B2"/>
    <w:rsid w:val="00C153A9"/>
    <w:rsid w:val="00C156D4"/>
    <w:rsid w:val="00C15723"/>
    <w:rsid w:val="00C158DD"/>
    <w:rsid w:val="00C15A1C"/>
    <w:rsid w:val="00C15DD1"/>
    <w:rsid w:val="00C15EFF"/>
    <w:rsid w:val="00C15F23"/>
    <w:rsid w:val="00C160BA"/>
    <w:rsid w:val="00C16393"/>
    <w:rsid w:val="00C165F7"/>
    <w:rsid w:val="00C166B1"/>
    <w:rsid w:val="00C16731"/>
    <w:rsid w:val="00C167A3"/>
    <w:rsid w:val="00C168FE"/>
    <w:rsid w:val="00C16925"/>
    <w:rsid w:val="00C16C35"/>
    <w:rsid w:val="00C16D05"/>
    <w:rsid w:val="00C170A7"/>
    <w:rsid w:val="00C171F2"/>
    <w:rsid w:val="00C1720D"/>
    <w:rsid w:val="00C174B4"/>
    <w:rsid w:val="00C17937"/>
    <w:rsid w:val="00C17C13"/>
    <w:rsid w:val="00C17DDE"/>
    <w:rsid w:val="00C17E18"/>
    <w:rsid w:val="00C17E84"/>
    <w:rsid w:val="00C17F45"/>
    <w:rsid w:val="00C1F0B7"/>
    <w:rsid w:val="00C2017D"/>
    <w:rsid w:val="00C2024F"/>
    <w:rsid w:val="00C20271"/>
    <w:rsid w:val="00C202A0"/>
    <w:rsid w:val="00C20572"/>
    <w:rsid w:val="00C2060A"/>
    <w:rsid w:val="00C206EE"/>
    <w:rsid w:val="00C2085F"/>
    <w:rsid w:val="00C20B80"/>
    <w:rsid w:val="00C20C7A"/>
    <w:rsid w:val="00C20F29"/>
    <w:rsid w:val="00C21301"/>
    <w:rsid w:val="00C21344"/>
    <w:rsid w:val="00C213A1"/>
    <w:rsid w:val="00C215D9"/>
    <w:rsid w:val="00C2168E"/>
    <w:rsid w:val="00C21701"/>
    <w:rsid w:val="00C2179B"/>
    <w:rsid w:val="00C2181C"/>
    <w:rsid w:val="00C21BEB"/>
    <w:rsid w:val="00C21BEC"/>
    <w:rsid w:val="00C21CE8"/>
    <w:rsid w:val="00C21ED6"/>
    <w:rsid w:val="00C21F5B"/>
    <w:rsid w:val="00C2224F"/>
    <w:rsid w:val="00C223C7"/>
    <w:rsid w:val="00C22731"/>
    <w:rsid w:val="00C22797"/>
    <w:rsid w:val="00C2290C"/>
    <w:rsid w:val="00C229D1"/>
    <w:rsid w:val="00C22BC2"/>
    <w:rsid w:val="00C22C84"/>
    <w:rsid w:val="00C22F84"/>
    <w:rsid w:val="00C2309E"/>
    <w:rsid w:val="00C2348F"/>
    <w:rsid w:val="00C23905"/>
    <w:rsid w:val="00C23B45"/>
    <w:rsid w:val="00C23B79"/>
    <w:rsid w:val="00C240B3"/>
    <w:rsid w:val="00C24276"/>
    <w:rsid w:val="00C24356"/>
    <w:rsid w:val="00C24697"/>
    <w:rsid w:val="00C246A6"/>
    <w:rsid w:val="00C2473E"/>
    <w:rsid w:val="00C24B65"/>
    <w:rsid w:val="00C24C86"/>
    <w:rsid w:val="00C24FCD"/>
    <w:rsid w:val="00C2527A"/>
    <w:rsid w:val="00C2542C"/>
    <w:rsid w:val="00C254DC"/>
    <w:rsid w:val="00C25696"/>
    <w:rsid w:val="00C25854"/>
    <w:rsid w:val="00C25961"/>
    <w:rsid w:val="00C25B74"/>
    <w:rsid w:val="00C263DE"/>
    <w:rsid w:val="00C2657D"/>
    <w:rsid w:val="00C26666"/>
    <w:rsid w:val="00C26676"/>
    <w:rsid w:val="00C26808"/>
    <w:rsid w:val="00C26A64"/>
    <w:rsid w:val="00C27063"/>
    <w:rsid w:val="00C2717B"/>
    <w:rsid w:val="00C2721F"/>
    <w:rsid w:val="00C274A9"/>
    <w:rsid w:val="00C274C0"/>
    <w:rsid w:val="00C274C9"/>
    <w:rsid w:val="00C278D7"/>
    <w:rsid w:val="00C27907"/>
    <w:rsid w:val="00C27AC5"/>
    <w:rsid w:val="00C27BC0"/>
    <w:rsid w:val="00C27C80"/>
    <w:rsid w:val="00C27C8C"/>
    <w:rsid w:val="00C27EB7"/>
    <w:rsid w:val="00C30013"/>
    <w:rsid w:val="00C3014B"/>
    <w:rsid w:val="00C302C5"/>
    <w:rsid w:val="00C303C4"/>
    <w:rsid w:val="00C308E3"/>
    <w:rsid w:val="00C30B25"/>
    <w:rsid w:val="00C30C21"/>
    <w:rsid w:val="00C30E60"/>
    <w:rsid w:val="00C30E9A"/>
    <w:rsid w:val="00C30F32"/>
    <w:rsid w:val="00C31122"/>
    <w:rsid w:val="00C3129E"/>
    <w:rsid w:val="00C314AA"/>
    <w:rsid w:val="00C31792"/>
    <w:rsid w:val="00C3189F"/>
    <w:rsid w:val="00C318E6"/>
    <w:rsid w:val="00C31AB9"/>
    <w:rsid w:val="00C31C46"/>
    <w:rsid w:val="00C32881"/>
    <w:rsid w:val="00C32911"/>
    <w:rsid w:val="00C32CFC"/>
    <w:rsid w:val="00C32DEC"/>
    <w:rsid w:val="00C32E0A"/>
    <w:rsid w:val="00C32F28"/>
    <w:rsid w:val="00C333D0"/>
    <w:rsid w:val="00C33474"/>
    <w:rsid w:val="00C33885"/>
    <w:rsid w:val="00C33A34"/>
    <w:rsid w:val="00C33AAD"/>
    <w:rsid w:val="00C33BED"/>
    <w:rsid w:val="00C33D49"/>
    <w:rsid w:val="00C33EC7"/>
    <w:rsid w:val="00C34254"/>
    <w:rsid w:val="00C34255"/>
    <w:rsid w:val="00C342F5"/>
    <w:rsid w:val="00C3447A"/>
    <w:rsid w:val="00C34588"/>
    <w:rsid w:val="00C346E7"/>
    <w:rsid w:val="00C349DB"/>
    <w:rsid w:val="00C349F9"/>
    <w:rsid w:val="00C34B6E"/>
    <w:rsid w:val="00C34BC6"/>
    <w:rsid w:val="00C34CE3"/>
    <w:rsid w:val="00C34EB1"/>
    <w:rsid w:val="00C351A9"/>
    <w:rsid w:val="00C35519"/>
    <w:rsid w:val="00C355B0"/>
    <w:rsid w:val="00C355F0"/>
    <w:rsid w:val="00C3573F"/>
    <w:rsid w:val="00C35D6F"/>
    <w:rsid w:val="00C360AF"/>
    <w:rsid w:val="00C36747"/>
    <w:rsid w:val="00C369EA"/>
    <w:rsid w:val="00C36B21"/>
    <w:rsid w:val="00C36FE7"/>
    <w:rsid w:val="00C37083"/>
    <w:rsid w:val="00C37171"/>
    <w:rsid w:val="00C371AA"/>
    <w:rsid w:val="00C371E8"/>
    <w:rsid w:val="00C37359"/>
    <w:rsid w:val="00C374F3"/>
    <w:rsid w:val="00C37750"/>
    <w:rsid w:val="00C377C9"/>
    <w:rsid w:val="00C377E9"/>
    <w:rsid w:val="00C3789A"/>
    <w:rsid w:val="00C37BB5"/>
    <w:rsid w:val="00C37E30"/>
    <w:rsid w:val="00C37F93"/>
    <w:rsid w:val="00C409BB"/>
    <w:rsid w:val="00C40A61"/>
    <w:rsid w:val="00C40AE3"/>
    <w:rsid w:val="00C40E19"/>
    <w:rsid w:val="00C40E2E"/>
    <w:rsid w:val="00C4121F"/>
    <w:rsid w:val="00C413F3"/>
    <w:rsid w:val="00C4151D"/>
    <w:rsid w:val="00C416E1"/>
    <w:rsid w:val="00C417DE"/>
    <w:rsid w:val="00C41B44"/>
    <w:rsid w:val="00C41BC7"/>
    <w:rsid w:val="00C41C41"/>
    <w:rsid w:val="00C41F03"/>
    <w:rsid w:val="00C42643"/>
    <w:rsid w:val="00C42861"/>
    <w:rsid w:val="00C42869"/>
    <w:rsid w:val="00C42978"/>
    <w:rsid w:val="00C42A15"/>
    <w:rsid w:val="00C42B68"/>
    <w:rsid w:val="00C42BE7"/>
    <w:rsid w:val="00C42C54"/>
    <w:rsid w:val="00C42CF7"/>
    <w:rsid w:val="00C42F0F"/>
    <w:rsid w:val="00C42FB7"/>
    <w:rsid w:val="00C43165"/>
    <w:rsid w:val="00C439C5"/>
    <w:rsid w:val="00C43A87"/>
    <w:rsid w:val="00C43CFE"/>
    <w:rsid w:val="00C43D04"/>
    <w:rsid w:val="00C44026"/>
    <w:rsid w:val="00C440AA"/>
    <w:rsid w:val="00C440DB"/>
    <w:rsid w:val="00C4421F"/>
    <w:rsid w:val="00C4439F"/>
    <w:rsid w:val="00C4493A"/>
    <w:rsid w:val="00C44995"/>
    <w:rsid w:val="00C44B6B"/>
    <w:rsid w:val="00C44CA9"/>
    <w:rsid w:val="00C44EF3"/>
    <w:rsid w:val="00C450B9"/>
    <w:rsid w:val="00C450D0"/>
    <w:rsid w:val="00C4537C"/>
    <w:rsid w:val="00C45385"/>
    <w:rsid w:val="00C4556F"/>
    <w:rsid w:val="00C45E20"/>
    <w:rsid w:val="00C45ED3"/>
    <w:rsid w:val="00C45F59"/>
    <w:rsid w:val="00C4604B"/>
    <w:rsid w:val="00C461AB"/>
    <w:rsid w:val="00C46269"/>
    <w:rsid w:val="00C463C6"/>
    <w:rsid w:val="00C465FC"/>
    <w:rsid w:val="00C46663"/>
    <w:rsid w:val="00C466A7"/>
    <w:rsid w:val="00C469D4"/>
    <w:rsid w:val="00C46B6D"/>
    <w:rsid w:val="00C46D9C"/>
    <w:rsid w:val="00C470AC"/>
    <w:rsid w:val="00C4718F"/>
    <w:rsid w:val="00C471D8"/>
    <w:rsid w:val="00C4735E"/>
    <w:rsid w:val="00C47385"/>
    <w:rsid w:val="00C479E0"/>
    <w:rsid w:val="00C47BF8"/>
    <w:rsid w:val="00C47C71"/>
    <w:rsid w:val="00C47D1A"/>
    <w:rsid w:val="00C47E26"/>
    <w:rsid w:val="00C47F92"/>
    <w:rsid w:val="00C500E0"/>
    <w:rsid w:val="00C50258"/>
    <w:rsid w:val="00C5029E"/>
    <w:rsid w:val="00C5044D"/>
    <w:rsid w:val="00C50483"/>
    <w:rsid w:val="00C5095B"/>
    <w:rsid w:val="00C50B25"/>
    <w:rsid w:val="00C50DD5"/>
    <w:rsid w:val="00C50E1D"/>
    <w:rsid w:val="00C514A8"/>
    <w:rsid w:val="00C51583"/>
    <w:rsid w:val="00C5164E"/>
    <w:rsid w:val="00C51768"/>
    <w:rsid w:val="00C51B1C"/>
    <w:rsid w:val="00C51CF6"/>
    <w:rsid w:val="00C51D03"/>
    <w:rsid w:val="00C51D57"/>
    <w:rsid w:val="00C51DE4"/>
    <w:rsid w:val="00C52001"/>
    <w:rsid w:val="00C52330"/>
    <w:rsid w:val="00C5245B"/>
    <w:rsid w:val="00C5257C"/>
    <w:rsid w:val="00C526B1"/>
    <w:rsid w:val="00C52705"/>
    <w:rsid w:val="00C52995"/>
    <w:rsid w:val="00C529A8"/>
    <w:rsid w:val="00C52B00"/>
    <w:rsid w:val="00C52E02"/>
    <w:rsid w:val="00C53232"/>
    <w:rsid w:val="00C537A2"/>
    <w:rsid w:val="00C53DCE"/>
    <w:rsid w:val="00C54026"/>
    <w:rsid w:val="00C540FB"/>
    <w:rsid w:val="00C541A5"/>
    <w:rsid w:val="00C542F8"/>
    <w:rsid w:val="00C54386"/>
    <w:rsid w:val="00C5445F"/>
    <w:rsid w:val="00C54598"/>
    <w:rsid w:val="00C54622"/>
    <w:rsid w:val="00C54721"/>
    <w:rsid w:val="00C54D61"/>
    <w:rsid w:val="00C54EBB"/>
    <w:rsid w:val="00C54FF2"/>
    <w:rsid w:val="00C55073"/>
    <w:rsid w:val="00C5519E"/>
    <w:rsid w:val="00C554C1"/>
    <w:rsid w:val="00C55557"/>
    <w:rsid w:val="00C5574E"/>
    <w:rsid w:val="00C55A40"/>
    <w:rsid w:val="00C55C7F"/>
    <w:rsid w:val="00C55CE9"/>
    <w:rsid w:val="00C55ED9"/>
    <w:rsid w:val="00C5609E"/>
    <w:rsid w:val="00C562A2"/>
    <w:rsid w:val="00C562BD"/>
    <w:rsid w:val="00C564A4"/>
    <w:rsid w:val="00C5659A"/>
    <w:rsid w:val="00C566C7"/>
    <w:rsid w:val="00C56711"/>
    <w:rsid w:val="00C56757"/>
    <w:rsid w:val="00C5692E"/>
    <w:rsid w:val="00C569AC"/>
    <w:rsid w:val="00C56A0E"/>
    <w:rsid w:val="00C56A7B"/>
    <w:rsid w:val="00C56B6F"/>
    <w:rsid w:val="00C56B9C"/>
    <w:rsid w:val="00C56BD4"/>
    <w:rsid w:val="00C56D0C"/>
    <w:rsid w:val="00C56E5E"/>
    <w:rsid w:val="00C56FAF"/>
    <w:rsid w:val="00C570C8"/>
    <w:rsid w:val="00C57208"/>
    <w:rsid w:val="00C57465"/>
    <w:rsid w:val="00C57518"/>
    <w:rsid w:val="00C57C07"/>
    <w:rsid w:val="00C57D51"/>
    <w:rsid w:val="00C57EAA"/>
    <w:rsid w:val="00C6007E"/>
    <w:rsid w:val="00C6044A"/>
    <w:rsid w:val="00C60538"/>
    <w:rsid w:val="00C605B6"/>
    <w:rsid w:val="00C60604"/>
    <w:rsid w:val="00C606C5"/>
    <w:rsid w:val="00C610E7"/>
    <w:rsid w:val="00C6113A"/>
    <w:rsid w:val="00C61713"/>
    <w:rsid w:val="00C618EB"/>
    <w:rsid w:val="00C61A07"/>
    <w:rsid w:val="00C61ADC"/>
    <w:rsid w:val="00C61BFD"/>
    <w:rsid w:val="00C61D2F"/>
    <w:rsid w:val="00C61E1C"/>
    <w:rsid w:val="00C61EFE"/>
    <w:rsid w:val="00C62030"/>
    <w:rsid w:val="00C62069"/>
    <w:rsid w:val="00C62073"/>
    <w:rsid w:val="00C62B8C"/>
    <w:rsid w:val="00C63046"/>
    <w:rsid w:val="00C6312F"/>
    <w:rsid w:val="00C63130"/>
    <w:rsid w:val="00C63B4C"/>
    <w:rsid w:val="00C63C55"/>
    <w:rsid w:val="00C63F7C"/>
    <w:rsid w:val="00C64267"/>
    <w:rsid w:val="00C64398"/>
    <w:rsid w:val="00C645F7"/>
    <w:rsid w:val="00C647DE"/>
    <w:rsid w:val="00C64972"/>
    <w:rsid w:val="00C64AF6"/>
    <w:rsid w:val="00C64EB2"/>
    <w:rsid w:val="00C6523C"/>
    <w:rsid w:val="00C65255"/>
    <w:rsid w:val="00C652E5"/>
    <w:rsid w:val="00C654EB"/>
    <w:rsid w:val="00C65553"/>
    <w:rsid w:val="00C655F2"/>
    <w:rsid w:val="00C657FE"/>
    <w:rsid w:val="00C6588B"/>
    <w:rsid w:val="00C65992"/>
    <w:rsid w:val="00C65B4C"/>
    <w:rsid w:val="00C65B61"/>
    <w:rsid w:val="00C65E10"/>
    <w:rsid w:val="00C66178"/>
    <w:rsid w:val="00C661C0"/>
    <w:rsid w:val="00C66216"/>
    <w:rsid w:val="00C66745"/>
    <w:rsid w:val="00C66893"/>
    <w:rsid w:val="00C66A04"/>
    <w:rsid w:val="00C66A87"/>
    <w:rsid w:val="00C66FAA"/>
    <w:rsid w:val="00C67102"/>
    <w:rsid w:val="00C672DD"/>
    <w:rsid w:val="00C67333"/>
    <w:rsid w:val="00C675A9"/>
    <w:rsid w:val="00C67819"/>
    <w:rsid w:val="00C67859"/>
    <w:rsid w:val="00C6792C"/>
    <w:rsid w:val="00C67A3F"/>
    <w:rsid w:val="00C67B65"/>
    <w:rsid w:val="00C67BC6"/>
    <w:rsid w:val="00C700A1"/>
    <w:rsid w:val="00C70155"/>
    <w:rsid w:val="00C70458"/>
    <w:rsid w:val="00C70519"/>
    <w:rsid w:val="00C7056E"/>
    <w:rsid w:val="00C7076B"/>
    <w:rsid w:val="00C70B30"/>
    <w:rsid w:val="00C70BD0"/>
    <w:rsid w:val="00C70BE4"/>
    <w:rsid w:val="00C70E4C"/>
    <w:rsid w:val="00C70E53"/>
    <w:rsid w:val="00C71123"/>
    <w:rsid w:val="00C711FB"/>
    <w:rsid w:val="00C7124B"/>
    <w:rsid w:val="00C712F7"/>
    <w:rsid w:val="00C71302"/>
    <w:rsid w:val="00C715D5"/>
    <w:rsid w:val="00C71694"/>
    <w:rsid w:val="00C71823"/>
    <w:rsid w:val="00C71854"/>
    <w:rsid w:val="00C7192F"/>
    <w:rsid w:val="00C71934"/>
    <w:rsid w:val="00C71AC6"/>
    <w:rsid w:val="00C71ADF"/>
    <w:rsid w:val="00C71B00"/>
    <w:rsid w:val="00C71B9A"/>
    <w:rsid w:val="00C71C58"/>
    <w:rsid w:val="00C71C84"/>
    <w:rsid w:val="00C71CDB"/>
    <w:rsid w:val="00C71DD3"/>
    <w:rsid w:val="00C7207C"/>
    <w:rsid w:val="00C7215B"/>
    <w:rsid w:val="00C7248B"/>
    <w:rsid w:val="00C72551"/>
    <w:rsid w:val="00C7275E"/>
    <w:rsid w:val="00C72884"/>
    <w:rsid w:val="00C72979"/>
    <w:rsid w:val="00C72BAA"/>
    <w:rsid w:val="00C72F2E"/>
    <w:rsid w:val="00C72FCB"/>
    <w:rsid w:val="00C72FCF"/>
    <w:rsid w:val="00C732AF"/>
    <w:rsid w:val="00C73523"/>
    <w:rsid w:val="00C735A5"/>
    <w:rsid w:val="00C7388D"/>
    <w:rsid w:val="00C7389C"/>
    <w:rsid w:val="00C73B4F"/>
    <w:rsid w:val="00C73D94"/>
    <w:rsid w:val="00C73E72"/>
    <w:rsid w:val="00C7405E"/>
    <w:rsid w:val="00C740FC"/>
    <w:rsid w:val="00C74265"/>
    <w:rsid w:val="00C7434F"/>
    <w:rsid w:val="00C74462"/>
    <w:rsid w:val="00C748A6"/>
    <w:rsid w:val="00C74AFA"/>
    <w:rsid w:val="00C74B3C"/>
    <w:rsid w:val="00C74DCD"/>
    <w:rsid w:val="00C74E2D"/>
    <w:rsid w:val="00C750BF"/>
    <w:rsid w:val="00C75176"/>
    <w:rsid w:val="00C75214"/>
    <w:rsid w:val="00C7527D"/>
    <w:rsid w:val="00C75433"/>
    <w:rsid w:val="00C7551A"/>
    <w:rsid w:val="00C75604"/>
    <w:rsid w:val="00C757E3"/>
    <w:rsid w:val="00C75865"/>
    <w:rsid w:val="00C759B1"/>
    <w:rsid w:val="00C75ABF"/>
    <w:rsid w:val="00C75BBC"/>
    <w:rsid w:val="00C75D1E"/>
    <w:rsid w:val="00C75DDB"/>
    <w:rsid w:val="00C75F92"/>
    <w:rsid w:val="00C762E9"/>
    <w:rsid w:val="00C764CE"/>
    <w:rsid w:val="00C76F94"/>
    <w:rsid w:val="00C76FD5"/>
    <w:rsid w:val="00C7719A"/>
    <w:rsid w:val="00C7730F"/>
    <w:rsid w:val="00C77393"/>
    <w:rsid w:val="00C776EE"/>
    <w:rsid w:val="00C77714"/>
    <w:rsid w:val="00C777C0"/>
    <w:rsid w:val="00C779DB"/>
    <w:rsid w:val="00C77AE1"/>
    <w:rsid w:val="00C77DD9"/>
    <w:rsid w:val="00C77F58"/>
    <w:rsid w:val="00C80044"/>
    <w:rsid w:val="00C80083"/>
    <w:rsid w:val="00C800E4"/>
    <w:rsid w:val="00C801B1"/>
    <w:rsid w:val="00C80203"/>
    <w:rsid w:val="00C8066E"/>
    <w:rsid w:val="00C8085C"/>
    <w:rsid w:val="00C80995"/>
    <w:rsid w:val="00C80CB5"/>
    <w:rsid w:val="00C80D7F"/>
    <w:rsid w:val="00C80DAA"/>
    <w:rsid w:val="00C80E77"/>
    <w:rsid w:val="00C8100D"/>
    <w:rsid w:val="00C81282"/>
    <w:rsid w:val="00C8138E"/>
    <w:rsid w:val="00C81529"/>
    <w:rsid w:val="00C81753"/>
    <w:rsid w:val="00C818B2"/>
    <w:rsid w:val="00C81BA6"/>
    <w:rsid w:val="00C81CEA"/>
    <w:rsid w:val="00C81E2A"/>
    <w:rsid w:val="00C8229F"/>
    <w:rsid w:val="00C8231B"/>
    <w:rsid w:val="00C82538"/>
    <w:rsid w:val="00C825ED"/>
    <w:rsid w:val="00C82964"/>
    <w:rsid w:val="00C82AB7"/>
    <w:rsid w:val="00C82CE2"/>
    <w:rsid w:val="00C8316A"/>
    <w:rsid w:val="00C833BD"/>
    <w:rsid w:val="00C834B7"/>
    <w:rsid w:val="00C834DB"/>
    <w:rsid w:val="00C83718"/>
    <w:rsid w:val="00C8377C"/>
    <w:rsid w:val="00C8384F"/>
    <w:rsid w:val="00C838DA"/>
    <w:rsid w:val="00C83BFF"/>
    <w:rsid w:val="00C83E6D"/>
    <w:rsid w:val="00C83F0D"/>
    <w:rsid w:val="00C84068"/>
    <w:rsid w:val="00C84906"/>
    <w:rsid w:val="00C84A05"/>
    <w:rsid w:val="00C84D1F"/>
    <w:rsid w:val="00C84DC8"/>
    <w:rsid w:val="00C84F86"/>
    <w:rsid w:val="00C8508B"/>
    <w:rsid w:val="00C851A5"/>
    <w:rsid w:val="00C851A7"/>
    <w:rsid w:val="00C8552C"/>
    <w:rsid w:val="00C85715"/>
    <w:rsid w:val="00C857C3"/>
    <w:rsid w:val="00C85913"/>
    <w:rsid w:val="00C85AF7"/>
    <w:rsid w:val="00C85CFB"/>
    <w:rsid w:val="00C85E9E"/>
    <w:rsid w:val="00C85EAC"/>
    <w:rsid w:val="00C86730"/>
    <w:rsid w:val="00C86C4F"/>
    <w:rsid w:val="00C87091"/>
    <w:rsid w:val="00C870B7"/>
    <w:rsid w:val="00C870CE"/>
    <w:rsid w:val="00C87704"/>
    <w:rsid w:val="00C877CD"/>
    <w:rsid w:val="00C87A4E"/>
    <w:rsid w:val="00C87B6B"/>
    <w:rsid w:val="00C900ED"/>
    <w:rsid w:val="00C90133"/>
    <w:rsid w:val="00C902E9"/>
    <w:rsid w:val="00C90305"/>
    <w:rsid w:val="00C9056E"/>
    <w:rsid w:val="00C90817"/>
    <w:rsid w:val="00C908B7"/>
    <w:rsid w:val="00C91117"/>
    <w:rsid w:val="00C912D2"/>
    <w:rsid w:val="00C913A4"/>
    <w:rsid w:val="00C913BB"/>
    <w:rsid w:val="00C914B0"/>
    <w:rsid w:val="00C91680"/>
    <w:rsid w:val="00C916CD"/>
    <w:rsid w:val="00C919E9"/>
    <w:rsid w:val="00C91A1A"/>
    <w:rsid w:val="00C91B49"/>
    <w:rsid w:val="00C91D81"/>
    <w:rsid w:val="00C91DEC"/>
    <w:rsid w:val="00C91E50"/>
    <w:rsid w:val="00C91FD0"/>
    <w:rsid w:val="00C92053"/>
    <w:rsid w:val="00C920B4"/>
    <w:rsid w:val="00C922E9"/>
    <w:rsid w:val="00C92448"/>
    <w:rsid w:val="00C92574"/>
    <w:rsid w:val="00C926F8"/>
    <w:rsid w:val="00C927E3"/>
    <w:rsid w:val="00C92990"/>
    <w:rsid w:val="00C92997"/>
    <w:rsid w:val="00C92A3B"/>
    <w:rsid w:val="00C92A42"/>
    <w:rsid w:val="00C92A91"/>
    <w:rsid w:val="00C92ABA"/>
    <w:rsid w:val="00C92E41"/>
    <w:rsid w:val="00C9305C"/>
    <w:rsid w:val="00C930C4"/>
    <w:rsid w:val="00C932D4"/>
    <w:rsid w:val="00C93361"/>
    <w:rsid w:val="00C9348C"/>
    <w:rsid w:val="00C9355D"/>
    <w:rsid w:val="00C93614"/>
    <w:rsid w:val="00C937A5"/>
    <w:rsid w:val="00C93C55"/>
    <w:rsid w:val="00C93DB4"/>
    <w:rsid w:val="00C93DD0"/>
    <w:rsid w:val="00C93F11"/>
    <w:rsid w:val="00C94050"/>
    <w:rsid w:val="00C946C0"/>
    <w:rsid w:val="00C94702"/>
    <w:rsid w:val="00C947C4"/>
    <w:rsid w:val="00C9498B"/>
    <w:rsid w:val="00C9498D"/>
    <w:rsid w:val="00C94A87"/>
    <w:rsid w:val="00C94B05"/>
    <w:rsid w:val="00C94B08"/>
    <w:rsid w:val="00C94B7B"/>
    <w:rsid w:val="00C94BD6"/>
    <w:rsid w:val="00C94C74"/>
    <w:rsid w:val="00C94CD0"/>
    <w:rsid w:val="00C94CE1"/>
    <w:rsid w:val="00C94FF2"/>
    <w:rsid w:val="00C9523C"/>
    <w:rsid w:val="00C95552"/>
    <w:rsid w:val="00C95599"/>
    <w:rsid w:val="00C95649"/>
    <w:rsid w:val="00C95758"/>
    <w:rsid w:val="00C959F6"/>
    <w:rsid w:val="00C95BC1"/>
    <w:rsid w:val="00C95D8C"/>
    <w:rsid w:val="00C95E2A"/>
    <w:rsid w:val="00C95F67"/>
    <w:rsid w:val="00C96182"/>
    <w:rsid w:val="00C966AD"/>
    <w:rsid w:val="00C967F9"/>
    <w:rsid w:val="00C969CA"/>
    <w:rsid w:val="00C96A0D"/>
    <w:rsid w:val="00C96C3E"/>
    <w:rsid w:val="00C96C4B"/>
    <w:rsid w:val="00C97151"/>
    <w:rsid w:val="00C9748C"/>
    <w:rsid w:val="00C975DE"/>
    <w:rsid w:val="00C9772C"/>
    <w:rsid w:val="00C9780D"/>
    <w:rsid w:val="00C97959"/>
    <w:rsid w:val="00C97CB0"/>
    <w:rsid w:val="00C97D29"/>
    <w:rsid w:val="00CA0510"/>
    <w:rsid w:val="00CA0537"/>
    <w:rsid w:val="00CA0662"/>
    <w:rsid w:val="00CA0680"/>
    <w:rsid w:val="00CA0947"/>
    <w:rsid w:val="00CA09AC"/>
    <w:rsid w:val="00CA0AB8"/>
    <w:rsid w:val="00CA0D48"/>
    <w:rsid w:val="00CA1298"/>
    <w:rsid w:val="00CA12E3"/>
    <w:rsid w:val="00CA1324"/>
    <w:rsid w:val="00CA1371"/>
    <w:rsid w:val="00CA15ED"/>
    <w:rsid w:val="00CA18F2"/>
    <w:rsid w:val="00CA1AD4"/>
    <w:rsid w:val="00CA1B76"/>
    <w:rsid w:val="00CA1D4D"/>
    <w:rsid w:val="00CA1E01"/>
    <w:rsid w:val="00CA1F57"/>
    <w:rsid w:val="00CA2483"/>
    <w:rsid w:val="00CA29EA"/>
    <w:rsid w:val="00CA2BBF"/>
    <w:rsid w:val="00CA2CD9"/>
    <w:rsid w:val="00CA2DA1"/>
    <w:rsid w:val="00CA2EC3"/>
    <w:rsid w:val="00CA313D"/>
    <w:rsid w:val="00CA31CC"/>
    <w:rsid w:val="00CA32D7"/>
    <w:rsid w:val="00CA33B9"/>
    <w:rsid w:val="00CA345D"/>
    <w:rsid w:val="00CA3589"/>
    <w:rsid w:val="00CA3D3D"/>
    <w:rsid w:val="00CA3F7A"/>
    <w:rsid w:val="00CA407D"/>
    <w:rsid w:val="00CA4103"/>
    <w:rsid w:val="00CA4164"/>
    <w:rsid w:val="00CA421A"/>
    <w:rsid w:val="00CA439A"/>
    <w:rsid w:val="00CA46E0"/>
    <w:rsid w:val="00CA4871"/>
    <w:rsid w:val="00CA49C5"/>
    <w:rsid w:val="00CA4A06"/>
    <w:rsid w:val="00CA4A45"/>
    <w:rsid w:val="00CA4A6A"/>
    <w:rsid w:val="00CA506B"/>
    <w:rsid w:val="00CA52B8"/>
    <w:rsid w:val="00CA52DA"/>
    <w:rsid w:val="00CA5340"/>
    <w:rsid w:val="00CA54EF"/>
    <w:rsid w:val="00CA5590"/>
    <w:rsid w:val="00CA571F"/>
    <w:rsid w:val="00CA5966"/>
    <w:rsid w:val="00CA59FC"/>
    <w:rsid w:val="00CA5F46"/>
    <w:rsid w:val="00CA5F97"/>
    <w:rsid w:val="00CA621A"/>
    <w:rsid w:val="00CA631E"/>
    <w:rsid w:val="00CA65D4"/>
    <w:rsid w:val="00CA663F"/>
    <w:rsid w:val="00CA6722"/>
    <w:rsid w:val="00CA6A91"/>
    <w:rsid w:val="00CA6BDD"/>
    <w:rsid w:val="00CA6D4E"/>
    <w:rsid w:val="00CA6E8E"/>
    <w:rsid w:val="00CA6F2D"/>
    <w:rsid w:val="00CA6F33"/>
    <w:rsid w:val="00CA712E"/>
    <w:rsid w:val="00CA7298"/>
    <w:rsid w:val="00CA73EF"/>
    <w:rsid w:val="00CA7653"/>
    <w:rsid w:val="00CA76F5"/>
    <w:rsid w:val="00CA7A85"/>
    <w:rsid w:val="00CA7B4B"/>
    <w:rsid w:val="00CB06B9"/>
    <w:rsid w:val="00CB0732"/>
    <w:rsid w:val="00CB0767"/>
    <w:rsid w:val="00CB0808"/>
    <w:rsid w:val="00CB0976"/>
    <w:rsid w:val="00CB0B13"/>
    <w:rsid w:val="00CB0D9F"/>
    <w:rsid w:val="00CB1046"/>
    <w:rsid w:val="00CB10B8"/>
    <w:rsid w:val="00CB114C"/>
    <w:rsid w:val="00CB1595"/>
    <w:rsid w:val="00CB16A4"/>
    <w:rsid w:val="00CB19DB"/>
    <w:rsid w:val="00CB1B1D"/>
    <w:rsid w:val="00CB1D94"/>
    <w:rsid w:val="00CB1DC9"/>
    <w:rsid w:val="00CB2615"/>
    <w:rsid w:val="00CB26A4"/>
    <w:rsid w:val="00CB2727"/>
    <w:rsid w:val="00CB2836"/>
    <w:rsid w:val="00CB291F"/>
    <w:rsid w:val="00CB2DB4"/>
    <w:rsid w:val="00CB2E22"/>
    <w:rsid w:val="00CB2E38"/>
    <w:rsid w:val="00CB2E6C"/>
    <w:rsid w:val="00CB2FC9"/>
    <w:rsid w:val="00CB3282"/>
    <w:rsid w:val="00CB36A8"/>
    <w:rsid w:val="00CB3996"/>
    <w:rsid w:val="00CB3D7A"/>
    <w:rsid w:val="00CB452A"/>
    <w:rsid w:val="00CB4697"/>
    <w:rsid w:val="00CB47BE"/>
    <w:rsid w:val="00CB47ED"/>
    <w:rsid w:val="00CB4A78"/>
    <w:rsid w:val="00CB5082"/>
    <w:rsid w:val="00CB5163"/>
    <w:rsid w:val="00CB57F4"/>
    <w:rsid w:val="00CB5A77"/>
    <w:rsid w:val="00CB5BEC"/>
    <w:rsid w:val="00CB5D43"/>
    <w:rsid w:val="00CB5EB8"/>
    <w:rsid w:val="00CB6402"/>
    <w:rsid w:val="00CB686D"/>
    <w:rsid w:val="00CB6F1C"/>
    <w:rsid w:val="00CB7021"/>
    <w:rsid w:val="00CB71C9"/>
    <w:rsid w:val="00CB72E1"/>
    <w:rsid w:val="00CB732C"/>
    <w:rsid w:val="00CB7447"/>
    <w:rsid w:val="00CB7468"/>
    <w:rsid w:val="00CB7579"/>
    <w:rsid w:val="00CB778E"/>
    <w:rsid w:val="00CB7977"/>
    <w:rsid w:val="00CB7A22"/>
    <w:rsid w:val="00CB7A29"/>
    <w:rsid w:val="00CB7B04"/>
    <w:rsid w:val="00CB7B59"/>
    <w:rsid w:val="00CB7BB6"/>
    <w:rsid w:val="00CB7BD0"/>
    <w:rsid w:val="00CB7F3C"/>
    <w:rsid w:val="00CB7FB9"/>
    <w:rsid w:val="00CB895E"/>
    <w:rsid w:val="00CC0387"/>
    <w:rsid w:val="00CC0393"/>
    <w:rsid w:val="00CC03CE"/>
    <w:rsid w:val="00CC05FA"/>
    <w:rsid w:val="00CC08DA"/>
    <w:rsid w:val="00CC0B35"/>
    <w:rsid w:val="00CC0ED7"/>
    <w:rsid w:val="00CC1270"/>
    <w:rsid w:val="00CC139A"/>
    <w:rsid w:val="00CC1420"/>
    <w:rsid w:val="00CC1527"/>
    <w:rsid w:val="00CC15EC"/>
    <w:rsid w:val="00CC16CD"/>
    <w:rsid w:val="00CC1701"/>
    <w:rsid w:val="00CC1B0A"/>
    <w:rsid w:val="00CC1C7A"/>
    <w:rsid w:val="00CC1D0B"/>
    <w:rsid w:val="00CC1D19"/>
    <w:rsid w:val="00CC1E06"/>
    <w:rsid w:val="00CC1E7A"/>
    <w:rsid w:val="00CC1F00"/>
    <w:rsid w:val="00CC2020"/>
    <w:rsid w:val="00CC2575"/>
    <w:rsid w:val="00CC26F0"/>
    <w:rsid w:val="00CC2777"/>
    <w:rsid w:val="00CC28AE"/>
    <w:rsid w:val="00CC2AEE"/>
    <w:rsid w:val="00CC2B1B"/>
    <w:rsid w:val="00CC2F26"/>
    <w:rsid w:val="00CC2F49"/>
    <w:rsid w:val="00CC308F"/>
    <w:rsid w:val="00CC3238"/>
    <w:rsid w:val="00CC3376"/>
    <w:rsid w:val="00CC3507"/>
    <w:rsid w:val="00CC3537"/>
    <w:rsid w:val="00CC3994"/>
    <w:rsid w:val="00CC3E87"/>
    <w:rsid w:val="00CC3F36"/>
    <w:rsid w:val="00CC3F6B"/>
    <w:rsid w:val="00CC40C6"/>
    <w:rsid w:val="00CC40EB"/>
    <w:rsid w:val="00CC417D"/>
    <w:rsid w:val="00CC435E"/>
    <w:rsid w:val="00CC44FC"/>
    <w:rsid w:val="00CC4767"/>
    <w:rsid w:val="00CC496D"/>
    <w:rsid w:val="00CC4ABE"/>
    <w:rsid w:val="00CC4E31"/>
    <w:rsid w:val="00CC4F64"/>
    <w:rsid w:val="00CC516B"/>
    <w:rsid w:val="00CC544F"/>
    <w:rsid w:val="00CC552E"/>
    <w:rsid w:val="00CC560A"/>
    <w:rsid w:val="00CC571D"/>
    <w:rsid w:val="00CC59DF"/>
    <w:rsid w:val="00CC5A64"/>
    <w:rsid w:val="00CC61BB"/>
    <w:rsid w:val="00CC629A"/>
    <w:rsid w:val="00CC64E1"/>
    <w:rsid w:val="00CC6577"/>
    <w:rsid w:val="00CC6658"/>
    <w:rsid w:val="00CC6B1F"/>
    <w:rsid w:val="00CC6D2D"/>
    <w:rsid w:val="00CC70DA"/>
    <w:rsid w:val="00CC7252"/>
    <w:rsid w:val="00CC7406"/>
    <w:rsid w:val="00CC7577"/>
    <w:rsid w:val="00CC77FE"/>
    <w:rsid w:val="00CC79AD"/>
    <w:rsid w:val="00CC7C0A"/>
    <w:rsid w:val="00CC7C80"/>
    <w:rsid w:val="00CC7D50"/>
    <w:rsid w:val="00CC7E28"/>
    <w:rsid w:val="00CC7F16"/>
    <w:rsid w:val="00CD0025"/>
    <w:rsid w:val="00CD0092"/>
    <w:rsid w:val="00CD0134"/>
    <w:rsid w:val="00CD04DA"/>
    <w:rsid w:val="00CD058C"/>
    <w:rsid w:val="00CD0681"/>
    <w:rsid w:val="00CD0E61"/>
    <w:rsid w:val="00CD0E6D"/>
    <w:rsid w:val="00CD0F68"/>
    <w:rsid w:val="00CD14E6"/>
    <w:rsid w:val="00CD1508"/>
    <w:rsid w:val="00CD1D6F"/>
    <w:rsid w:val="00CD1DF8"/>
    <w:rsid w:val="00CD1FB4"/>
    <w:rsid w:val="00CD2394"/>
    <w:rsid w:val="00CD252D"/>
    <w:rsid w:val="00CD274B"/>
    <w:rsid w:val="00CD286E"/>
    <w:rsid w:val="00CD2920"/>
    <w:rsid w:val="00CD292B"/>
    <w:rsid w:val="00CD299B"/>
    <w:rsid w:val="00CD2D8E"/>
    <w:rsid w:val="00CD2F0F"/>
    <w:rsid w:val="00CD2F6F"/>
    <w:rsid w:val="00CD308B"/>
    <w:rsid w:val="00CD30D7"/>
    <w:rsid w:val="00CD30E5"/>
    <w:rsid w:val="00CD3256"/>
    <w:rsid w:val="00CD326F"/>
    <w:rsid w:val="00CD340D"/>
    <w:rsid w:val="00CD3465"/>
    <w:rsid w:val="00CD352D"/>
    <w:rsid w:val="00CD361D"/>
    <w:rsid w:val="00CD36EE"/>
    <w:rsid w:val="00CD3975"/>
    <w:rsid w:val="00CD3A3E"/>
    <w:rsid w:val="00CD3B98"/>
    <w:rsid w:val="00CD3E14"/>
    <w:rsid w:val="00CD3F3C"/>
    <w:rsid w:val="00CD3F5C"/>
    <w:rsid w:val="00CD4096"/>
    <w:rsid w:val="00CD4161"/>
    <w:rsid w:val="00CD4216"/>
    <w:rsid w:val="00CD424E"/>
    <w:rsid w:val="00CD4270"/>
    <w:rsid w:val="00CD445D"/>
    <w:rsid w:val="00CD4594"/>
    <w:rsid w:val="00CD467A"/>
    <w:rsid w:val="00CD4958"/>
    <w:rsid w:val="00CD4B5C"/>
    <w:rsid w:val="00CD4C45"/>
    <w:rsid w:val="00CD4C46"/>
    <w:rsid w:val="00CD4FAB"/>
    <w:rsid w:val="00CD518C"/>
    <w:rsid w:val="00CD53F8"/>
    <w:rsid w:val="00CD5764"/>
    <w:rsid w:val="00CD5991"/>
    <w:rsid w:val="00CD5B47"/>
    <w:rsid w:val="00CD5BC7"/>
    <w:rsid w:val="00CD5E67"/>
    <w:rsid w:val="00CD5FAE"/>
    <w:rsid w:val="00CD602B"/>
    <w:rsid w:val="00CD61DA"/>
    <w:rsid w:val="00CD626C"/>
    <w:rsid w:val="00CD668E"/>
    <w:rsid w:val="00CD66E9"/>
    <w:rsid w:val="00CD6794"/>
    <w:rsid w:val="00CD7031"/>
    <w:rsid w:val="00CD71FB"/>
    <w:rsid w:val="00CD733F"/>
    <w:rsid w:val="00CD7A69"/>
    <w:rsid w:val="00CD7F20"/>
    <w:rsid w:val="00CE0318"/>
    <w:rsid w:val="00CE031E"/>
    <w:rsid w:val="00CE0333"/>
    <w:rsid w:val="00CE0596"/>
    <w:rsid w:val="00CE0942"/>
    <w:rsid w:val="00CE0A19"/>
    <w:rsid w:val="00CE0B8F"/>
    <w:rsid w:val="00CE0DCC"/>
    <w:rsid w:val="00CE0FE1"/>
    <w:rsid w:val="00CE107A"/>
    <w:rsid w:val="00CE1106"/>
    <w:rsid w:val="00CE1117"/>
    <w:rsid w:val="00CE119A"/>
    <w:rsid w:val="00CE1569"/>
    <w:rsid w:val="00CE15A4"/>
    <w:rsid w:val="00CE18D2"/>
    <w:rsid w:val="00CE19AF"/>
    <w:rsid w:val="00CE1A86"/>
    <w:rsid w:val="00CE1BE5"/>
    <w:rsid w:val="00CE1C00"/>
    <w:rsid w:val="00CE203A"/>
    <w:rsid w:val="00CE2368"/>
    <w:rsid w:val="00CE2391"/>
    <w:rsid w:val="00CE2409"/>
    <w:rsid w:val="00CE2451"/>
    <w:rsid w:val="00CE2B09"/>
    <w:rsid w:val="00CE2B17"/>
    <w:rsid w:val="00CE2F4B"/>
    <w:rsid w:val="00CE2F66"/>
    <w:rsid w:val="00CE2F77"/>
    <w:rsid w:val="00CE3179"/>
    <w:rsid w:val="00CE31EC"/>
    <w:rsid w:val="00CE343E"/>
    <w:rsid w:val="00CE3488"/>
    <w:rsid w:val="00CE36AD"/>
    <w:rsid w:val="00CE3937"/>
    <w:rsid w:val="00CE3B84"/>
    <w:rsid w:val="00CE3E45"/>
    <w:rsid w:val="00CE439A"/>
    <w:rsid w:val="00CE4411"/>
    <w:rsid w:val="00CE4438"/>
    <w:rsid w:val="00CE4813"/>
    <w:rsid w:val="00CE4BA1"/>
    <w:rsid w:val="00CE4D63"/>
    <w:rsid w:val="00CE4E41"/>
    <w:rsid w:val="00CE4EB6"/>
    <w:rsid w:val="00CE4EBD"/>
    <w:rsid w:val="00CE4F44"/>
    <w:rsid w:val="00CE4F9F"/>
    <w:rsid w:val="00CE50E3"/>
    <w:rsid w:val="00CE5148"/>
    <w:rsid w:val="00CE54DB"/>
    <w:rsid w:val="00CE54F2"/>
    <w:rsid w:val="00CE5565"/>
    <w:rsid w:val="00CE5A85"/>
    <w:rsid w:val="00CE5D3B"/>
    <w:rsid w:val="00CE6171"/>
    <w:rsid w:val="00CE6805"/>
    <w:rsid w:val="00CE68CA"/>
    <w:rsid w:val="00CE6C2F"/>
    <w:rsid w:val="00CE6D59"/>
    <w:rsid w:val="00CE6EE3"/>
    <w:rsid w:val="00CE7233"/>
    <w:rsid w:val="00CE763B"/>
    <w:rsid w:val="00CE76A2"/>
    <w:rsid w:val="00CE790B"/>
    <w:rsid w:val="00CE7B65"/>
    <w:rsid w:val="00CE7CA5"/>
    <w:rsid w:val="00CE7F0D"/>
    <w:rsid w:val="00CE7F2E"/>
    <w:rsid w:val="00CF055C"/>
    <w:rsid w:val="00CF0636"/>
    <w:rsid w:val="00CF07E9"/>
    <w:rsid w:val="00CF0869"/>
    <w:rsid w:val="00CF08BD"/>
    <w:rsid w:val="00CF0C0B"/>
    <w:rsid w:val="00CF0C44"/>
    <w:rsid w:val="00CF1034"/>
    <w:rsid w:val="00CF1181"/>
    <w:rsid w:val="00CF123A"/>
    <w:rsid w:val="00CF1511"/>
    <w:rsid w:val="00CF155A"/>
    <w:rsid w:val="00CF1853"/>
    <w:rsid w:val="00CF19E5"/>
    <w:rsid w:val="00CF1A5E"/>
    <w:rsid w:val="00CF1D2D"/>
    <w:rsid w:val="00CF1D54"/>
    <w:rsid w:val="00CF1D81"/>
    <w:rsid w:val="00CF1EE4"/>
    <w:rsid w:val="00CF23D0"/>
    <w:rsid w:val="00CF2502"/>
    <w:rsid w:val="00CF2765"/>
    <w:rsid w:val="00CF2996"/>
    <w:rsid w:val="00CF2B19"/>
    <w:rsid w:val="00CF2BDC"/>
    <w:rsid w:val="00CF2DC9"/>
    <w:rsid w:val="00CF31B5"/>
    <w:rsid w:val="00CF3378"/>
    <w:rsid w:val="00CF3634"/>
    <w:rsid w:val="00CF3CF9"/>
    <w:rsid w:val="00CF4621"/>
    <w:rsid w:val="00CF46C3"/>
    <w:rsid w:val="00CF46C8"/>
    <w:rsid w:val="00CF4777"/>
    <w:rsid w:val="00CF48DA"/>
    <w:rsid w:val="00CF4B3F"/>
    <w:rsid w:val="00CF5011"/>
    <w:rsid w:val="00CF5070"/>
    <w:rsid w:val="00CF50AE"/>
    <w:rsid w:val="00CF50D7"/>
    <w:rsid w:val="00CF5287"/>
    <w:rsid w:val="00CF54B2"/>
    <w:rsid w:val="00CF564A"/>
    <w:rsid w:val="00CF5652"/>
    <w:rsid w:val="00CF573D"/>
    <w:rsid w:val="00CF59B9"/>
    <w:rsid w:val="00CF5A45"/>
    <w:rsid w:val="00CF5B41"/>
    <w:rsid w:val="00CF5E98"/>
    <w:rsid w:val="00CF5EC8"/>
    <w:rsid w:val="00CF5F86"/>
    <w:rsid w:val="00CF5F9E"/>
    <w:rsid w:val="00CF6134"/>
    <w:rsid w:val="00CF6221"/>
    <w:rsid w:val="00CF6235"/>
    <w:rsid w:val="00CF62C0"/>
    <w:rsid w:val="00CF6441"/>
    <w:rsid w:val="00CF66B3"/>
    <w:rsid w:val="00CF6794"/>
    <w:rsid w:val="00CF67F8"/>
    <w:rsid w:val="00CF685F"/>
    <w:rsid w:val="00CF689E"/>
    <w:rsid w:val="00CF6A04"/>
    <w:rsid w:val="00CF6A2E"/>
    <w:rsid w:val="00CF6B0B"/>
    <w:rsid w:val="00CF6CAF"/>
    <w:rsid w:val="00CF6CE1"/>
    <w:rsid w:val="00CF6CEC"/>
    <w:rsid w:val="00CF6FE8"/>
    <w:rsid w:val="00CF7208"/>
    <w:rsid w:val="00CF7532"/>
    <w:rsid w:val="00CF7955"/>
    <w:rsid w:val="00CF7A0D"/>
    <w:rsid w:val="00CF7BD7"/>
    <w:rsid w:val="00CF7CB6"/>
    <w:rsid w:val="00CF7F1C"/>
    <w:rsid w:val="00CF7F27"/>
    <w:rsid w:val="00CF7F40"/>
    <w:rsid w:val="00D0008C"/>
    <w:rsid w:val="00D001ED"/>
    <w:rsid w:val="00D001F2"/>
    <w:rsid w:val="00D00215"/>
    <w:rsid w:val="00D002E7"/>
    <w:rsid w:val="00D002F8"/>
    <w:rsid w:val="00D0055A"/>
    <w:rsid w:val="00D00C28"/>
    <w:rsid w:val="00D00EC1"/>
    <w:rsid w:val="00D00EC3"/>
    <w:rsid w:val="00D00F2B"/>
    <w:rsid w:val="00D00F84"/>
    <w:rsid w:val="00D01262"/>
    <w:rsid w:val="00D013CA"/>
    <w:rsid w:val="00D01821"/>
    <w:rsid w:val="00D019D9"/>
    <w:rsid w:val="00D01A1F"/>
    <w:rsid w:val="00D01CD9"/>
    <w:rsid w:val="00D01DB0"/>
    <w:rsid w:val="00D01F98"/>
    <w:rsid w:val="00D021AE"/>
    <w:rsid w:val="00D022FF"/>
    <w:rsid w:val="00D02416"/>
    <w:rsid w:val="00D0243B"/>
    <w:rsid w:val="00D026E1"/>
    <w:rsid w:val="00D026E5"/>
    <w:rsid w:val="00D027A0"/>
    <w:rsid w:val="00D027CA"/>
    <w:rsid w:val="00D02875"/>
    <w:rsid w:val="00D02A22"/>
    <w:rsid w:val="00D02A67"/>
    <w:rsid w:val="00D02D0F"/>
    <w:rsid w:val="00D02DB6"/>
    <w:rsid w:val="00D030BC"/>
    <w:rsid w:val="00D031C1"/>
    <w:rsid w:val="00D0344C"/>
    <w:rsid w:val="00D0362C"/>
    <w:rsid w:val="00D03CAF"/>
    <w:rsid w:val="00D03D13"/>
    <w:rsid w:val="00D04014"/>
    <w:rsid w:val="00D04114"/>
    <w:rsid w:val="00D043A8"/>
    <w:rsid w:val="00D0452D"/>
    <w:rsid w:val="00D04664"/>
    <w:rsid w:val="00D04771"/>
    <w:rsid w:val="00D0479E"/>
    <w:rsid w:val="00D04D8F"/>
    <w:rsid w:val="00D05082"/>
    <w:rsid w:val="00D055F5"/>
    <w:rsid w:val="00D05AB4"/>
    <w:rsid w:val="00D05D20"/>
    <w:rsid w:val="00D06231"/>
    <w:rsid w:val="00D0640B"/>
    <w:rsid w:val="00D06418"/>
    <w:rsid w:val="00D06490"/>
    <w:rsid w:val="00D065E1"/>
    <w:rsid w:val="00D065F1"/>
    <w:rsid w:val="00D0669A"/>
    <w:rsid w:val="00D0681B"/>
    <w:rsid w:val="00D06DA5"/>
    <w:rsid w:val="00D06E0A"/>
    <w:rsid w:val="00D070DE"/>
    <w:rsid w:val="00D07A67"/>
    <w:rsid w:val="00D07B05"/>
    <w:rsid w:val="00D07C1A"/>
    <w:rsid w:val="00D07DB3"/>
    <w:rsid w:val="00D07E51"/>
    <w:rsid w:val="00D100AC"/>
    <w:rsid w:val="00D10396"/>
    <w:rsid w:val="00D103D2"/>
    <w:rsid w:val="00D109BB"/>
    <w:rsid w:val="00D10AE0"/>
    <w:rsid w:val="00D10B22"/>
    <w:rsid w:val="00D10DAE"/>
    <w:rsid w:val="00D10E9E"/>
    <w:rsid w:val="00D110A8"/>
    <w:rsid w:val="00D110BF"/>
    <w:rsid w:val="00D111C6"/>
    <w:rsid w:val="00D11392"/>
    <w:rsid w:val="00D113E7"/>
    <w:rsid w:val="00D117D1"/>
    <w:rsid w:val="00D118C8"/>
    <w:rsid w:val="00D11F10"/>
    <w:rsid w:val="00D12298"/>
    <w:rsid w:val="00D122AA"/>
    <w:rsid w:val="00D124AA"/>
    <w:rsid w:val="00D128FA"/>
    <w:rsid w:val="00D12903"/>
    <w:rsid w:val="00D12A32"/>
    <w:rsid w:val="00D12C58"/>
    <w:rsid w:val="00D12C91"/>
    <w:rsid w:val="00D130F8"/>
    <w:rsid w:val="00D13435"/>
    <w:rsid w:val="00D1354C"/>
    <w:rsid w:val="00D13573"/>
    <w:rsid w:val="00D13691"/>
    <w:rsid w:val="00D1395D"/>
    <w:rsid w:val="00D139F7"/>
    <w:rsid w:val="00D13C1C"/>
    <w:rsid w:val="00D13E3A"/>
    <w:rsid w:val="00D1400C"/>
    <w:rsid w:val="00D140BE"/>
    <w:rsid w:val="00D1428F"/>
    <w:rsid w:val="00D14D29"/>
    <w:rsid w:val="00D14DE4"/>
    <w:rsid w:val="00D14EC7"/>
    <w:rsid w:val="00D14F81"/>
    <w:rsid w:val="00D15640"/>
    <w:rsid w:val="00D15936"/>
    <w:rsid w:val="00D15C51"/>
    <w:rsid w:val="00D15EF9"/>
    <w:rsid w:val="00D161CF"/>
    <w:rsid w:val="00D16426"/>
    <w:rsid w:val="00D164E9"/>
    <w:rsid w:val="00D164FD"/>
    <w:rsid w:val="00D16544"/>
    <w:rsid w:val="00D16736"/>
    <w:rsid w:val="00D1682B"/>
    <w:rsid w:val="00D169BC"/>
    <w:rsid w:val="00D16B71"/>
    <w:rsid w:val="00D16EA9"/>
    <w:rsid w:val="00D16EEC"/>
    <w:rsid w:val="00D17164"/>
    <w:rsid w:val="00D171E0"/>
    <w:rsid w:val="00D171F5"/>
    <w:rsid w:val="00D17214"/>
    <w:rsid w:val="00D1723E"/>
    <w:rsid w:val="00D174B7"/>
    <w:rsid w:val="00D1764F"/>
    <w:rsid w:val="00D1777F"/>
    <w:rsid w:val="00D177F9"/>
    <w:rsid w:val="00D17BD9"/>
    <w:rsid w:val="00D17DE8"/>
    <w:rsid w:val="00D17EE1"/>
    <w:rsid w:val="00D17F4E"/>
    <w:rsid w:val="00D200FE"/>
    <w:rsid w:val="00D2010E"/>
    <w:rsid w:val="00D203F5"/>
    <w:rsid w:val="00D20660"/>
    <w:rsid w:val="00D2099F"/>
    <w:rsid w:val="00D20B6F"/>
    <w:rsid w:val="00D20B8A"/>
    <w:rsid w:val="00D20CBC"/>
    <w:rsid w:val="00D20E74"/>
    <w:rsid w:val="00D20F05"/>
    <w:rsid w:val="00D2110C"/>
    <w:rsid w:val="00D2111C"/>
    <w:rsid w:val="00D21312"/>
    <w:rsid w:val="00D2174B"/>
    <w:rsid w:val="00D21772"/>
    <w:rsid w:val="00D2177F"/>
    <w:rsid w:val="00D21949"/>
    <w:rsid w:val="00D21BEE"/>
    <w:rsid w:val="00D21C46"/>
    <w:rsid w:val="00D2213A"/>
    <w:rsid w:val="00D2214C"/>
    <w:rsid w:val="00D229D1"/>
    <w:rsid w:val="00D22A13"/>
    <w:rsid w:val="00D22BF4"/>
    <w:rsid w:val="00D22C5A"/>
    <w:rsid w:val="00D22F18"/>
    <w:rsid w:val="00D22F6C"/>
    <w:rsid w:val="00D23235"/>
    <w:rsid w:val="00D23289"/>
    <w:rsid w:val="00D235EC"/>
    <w:rsid w:val="00D23614"/>
    <w:rsid w:val="00D239DF"/>
    <w:rsid w:val="00D23AF5"/>
    <w:rsid w:val="00D23BB9"/>
    <w:rsid w:val="00D23BC9"/>
    <w:rsid w:val="00D23E43"/>
    <w:rsid w:val="00D23E80"/>
    <w:rsid w:val="00D240E2"/>
    <w:rsid w:val="00D2436E"/>
    <w:rsid w:val="00D24407"/>
    <w:rsid w:val="00D24972"/>
    <w:rsid w:val="00D24D21"/>
    <w:rsid w:val="00D24E3C"/>
    <w:rsid w:val="00D251E5"/>
    <w:rsid w:val="00D251FA"/>
    <w:rsid w:val="00D25376"/>
    <w:rsid w:val="00D254E9"/>
    <w:rsid w:val="00D25C9B"/>
    <w:rsid w:val="00D25CCD"/>
    <w:rsid w:val="00D25F30"/>
    <w:rsid w:val="00D25F6B"/>
    <w:rsid w:val="00D26376"/>
    <w:rsid w:val="00D267B9"/>
    <w:rsid w:val="00D268AC"/>
    <w:rsid w:val="00D26CF3"/>
    <w:rsid w:val="00D272CA"/>
    <w:rsid w:val="00D275D3"/>
    <w:rsid w:val="00D27855"/>
    <w:rsid w:val="00D2792F"/>
    <w:rsid w:val="00D27A9B"/>
    <w:rsid w:val="00D27C79"/>
    <w:rsid w:val="00D27F27"/>
    <w:rsid w:val="00D27FA0"/>
    <w:rsid w:val="00D3012F"/>
    <w:rsid w:val="00D301D5"/>
    <w:rsid w:val="00D30663"/>
    <w:rsid w:val="00D30808"/>
    <w:rsid w:val="00D30EC3"/>
    <w:rsid w:val="00D30F36"/>
    <w:rsid w:val="00D310E4"/>
    <w:rsid w:val="00D311AB"/>
    <w:rsid w:val="00D3132C"/>
    <w:rsid w:val="00D31346"/>
    <w:rsid w:val="00D3139E"/>
    <w:rsid w:val="00D3162E"/>
    <w:rsid w:val="00D3166D"/>
    <w:rsid w:val="00D316EC"/>
    <w:rsid w:val="00D317F0"/>
    <w:rsid w:val="00D31DBB"/>
    <w:rsid w:val="00D31EFE"/>
    <w:rsid w:val="00D31F4D"/>
    <w:rsid w:val="00D320B7"/>
    <w:rsid w:val="00D3219A"/>
    <w:rsid w:val="00D322CE"/>
    <w:rsid w:val="00D325A8"/>
    <w:rsid w:val="00D326D9"/>
    <w:rsid w:val="00D32BDC"/>
    <w:rsid w:val="00D32D5A"/>
    <w:rsid w:val="00D32DC4"/>
    <w:rsid w:val="00D32DC6"/>
    <w:rsid w:val="00D32F4C"/>
    <w:rsid w:val="00D330F7"/>
    <w:rsid w:val="00D33228"/>
    <w:rsid w:val="00D3324B"/>
    <w:rsid w:val="00D332E7"/>
    <w:rsid w:val="00D336F6"/>
    <w:rsid w:val="00D3383A"/>
    <w:rsid w:val="00D33A54"/>
    <w:rsid w:val="00D33A92"/>
    <w:rsid w:val="00D33C48"/>
    <w:rsid w:val="00D33CC0"/>
    <w:rsid w:val="00D3411D"/>
    <w:rsid w:val="00D341DF"/>
    <w:rsid w:val="00D3426A"/>
    <w:rsid w:val="00D34559"/>
    <w:rsid w:val="00D3464E"/>
    <w:rsid w:val="00D346DE"/>
    <w:rsid w:val="00D3475E"/>
    <w:rsid w:val="00D348BB"/>
    <w:rsid w:val="00D34AD4"/>
    <w:rsid w:val="00D34AE2"/>
    <w:rsid w:val="00D34C69"/>
    <w:rsid w:val="00D34C85"/>
    <w:rsid w:val="00D34D0F"/>
    <w:rsid w:val="00D35039"/>
    <w:rsid w:val="00D351BD"/>
    <w:rsid w:val="00D351EC"/>
    <w:rsid w:val="00D354CE"/>
    <w:rsid w:val="00D35537"/>
    <w:rsid w:val="00D356B5"/>
    <w:rsid w:val="00D35F3C"/>
    <w:rsid w:val="00D35FED"/>
    <w:rsid w:val="00D36161"/>
    <w:rsid w:val="00D363E6"/>
    <w:rsid w:val="00D369A7"/>
    <w:rsid w:val="00D369E8"/>
    <w:rsid w:val="00D36EF4"/>
    <w:rsid w:val="00D3715D"/>
    <w:rsid w:val="00D3739C"/>
    <w:rsid w:val="00D37737"/>
    <w:rsid w:val="00D37A94"/>
    <w:rsid w:val="00D37BBA"/>
    <w:rsid w:val="00D37BD5"/>
    <w:rsid w:val="00D37E38"/>
    <w:rsid w:val="00D400B0"/>
    <w:rsid w:val="00D40379"/>
    <w:rsid w:val="00D40630"/>
    <w:rsid w:val="00D40744"/>
    <w:rsid w:val="00D408B9"/>
    <w:rsid w:val="00D40950"/>
    <w:rsid w:val="00D40C2B"/>
    <w:rsid w:val="00D4105F"/>
    <w:rsid w:val="00D411EB"/>
    <w:rsid w:val="00D41283"/>
    <w:rsid w:val="00D4146E"/>
    <w:rsid w:val="00D41602"/>
    <w:rsid w:val="00D41649"/>
    <w:rsid w:val="00D417D5"/>
    <w:rsid w:val="00D419B6"/>
    <w:rsid w:val="00D41A26"/>
    <w:rsid w:val="00D41ADF"/>
    <w:rsid w:val="00D41C90"/>
    <w:rsid w:val="00D41DFE"/>
    <w:rsid w:val="00D41E77"/>
    <w:rsid w:val="00D4211F"/>
    <w:rsid w:val="00D421FB"/>
    <w:rsid w:val="00D42270"/>
    <w:rsid w:val="00D42382"/>
    <w:rsid w:val="00D425D7"/>
    <w:rsid w:val="00D425DD"/>
    <w:rsid w:val="00D4273B"/>
    <w:rsid w:val="00D42743"/>
    <w:rsid w:val="00D42843"/>
    <w:rsid w:val="00D42CAF"/>
    <w:rsid w:val="00D42CE5"/>
    <w:rsid w:val="00D42E91"/>
    <w:rsid w:val="00D430E2"/>
    <w:rsid w:val="00D43438"/>
    <w:rsid w:val="00D434E4"/>
    <w:rsid w:val="00D437AF"/>
    <w:rsid w:val="00D437B0"/>
    <w:rsid w:val="00D437C5"/>
    <w:rsid w:val="00D43A79"/>
    <w:rsid w:val="00D43ABF"/>
    <w:rsid w:val="00D43B5C"/>
    <w:rsid w:val="00D43D31"/>
    <w:rsid w:val="00D44152"/>
    <w:rsid w:val="00D442AD"/>
    <w:rsid w:val="00D44523"/>
    <w:rsid w:val="00D446DF"/>
    <w:rsid w:val="00D44795"/>
    <w:rsid w:val="00D449CD"/>
    <w:rsid w:val="00D44A83"/>
    <w:rsid w:val="00D44DDB"/>
    <w:rsid w:val="00D44EDC"/>
    <w:rsid w:val="00D44F83"/>
    <w:rsid w:val="00D4532E"/>
    <w:rsid w:val="00D45499"/>
    <w:rsid w:val="00D4552E"/>
    <w:rsid w:val="00D45612"/>
    <w:rsid w:val="00D45866"/>
    <w:rsid w:val="00D45A1C"/>
    <w:rsid w:val="00D45A27"/>
    <w:rsid w:val="00D45D52"/>
    <w:rsid w:val="00D45DE0"/>
    <w:rsid w:val="00D45E6A"/>
    <w:rsid w:val="00D46028"/>
    <w:rsid w:val="00D46087"/>
    <w:rsid w:val="00D46979"/>
    <w:rsid w:val="00D469F8"/>
    <w:rsid w:val="00D46AE1"/>
    <w:rsid w:val="00D46CD8"/>
    <w:rsid w:val="00D47355"/>
    <w:rsid w:val="00D4748B"/>
    <w:rsid w:val="00D474CE"/>
    <w:rsid w:val="00D474D0"/>
    <w:rsid w:val="00D4754C"/>
    <w:rsid w:val="00D4795F"/>
    <w:rsid w:val="00D47E53"/>
    <w:rsid w:val="00D50033"/>
    <w:rsid w:val="00D501BB"/>
    <w:rsid w:val="00D50627"/>
    <w:rsid w:val="00D50732"/>
    <w:rsid w:val="00D508D4"/>
    <w:rsid w:val="00D50B9C"/>
    <w:rsid w:val="00D50DBB"/>
    <w:rsid w:val="00D511C4"/>
    <w:rsid w:val="00D51346"/>
    <w:rsid w:val="00D51386"/>
    <w:rsid w:val="00D51412"/>
    <w:rsid w:val="00D51675"/>
    <w:rsid w:val="00D5180D"/>
    <w:rsid w:val="00D51944"/>
    <w:rsid w:val="00D51B79"/>
    <w:rsid w:val="00D51BC9"/>
    <w:rsid w:val="00D51C1C"/>
    <w:rsid w:val="00D51CCE"/>
    <w:rsid w:val="00D51F61"/>
    <w:rsid w:val="00D52030"/>
    <w:rsid w:val="00D52033"/>
    <w:rsid w:val="00D52421"/>
    <w:rsid w:val="00D5254B"/>
    <w:rsid w:val="00D526F0"/>
    <w:rsid w:val="00D5270D"/>
    <w:rsid w:val="00D5274D"/>
    <w:rsid w:val="00D52917"/>
    <w:rsid w:val="00D52918"/>
    <w:rsid w:val="00D52B5F"/>
    <w:rsid w:val="00D52FFF"/>
    <w:rsid w:val="00D5306A"/>
    <w:rsid w:val="00D532A8"/>
    <w:rsid w:val="00D534E6"/>
    <w:rsid w:val="00D53547"/>
    <w:rsid w:val="00D53691"/>
    <w:rsid w:val="00D53A12"/>
    <w:rsid w:val="00D53A25"/>
    <w:rsid w:val="00D53A38"/>
    <w:rsid w:val="00D53F7E"/>
    <w:rsid w:val="00D540A3"/>
    <w:rsid w:val="00D5419D"/>
    <w:rsid w:val="00D5437C"/>
    <w:rsid w:val="00D54919"/>
    <w:rsid w:val="00D54C9F"/>
    <w:rsid w:val="00D54CE6"/>
    <w:rsid w:val="00D54ED0"/>
    <w:rsid w:val="00D5529C"/>
    <w:rsid w:val="00D552A9"/>
    <w:rsid w:val="00D552BB"/>
    <w:rsid w:val="00D55381"/>
    <w:rsid w:val="00D553F2"/>
    <w:rsid w:val="00D5562E"/>
    <w:rsid w:val="00D55654"/>
    <w:rsid w:val="00D556FB"/>
    <w:rsid w:val="00D55826"/>
    <w:rsid w:val="00D55959"/>
    <w:rsid w:val="00D55B06"/>
    <w:rsid w:val="00D55CB9"/>
    <w:rsid w:val="00D55D85"/>
    <w:rsid w:val="00D55E74"/>
    <w:rsid w:val="00D55F25"/>
    <w:rsid w:val="00D56058"/>
    <w:rsid w:val="00D5618A"/>
    <w:rsid w:val="00D56240"/>
    <w:rsid w:val="00D56611"/>
    <w:rsid w:val="00D567C3"/>
    <w:rsid w:val="00D56A6A"/>
    <w:rsid w:val="00D56DB0"/>
    <w:rsid w:val="00D56E6C"/>
    <w:rsid w:val="00D56F7D"/>
    <w:rsid w:val="00D5723F"/>
    <w:rsid w:val="00D57318"/>
    <w:rsid w:val="00D573D6"/>
    <w:rsid w:val="00D575FF"/>
    <w:rsid w:val="00D576BD"/>
    <w:rsid w:val="00D576E6"/>
    <w:rsid w:val="00D5784B"/>
    <w:rsid w:val="00D57E65"/>
    <w:rsid w:val="00D60281"/>
    <w:rsid w:val="00D60343"/>
    <w:rsid w:val="00D60BED"/>
    <w:rsid w:val="00D60C4C"/>
    <w:rsid w:val="00D61574"/>
    <w:rsid w:val="00D61804"/>
    <w:rsid w:val="00D61B87"/>
    <w:rsid w:val="00D6215E"/>
    <w:rsid w:val="00D6219B"/>
    <w:rsid w:val="00D62285"/>
    <w:rsid w:val="00D62297"/>
    <w:rsid w:val="00D62383"/>
    <w:rsid w:val="00D624C2"/>
    <w:rsid w:val="00D62519"/>
    <w:rsid w:val="00D625EC"/>
    <w:rsid w:val="00D62A12"/>
    <w:rsid w:val="00D62ED7"/>
    <w:rsid w:val="00D62F1A"/>
    <w:rsid w:val="00D630E5"/>
    <w:rsid w:val="00D6325A"/>
    <w:rsid w:val="00D633ED"/>
    <w:rsid w:val="00D63552"/>
    <w:rsid w:val="00D635F6"/>
    <w:rsid w:val="00D636AA"/>
    <w:rsid w:val="00D638CC"/>
    <w:rsid w:val="00D63A5B"/>
    <w:rsid w:val="00D63ACE"/>
    <w:rsid w:val="00D63ECA"/>
    <w:rsid w:val="00D63EFB"/>
    <w:rsid w:val="00D63F92"/>
    <w:rsid w:val="00D64251"/>
    <w:rsid w:val="00D6453C"/>
    <w:rsid w:val="00D6488E"/>
    <w:rsid w:val="00D648FB"/>
    <w:rsid w:val="00D6491A"/>
    <w:rsid w:val="00D64A51"/>
    <w:rsid w:val="00D64AFD"/>
    <w:rsid w:val="00D64B14"/>
    <w:rsid w:val="00D64D38"/>
    <w:rsid w:val="00D64D94"/>
    <w:rsid w:val="00D64E86"/>
    <w:rsid w:val="00D6531D"/>
    <w:rsid w:val="00D6537D"/>
    <w:rsid w:val="00D65886"/>
    <w:rsid w:val="00D658AF"/>
    <w:rsid w:val="00D659DF"/>
    <w:rsid w:val="00D65A7E"/>
    <w:rsid w:val="00D65D69"/>
    <w:rsid w:val="00D65FC0"/>
    <w:rsid w:val="00D660A7"/>
    <w:rsid w:val="00D6635A"/>
    <w:rsid w:val="00D66421"/>
    <w:rsid w:val="00D664E5"/>
    <w:rsid w:val="00D665F6"/>
    <w:rsid w:val="00D667AF"/>
    <w:rsid w:val="00D6684D"/>
    <w:rsid w:val="00D66C88"/>
    <w:rsid w:val="00D66DF9"/>
    <w:rsid w:val="00D66E90"/>
    <w:rsid w:val="00D672B6"/>
    <w:rsid w:val="00D676B1"/>
    <w:rsid w:val="00D67A50"/>
    <w:rsid w:val="00D67DE6"/>
    <w:rsid w:val="00D67E99"/>
    <w:rsid w:val="00D67ECB"/>
    <w:rsid w:val="00D67EE2"/>
    <w:rsid w:val="00D67F14"/>
    <w:rsid w:val="00D67F95"/>
    <w:rsid w:val="00D701C7"/>
    <w:rsid w:val="00D70369"/>
    <w:rsid w:val="00D70547"/>
    <w:rsid w:val="00D708BC"/>
    <w:rsid w:val="00D709F7"/>
    <w:rsid w:val="00D709FE"/>
    <w:rsid w:val="00D70A9C"/>
    <w:rsid w:val="00D70C2A"/>
    <w:rsid w:val="00D70C74"/>
    <w:rsid w:val="00D70CB3"/>
    <w:rsid w:val="00D71386"/>
    <w:rsid w:val="00D714D0"/>
    <w:rsid w:val="00D7158A"/>
    <w:rsid w:val="00D71640"/>
    <w:rsid w:val="00D718E8"/>
    <w:rsid w:val="00D71C4B"/>
    <w:rsid w:val="00D71D18"/>
    <w:rsid w:val="00D7243A"/>
    <w:rsid w:val="00D725E4"/>
    <w:rsid w:val="00D726D2"/>
    <w:rsid w:val="00D728C1"/>
    <w:rsid w:val="00D72BD0"/>
    <w:rsid w:val="00D72D88"/>
    <w:rsid w:val="00D72F07"/>
    <w:rsid w:val="00D72FA1"/>
    <w:rsid w:val="00D7313E"/>
    <w:rsid w:val="00D7314A"/>
    <w:rsid w:val="00D73189"/>
    <w:rsid w:val="00D73250"/>
    <w:rsid w:val="00D73388"/>
    <w:rsid w:val="00D7341E"/>
    <w:rsid w:val="00D7372E"/>
    <w:rsid w:val="00D739DE"/>
    <w:rsid w:val="00D73B75"/>
    <w:rsid w:val="00D73BCB"/>
    <w:rsid w:val="00D73C7F"/>
    <w:rsid w:val="00D73CCE"/>
    <w:rsid w:val="00D7409B"/>
    <w:rsid w:val="00D7411C"/>
    <w:rsid w:val="00D74294"/>
    <w:rsid w:val="00D7429D"/>
    <w:rsid w:val="00D7452A"/>
    <w:rsid w:val="00D7458D"/>
    <w:rsid w:val="00D748DF"/>
    <w:rsid w:val="00D74B23"/>
    <w:rsid w:val="00D74BB2"/>
    <w:rsid w:val="00D74CCB"/>
    <w:rsid w:val="00D74D0C"/>
    <w:rsid w:val="00D74DF7"/>
    <w:rsid w:val="00D756B1"/>
    <w:rsid w:val="00D756C9"/>
    <w:rsid w:val="00D75711"/>
    <w:rsid w:val="00D75882"/>
    <w:rsid w:val="00D75C1D"/>
    <w:rsid w:val="00D75C39"/>
    <w:rsid w:val="00D75D4F"/>
    <w:rsid w:val="00D76063"/>
    <w:rsid w:val="00D76104"/>
    <w:rsid w:val="00D76203"/>
    <w:rsid w:val="00D76631"/>
    <w:rsid w:val="00D768A3"/>
    <w:rsid w:val="00D7694E"/>
    <w:rsid w:val="00D76A70"/>
    <w:rsid w:val="00D771E1"/>
    <w:rsid w:val="00D77325"/>
    <w:rsid w:val="00D8000D"/>
    <w:rsid w:val="00D80011"/>
    <w:rsid w:val="00D8014D"/>
    <w:rsid w:val="00D80300"/>
    <w:rsid w:val="00D803E7"/>
    <w:rsid w:val="00D80430"/>
    <w:rsid w:val="00D8073C"/>
    <w:rsid w:val="00D8089F"/>
    <w:rsid w:val="00D80956"/>
    <w:rsid w:val="00D809AB"/>
    <w:rsid w:val="00D809EE"/>
    <w:rsid w:val="00D80EFB"/>
    <w:rsid w:val="00D80F51"/>
    <w:rsid w:val="00D811F8"/>
    <w:rsid w:val="00D81332"/>
    <w:rsid w:val="00D81392"/>
    <w:rsid w:val="00D81506"/>
    <w:rsid w:val="00D82080"/>
    <w:rsid w:val="00D820D7"/>
    <w:rsid w:val="00D8215B"/>
    <w:rsid w:val="00D82222"/>
    <w:rsid w:val="00D822E6"/>
    <w:rsid w:val="00D82715"/>
    <w:rsid w:val="00D828CA"/>
    <w:rsid w:val="00D82A98"/>
    <w:rsid w:val="00D82B32"/>
    <w:rsid w:val="00D830DE"/>
    <w:rsid w:val="00D831E5"/>
    <w:rsid w:val="00D832E8"/>
    <w:rsid w:val="00D83A5F"/>
    <w:rsid w:val="00D83B1E"/>
    <w:rsid w:val="00D83DE9"/>
    <w:rsid w:val="00D84039"/>
    <w:rsid w:val="00D8404B"/>
    <w:rsid w:val="00D84346"/>
    <w:rsid w:val="00D8450D"/>
    <w:rsid w:val="00D84726"/>
    <w:rsid w:val="00D847DA"/>
    <w:rsid w:val="00D84969"/>
    <w:rsid w:val="00D84B76"/>
    <w:rsid w:val="00D84B92"/>
    <w:rsid w:val="00D84F89"/>
    <w:rsid w:val="00D850B7"/>
    <w:rsid w:val="00D8527E"/>
    <w:rsid w:val="00D85348"/>
    <w:rsid w:val="00D8536C"/>
    <w:rsid w:val="00D854D2"/>
    <w:rsid w:val="00D856BE"/>
    <w:rsid w:val="00D858BF"/>
    <w:rsid w:val="00D85F81"/>
    <w:rsid w:val="00D85FF9"/>
    <w:rsid w:val="00D8611A"/>
    <w:rsid w:val="00D863F9"/>
    <w:rsid w:val="00D865A1"/>
    <w:rsid w:val="00D8676A"/>
    <w:rsid w:val="00D867A0"/>
    <w:rsid w:val="00D869CD"/>
    <w:rsid w:val="00D869E4"/>
    <w:rsid w:val="00D86A73"/>
    <w:rsid w:val="00D86E8E"/>
    <w:rsid w:val="00D8761C"/>
    <w:rsid w:val="00D8761E"/>
    <w:rsid w:val="00D87621"/>
    <w:rsid w:val="00D87638"/>
    <w:rsid w:val="00D876C2"/>
    <w:rsid w:val="00D87716"/>
    <w:rsid w:val="00D87A90"/>
    <w:rsid w:val="00D87BED"/>
    <w:rsid w:val="00D87C48"/>
    <w:rsid w:val="00D87C9B"/>
    <w:rsid w:val="00D87D58"/>
    <w:rsid w:val="00D90940"/>
    <w:rsid w:val="00D90ECE"/>
    <w:rsid w:val="00D90F60"/>
    <w:rsid w:val="00D9101E"/>
    <w:rsid w:val="00D91153"/>
    <w:rsid w:val="00D91191"/>
    <w:rsid w:val="00D91507"/>
    <w:rsid w:val="00D919E3"/>
    <w:rsid w:val="00D919EF"/>
    <w:rsid w:val="00D91BAD"/>
    <w:rsid w:val="00D9207B"/>
    <w:rsid w:val="00D920A1"/>
    <w:rsid w:val="00D922A1"/>
    <w:rsid w:val="00D9231A"/>
    <w:rsid w:val="00D923F1"/>
    <w:rsid w:val="00D92402"/>
    <w:rsid w:val="00D92453"/>
    <w:rsid w:val="00D9261B"/>
    <w:rsid w:val="00D92649"/>
    <w:rsid w:val="00D92A1F"/>
    <w:rsid w:val="00D92A29"/>
    <w:rsid w:val="00D92A6D"/>
    <w:rsid w:val="00D92A6F"/>
    <w:rsid w:val="00D92AA1"/>
    <w:rsid w:val="00D92B29"/>
    <w:rsid w:val="00D92C5C"/>
    <w:rsid w:val="00D92CD0"/>
    <w:rsid w:val="00D92E62"/>
    <w:rsid w:val="00D93046"/>
    <w:rsid w:val="00D932F5"/>
    <w:rsid w:val="00D9344B"/>
    <w:rsid w:val="00D935AB"/>
    <w:rsid w:val="00D939D1"/>
    <w:rsid w:val="00D93A82"/>
    <w:rsid w:val="00D93CC1"/>
    <w:rsid w:val="00D93E4E"/>
    <w:rsid w:val="00D93F6A"/>
    <w:rsid w:val="00D94125"/>
    <w:rsid w:val="00D94133"/>
    <w:rsid w:val="00D941D8"/>
    <w:rsid w:val="00D942F1"/>
    <w:rsid w:val="00D943E3"/>
    <w:rsid w:val="00D943E9"/>
    <w:rsid w:val="00D94570"/>
    <w:rsid w:val="00D94BAC"/>
    <w:rsid w:val="00D94BDD"/>
    <w:rsid w:val="00D94CB5"/>
    <w:rsid w:val="00D94D8A"/>
    <w:rsid w:val="00D94EC0"/>
    <w:rsid w:val="00D94F96"/>
    <w:rsid w:val="00D953D4"/>
    <w:rsid w:val="00D95504"/>
    <w:rsid w:val="00D95AF9"/>
    <w:rsid w:val="00D95B8E"/>
    <w:rsid w:val="00D95C1D"/>
    <w:rsid w:val="00D9615C"/>
    <w:rsid w:val="00D96180"/>
    <w:rsid w:val="00D96514"/>
    <w:rsid w:val="00D967E7"/>
    <w:rsid w:val="00D9683A"/>
    <w:rsid w:val="00D969EF"/>
    <w:rsid w:val="00D96CF4"/>
    <w:rsid w:val="00D96D37"/>
    <w:rsid w:val="00D972DF"/>
    <w:rsid w:val="00D977DE"/>
    <w:rsid w:val="00D97915"/>
    <w:rsid w:val="00D97A25"/>
    <w:rsid w:val="00D97C84"/>
    <w:rsid w:val="00D97DA5"/>
    <w:rsid w:val="00DA09C9"/>
    <w:rsid w:val="00DA0F47"/>
    <w:rsid w:val="00DA10A3"/>
    <w:rsid w:val="00DA1114"/>
    <w:rsid w:val="00DA11CE"/>
    <w:rsid w:val="00DA1453"/>
    <w:rsid w:val="00DA1822"/>
    <w:rsid w:val="00DA182A"/>
    <w:rsid w:val="00DA199C"/>
    <w:rsid w:val="00DA1A34"/>
    <w:rsid w:val="00DA1D0F"/>
    <w:rsid w:val="00DA1E7E"/>
    <w:rsid w:val="00DA232D"/>
    <w:rsid w:val="00DA27D1"/>
    <w:rsid w:val="00DA2A25"/>
    <w:rsid w:val="00DA2D15"/>
    <w:rsid w:val="00DA2E22"/>
    <w:rsid w:val="00DA318E"/>
    <w:rsid w:val="00DA3228"/>
    <w:rsid w:val="00DA345F"/>
    <w:rsid w:val="00DA3605"/>
    <w:rsid w:val="00DA36F4"/>
    <w:rsid w:val="00DA3BF1"/>
    <w:rsid w:val="00DA3D99"/>
    <w:rsid w:val="00DA3DC4"/>
    <w:rsid w:val="00DA3F40"/>
    <w:rsid w:val="00DA4296"/>
    <w:rsid w:val="00DA46A7"/>
    <w:rsid w:val="00DA4717"/>
    <w:rsid w:val="00DA4786"/>
    <w:rsid w:val="00DA48D7"/>
    <w:rsid w:val="00DA5496"/>
    <w:rsid w:val="00DA55E1"/>
    <w:rsid w:val="00DA595E"/>
    <w:rsid w:val="00DA5A00"/>
    <w:rsid w:val="00DA5BCB"/>
    <w:rsid w:val="00DA5C7B"/>
    <w:rsid w:val="00DA5E77"/>
    <w:rsid w:val="00DA6006"/>
    <w:rsid w:val="00DA64B9"/>
    <w:rsid w:val="00DA6507"/>
    <w:rsid w:val="00DA675C"/>
    <w:rsid w:val="00DA67EE"/>
    <w:rsid w:val="00DA6845"/>
    <w:rsid w:val="00DA68C3"/>
    <w:rsid w:val="00DA6AB9"/>
    <w:rsid w:val="00DA6B48"/>
    <w:rsid w:val="00DA6B8E"/>
    <w:rsid w:val="00DA6D7F"/>
    <w:rsid w:val="00DA6E26"/>
    <w:rsid w:val="00DA6F2B"/>
    <w:rsid w:val="00DA6F38"/>
    <w:rsid w:val="00DA70D5"/>
    <w:rsid w:val="00DA78D7"/>
    <w:rsid w:val="00DA79F9"/>
    <w:rsid w:val="00DA7C55"/>
    <w:rsid w:val="00DB002A"/>
    <w:rsid w:val="00DB0059"/>
    <w:rsid w:val="00DB00F9"/>
    <w:rsid w:val="00DB028B"/>
    <w:rsid w:val="00DB02DB"/>
    <w:rsid w:val="00DB02F9"/>
    <w:rsid w:val="00DB0462"/>
    <w:rsid w:val="00DB046E"/>
    <w:rsid w:val="00DB0B07"/>
    <w:rsid w:val="00DB0CBF"/>
    <w:rsid w:val="00DB0D3D"/>
    <w:rsid w:val="00DB10A9"/>
    <w:rsid w:val="00DB13DC"/>
    <w:rsid w:val="00DB145C"/>
    <w:rsid w:val="00DB1636"/>
    <w:rsid w:val="00DB1836"/>
    <w:rsid w:val="00DB1BCC"/>
    <w:rsid w:val="00DB1BF1"/>
    <w:rsid w:val="00DB1C3C"/>
    <w:rsid w:val="00DB1CED"/>
    <w:rsid w:val="00DB1DB2"/>
    <w:rsid w:val="00DB1F8C"/>
    <w:rsid w:val="00DB1FC0"/>
    <w:rsid w:val="00DB2071"/>
    <w:rsid w:val="00DB24CD"/>
    <w:rsid w:val="00DB2571"/>
    <w:rsid w:val="00DB2873"/>
    <w:rsid w:val="00DB2928"/>
    <w:rsid w:val="00DB2B4C"/>
    <w:rsid w:val="00DB2B60"/>
    <w:rsid w:val="00DB2BB3"/>
    <w:rsid w:val="00DB2E22"/>
    <w:rsid w:val="00DB2EDD"/>
    <w:rsid w:val="00DB2FBD"/>
    <w:rsid w:val="00DB361D"/>
    <w:rsid w:val="00DB3958"/>
    <w:rsid w:val="00DB3A1E"/>
    <w:rsid w:val="00DB3B14"/>
    <w:rsid w:val="00DB3D79"/>
    <w:rsid w:val="00DB3DDB"/>
    <w:rsid w:val="00DB410C"/>
    <w:rsid w:val="00DB42F9"/>
    <w:rsid w:val="00DB433F"/>
    <w:rsid w:val="00DB44E0"/>
    <w:rsid w:val="00DB4760"/>
    <w:rsid w:val="00DB4AAC"/>
    <w:rsid w:val="00DB4B54"/>
    <w:rsid w:val="00DB549E"/>
    <w:rsid w:val="00DB5C78"/>
    <w:rsid w:val="00DB5E1F"/>
    <w:rsid w:val="00DB61B6"/>
    <w:rsid w:val="00DB6359"/>
    <w:rsid w:val="00DB672C"/>
    <w:rsid w:val="00DB694E"/>
    <w:rsid w:val="00DB6976"/>
    <w:rsid w:val="00DB6B21"/>
    <w:rsid w:val="00DB6DC7"/>
    <w:rsid w:val="00DB735F"/>
    <w:rsid w:val="00DB73E6"/>
    <w:rsid w:val="00DB748C"/>
    <w:rsid w:val="00DB749E"/>
    <w:rsid w:val="00DB7A0C"/>
    <w:rsid w:val="00DB7BF8"/>
    <w:rsid w:val="00DB7FC9"/>
    <w:rsid w:val="00DC00A1"/>
    <w:rsid w:val="00DC0141"/>
    <w:rsid w:val="00DC04D4"/>
    <w:rsid w:val="00DC061C"/>
    <w:rsid w:val="00DC0623"/>
    <w:rsid w:val="00DC0782"/>
    <w:rsid w:val="00DC08C9"/>
    <w:rsid w:val="00DC09FD"/>
    <w:rsid w:val="00DC09FE"/>
    <w:rsid w:val="00DC14AB"/>
    <w:rsid w:val="00DC170B"/>
    <w:rsid w:val="00DC173A"/>
    <w:rsid w:val="00DC19D8"/>
    <w:rsid w:val="00DC1C8B"/>
    <w:rsid w:val="00DC1D04"/>
    <w:rsid w:val="00DC1E4C"/>
    <w:rsid w:val="00DC21D9"/>
    <w:rsid w:val="00DC2234"/>
    <w:rsid w:val="00DC25AD"/>
    <w:rsid w:val="00DC2613"/>
    <w:rsid w:val="00DC26D3"/>
    <w:rsid w:val="00DC2817"/>
    <w:rsid w:val="00DC2829"/>
    <w:rsid w:val="00DC2B6B"/>
    <w:rsid w:val="00DC2B9C"/>
    <w:rsid w:val="00DC2CCF"/>
    <w:rsid w:val="00DC2E50"/>
    <w:rsid w:val="00DC2EA9"/>
    <w:rsid w:val="00DC307B"/>
    <w:rsid w:val="00DC310A"/>
    <w:rsid w:val="00DC3351"/>
    <w:rsid w:val="00DC35F7"/>
    <w:rsid w:val="00DC375C"/>
    <w:rsid w:val="00DC39F7"/>
    <w:rsid w:val="00DC3B2A"/>
    <w:rsid w:val="00DC3BA4"/>
    <w:rsid w:val="00DC3F06"/>
    <w:rsid w:val="00DC400F"/>
    <w:rsid w:val="00DC415B"/>
    <w:rsid w:val="00DC4213"/>
    <w:rsid w:val="00DC4378"/>
    <w:rsid w:val="00DC4512"/>
    <w:rsid w:val="00DC49AA"/>
    <w:rsid w:val="00DC4B6B"/>
    <w:rsid w:val="00DC4D8B"/>
    <w:rsid w:val="00DC4DAB"/>
    <w:rsid w:val="00DC518D"/>
    <w:rsid w:val="00DC5193"/>
    <w:rsid w:val="00DC51BD"/>
    <w:rsid w:val="00DC5722"/>
    <w:rsid w:val="00DC59E2"/>
    <w:rsid w:val="00DC5CC6"/>
    <w:rsid w:val="00DC5CF3"/>
    <w:rsid w:val="00DC5D91"/>
    <w:rsid w:val="00DC6156"/>
    <w:rsid w:val="00DC636A"/>
    <w:rsid w:val="00DC6463"/>
    <w:rsid w:val="00DC67B0"/>
    <w:rsid w:val="00DC686F"/>
    <w:rsid w:val="00DC68FE"/>
    <w:rsid w:val="00DC69B8"/>
    <w:rsid w:val="00DC6BA8"/>
    <w:rsid w:val="00DC6D24"/>
    <w:rsid w:val="00DC6D42"/>
    <w:rsid w:val="00DC70D5"/>
    <w:rsid w:val="00DC7205"/>
    <w:rsid w:val="00DC73A5"/>
    <w:rsid w:val="00DC7557"/>
    <w:rsid w:val="00DC78FC"/>
    <w:rsid w:val="00DC7A57"/>
    <w:rsid w:val="00DC7A70"/>
    <w:rsid w:val="00DC7D60"/>
    <w:rsid w:val="00DC7F94"/>
    <w:rsid w:val="00DD0246"/>
    <w:rsid w:val="00DD069A"/>
    <w:rsid w:val="00DD08A6"/>
    <w:rsid w:val="00DD0930"/>
    <w:rsid w:val="00DD09A5"/>
    <w:rsid w:val="00DD0AD8"/>
    <w:rsid w:val="00DD0C09"/>
    <w:rsid w:val="00DD0C32"/>
    <w:rsid w:val="00DD0DA5"/>
    <w:rsid w:val="00DD0DFA"/>
    <w:rsid w:val="00DD0ED0"/>
    <w:rsid w:val="00DD10D6"/>
    <w:rsid w:val="00DD13CA"/>
    <w:rsid w:val="00DD1436"/>
    <w:rsid w:val="00DD1698"/>
    <w:rsid w:val="00DD1A10"/>
    <w:rsid w:val="00DD1E82"/>
    <w:rsid w:val="00DD1FFA"/>
    <w:rsid w:val="00DD2011"/>
    <w:rsid w:val="00DD22A6"/>
    <w:rsid w:val="00DD2963"/>
    <w:rsid w:val="00DD29EF"/>
    <w:rsid w:val="00DD2B8B"/>
    <w:rsid w:val="00DD2BF7"/>
    <w:rsid w:val="00DD2EAE"/>
    <w:rsid w:val="00DD2FFB"/>
    <w:rsid w:val="00DD34B5"/>
    <w:rsid w:val="00DD3562"/>
    <w:rsid w:val="00DD3691"/>
    <w:rsid w:val="00DD3763"/>
    <w:rsid w:val="00DD3903"/>
    <w:rsid w:val="00DD3C30"/>
    <w:rsid w:val="00DD3C82"/>
    <w:rsid w:val="00DD3D67"/>
    <w:rsid w:val="00DD3D8A"/>
    <w:rsid w:val="00DD3DD7"/>
    <w:rsid w:val="00DD41F7"/>
    <w:rsid w:val="00DD432D"/>
    <w:rsid w:val="00DD4380"/>
    <w:rsid w:val="00DD46B2"/>
    <w:rsid w:val="00DD4B38"/>
    <w:rsid w:val="00DD4B55"/>
    <w:rsid w:val="00DD4C7C"/>
    <w:rsid w:val="00DD4DA6"/>
    <w:rsid w:val="00DD4F15"/>
    <w:rsid w:val="00DD5127"/>
    <w:rsid w:val="00DD51CB"/>
    <w:rsid w:val="00DD53A4"/>
    <w:rsid w:val="00DD53C0"/>
    <w:rsid w:val="00DD5521"/>
    <w:rsid w:val="00DD5925"/>
    <w:rsid w:val="00DD5972"/>
    <w:rsid w:val="00DD5A0C"/>
    <w:rsid w:val="00DD5B85"/>
    <w:rsid w:val="00DD5C31"/>
    <w:rsid w:val="00DD5D69"/>
    <w:rsid w:val="00DD5E0F"/>
    <w:rsid w:val="00DD5E42"/>
    <w:rsid w:val="00DD5F75"/>
    <w:rsid w:val="00DD600B"/>
    <w:rsid w:val="00DD63C8"/>
    <w:rsid w:val="00DD64D0"/>
    <w:rsid w:val="00DD652E"/>
    <w:rsid w:val="00DD6653"/>
    <w:rsid w:val="00DD6837"/>
    <w:rsid w:val="00DD6965"/>
    <w:rsid w:val="00DD6ABA"/>
    <w:rsid w:val="00DD6CE3"/>
    <w:rsid w:val="00DD6D42"/>
    <w:rsid w:val="00DD6E77"/>
    <w:rsid w:val="00DD6EDD"/>
    <w:rsid w:val="00DD6F2D"/>
    <w:rsid w:val="00DD6FFD"/>
    <w:rsid w:val="00DD722C"/>
    <w:rsid w:val="00DD72DB"/>
    <w:rsid w:val="00DD75C6"/>
    <w:rsid w:val="00DD76A9"/>
    <w:rsid w:val="00DD76EE"/>
    <w:rsid w:val="00DD77E6"/>
    <w:rsid w:val="00DD78FC"/>
    <w:rsid w:val="00DD7B09"/>
    <w:rsid w:val="00DD7BD3"/>
    <w:rsid w:val="00DD7C3E"/>
    <w:rsid w:val="00DD7E01"/>
    <w:rsid w:val="00DE0150"/>
    <w:rsid w:val="00DE046C"/>
    <w:rsid w:val="00DE08BB"/>
    <w:rsid w:val="00DE0DD9"/>
    <w:rsid w:val="00DE0F61"/>
    <w:rsid w:val="00DE1102"/>
    <w:rsid w:val="00DE16B4"/>
    <w:rsid w:val="00DE17B4"/>
    <w:rsid w:val="00DE1C46"/>
    <w:rsid w:val="00DE1DB2"/>
    <w:rsid w:val="00DE1E26"/>
    <w:rsid w:val="00DE1E31"/>
    <w:rsid w:val="00DE1E90"/>
    <w:rsid w:val="00DE2117"/>
    <w:rsid w:val="00DE22ED"/>
    <w:rsid w:val="00DE2357"/>
    <w:rsid w:val="00DE24E6"/>
    <w:rsid w:val="00DE26B2"/>
    <w:rsid w:val="00DE273C"/>
    <w:rsid w:val="00DE2A99"/>
    <w:rsid w:val="00DE2BBE"/>
    <w:rsid w:val="00DE3018"/>
    <w:rsid w:val="00DE31FC"/>
    <w:rsid w:val="00DE3271"/>
    <w:rsid w:val="00DE3464"/>
    <w:rsid w:val="00DE35F7"/>
    <w:rsid w:val="00DE3766"/>
    <w:rsid w:val="00DE3BA2"/>
    <w:rsid w:val="00DE3BEC"/>
    <w:rsid w:val="00DE3EB4"/>
    <w:rsid w:val="00DE3ECC"/>
    <w:rsid w:val="00DE3EE6"/>
    <w:rsid w:val="00DE4465"/>
    <w:rsid w:val="00DE44DD"/>
    <w:rsid w:val="00DE454B"/>
    <w:rsid w:val="00DE45F3"/>
    <w:rsid w:val="00DE465F"/>
    <w:rsid w:val="00DE47BB"/>
    <w:rsid w:val="00DE48D2"/>
    <w:rsid w:val="00DE4A0D"/>
    <w:rsid w:val="00DE4F9B"/>
    <w:rsid w:val="00DE4FC1"/>
    <w:rsid w:val="00DE4FE6"/>
    <w:rsid w:val="00DE5249"/>
    <w:rsid w:val="00DE54AA"/>
    <w:rsid w:val="00DE54BC"/>
    <w:rsid w:val="00DE556C"/>
    <w:rsid w:val="00DE5591"/>
    <w:rsid w:val="00DE5751"/>
    <w:rsid w:val="00DE5934"/>
    <w:rsid w:val="00DE59CD"/>
    <w:rsid w:val="00DE5A25"/>
    <w:rsid w:val="00DE5A7C"/>
    <w:rsid w:val="00DE5AB0"/>
    <w:rsid w:val="00DE61BF"/>
    <w:rsid w:val="00DE621F"/>
    <w:rsid w:val="00DE6596"/>
    <w:rsid w:val="00DE6737"/>
    <w:rsid w:val="00DE674F"/>
    <w:rsid w:val="00DE6CD3"/>
    <w:rsid w:val="00DE6F46"/>
    <w:rsid w:val="00DE6F51"/>
    <w:rsid w:val="00DE72DF"/>
    <w:rsid w:val="00DE7322"/>
    <w:rsid w:val="00DE7563"/>
    <w:rsid w:val="00DE766B"/>
    <w:rsid w:val="00DE7735"/>
    <w:rsid w:val="00DE7A6B"/>
    <w:rsid w:val="00DE7C66"/>
    <w:rsid w:val="00DE7F12"/>
    <w:rsid w:val="00DF0253"/>
    <w:rsid w:val="00DF02AB"/>
    <w:rsid w:val="00DF0438"/>
    <w:rsid w:val="00DF054C"/>
    <w:rsid w:val="00DF0590"/>
    <w:rsid w:val="00DF05CC"/>
    <w:rsid w:val="00DF067D"/>
    <w:rsid w:val="00DF07AD"/>
    <w:rsid w:val="00DF08BC"/>
    <w:rsid w:val="00DF09F8"/>
    <w:rsid w:val="00DF0DEF"/>
    <w:rsid w:val="00DF15A5"/>
    <w:rsid w:val="00DF166E"/>
    <w:rsid w:val="00DF17A3"/>
    <w:rsid w:val="00DF1871"/>
    <w:rsid w:val="00DF1AF7"/>
    <w:rsid w:val="00DF1BDB"/>
    <w:rsid w:val="00DF1E42"/>
    <w:rsid w:val="00DF206F"/>
    <w:rsid w:val="00DF217B"/>
    <w:rsid w:val="00DF220B"/>
    <w:rsid w:val="00DF22C6"/>
    <w:rsid w:val="00DF233D"/>
    <w:rsid w:val="00DF23A2"/>
    <w:rsid w:val="00DF24B3"/>
    <w:rsid w:val="00DF27EB"/>
    <w:rsid w:val="00DF2810"/>
    <w:rsid w:val="00DF2A41"/>
    <w:rsid w:val="00DF2CD4"/>
    <w:rsid w:val="00DF3146"/>
    <w:rsid w:val="00DF323B"/>
    <w:rsid w:val="00DF3364"/>
    <w:rsid w:val="00DF33EC"/>
    <w:rsid w:val="00DF346F"/>
    <w:rsid w:val="00DF35AC"/>
    <w:rsid w:val="00DF3797"/>
    <w:rsid w:val="00DF3ACC"/>
    <w:rsid w:val="00DF3EC2"/>
    <w:rsid w:val="00DF424D"/>
    <w:rsid w:val="00DF4332"/>
    <w:rsid w:val="00DF4380"/>
    <w:rsid w:val="00DF4548"/>
    <w:rsid w:val="00DF4610"/>
    <w:rsid w:val="00DF50D3"/>
    <w:rsid w:val="00DF518F"/>
    <w:rsid w:val="00DF5389"/>
    <w:rsid w:val="00DF5415"/>
    <w:rsid w:val="00DF5604"/>
    <w:rsid w:val="00DF564B"/>
    <w:rsid w:val="00DF5667"/>
    <w:rsid w:val="00DF5901"/>
    <w:rsid w:val="00DF598E"/>
    <w:rsid w:val="00DF5D12"/>
    <w:rsid w:val="00DF5DD7"/>
    <w:rsid w:val="00DF5E51"/>
    <w:rsid w:val="00DF6079"/>
    <w:rsid w:val="00DF6158"/>
    <w:rsid w:val="00DF6258"/>
    <w:rsid w:val="00DF64A6"/>
    <w:rsid w:val="00DF64F8"/>
    <w:rsid w:val="00DF6AC5"/>
    <w:rsid w:val="00DF6B4C"/>
    <w:rsid w:val="00DF700D"/>
    <w:rsid w:val="00DF7461"/>
    <w:rsid w:val="00DF748D"/>
    <w:rsid w:val="00DF79D6"/>
    <w:rsid w:val="00DF7E44"/>
    <w:rsid w:val="00DF7FB6"/>
    <w:rsid w:val="00DF7FD4"/>
    <w:rsid w:val="00E00091"/>
    <w:rsid w:val="00E00095"/>
    <w:rsid w:val="00E0076E"/>
    <w:rsid w:val="00E007A5"/>
    <w:rsid w:val="00E0096B"/>
    <w:rsid w:val="00E00E87"/>
    <w:rsid w:val="00E01014"/>
    <w:rsid w:val="00E012A3"/>
    <w:rsid w:val="00E01358"/>
    <w:rsid w:val="00E014D8"/>
    <w:rsid w:val="00E0186C"/>
    <w:rsid w:val="00E018F9"/>
    <w:rsid w:val="00E01A46"/>
    <w:rsid w:val="00E01ACB"/>
    <w:rsid w:val="00E01AD4"/>
    <w:rsid w:val="00E01B51"/>
    <w:rsid w:val="00E02087"/>
    <w:rsid w:val="00E021FE"/>
    <w:rsid w:val="00E022A9"/>
    <w:rsid w:val="00E02311"/>
    <w:rsid w:val="00E02364"/>
    <w:rsid w:val="00E02392"/>
    <w:rsid w:val="00E025BD"/>
    <w:rsid w:val="00E0277F"/>
    <w:rsid w:val="00E0287B"/>
    <w:rsid w:val="00E02DA3"/>
    <w:rsid w:val="00E02F90"/>
    <w:rsid w:val="00E0311D"/>
    <w:rsid w:val="00E03157"/>
    <w:rsid w:val="00E03169"/>
    <w:rsid w:val="00E035DD"/>
    <w:rsid w:val="00E03B93"/>
    <w:rsid w:val="00E03EF1"/>
    <w:rsid w:val="00E03FA8"/>
    <w:rsid w:val="00E03FDC"/>
    <w:rsid w:val="00E043E5"/>
    <w:rsid w:val="00E04673"/>
    <w:rsid w:val="00E047B4"/>
    <w:rsid w:val="00E04860"/>
    <w:rsid w:val="00E0494E"/>
    <w:rsid w:val="00E04BD9"/>
    <w:rsid w:val="00E04BFF"/>
    <w:rsid w:val="00E04CE6"/>
    <w:rsid w:val="00E04E8B"/>
    <w:rsid w:val="00E04EBE"/>
    <w:rsid w:val="00E055BB"/>
    <w:rsid w:val="00E05AF2"/>
    <w:rsid w:val="00E05C58"/>
    <w:rsid w:val="00E05E4B"/>
    <w:rsid w:val="00E05F32"/>
    <w:rsid w:val="00E0603C"/>
    <w:rsid w:val="00E0653B"/>
    <w:rsid w:val="00E06866"/>
    <w:rsid w:val="00E06877"/>
    <w:rsid w:val="00E06C1E"/>
    <w:rsid w:val="00E06DE2"/>
    <w:rsid w:val="00E07058"/>
    <w:rsid w:val="00E07133"/>
    <w:rsid w:val="00E0730D"/>
    <w:rsid w:val="00E07685"/>
    <w:rsid w:val="00E076B1"/>
    <w:rsid w:val="00E076B4"/>
    <w:rsid w:val="00E0777D"/>
    <w:rsid w:val="00E07D7D"/>
    <w:rsid w:val="00E07F3B"/>
    <w:rsid w:val="00E0B7B4"/>
    <w:rsid w:val="00E100DA"/>
    <w:rsid w:val="00E1011C"/>
    <w:rsid w:val="00E101F2"/>
    <w:rsid w:val="00E103A5"/>
    <w:rsid w:val="00E104AC"/>
    <w:rsid w:val="00E1095C"/>
    <w:rsid w:val="00E10999"/>
    <w:rsid w:val="00E10C64"/>
    <w:rsid w:val="00E10E94"/>
    <w:rsid w:val="00E114CC"/>
    <w:rsid w:val="00E11594"/>
    <w:rsid w:val="00E11641"/>
    <w:rsid w:val="00E117BE"/>
    <w:rsid w:val="00E11988"/>
    <w:rsid w:val="00E11FB7"/>
    <w:rsid w:val="00E12094"/>
    <w:rsid w:val="00E120FB"/>
    <w:rsid w:val="00E125CE"/>
    <w:rsid w:val="00E1271B"/>
    <w:rsid w:val="00E12E17"/>
    <w:rsid w:val="00E12E53"/>
    <w:rsid w:val="00E1307D"/>
    <w:rsid w:val="00E130B7"/>
    <w:rsid w:val="00E1327D"/>
    <w:rsid w:val="00E13398"/>
    <w:rsid w:val="00E134C1"/>
    <w:rsid w:val="00E13738"/>
    <w:rsid w:val="00E137C7"/>
    <w:rsid w:val="00E13F8B"/>
    <w:rsid w:val="00E141B4"/>
    <w:rsid w:val="00E14365"/>
    <w:rsid w:val="00E14647"/>
    <w:rsid w:val="00E14842"/>
    <w:rsid w:val="00E14E0A"/>
    <w:rsid w:val="00E15030"/>
    <w:rsid w:val="00E15516"/>
    <w:rsid w:val="00E1555A"/>
    <w:rsid w:val="00E156E0"/>
    <w:rsid w:val="00E15A09"/>
    <w:rsid w:val="00E15DA9"/>
    <w:rsid w:val="00E1605C"/>
    <w:rsid w:val="00E160FE"/>
    <w:rsid w:val="00E1617C"/>
    <w:rsid w:val="00E1622F"/>
    <w:rsid w:val="00E163A4"/>
    <w:rsid w:val="00E163D5"/>
    <w:rsid w:val="00E165DD"/>
    <w:rsid w:val="00E1681C"/>
    <w:rsid w:val="00E168D0"/>
    <w:rsid w:val="00E1696D"/>
    <w:rsid w:val="00E169ED"/>
    <w:rsid w:val="00E17260"/>
    <w:rsid w:val="00E172A7"/>
    <w:rsid w:val="00E174B8"/>
    <w:rsid w:val="00E17774"/>
    <w:rsid w:val="00E177A5"/>
    <w:rsid w:val="00E17B3A"/>
    <w:rsid w:val="00E200F7"/>
    <w:rsid w:val="00E201D3"/>
    <w:rsid w:val="00E20257"/>
    <w:rsid w:val="00E20477"/>
    <w:rsid w:val="00E20483"/>
    <w:rsid w:val="00E20600"/>
    <w:rsid w:val="00E2086C"/>
    <w:rsid w:val="00E208CB"/>
    <w:rsid w:val="00E2095D"/>
    <w:rsid w:val="00E20B98"/>
    <w:rsid w:val="00E20CEE"/>
    <w:rsid w:val="00E20E92"/>
    <w:rsid w:val="00E20EB5"/>
    <w:rsid w:val="00E21035"/>
    <w:rsid w:val="00E21039"/>
    <w:rsid w:val="00E211DC"/>
    <w:rsid w:val="00E21251"/>
    <w:rsid w:val="00E213B5"/>
    <w:rsid w:val="00E21559"/>
    <w:rsid w:val="00E216B6"/>
    <w:rsid w:val="00E216FD"/>
    <w:rsid w:val="00E21720"/>
    <w:rsid w:val="00E21D6B"/>
    <w:rsid w:val="00E21D85"/>
    <w:rsid w:val="00E21DBA"/>
    <w:rsid w:val="00E21E81"/>
    <w:rsid w:val="00E21F00"/>
    <w:rsid w:val="00E22686"/>
    <w:rsid w:val="00E22BAE"/>
    <w:rsid w:val="00E22C07"/>
    <w:rsid w:val="00E22C6D"/>
    <w:rsid w:val="00E22C9D"/>
    <w:rsid w:val="00E22EC9"/>
    <w:rsid w:val="00E22F0F"/>
    <w:rsid w:val="00E2304A"/>
    <w:rsid w:val="00E2309D"/>
    <w:rsid w:val="00E23318"/>
    <w:rsid w:val="00E2331A"/>
    <w:rsid w:val="00E239C7"/>
    <w:rsid w:val="00E23A6F"/>
    <w:rsid w:val="00E23B77"/>
    <w:rsid w:val="00E24069"/>
    <w:rsid w:val="00E243D0"/>
    <w:rsid w:val="00E244F9"/>
    <w:rsid w:val="00E245C1"/>
    <w:rsid w:val="00E248E0"/>
    <w:rsid w:val="00E24A20"/>
    <w:rsid w:val="00E24AE9"/>
    <w:rsid w:val="00E24B04"/>
    <w:rsid w:val="00E24BDC"/>
    <w:rsid w:val="00E24D0B"/>
    <w:rsid w:val="00E24E11"/>
    <w:rsid w:val="00E24E41"/>
    <w:rsid w:val="00E24F2B"/>
    <w:rsid w:val="00E2524B"/>
    <w:rsid w:val="00E252B0"/>
    <w:rsid w:val="00E25526"/>
    <w:rsid w:val="00E25794"/>
    <w:rsid w:val="00E258A6"/>
    <w:rsid w:val="00E25DF5"/>
    <w:rsid w:val="00E25E48"/>
    <w:rsid w:val="00E2611F"/>
    <w:rsid w:val="00E262D1"/>
    <w:rsid w:val="00E2631A"/>
    <w:rsid w:val="00E2632E"/>
    <w:rsid w:val="00E26470"/>
    <w:rsid w:val="00E266EB"/>
    <w:rsid w:val="00E26896"/>
    <w:rsid w:val="00E26A15"/>
    <w:rsid w:val="00E26A84"/>
    <w:rsid w:val="00E26C7E"/>
    <w:rsid w:val="00E26FF4"/>
    <w:rsid w:val="00E2720C"/>
    <w:rsid w:val="00E27440"/>
    <w:rsid w:val="00E2748B"/>
    <w:rsid w:val="00E2761F"/>
    <w:rsid w:val="00E279E5"/>
    <w:rsid w:val="00E27B0C"/>
    <w:rsid w:val="00E27FC7"/>
    <w:rsid w:val="00E27FE4"/>
    <w:rsid w:val="00E30102"/>
    <w:rsid w:val="00E30256"/>
    <w:rsid w:val="00E3032B"/>
    <w:rsid w:val="00E30414"/>
    <w:rsid w:val="00E30424"/>
    <w:rsid w:val="00E30463"/>
    <w:rsid w:val="00E305DA"/>
    <w:rsid w:val="00E30729"/>
    <w:rsid w:val="00E30965"/>
    <w:rsid w:val="00E30CA9"/>
    <w:rsid w:val="00E30D21"/>
    <w:rsid w:val="00E30EB8"/>
    <w:rsid w:val="00E31177"/>
    <w:rsid w:val="00E31323"/>
    <w:rsid w:val="00E31327"/>
    <w:rsid w:val="00E315E2"/>
    <w:rsid w:val="00E316AD"/>
    <w:rsid w:val="00E317E6"/>
    <w:rsid w:val="00E31B4B"/>
    <w:rsid w:val="00E31C91"/>
    <w:rsid w:val="00E32064"/>
    <w:rsid w:val="00E3252E"/>
    <w:rsid w:val="00E3273B"/>
    <w:rsid w:val="00E3282A"/>
    <w:rsid w:val="00E328F9"/>
    <w:rsid w:val="00E32960"/>
    <w:rsid w:val="00E329E7"/>
    <w:rsid w:val="00E32C47"/>
    <w:rsid w:val="00E32CED"/>
    <w:rsid w:val="00E32E0F"/>
    <w:rsid w:val="00E32E4F"/>
    <w:rsid w:val="00E332AE"/>
    <w:rsid w:val="00E33752"/>
    <w:rsid w:val="00E33F30"/>
    <w:rsid w:val="00E34143"/>
    <w:rsid w:val="00E34149"/>
    <w:rsid w:val="00E34288"/>
    <w:rsid w:val="00E34315"/>
    <w:rsid w:val="00E34713"/>
    <w:rsid w:val="00E34873"/>
    <w:rsid w:val="00E349C2"/>
    <w:rsid w:val="00E34C88"/>
    <w:rsid w:val="00E34DAA"/>
    <w:rsid w:val="00E34E0E"/>
    <w:rsid w:val="00E35051"/>
    <w:rsid w:val="00E35116"/>
    <w:rsid w:val="00E35373"/>
    <w:rsid w:val="00E35446"/>
    <w:rsid w:val="00E357CB"/>
    <w:rsid w:val="00E358EB"/>
    <w:rsid w:val="00E35C46"/>
    <w:rsid w:val="00E35C9B"/>
    <w:rsid w:val="00E35E1A"/>
    <w:rsid w:val="00E36035"/>
    <w:rsid w:val="00E36397"/>
    <w:rsid w:val="00E365D9"/>
    <w:rsid w:val="00E365DA"/>
    <w:rsid w:val="00E3665A"/>
    <w:rsid w:val="00E366B2"/>
    <w:rsid w:val="00E3676B"/>
    <w:rsid w:val="00E367D0"/>
    <w:rsid w:val="00E36805"/>
    <w:rsid w:val="00E368D0"/>
    <w:rsid w:val="00E36973"/>
    <w:rsid w:val="00E36C71"/>
    <w:rsid w:val="00E36CC8"/>
    <w:rsid w:val="00E36E0E"/>
    <w:rsid w:val="00E371E9"/>
    <w:rsid w:val="00E379EB"/>
    <w:rsid w:val="00E37B5C"/>
    <w:rsid w:val="00E37E30"/>
    <w:rsid w:val="00E37E71"/>
    <w:rsid w:val="00E4009F"/>
    <w:rsid w:val="00E40116"/>
    <w:rsid w:val="00E40153"/>
    <w:rsid w:val="00E40314"/>
    <w:rsid w:val="00E4052B"/>
    <w:rsid w:val="00E4074C"/>
    <w:rsid w:val="00E40750"/>
    <w:rsid w:val="00E40769"/>
    <w:rsid w:val="00E40813"/>
    <w:rsid w:val="00E4081B"/>
    <w:rsid w:val="00E409BD"/>
    <w:rsid w:val="00E40A3A"/>
    <w:rsid w:val="00E40E37"/>
    <w:rsid w:val="00E41059"/>
    <w:rsid w:val="00E412B2"/>
    <w:rsid w:val="00E41497"/>
    <w:rsid w:val="00E415DC"/>
    <w:rsid w:val="00E417A4"/>
    <w:rsid w:val="00E418E8"/>
    <w:rsid w:val="00E41D2C"/>
    <w:rsid w:val="00E4209E"/>
    <w:rsid w:val="00E4216F"/>
    <w:rsid w:val="00E4247D"/>
    <w:rsid w:val="00E42B5E"/>
    <w:rsid w:val="00E42CEF"/>
    <w:rsid w:val="00E42E8B"/>
    <w:rsid w:val="00E42FD1"/>
    <w:rsid w:val="00E42FD4"/>
    <w:rsid w:val="00E43122"/>
    <w:rsid w:val="00E43147"/>
    <w:rsid w:val="00E432D5"/>
    <w:rsid w:val="00E4348F"/>
    <w:rsid w:val="00E434AF"/>
    <w:rsid w:val="00E435FF"/>
    <w:rsid w:val="00E4369F"/>
    <w:rsid w:val="00E437A2"/>
    <w:rsid w:val="00E43871"/>
    <w:rsid w:val="00E43980"/>
    <w:rsid w:val="00E43AE4"/>
    <w:rsid w:val="00E43F30"/>
    <w:rsid w:val="00E43FD5"/>
    <w:rsid w:val="00E44027"/>
    <w:rsid w:val="00E442CE"/>
    <w:rsid w:val="00E443C1"/>
    <w:rsid w:val="00E4460B"/>
    <w:rsid w:val="00E448B6"/>
    <w:rsid w:val="00E44A08"/>
    <w:rsid w:val="00E44A2F"/>
    <w:rsid w:val="00E44B8C"/>
    <w:rsid w:val="00E44BB4"/>
    <w:rsid w:val="00E44F27"/>
    <w:rsid w:val="00E45100"/>
    <w:rsid w:val="00E4532A"/>
    <w:rsid w:val="00E453E6"/>
    <w:rsid w:val="00E45437"/>
    <w:rsid w:val="00E455A7"/>
    <w:rsid w:val="00E456D4"/>
    <w:rsid w:val="00E4597C"/>
    <w:rsid w:val="00E45E4D"/>
    <w:rsid w:val="00E45EAD"/>
    <w:rsid w:val="00E4637A"/>
    <w:rsid w:val="00E46455"/>
    <w:rsid w:val="00E466BA"/>
    <w:rsid w:val="00E46793"/>
    <w:rsid w:val="00E4679F"/>
    <w:rsid w:val="00E46CDA"/>
    <w:rsid w:val="00E46D9C"/>
    <w:rsid w:val="00E4713A"/>
    <w:rsid w:val="00E477E3"/>
    <w:rsid w:val="00E478E3"/>
    <w:rsid w:val="00E47E76"/>
    <w:rsid w:val="00E47EDC"/>
    <w:rsid w:val="00E501D3"/>
    <w:rsid w:val="00E5038C"/>
    <w:rsid w:val="00E5042C"/>
    <w:rsid w:val="00E505ED"/>
    <w:rsid w:val="00E507F1"/>
    <w:rsid w:val="00E50951"/>
    <w:rsid w:val="00E50CD3"/>
    <w:rsid w:val="00E51096"/>
    <w:rsid w:val="00E5128D"/>
    <w:rsid w:val="00E512B5"/>
    <w:rsid w:val="00E5136F"/>
    <w:rsid w:val="00E51A0F"/>
    <w:rsid w:val="00E51C13"/>
    <w:rsid w:val="00E51E2A"/>
    <w:rsid w:val="00E52063"/>
    <w:rsid w:val="00E520AB"/>
    <w:rsid w:val="00E52250"/>
    <w:rsid w:val="00E52662"/>
    <w:rsid w:val="00E526E2"/>
    <w:rsid w:val="00E5287F"/>
    <w:rsid w:val="00E528C3"/>
    <w:rsid w:val="00E52ABF"/>
    <w:rsid w:val="00E52CAB"/>
    <w:rsid w:val="00E52E33"/>
    <w:rsid w:val="00E52E38"/>
    <w:rsid w:val="00E530D5"/>
    <w:rsid w:val="00E536CF"/>
    <w:rsid w:val="00E53BF0"/>
    <w:rsid w:val="00E53CD8"/>
    <w:rsid w:val="00E53DCA"/>
    <w:rsid w:val="00E53FB1"/>
    <w:rsid w:val="00E540AB"/>
    <w:rsid w:val="00E540FA"/>
    <w:rsid w:val="00E54326"/>
    <w:rsid w:val="00E54471"/>
    <w:rsid w:val="00E548D6"/>
    <w:rsid w:val="00E549B7"/>
    <w:rsid w:val="00E54AC6"/>
    <w:rsid w:val="00E54C26"/>
    <w:rsid w:val="00E54D6F"/>
    <w:rsid w:val="00E54F0F"/>
    <w:rsid w:val="00E55279"/>
    <w:rsid w:val="00E55378"/>
    <w:rsid w:val="00E55587"/>
    <w:rsid w:val="00E557D6"/>
    <w:rsid w:val="00E55802"/>
    <w:rsid w:val="00E55E5A"/>
    <w:rsid w:val="00E5606B"/>
    <w:rsid w:val="00E561A5"/>
    <w:rsid w:val="00E56A1C"/>
    <w:rsid w:val="00E56BF4"/>
    <w:rsid w:val="00E56F60"/>
    <w:rsid w:val="00E57106"/>
    <w:rsid w:val="00E57199"/>
    <w:rsid w:val="00E57222"/>
    <w:rsid w:val="00E57229"/>
    <w:rsid w:val="00E57316"/>
    <w:rsid w:val="00E57496"/>
    <w:rsid w:val="00E576E8"/>
    <w:rsid w:val="00E576F7"/>
    <w:rsid w:val="00E57714"/>
    <w:rsid w:val="00E57A82"/>
    <w:rsid w:val="00E57B28"/>
    <w:rsid w:val="00E57E7A"/>
    <w:rsid w:val="00E57E8A"/>
    <w:rsid w:val="00E57F0A"/>
    <w:rsid w:val="00E57F23"/>
    <w:rsid w:val="00E603ED"/>
    <w:rsid w:val="00E60599"/>
    <w:rsid w:val="00E60619"/>
    <w:rsid w:val="00E608E7"/>
    <w:rsid w:val="00E609C2"/>
    <w:rsid w:val="00E60AFF"/>
    <w:rsid w:val="00E60C62"/>
    <w:rsid w:val="00E60CB2"/>
    <w:rsid w:val="00E60F12"/>
    <w:rsid w:val="00E60F92"/>
    <w:rsid w:val="00E6113F"/>
    <w:rsid w:val="00E613CA"/>
    <w:rsid w:val="00E6188C"/>
    <w:rsid w:val="00E61B0D"/>
    <w:rsid w:val="00E61B17"/>
    <w:rsid w:val="00E61B86"/>
    <w:rsid w:val="00E61E59"/>
    <w:rsid w:val="00E61F92"/>
    <w:rsid w:val="00E62159"/>
    <w:rsid w:val="00E6218E"/>
    <w:rsid w:val="00E621F4"/>
    <w:rsid w:val="00E62404"/>
    <w:rsid w:val="00E62491"/>
    <w:rsid w:val="00E62729"/>
    <w:rsid w:val="00E627A6"/>
    <w:rsid w:val="00E6288E"/>
    <w:rsid w:val="00E62A19"/>
    <w:rsid w:val="00E62B2C"/>
    <w:rsid w:val="00E62B6D"/>
    <w:rsid w:val="00E62BB2"/>
    <w:rsid w:val="00E63031"/>
    <w:rsid w:val="00E631B5"/>
    <w:rsid w:val="00E633CA"/>
    <w:rsid w:val="00E636D0"/>
    <w:rsid w:val="00E63727"/>
    <w:rsid w:val="00E637DD"/>
    <w:rsid w:val="00E63818"/>
    <w:rsid w:val="00E6385D"/>
    <w:rsid w:val="00E63BBE"/>
    <w:rsid w:val="00E63D82"/>
    <w:rsid w:val="00E63DC7"/>
    <w:rsid w:val="00E63DE7"/>
    <w:rsid w:val="00E63EC6"/>
    <w:rsid w:val="00E63FC1"/>
    <w:rsid w:val="00E6408C"/>
    <w:rsid w:val="00E6448A"/>
    <w:rsid w:val="00E64730"/>
    <w:rsid w:val="00E64778"/>
    <w:rsid w:val="00E6493B"/>
    <w:rsid w:val="00E64A16"/>
    <w:rsid w:val="00E64C1E"/>
    <w:rsid w:val="00E64FB4"/>
    <w:rsid w:val="00E65092"/>
    <w:rsid w:val="00E6521D"/>
    <w:rsid w:val="00E652FB"/>
    <w:rsid w:val="00E65348"/>
    <w:rsid w:val="00E65492"/>
    <w:rsid w:val="00E65A46"/>
    <w:rsid w:val="00E65F93"/>
    <w:rsid w:val="00E6620A"/>
    <w:rsid w:val="00E66545"/>
    <w:rsid w:val="00E6666C"/>
    <w:rsid w:val="00E666DE"/>
    <w:rsid w:val="00E66904"/>
    <w:rsid w:val="00E669FF"/>
    <w:rsid w:val="00E66C20"/>
    <w:rsid w:val="00E66F29"/>
    <w:rsid w:val="00E6724D"/>
    <w:rsid w:val="00E672E5"/>
    <w:rsid w:val="00E674BA"/>
    <w:rsid w:val="00E67614"/>
    <w:rsid w:val="00E6777A"/>
    <w:rsid w:val="00E6785F"/>
    <w:rsid w:val="00E67AFE"/>
    <w:rsid w:val="00E67BD8"/>
    <w:rsid w:val="00E67BFB"/>
    <w:rsid w:val="00E67C76"/>
    <w:rsid w:val="00E67D18"/>
    <w:rsid w:val="00E7003D"/>
    <w:rsid w:val="00E70291"/>
    <w:rsid w:val="00E703B8"/>
    <w:rsid w:val="00E708ED"/>
    <w:rsid w:val="00E70A3B"/>
    <w:rsid w:val="00E70A3F"/>
    <w:rsid w:val="00E70A64"/>
    <w:rsid w:val="00E70C81"/>
    <w:rsid w:val="00E70FEB"/>
    <w:rsid w:val="00E711B1"/>
    <w:rsid w:val="00E71242"/>
    <w:rsid w:val="00E7137D"/>
    <w:rsid w:val="00E713DF"/>
    <w:rsid w:val="00E7149F"/>
    <w:rsid w:val="00E717AC"/>
    <w:rsid w:val="00E71C46"/>
    <w:rsid w:val="00E71FDA"/>
    <w:rsid w:val="00E72129"/>
    <w:rsid w:val="00E7241C"/>
    <w:rsid w:val="00E7244F"/>
    <w:rsid w:val="00E72605"/>
    <w:rsid w:val="00E7277E"/>
    <w:rsid w:val="00E72866"/>
    <w:rsid w:val="00E72935"/>
    <w:rsid w:val="00E72D0F"/>
    <w:rsid w:val="00E72D6D"/>
    <w:rsid w:val="00E72DD3"/>
    <w:rsid w:val="00E73145"/>
    <w:rsid w:val="00E73259"/>
    <w:rsid w:val="00E73508"/>
    <w:rsid w:val="00E735C2"/>
    <w:rsid w:val="00E7369D"/>
    <w:rsid w:val="00E73812"/>
    <w:rsid w:val="00E738A8"/>
    <w:rsid w:val="00E741CA"/>
    <w:rsid w:val="00E74282"/>
    <w:rsid w:val="00E742E4"/>
    <w:rsid w:val="00E746D1"/>
    <w:rsid w:val="00E74752"/>
    <w:rsid w:val="00E749C9"/>
    <w:rsid w:val="00E74A26"/>
    <w:rsid w:val="00E74C07"/>
    <w:rsid w:val="00E74C23"/>
    <w:rsid w:val="00E74DBD"/>
    <w:rsid w:val="00E74E69"/>
    <w:rsid w:val="00E75427"/>
    <w:rsid w:val="00E755B0"/>
    <w:rsid w:val="00E75813"/>
    <w:rsid w:val="00E75ABC"/>
    <w:rsid w:val="00E75CAE"/>
    <w:rsid w:val="00E75CC9"/>
    <w:rsid w:val="00E75ED2"/>
    <w:rsid w:val="00E76235"/>
    <w:rsid w:val="00E76341"/>
    <w:rsid w:val="00E7653B"/>
    <w:rsid w:val="00E76692"/>
    <w:rsid w:val="00E76906"/>
    <w:rsid w:val="00E76C78"/>
    <w:rsid w:val="00E7727B"/>
    <w:rsid w:val="00E77502"/>
    <w:rsid w:val="00E7751F"/>
    <w:rsid w:val="00E7752B"/>
    <w:rsid w:val="00E77702"/>
    <w:rsid w:val="00E77726"/>
    <w:rsid w:val="00E77789"/>
    <w:rsid w:val="00E777D3"/>
    <w:rsid w:val="00E7790A"/>
    <w:rsid w:val="00E77A16"/>
    <w:rsid w:val="00E77BC8"/>
    <w:rsid w:val="00E77CFF"/>
    <w:rsid w:val="00E77D33"/>
    <w:rsid w:val="00E77D3B"/>
    <w:rsid w:val="00E8006B"/>
    <w:rsid w:val="00E804F4"/>
    <w:rsid w:val="00E806BF"/>
    <w:rsid w:val="00E807B2"/>
    <w:rsid w:val="00E808C1"/>
    <w:rsid w:val="00E809F7"/>
    <w:rsid w:val="00E80B4E"/>
    <w:rsid w:val="00E80C93"/>
    <w:rsid w:val="00E80E79"/>
    <w:rsid w:val="00E80EF1"/>
    <w:rsid w:val="00E80F56"/>
    <w:rsid w:val="00E81047"/>
    <w:rsid w:val="00E81109"/>
    <w:rsid w:val="00E8188F"/>
    <w:rsid w:val="00E81A0F"/>
    <w:rsid w:val="00E81D18"/>
    <w:rsid w:val="00E82052"/>
    <w:rsid w:val="00E821CA"/>
    <w:rsid w:val="00E821DB"/>
    <w:rsid w:val="00E823BA"/>
    <w:rsid w:val="00E823ED"/>
    <w:rsid w:val="00E824B0"/>
    <w:rsid w:val="00E8280C"/>
    <w:rsid w:val="00E82C92"/>
    <w:rsid w:val="00E82FF1"/>
    <w:rsid w:val="00E83031"/>
    <w:rsid w:val="00E833CA"/>
    <w:rsid w:val="00E8354D"/>
    <w:rsid w:val="00E8392A"/>
    <w:rsid w:val="00E83B32"/>
    <w:rsid w:val="00E83E28"/>
    <w:rsid w:val="00E83E4C"/>
    <w:rsid w:val="00E83F2C"/>
    <w:rsid w:val="00E84005"/>
    <w:rsid w:val="00E8413C"/>
    <w:rsid w:val="00E846BC"/>
    <w:rsid w:val="00E8479D"/>
    <w:rsid w:val="00E84C7C"/>
    <w:rsid w:val="00E84D41"/>
    <w:rsid w:val="00E84DDD"/>
    <w:rsid w:val="00E85144"/>
    <w:rsid w:val="00E852E1"/>
    <w:rsid w:val="00E856CE"/>
    <w:rsid w:val="00E857A5"/>
    <w:rsid w:val="00E85804"/>
    <w:rsid w:val="00E858EA"/>
    <w:rsid w:val="00E859C5"/>
    <w:rsid w:val="00E85A78"/>
    <w:rsid w:val="00E85BE6"/>
    <w:rsid w:val="00E865B0"/>
    <w:rsid w:val="00E867A2"/>
    <w:rsid w:val="00E867AF"/>
    <w:rsid w:val="00E86919"/>
    <w:rsid w:val="00E86B53"/>
    <w:rsid w:val="00E86F11"/>
    <w:rsid w:val="00E8719B"/>
    <w:rsid w:val="00E871A9"/>
    <w:rsid w:val="00E877EA"/>
    <w:rsid w:val="00E879FB"/>
    <w:rsid w:val="00E87DAB"/>
    <w:rsid w:val="00E87EBA"/>
    <w:rsid w:val="00E9044D"/>
    <w:rsid w:val="00E904AF"/>
    <w:rsid w:val="00E90841"/>
    <w:rsid w:val="00E9084F"/>
    <w:rsid w:val="00E90F7D"/>
    <w:rsid w:val="00E910C4"/>
    <w:rsid w:val="00E910CC"/>
    <w:rsid w:val="00E91149"/>
    <w:rsid w:val="00E9120B"/>
    <w:rsid w:val="00E91644"/>
    <w:rsid w:val="00E91899"/>
    <w:rsid w:val="00E91933"/>
    <w:rsid w:val="00E919E9"/>
    <w:rsid w:val="00E91BF9"/>
    <w:rsid w:val="00E91DFA"/>
    <w:rsid w:val="00E91E25"/>
    <w:rsid w:val="00E91E90"/>
    <w:rsid w:val="00E92522"/>
    <w:rsid w:val="00E925EA"/>
    <w:rsid w:val="00E92610"/>
    <w:rsid w:val="00E92827"/>
    <w:rsid w:val="00E9284C"/>
    <w:rsid w:val="00E92A81"/>
    <w:rsid w:val="00E92DD1"/>
    <w:rsid w:val="00E92E58"/>
    <w:rsid w:val="00E92E7C"/>
    <w:rsid w:val="00E92ED4"/>
    <w:rsid w:val="00E9317F"/>
    <w:rsid w:val="00E933FB"/>
    <w:rsid w:val="00E933FC"/>
    <w:rsid w:val="00E93616"/>
    <w:rsid w:val="00E93696"/>
    <w:rsid w:val="00E93784"/>
    <w:rsid w:val="00E93819"/>
    <w:rsid w:val="00E93AB8"/>
    <w:rsid w:val="00E93E77"/>
    <w:rsid w:val="00E94247"/>
    <w:rsid w:val="00E94360"/>
    <w:rsid w:val="00E94446"/>
    <w:rsid w:val="00E944C4"/>
    <w:rsid w:val="00E944CC"/>
    <w:rsid w:val="00E9456F"/>
    <w:rsid w:val="00E9468C"/>
    <w:rsid w:val="00E946ED"/>
    <w:rsid w:val="00E948FA"/>
    <w:rsid w:val="00E94E01"/>
    <w:rsid w:val="00E950B4"/>
    <w:rsid w:val="00E950F3"/>
    <w:rsid w:val="00E9522B"/>
    <w:rsid w:val="00E9549B"/>
    <w:rsid w:val="00E95620"/>
    <w:rsid w:val="00E9566A"/>
    <w:rsid w:val="00E9575E"/>
    <w:rsid w:val="00E95848"/>
    <w:rsid w:val="00E95B04"/>
    <w:rsid w:val="00E95BFB"/>
    <w:rsid w:val="00E95EED"/>
    <w:rsid w:val="00E9612A"/>
    <w:rsid w:val="00E9622E"/>
    <w:rsid w:val="00E9627B"/>
    <w:rsid w:val="00E963F8"/>
    <w:rsid w:val="00E96689"/>
    <w:rsid w:val="00E969B1"/>
    <w:rsid w:val="00E96C83"/>
    <w:rsid w:val="00E96D53"/>
    <w:rsid w:val="00E96ED4"/>
    <w:rsid w:val="00E96F86"/>
    <w:rsid w:val="00E96FAE"/>
    <w:rsid w:val="00E96FB6"/>
    <w:rsid w:val="00E970B6"/>
    <w:rsid w:val="00E9722A"/>
    <w:rsid w:val="00E9759C"/>
    <w:rsid w:val="00E97715"/>
    <w:rsid w:val="00E979B1"/>
    <w:rsid w:val="00E97C76"/>
    <w:rsid w:val="00E97E01"/>
    <w:rsid w:val="00E97E69"/>
    <w:rsid w:val="00EA006F"/>
    <w:rsid w:val="00EA014B"/>
    <w:rsid w:val="00EA0166"/>
    <w:rsid w:val="00EA0170"/>
    <w:rsid w:val="00EA02C9"/>
    <w:rsid w:val="00EA0584"/>
    <w:rsid w:val="00EA070E"/>
    <w:rsid w:val="00EA089A"/>
    <w:rsid w:val="00EA08C9"/>
    <w:rsid w:val="00EA08CC"/>
    <w:rsid w:val="00EA0960"/>
    <w:rsid w:val="00EA0A66"/>
    <w:rsid w:val="00EA0A9D"/>
    <w:rsid w:val="00EA0B34"/>
    <w:rsid w:val="00EA0DBD"/>
    <w:rsid w:val="00EA0F4E"/>
    <w:rsid w:val="00EA0F77"/>
    <w:rsid w:val="00EA149B"/>
    <w:rsid w:val="00EA1586"/>
    <w:rsid w:val="00EA159C"/>
    <w:rsid w:val="00EA19DB"/>
    <w:rsid w:val="00EA1A00"/>
    <w:rsid w:val="00EA1A11"/>
    <w:rsid w:val="00EA1B2C"/>
    <w:rsid w:val="00EA1B87"/>
    <w:rsid w:val="00EA1C3C"/>
    <w:rsid w:val="00EA25F7"/>
    <w:rsid w:val="00EA2747"/>
    <w:rsid w:val="00EA276C"/>
    <w:rsid w:val="00EA27EB"/>
    <w:rsid w:val="00EA288D"/>
    <w:rsid w:val="00EA28B4"/>
    <w:rsid w:val="00EA2971"/>
    <w:rsid w:val="00EA2AB0"/>
    <w:rsid w:val="00EA2BE7"/>
    <w:rsid w:val="00EA2DAE"/>
    <w:rsid w:val="00EA34D3"/>
    <w:rsid w:val="00EA3747"/>
    <w:rsid w:val="00EA39A7"/>
    <w:rsid w:val="00EA3D4A"/>
    <w:rsid w:val="00EA4003"/>
    <w:rsid w:val="00EA4004"/>
    <w:rsid w:val="00EA42CC"/>
    <w:rsid w:val="00EA44B5"/>
    <w:rsid w:val="00EA4839"/>
    <w:rsid w:val="00EA4948"/>
    <w:rsid w:val="00EA4DCA"/>
    <w:rsid w:val="00EA5146"/>
    <w:rsid w:val="00EA51AC"/>
    <w:rsid w:val="00EA5435"/>
    <w:rsid w:val="00EA5500"/>
    <w:rsid w:val="00EA571C"/>
    <w:rsid w:val="00EA57D2"/>
    <w:rsid w:val="00EA590D"/>
    <w:rsid w:val="00EA5A89"/>
    <w:rsid w:val="00EA5AAC"/>
    <w:rsid w:val="00EA5DA1"/>
    <w:rsid w:val="00EA5E7D"/>
    <w:rsid w:val="00EA5F02"/>
    <w:rsid w:val="00EA5F43"/>
    <w:rsid w:val="00EA5FAA"/>
    <w:rsid w:val="00EA6306"/>
    <w:rsid w:val="00EA6323"/>
    <w:rsid w:val="00EA6373"/>
    <w:rsid w:val="00EA6697"/>
    <w:rsid w:val="00EA67A2"/>
    <w:rsid w:val="00EA6840"/>
    <w:rsid w:val="00EA6948"/>
    <w:rsid w:val="00EA697A"/>
    <w:rsid w:val="00EA6A89"/>
    <w:rsid w:val="00EA6AD4"/>
    <w:rsid w:val="00EA6AE1"/>
    <w:rsid w:val="00EA6EC6"/>
    <w:rsid w:val="00EA6EFF"/>
    <w:rsid w:val="00EA6FB9"/>
    <w:rsid w:val="00EA72FC"/>
    <w:rsid w:val="00EA732A"/>
    <w:rsid w:val="00EA73EB"/>
    <w:rsid w:val="00EA765B"/>
    <w:rsid w:val="00EA76E6"/>
    <w:rsid w:val="00EA78BF"/>
    <w:rsid w:val="00EA78CA"/>
    <w:rsid w:val="00EA7CF2"/>
    <w:rsid w:val="00EB00BB"/>
    <w:rsid w:val="00EB0224"/>
    <w:rsid w:val="00EB0277"/>
    <w:rsid w:val="00EB034E"/>
    <w:rsid w:val="00EB037F"/>
    <w:rsid w:val="00EB038D"/>
    <w:rsid w:val="00EB0466"/>
    <w:rsid w:val="00EB05AA"/>
    <w:rsid w:val="00EB0AAE"/>
    <w:rsid w:val="00EB0C59"/>
    <w:rsid w:val="00EB0C72"/>
    <w:rsid w:val="00EB0D8D"/>
    <w:rsid w:val="00EB0E25"/>
    <w:rsid w:val="00EB161A"/>
    <w:rsid w:val="00EB18E9"/>
    <w:rsid w:val="00EB1A50"/>
    <w:rsid w:val="00EB1BB5"/>
    <w:rsid w:val="00EB1DDF"/>
    <w:rsid w:val="00EB1EB5"/>
    <w:rsid w:val="00EB1F35"/>
    <w:rsid w:val="00EB21C5"/>
    <w:rsid w:val="00EB2293"/>
    <w:rsid w:val="00EB2338"/>
    <w:rsid w:val="00EB263B"/>
    <w:rsid w:val="00EB295D"/>
    <w:rsid w:val="00EB2998"/>
    <w:rsid w:val="00EB29CA"/>
    <w:rsid w:val="00EB29F5"/>
    <w:rsid w:val="00EB2A3D"/>
    <w:rsid w:val="00EB2AE5"/>
    <w:rsid w:val="00EB2AFB"/>
    <w:rsid w:val="00EB2FA6"/>
    <w:rsid w:val="00EB2FF8"/>
    <w:rsid w:val="00EB3116"/>
    <w:rsid w:val="00EB3179"/>
    <w:rsid w:val="00EB3296"/>
    <w:rsid w:val="00EB3635"/>
    <w:rsid w:val="00EB3651"/>
    <w:rsid w:val="00EB3666"/>
    <w:rsid w:val="00EB3C8C"/>
    <w:rsid w:val="00EB3CC1"/>
    <w:rsid w:val="00EB3D44"/>
    <w:rsid w:val="00EB40D9"/>
    <w:rsid w:val="00EB441B"/>
    <w:rsid w:val="00EB4638"/>
    <w:rsid w:val="00EB4776"/>
    <w:rsid w:val="00EB4789"/>
    <w:rsid w:val="00EB49D7"/>
    <w:rsid w:val="00EB49EE"/>
    <w:rsid w:val="00EB4C51"/>
    <w:rsid w:val="00EB4E96"/>
    <w:rsid w:val="00EB509D"/>
    <w:rsid w:val="00EB51D4"/>
    <w:rsid w:val="00EB544C"/>
    <w:rsid w:val="00EB5875"/>
    <w:rsid w:val="00EB58AA"/>
    <w:rsid w:val="00EB58F2"/>
    <w:rsid w:val="00EB5A35"/>
    <w:rsid w:val="00EB5E1A"/>
    <w:rsid w:val="00EB5EFA"/>
    <w:rsid w:val="00EB605D"/>
    <w:rsid w:val="00EB6205"/>
    <w:rsid w:val="00EB621F"/>
    <w:rsid w:val="00EB63C5"/>
    <w:rsid w:val="00EB6552"/>
    <w:rsid w:val="00EB682F"/>
    <w:rsid w:val="00EB6B5C"/>
    <w:rsid w:val="00EB6C57"/>
    <w:rsid w:val="00EB6F67"/>
    <w:rsid w:val="00EB6FF4"/>
    <w:rsid w:val="00EB71E5"/>
    <w:rsid w:val="00EB729D"/>
    <w:rsid w:val="00EB761E"/>
    <w:rsid w:val="00EB7740"/>
    <w:rsid w:val="00EB7773"/>
    <w:rsid w:val="00EB7990"/>
    <w:rsid w:val="00EB7A08"/>
    <w:rsid w:val="00EB7A3F"/>
    <w:rsid w:val="00EB7EAE"/>
    <w:rsid w:val="00EB7ECE"/>
    <w:rsid w:val="00EB7F4C"/>
    <w:rsid w:val="00EC01E5"/>
    <w:rsid w:val="00EC0261"/>
    <w:rsid w:val="00EC0269"/>
    <w:rsid w:val="00EC0573"/>
    <w:rsid w:val="00EC0853"/>
    <w:rsid w:val="00EC0AB6"/>
    <w:rsid w:val="00EC0B98"/>
    <w:rsid w:val="00EC0E4E"/>
    <w:rsid w:val="00EC0E57"/>
    <w:rsid w:val="00EC0E65"/>
    <w:rsid w:val="00EC1283"/>
    <w:rsid w:val="00EC12C3"/>
    <w:rsid w:val="00EC1353"/>
    <w:rsid w:val="00EC14B8"/>
    <w:rsid w:val="00EC1728"/>
    <w:rsid w:val="00EC18E6"/>
    <w:rsid w:val="00EC1984"/>
    <w:rsid w:val="00EC19A2"/>
    <w:rsid w:val="00EC1C0F"/>
    <w:rsid w:val="00EC1C18"/>
    <w:rsid w:val="00EC1CCC"/>
    <w:rsid w:val="00EC1D2B"/>
    <w:rsid w:val="00EC2046"/>
    <w:rsid w:val="00EC208E"/>
    <w:rsid w:val="00EC234C"/>
    <w:rsid w:val="00EC243F"/>
    <w:rsid w:val="00EC2801"/>
    <w:rsid w:val="00EC280F"/>
    <w:rsid w:val="00EC2812"/>
    <w:rsid w:val="00EC297A"/>
    <w:rsid w:val="00EC2986"/>
    <w:rsid w:val="00EC2BA1"/>
    <w:rsid w:val="00EC2BEB"/>
    <w:rsid w:val="00EC2C23"/>
    <w:rsid w:val="00EC2CCE"/>
    <w:rsid w:val="00EC2EF1"/>
    <w:rsid w:val="00EC2FFF"/>
    <w:rsid w:val="00EC3490"/>
    <w:rsid w:val="00EC3605"/>
    <w:rsid w:val="00EC393F"/>
    <w:rsid w:val="00EC39BC"/>
    <w:rsid w:val="00EC3EC2"/>
    <w:rsid w:val="00EC3F29"/>
    <w:rsid w:val="00EC43B5"/>
    <w:rsid w:val="00EC4842"/>
    <w:rsid w:val="00EC4907"/>
    <w:rsid w:val="00EC4972"/>
    <w:rsid w:val="00EC49D8"/>
    <w:rsid w:val="00EC49FD"/>
    <w:rsid w:val="00EC4C3F"/>
    <w:rsid w:val="00EC4DBC"/>
    <w:rsid w:val="00EC4E8D"/>
    <w:rsid w:val="00EC52B8"/>
    <w:rsid w:val="00EC52FC"/>
    <w:rsid w:val="00EC5397"/>
    <w:rsid w:val="00EC53E1"/>
    <w:rsid w:val="00EC5499"/>
    <w:rsid w:val="00EC54DF"/>
    <w:rsid w:val="00EC579C"/>
    <w:rsid w:val="00EC5A79"/>
    <w:rsid w:val="00EC5AA4"/>
    <w:rsid w:val="00EC5F85"/>
    <w:rsid w:val="00EC6205"/>
    <w:rsid w:val="00EC6212"/>
    <w:rsid w:val="00EC6273"/>
    <w:rsid w:val="00EC62EF"/>
    <w:rsid w:val="00EC64E7"/>
    <w:rsid w:val="00EC6935"/>
    <w:rsid w:val="00EC69D2"/>
    <w:rsid w:val="00EC6A26"/>
    <w:rsid w:val="00EC6CBA"/>
    <w:rsid w:val="00EC7056"/>
    <w:rsid w:val="00EC7284"/>
    <w:rsid w:val="00EC739C"/>
    <w:rsid w:val="00EC7545"/>
    <w:rsid w:val="00EC768F"/>
    <w:rsid w:val="00EC7715"/>
    <w:rsid w:val="00EC7768"/>
    <w:rsid w:val="00EC7813"/>
    <w:rsid w:val="00EC7B7A"/>
    <w:rsid w:val="00EC7DD9"/>
    <w:rsid w:val="00EC7E24"/>
    <w:rsid w:val="00EC7E3A"/>
    <w:rsid w:val="00EC7EFC"/>
    <w:rsid w:val="00EC7FD3"/>
    <w:rsid w:val="00ED0060"/>
    <w:rsid w:val="00ED0152"/>
    <w:rsid w:val="00ED0239"/>
    <w:rsid w:val="00ED0458"/>
    <w:rsid w:val="00ED04E2"/>
    <w:rsid w:val="00ED0A1B"/>
    <w:rsid w:val="00ED0F0B"/>
    <w:rsid w:val="00ED11A0"/>
    <w:rsid w:val="00ED142F"/>
    <w:rsid w:val="00ED17A5"/>
    <w:rsid w:val="00ED1908"/>
    <w:rsid w:val="00ED1922"/>
    <w:rsid w:val="00ED1A3F"/>
    <w:rsid w:val="00ED1E6D"/>
    <w:rsid w:val="00ED1E79"/>
    <w:rsid w:val="00ED205E"/>
    <w:rsid w:val="00ED20BB"/>
    <w:rsid w:val="00ED2278"/>
    <w:rsid w:val="00ED27F6"/>
    <w:rsid w:val="00ED2955"/>
    <w:rsid w:val="00ED2A92"/>
    <w:rsid w:val="00ED2B10"/>
    <w:rsid w:val="00ED2B78"/>
    <w:rsid w:val="00ED2B92"/>
    <w:rsid w:val="00ED2D2A"/>
    <w:rsid w:val="00ED30BD"/>
    <w:rsid w:val="00ED30BF"/>
    <w:rsid w:val="00ED3316"/>
    <w:rsid w:val="00ED332F"/>
    <w:rsid w:val="00ED3338"/>
    <w:rsid w:val="00ED3529"/>
    <w:rsid w:val="00ED380E"/>
    <w:rsid w:val="00ED3EFE"/>
    <w:rsid w:val="00ED405B"/>
    <w:rsid w:val="00ED4200"/>
    <w:rsid w:val="00ED4288"/>
    <w:rsid w:val="00ED42B3"/>
    <w:rsid w:val="00ED435A"/>
    <w:rsid w:val="00ED442E"/>
    <w:rsid w:val="00ED4509"/>
    <w:rsid w:val="00ED481E"/>
    <w:rsid w:val="00ED498C"/>
    <w:rsid w:val="00ED4D17"/>
    <w:rsid w:val="00ED4EB0"/>
    <w:rsid w:val="00ED5073"/>
    <w:rsid w:val="00ED50E9"/>
    <w:rsid w:val="00ED50EB"/>
    <w:rsid w:val="00ED54BA"/>
    <w:rsid w:val="00ED5612"/>
    <w:rsid w:val="00ED589A"/>
    <w:rsid w:val="00ED58D4"/>
    <w:rsid w:val="00ED5B04"/>
    <w:rsid w:val="00ED5CDD"/>
    <w:rsid w:val="00ED5CF1"/>
    <w:rsid w:val="00ED60ED"/>
    <w:rsid w:val="00ED61B2"/>
    <w:rsid w:val="00ED6557"/>
    <w:rsid w:val="00ED675E"/>
    <w:rsid w:val="00ED6C18"/>
    <w:rsid w:val="00ED6D8D"/>
    <w:rsid w:val="00ED6F7D"/>
    <w:rsid w:val="00ED6FCE"/>
    <w:rsid w:val="00ED714A"/>
    <w:rsid w:val="00ED71CB"/>
    <w:rsid w:val="00ED72DE"/>
    <w:rsid w:val="00ED73BE"/>
    <w:rsid w:val="00ED7582"/>
    <w:rsid w:val="00ED75F2"/>
    <w:rsid w:val="00ED7BFC"/>
    <w:rsid w:val="00EDE106"/>
    <w:rsid w:val="00EE02C6"/>
    <w:rsid w:val="00EE044C"/>
    <w:rsid w:val="00EE065C"/>
    <w:rsid w:val="00EE075F"/>
    <w:rsid w:val="00EE08EB"/>
    <w:rsid w:val="00EE08FD"/>
    <w:rsid w:val="00EE09ED"/>
    <w:rsid w:val="00EE150D"/>
    <w:rsid w:val="00EE1527"/>
    <w:rsid w:val="00EE15F1"/>
    <w:rsid w:val="00EE1BBA"/>
    <w:rsid w:val="00EE1CA3"/>
    <w:rsid w:val="00EE1F02"/>
    <w:rsid w:val="00EE1F79"/>
    <w:rsid w:val="00EE2262"/>
    <w:rsid w:val="00EE22E5"/>
    <w:rsid w:val="00EE236D"/>
    <w:rsid w:val="00EE2412"/>
    <w:rsid w:val="00EE2596"/>
    <w:rsid w:val="00EE259B"/>
    <w:rsid w:val="00EE2865"/>
    <w:rsid w:val="00EE2871"/>
    <w:rsid w:val="00EE2922"/>
    <w:rsid w:val="00EE2978"/>
    <w:rsid w:val="00EE2E42"/>
    <w:rsid w:val="00EE2F49"/>
    <w:rsid w:val="00EE2FA8"/>
    <w:rsid w:val="00EE30E9"/>
    <w:rsid w:val="00EE313E"/>
    <w:rsid w:val="00EE3195"/>
    <w:rsid w:val="00EE336C"/>
    <w:rsid w:val="00EE3495"/>
    <w:rsid w:val="00EE3635"/>
    <w:rsid w:val="00EE3874"/>
    <w:rsid w:val="00EE39A0"/>
    <w:rsid w:val="00EE3A0A"/>
    <w:rsid w:val="00EE3A1C"/>
    <w:rsid w:val="00EE3AC7"/>
    <w:rsid w:val="00EE3E8C"/>
    <w:rsid w:val="00EE3F30"/>
    <w:rsid w:val="00EE400B"/>
    <w:rsid w:val="00EE4171"/>
    <w:rsid w:val="00EE4317"/>
    <w:rsid w:val="00EE4384"/>
    <w:rsid w:val="00EE4466"/>
    <w:rsid w:val="00EE44CF"/>
    <w:rsid w:val="00EE4A93"/>
    <w:rsid w:val="00EE4E56"/>
    <w:rsid w:val="00EE4EC1"/>
    <w:rsid w:val="00EE5025"/>
    <w:rsid w:val="00EE50AA"/>
    <w:rsid w:val="00EE552A"/>
    <w:rsid w:val="00EE55D3"/>
    <w:rsid w:val="00EE564C"/>
    <w:rsid w:val="00EE5782"/>
    <w:rsid w:val="00EE592E"/>
    <w:rsid w:val="00EE59B8"/>
    <w:rsid w:val="00EE5A23"/>
    <w:rsid w:val="00EE5B24"/>
    <w:rsid w:val="00EE5C26"/>
    <w:rsid w:val="00EE5D58"/>
    <w:rsid w:val="00EE5D9F"/>
    <w:rsid w:val="00EE5EDC"/>
    <w:rsid w:val="00EE5F5D"/>
    <w:rsid w:val="00EE6010"/>
    <w:rsid w:val="00EE6087"/>
    <w:rsid w:val="00EE62F3"/>
    <w:rsid w:val="00EE630A"/>
    <w:rsid w:val="00EE635C"/>
    <w:rsid w:val="00EE63FC"/>
    <w:rsid w:val="00EE66BE"/>
    <w:rsid w:val="00EE6816"/>
    <w:rsid w:val="00EE6A5A"/>
    <w:rsid w:val="00EE6B69"/>
    <w:rsid w:val="00EE6BD2"/>
    <w:rsid w:val="00EE6CD3"/>
    <w:rsid w:val="00EE700E"/>
    <w:rsid w:val="00EE7157"/>
    <w:rsid w:val="00EE7333"/>
    <w:rsid w:val="00EE750F"/>
    <w:rsid w:val="00EE767E"/>
    <w:rsid w:val="00EE76E4"/>
    <w:rsid w:val="00EE7862"/>
    <w:rsid w:val="00EE7D9C"/>
    <w:rsid w:val="00EF082B"/>
    <w:rsid w:val="00EF083D"/>
    <w:rsid w:val="00EF0DBC"/>
    <w:rsid w:val="00EF0EE3"/>
    <w:rsid w:val="00EF0EF8"/>
    <w:rsid w:val="00EF0FA6"/>
    <w:rsid w:val="00EF1627"/>
    <w:rsid w:val="00EF184C"/>
    <w:rsid w:val="00EF195A"/>
    <w:rsid w:val="00EF1D73"/>
    <w:rsid w:val="00EF1E12"/>
    <w:rsid w:val="00EF1EA0"/>
    <w:rsid w:val="00EF20D7"/>
    <w:rsid w:val="00EF2582"/>
    <w:rsid w:val="00EF25B3"/>
    <w:rsid w:val="00EF279C"/>
    <w:rsid w:val="00EF29DE"/>
    <w:rsid w:val="00EF2A45"/>
    <w:rsid w:val="00EF2EB0"/>
    <w:rsid w:val="00EF300A"/>
    <w:rsid w:val="00EF323D"/>
    <w:rsid w:val="00EF3407"/>
    <w:rsid w:val="00EF3419"/>
    <w:rsid w:val="00EF3961"/>
    <w:rsid w:val="00EF3F9B"/>
    <w:rsid w:val="00EF41B0"/>
    <w:rsid w:val="00EF4255"/>
    <w:rsid w:val="00EF4310"/>
    <w:rsid w:val="00EF4AA0"/>
    <w:rsid w:val="00EF4BA6"/>
    <w:rsid w:val="00EF4C06"/>
    <w:rsid w:val="00EF4C58"/>
    <w:rsid w:val="00EF4E1A"/>
    <w:rsid w:val="00EF5135"/>
    <w:rsid w:val="00EF5325"/>
    <w:rsid w:val="00EF537B"/>
    <w:rsid w:val="00EF5761"/>
    <w:rsid w:val="00EF5A22"/>
    <w:rsid w:val="00EF5C96"/>
    <w:rsid w:val="00EF5D2F"/>
    <w:rsid w:val="00EF5E20"/>
    <w:rsid w:val="00EF5E27"/>
    <w:rsid w:val="00EF5F36"/>
    <w:rsid w:val="00EF6031"/>
    <w:rsid w:val="00EF60DC"/>
    <w:rsid w:val="00EF60DF"/>
    <w:rsid w:val="00EF62E2"/>
    <w:rsid w:val="00EF6463"/>
    <w:rsid w:val="00EF64AD"/>
    <w:rsid w:val="00EF6506"/>
    <w:rsid w:val="00EF67C0"/>
    <w:rsid w:val="00EF6A47"/>
    <w:rsid w:val="00EF6A4E"/>
    <w:rsid w:val="00EF6C31"/>
    <w:rsid w:val="00EF6CF0"/>
    <w:rsid w:val="00EF6DFD"/>
    <w:rsid w:val="00EF6FB3"/>
    <w:rsid w:val="00EF7333"/>
    <w:rsid w:val="00EF749C"/>
    <w:rsid w:val="00EF7534"/>
    <w:rsid w:val="00EF7557"/>
    <w:rsid w:val="00EF75CB"/>
    <w:rsid w:val="00EF7670"/>
    <w:rsid w:val="00EF7675"/>
    <w:rsid w:val="00EF7A3B"/>
    <w:rsid w:val="00EF7B22"/>
    <w:rsid w:val="00EF7B8C"/>
    <w:rsid w:val="00EF7D57"/>
    <w:rsid w:val="00F00060"/>
    <w:rsid w:val="00F00096"/>
    <w:rsid w:val="00F00406"/>
    <w:rsid w:val="00F004EB"/>
    <w:rsid w:val="00F00522"/>
    <w:rsid w:val="00F0054B"/>
    <w:rsid w:val="00F00550"/>
    <w:rsid w:val="00F00622"/>
    <w:rsid w:val="00F007CF"/>
    <w:rsid w:val="00F00ADA"/>
    <w:rsid w:val="00F00C7E"/>
    <w:rsid w:val="00F0118E"/>
    <w:rsid w:val="00F0119C"/>
    <w:rsid w:val="00F01319"/>
    <w:rsid w:val="00F01340"/>
    <w:rsid w:val="00F013C4"/>
    <w:rsid w:val="00F01465"/>
    <w:rsid w:val="00F0183D"/>
    <w:rsid w:val="00F018F8"/>
    <w:rsid w:val="00F01940"/>
    <w:rsid w:val="00F01B52"/>
    <w:rsid w:val="00F01C56"/>
    <w:rsid w:val="00F020BB"/>
    <w:rsid w:val="00F02145"/>
    <w:rsid w:val="00F0219B"/>
    <w:rsid w:val="00F02349"/>
    <w:rsid w:val="00F0263E"/>
    <w:rsid w:val="00F02687"/>
    <w:rsid w:val="00F02704"/>
    <w:rsid w:val="00F0286F"/>
    <w:rsid w:val="00F02A4F"/>
    <w:rsid w:val="00F02BDB"/>
    <w:rsid w:val="00F03120"/>
    <w:rsid w:val="00F03181"/>
    <w:rsid w:val="00F0323C"/>
    <w:rsid w:val="00F036A3"/>
    <w:rsid w:val="00F0372C"/>
    <w:rsid w:val="00F0389E"/>
    <w:rsid w:val="00F0398F"/>
    <w:rsid w:val="00F03BD5"/>
    <w:rsid w:val="00F03C28"/>
    <w:rsid w:val="00F03C63"/>
    <w:rsid w:val="00F03C74"/>
    <w:rsid w:val="00F03CF4"/>
    <w:rsid w:val="00F03CF6"/>
    <w:rsid w:val="00F03DFC"/>
    <w:rsid w:val="00F03EEB"/>
    <w:rsid w:val="00F03FF4"/>
    <w:rsid w:val="00F04148"/>
    <w:rsid w:val="00F041A9"/>
    <w:rsid w:val="00F043C5"/>
    <w:rsid w:val="00F0441B"/>
    <w:rsid w:val="00F04431"/>
    <w:rsid w:val="00F04635"/>
    <w:rsid w:val="00F047CE"/>
    <w:rsid w:val="00F04963"/>
    <w:rsid w:val="00F049FB"/>
    <w:rsid w:val="00F04B57"/>
    <w:rsid w:val="00F04B5E"/>
    <w:rsid w:val="00F04BAB"/>
    <w:rsid w:val="00F04BD8"/>
    <w:rsid w:val="00F04C2E"/>
    <w:rsid w:val="00F050BF"/>
    <w:rsid w:val="00F053ED"/>
    <w:rsid w:val="00F05A1D"/>
    <w:rsid w:val="00F05CE7"/>
    <w:rsid w:val="00F05CFE"/>
    <w:rsid w:val="00F05F0F"/>
    <w:rsid w:val="00F0603D"/>
    <w:rsid w:val="00F06308"/>
    <w:rsid w:val="00F065FE"/>
    <w:rsid w:val="00F067EE"/>
    <w:rsid w:val="00F068B7"/>
    <w:rsid w:val="00F06C37"/>
    <w:rsid w:val="00F06C75"/>
    <w:rsid w:val="00F06DBC"/>
    <w:rsid w:val="00F06E0C"/>
    <w:rsid w:val="00F071D8"/>
    <w:rsid w:val="00F07215"/>
    <w:rsid w:val="00F07290"/>
    <w:rsid w:val="00F0735C"/>
    <w:rsid w:val="00F07387"/>
    <w:rsid w:val="00F073AA"/>
    <w:rsid w:val="00F07485"/>
    <w:rsid w:val="00F07623"/>
    <w:rsid w:val="00F07763"/>
    <w:rsid w:val="00F07AB2"/>
    <w:rsid w:val="00F07EB1"/>
    <w:rsid w:val="00F1030B"/>
    <w:rsid w:val="00F1036D"/>
    <w:rsid w:val="00F103F8"/>
    <w:rsid w:val="00F1051D"/>
    <w:rsid w:val="00F1094A"/>
    <w:rsid w:val="00F10998"/>
    <w:rsid w:val="00F10BB7"/>
    <w:rsid w:val="00F10BE0"/>
    <w:rsid w:val="00F10DBB"/>
    <w:rsid w:val="00F10E8B"/>
    <w:rsid w:val="00F10F4C"/>
    <w:rsid w:val="00F11366"/>
    <w:rsid w:val="00F114EB"/>
    <w:rsid w:val="00F11599"/>
    <w:rsid w:val="00F11890"/>
    <w:rsid w:val="00F11A95"/>
    <w:rsid w:val="00F11AEC"/>
    <w:rsid w:val="00F11C96"/>
    <w:rsid w:val="00F11CD0"/>
    <w:rsid w:val="00F11D44"/>
    <w:rsid w:val="00F11DB9"/>
    <w:rsid w:val="00F11E27"/>
    <w:rsid w:val="00F11EF2"/>
    <w:rsid w:val="00F122B7"/>
    <w:rsid w:val="00F12826"/>
    <w:rsid w:val="00F12841"/>
    <w:rsid w:val="00F12ABB"/>
    <w:rsid w:val="00F12E73"/>
    <w:rsid w:val="00F12E74"/>
    <w:rsid w:val="00F1337C"/>
    <w:rsid w:val="00F13401"/>
    <w:rsid w:val="00F13A89"/>
    <w:rsid w:val="00F13CE5"/>
    <w:rsid w:val="00F13D58"/>
    <w:rsid w:val="00F13E60"/>
    <w:rsid w:val="00F13F98"/>
    <w:rsid w:val="00F141F1"/>
    <w:rsid w:val="00F14286"/>
    <w:rsid w:val="00F144CB"/>
    <w:rsid w:val="00F1466F"/>
    <w:rsid w:val="00F14CA6"/>
    <w:rsid w:val="00F14D63"/>
    <w:rsid w:val="00F14D98"/>
    <w:rsid w:val="00F14F90"/>
    <w:rsid w:val="00F1512F"/>
    <w:rsid w:val="00F1520E"/>
    <w:rsid w:val="00F15327"/>
    <w:rsid w:val="00F153B1"/>
    <w:rsid w:val="00F153BB"/>
    <w:rsid w:val="00F1558C"/>
    <w:rsid w:val="00F15604"/>
    <w:rsid w:val="00F15768"/>
    <w:rsid w:val="00F157AC"/>
    <w:rsid w:val="00F15988"/>
    <w:rsid w:val="00F15D7A"/>
    <w:rsid w:val="00F1616E"/>
    <w:rsid w:val="00F1644C"/>
    <w:rsid w:val="00F16593"/>
    <w:rsid w:val="00F16596"/>
    <w:rsid w:val="00F165B6"/>
    <w:rsid w:val="00F1665D"/>
    <w:rsid w:val="00F16913"/>
    <w:rsid w:val="00F16BB1"/>
    <w:rsid w:val="00F16C91"/>
    <w:rsid w:val="00F16DE6"/>
    <w:rsid w:val="00F16EB6"/>
    <w:rsid w:val="00F17052"/>
    <w:rsid w:val="00F17166"/>
    <w:rsid w:val="00F17170"/>
    <w:rsid w:val="00F17242"/>
    <w:rsid w:val="00F17498"/>
    <w:rsid w:val="00F17870"/>
    <w:rsid w:val="00F17A41"/>
    <w:rsid w:val="00F17BCA"/>
    <w:rsid w:val="00F17CE2"/>
    <w:rsid w:val="00F17D50"/>
    <w:rsid w:val="00F20210"/>
    <w:rsid w:val="00F20240"/>
    <w:rsid w:val="00F203B4"/>
    <w:rsid w:val="00F2048F"/>
    <w:rsid w:val="00F204BB"/>
    <w:rsid w:val="00F205F8"/>
    <w:rsid w:val="00F20756"/>
    <w:rsid w:val="00F20867"/>
    <w:rsid w:val="00F20D0F"/>
    <w:rsid w:val="00F20E87"/>
    <w:rsid w:val="00F20F8D"/>
    <w:rsid w:val="00F2132E"/>
    <w:rsid w:val="00F2150A"/>
    <w:rsid w:val="00F215BE"/>
    <w:rsid w:val="00F21B0C"/>
    <w:rsid w:val="00F21D24"/>
    <w:rsid w:val="00F21F71"/>
    <w:rsid w:val="00F22070"/>
    <w:rsid w:val="00F2250B"/>
    <w:rsid w:val="00F22538"/>
    <w:rsid w:val="00F22748"/>
    <w:rsid w:val="00F22AA4"/>
    <w:rsid w:val="00F22ADF"/>
    <w:rsid w:val="00F22B9D"/>
    <w:rsid w:val="00F22CC3"/>
    <w:rsid w:val="00F22CDB"/>
    <w:rsid w:val="00F22E17"/>
    <w:rsid w:val="00F22EB5"/>
    <w:rsid w:val="00F23005"/>
    <w:rsid w:val="00F23006"/>
    <w:rsid w:val="00F233A5"/>
    <w:rsid w:val="00F233EF"/>
    <w:rsid w:val="00F235E4"/>
    <w:rsid w:val="00F237FF"/>
    <w:rsid w:val="00F23808"/>
    <w:rsid w:val="00F238D4"/>
    <w:rsid w:val="00F23AC2"/>
    <w:rsid w:val="00F23B7C"/>
    <w:rsid w:val="00F23EC9"/>
    <w:rsid w:val="00F24052"/>
    <w:rsid w:val="00F24834"/>
    <w:rsid w:val="00F24871"/>
    <w:rsid w:val="00F24A0E"/>
    <w:rsid w:val="00F24C78"/>
    <w:rsid w:val="00F24E20"/>
    <w:rsid w:val="00F24E89"/>
    <w:rsid w:val="00F24E9D"/>
    <w:rsid w:val="00F24F00"/>
    <w:rsid w:val="00F252BB"/>
    <w:rsid w:val="00F254FE"/>
    <w:rsid w:val="00F25734"/>
    <w:rsid w:val="00F258AD"/>
    <w:rsid w:val="00F25B36"/>
    <w:rsid w:val="00F2606E"/>
    <w:rsid w:val="00F260FD"/>
    <w:rsid w:val="00F260FF"/>
    <w:rsid w:val="00F2634E"/>
    <w:rsid w:val="00F26458"/>
    <w:rsid w:val="00F26466"/>
    <w:rsid w:val="00F269AB"/>
    <w:rsid w:val="00F26A25"/>
    <w:rsid w:val="00F26A97"/>
    <w:rsid w:val="00F26AEA"/>
    <w:rsid w:val="00F26AF9"/>
    <w:rsid w:val="00F26B5E"/>
    <w:rsid w:val="00F26D2F"/>
    <w:rsid w:val="00F26EA6"/>
    <w:rsid w:val="00F26F7C"/>
    <w:rsid w:val="00F27039"/>
    <w:rsid w:val="00F273CE"/>
    <w:rsid w:val="00F276FA"/>
    <w:rsid w:val="00F27848"/>
    <w:rsid w:val="00F278BF"/>
    <w:rsid w:val="00F27C1A"/>
    <w:rsid w:val="00F27C3E"/>
    <w:rsid w:val="00F27D2F"/>
    <w:rsid w:val="00F30033"/>
    <w:rsid w:val="00F3037B"/>
    <w:rsid w:val="00F3079D"/>
    <w:rsid w:val="00F307B0"/>
    <w:rsid w:val="00F307F1"/>
    <w:rsid w:val="00F30AC3"/>
    <w:rsid w:val="00F30B11"/>
    <w:rsid w:val="00F30B17"/>
    <w:rsid w:val="00F30E65"/>
    <w:rsid w:val="00F30E96"/>
    <w:rsid w:val="00F31183"/>
    <w:rsid w:val="00F311DA"/>
    <w:rsid w:val="00F3136B"/>
    <w:rsid w:val="00F3141E"/>
    <w:rsid w:val="00F314F1"/>
    <w:rsid w:val="00F31744"/>
    <w:rsid w:val="00F31A8E"/>
    <w:rsid w:val="00F31B43"/>
    <w:rsid w:val="00F31D17"/>
    <w:rsid w:val="00F31D92"/>
    <w:rsid w:val="00F31DE1"/>
    <w:rsid w:val="00F31F0A"/>
    <w:rsid w:val="00F32053"/>
    <w:rsid w:val="00F32178"/>
    <w:rsid w:val="00F32269"/>
    <w:rsid w:val="00F3230D"/>
    <w:rsid w:val="00F323C4"/>
    <w:rsid w:val="00F323D8"/>
    <w:rsid w:val="00F32418"/>
    <w:rsid w:val="00F32524"/>
    <w:rsid w:val="00F327EA"/>
    <w:rsid w:val="00F32BE4"/>
    <w:rsid w:val="00F32D3F"/>
    <w:rsid w:val="00F32E36"/>
    <w:rsid w:val="00F32E45"/>
    <w:rsid w:val="00F330D8"/>
    <w:rsid w:val="00F3310F"/>
    <w:rsid w:val="00F3316F"/>
    <w:rsid w:val="00F33284"/>
    <w:rsid w:val="00F332C2"/>
    <w:rsid w:val="00F332DD"/>
    <w:rsid w:val="00F332ED"/>
    <w:rsid w:val="00F33641"/>
    <w:rsid w:val="00F33693"/>
    <w:rsid w:val="00F3376F"/>
    <w:rsid w:val="00F33943"/>
    <w:rsid w:val="00F3395E"/>
    <w:rsid w:val="00F33FC1"/>
    <w:rsid w:val="00F3474B"/>
    <w:rsid w:val="00F347BD"/>
    <w:rsid w:val="00F347D3"/>
    <w:rsid w:val="00F34801"/>
    <w:rsid w:val="00F34A99"/>
    <w:rsid w:val="00F34EC3"/>
    <w:rsid w:val="00F3519E"/>
    <w:rsid w:val="00F3554F"/>
    <w:rsid w:val="00F35650"/>
    <w:rsid w:val="00F3575A"/>
    <w:rsid w:val="00F357C7"/>
    <w:rsid w:val="00F3582E"/>
    <w:rsid w:val="00F3591A"/>
    <w:rsid w:val="00F3598C"/>
    <w:rsid w:val="00F35AB5"/>
    <w:rsid w:val="00F35C8B"/>
    <w:rsid w:val="00F35DB5"/>
    <w:rsid w:val="00F360D0"/>
    <w:rsid w:val="00F362B4"/>
    <w:rsid w:val="00F367FA"/>
    <w:rsid w:val="00F368A0"/>
    <w:rsid w:val="00F368E1"/>
    <w:rsid w:val="00F36A7F"/>
    <w:rsid w:val="00F36B27"/>
    <w:rsid w:val="00F36E9D"/>
    <w:rsid w:val="00F37232"/>
    <w:rsid w:val="00F37326"/>
    <w:rsid w:val="00F37448"/>
    <w:rsid w:val="00F3746D"/>
    <w:rsid w:val="00F377BC"/>
    <w:rsid w:val="00F37C2F"/>
    <w:rsid w:val="00F37CEC"/>
    <w:rsid w:val="00F37D15"/>
    <w:rsid w:val="00F37D79"/>
    <w:rsid w:val="00F37DC2"/>
    <w:rsid w:val="00F37E53"/>
    <w:rsid w:val="00F4018F"/>
    <w:rsid w:val="00F4078C"/>
    <w:rsid w:val="00F40E58"/>
    <w:rsid w:val="00F4119B"/>
    <w:rsid w:val="00F412AC"/>
    <w:rsid w:val="00F41322"/>
    <w:rsid w:val="00F415B9"/>
    <w:rsid w:val="00F415D3"/>
    <w:rsid w:val="00F41745"/>
    <w:rsid w:val="00F417F3"/>
    <w:rsid w:val="00F41845"/>
    <w:rsid w:val="00F41A01"/>
    <w:rsid w:val="00F41AA3"/>
    <w:rsid w:val="00F41B4B"/>
    <w:rsid w:val="00F41B58"/>
    <w:rsid w:val="00F41BF4"/>
    <w:rsid w:val="00F42784"/>
    <w:rsid w:val="00F42842"/>
    <w:rsid w:val="00F42BFE"/>
    <w:rsid w:val="00F42CC7"/>
    <w:rsid w:val="00F42F9D"/>
    <w:rsid w:val="00F430B9"/>
    <w:rsid w:val="00F435E2"/>
    <w:rsid w:val="00F436B9"/>
    <w:rsid w:val="00F43BA8"/>
    <w:rsid w:val="00F43F7B"/>
    <w:rsid w:val="00F44011"/>
    <w:rsid w:val="00F4421B"/>
    <w:rsid w:val="00F442E8"/>
    <w:rsid w:val="00F442FC"/>
    <w:rsid w:val="00F443AE"/>
    <w:rsid w:val="00F44938"/>
    <w:rsid w:val="00F44D11"/>
    <w:rsid w:val="00F44DB0"/>
    <w:rsid w:val="00F44E44"/>
    <w:rsid w:val="00F44EC9"/>
    <w:rsid w:val="00F44F64"/>
    <w:rsid w:val="00F451F6"/>
    <w:rsid w:val="00F453E7"/>
    <w:rsid w:val="00F45579"/>
    <w:rsid w:val="00F45689"/>
    <w:rsid w:val="00F458DC"/>
    <w:rsid w:val="00F45AE9"/>
    <w:rsid w:val="00F45B1D"/>
    <w:rsid w:val="00F45C0B"/>
    <w:rsid w:val="00F45D0F"/>
    <w:rsid w:val="00F45D99"/>
    <w:rsid w:val="00F45E91"/>
    <w:rsid w:val="00F4613B"/>
    <w:rsid w:val="00F46179"/>
    <w:rsid w:val="00F461C7"/>
    <w:rsid w:val="00F4652C"/>
    <w:rsid w:val="00F4674C"/>
    <w:rsid w:val="00F467A5"/>
    <w:rsid w:val="00F4685F"/>
    <w:rsid w:val="00F46937"/>
    <w:rsid w:val="00F46959"/>
    <w:rsid w:val="00F46AAC"/>
    <w:rsid w:val="00F46E40"/>
    <w:rsid w:val="00F46F6C"/>
    <w:rsid w:val="00F4722D"/>
    <w:rsid w:val="00F472E9"/>
    <w:rsid w:val="00F4734E"/>
    <w:rsid w:val="00F4741C"/>
    <w:rsid w:val="00F4760A"/>
    <w:rsid w:val="00F47C30"/>
    <w:rsid w:val="00F47E19"/>
    <w:rsid w:val="00F47EA1"/>
    <w:rsid w:val="00F47F7D"/>
    <w:rsid w:val="00F503A7"/>
    <w:rsid w:val="00F50486"/>
    <w:rsid w:val="00F5048A"/>
    <w:rsid w:val="00F50554"/>
    <w:rsid w:val="00F50584"/>
    <w:rsid w:val="00F50653"/>
    <w:rsid w:val="00F50692"/>
    <w:rsid w:val="00F508DD"/>
    <w:rsid w:val="00F50976"/>
    <w:rsid w:val="00F509EF"/>
    <w:rsid w:val="00F50E89"/>
    <w:rsid w:val="00F50FEC"/>
    <w:rsid w:val="00F51345"/>
    <w:rsid w:val="00F51462"/>
    <w:rsid w:val="00F516AD"/>
    <w:rsid w:val="00F516C4"/>
    <w:rsid w:val="00F51929"/>
    <w:rsid w:val="00F51A78"/>
    <w:rsid w:val="00F51C68"/>
    <w:rsid w:val="00F51C78"/>
    <w:rsid w:val="00F51F12"/>
    <w:rsid w:val="00F520C3"/>
    <w:rsid w:val="00F52367"/>
    <w:rsid w:val="00F52534"/>
    <w:rsid w:val="00F52581"/>
    <w:rsid w:val="00F525D4"/>
    <w:rsid w:val="00F5281A"/>
    <w:rsid w:val="00F528D4"/>
    <w:rsid w:val="00F5299E"/>
    <w:rsid w:val="00F52B82"/>
    <w:rsid w:val="00F52B8E"/>
    <w:rsid w:val="00F53224"/>
    <w:rsid w:val="00F534C0"/>
    <w:rsid w:val="00F53CCC"/>
    <w:rsid w:val="00F53CFD"/>
    <w:rsid w:val="00F53D6D"/>
    <w:rsid w:val="00F53E16"/>
    <w:rsid w:val="00F53FEB"/>
    <w:rsid w:val="00F5401F"/>
    <w:rsid w:val="00F54162"/>
    <w:rsid w:val="00F5456C"/>
    <w:rsid w:val="00F546C3"/>
    <w:rsid w:val="00F5494E"/>
    <w:rsid w:val="00F54A0A"/>
    <w:rsid w:val="00F54A96"/>
    <w:rsid w:val="00F54AF5"/>
    <w:rsid w:val="00F54D33"/>
    <w:rsid w:val="00F54D80"/>
    <w:rsid w:val="00F54F08"/>
    <w:rsid w:val="00F54F3F"/>
    <w:rsid w:val="00F54FAB"/>
    <w:rsid w:val="00F55126"/>
    <w:rsid w:val="00F55263"/>
    <w:rsid w:val="00F552D9"/>
    <w:rsid w:val="00F55317"/>
    <w:rsid w:val="00F554EB"/>
    <w:rsid w:val="00F55608"/>
    <w:rsid w:val="00F557E3"/>
    <w:rsid w:val="00F55845"/>
    <w:rsid w:val="00F55CB6"/>
    <w:rsid w:val="00F55CC1"/>
    <w:rsid w:val="00F560B8"/>
    <w:rsid w:val="00F56603"/>
    <w:rsid w:val="00F56665"/>
    <w:rsid w:val="00F5698C"/>
    <w:rsid w:val="00F56C24"/>
    <w:rsid w:val="00F56E18"/>
    <w:rsid w:val="00F56FC0"/>
    <w:rsid w:val="00F570B2"/>
    <w:rsid w:val="00F57182"/>
    <w:rsid w:val="00F572AE"/>
    <w:rsid w:val="00F575CF"/>
    <w:rsid w:val="00F57790"/>
    <w:rsid w:val="00F57857"/>
    <w:rsid w:val="00F5790A"/>
    <w:rsid w:val="00F57966"/>
    <w:rsid w:val="00F57D09"/>
    <w:rsid w:val="00F57DE0"/>
    <w:rsid w:val="00F57DEC"/>
    <w:rsid w:val="00F60144"/>
    <w:rsid w:val="00F60295"/>
    <w:rsid w:val="00F605D3"/>
    <w:rsid w:val="00F60614"/>
    <w:rsid w:val="00F6067B"/>
    <w:rsid w:val="00F607BE"/>
    <w:rsid w:val="00F608A8"/>
    <w:rsid w:val="00F60A17"/>
    <w:rsid w:val="00F60B53"/>
    <w:rsid w:val="00F60C47"/>
    <w:rsid w:val="00F60D17"/>
    <w:rsid w:val="00F6146F"/>
    <w:rsid w:val="00F61646"/>
    <w:rsid w:val="00F61B8B"/>
    <w:rsid w:val="00F61C33"/>
    <w:rsid w:val="00F61CA1"/>
    <w:rsid w:val="00F61DA9"/>
    <w:rsid w:val="00F61E78"/>
    <w:rsid w:val="00F620F2"/>
    <w:rsid w:val="00F62156"/>
    <w:rsid w:val="00F6228A"/>
    <w:rsid w:val="00F62653"/>
    <w:rsid w:val="00F6286E"/>
    <w:rsid w:val="00F6287C"/>
    <w:rsid w:val="00F62E46"/>
    <w:rsid w:val="00F62E94"/>
    <w:rsid w:val="00F63025"/>
    <w:rsid w:val="00F6309C"/>
    <w:rsid w:val="00F631B8"/>
    <w:rsid w:val="00F632E8"/>
    <w:rsid w:val="00F63383"/>
    <w:rsid w:val="00F635C5"/>
    <w:rsid w:val="00F6362A"/>
    <w:rsid w:val="00F63679"/>
    <w:rsid w:val="00F6378F"/>
    <w:rsid w:val="00F639A8"/>
    <w:rsid w:val="00F639DA"/>
    <w:rsid w:val="00F63AD1"/>
    <w:rsid w:val="00F63E92"/>
    <w:rsid w:val="00F64340"/>
    <w:rsid w:val="00F64375"/>
    <w:rsid w:val="00F6439D"/>
    <w:rsid w:val="00F64467"/>
    <w:rsid w:val="00F6475C"/>
    <w:rsid w:val="00F6476F"/>
    <w:rsid w:val="00F647B0"/>
    <w:rsid w:val="00F647B8"/>
    <w:rsid w:val="00F64AAA"/>
    <w:rsid w:val="00F64AE9"/>
    <w:rsid w:val="00F64B03"/>
    <w:rsid w:val="00F64C8B"/>
    <w:rsid w:val="00F64F53"/>
    <w:rsid w:val="00F6513E"/>
    <w:rsid w:val="00F65218"/>
    <w:rsid w:val="00F655FE"/>
    <w:rsid w:val="00F657E3"/>
    <w:rsid w:val="00F658CA"/>
    <w:rsid w:val="00F65956"/>
    <w:rsid w:val="00F65CC8"/>
    <w:rsid w:val="00F65F27"/>
    <w:rsid w:val="00F65F9A"/>
    <w:rsid w:val="00F65F9D"/>
    <w:rsid w:val="00F660AC"/>
    <w:rsid w:val="00F6641D"/>
    <w:rsid w:val="00F6661B"/>
    <w:rsid w:val="00F66841"/>
    <w:rsid w:val="00F66D95"/>
    <w:rsid w:val="00F66D9C"/>
    <w:rsid w:val="00F66DA9"/>
    <w:rsid w:val="00F675E3"/>
    <w:rsid w:val="00F678AC"/>
    <w:rsid w:val="00F67ABE"/>
    <w:rsid w:val="00F67C01"/>
    <w:rsid w:val="00F67C69"/>
    <w:rsid w:val="00F67F7E"/>
    <w:rsid w:val="00F6EDC0"/>
    <w:rsid w:val="00F70064"/>
    <w:rsid w:val="00F701A0"/>
    <w:rsid w:val="00F702A2"/>
    <w:rsid w:val="00F7048D"/>
    <w:rsid w:val="00F704C8"/>
    <w:rsid w:val="00F70650"/>
    <w:rsid w:val="00F7091B"/>
    <w:rsid w:val="00F70B16"/>
    <w:rsid w:val="00F70B33"/>
    <w:rsid w:val="00F70CBC"/>
    <w:rsid w:val="00F70CEC"/>
    <w:rsid w:val="00F70D4C"/>
    <w:rsid w:val="00F7119F"/>
    <w:rsid w:val="00F711F1"/>
    <w:rsid w:val="00F71304"/>
    <w:rsid w:val="00F714FE"/>
    <w:rsid w:val="00F7190F"/>
    <w:rsid w:val="00F71C7E"/>
    <w:rsid w:val="00F71C95"/>
    <w:rsid w:val="00F71F48"/>
    <w:rsid w:val="00F720A2"/>
    <w:rsid w:val="00F72105"/>
    <w:rsid w:val="00F7244D"/>
    <w:rsid w:val="00F72479"/>
    <w:rsid w:val="00F7253A"/>
    <w:rsid w:val="00F7288C"/>
    <w:rsid w:val="00F72B8D"/>
    <w:rsid w:val="00F72D26"/>
    <w:rsid w:val="00F73039"/>
    <w:rsid w:val="00F733AC"/>
    <w:rsid w:val="00F733F3"/>
    <w:rsid w:val="00F73479"/>
    <w:rsid w:val="00F734B7"/>
    <w:rsid w:val="00F734D1"/>
    <w:rsid w:val="00F736E3"/>
    <w:rsid w:val="00F73857"/>
    <w:rsid w:val="00F73A89"/>
    <w:rsid w:val="00F73AF2"/>
    <w:rsid w:val="00F73AF8"/>
    <w:rsid w:val="00F73C05"/>
    <w:rsid w:val="00F73CAB"/>
    <w:rsid w:val="00F741EF"/>
    <w:rsid w:val="00F74373"/>
    <w:rsid w:val="00F74408"/>
    <w:rsid w:val="00F7464B"/>
    <w:rsid w:val="00F74B49"/>
    <w:rsid w:val="00F74E39"/>
    <w:rsid w:val="00F74FBD"/>
    <w:rsid w:val="00F7521C"/>
    <w:rsid w:val="00F7526A"/>
    <w:rsid w:val="00F752CB"/>
    <w:rsid w:val="00F75450"/>
    <w:rsid w:val="00F757A5"/>
    <w:rsid w:val="00F7599D"/>
    <w:rsid w:val="00F75AE9"/>
    <w:rsid w:val="00F75C55"/>
    <w:rsid w:val="00F75F7E"/>
    <w:rsid w:val="00F76040"/>
    <w:rsid w:val="00F761BC"/>
    <w:rsid w:val="00F761BF"/>
    <w:rsid w:val="00F763A3"/>
    <w:rsid w:val="00F7668E"/>
    <w:rsid w:val="00F76747"/>
    <w:rsid w:val="00F767E8"/>
    <w:rsid w:val="00F767FE"/>
    <w:rsid w:val="00F76929"/>
    <w:rsid w:val="00F76939"/>
    <w:rsid w:val="00F76EF8"/>
    <w:rsid w:val="00F7734A"/>
    <w:rsid w:val="00F7763B"/>
    <w:rsid w:val="00F77D38"/>
    <w:rsid w:val="00F77DEC"/>
    <w:rsid w:val="00F77F83"/>
    <w:rsid w:val="00F80035"/>
    <w:rsid w:val="00F8009C"/>
    <w:rsid w:val="00F80103"/>
    <w:rsid w:val="00F802DB"/>
    <w:rsid w:val="00F802EB"/>
    <w:rsid w:val="00F80398"/>
    <w:rsid w:val="00F80664"/>
    <w:rsid w:val="00F8087F"/>
    <w:rsid w:val="00F80A77"/>
    <w:rsid w:val="00F80A86"/>
    <w:rsid w:val="00F80AFC"/>
    <w:rsid w:val="00F80D33"/>
    <w:rsid w:val="00F80F6A"/>
    <w:rsid w:val="00F80FF8"/>
    <w:rsid w:val="00F810F0"/>
    <w:rsid w:val="00F81391"/>
    <w:rsid w:val="00F8164E"/>
    <w:rsid w:val="00F81861"/>
    <w:rsid w:val="00F81B48"/>
    <w:rsid w:val="00F81ED3"/>
    <w:rsid w:val="00F81F03"/>
    <w:rsid w:val="00F820B8"/>
    <w:rsid w:val="00F8228C"/>
    <w:rsid w:val="00F822BD"/>
    <w:rsid w:val="00F822F5"/>
    <w:rsid w:val="00F822FF"/>
    <w:rsid w:val="00F824CC"/>
    <w:rsid w:val="00F82546"/>
    <w:rsid w:val="00F82748"/>
    <w:rsid w:val="00F82C89"/>
    <w:rsid w:val="00F82D75"/>
    <w:rsid w:val="00F82D89"/>
    <w:rsid w:val="00F82E16"/>
    <w:rsid w:val="00F82E79"/>
    <w:rsid w:val="00F830BD"/>
    <w:rsid w:val="00F83230"/>
    <w:rsid w:val="00F8335D"/>
    <w:rsid w:val="00F835D7"/>
    <w:rsid w:val="00F83841"/>
    <w:rsid w:val="00F83A89"/>
    <w:rsid w:val="00F83B22"/>
    <w:rsid w:val="00F83BB1"/>
    <w:rsid w:val="00F83C05"/>
    <w:rsid w:val="00F83C11"/>
    <w:rsid w:val="00F83C59"/>
    <w:rsid w:val="00F83CC0"/>
    <w:rsid w:val="00F83DE8"/>
    <w:rsid w:val="00F83E38"/>
    <w:rsid w:val="00F83F2B"/>
    <w:rsid w:val="00F8415B"/>
    <w:rsid w:val="00F841E2"/>
    <w:rsid w:val="00F84765"/>
    <w:rsid w:val="00F84979"/>
    <w:rsid w:val="00F84AF9"/>
    <w:rsid w:val="00F84E7F"/>
    <w:rsid w:val="00F84F9C"/>
    <w:rsid w:val="00F85052"/>
    <w:rsid w:val="00F850D6"/>
    <w:rsid w:val="00F852D7"/>
    <w:rsid w:val="00F85631"/>
    <w:rsid w:val="00F85747"/>
    <w:rsid w:val="00F8585B"/>
    <w:rsid w:val="00F85A08"/>
    <w:rsid w:val="00F85AE1"/>
    <w:rsid w:val="00F85CFD"/>
    <w:rsid w:val="00F85E42"/>
    <w:rsid w:val="00F860BF"/>
    <w:rsid w:val="00F861AC"/>
    <w:rsid w:val="00F861F0"/>
    <w:rsid w:val="00F8622E"/>
    <w:rsid w:val="00F862B1"/>
    <w:rsid w:val="00F862F1"/>
    <w:rsid w:val="00F8634C"/>
    <w:rsid w:val="00F865AC"/>
    <w:rsid w:val="00F86679"/>
    <w:rsid w:val="00F86684"/>
    <w:rsid w:val="00F867CF"/>
    <w:rsid w:val="00F86950"/>
    <w:rsid w:val="00F86A3F"/>
    <w:rsid w:val="00F86C96"/>
    <w:rsid w:val="00F874CD"/>
    <w:rsid w:val="00F879C5"/>
    <w:rsid w:val="00F87B69"/>
    <w:rsid w:val="00F87CC3"/>
    <w:rsid w:val="00F87DD0"/>
    <w:rsid w:val="00F87E69"/>
    <w:rsid w:val="00F9017F"/>
    <w:rsid w:val="00F90309"/>
    <w:rsid w:val="00F903B0"/>
    <w:rsid w:val="00F90581"/>
    <w:rsid w:val="00F90623"/>
    <w:rsid w:val="00F9085C"/>
    <w:rsid w:val="00F90B1F"/>
    <w:rsid w:val="00F90BD8"/>
    <w:rsid w:val="00F9101F"/>
    <w:rsid w:val="00F910E6"/>
    <w:rsid w:val="00F91107"/>
    <w:rsid w:val="00F9110F"/>
    <w:rsid w:val="00F91122"/>
    <w:rsid w:val="00F91157"/>
    <w:rsid w:val="00F91233"/>
    <w:rsid w:val="00F91276"/>
    <w:rsid w:val="00F91297"/>
    <w:rsid w:val="00F9133B"/>
    <w:rsid w:val="00F91841"/>
    <w:rsid w:val="00F91A96"/>
    <w:rsid w:val="00F91AAF"/>
    <w:rsid w:val="00F91BF3"/>
    <w:rsid w:val="00F91C20"/>
    <w:rsid w:val="00F91C63"/>
    <w:rsid w:val="00F91E99"/>
    <w:rsid w:val="00F91EBB"/>
    <w:rsid w:val="00F91FDC"/>
    <w:rsid w:val="00F921AB"/>
    <w:rsid w:val="00F922D3"/>
    <w:rsid w:val="00F92629"/>
    <w:rsid w:val="00F92A4A"/>
    <w:rsid w:val="00F92C72"/>
    <w:rsid w:val="00F92E26"/>
    <w:rsid w:val="00F93736"/>
    <w:rsid w:val="00F9373D"/>
    <w:rsid w:val="00F93B81"/>
    <w:rsid w:val="00F93BAB"/>
    <w:rsid w:val="00F93D52"/>
    <w:rsid w:val="00F93E8D"/>
    <w:rsid w:val="00F93E9D"/>
    <w:rsid w:val="00F941C4"/>
    <w:rsid w:val="00F94307"/>
    <w:rsid w:val="00F9459F"/>
    <w:rsid w:val="00F94697"/>
    <w:rsid w:val="00F94775"/>
    <w:rsid w:val="00F94CCF"/>
    <w:rsid w:val="00F950A1"/>
    <w:rsid w:val="00F950D3"/>
    <w:rsid w:val="00F95213"/>
    <w:rsid w:val="00F95653"/>
    <w:rsid w:val="00F95A78"/>
    <w:rsid w:val="00F95AD4"/>
    <w:rsid w:val="00F95BCD"/>
    <w:rsid w:val="00F95D26"/>
    <w:rsid w:val="00F95DEB"/>
    <w:rsid w:val="00F95EB2"/>
    <w:rsid w:val="00F96048"/>
    <w:rsid w:val="00F9633A"/>
    <w:rsid w:val="00F96348"/>
    <w:rsid w:val="00F96507"/>
    <w:rsid w:val="00F96713"/>
    <w:rsid w:val="00F96782"/>
    <w:rsid w:val="00F969FB"/>
    <w:rsid w:val="00F96C77"/>
    <w:rsid w:val="00F96EF4"/>
    <w:rsid w:val="00F96F48"/>
    <w:rsid w:val="00F96FC4"/>
    <w:rsid w:val="00F974CC"/>
    <w:rsid w:val="00F9750A"/>
    <w:rsid w:val="00F97730"/>
    <w:rsid w:val="00F9782E"/>
    <w:rsid w:val="00F97A5B"/>
    <w:rsid w:val="00F97A68"/>
    <w:rsid w:val="00F97BF2"/>
    <w:rsid w:val="00F97D2D"/>
    <w:rsid w:val="00FA007F"/>
    <w:rsid w:val="00FA022E"/>
    <w:rsid w:val="00FA03B6"/>
    <w:rsid w:val="00FA054D"/>
    <w:rsid w:val="00FA0889"/>
    <w:rsid w:val="00FA0CC8"/>
    <w:rsid w:val="00FA0D00"/>
    <w:rsid w:val="00FA0F20"/>
    <w:rsid w:val="00FA1251"/>
    <w:rsid w:val="00FA1630"/>
    <w:rsid w:val="00FA16CA"/>
    <w:rsid w:val="00FA1A53"/>
    <w:rsid w:val="00FA1BA8"/>
    <w:rsid w:val="00FA1E6C"/>
    <w:rsid w:val="00FA2088"/>
    <w:rsid w:val="00FA2094"/>
    <w:rsid w:val="00FA26DC"/>
    <w:rsid w:val="00FA2914"/>
    <w:rsid w:val="00FA2B04"/>
    <w:rsid w:val="00FA2BBF"/>
    <w:rsid w:val="00FA2F74"/>
    <w:rsid w:val="00FA2F94"/>
    <w:rsid w:val="00FA3150"/>
    <w:rsid w:val="00FA319F"/>
    <w:rsid w:val="00FA31A1"/>
    <w:rsid w:val="00FA3293"/>
    <w:rsid w:val="00FA334F"/>
    <w:rsid w:val="00FA36C3"/>
    <w:rsid w:val="00FA39B9"/>
    <w:rsid w:val="00FA3AE6"/>
    <w:rsid w:val="00FA3D98"/>
    <w:rsid w:val="00FA4067"/>
    <w:rsid w:val="00FA44D3"/>
    <w:rsid w:val="00FA4578"/>
    <w:rsid w:val="00FA4892"/>
    <w:rsid w:val="00FA4A75"/>
    <w:rsid w:val="00FA4ACA"/>
    <w:rsid w:val="00FA4B8C"/>
    <w:rsid w:val="00FA4DE6"/>
    <w:rsid w:val="00FA4F3F"/>
    <w:rsid w:val="00FA5258"/>
    <w:rsid w:val="00FA5271"/>
    <w:rsid w:val="00FA5469"/>
    <w:rsid w:val="00FA5607"/>
    <w:rsid w:val="00FA56E9"/>
    <w:rsid w:val="00FA5719"/>
    <w:rsid w:val="00FA5FD6"/>
    <w:rsid w:val="00FA6193"/>
    <w:rsid w:val="00FA6250"/>
    <w:rsid w:val="00FA6485"/>
    <w:rsid w:val="00FA650D"/>
    <w:rsid w:val="00FA6511"/>
    <w:rsid w:val="00FA68C3"/>
    <w:rsid w:val="00FA6924"/>
    <w:rsid w:val="00FA6AF9"/>
    <w:rsid w:val="00FA6E4F"/>
    <w:rsid w:val="00FA7049"/>
    <w:rsid w:val="00FA71BB"/>
    <w:rsid w:val="00FA7635"/>
    <w:rsid w:val="00FA7671"/>
    <w:rsid w:val="00FA799F"/>
    <w:rsid w:val="00FA7CCB"/>
    <w:rsid w:val="00FA7E07"/>
    <w:rsid w:val="00FB03A0"/>
    <w:rsid w:val="00FB0435"/>
    <w:rsid w:val="00FB0623"/>
    <w:rsid w:val="00FB0CD9"/>
    <w:rsid w:val="00FB0E6C"/>
    <w:rsid w:val="00FB141D"/>
    <w:rsid w:val="00FB153A"/>
    <w:rsid w:val="00FB1656"/>
    <w:rsid w:val="00FB16FB"/>
    <w:rsid w:val="00FB1812"/>
    <w:rsid w:val="00FB1826"/>
    <w:rsid w:val="00FB1AAE"/>
    <w:rsid w:val="00FB1F5E"/>
    <w:rsid w:val="00FB1FB8"/>
    <w:rsid w:val="00FB20B7"/>
    <w:rsid w:val="00FB236B"/>
    <w:rsid w:val="00FB282A"/>
    <w:rsid w:val="00FB2868"/>
    <w:rsid w:val="00FB2979"/>
    <w:rsid w:val="00FB29BF"/>
    <w:rsid w:val="00FB2A52"/>
    <w:rsid w:val="00FB2D35"/>
    <w:rsid w:val="00FB2F94"/>
    <w:rsid w:val="00FB3108"/>
    <w:rsid w:val="00FB3291"/>
    <w:rsid w:val="00FB32A4"/>
    <w:rsid w:val="00FB33A7"/>
    <w:rsid w:val="00FB3A55"/>
    <w:rsid w:val="00FB3DF8"/>
    <w:rsid w:val="00FB3E1E"/>
    <w:rsid w:val="00FB41B2"/>
    <w:rsid w:val="00FB4824"/>
    <w:rsid w:val="00FB49EF"/>
    <w:rsid w:val="00FB4CD9"/>
    <w:rsid w:val="00FB51E1"/>
    <w:rsid w:val="00FB5646"/>
    <w:rsid w:val="00FB56B7"/>
    <w:rsid w:val="00FB5727"/>
    <w:rsid w:val="00FB594D"/>
    <w:rsid w:val="00FB5A5C"/>
    <w:rsid w:val="00FB5F3F"/>
    <w:rsid w:val="00FB623B"/>
    <w:rsid w:val="00FB6751"/>
    <w:rsid w:val="00FB6813"/>
    <w:rsid w:val="00FB69B2"/>
    <w:rsid w:val="00FB6A0C"/>
    <w:rsid w:val="00FB6AA9"/>
    <w:rsid w:val="00FB6ACC"/>
    <w:rsid w:val="00FB6B15"/>
    <w:rsid w:val="00FB6B4C"/>
    <w:rsid w:val="00FB6C3B"/>
    <w:rsid w:val="00FB6D85"/>
    <w:rsid w:val="00FB6E6F"/>
    <w:rsid w:val="00FB6EDF"/>
    <w:rsid w:val="00FB70D7"/>
    <w:rsid w:val="00FB7440"/>
    <w:rsid w:val="00FB74EB"/>
    <w:rsid w:val="00FB7582"/>
    <w:rsid w:val="00FB78D7"/>
    <w:rsid w:val="00FB7AAB"/>
    <w:rsid w:val="00FB7D11"/>
    <w:rsid w:val="00FB7F71"/>
    <w:rsid w:val="00FB7F8E"/>
    <w:rsid w:val="00FC019A"/>
    <w:rsid w:val="00FC026C"/>
    <w:rsid w:val="00FC032F"/>
    <w:rsid w:val="00FC0384"/>
    <w:rsid w:val="00FC03D7"/>
    <w:rsid w:val="00FC06EB"/>
    <w:rsid w:val="00FC07D4"/>
    <w:rsid w:val="00FC0ABB"/>
    <w:rsid w:val="00FC0C7F"/>
    <w:rsid w:val="00FC0FD7"/>
    <w:rsid w:val="00FC13BE"/>
    <w:rsid w:val="00FC1447"/>
    <w:rsid w:val="00FC1558"/>
    <w:rsid w:val="00FC1884"/>
    <w:rsid w:val="00FC1895"/>
    <w:rsid w:val="00FC1ACC"/>
    <w:rsid w:val="00FC1ACF"/>
    <w:rsid w:val="00FC1C81"/>
    <w:rsid w:val="00FC1CC1"/>
    <w:rsid w:val="00FC1E88"/>
    <w:rsid w:val="00FC1F9B"/>
    <w:rsid w:val="00FC230C"/>
    <w:rsid w:val="00FC2373"/>
    <w:rsid w:val="00FC2491"/>
    <w:rsid w:val="00FC2592"/>
    <w:rsid w:val="00FC25F6"/>
    <w:rsid w:val="00FC2704"/>
    <w:rsid w:val="00FC29B3"/>
    <w:rsid w:val="00FC2A54"/>
    <w:rsid w:val="00FC2B36"/>
    <w:rsid w:val="00FC2DDA"/>
    <w:rsid w:val="00FC2E6E"/>
    <w:rsid w:val="00FC31F1"/>
    <w:rsid w:val="00FC3722"/>
    <w:rsid w:val="00FC3E06"/>
    <w:rsid w:val="00FC3E76"/>
    <w:rsid w:val="00FC3EAA"/>
    <w:rsid w:val="00FC3EE1"/>
    <w:rsid w:val="00FC4012"/>
    <w:rsid w:val="00FC409B"/>
    <w:rsid w:val="00FC42EB"/>
    <w:rsid w:val="00FC4317"/>
    <w:rsid w:val="00FC4364"/>
    <w:rsid w:val="00FC477C"/>
    <w:rsid w:val="00FC47DE"/>
    <w:rsid w:val="00FC49BB"/>
    <w:rsid w:val="00FC49DB"/>
    <w:rsid w:val="00FC4A2D"/>
    <w:rsid w:val="00FC4B42"/>
    <w:rsid w:val="00FC4CA3"/>
    <w:rsid w:val="00FC4CDE"/>
    <w:rsid w:val="00FC4D80"/>
    <w:rsid w:val="00FC4FB5"/>
    <w:rsid w:val="00FC5130"/>
    <w:rsid w:val="00FC529E"/>
    <w:rsid w:val="00FC5386"/>
    <w:rsid w:val="00FC54D0"/>
    <w:rsid w:val="00FC552C"/>
    <w:rsid w:val="00FC58B1"/>
    <w:rsid w:val="00FC5A3C"/>
    <w:rsid w:val="00FC5A84"/>
    <w:rsid w:val="00FC5DA7"/>
    <w:rsid w:val="00FC5DC6"/>
    <w:rsid w:val="00FC5F48"/>
    <w:rsid w:val="00FC5F9B"/>
    <w:rsid w:val="00FC637F"/>
    <w:rsid w:val="00FC6742"/>
    <w:rsid w:val="00FC6811"/>
    <w:rsid w:val="00FC68AE"/>
    <w:rsid w:val="00FC68C2"/>
    <w:rsid w:val="00FC68D9"/>
    <w:rsid w:val="00FC6F2F"/>
    <w:rsid w:val="00FC701F"/>
    <w:rsid w:val="00FC710A"/>
    <w:rsid w:val="00FC7837"/>
    <w:rsid w:val="00FC7AE4"/>
    <w:rsid w:val="00FC7C87"/>
    <w:rsid w:val="00FD00BE"/>
    <w:rsid w:val="00FD01A8"/>
    <w:rsid w:val="00FD0208"/>
    <w:rsid w:val="00FD030B"/>
    <w:rsid w:val="00FD0443"/>
    <w:rsid w:val="00FD0887"/>
    <w:rsid w:val="00FD0BCC"/>
    <w:rsid w:val="00FD0BCE"/>
    <w:rsid w:val="00FD0CA4"/>
    <w:rsid w:val="00FD0DCA"/>
    <w:rsid w:val="00FD0EB9"/>
    <w:rsid w:val="00FD12BF"/>
    <w:rsid w:val="00FD17F5"/>
    <w:rsid w:val="00FD1AC7"/>
    <w:rsid w:val="00FD1CE4"/>
    <w:rsid w:val="00FD1E98"/>
    <w:rsid w:val="00FD200F"/>
    <w:rsid w:val="00FD2061"/>
    <w:rsid w:val="00FD21C3"/>
    <w:rsid w:val="00FD22EB"/>
    <w:rsid w:val="00FD2586"/>
    <w:rsid w:val="00FD2A63"/>
    <w:rsid w:val="00FD2DFC"/>
    <w:rsid w:val="00FD2F15"/>
    <w:rsid w:val="00FD364E"/>
    <w:rsid w:val="00FD375B"/>
    <w:rsid w:val="00FD3800"/>
    <w:rsid w:val="00FD3ADA"/>
    <w:rsid w:val="00FD3D0E"/>
    <w:rsid w:val="00FD3F74"/>
    <w:rsid w:val="00FD45D8"/>
    <w:rsid w:val="00FD462A"/>
    <w:rsid w:val="00FD4D2B"/>
    <w:rsid w:val="00FD4D89"/>
    <w:rsid w:val="00FD4E0C"/>
    <w:rsid w:val="00FD4FD5"/>
    <w:rsid w:val="00FD500E"/>
    <w:rsid w:val="00FD51CD"/>
    <w:rsid w:val="00FD5371"/>
    <w:rsid w:val="00FD54A6"/>
    <w:rsid w:val="00FD5516"/>
    <w:rsid w:val="00FD57EF"/>
    <w:rsid w:val="00FD60F1"/>
    <w:rsid w:val="00FD616B"/>
    <w:rsid w:val="00FD61FF"/>
    <w:rsid w:val="00FD642F"/>
    <w:rsid w:val="00FD6558"/>
    <w:rsid w:val="00FD65BB"/>
    <w:rsid w:val="00FD65E9"/>
    <w:rsid w:val="00FD6659"/>
    <w:rsid w:val="00FD6674"/>
    <w:rsid w:val="00FD66BD"/>
    <w:rsid w:val="00FD66EF"/>
    <w:rsid w:val="00FD69D2"/>
    <w:rsid w:val="00FD6BE1"/>
    <w:rsid w:val="00FD6CCC"/>
    <w:rsid w:val="00FD710D"/>
    <w:rsid w:val="00FD7282"/>
    <w:rsid w:val="00FD7427"/>
    <w:rsid w:val="00FD766C"/>
    <w:rsid w:val="00FD76FB"/>
    <w:rsid w:val="00FD773B"/>
    <w:rsid w:val="00FD7E58"/>
    <w:rsid w:val="00FD7EE0"/>
    <w:rsid w:val="00FD8090"/>
    <w:rsid w:val="00FE0025"/>
    <w:rsid w:val="00FE0127"/>
    <w:rsid w:val="00FE0387"/>
    <w:rsid w:val="00FE03B5"/>
    <w:rsid w:val="00FE05B1"/>
    <w:rsid w:val="00FE0833"/>
    <w:rsid w:val="00FE08F6"/>
    <w:rsid w:val="00FE0A73"/>
    <w:rsid w:val="00FE0C28"/>
    <w:rsid w:val="00FE0C45"/>
    <w:rsid w:val="00FE1099"/>
    <w:rsid w:val="00FE1494"/>
    <w:rsid w:val="00FE1529"/>
    <w:rsid w:val="00FE1A4D"/>
    <w:rsid w:val="00FE1B5B"/>
    <w:rsid w:val="00FE1C24"/>
    <w:rsid w:val="00FE1E56"/>
    <w:rsid w:val="00FE1E91"/>
    <w:rsid w:val="00FE20DE"/>
    <w:rsid w:val="00FE210E"/>
    <w:rsid w:val="00FE2187"/>
    <w:rsid w:val="00FE2214"/>
    <w:rsid w:val="00FE2610"/>
    <w:rsid w:val="00FE2728"/>
    <w:rsid w:val="00FE282A"/>
    <w:rsid w:val="00FE2848"/>
    <w:rsid w:val="00FE2850"/>
    <w:rsid w:val="00FE28CC"/>
    <w:rsid w:val="00FE298B"/>
    <w:rsid w:val="00FE2BB3"/>
    <w:rsid w:val="00FE2C3F"/>
    <w:rsid w:val="00FE2C40"/>
    <w:rsid w:val="00FE2CDB"/>
    <w:rsid w:val="00FE2D9A"/>
    <w:rsid w:val="00FE2E02"/>
    <w:rsid w:val="00FE2E42"/>
    <w:rsid w:val="00FE3256"/>
    <w:rsid w:val="00FE3273"/>
    <w:rsid w:val="00FE365B"/>
    <w:rsid w:val="00FE367F"/>
    <w:rsid w:val="00FE3931"/>
    <w:rsid w:val="00FE3BE1"/>
    <w:rsid w:val="00FE3CDD"/>
    <w:rsid w:val="00FE3DED"/>
    <w:rsid w:val="00FE3F3C"/>
    <w:rsid w:val="00FE405A"/>
    <w:rsid w:val="00FE446E"/>
    <w:rsid w:val="00FE4588"/>
    <w:rsid w:val="00FE464D"/>
    <w:rsid w:val="00FE4FC0"/>
    <w:rsid w:val="00FE4FF9"/>
    <w:rsid w:val="00FE5127"/>
    <w:rsid w:val="00FE55E3"/>
    <w:rsid w:val="00FE564D"/>
    <w:rsid w:val="00FE5669"/>
    <w:rsid w:val="00FE5AB5"/>
    <w:rsid w:val="00FE5C67"/>
    <w:rsid w:val="00FE5F1D"/>
    <w:rsid w:val="00FE5FDD"/>
    <w:rsid w:val="00FE6436"/>
    <w:rsid w:val="00FE6524"/>
    <w:rsid w:val="00FE66EE"/>
    <w:rsid w:val="00FE6701"/>
    <w:rsid w:val="00FE686B"/>
    <w:rsid w:val="00FE687A"/>
    <w:rsid w:val="00FE68EA"/>
    <w:rsid w:val="00FE6E43"/>
    <w:rsid w:val="00FE6E88"/>
    <w:rsid w:val="00FE722C"/>
    <w:rsid w:val="00FE7611"/>
    <w:rsid w:val="00FE762E"/>
    <w:rsid w:val="00FE768D"/>
    <w:rsid w:val="00FE79CB"/>
    <w:rsid w:val="00FF0473"/>
    <w:rsid w:val="00FF0B92"/>
    <w:rsid w:val="00FF0FC4"/>
    <w:rsid w:val="00FF10FE"/>
    <w:rsid w:val="00FF1140"/>
    <w:rsid w:val="00FF1D0E"/>
    <w:rsid w:val="00FF1D63"/>
    <w:rsid w:val="00FF1E2F"/>
    <w:rsid w:val="00FF2313"/>
    <w:rsid w:val="00FF239E"/>
    <w:rsid w:val="00FF23AA"/>
    <w:rsid w:val="00FF2754"/>
    <w:rsid w:val="00FF2843"/>
    <w:rsid w:val="00FF29DC"/>
    <w:rsid w:val="00FF2A9E"/>
    <w:rsid w:val="00FF2AE7"/>
    <w:rsid w:val="00FF2BE2"/>
    <w:rsid w:val="00FF2C29"/>
    <w:rsid w:val="00FF2E15"/>
    <w:rsid w:val="00FF2FF6"/>
    <w:rsid w:val="00FF304A"/>
    <w:rsid w:val="00FF31D5"/>
    <w:rsid w:val="00FF36F8"/>
    <w:rsid w:val="00FF3C3E"/>
    <w:rsid w:val="00FF4235"/>
    <w:rsid w:val="00FF4328"/>
    <w:rsid w:val="00FF482D"/>
    <w:rsid w:val="00FF49D6"/>
    <w:rsid w:val="00FF4C01"/>
    <w:rsid w:val="00FF4EEC"/>
    <w:rsid w:val="00FF4FCE"/>
    <w:rsid w:val="00FF504D"/>
    <w:rsid w:val="00FF5276"/>
    <w:rsid w:val="00FF53C1"/>
    <w:rsid w:val="00FF5455"/>
    <w:rsid w:val="00FF5713"/>
    <w:rsid w:val="00FF5734"/>
    <w:rsid w:val="00FF5810"/>
    <w:rsid w:val="00FF5A93"/>
    <w:rsid w:val="00FF5B42"/>
    <w:rsid w:val="00FF5BB5"/>
    <w:rsid w:val="00FF5C23"/>
    <w:rsid w:val="00FF5D44"/>
    <w:rsid w:val="00FF5F4B"/>
    <w:rsid w:val="00FF6112"/>
    <w:rsid w:val="00FF6754"/>
    <w:rsid w:val="00FF68A1"/>
    <w:rsid w:val="00FF6AC9"/>
    <w:rsid w:val="00FF6B14"/>
    <w:rsid w:val="00FF6D9F"/>
    <w:rsid w:val="00FF701A"/>
    <w:rsid w:val="00FF7115"/>
    <w:rsid w:val="00FF7158"/>
    <w:rsid w:val="00FF72F2"/>
    <w:rsid w:val="00FF72F6"/>
    <w:rsid w:val="00FF749B"/>
    <w:rsid w:val="00FF77BF"/>
    <w:rsid w:val="00FF77ED"/>
    <w:rsid w:val="00FF79D8"/>
    <w:rsid w:val="00FF7CB4"/>
    <w:rsid w:val="00FF7EC2"/>
    <w:rsid w:val="00FF7F34"/>
    <w:rsid w:val="010BA2E8"/>
    <w:rsid w:val="010C5090"/>
    <w:rsid w:val="010F286C"/>
    <w:rsid w:val="0114E94E"/>
    <w:rsid w:val="011687F1"/>
    <w:rsid w:val="011799ED"/>
    <w:rsid w:val="0126E5B7"/>
    <w:rsid w:val="012F5051"/>
    <w:rsid w:val="013B1C8A"/>
    <w:rsid w:val="013DCCA2"/>
    <w:rsid w:val="014C85BD"/>
    <w:rsid w:val="015D5A61"/>
    <w:rsid w:val="01841E41"/>
    <w:rsid w:val="019A5C1C"/>
    <w:rsid w:val="019C7CDA"/>
    <w:rsid w:val="019DCF19"/>
    <w:rsid w:val="01BAA816"/>
    <w:rsid w:val="01C1258E"/>
    <w:rsid w:val="01CE0BFD"/>
    <w:rsid w:val="01E020B4"/>
    <w:rsid w:val="01F377EE"/>
    <w:rsid w:val="01FB17EB"/>
    <w:rsid w:val="02124937"/>
    <w:rsid w:val="02133F3A"/>
    <w:rsid w:val="021BD49C"/>
    <w:rsid w:val="021C0462"/>
    <w:rsid w:val="02203A38"/>
    <w:rsid w:val="02203E49"/>
    <w:rsid w:val="0226A521"/>
    <w:rsid w:val="022C99FA"/>
    <w:rsid w:val="022D9CD7"/>
    <w:rsid w:val="0241EFFA"/>
    <w:rsid w:val="026075C5"/>
    <w:rsid w:val="02733629"/>
    <w:rsid w:val="027414B5"/>
    <w:rsid w:val="02795581"/>
    <w:rsid w:val="02799AC1"/>
    <w:rsid w:val="027D03E7"/>
    <w:rsid w:val="0284B2BF"/>
    <w:rsid w:val="0284BBB3"/>
    <w:rsid w:val="029F638C"/>
    <w:rsid w:val="02A2B780"/>
    <w:rsid w:val="02CD7C07"/>
    <w:rsid w:val="02D2C280"/>
    <w:rsid w:val="02D6D92B"/>
    <w:rsid w:val="02D92481"/>
    <w:rsid w:val="02DBD20A"/>
    <w:rsid w:val="03001BFA"/>
    <w:rsid w:val="0300E15C"/>
    <w:rsid w:val="0304D074"/>
    <w:rsid w:val="03058475"/>
    <w:rsid w:val="031585CE"/>
    <w:rsid w:val="031F4346"/>
    <w:rsid w:val="032D281C"/>
    <w:rsid w:val="032ECB44"/>
    <w:rsid w:val="0330E1C2"/>
    <w:rsid w:val="0347A646"/>
    <w:rsid w:val="03623A40"/>
    <w:rsid w:val="036BB744"/>
    <w:rsid w:val="037C8300"/>
    <w:rsid w:val="038476F2"/>
    <w:rsid w:val="038F14E4"/>
    <w:rsid w:val="039D89D0"/>
    <w:rsid w:val="03A28F26"/>
    <w:rsid w:val="03A6AEA1"/>
    <w:rsid w:val="03B4BB22"/>
    <w:rsid w:val="03B7BBC5"/>
    <w:rsid w:val="03B9C439"/>
    <w:rsid w:val="03C2095C"/>
    <w:rsid w:val="03C26836"/>
    <w:rsid w:val="03C5F89F"/>
    <w:rsid w:val="03C6ADEE"/>
    <w:rsid w:val="03CDCC2F"/>
    <w:rsid w:val="03CE59C1"/>
    <w:rsid w:val="03D65032"/>
    <w:rsid w:val="03E15427"/>
    <w:rsid w:val="03F5D72C"/>
    <w:rsid w:val="03F942CE"/>
    <w:rsid w:val="03FFB906"/>
    <w:rsid w:val="0400732C"/>
    <w:rsid w:val="0401512C"/>
    <w:rsid w:val="0406BDBA"/>
    <w:rsid w:val="0414973F"/>
    <w:rsid w:val="043A6E6F"/>
    <w:rsid w:val="0450D736"/>
    <w:rsid w:val="0454303A"/>
    <w:rsid w:val="04597A4E"/>
    <w:rsid w:val="045A5552"/>
    <w:rsid w:val="045ED1B7"/>
    <w:rsid w:val="0474DF6C"/>
    <w:rsid w:val="047994C7"/>
    <w:rsid w:val="0485700A"/>
    <w:rsid w:val="049B8BCD"/>
    <w:rsid w:val="049E7091"/>
    <w:rsid w:val="04A3D9EB"/>
    <w:rsid w:val="04B0F175"/>
    <w:rsid w:val="04B96E75"/>
    <w:rsid w:val="04BC3ADC"/>
    <w:rsid w:val="04C41ED8"/>
    <w:rsid w:val="04CC83E1"/>
    <w:rsid w:val="04CE29D9"/>
    <w:rsid w:val="04D941AE"/>
    <w:rsid w:val="04DBA2DF"/>
    <w:rsid w:val="04E0DA05"/>
    <w:rsid w:val="05017D7E"/>
    <w:rsid w:val="05041C6B"/>
    <w:rsid w:val="050642B8"/>
    <w:rsid w:val="05066964"/>
    <w:rsid w:val="051EA081"/>
    <w:rsid w:val="0525D6E9"/>
    <w:rsid w:val="053D98A3"/>
    <w:rsid w:val="0542B41E"/>
    <w:rsid w:val="0544AEA3"/>
    <w:rsid w:val="0548AA56"/>
    <w:rsid w:val="0551C4B2"/>
    <w:rsid w:val="0552CCE7"/>
    <w:rsid w:val="0556B2CB"/>
    <w:rsid w:val="0557152E"/>
    <w:rsid w:val="055F57D7"/>
    <w:rsid w:val="0563DB2C"/>
    <w:rsid w:val="056442FA"/>
    <w:rsid w:val="0566CA97"/>
    <w:rsid w:val="056D4CD7"/>
    <w:rsid w:val="056DC27B"/>
    <w:rsid w:val="057BA657"/>
    <w:rsid w:val="058C8129"/>
    <w:rsid w:val="05A64D35"/>
    <w:rsid w:val="05B9EB4E"/>
    <w:rsid w:val="05C37649"/>
    <w:rsid w:val="05C5967F"/>
    <w:rsid w:val="05C5EA13"/>
    <w:rsid w:val="05C60F8F"/>
    <w:rsid w:val="05E15F49"/>
    <w:rsid w:val="05EBEEAF"/>
    <w:rsid w:val="05F09A5E"/>
    <w:rsid w:val="05F3DF51"/>
    <w:rsid w:val="05F7115F"/>
    <w:rsid w:val="05FBCBD9"/>
    <w:rsid w:val="06082F0E"/>
    <w:rsid w:val="061FA133"/>
    <w:rsid w:val="062F16B4"/>
    <w:rsid w:val="06396AA5"/>
    <w:rsid w:val="063D6DF8"/>
    <w:rsid w:val="06449611"/>
    <w:rsid w:val="064875D2"/>
    <w:rsid w:val="064988AD"/>
    <w:rsid w:val="064FE891"/>
    <w:rsid w:val="0658FECD"/>
    <w:rsid w:val="065B9ECD"/>
    <w:rsid w:val="06638053"/>
    <w:rsid w:val="067C35D2"/>
    <w:rsid w:val="06822C10"/>
    <w:rsid w:val="06868341"/>
    <w:rsid w:val="068C1BAB"/>
    <w:rsid w:val="069339C9"/>
    <w:rsid w:val="069788E2"/>
    <w:rsid w:val="069D4C36"/>
    <w:rsid w:val="06AD8AEE"/>
    <w:rsid w:val="06B022CA"/>
    <w:rsid w:val="06B46B9F"/>
    <w:rsid w:val="06BFC5A4"/>
    <w:rsid w:val="06C19866"/>
    <w:rsid w:val="06C6265D"/>
    <w:rsid w:val="06CBFFA3"/>
    <w:rsid w:val="06D8BED5"/>
    <w:rsid w:val="06DB7508"/>
    <w:rsid w:val="06DE696E"/>
    <w:rsid w:val="06E237AB"/>
    <w:rsid w:val="07025C18"/>
    <w:rsid w:val="0702B443"/>
    <w:rsid w:val="070EEA88"/>
    <w:rsid w:val="07157C2E"/>
    <w:rsid w:val="0716EAE3"/>
    <w:rsid w:val="071DC06D"/>
    <w:rsid w:val="071ED165"/>
    <w:rsid w:val="07378ADA"/>
    <w:rsid w:val="073AA5BD"/>
    <w:rsid w:val="074A9185"/>
    <w:rsid w:val="0757A426"/>
    <w:rsid w:val="07591836"/>
    <w:rsid w:val="075C36CE"/>
    <w:rsid w:val="0771FF8E"/>
    <w:rsid w:val="077363A3"/>
    <w:rsid w:val="077E355A"/>
    <w:rsid w:val="078B5EC0"/>
    <w:rsid w:val="079DB04B"/>
    <w:rsid w:val="07A3A722"/>
    <w:rsid w:val="07C00866"/>
    <w:rsid w:val="07C67AFF"/>
    <w:rsid w:val="07C774CC"/>
    <w:rsid w:val="07CBD576"/>
    <w:rsid w:val="07D1E933"/>
    <w:rsid w:val="07D4E2A7"/>
    <w:rsid w:val="07D56FEF"/>
    <w:rsid w:val="07D7ABE9"/>
    <w:rsid w:val="07DC6A19"/>
    <w:rsid w:val="07DFB20A"/>
    <w:rsid w:val="07E5EDA5"/>
    <w:rsid w:val="07F2C07A"/>
    <w:rsid w:val="07F4F140"/>
    <w:rsid w:val="07FC3BA0"/>
    <w:rsid w:val="08063B25"/>
    <w:rsid w:val="081D46BE"/>
    <w:rsid w:val="08210FFC"/>
    <w:rsid w:val="08267AFF"/>
    <w:rsid w:val="0828520D"/>
    <w:rsid w:val="08340429"/>
    <w:rsid w:val="08368F6D"/>
    <w:rsid w:val="0839E82F"/>
    <w:rsid w:val="0844DB03"/>
    <w:rsid w:val="0847FAC9"/>
    <w:rsid w:val="084BCF33"/>
    <w:rsid w:val="085318E7"/>
    <w:rsid w:val="0879E1FA"/>
    <w:rsid w:val="087B8A4B"/>
    <w:rsid w:val="08827AB7"/>
    <w:rsid w:val="0884B159"/>
    <w:rsid w:val="08850547"/>
    <w:rsid w:val="08880157"/>
    <w:rsid w:val="089672B5"/>
    <w:rsid w:val="0897878E"/>
    <w:rsid w:val="089D2AA5"/>
    <w:rsid w:val="08A0FABD"/>
    <w:rsid w:val="08A51700"/>
    <w:rsid w:val="08A7AD96"/>
    <w:rsid w:val="08AC281E"/>
    <w:rsid w:val="08C663C8"/>
    <w:rsid w:val="08D9CA94"/>
    <w:rsid w:val="08E8115B"/>
    <w:rsid w:val="08EBEDC1"/>
    <w:rsid w:val="09201513"/>
    <w:rsid w:val="0928E0F5"/>
    <w:rsid w:val="09384103"/>
    <w:rsid w:val="0949521B"/>
    <w:rsid w:val="096EB097"/>
    <w:rsid w:val="097A4289"/>
    <w:rsid w:val="097E9469"/>
    <w:rsid w:val="09851DF3"/>
    <w:rsid w:val="098EC741"/>
    <w:rsid w:val="099C0179"/>
    <w:rsid w:val="09A957F5"/>
    <w:rsid w:val="09AAFB4D"/>
    <w:rsid w:val="09C7AA17"/>
    <w:rsid w:val="09D8154B"/>
    <w:rsid w:val="09DC924B"/>
    <w:rsid w:val="09DE7ABD"/>
    <w:rsid w:val="09DEF28C"/>
    <w:rsid w:val="09FCBB2F"/>
    <w:rsid w:val="0A07545E"/>
    <w:rsid w:val="0A0A4A54"/>
    <w:rsid w:val="0A0BE0D8"/>
    <w:rsid w:val="0A1096EA"/>
    <w:rsid w:val="0A1291D7"/>
    <w:rsid w:val="0A14DEE1"/>
    <w:rsid w:val="0A1824F5"/>
    <w:rsid w:val="0A1E4B18"/>
    <w:rsid w:val="0A1FA69E"/>
    <w:rsid w:val="0A219EC6"/>
    <w:rsid w:val="0A3357EF"/>
    <w:rsid w:val="0A44CD4B"/>
    <w:rsid w:val="0A4E6884"/>
    <w:rsid w:val="0A523F27"/>
    <w:rsid w:val="0A5319C1"/>
    <w:rsid w:val="0A555BCF"/>
    <w:rsid w:val="0A7FB939"/>
    <w:rsid w:val="0A8A0272"/>
    <w:rsid w:val="0A97FFAA"/>
    <w:rsid w:val="0A9AACD6"/>
    <w:rsid w:val="0AB711B9"/>
    <w:rsid w:val="0AC299EA"/>
    <w:rsid w:val="0ACF1206"/>
    <w:rsid w:val="0AD93CB4"/>
    <w:rsid w:val="0AEF3DEF"/>
    <w:rsid w:val="0AF08783"/>
    <w:rsid w:val="0AFA6957"/>
    <w:rsid w:val="0AFBE59E"/>
    <w:rsid w:val="0B0376C3"/>
    <w:rsid w:val="0B149BB1"/>
    <w:rsid w:val="0B18A656"/>
    <w:rsid w:val="0B1D8813"/>
    <w:rsid w:val="0B2A5BBB"/>
    <w:rsid w:val="0B2C85C3"/>
    <w:rsid w:val="0B2F5271"/>
    <w:rsid w:val="0B34CDA2"/>
    <w:rsid w:val="0B36780A"/>
    <w:rsid w:val="0B39A7A0"/>
    <w:rsid w:val="0B3B29D9"/>
    <w:rsid w:val="0B44B8A4"/>
    <w:rsid w:val="0B455ACB"/>
    <w:rsid w:val="0B469F72"/>
    <w:rsid w:val="0B7F37F0"/>
    <w:rsid w:val="0B7FA85A"/>
    <w:rsid w:val="0B819DB2"/>
    <w:rsid w:val="0B99E31A"/>
    <w:rsid w:val="0B9E1004"/>
    <w:rsid w:val="0BAF911A"/>
    <w:rsid w:val="0BB605D2"/>
    <w:rsid w:val="0BB84565"/>
    <w:rsid w:val="0BC23675"/>
    <w:rsid w:val="0BCD5A85"/>
    <w:rsid w:val="0BD6CD4A"/>
    <w:rsid w:val="0BEC1224"/>
    <w:rsid w:val="0BEEF6F8"/>
    <w:rsid w:val="0BF9E864"/>
    <w:rsid w:val="0BFDB553"/>
    <w:rsid w:val="0C180125"/>
    <w:rsid w:val="0C1F6044"/>
    <w:rsid w:val="0C277D5E"/>
    <w:rsid w:val="0C27C45B"/>
    <w:rsid w:val="0C32A03C"/>
    <w:rsid w:val="0C390825"/>
    <w:rsid w:val="0C3CFD56"/>
    <w:rsid w:val="0C5234DD"/>
    <w:rsid w:val="0C583335"/>
    <w:rsid w:val="0C5DF4DB"/>
    <w:rsid w:val="0C5E81FB"/>
    <w:rsid w:val="0C6052C3"/>
    <w:rsid w:val="0C631FC6"/>
    <w:rsid w:val="0C633099"/>
    <w:rsid w:val="0C64925A"/>
    <w:rsid w:val="0C67776B"/>
    <w:rsid w:val="0C713A02"/>
    <w:rsid w:val="0C72833D"/>
    <w:rsid w:val="0C7A817B"/>
    <w:rsid w:val="0C82DF30"/>
    <w:rsid w:val="0C85A262"/>
    <w:rsid w:val="0C8A67A0"/>
    <w:rsid w:val="0C8B1C27"/>
    <w:rsid w:val="0CA70057"/>
    <w:rsid w:val="0CAA962C"/>
    <w:rsid w:val="0CABCD5E"/>
    <w:rsid w:val="0CC06E01"/>
    <w:rsid w:val="0CC09D13"/>
    <w:rsid w:val="0CC1A1B5"/>
    <w:rsid w:val="0CD3C9F6"/>
    <w:rsid w:val="0CE7B0E3"/>
    <w:rsid w:val="0CEE327E"/>
    <w:rsid w:val="0CFA5704"/>
    <w:rsid w:val="0CFBF0D2"/>
    <w:rsid w:val="0D047AA9"/>
    <w:rsid w:val="0D167DC0"/>
    <w:rsid w:val="0D1E9211"/>
    <w:rsid w:val="0D1F4CAA"/>
    <w:rsid w:val="0D1F7ABC"/>
    <w:rsid w:val="0D30D0FA"/>
    <w:rsid w:val="0D35E456"/>
    <w:rsid w:val="0D54979A"/>
    <w:rsid w:val="0D5917DA"/>
    <w:rsid w:val="0D5E6406"/>
    <w:rsid w:val="0D5FCC72"/>
    <w:rsid w:val="0D689906"/>
    <w:rsid w:val="0D6C0EF1"/>
    <w:rsid w:val="0D6C90BD"/>
    <w:rsid w:val="0D6D7B66"/>
    <w:rsid w:val="0D79BC05"/>
    <w:rsid w:val="0D8F25BC"/>
    <w:rsid w:val="0D9391DB"/>
    <w:rsid w:val="0D9BA9B6"/>
    <w:rsid w:val="0DAD4820"/>
    <w:rsid w:val="0DAF5D9E"/>
    <w:rsid w:val="0DB8F47B"/>
    <w:rsid w:val="0DBC899B"/>
    <w:rsid w:val="0DBF9EEC"/>
    <w:rsid w:val="0DC21063"/>
    <w:rsid w:val="0DC444B2"/>
    <w:rsid w:val="0DCC4E96"/>
    <w:rsid w:val="0DDEC062"/>
    <w:rsid w:val="0DDF044A"/>
    <w:rsid w:val="0DE306EE"/>
    <w:rsid w:val="0DEBB13F"/>
    <w:rsid w:val="0DEDE3FA"/>
    <w:rsid w:val="0DEDFB4F"/>
    <w:rsid w:val="0E1D1A3F"/>
    <w:rsid w:val="0E2D5FED"/>
    <w:rsid w:val="0E3693AD"/>
    <w:rsid w:val="0E3B39C4"/>
    <w:rsid w:val="0E3B70A6"/>
    <w:rsid w:val="0E4ADCFF"/>
    <w:rsid w:val="0E504BD7"/>
    <w:rsid w:val="0E59B11F"/>
    <w:rsid w:val="0E5D56EC"/>
    <w:rsid w:val="0E5EF239"/>
    <w:rsid w:val="0E63DE80"/>
    <w:rsid w:val="0E645C2F"/>
    <w:rsid w:val="0E6D56CB"/>
    <w:rsid w:val="0E7DD4B3"/>
    <w:rsid w:val="0E86FE27"/>
    <w:rsid w:val="0E940F17"/>
    <w:rsid w:val="0E9B96FB"/>
    <w:rsid w:val="0E9DDBA6"/>
    <w:rsid w:val="0EABB751"/>
    <w:rsid w:val="0EB8326F"/>
    <w:rsid w:val="0EB83763"/>
    <w:rsid w:val="0EB8D59D"/>
    <w:rsid w:val="0EBEF2F2"/>
    <w:rsid w:val="0EC7AEE5"/>
    <w:rsid w:val="0ECCF1A5"/>
    <w:rsid w:val="0ECD791E"/>
    <w:rsid w:val="0ED065E7"/>
    <w:rsid w:val="0ED2E1E8"/>
    <w:rsid w:val="0ED4636D"/>
    <w:rsid w:val="0ED498CA"/>
    <w:rsid w:val="0ED4B4A7"/>
    <w:rsid w:val="0EF2111B"/>
    <w:rsid w:val="0F00CC35"/>
    <w:rsid w:val="0F062784"/>
    <w:rsid w:val="0F108E57"/>
    <w:rsid w:val="0F18792B"/>
    <w:rsid w:val="0F29EA4E"/>
    <w:rsid w:val="0F2C7545"/>
    <w:rsid w:val="0F2FFB28"/>
    <w:rsid w:val="0F357740"/>
    <w:rsid w:val="0F3BE5F0"/>
    <w:rsid w:val="0F3E7D66"/>
    <w:rsid w:val="0F41544E"/>
    <w:rsid w:val="0F442FCA"/>
    <w:rsid w:val="0F5915BC"/>
    <w:rsid w:val="0F5E9140"/>
    <w:rsid w:val="0F66868D"/>
    <w:rsid w:val="0F7398AB"/>
    <w:rsid w:val="0F7AD848"/>
    <w:rsid w:val="0F83A237"/>
    <w:rsid w:val="0F83DA68"/>
    <w:rsid w:val="0F89463C"/>
    <w:rsid w:val="0F8A6328"/>
    <w:rsid w:val="0F8BE054"/>
    <w:rsid w:val="0F8D0C23"/>
    <w:rsid w:val="0F921A44"/>
    <w:rsid w:val="0F93E0EF"/>
    <w:rsid w:val="0F9980DF"/>
    <w:rsid w:val="0FACF88D"/>
    <w:rsid w:val="0FB228B8"/>
    <w:rsid w:val="0FB9727B"/>
    <w:rsid w:val="0FB98EB3"/>
    <w:rsid w:val="0FBA605A"/>
    <w:rsid w:val="0FBC8A41"/>
    <w:rsid w:val="0FC14C15"/>
    <w:rsid w:val="0FC41DB1"/>
    <w:rsid w:val="0FC6B3C1"/>
    <w:rsid w:val="0FDACE1A"/>
    <w:rsid w:val="0FDD5BB9"/>
    <w:rsid w:val="0FFD5E76"/>
    <w:rsid w:val="10016F10"/>
    <w:rsid w:val="10077E98"/>
    <w:rsid w:val="100CF5F7"/>
    <w:rsid w:val="1010C78D"/>
    <w:rsid w:val="10113920"/>
    <w:rsid w:val="101365C2"/>
    <w:rsid w:val="1015DA3C"/>
    <w:rsid w:val="102D8E27"/>
    <w:rsid w:val="102EBABB"/>
    <w:rsid w:val="1035B656"/>
    <w:rsid w:val="104CE550"/>
    <w:rsid w:val="1051DECD"/>
    <w:rsid w:val="105B7940"/>
    <w:rsid w:val="10632CAF"/>
    <w:rsid w:val="10658699"/>
    <w:rsid w:val="1069B480"/>
    <w:rsid w:val="1073AC36"/>
    <w:rsid w:val="107EF3D7"/>
    <w:rsid w:val="108FA8F4"/>
    <w:rsid w:val="109B46DB"/>
    <w:rsid w:val="10A065CE"/>
    <w:rsid w:val="10AA8ABD"/>
    <w:rsid w:val="10B464A0"/>
    <w:rsid w:val="10B6570D"/>
    <w:rsid w:val="10BAA7FE"/>
    <w:rsid w:val="10C05680"/>
    <w:rsid w:val="10D06C9D"/>
    <w:rsid w:val="10D3254F"/>
    <w:rsid w:val="10E4CFC8"/>
    <w:rsid w:val="1105D4CB"/>
    <w:rsid w:val="1105F1AA"/>
    <w:rsid w:val="11180B57"/>
    <w:rsid w:val="11185497"/>
    <w:rsid w:val="11202EF1"/>
    <w:rsid w:val="113378CC"/>
    <w:rsid w:val="1134AD8C"/>
    <w:rsid w:val="11428528"/>
    <w:rsid w:val="11436A01"/>
    <w:rsid w:val="114AC3CD"/>
    <w:rsid w:val="114F7BB2"/>
    <w:rsid w:val="11537EC8"/>
    <w:rsid w:val="115650DF"/>
    <w:rsid w:val="1158A1DA"/>
    <w:rsid w:val="115BEF0A"/>
    <w:rsid w:val="1182E09B"/>
    <w:rsid w:val="118C65F9"/>
    <w:rsid w:val="118D2ECA"/>
    <w:rsid w:val="118E8901"/>
    <w:rsid w:val="11970949"/>
    <w:rsid w:val="11A02432"/>
    <w:rsid w:val="11A1D26B"/>
    <w:rsid w:val="11A93D36"/>
    <w:rsid w:val="11B07EB4"/>
    <w:rsid w:val="11B2DE27"/>
    <w:rsid w:val="11B9C140"/>
    <w:rsid w:val="11C69778"/>
    <w:rsid w:val="11DC2A81"/>
    <w:rsid w:val="11ECEA43"/>
    <w:rsid w:val="11FDD39F"/>
    <w:rsid w:val="120A5A5F"/>
    <w:rsid w:val="120E8F2D"/>
    <w:rsid w:val="1216AE89"/>
    <w:rsid w:val="1229EAB1"/>
    <w:rsid w:val="122BB5B1"/>
    <w:rsid w:val="123F62B3"/>
    <w:rsid w:val="12414CB3"/>
    <w:rsid w:val="12597C6D"/>
    <w:rsid w:val="125B3343"/>
    <w:rsid w:val="125B6875"/>
    <w:rsid w:val="126B7ED1"/>
    <w:rsid w:val="1275CDB3"/>
    <w:rsid w:val="12767F54"/>
    <w:rsid w:val="128DE72A"/>
    <w:rsid w:val="128FC34D"/>
    <w:rsid w:val="12939D20"/>
    <w:rsid w:val="1294F827"/>
    <w:rsid w:val="129923AF"/>
    <w:rsid w:val="129EB201"/>
    <w:rsid w:val="12A7715B"/>
    <w:rsid w:val="12B1F3FF"/>
    <w:rsid w:val="12BD7356"/>
    <w:rsid w:val="12CAEA39"/>
    <w:rsid w:val="12D08F41"/>
    <w:rsid w:val="12D220D0"/>
    <w:rsid w:val="12D38E36"/>
    <w:rsid w:val="12E0E669"/>
    <w:rsid w:val="12E75CF6"/>
    <w:rsid w:val="12E77CA1"/>
    <w:rsid w:val="12F9DFF9"/>
    <w:rsid w:val="1301FA29"/>
    <w:rsid w:val="130EBC9C"/>
    <w:rsid w:val="1315B28C"/>
    <w:rsid w:val="1320D484"/>
    <w:rsid w:val="13224168"/>
    <w:rsid w:val="13267EE9"/>
    <w:rsid w:val="13373126"/>
    <w:rsid w:val="133C376E"/>
    <w:rsid w:val="1343F128"/>
    <w:rsid w:val="134535E4"/>
    <w:rsid w:val="1349CFBF"/>
    <w:rsid w:val="1359D2FF"/>
    <w:rsid w:val="13635F2C"/>
    <w:rsid w:val="13647F57"/>
    <w:rsid w:val="136A51EB"/>
    <w:rsid w:val="1381F436"/>
    <w:rsid w:val="138A7996"/>
    <w:rsid w:val="138B632E"/>
    <w:rsid w:val="139A4869"/>
    <w:rsid w:val="13AB0600"/>
    <w:rsid w:val="13AFF14C"/>
    <w:rsid w:val="13D01C93"/>
    <w:rsid w:val="13D16AB1"/>
    <w:rsid w:val="13DE4BEC"/>
    <w:rsid w:val="13F8B2D3"/>
    <w:rsid w:val="13FFCF49"/>
    <w:rsid w:val="1408D00D"/>
    <w:rsid w:val="14188A4E"/>
    <w:rsid w:val="141966E6"/>
    <w:rsid w:val="14205D0E"/>
    <w:rsid w:val="142A4806"/>
    <w:rsid w:val="14328A17"/>
    <w:rsid w:val="14475561"/>
    <w:rsid w:val="1447580A"/>
    <w:rsid w:val="1449C9ED"/>
    <w:rsid w:val="14578F0F"/>
    <w:rsid w:val="146284A3"/>
    <w:rsid w:val="146DE38A"/>
    <w:rsid w:val="147807EA"/>
    <w:rsid w:val="1478E1CC"/>
    <w:rsid w:val="1479338B"/>
    <w:rsid w:val="1479772C"/>
    <w:rsid w:val="148E265F"/>
    <w:rsid w:val="149B7FC4"/>
    <w:rsid w:val="149D4E7C"/>
    <w:rsid w:val="14A1F655"/>
    <w:rsid w:val="14ABD39B"/>
    <w:rsid w:val="14AE3E6E"/>
    <w:rsid w:val="14B35DC8"/>
    <w:rsid w:val="14B68D77"/>
    <w:rsid w:val="14BCA8A6"/>
    <w:rsid w:val="14D25617"/>
    <w:rsid w:val="14D28767"/>
    <w:rsid w:val="14DD31D0"/>
    <w:rsid w:val="14E97867"/>
    <w:rsid w:val="14F3D50F"/>
    <w:rsid w:val="14F877FC"/>
    <w:rsid w:val="14F986D4"/>
    <w:rsid w:val="15004A53"/>
    <w:rsid w:val="15034465"/>
    <w:rsid w:val="150D294A"/>
    <w:rsid w:val="151D19DE"/>
    <w:rsid w:val="151D3329"/>
    <w:rsid w:val="151F42ED"/>
    <w:rsid w:val="15256029"/>
    <w:rsid w:val="152E27CD"/>
    <w:rsid w:val="152F23E6"/>
    <w:rsid w:val="154BCD6D"/>
    <w:rsid w:val="1558E6D6"/>
    <w:rsid w:val="15590AF9"/>
    <w:rsid w:val="15656AFB"/>
    <w:rsid w:val="15931464"/>
    <w:rsid w:val="15A0D86F"/>
    <w:rsid w:val="15A5FB42"/>
    <w:rsid w:val="15A6BFD2"/>
    <w:rsid w:val="15A96502"/>
    <w:rsid w:val="15AB6E83"/>
    <w:rsid w:val="15AD00F7"/>
    <w:rsid w:val="15AEA0A7"/>
    <w:rsid w:val="15AF08E5"/>
    <w:rsid w:val="15BCE82D"/>
    <w:rsid w:val="15C0A6A4"/>
    <w:rsid w:val="15CAE419"/>
    <w:rsid w:val="15D86347"/>
    <w:rsid w:val="15F15F1D"/>
    <w:rsid w:val="15FF2A27"/>
    <w:rsid w:val="16062D81"/>
    <w:rsid w:val="16209E7E"/>
    <w:rsid w:val="162215B4"/>
    <w:rsid w:val="1630D830"/>
    <w:rsid w:val="1633A3A8"/>
    <w:rsid w:val="164ABEBD"/>
    <w:rsid w:val="165A1E54"/>
    <w:rsid w:val="1666AFCD"/>
    <w:rsid w:val="166C14A0"/>
    <w:rsid w:val="1671C29E"/>
    <w:rsid w:val="167485E4"/>
    <w:rsid w:val="167979F5"/>
    <w:rsid w:val="168397B7"/>
    <w:rsid w:val="1683C8C0"/>
    <w:rsid w:val="1685AA7F"/>
    <w:rsid w:val="1688CFB7"/>
    <w:rsid w:val="1693B789"/>
    <w:rsid w:val="169FAF4A"/>
    <w:rsid w:val="16A0A80D"/>
    <w:rsid w:val="16A299D0"/>
    <w:rsid w:val="16A5D4C2"/>
    <w:rsid w:val="16A5DFFF"/>
    <w:rsid w:val="16AFAAB2"/>
    <w:rsid w:val="16BD2418"/>
    <w:rsid w:val="16CA824F"/>
    <w:rsid w:val="16DAE05B"/>
    <w:rsid w:val="16F35896"/>
    <w:rsid w:val="16FD3154"/>
    <w:rsid w:val="16FF2F92"/>
    <w:rsid w:val="17104F04"/>
    <w:rsid w:val="171F116D"/>
    <w:rsid w:val="1733DD5C"/>
    <w:rsid w:val="1734EF80"/>
    <w:rsid w:val="17424410"/>
    <w:rsid w:val="1752E9ED"/>
    <w:rsid w:val="1753A521"/>
    <w:rsid w:val="1758EF07"/>
    <w:rsid w:val="1767F677"/>
    <w:rsid w:val="176EC291"/>
    <w:rsid w:val="177CC45E"/>
    <w:rsid w:val="177EB528"/>
    <w:rsid w:val="1796A146"/>
    <w:rsid w:val="17978DCC"/>
    <w:rsid w:val="179B9AC3"/>
    <w:rsid w:val="17A2056C"/>
    <w:rsid w:val="17B85EDC"/>
    <w:rsid w:val="17CB308E"/>
    <w:rsid w:val="17CF88A3"/>
    <w:rsid w:val="17DE58DA"/>
    <w:rsid w:val="17E3177B"/>
    <w:rsid w:val="17E33CB0"/>
    <w:rsid w:val="17E52C7D"/>
    <w:rsid w:val="17EDDB12"/>
    <w:rsid w:val="17F1FC0D"/>
    <w:rsid w:val="17F3F954"/>
    <w:rsid w:val="17F593C5"/>
    <w:rsid w:val="17FAF2CF"/>
    <w:rsid w:val="18090B20"/>
    <w:rsid w:val="180AECD5"/>
    <w:rsid w:val="180C8BFE"/>
    <w:rsid w:val="18110C8A"/>
    <w:rsid w:val="1819CEC2"/>
    <w:rsid w:val="181AD42D"/>
    <w:rsid w:val="1824561D"/>
    <w:rsid w:val="182981C6"/>
    <w:rsid w:val="182C245F"/>
    <w:rsid w:val="182D4087"/>
    <w:rsid w:val="183120FB"/>
    <w:rsid w:val="183A0EBD"/>
    <w:rsid w:val="183A8418"/>
    <w:rsid w:val="18447388"/>
    <w:rsid w:val="1852A40F"/>
    <w:rsid w:val="1861C1CF"/>
    <w:rsid w:val="1864D862"/>
    <w:rsid w:val="186EC0E9"/>
    <w:rsid w:val="1878C974"/>
    <w:rsid w:val="18B722F3"/>
    <w:rsid w:val="18C2C98E"/>
    <w:rsid w:val="18D28A22"/>
    <w:rsid w:val="18E05CAF"/>
    <w:rsid w:val="18E2156A"/>
    <w:rsid w:val="18E6DA38"/>
    <w:rsid w:val="18EAED63"/>
    <w:rsid w:val="18F6A04C"/>
    <w:rsid w:val="18FCEF83"/>
    <w:rsid w:val="19093FB9"/>
    <w:rsid w:val="190F275F"/>
    <w:rsid w:val="191745CD"/>
    <w:rsid w:val="191AC649"/>
    <w:rsid w:val="19248548"/>
    <w:rsid w:val="194A8ED2"/>
    <w:rsid w:val="19508DB6"/>
    <w:rsid w:val="196700EF"/>
    <w:rsid w:val="19810A01"/>
    <w:rsid w:val="19994EF5"/>
    <w:rsid w:val="199C95CD"/>
    <w:rsid w:val="19AD87E3"/>
    <w:rsid w:val="19AFBB3D"/>
    <w:rsid w:val="19C51291"/>
    <w:rsid w:val="19CD9FFC"/>
    <w:rsid w:val="19CE4B21"/>
    <w:rsid w:val="19CE561C"/>
    <w:rsid w:val="19D1B7DE"/>
    <w:rsid w:val="19D67C61"/>
    <w:rsid w:val="19D9E454"/>
    <w:rsid w:val="19E03BEE"/>
    <w:rsid w:val="19EF4CBA"/>
    <w:rsid w:val="19F1171D"/>
    <w:rsid w:val="19F57A2E"/>
    <w:rsid w:val="19F86C02"/>
    <w:rsid w:val="1A0976F0"/>
    <w:rsid w:val="1A09F567"/>
    <w:rsid w:val="1A0E900B"/>
    <w:rsid w:val="1A11C4B8"/>
    <w:rsid w:val="1A1B10CA"/>
    <w:rsid w:val="1A2026BA"/>
    <w:rsid w:val="1A2402EB"/>
    <w:rsid w:val="1A28743A"/>
    <w:rsid w:val="1A34AC4B"/>
    <w:rsid w:val="1A36A6BB"/>
    <w:rsid w:val="1A522931"/>
    <w:rsid w:val="1A52B6BB"/>
    <w:rsid w:val="1A624145"/>
    <w:rsid w:val="1A6753CE"/>
    <w:rsid w:val="1A70DB93"/>
    <w:rsid w:val="1A785075"/>
    <w:rsid w:val="1A81C296"/>
    <w:rsid w:val="1A84CDBD"/>
    <w:rsid w:val="1A86EEE3"/>
    <w:rsid w:val="1A8C2852"/>
    <w:rsid w:val="1A8EBFD5"/>
    <w:rsid w:val="1A91CBDE"/>
    <w:rsid w:val="1A980636"/>
    <w:rsid w:val="1AA1F1A0"/>
    <w:rsid w:val="1AA722E5"/>
    <w:rsid w:val="1AAA7603"/>
    <w:rsid w:val="1AB9E516"/>
    <w:rsid w:val="1ACD0064"/>
    <w:rsid w:val="1AD32183"/>
    <w:rsid w:val="1ADDC0A3"/>
    <w:rsid w:val="1AE5B870"/>
    <w:rsid w:val="1AEB20BB"/>
    <w:rsid w:val="1AF61461"/>
    <w:rsid w:val="1AF69FB2"/>
    <w:rsid w:val="1AFFF5DD"/>
    <w:rsid w:val="1B0BBDD2"/>
    <w:rsid w:val="1B259401"/>
    <w:rsid w:val="1B4309A6"/>
    <w:rsid w:val="1B4FA83E"/>
    <w:rsid w:val="1B51105B"/>
    <w:rsid w:val="1B5D84F9"/>
    <w:rsid w:val="1B5E4ADF"/>
    <w:rsid w:val="1B65E656"/>
    <w:rsid w:val="1B66DA25"/>
    <w:rsid w:val="1B6E40C0"/>
    <w:rsid w:val="1B76B875"/>
    <w:rsid w:val="1B890112"/>
    <w:rsid w:val="1B97A04A"/>
    <w:rsid w:val="1B9DEF90"/>
    <w:rsid w:val="1B9DFD72"/>
    <w:rsid w:val="1B9EFBD6"/>
    <w:rsid w:val="1BA37F2A"/>
    <w:rsid w:val="1BA492E3"/>
    <w:rsid w:val="1BA9C50F"/>
    <w:rsid w:val="1BAC96A1"/>
    <w:rsid w:val="1BB1A61A"/>
    <w:rsid w:val="1BB386E0"/>
    <w:rsid w:val="1BB4DC21"/>
    <w:rsid w:val="1BB59F1D"/>
    <w:rsid w:val="1BBAC6E8"/>
    <w:rsid w:val="1BBF752E"/>
    <w:rsid w:val="1BC2F358"/>
    <w:rsid w:val="1BC57E55"/>
    <w:rsid w:val="1BCC8D23"/>
    <w:rsid w:val="1BDA6CC3"/>
    <w:rsid w:val="1BDE55ED"/>
    <w:rsid w:val="1BE6AF68"/>
    <w:rsid w:val="1BF7C6B1"/>
    <w:rsid w:val="1BFE5866"/>
    <w:rsid w:val="1C10D67D"/>
    <w:rsid w:val="1C10FE4F"/>
    <w:rsid w:val="1C1CD9F3"/>
    <w:rsid w:val="1C2BB7B8"/>
    <w:rsid w:val="1C2D6D08"/>
    <w:rsid w:val="1C2FDFCC"/>
    <w:rsid w:val="1C314C71"/>
    <w:rsid w:val="1C3B2746"/>
    <w:rsid w:val="1C41F17D"/>
    <w:rsid w:val="1C44B379"/>
    <w:rsid w:val="1C460E37"/>
    <w:rsid w:val="1C4AB7E9"/>
    <w:rsid w:val="1C686ED8"/>
    <w:rsid w:val="1C74D502"/>
    <w:rsid w:val="1C886EAC"/>
    <w:rsid w:val="1C88944F"/>
    <w:rsid w:val="1C8AE205"/>
    <w:rsid w:val="1CA027F6"/>
    <w:rsid w:val="1CA71431"/>
    <w:rsid w:val="1CA87D74"/>
    <w:rsid w:val="1CA8BD24"/>
    <w:rsid w:val="1CA9CBDE"/>
    <w:rsid w:val="1CAF1CDD"/>
    <w:rsid w:val="1CB00184"/>
    <w:rsid w:val="1CB7DADE"/>
    <w:rsid w:val="1CC23CA0"/>
    <w:rsid w:val="1CC4A99E"/>
    <w:rsid w:val="1CD65E04"/>
    <w:rsid w:val="1CD8F46F"/>
    <w:rsid w:val="1CE1A316"/>
    <w:rsid w:val="1CF30A44"/>
    <w:rsid w:val="1CF42CEE"/>
    <w:rsid w:val="1D0D5DF8"/>
    <w:rsid w:val="1D124771"/>
    <w:rsid w:val="1D1B4BF8"/>
    <w:rsid w:val="1D1EFFED"/>
    <w:rsid w:val="1D305C04"/>
    <w:rsid w:val="1D345968"/>
    <w:rsid w:val="1D3941C9"/>
    <w:rsid w:val="1D3A9D7D"/>
    <w:rsid w:val="1D424935"/>
    <w:rsid w:val="1D4A02FD"/>
    <w:rsid w:val="1D4F3676"/>
    <w:rsid w:val="1D55155D"/>
    <w:rsid w:val="1D62F596"/>
    <w:rsid w:val="1D72DAAF"/>
    <w:rsid w:val="1D741110"/>
    <w:rsid w:val="1D7D4B76"/>
    <w:rsid w:val="1D9F78E7"/>
    <w:rsid w:val="1DA3F1AB"/>
    <w:rsid w:val="1DA558C3"/>
    <w:rsid w:val="1DA5B9B2"/>
    <w:rsid w:val="1DA68163"/>
    <w:rsid w:val="1DA98980"/>
    <w:rsid w:val="1DB0B386"/>
    <w:rsid w:val="1DB1ECB9"/>
    <w:rsid w:val="1DB313AB"/>
    <w:rsid w:val="1DB5A4B2"/>
    <w:rsid w:val="1DC433A2"/>
    <w:rsid w:val="1DC6E9F6"/>
    <w:rsid w:val="1DCA7CA3"/>
    <w:rsid w:val="1DCAF206"/>
    <w:rsid w:val="1DD7286A"/>
    <w:rsid w:val="1DDB5BEF"/>
    <w:rsid w:val="1DE8418B"/>
    <w:rsid w:val="1DE8F18B"/>
    <w:rsid w:val="1DF07A3E"/>
    <w:rsid w:val="1DF93983"/>
    <w:rsid w:val="1DFD1207"/>
    <w:rsid w:val="1E08EDF8"/>
    <w:rsid w:val="1E0D333A"/>
    <w:rsid w:val="1E13CE68"/>
    <w:rsid w:val="1E1A2C52"/>
    <w:rsid w:val="1E1C9F85"/>
    <w:rsid w:val="1E23AE59"/>
    <w:rsid w:val="1E24D6B4"/>
    <w:rsid w:val="1E362516"/>
    <w:rsid w:val="1E38FDB5"/>
    <w:rsid w:val="1E3C1C1D"/>
    <w:rsid w:val="1E3D9B45"/>
    <w:rsid w:val="1E3E93D5"/>
    <w:rsid w:val="1E471C62"/>
    <w:rsid w:val="1E4FA77B"/>
    <w:rsid w:val="1E6AAE29"/>
    <w:rsid w:val="1E6D18D2"/>
    <w:rsid w:val="1E6D535A"/>
    <w:rsid w:val="1E701314"/>
    <w:rsid w:val="1E732859"/>
    <w:rsid w:val="1E733A25"/>
    <w:rsid w:val="1E8178A6"/>
    <w:rsid w:val="1E855623"/>
    <w:rsid w:val="1E8D2552"/>
    <w:rsid w:val="1E8DE52E"/>
    <w:rsid w:val="1E8F588B"/>
    <w:rsid w:val="1E8FFD4F"/>
    <w:rsid w:val="1E93A724"/>
    <w:rsid w:val="1E951296"/>
    <w:rsid w:val="1E9C5442"/>
    <w:rsid w:val="1E9EA8FC"/>
    <w:rsid w:val="1E9F097B"/>
    <w:rsid w:val="1EA255A4"/>
    <w:rsid w:val="1EAC3A76"/>
    <w:rsid w:val="1EAFA518"/>
    <w:rsid w:val="1EB3B210"/>
    <w:rsid w:val="1EB7DDB4"/>
    <w:rsid w:val="1EB9AEEE"/>
    <w:rsid w:val="1EBF651D"/>
    <w:rsid w:val="1EC5CB17"/>
    <w:rsid w:val="1ED3C927"/>
    <w:rsid w:val="1EDD1925"/>
    <w:rsid w:val="1EE1470A"/>
    <w:rsid w:val="1EFF3A16"/>
    <w:rsid w:val="1F0182EB"/>
    <w:rsid w:val="1F06500B"/>
    <w:rsid w:val="1F10E86F"/>
    <w:rsid w:val="1F132177"/>
    <w:rsid w:val="1F13933F"/>
    <w:rsid w:val="1F15AE18"/>
    <w:rsid w:val="1F223EED"/>
    <w:rsid w:val="1F23FA34"/>
    <w:rsid w:val="1F50E4C9"/>
    <w:rsid w:val="1F50FCB4"/>
    <w:rsid w:val="1F52F3D5"/>
    <w:rsid w:val="1F63014F"/>
    <w:rsid w:val="1F679BDA"/>
    <w:rsid w:val="1F6933FD"/>
    <w:rsid w:val="1F740DCE"/>
    <w:rsid w:val="1F752FF5"/>
    <w:rsid w:val="1F83ADDD"/>
    <w:rsid w:val="1F84E2D9"/>
    <w:rsid w:val="1F85D2F8"/>
    <w:rsid w:val="1F8AF82E"/>
    <w:rsid w:val="1F9192B6"/>
    <w:rsid w:val="1F962176"/>
    <w:rsid w:val="1F9971A4"/>
    <w:rsid w:val="1FA65B75"/>
    <w:rsid w:val="1FA94064"/>
    <w:rsid w:val="1FC07200"/>
    <w:rsid w:val="1FD06FFB"/>
    <w:rsid w:val="1FD32ADF"/>
    <w:rsid w:val="1FDBE950"/>
    <w:rsid w:val="1FE26F65"/>
    <w:rsid w:val="1FF3F90E"/>
    <w:rsid w:val="1FF8F1B6"/>
    <w:rsid w:val="1FFD5A84"/>
    <w:rsid w:val="20016307"/>
    <w:rsid w:val="200C6BA9"/>
    <w:rsid w:val="20244B71"/>
    <w:rsid w:val="202674A2"/>
    <w:rsid w:val="202E6390"/>
    <w:rsid w:val="202F44FB"/>
    <w:rsid w:val="2036AAAF"/>
    <w:rsid w:val="20410A21"/>
    <w:rsid w:val="20524214"/>
    <w:rsid w:val="205EB437"/>
    <w:rsid w:val="20731C3F"/>
    <w:rsid w:val="20777801"/>
    <w:rsid w:val="207AE730"/>
    <w:rsid w:val="20817DC8"/>
    <w:rsid w:val="20818CA6"/>
    <w:rsid w:val="2083A1F4"/>
    <w:rsid w:val="209D6C9D"/>
    <w:rsid w:val="20E51609"/>
    <w:rsid w:val="20EEE6DF"/>
    <w:rsid w:val="20F8B97D"/>
    <w:rsid w:val="20FA97BE"/>
    <w:rsid w:val="21084C7D"/>
    <w:rsid w:val="210952D1"/>
    <w:rsid w:val="210B5540"/>
    <w:rsid w:val="210C5739"/>
    <w:rsid w:val="21113206"/>
    <w:rsid w:val="2126F566"/>
    <w:rsid w:val="212C8D46"/>
    <w:rsid w:val="213558C1"/>
    <w:rsid w:val="213AB470"/>
    <w:rsid w:val="213B935E"/>
    <w:rsid w:val="213C0D2C"/>
    <w:rsid w:val="214BC468"/>
    <w:rsid w:val="214DF1A5"/>
    <w:rsid w:val="214F1199"/>
    <w:rsid w:val="214F4758"/>
    <w:rsid w:val="2157D413"/>
    <w:rsid w:val="216073DC"/>
    <w:rsid w:val="21706E41"/>
    <w:rsid w:val="21725B1E"/>
    <w:rsid w:val="217DD775"/>
    <w:rsid w:val="217E3B0E"/>
    <w:rsid w:val="2185AD90"/>
    <w:rsid w:val="2195246A"/>
    <w:rsid w:val="219EE14B"/>
    <w:rsid w:val="21A50790"/>
    <w:rsid w:val="21A9B0F4"/>
    <w:rsid w:val="21B90331"/>
    <w:rsid w:val="21C139E9"/>
    <w:rsid w:val="21CA9468"/>
    <w:rsid w:val="21D49812"/>
    <w:rsid w:val="21E173B0"/>
    <w:rsid w:val="21E1C1F1"/>
    <w:rsid w:val="21E6AD6F"/>
    <w:rsid w:val="21E72349"/>
    <w:rsid w:val="21EF82F9"/>
    <w:rsid w:val="21F42BB8"/>
    <w:rsid w:val="21FB8DDA"/>
    <w:rsid w:val="22027123"/>
    <w:rsid w:val="220B5C6E"/>
    <w:rsid w:val="221478F8"/>
    <w:rsid w:val="2235519B"/>
    <w:rsid w:val="223875D5"/>
    <w:rsid w:val="223B2CA9"/>
    <w:rsid w:val="223FF101"/>
    <w:rsid w:val="22424C83"/>
    <w:rsid w:val="2248029F"/>
    <w:rsid w:val="2249F7B2"/>
    <w:rsid w:val="225F1572"/>
    <w:rsid w:val="227131CA"/>
    <w:rsid w:val="2274CCBA"/>
    <w:rsid w:val="227FFD57"/>
    <w:rsid w:val="22820FCB"/>
    <w:rsid w:val="228C8996"/>
    <w:rsid w:val="229169F0"/>
    <w:rsid w:val="2294C201"/>
    <w:rsid w:val="2299FA8E"/>
    <w:rsid w:val="229B1AF5"/>
    <w:rsid w:val="229BB26D"/>
    <w:rsid w:val="22B21EE6"/>
    <w:rsid w:val="22B65139"/>
    <w:rsid w:val="22BE2E3C"/>
    <w:rsid w:val="22C39285"/>
    <w:rsid w:val="22C3D312"/>
    <w:rsid w:val="22D7A2F9"/>
    <w:rsid w:val="22E22A1C"/>
    <w:rsid w:val="22E37C2D"/>
    <w:rsid w:val="22EA1E34"/>
    <w:rsid w:val="22F9DEEF"/>
    <w:rsid w:val="23066AEC"/>
    <w:rsid w:val="23109AB5"/>
    <w:rsid w:val="231BF073"/>
    <w:rsid w:val="232031A4"/>
    <w:rsid w:val="23259B4C"/>
    <w:rsid w:val="232BB663"/>
    <w:rsid w:val="233D086F"/>
    <w:rsid w:val="2341258D"/>
    <w:rsid w:val="235AEAB0"/>
    <w:rsid w:val="2360D8B4"/>
    <w:rsid w:val="23610B85"/>
    <w:rsid w:val="236AEB22"/>
    <w:rsid w:val="236DCB5B"/>
    <w:rsid w:val="237569F0"/>
    <w:rsid w:val="23764EF1"/>
    <w:rsid w:val="2381EEE8"/>
    <w:rsid w:val="23858C18"/>
    <w:rsid w:val="238DF621"/>
    <w:rsid w:val="239A7E40"/>
    <w:rsid w:val="23A59D09"/>
    <w:rsid w:val="23AFB97A"/>
    <w:rsid w:val="23B1E25F"/>
    <w:rsid w:val="23B2302B"/>
    <w:rsid w:val="23B67B9F"/>
    <w:rsid w:val="23B9AA23"/>
    <w:rsid w:val="23C378F3"/>
    <w:rsid w:val="23CCAB3D"/>
    <w:rsid w:val="23CE0084"/>
    <w:rsid w:val="23CEFD96"/>
    <w:rsid w:val="23CFC6BA"/>
    <w:rsid w:val="23DA7498"/>
    <w:rsid w:val="23EB9B73"/>
    <w:rsid w:val="23ED6ECE"/>
    <w:rsid w:val="23ED9AEC"/>
    <w:rsid w:val="2401C3E0"/>
    <w:rsid w:val="24145DAF"/>
    <w:rsid w:val="242DCF7F"/>
    <w:rsid w:val="24347B22"/>
    <w:rsid w:val="244157D3"/>
    <w:rsid w:val="2454FA46"/>
    <w:rsid w:val="246157D8"/>
    <w:rsid w:val="24635160"/>
    <w:rsid w:val="246A4D0A"/>
    <w:rsid w:val="246C85A4"/>
    <w:rsid w:val="246CF48F"/>
    <w:rsid w:val="246DB8F7"/>
    <w:rsid w:val="246E5555"/>
    <w:rsid w:val="2470AAFC"/>
    <w:rsid w:val="2474BE6F"/>
    <w:rsid w:val="247D62AD"/>
    <w:rsid w:val="2482D7C4"/>
    <w:rsid w:val="248C0186"/>
    <w:rsid w:val="248CE151"/>
    <w:rsid w:val="24A866AF"/>
    <w:rsid w:val="24A9123C"/>
    <w:rsid w:val="24AF97C6"/>
    <w:rsid w:val="24B24F00"/>
    <w:rsid w:val="24B2F35D"/>
    <w:rsid w:val="24C360DA"/>
    <w:rsid w:val="24D03B88"/>
    <w:rsid w:val="24D403DF"/>
    <w:rsid w:val="24E241DA"/>
    <w:rsid w:val="24EEF50A"/>
    <w:rsid w:val="24FD34B2"/>
    <w:rsid w:val="25032071"/>
    <w:rsid w:val="2506F401"/>
    <w:rsid w:val="2519E8D2"/>
    <w:rsid w:val="25206990"/>
    <w:rsid w:val="25246D33"/>
    <w:rsid w:val="252790E4"/>
    <w:rsid w:val="253730B6"/>
    <w:rsid w:val="253F5441"/>
    <w:rsid w:val="254E4A77"/>
    <w:rsid w:val="256677EF"/>
    <w:rsid w:val="2573803A"/>
    <w:rsid w:val="257A7FB4"/>
    <w:rsid w:val="257C8720"/>
    <w:rsid w:val="2587643A"/>
    <w:rsid w:val="25912EC2"/>
    <w:rsid w:val="25926186"/>
    <w:rsid w:val="25992D3A"/>
    <w:rsid w:val="25B8BB15"/>
    <w:rsid w:val="25BCF82B"/>
    <w:rsid w:val="25C01153"/>
    <w:rsid w:val="25C0D487"/>
    <w:rsid w:val="25C11E94"/>
    <w:rsid w:val="25C86C4D"/>
    <w:rsid w:val="25CC3DEB"/>
    <w:rsid w:val="25D06342"/>
    <w:rsid w:val="25F23AC0"/>
    <w:rsid w:val="25F53DEB"/>
    <w:rsid w:val="25F5CC87"/>
    <w:rsid w:val="25F6A358"/>
    <w:rsid w:val="26071F91"/>
    <w:rsid w:val="2610A24E"/>
    <w:rsid w:val="26126F6D"/>
    <w:rsid w:val="2615D27F"/>
    <w:rsid w:val="2620B5BC"/>
    <w:rsid w:val="2621CED4"/>
    <w:rsid w:val="262A3911"/>
    <w:rsid w:val="262CDA14"/>
    <w:rsid w:val="2637EB69"/>
    <w:rsid w:val="2645B91D"/>
    <w:rsid w:val="2653E653"/>
    <w:rsid w:val="2667E91E"/>
    <w:rsid w:val="2671A67E"/>
    <w:rsid w:val="267679B4"/>
    <w:rsid w:val="267A44F5"/>
    <w:rsid w:val="267E9451"/>
    <w:rsid w:val="267FB6BB"/>
    <w:rsid w:val="26834E23"/>
    <w:rsid w:val="26865BE6"/>
    <w:rsid w:val="2690F5EC"/>
    <w:rsid w:val="26912463"/>
    <w:rsid w:val="26975BCB"/>
    <w:rsid w:val="269814CF"/>
    <w:rsid w:val="26A4BA4A"/>
    <w:rsid w:val="26B451C6"/>
    <w:rsid w:val="26B649E5"/>
    <w:rsid w:val="26BC18BE"/>
    <w:rsid w:val="26C2E5C1"/>
    <w:rsid w:val="26C77AC9"/>
    <w:rsid w:val="26C9E894"/>
    <w:rsid w:val="26CEE532"/>
    <w:rsid w:val="26DAE0AF"/>
    <w:rsid w:val="26DD48A1"/>
    <w:rsid w:val="26E54D6A"/>
    <w:rsid w:val="26E65A0A"/>
    <w:rsid w:val="26E6A6C9"/>
    <w:rsid w:val="26EA5708"/>
    <w:rsid w:val="26ECBD96"/>
    <w:rsid w:val="26EDE6E2"/>
    <w:rsid w:val="26FC55D0"/>
    <w:rsid w:val="26FF5B15"/>
    <w:rsid w:val="27011AC8"/>
    <w:rsid w:val="27056A7B"/>
    <w:rsid w:val="27057EA4"/>
    <w:rsid w:val="271B17DA"/>
    <w:rsid w:val="2723B891"/>
    <w:rsid w:val="27299807"/>
    <w:rsid w:val="2729F834"/>
    <w:rsid w:val="27336A2E"/>
    <w:rsid w:val="273F5F38"/>
    <w:rsid w:val="27404BA5"/>
    <w:rsid w:val="2746C418"/>
    <w:rsid w:val="27490BE2"/>
    <w:rsid w:val="27495D12"/>
    <w:rsid w:val="274BC818"/>
    <w:rsid w:val="2759C4EC"/>
    <w:rsid w:val="276347E9"/>
    <w:rsid w:val="27643630"/>
    <w:rsid w:val="2772E2FF"/>
    <w:rsid w:val="277FE877"/>
    <w:rsid w:val="278881AE"/>
    <w:rsid w:val="278DDE10"/>
    <w:rsid w:val="278F9737"/>
    <w:rsid w:val="27918515"/>
    <w:rsid w:val="2799F616"/>
    <w:rsid w:val="279BF52D"/>
    <w:rsid w:val="279F8A9B"/>
    <w:rsid w:val="27AB9055"/>
    <w:rsid w:val="27B2A8F7"/>
    <w:rsid w:val="27B33DA2"/>
    <w:rsid w:val="27DA32E7"/>
    <w:rsid w:val="27DA548F"/>
    <w:rsid w:val="27EC5C69"/>
    <w:rsid w:val="27F5083B"/>
    <w:rsid w:val="27F690AD"/>
    <w:rsid w:val="27FAF6D5"/>
    <w:rsid w:val="28074C55"/>
    <w:rsid w:val="280ED04D"/>
    <w:rsid w:val="2810E166"/>
    <w:rsid w:val="282D356F"/>
    <w:rsid w:val="2832D743"/>
    <w:rsid w:val="283522F3"/>
    <w:rsid w:val="28378118"/>
    <w:rsid w:val="283C3188"/>
    <w:rsid w:val="284F4794"/>
    <w:rsid w:val="286211A2"/>
    <w:rsid w:val="28701F50"/>
    <w:rsid w:val="2870B688"/>
    <w:rsid w:val="2879E302"/>
    <w:rsid w:val="28809CC7"/>
    <w:rsid w:val="28993840"/>
    <w:rsid w:val="289A7E38"/>
    <w:rsid w:val="289DC4DD"/>
    <w:rsid w:val="28A4E2EE"/>
    <w:rsid w:val="28DEEC99"/>
    <w:rsid w:val="28E66AAE"/>
    <w:rsid w:val="28E71749"/>
    <w:rsid w:val="28F20A7B"/>
    <w:rsid w:val="28F6A8D8"/>
    <w:rsid w:val="28FE9892"/>
    <w:rsid w:val="2909AAB9"/>
    <w:rsid w:val="290D115A"/>
    <w:rsid w:val="29352465"/>
    <w:rsid w:val="29390E28"/>
    <w:rsid w:val="2941E0C4"/>
    <w:rsid w:val="2943F79E"/>
    <w:rsid w:val="2961AC46"/>
    <w:rsid w:val="296BC2ED"/>
    <w:rsid w:val="2973139C"/>
    <w:rsid w:val="297BB473"/>
    <w:rsid w:val="297CA448"/>
    <w:rsid w:val="298BFA16"/>
    <w:rsid w:val="2994E2C5"/>
    <w:rsid w:val="299631AC"/>
    <w:rsid w:val="29A18200"/>
    <w:rsid w:val="29A307E7"/>
    <w:rsid w:val="29A42035"/>
    <w:rsid w:val="29A920E5"/>
    <w:rsid w:val="29BCC96E"/>
    <w:rsid w:val="29D121EA"/>
    <w:rsid w:val="29F01136"/>
    <w:rsid w:val="29F65525"/>
    <w:rsid w:val="29FAC86A"/>
    <w:rsid w:val="2A00FE24"/>
    <w:rsid w:val="2A05A251"/>
    <w:rsid w:val="2A05B3A0"/>
    <w:rsid w:val="2A060BF7"/>
    <w:rsid w:val="2A06F774"/>
    <w:rsid w:val="2A0C2256"/>
    <w:rsid w:val="2A1A2AE9"/>
    <w:rsid w:val="2A1E47F1"/>
    <w:rsid w:val="2A22FD92"/>
    <w:rsid w:val="2A452A06"/>
    <w:rsid w:val="2A4AC993"/>
    <w:rsid w:val="2A52883F"/>
    <w:rsid w:val="2A534DF2"/>
    <w:rsid w:val="2A57BAD2"/>
    <w:rsid w:val="2A5BCFE7"/>
    <w:rsid w:val="2A5E30CF"/>
    <w:rsid w:val="2A7330B9"/>
    <w:rsid w:val="2A760403"/>
    <w:rsid w:val="2A829FB6"/>
    <w:rsid w:val="2A921DE3"/>
    <w:rsid w:val="2A97D484"/>
    <w:rsid w:val="2AADE204"/>
    <w:rsid w:val="2AB1935E"/>
    <w:rsid w:val="2AC00CA9"/>
    <w:rsid w:val="2AC16169"/>
    <w:rsid w:val="2AC21088"/>
    <w:rsid w:val="2AC796A5"/>
    <w:rsid w:val="2ACB4957"/>
    <w:rsid w:val="2ACD30B6"/>
    <w:rsid w:val="2AEB2137"/>
    <w:rsid w:val="2AF375F6"/>
    <w:rsid w:val="2B0DF7E3"/>
    <w:rsid w:val="2B20CEF7"/>
    <w:rsid w:val="2B2D0AA5"/>
    <w:rsid w:val="2B41E755"/>
    <w:rsid w:val="2B47C41E"/>
    <w:rsid w:val="2B4A7D90"/>
    <w:rsid w:val="2B5A756E"/>
    <w:rsid w:val="2B5BBC2D"/>
    <w:rsid w:val="2B5ED1DE"/>
    <w:rsid w:val="2B60B095"/>
    <w:rsid w:val="2B62C8E3"/>
    <w:rsid w:val="2B634AB9"/>
    <w:rsid w:val="2B6A9159"/>
    <w:rsid w:val="2B6D8FDF"/>
    <w:rsid w:val="2B6EAD65"/>
    <w:rsid w:val="2B73E7A1"/>
    <w:rsid w:val="2B80A89C"/>
    <w:rsid w:val="2B883E4A"/>
    <w:rsid w:val="2B8EAF85"/>
    <w:rsid w:val="2B8ECF66"/>
    <w:rsid w:val="2B8F21AA"/>
    <w:rsid w:val="2B9ADB2D"/>
    <w:rsid w:val="2B9CD341"/>
    <w:rsid w:val="2BAB18A7"/>
    <w:rsid w:val="2BB0AE1E"/>
    <w:rsid w:val="2BB7030F"/>
    <w:rsid w:val="2BDE31F4"/>
    <w:rsid w:val="2BE1966C"/>
    <w:rsid w:val="2BE2E5A8"/>
    <w:rsid w:val="2BE70119"/>
    <w:rsid w:val="2BF16672"/>
    <w:rsid w:val="2BF6363C"/>
    <w:rsid w:val="2BF7FD35"/>
    <w:rsid w:val="2C10B4BD"/>
    <w:rsid w:val="2C150522"/>
    <w:rsid w:val="2C17E23A"/>
    <w:rsid w:val="2C1E4FDB"/>
    <w:rsid w:val="2C20A884"/>
    <w:rsid w:val="2C23B6C3"/>
    <w:rsid w:val="2C356065"/>
    <w:rsid w:val="2C356C9F"/>
    <w:rsid w:val="2C43F121"/>
    <w:rsid w:val="2C4EE8A1"/>
    <w:rsid w:val="2C5B42D8"/>
    <w:rsid w:val="2C656F08"/>
    <w:rsid w:val="2C6E3167"/>
    <w:rsid w:val="2C7CFEA2"/>
    <w:rsid w:val="2C7ED2E7"/>
    <w:rsid w:val="2C80C134"/>
    <w:rsid w:val="2C88C0ED"/>
    <w:rsid w:val="2C8C1396"/>
    <w:rsid w:val="2C914EDF"/>
    <w:rsid w:val="2CA03D74"/>
    <w:rsid w:val="2CA4E67C"/>
    <w:rsid w:val="2CAAF2B6"/>
    <w:rsid w:val="2CB267F0"/>
    <w:rsid w:val="2CB276A4"/>
    <w:rsid w:val="2CBAB788"/>
    <w:rsid w:val="2CBF11EB"/>
    <w:rsid w:val="2CCA1556"/>
    <w:rsid w:val="2CCA9A9D"/>
    <w:rsid w:val="2CD38B85"/>
    <w:rsid w:val="2CE2E368"/>
    <w:rsid w:val="2CF64930"/>
    <w:rsid w:val="2D00C4F9"/>
    <w:rsid w:val="2D04D601"/>
    <w:rsid w:val="2D0570ED"/>
    <w:rsid w:val="2D22B00E"/>
    <w:rsid w:val="2D23DFD6"/>
    <w:rsid w:val="2D241508"/>
    <w:rsid w:val="2D289529"/>
    <w:rsid w:val="2D2A2964"/>
    <w:rsid w:val="2D356B25"/>
    <w:rsid w:val="2D37B28E"/>
    <w:rsid w:val="2D3D40B0"/>
    <w:rsid w:val="2D3DFC85"/>
    <w:rsid w:val="2D537F34"/>
    <w:rsid w:val="2D55F863"/>
    <w:rsid w:val="2D5BEE47"/>
    <w:rsid w:val="2D5D38DF"/>
    <w:rsid w:val="2D6D7A8C"/>
    <w:rsid w:val="2D6F250C"/>
    <w:rsid w:val="2D70F25C"/>
    <w:rsid w:val="2D896061"/>
    <w:rsid w:val="2D8D6AA7"/>
    <w:rsid w:val="2D9E806E"/>
    <w:rsid w:val="2DA60BFF"/>
    <w:rsid w:val="2DABE581"/>
    <w:rsid w:val="2DB02E0A"/>
    <w:rsid w:val="2DBC937A"/>
    <w:rsid w:val="2DBFD01E"/>
    <w:rsid w:val="2DC16290"/>
    <w:rsid w:val="2DCD517B"/>
    <w:rsid w:val="2DCD7A2E"/>
    <w:rsid w:val="2DCE8878"/>
    <w:rsid w:val="2DD4A162"/>
    <w:rsid w:val="2DD83116"/>
    <w:rsid w:val="2DE8C612"/>
    <w:rsid w:val="2DEB5216"/>
    <w:rsid w:val="2DF45417"/>
    <w:rsid w:val="2DFABC66"/>
    <w:rsid w:val="2DFB31B3"/>
    <w:rsid w:val="2E0627D3"/>
    <w:rsid w:val="2E0DD0C0"/>
    <w:rsid w:val="2E1F470C"/>
    <w:rsid w:val="2E1FE7EA"/>
    <w:rsid w:val="2E25C571"/>
    <w:rsid w:val="2E2A88D2"/>
    <w:rsid w:val="2E5A6036"/>
    <w:rsid w:val="2E6D4EB7"/>
    <w:rsid w:val="2E739451"/>
    <w:rsid w:val="2E8B617F"/>
    <w:rsid w:val="2E95AFA9"/>
    <w:rsid w:val="2E964767"/>
    <w:rsid w:val="2EA711DA"/>
    <w:rsid w:val="2EABB1AE"/>
    <w:rsid w:val="2EACEBF5"/>
    <w:rsid w:val="2ED99D34"/>
    <w:rsid w:val="2EDC9484"/>
    <w:rsid w:val="2EF094D8"/>
    <w:rsid w:val="2EF5589D"/>
    <w:rsid w:val="2F001A4A"/>
    <w:rsid w:val="2F099206"/>
    <w:rsid w:val="2F0B79CF"/>
    <w:rsid w:val="2F0E0280"/>
    <w:rsid w:val="2F14693B"/>
    <w:rsid w:val="2F38879C"/>
    <w:rsid w:val="2F4E87D0"/>
    <w:rsid w:val="2F58E6AC"/>
    <w:rsid w:val="2F598534"/>
    <w:rsid w:val="2F659F53"/>
    <w:rsid w:val="2F8C6A09"/>
    <w:rsid w:val="2F8D7678"/>
    <w:rsid w:val="2F8FFED4"/>
    <w:rsid w:val="2F968958"/>
    <w:rsid w:val="2F9C25B7"/>
    <w:rsid w:val="2FA91D81"/>
    <w:rsid w:val="2FADE1F1"/>
    <w:rsid w:val="2FB6C795"/>
    <w:rsid w:val="2FB88E91"/>
    <w:rsid w:val="2FB932A5"/>
    <w:rsid w:val="2FBA8701"/>
    <w:rsid w:val="2FC738E9"/>
    <w:rsid w:val="2FCE2BEA"/>
    <w:rsid w:val="2FCF54A8"/>
    <w:rsid w:val="2FD51B85"/>
    <w:rsid w:val="2FDB2B66"/>
    <w:rsid w:val="2FDFFEB7"/>
    <w:rsid w:val="2FE29CAF"/>
    <w:rsid w:val="2FE50D55"/>
    <w:rsid w:val="2FEC9FD2"/>
    <w:rsid w:val="2FEE9351"/>
    <w:rsid w:val="2FF0A51B"/>
    <w:rsid w:val="2FF7EF75"/>
    <w:rsid w:val="3003B6DD"/>
    <w:rsid w:val="300CFC39"/>
    <w:rsid w:val="300DC168"/>
    <w:rsid w:val="300F5CF1"/>
    <w:rsid w:val="30158B36"/>
    <w:rsid w:val="3021CD7D"/>
    <w:rsid w:val="30286C35"/>
    <w:rsid w:val="30340356"/>
    <w:rsid w:val="3044AE41"/>
    <w:rsid w:val="30468F3A"/>
    <w:rsid w:val="3046C435"/>
    <w:rsid w:val="3059AACA"/>
    <w:rsid w:val="3062FB50"/>
    <w:rsid w:val="306F9D3D"/>
    <w:rsid w:val="307B30F5"/>
    <w:rsid w:val="30927332"/>
    <w:rsid w:val="309F70BB"/>
    <w:rsid w:val="30A551CE"/>
    <w:rsid w:val="30B17DCF"/>
    <w:rsid w:val="30C2783B"/>
    <w:rsid w:val="30C5E21F"/>
    <w:rsid w:val="30EDE006"/>
    <w:rsid w:val="30F0D38A"/>
    <w:rsid w:val="30F55595"/>
    <w:rsid w:val="310AF472"/>
    <w:rsid w:val="310E7DF2"/>
    <w:rsid w:val="31115F31"/>
    <w:rsid w:val="31121B0C"/>
    <w:rsid w:val="3118911C"/>
    <w:rsid w:val="31193987"/>
    <w:rsid w:val="3144EF29"/>
    <w:rsid w:val="3149B168"/>
    <w:rsid w:val="314D8D87"/>
    <w:rsid w:val="315CF5D7"/>
    <w:rsid w:val="3174693C"/>
    <w:rsid w:val="317D2C6E"/>
    <w:rsid w:val="319F92ED"/>
    <w:rsid w:val="31AD6FE5"/>
    <w:rsid w:val="31B54CAC"/>
    <w:rsid w:val="31B6548B"/>
    <w:rsid w:val="31C9ABC9"/>
    <w:rsid w:val="31CD8882"/>
    <w:rsid w:val="31D9F1B4"/>
    <w:rsid w:val="31E2281C"/>
    <w:rsid w:val="31E2F9A8"/>
    <w:rsid w:val="31EAECC5"/>
    <w:rsid w:val="32093151"/>
    <w:rsid w:val="320FDCCA"/>
    <w:rsid w:val="3219C4EC"/>
    <w:rsid w:val="321B7B5D"/>
    <w:rsid w:val="32262F86"/>
    <w:rsid w:val="322D6191"/>
    <w:rsid w:val="322FEE12"/>
    <w:rsid w:val="323026DD"/>
    <w:rsid w:val="323D625A"/>
    <w:rsid w:val="32401497"/>
    <w:rsid w:val="324B9517"/>
    <w:rsid w:val="324C2712"/>
    <w:rsid w:val="32505A9A"/>
    <w:rsid w:val="3258E79C"/>
    <w:rsid w:val="325C02C3"/>
    <w:rsid w:val="3260A47F"/>
    <w:rsid w:val="32631031"/>
    <w:rsid w:val="3266B38D"/>
    <w:rsid w:val="326E9EC1"/>
    <w:rsid w:val="32743DE7"/>
    <w:rsid w:val="3274964A"/>
    <w:rsid w:val="327652BF"/>
    <w:rsid w:val="328D346B"/>
    <w:rsid w:val="329475F8"/>
    <w:rsid w:val="32A03C76"/>
    <w:rsid w:val="32A2ECA7"/>
    <w:rsid w:val="32A400EA"/>
    <w:rsid w:val="32AE197F"/>
    <w:rsid w:val="32AFC4C6"/>
    <w:rsid w:val="32B1110D"/>
    <w:rsid w:val="32B1729C"/>
    <w:rsid w:val="32B54B87"/>
    <w:rsid w:val="32B6DD33"/>
    <w:rsid w:val="32CE3877"/>
    <w:rsid w:val="32D19D32"/>
    <w:rsid w:val="32EBF8F1"/>
    <w:rsid w:val="32EC8A82"/>
    <w:rsid w:val="32FC8EA2"/>
    <w:rsid w:val="32FD58EB"/>
    <w:rsid w:val="330A2272"/>
    <w:rsid w:val="331052B4"/>
    <w:rsid w:val="33219F99"/>
    <w:rsid w:val="332C1D4B"/>
    <w:rsid w:val="332D7ACA"/>
    <w:rsid w:val="3336CBE3"/>
    <w:rsid w:val="333E8FE3"/>
    <w:rsid w:val="334A5E9D"/>
    <w:rsid w:val="334C8308"/>
    <w:rsid w:val="334E7939"/>
    <w:rsid w:val="334FBC44"/>
    <w:rsid w:val="3358C5FA"/>
    <w:rsid w:val="3372BDDF"/>
    <w:rsid w:val="337A9342"/>
    <w:rsid w:val="3386D64C"/>
    <w:rsid w:val="33962757"/>
    <w:rsid w:val="339896E1"/>
    <w:rsid w:val="3399D897"/>
    <w:rsid w:val="33B76C84"/>
    <w:rsid w:val="33B9647E"/>
    <w:rsid w:val="33CD0C2C"/>
    <w:rsid w:val="33D35FFA"/>
    <w:rsid w:val="33E59299"/>
    <w:rsid w:val="33F518E0"/>
    <w:rsid w:val="3404863C"/>
    <w:rsid w:val="3407BFA2"/>
    <w:rsid w:val="3410382C"/>
    <w:rsid w:val="34163054"/>
    <w:rsid w:val="3416F124"/>
    <w:rsid w:val="34192794"/>
    <w:rsid w:val="341D7CDB"/>
    <w:rsid w:val="34316E5D"/>
    <w:rsid w:val="343784EC"/>
    <w:rsid w:val="344323EA"/>
    <w:rsid w:val="34485D58"/>
    <w:rsid w:val="344EB314"/>
    <w:rsid w:val="34593108"/>
    <w:rsid w:val="34593AD5"/>
    <w:rsid w:val="34595FB7"/>
    <w:rsid w:val="345A0B99"/>
    <w:rsid w:val="34763D79"/>
    <w:rsid w:val="34786466"/>
    <w:rsid w:val="347B8E31"/>
    <w:rsid w:val="347C6CB9"/>
    <w:rsid w:val="34819FC4"/>
    <w:rsid w:val="34855767"/>
    <w:rsid w:val="348A1212"/>
    <w:rsid w:val="34A11676"/>
    <w:rsid w:val="34A8004E"/>
    <w:rsid w:val="34ABE27E"/>
    <w:rsid w:val="34B1110E"/>
    <w:rsid w:val="34B2B36C"/>
    <w:rsid w:val="34B64225"/>
    <w:rsid w:val="34B7DEFF"/>
    <w:rsid w:val="34BEF8F9"/>
    <w:rsid w:val="34C169DB"/>
    <w:rsid w:val="34C3C77E"/>
    <w:rsid w:val="34C3FDAD"/>
    <w:rsid w:val="34D30FFD"/>
    <w:rsid w:val="34D8E578"/>
    <w:rsid w:val="34DC0344"/>
    <w:rsid w:val="34E70B74"/>
    <w:rsid w:val="34E909E5"/>
    <w:rsid w:val="34F04746"/>
    <w:rsid w:val="34FCB701"/>
    <w:rsid w:val="350084EC"/>
    <w:rsid w:val="3501A05E"/>
    <w:rsid w:val="3516744D"/>
    <w:rsid w:val="351B66DA"/>
    <w:rsid w:val="351E25C9"/>
    <w:rsid w:val="3522F7F1"/>
    <w:rsid w:val="3528E001"/>
    <w:rsid w:val="35297A5D"/>
    <w:rsid w:val="3536CD6C"/>
    <w:rsid w:val="353A2031"/>
    <w:rsid w:val="353FCFCC"/>
    <w:rsid w:val="35452EFD"/>
    <w:rsid w:val="355041DB"/>
    <w:rsid w:val="3551D993"/>
    <w:rsid w:val="355A4C40"/>
    <w:rsid w:val="35632635"/>
    <w:rsid w:val="356AF458"/>
    <w:rsid w:val="356E8B08"/>
    <w:rsid w:val="356F0F53"/>
    <w:rsid w:val="357C2268"/>
    <w:rsid w:val="357DCBB8"/>
    <w:rsid w:val="357E4CA9"/>
    <w:rsid w:val="357FE942"/>
    <w:rsid w:val="35801B97"/>
    <w:rsid w:val="35863DF3"/>
    <w:rsid w:val="3586BFDD"/>
    <w:rsid w:val="358799F4"/>
    <w:rsid w:val="35885834"/>
    <w:rsid w:val="3589949B"/>
    <w:rsid w:val="358C4811"/>
    <w:rsid w:val="358D770D"/>
    <w:rsid w:val="35A44744"/>
    <w:rsid w:val="35B0B176"/>
    <w:rsid w:val="35B0F4BB"/>
    <w:rsid w:val="35B2B3AD"/>
    <w:rsid w:val="35B97FC7"/>
    <w:rsid w:val="35BF6DD4"/>
    <w:rsid w:val="35CD99DA"/>
    <w:rsid w:val="35CFB970"/>
    <w:rsid w:val="35D15A8E"/>
    <w:rsid w:val="35DA6B9E"/>
    <w:rsid w:val="35F40128"/>
    <w:rsid w:val="35F5B9A2"/>
    <w:rsid w:val="35F960A8"/>
    <w:rsid w:val="35FDECFD"/>
    <w:rsid w:val="35FF07EE"/>
    <w:rsid w:val="360BB97C"/>
    <w:rsid w:val="36148073"/>
    <w:rsid w:val="36177474"/>
    <w:rsid w:val="3632A60E"/>
    <w:rsid w:val="3636D05F"/>
    <w:rsid w:val="36454F69"/>
    <w:rsid w:val="36464FD5"/>
    <w:rsid w:val="364A4B7C"/>
    <w:rsid w:val="36560B2D"/>
    <w:rsid w:val="36631837"/>
    <w:rsid w:val="366480F5"/>
    <w:rsid w:val="36693653"/>
    <w:rsid w:val="36700A52"/>
    <w:rsid w:val="367198D3"/>
    <w:rsid w:val="3673E356"/>
    <w:rsid w:val="36778DBD"/>
    <w:rsid w:val="369339E6"/>
    <w:rsid w:val="3695A074"/>
    <w:rsid w:val="36A2D123"/>
    <w:rsid w:val="36AA6BD5"/>
    <w:rsid w:val="36B0E21F"/>
    <w:rsid w:val="36B17F9C"/>
    <w:rsid w:val="36C4A907"/>
    <w:rsid w:val="36D39FAC"/>
    <w:rsid w:val="36D47041"/>
    <w:rsid w:val="36D4BD15"/>
    <w:rsid w:val="36D4E7BF"/>
    <w:rsid w:val="36FA7F6F"/>
    <w:rsid w:val="36FC2235"/>
    <w:rsid w:val="36FCE883"/>
    <w:rsid w:val="36FFA7CF"/>
    <w:rsid w:val="370814BB"/>
    <w:rsid w:val="371D0BA5"/>
    <w:rsid w:val="37200F52"/>
    <w:rsid w:val="3720B0F4"/>
    <w:rsid w:val="37231EA6"/>
    <w:rsid w:val="372380B8"/>
    <w:rsid w:val="372490C8"/>
    <w:rsid w:val="374319EE"/>
    <w:rsid w:val="374E2D3F"/>
    <w:rsid w:val="374F1A71"/>
    <w:rsid w:val="37529C91"/>
    <w:rsid w:val="3754DF06"/>
    <w:rsid w:val="3762BFDE"/>
    <w:rsid w:val="3764D195"/>
    <w:rsid w:val="3767FF6F"/>
    <w:rsid w:val="378BAFAB"/>
    <w:rsid w:val="3798B6BD"/>
    <w:rsid w:val="37993E95"/>
    <w:rsid w:val="379AE953"/>
    <w:rsid w:val="37A84D1D"/>
    <w:rsid w:val="37AA606A"/>
    <w:rsid w:val="37B30002"/>
    <w:rsid w:val="37BCE212"/>
    <w:rsid w:val="37CBE19D"/>
    <w:rsid w:val="37DBCBEB"/>
    <w:rsid w:val="37DF5AE7"/>
    <w:rsid w:val="37E08A19"/>
    <w:rsid w:val="37E46F88"/>
    <w:rsid w:val="37FB1A1B"/>
    <w:rsid w:val="3802130F"/>
    <w:rsid w:val="380633A0"/>
    <w:rsid w:val="38148A91"/>
    <w:rsid w:val="38249882"/>
    <w:rsid w:val="3825C55D"/>
    <w:rsid w:val="38263978"/>
    <w:rsid w:val="382749BF"/>
    <w:rsid w:val="3830F8FC"/>
    <w:rsid w:val="384A484E"/>
    <w:rsid w:val="38533874"/>
    <w:rsid w:val="38652251"/>
    <w:rsid w:val="3865BCDA"/>
    <w:rsid w:val="386F5377"/>
    <w:rsid w:val="387B8C87"/>
    <w:rsid w:val="387BFEAA"/>
    <w:rsid w:val="387C41C5"/>
    <w:rsid w:val="3887E3D1"/>
    <w:rsid w:val="3891EE0E"/>
    <w:rsid w:val="38965B90"/>
    <w:rsid w:val="38A418AB"/>
    <w:rsid w:val="38A75641"/>
    <w:rsid w:val="38BC9B71"/>
    <w:rsid w:val="38C79CAF"/>
    <w:rsid w:val="38CAADF2"/>
    <w:rsid w:val="38CE38F6"/>
    <w:rsid w:val="38D149DA"/>
    <w:rsid w:val="38E58A5D"/>
    <w:rsid w:val="38F6C286"/>
    <w:rsid w:val="38FD579C"/>
    <w:rsid w:val="39073E04"/>
    <w:rsid w:val="3922CD3A"/>
    <w:rsid w:val="3924D83A"/>
    <w:rsid w:val="3925D280"/>
    <w:rsid w:val="3927953E"/>
    <w:rsid w:val="3930AD1F"/>
    <w:rsid w:val="3936CBD1"/>
    <w:rsid w:val="3939FE99"/>
    <w:rsid w:val="3956A12A"/>
    <w:rsid w:val="396598B7"/>
    <w:rsid w:val="39677CF5"/>
    <w:rsid w:val="396CEE21"/>
    <w:rsid w:val="3979ABCD"/>
    <w:rsid w:val="3989646A"/>
    <w:rsid w:val="39921279"/>
    <w:rsid w:val="39942845"/>
    <w:rsid w:val="39A61B2A"/>
    <w:rsid w:val="39AF7D50"/>
    <w:rsid w:val="39B01F32"/>
    <w:rsid w:val="39B1D56D"/>
    <w:rsid w:val="39D74F7A"/>
    <w:rsid w:val="39D91031"/>
    <w:rsid w:val="39DE24AE"/>
    <w:rsid w:val="39F710C8"/>
    <w:rsid w:val="39F7EBEB"/>
    <w:rsid w:val="39F88D7E"/>
    <w:rsid w:val="39FE076A"/>
    <w:rsid w:val="3A017723"/>
    <w:rsid w:val="3A06D5D3"/>
    <w:rsid w:val="3A07624D"/>
    <w:rsid w:val="3A16316E"/>
    <w:rsid w:val="3A18100B"/>
    <w:rsid w:val="3A2A2E1B"/>
    <w:rsid w:val="3A31F611"/>
    <w:rsid w:val="3A349076"/>
    <w:rsid w:val="3A37CEEE"/>
    <w:rsid w:val="3A3A94BA"/>
    <w:rsid w:val="3A3BBE26"/>
    <w:rsid w:val="3A406639"/>
    <w:rsid w:val="3A456E9D"/>
    <w:rsid w:val="3A4B15BD"/>
    <w:rsid w:val="3A4BAADF"/>
    <w:rsid w:val="3A4D2B40"/>
    <w:rsid w:val="3A4DA79C"/>
    <w:rsid w:val="3A5773BD"/>
    <w:rsid w:val="3A5B3B03"/>
    <w:rsid w:val="3A5CA2D0"/>
    <w:rsid w:val="3A653821"/>
    <w:rsid w:val="3A6FA5C3"/>
    <w:rsid w:val="3A7BCDC5"/>
    <w:rsid w:val="3A7D67C4"/>
    <w:rsid w:val="3A806354"/>
    <w:rsid w:val="3A83B9C3"/>
    <w:rsid w:val="3A8F4931"/>
    <w:rsid w:val="3AA306BB"/>
    <w:rsid w:val="3AB10A1A"/>
    <w:rsid w:val="3ABDC706"/>
    <w:rsid w:val="3AC04783"/>
    <w:rsid w:val="3ACF9EB9"/>
    <w:rsid w:val="3AD01B31"/>
    <w:rsid w:val="3AD49821"/>
    <w:rsid w:val="3AD71B73"/>
    <w:rsid w:val="3AD9EF3E"/>
    <w:rsid w:val="3ADBF3B7"/>
    <w:rsid w:val="3AE5A99B"/>
    <w:rsid w:val="3AECF223"/>
    <w:rsid w:val="3AF1F21D"/>
    <w:rsid w:val="3AF4E77B"/>
    <w:rsid w:val="3B045CBD"/>
    <w:rsid w:val="3B06288C"/>
    <w:rsid w:val="3B0B9272"/>
    <w:rsid w:val="3B13F11E"/>
    <w:rsid w:val="3B219EB8"/>
    <w:rsid w:val="3B21FC95"/>
    <w:rsid w:val="3B28B340"/>
    <w:rsid w:val="3B291A16"/>
    <w:rsid w:val="3B2F0A40"/>
    <w:rsid w:val="3B326DCE"/>
    <w:rsid w:val="3B35436F"/>
    <w:rsid w:val="3B4B9B57"/>
    <w:rsid w:val="3B4E7FF0"/>
    <w:rsid w:val="3B4F9D7A"/>
    <w:rsid w:val="3B54A087"/>
    <w:rsid w:val="3B6190F3"/>
    <w:rsid w:val="3B7C9F6B"/>
    <w:rsid w:val="3B8EEDF0"/>
    <w:rsid w:val="3BA0A719"/>
    <w:rsid w:val="3BA9A456"/>
    <w:rsid w:val="3BAB56D9"/>
    <w:rsid w:val="3BB5F644"/>
    <w:rsid w:val="3BB93D54"/>
    <w:rsid w:val="3BC14038"/>
    <w:rsid w:val="3BDC46FA"/>
    <w:rsid w:val="3BE01813"/>
    <w:rsid w:val="3BFCACD5"/>
    <w:rsid w:val="3C01B750"/>
    <w:rsid w:val="3C03614A"/>
    <w:rsid w:val="3C15446A"/>
    <w:rsid w:val="3C1A3D60"/>
    <w:rsid w:val="3C2063B2"/>
    <w:rsid w:val="3C252238"/>
    <w:rsid w:val="3C279F75"/>
    <w:rsid w:val="3C2FAE3D"/>
    <w:rsid w:val="3C323601"/>
    <w:rsid w:val="3C39F4A8"/>
    <w:rsid w:val="3C4090EF"/>
    <w:rsid w:val="3C4C7B86"/>
    <w:rsid w:val="3C587FB7"/>
    <w:rsid w:val="3C5AACC1"/>
    <w:rsid w:val="3C68B37B"/>
    <w:rsid w:val="3C6AC31E"/>
    <w:rsid w:val="3C6B95E6"/>
    <w:rsid w:val="3C703581"/>
    <w:rsid w:val="3C7DFB4A"/>
    <w:rsid w:val="3C83D901"/>
    <w:rsid w:val="3C8974A5"/>
    <w:rsid w:val="3C970259"/>
    <w:rsid w:val="3CA63089"/>
    <w:rsid w:val="3CA89033"/>
    <w:rsid w:val="3CAAEB01"/>
    <w:rsid w:val="3CACDF2E"/>
    <w:rsid w:val="3CB314AB"/>
    <w:rsid w:val="3CD150BC"/>
    <w:rsid w:val="3CD6EF97"/>
    <w:rsid w:val="3CDE1D6C"/>
    <w:rsid w:val="3CE08387"/>
    <w:rsid w:val="3CF4CE30"/>
    <w:rsid w:val="3CFDD79C"/>
    <w:rsid w:val="3D17F9A1"/>
    <w:rsid w:val="3D280EE4"/>
    <w:rsid w:val="3D2F96C8"/>
    <w:rsid w:val="3D30E37E"/>
    <w:rsid w:val="3D43A310"/>
    <w:rsid w:val="3D4A69A3"/>
    <w:rsid w:val="3D59FDEF"/>
    <w:rsid w:val="3D6773D2"/>
    <w:rsid w:val="3D7FD1E6"/>
    <w:rsid w:val="3D81708A"/>
    <w:rsid w:val="3D878C9B"/>
    <w:rsid w:val="3D87F2AA"/>
    <w:rsid w:val="3D8B4721"/>
    <w:rsid w:val="3D8F8A6B"/>
    <w:rsid w:val="3D946CE3"/>
    <w:rsid w:val="3DA00581"/>
    <w:rsid w:val="3DA63EA0"/>
    <w:rsid w:val="3DA6C427"/>
    <w:rsid w:val="3DB0CBD5"/>
    <w:rsid w:val="3DBB7F6D"/>
    <w:rsid w:val="3DBE922C"/>
    <w:rsid w:val="3DBFC4A2"/>
    <w:rsid w:val="3DC38912"/>
    <w:rsid w:val="3DCD9533"/>
    <w:rsid w:val="3DD7FFDD"/>
    <w:rsid w:val="3DDA26F9"/>
    <w:rsid w:val="3DE1099F"/>
    <w:rsid w:val="3DE1BA70"/>
    <w:rsid w:val="3DE7D0CF"/>
    <w:rsid w:val="3DEE0A0C"/>
    <w:rsid w:val="3DF0E18E"/>
    <w:rsid w:val="3DFA7D2B"/>
    <w:rsid w:val="3E0BEF9C"/>
    <w:rsid w:val="3E187B2F"/>
    <w:rsid w:val="3E1FE768"/>
    <w:rsid w:val="3E24AE72"/>
    <w:rsid w:val="3E2AF4A6"/>
    <w:rsid w:val="3E2F4B07"/>
    <w:rsid w:val="3E30C42C"/>
    <w:rsid w:val="3E4411B4"/>
    <w:rsid w:val="3E4CE35F"/>
    <w:rsid w:val="3E512186"/>
    <w:rsid w:val="3E52CF4D"/>
    <w:rsid w:val="3E546D97"/>
    <w:rsid w:val="3E56A75A"/>
    <w:rsid w:val="3E62F137"/>
    <w:rsid w:val="3E759973"/>
    <w:rsid w:val="3E7EB154"/>
    <w:rsid w:val="3E85893A"/>
    <w:rsid w:val="3E9D732F"/>
    <w:rsid w:val="3E9F3A59"/>
    <w:rsid w:val="3EA13733"/>
    <w:rsid w:val="3EA4F488"/>
    <w:rsid w:val="3EB718F4"/>
    <w:rsid w:val="3EC2034E"/>
    <w:rsid w:val="3ECE8164"/>
    <w:rsid w:val="3EE8EED4"/>
    <w:rsid w:val="3EEA9B5E"/>
    <w:rsid w:val="3EEF4BB6"/>
    <w:rsid w:val="3F093A97"/>
    <w:rsid w:val="3F0BEA34"/>
    <w:rsid w:val="3F125413"/>
    <w:rsid w:val="3F1A27F0"/>
    <w:rsid w:val="3F1AED92"/>
    <w:rsid w:val="3F246032"/>
    <w:rsid w:val="3F248BAA"/>
    <w:rsid w:val="3F267341"/>
    <w:rsid w:val="3F2C1EAC"/>
    <w:rsid w:val="3F49B991"/>
    <w:rsid w:val="3F506CB8"/>
    <w:rsid w:val="3F51C5C5"/>
    <w:rsid w:val="3F5551FF"/>
    <w:rsid w:val="3F6BF85B"/>
    <w:rsid w:val="3F6C9BCC"/>
    <w:rsid w:val="3F7CCD6A"/>
    <w:rsid w:val="3F8ABFC1"/>
    <w:rsid w:val="3F8FD30C"/>
    <w:rsid w:val="3F916251"/>
    <w:rsid w:val="3F946598"/>
    <w:rsid w:val="3F9DBE22"/>
    <w:rsid w:val="3FA0A4EA"/>
    <w:rsid w:val="3FA8C4E8"/>
    <w:rsid w:val="3FB06DE8"/>
    <w:rsid w:val="3FB4286F"/>
    <w:rsid w:val="3FBF80E0"/>
    <w:rsid w:val="3FC7A826"/>
    <w:rsid w:val="3FC822DE"/>
    <w:rsid w:val="3FCF08A5"/>
    <w:rsid w:val="3FD618C6"/>
    <w:rsid w:val="3FD7480D"/>
    <w:rsid w:val="3FDEC502"/>
    <w:rsid w:val="3FE1FF3D"/>
    <w:rsid w:val="3FF1AD80"/>
    <w:rsid w:val="3FFC9B85"/>
    <w:rsid w:val="40008622"/>
    <w:rsid w:val="401A692F"/>
    <w:rsid w:val="402059E0"/>
    <w:rsid w:val="4050B63B"/>
    <w:rsid w:val="406562B2"/>
    <w:rsid w:val="40662E78"/>
    <w:rsid w:val="4075DCA9"/>
    <w:rsid w:val="4079C518"/>
    <w:rsid w:val="407A5880"/>
    <w:rsid w:val="407C3FF1"/>
    <w:rsid w:val="407D3E3D"/>
    <w:rsid w:val="4081AA4C"/>
    <w:rsid w:val="408DD5AF"/>
    <w:rsid w:val="40A0FFAF"/>
    <w:rsid w:val="40A38AAC"/>
    <w:rsid w:val="40AB0273"/>
    <w:rsid w:val="40B59B6D"/>
    <w:rsid w:val="40B61A8A"/>
    <w:rsid w:val="40B784FC"/>
    <w:rsid w:val="40C19E93"/>
    <w:rsid w:val="40D09045"/>
    <w:rsid w:val="40D71CD9"/>
    <w:rsid w:val="40E51223"/>
    <w:rsid w:val="40EF7216"/>
    <w:rsid w:val="40F3E159"/>
    <w:rsid w:val="40F4E426"/>
    <w:rsid w:val="40F546F9"/>
    <w:rsid w:val="40FF1FA1"/>
    <w:rsid w:val="40FF6591"/>
    <w:rsid w:val="41004A25"/>
    <w:rsid w:val="4117A3B1"/>
    <w:rsid w:val="4121938B"/>
    <w:rsid w:val="412559CE"/>
    <w:rsid w:val="4129892B"/>
    <w:rsid w:val="414039C6"/>
    <w:rsid w:val="414F96CD"/>
    <w:rsid w:val="415AA2E9"/>
    <w:rsid w:val="415E7430"/>
    <w:rsid w:val="416C5DE4"/>
    <w:rsid w:val="416E6C26"/>
    <w:rsid w:val="417CCFD7"/>
    <w:rsid w:val="418408C8"/>
    <w:rsid w:val="41868D07"/>
    <w:rsid w:val="418E871B"/>
    <w:rsid w:val="4197281A"/>
    <w:rsid w:val="41A5E2E1"/>
    <w:rsid w:val="41C1F571"/>
    <w:rsid w:val="41CD4BC8"/>
    <w:rsid w:val="41E295CB"/>
    <w:rsid w:val="41E5922D"/>
    <w:rsid w:val="41E9CE7C"/>
    <w:rsid w:val="41F0392F"/>
    <w:rsid w:val="41F6F854"/>
    <w:rsid w:val="42184A10"/>
    <w:rsid w:val="421E4A60"/>
    <w:rsid w:val="42367A70"/>
    <w:rsid w:val="4238F269"/>
    <w:rsid w:val="4241C59D"/>
    <w:rsid w:val="4256F52A"/>
    <w:rsid w:val="42593FBF"/>
    <w:rsid w:val="425E1215"/>
    <w:rsid w:val="4261F815"/>
    <w:rsid w:val="42653740"/>
    <w:rsid w:val="426D9E30"/>
    <w:rsid w:val="427B4F12"/>
    <w:rsid w:val="42859686"/>
    <w:rsid w:val="4287B48A"/>
    <w:rsid w:val="42880F35"/>
    <w:rsid w:val="428D0945"/>
    <w:rsid w:val="42A79C8B"/>
    <w:rsid w:val="42A7AA63"/>
    <w:rsid w:val="42AD64DF"/>
    <w:rsid w:val="42B31CA0"/>
    <w:rsid w:val="42BB699D"/>
    <w:rsid w:val="42BEB2B2"/>
    <w:rsid w:val="42CA9AFC"/>
    <w:rsid w:val="42D148DB"/>
    <w:rsid w:val="42DC4F0B"/>
    <w:rsid w:val="42ECA152"/>
    <w:rsid w:val="42F4C79D"/>
    <w:rsid w:val="4307CDA2"/>
    <w:rsid w:val="430CF316"/>
    <w:rsid w:val="430E6A01"/>
    <w:rsid w:val="4316042E"/>
    <w:rsid w:val="431716F9"/>
    <w:rsid w:val="43193399"/>
    <w:rsid w:val="432EB768"/>
    <w:rsid w:val="4332A325"/>
    <w:rsid w:val="4343E129"/>
    <w:rsid w:val="434784EB"/>
    <w:rsid w:val="4347D988"/>
    <w:rsid w:val="434EA9FB"/>
    <w:rsid w:val="434F21F1"/>
    <w:rsid w:val="43559E46"/>
    <w:rsid w:val="436C6ADB"/>
    <w:rsid w:val="436CDFA7"/>
    <w:rsid w:val="437C5612"/>
    <w:rsid w:val="437DB8C9"/>
    <w:rsid w:val="437F4E42"/>
    <w:rsid w:val="43842A00"/>
    <w:rsid w:val="43A58004"/>
    <w:rsid w:val="43BA6C78"/>
    <w:rsid w:val="43BB7847"/>
    <w:rsid w:val="43C30B06"/>
    <w:rsid w:val="43D6A592"/>
    <w:rsid w:val="43DC18D8"/>
    <w:rsid w:val="43E06120"/>
    <w:rsid w:val="43E4A13B"/>
    <w:rsid w:val="43E59FDE"/>
    <w:rsid w:val="43E774BE"/>
    <w:rsid w:val="43E77861"/>
    <w:rsid w:val="43E9233A"/>
    <w:rsid w:val="44085DD9"/>
    <w:rsid w:val="440A0633"/>
    <w:rsid w:val="4411DDD1"/>
    <w:rsid w:val="4421DA7E"/>
    <w:rsid w:val="442F8CA4"/>
    <w:rsid w:val="443C8F50"/>
    <w:rsid w:val="44470EBF"/>
    <w:rsid w:val="444BEFC5"/>
    <w:rsid w:val="44515B9C"/>
    <w:rsid w:val="44712105"/>
    <w:rsid w:val="448761D0"/>
    <w:rsid w:val="448802E8"/>
    <w:rsid w:val="448AF391"/>
    <w:rsid w:val="4491AB6A"/>
    <w:rsid w:val="44933D87"/>
    <w:rsid w:val="449C8EF2"/>
    <w:rsid w:val="44AED598"/>
    <w:rsid w:val="44CF9B09"/>
    <w:rsid w:val="44D05115"/>
    <w:rsid w:val="44D0D32B"/>
    <w:rsid w:val="44D12B4C"/>
    <w:rsid w:val="44D73B13"/>
    <w:rsid w:val="44E2639C"/>
    <w:rsid w:val="44F443BA"/>
    <w:rsid w:val="44FA9FE5"/>
    <w:rsid w:val="44FB44BB"/>
    <w:rsid w:val="450604E2"/>
    <w:rsid w:val="450CF06F"/>
    <w:rsid w:val="452CB9E7"/>
    <w:rsid w:val="452F40BB"/>
    <w:rsid w:val="45365AE5"/>
    <w:rsid w:val="45461515"/>
    <w:rsid w:val="454A09EE"/>
    <w:rsid w:val="45534F54"/>
    <w:rsid w:val="4556FC9C"/>
    <w:rsid w:val="456C6FDE"/>
    <w:rsid w:val="45805CE0"/>
    <w:rsid w:val="4590BF9E"/>
    <w:rsid w:val="4598F25A"/>
    <w:rsid w:val="459D3DCE"/>
    <w:rsid w:val="45AD99D4"/>
    <w:rsid w:val="45B36C01"/>
    <w:rsid w:val="45B93D9C"/>
    <w:rsid w:val="45C10CCA"/>
    <w:rsid w:val="45C5E9FC"/>
    <w:rsid w:val="45D3F0D4"/>
    <w:rsid w:val="45E30754"/>
    <w:rsid w:val="45E533B2"/>
    <w:rsid w:val="45E96194"/>
    <w:rsid w:val="45E9BCA1"/>
    <w:rsid w:val="45EBD036"/>
    <w:rsid w:val="45FF2314"/>
    <w:rsid w:val="460CEBD9"/>
    <w:rsid w:val="46137755"/>
    <w:rsid w:val="462022CB"/>
    <w:rsid w:val="462255A1"/>
    <w:rsid w:val="4628D93B"/>
    <w:rsid w:val="462D6E21"/>
    <w:rsid w:val="463A042C"/>
    <w:rsid w:val="463AA668"/>
    <w:rsid w:val="46427C79"/>
    <w:rsid w:val="464C993B"/>
    <w:rsid w:val="4662F186"/>
    <w:rsid w:val="466B2413"/>
    <w:rsid w:val="466BC78E"/>
    <w:rsid w:val="46721E9A"/>
    <w:rsid w:val="467EE03B"/>
    <w:rsid w:val="46816CD5"/>
    <w:rsid w:val="468FCF4E"/>
    <w:rsid w:val="4692E3E0"/>
    <w:rsid w:val="469615A6"/>
    <w:rsid w:val="469B3E2F"/>
    <w:rsid w:val="46A7CF4B"/>
    <w:rsid w:val="46B20358"/>
    <w:rsid w:val="46BA5F03"/>
    <w:rsid w:val="46C36ADC"/>
    <w:rsid w:val="46D74868"/>
    <w:rsid w:val="46DBD13E"/>
    <w:rsid w:val="46DCA02C"/>
    <w:rsid w:val="46F8662E"/>
    <w:rsid w:val="47170F8D"/>
    <w:rsid w:val="471B6467"/>
    <w:rsid w:val="472018A3"/>
    <w:rsid w:val="47220CC2"/>
    <w:rsid w:val="472E1B14"/>
    <w:rsid w:val="4733FE44"/>
    <w:rsid w:val="473AF0E1"/>
    <w:rsid w:val="47402B09"/>
    <w:rsid w:val="47505B26"/>
    <w:rsid w:val="475B38DC"/>
    <w:rsid w:val="476EC6C4"/>
    <w:rsid w:val="477017AB"/>
    <w:rsid w:val="47702F46"/>
    <w:rsid w:val="477393A2"/>
    <w:rsid w:val="47809382"/>
    <w:rsid w:val="4784A4B9"/>
    <w:rsid w:val="478ADC3F"/>
    <w:rsid w:val="4791F6E0"/>
    <w:rsid w:val="4793253D"/>
    <w:rsid w:val="4795A272"/>
    <w:rsid w:val="47979CBA"/>
    <w:rsid w:val="479C1282"/>
    <w:rsid w:val="47A05332"/>
    <w:rsid w:val="47A598B7"/>
    <w:rsid w:val="47A7FC7B"/>
    <w:rsid w:val="47AB82EA"/>
    <w:rsid w:val="47AEA7FA"/>
    <w:rsid w:val="47B5669E"/>
    <w:rsid w:val="47CCFBD1"/>
    <w:rsid w:val="47CE8FC4"/>
    <w:rsid w:val="47E3A128"/>
    <w:rsid w:val="47F26056"/>
    <w:rsid w:val="47F35D2B"/>
    <w:rsid w:val="4800336F"/>
    <w:rsid w:val="48075A5F"/>
    <w:rsid w:val="48096E1E"/>
    <w:rsid w:val="4811460F"/>
    <w:rsid w:val="4815F24B"/>
    <w:rsid w:val="48188BBD"/>
    <w:rsid w:val="482CA0F0"/>
    <w:rsid w:val="482DFCFF"/>
    <w:rsid w:val="48378FF8"/>
    <w:rsid w:val="4840DE44"/>
    <w:rsid w:val="48497772"/>
    <w:rsid w:val="484B485C"/>
    <w:rsid w:val="484E1B52"/>
    <w:rsid w:val="4850A50D"/>
    <w:rsid w:val="486544FF"/>
    <w:rsid w:val="486B3CAF"/>
    <w:rsid w:val="486FD0A7"/>
    <w:rsid w:val="4878F127"/>
    <w:rsid w:val="487F786E"/>
    <w:rsid w:val="4883D7BD"/>
    <w:rsid w:val="48957747"/>
    <w:rsid w:val="489DD165"/>
    <w:rsid w:val="48A225B4"/>
    <w:rsid w:val="48BAC2FF"/>
    <w:rsid w:val="48BC10C1"/>
    <w:rsid w:val="48D31703"/>
    <w:rsid w:val="48D8CD6D"/>
    <w:rsid w:val="48E58B78"/>
    <w:rsid w:val="48E7700A"/>
    <w:rsid w:val="48F02408"/>
    <w:rsid w:val="492D6075"/>
    <w:rsid w:val="4930347B"/>
    <w:rsid w:val="4939712C"/>
    <w:rsid w:val="49448C9B"/>
    <w:rsid w:val="4960C602"/>
    <w:rsid w:val="496C1280"/>
    <w:rsid w:val="497604DB"/>
    <w:rsid w:val="497C6F6A"/>
    <w:rsid w:val="49981377"/>
    <w:rsid w:val="49983BE2"/>
    <w:rsid w:val="49A1A812"/>
    <w:rsid w:val="49C582D4"/>
    <w:rsid w:val="49EC545D"/>
    <w:rsid w:val="49F60287"/>
    <w:rsid w:val="49FF3791"/>
    <w:rsid w:val="4A0262FB"/>
    <w:rsid w:val="4A0D4948"/>
    <w:rsid w:val="4A0F4853"/>
    <w:rsid w:val="4A235C07"/>
    <w:rsid w:val="4A2E186A"/>
    <w:rsid w:val="4A343EA6"/>
    <w:rsid w:val="4A35AC2F"/>
    <w:rsid w:val="4A3ACFE0"/>
    <w:rsid w:val="4A3B2C47"/>
    <w:rsid w:val="4A4A8831"/>
    <w:rsid w:val="4A54C476"/>
    <w:rsid w:val="4A6CAB9D"/>
    <w:rsid w:val="4A6F1497"/>
    <w:rsid w:val="4A6F82D5"/>
    <w:rsid w:val="4A7116F4"/>
    <w:rsid w:val="4A7AF22C"/>
    <w:rsid w:val="4A9F4858"/>
    <w:rsid w:val="4A9FB454"/>
    <w:rsid w:val="4AA83B1B"/>
    <w:rsid w:val="4AAD20B8"/>
    <w:rsid w:val="4AB7B3B6"/>
    <w:rsid w:val="4AB9D1AD"/>
    <w:rsid w:val="4ADAFF76"/>
    <w:rsid w:val="4AF713C7"/>
    <w:rsid w:val="4AF774A6"/>
    <w:rsid w:val="4AFDB976"/>
    <w:rsid w:val="4B035E3B"/>
    <w:rsid w:val="4B06FBDE"/>
    <w:rsid w:val="4B18D18B"/>
    <w:rsid w:val="4B23AB9D"/>
    <w:rsid w:val="4B2CD838"/>
    <w:rsid w:val="4B359FD2"/>
    <w:rsid w:val="4B37F553"/>
    <w:rsid w:val="4B3DF23C"/>
    <w:rsid w:val="4B44A800"/>
    <w:rsid w:val="4B52C9C9"/>
    <w:rsid w:val="4B52CEF2"/>
    <w:rsid w:val="4B59B768"/>
    <w:rsid w:val="4B615A7A"/>
    <w:rsid w:val="4B8789A2"/>
    <w:rsid w:val="4B8EF343"/>
    <w:rsid w:val="4B9CA479"/>
    <w:rsid w:val="4BA3F389"/>
    <w:rsid w:val="4BAA2059"/>
    <w:rsid w:val="4BF2AB7D"/>
    <w:rsid w:val="4BF8F65F"/>
    <w:rsid w:val="4C05BEA4"/>
    <w:rsid w:val="4C060BDC"/>
    <w:rsid w:val="4C0AEACF"/>
    <w:rsid w:val="4C0E3AAA"/>
    <w:rsid w:val="4C190944"/>
    <w:rsid w:val="4C1C1C0B"/>
    <w:rsid w:val="4C1E85F5"/>
    <w:rsid w:val="4C21E09C"/>
    <w:rsid w:val="4C222CAD"/>
    <w:rsid w:val="4C328E0E"/>
    <w:rsid w:val="4C33A990"/>
    <w:rsid w:val="4C38E05A"/>
    <w:rsid w:val="4C3D88A7"/>
    <w:rsid w:val="4C417479"/>
    <w:rsid w:val="4C4DEC67"/>
    <w:rsid w:val="4C50F850"/>
    <w:rsid w:val="4C56F285"/>
    <w:rsid w:val="4C765CE9"/>
    <w:rsid w:val="4C7D4CEC"/>
    <w:rsid w:val="4C82B882"/>
    <w:rsid w:val="4C866F49"/>
    <w:rsid w:val="4C918F5E"/>
    <w:rsid w:val="4C92667C"/>
    <w:rsid w:val="4C936008"/>
    <w:rsid w:val="4CA1E430"/>
    <w:rsid w:val="4CAA7DE9"/>
    <w:rsid w:val="4CABA6FD"/>
    <w:rsid w:val="4CC6DC3C"/>
    <w:rsid w:val="4CCDCA7A"/>
    <w:rsid w:val="4CD27268"/>
    <w:rsid w:val="4CDB0806"/>
    <w:rsid w:val="4CDDFBA7"/>
    <w:rsid w:val="4CE769F8"/>
    <w:rsid w:val="4CF12CE3"/>
    <w:rsid w:val="4CF3B7D7"/>
    <w:rsid w:val="4D083DDE"/>
    <w:rsid w:val="4D1FDDF2"/>
    <w:rsid w:val="4D57D068"/>
    <w:rsid w:val="4D5809A4"/>
    <w:rsid w:val="4D5897EA"/>
    <w:rsid w:val="4D5A27D1"/>
    <w:rsid w:val="4D5ABCC1"/>
    <w:rsid w:val="4D5C02CB"/>
    <w:rsid w:val="4D5E385D"/>
    <w:rsid w:val="4D6C4763"/>
    <w:rsid w:val="4D7B3540"/>
    <w:rsid w:val="4DA614C4"/>
    <w:rsid w:val="4DC49746"/>
    <w:rsid w:val="4DC49E99"/>
    <w:rsid w:val="4DCBFDC4"/>
    <w:rsid w:val="4DD18215"/>
    <w:rsid w:val="4DE0BF60"/>
    <w:rsid w:val="4DF4CC6E"/>
    <w:rsid w:val="4DFFA939"/>
    <w:rsid w:val="4E196DE9"/>
    <w:rsid w:val="4E252706"/>
    <w:rsid w:val="4E256D82"/>
    <w:rsid w:val="4E26D499"/>
    <w:rsid w:val="4E2F06CD"/>
    <w:rsid w:val="4E30C186"/>
    <w:rsid w:val="4E405015"/>
    <w:rsid w:val="4E43882C"/>
    <w:rsid w:val="4E496949"/>
    <w:rsid w:val="4E4F50A0"/>
    <w:rsid w:val="4E5B1D94"/>
    <w:rsid w:val="4E5D83E9"/>
    <w:rsid w:val="4E5D93FD"/>
    <w:rsid w:val="4E5DA657"/>
    <w:rsid w:val="4E5EAEB7"/>
    <w:rsid w:val="4E63F7E5"/>
    <w:rsid w:val="4E6438A4"/>
    <w:rsid w:val="4E742D60"/>
    <w:rsid w:val="4E74437F"/>
    <w:rsid w:val="4E7A059E"/>
    <w:rsid w:val="4E816308"/>
    <w:rsid w:val="4E87C1F1"/>
    <w:rsid w:val="4E8CEFC1"/>
    <w:rsid w:val="4E8DC4FC"/>
    <w:rsid w:val="4E8DDDE1"/>
    <w:rsid w:val="4E917421"/>
    <w:rsid w:val="4EA01D51"/>
    <w:rsid w:val="4EA31FC9"/>
    <w:rsid w:val="4EA400DD"/>
    <w:rsid w:val="4EA5F3F4"/>
    <w:rsid w:val="4EA88ECB"/>
    <w:rsid w:val="4EAE919D"/>
    <w:rsid w:val="4EB0BF1E"/>
    <w:rsid w:val="4EBBBF40"/>
    <w:rsid w:val="4EC3C733"/>
    <w:rsid w:val="4EC6C51F"/>
    <w:rsid w:val="4EC75B87"/>
    <w:rsid w:val="4EC9FA7F"/>
    <w:rsid w:val="4ED68908"/>
    <w:rsid w:val="4ED81FF0"/>
    <w:rsid w:val="4EDEE02C"/>
    <w:rsid w:val="4EE5E609"/>
    <w:rsid w:val="4EE6FA27"/>
    <w:rsid w:val="4EE707B6"/>
    <w:rsid w:val="4EE97879"/>
    <w:rsid w:val="4EEA6E21"/>
    <w:rsid w:val="4EEC984D"/>
    <w:rsid w:val="4EED34C4"/>
    <w:rsid w:val="4EF68FAA"/>
    <w:rsid w:val="4F05B018"/>
    <w:rsid w:val="4F21C1EC"/>
    <w:rsid w:val="4F2ACD3E"/>
    <w:rsid w:val="4F3EE74F"/>
    <w:rsid w:val="4F5D7C8F"/>
    <w:rsid w:val="4F753B76"/>
    <w:rsid w:val="4F7B3423"/>
    <w:rsid w:val="4F7DF452"/>
    <w:rsid w:val="4FAB4D4B"/>
    <w:rsid w:val="4FB53B41"/>
    <w:rsid w:val="4FB807C8"/>
    <w:rsid w:val="4FB86FFD"/>
    <w:rsid w:val="4FC4A490"/>
    <w:rsid w:val="4FCE3E58"/>
    <w:rsid w:val="4FDEF271"/>
    <w:rsid w:val="4FE46830"/>
    <w:rsid w:val="4FEB0BEF"/>
    <w:rsid w:val="50120ACC"/>
    <w:rsid w:val="5015E58C"/>
    <w:rsid w:val="502BAD18"/>
    <w:rsid w:val="50322023"/>
    <w:rsid w:val="50326C1D"/>
    <w:rsid w:val="5044FCD9"/>
    <w:rsid w:val="5045DC2F"/>
    <w:rsid w:val="505400B4"/>
    <w:rsid w:val="505F49EE"/>
    <w:rsid w:val="50625B20"/>
    <w:rsid w:val="5072F4FA"/>
    <w:rsid w:val="50758621"/>
    <w:rsid w:val="50817842"/>
    <w:rsid w:val="5096C070"/>
    <w:rsid w:val="509AF695"/>
    <w:rsid w:val="509F0149"/>
    <w:rsid w:val="50A68A59"/>
    <w:rsid w:val="50B4C2F8"/>
    <w:rsid w:val="50B83941"/>
    <w:rsid w:val="50C0E07F"/>
    <w:rsid w:val="50D36B37"/>
    <w:rsid w:val="50DB4F2C"/>
    <w:rsid w:val="50DE28AA"/>
    <w:rsid w:val="50DED26D"/>
    <w:rsid w:val="50DF1001"/>
    <w:rsid w:val="50E5E703"/>
    <w:rsid w:val="50EBC29E"/>
    <w:rsid w:val="50F6F1D4"/>
    <w:rsid w:val="50F94AA5"/>
    <w:rsid w:val="50F97407"/>
    <w:rsid w:val="50FDE1D2"/>
    <w:rsid w:val="510D3053"/>
    <w:rsid w:val="511C407A"/>
    <w:rsid w:val="511CB640"/>
    <w:rsid w:val="511D7BCA"/>
    <w:rsid w:val="5126B769"/>
    <w:rsid w:val="5127B9AF"/>
    <w:rsid w:val="512E7DED"/>
    <w:rsid w:val="5138BB93"/>
    <w:rsid w:val="5140B1AD"/>
    <w:rsid w:val="514F1697"/>
    <w:rsid w:val="514FB8B2"/>
    <w:rsid w:val="515DA66F"/>
    <w:rsid w:val="516316EA"/>
    <w:rsid w:val="517C0DA4"/>
    <w:rsid w:val="517F6111"/>
    <w:rsid w:val="5186E1CA"/>
    <w:rsid w:val="5189CFBF"/>
    <w:rsid w:val="519B8BD4"/>
    <w:rsid w:val="519F72B6"/>
    <w:rsid w:val="51A0A3BE"/>
    <w:rsid w:val="51A3AED0"/>
    <w:rsid w:val="51C19151"/>
    <w:rsid w:val="51C4DF78"/>
    <w:rsid w:val="51C7373A"/>
    <w:rsid w:val="51D025FD"/>
    <w:rsid w:val="51E1C983"/>
    <w:rsid w:val="51F37018"/>
    <w:rsid w:val="520A822F"/>
    <w:rsid w:val="520E17A3"/>
    <w:rsid w:val="521E6AAE"/>
    <w:rsid w:val="5223D468"/>
    <w:rsid w:val="522860E9"/>
    <w:rsid w:val="522B297B"/>
    <w:rsid w:val="52373926"/>
    <w:rsid w:val="523C2E08"/>
    <w:rsid w:val="5240A31E"/>
    <w:rsid w:val="52449E52"/>
    <w:rsid w:val="524F2A9C"/>
    <w:rsid w:val="52595F97"/>
    <w:rsid w:val="526A5116"/>
    <w:rsid w:val="526EB910"/>
    <w:rsid w:val="528B52F7"/>
    <w:rsid w:val="5290558D"/>
    <w:rsid w:val="52AA4773"/>
    <w:rsid w:val="52B7DD2E"/>
    <w:rsid w:val="52C27A1E"/>
    <w:rsid w:val="52D390CB"/>
    <w:rsid w:val="52E27FE2"/>
    <w:rsid w:val="52E2B261"/>
    <w:rsid w:val="52FE0A63"/>
    <w:rsid w:val="5303AF16"/>
    <w:rsid w:val="530485C0"/>
    <w:rsid w:val="5314F907"/>
    <w:rsid w:val="531D48EA"/>
    <w:rsid w:val="531E6B32"/>
    <w:rsid w:val="532E93AE"/>
    <w:rsid w:val="533B3F34"/>
    <w:rsid w:val="53430AAC"/>
    <w:rsid w:val="53460316"/>
    <w:rsid w:val="5348A4EF"/>
    <w:rsid w:val="5349E5EF"/>
    <w:rsid w:val="5351C124"/>
    <w:rsid w:val="53551686"/>
    <w:rsid w:val="535D6066"/>
    <w:rsid w:val="5365F3FF"/>
    <w:rsid w:val="53728EDE"/>
    <w:rsid w:val="5373E384"/>
    <w:rsid w:val="537B35C6"/>
    <w:rsid w:val="5385A82F"/>
    <w:rsid w:val="5388DBCB"/>
    <w:rsid w:val="5399426E"/>
    <w:rsid w:val="539FC2D5"/>
    <w:rsid w:val="53C2C2D8"/>
    <w:rsid w:val="53C2E35B"/>
    <w:rsid w:val="53CD46FC"/>
    <w:rsid w:val="53DDA7CC"/>
    <w:rsid w:val="5406E9E1"/>
    <w:rsid w:val="540CD85B"/>
    <w:rsid w:val="540FEF1E"/>
    <w:rsid w:val="54131907"/>
    <w:rsid w:val="5414FE6D"/>
    <w:rsid w:val="541A8F4B"/>
    <w:rsid w:val="542B5AC8"/>
    <w:rsid w:val="5437AC5B"/>
    <w:rsid w:val="54442084"/>
    <w:rsid w:val="544AE04D"/>
    <w:rsid w:val="544EA0D9"/>
    <w:rsid w:val="5453D7ED"/>
    <w:rsid w:val="5455F6C8"/>
    <w:rsid w:val="54631BDD"/>
    <w:rsid w:val="546D2350"/>
    <w:rsid w:val="54706BAC"/>
    <w:rsid w:val="54709C8D"/>
    <w:rsid w:val="5485721F"/>
    <w:rsid w:val="5489388C"/>
    <w:rsid w:val="54A75D2C"/>
    <w:rsid w:val="54AD49C0"/>
    <w:rsid w:val="54AD76BA"/>
    <w:rsid w:val="54BB503A"/>
    <w:rsid w:val="54BF7B12"/>
    <w:rsid w:val="54C14F03"/>
    <w:rsid w:val="54C58C31"/>
    <w:rsid w:val="54C8581A"/>
    <w:rsid w:val="54CB9309"/>
    <w:rsid w:val="54EBCFC6"/>
    <w:rsid w:val="54EC008F"/>
    <w:rsid w:val="54F7785B"/>
    <w:rsid w:val="550762B3"/>
    <w:rsid w:val="550D01D8"/>
    <w:rsid w:val="550E52F8"/>
    <w:rsid w:val="55115A5A"/>
    <w:rsid w:val="551DF809"/>
    <w:rsid w:val="5522E5DD"/>
    <w:rsid w:val="552611D0"/>
    <w:rsid w:val="55281FE7"/>
    <w:rsid w:val="552D8B10"/>
    <w:rsid w:val="552FAA81"/>
    <w:rsid w:val="553877D0"/>
    <w:rsid w:val="553A0BDC"/>
    <w:rsid w:val="555573F8"/>
    <w:rsid w:val="555B904F"/>
    <w:rsid w:val="555C1AAE"/>
    <w:rsid w:val="5568912C"/>
    <w:rsid w:val="55709387"/>
    <w:rsid w:val="55791860"/>
    <w:rsid w:val="5580AC37"/>
    <w:rsid w:val="558A44DF"/>
    <w:rsid w:val="558BFF11"/>
    <w:rsid w:val="558EAF86"/>
    <w:rsid w:val="559453E9"/>
    <w:rsid w:val="55973316"/>
    <w:rsid w:val="559CF8D2"/>
    <w:rsid w:val="559F6C15"/>
    <w:rsid w:val="55AACBCD"/>
    <w:rsid w:val="55B57EB3"/>
    <w:rsid w:val="55E10AE3"/>
    <w:rsid w:val="55E2181A"/>
    <w:rsid w:val="55E37611"/>
    <w:rsid w:val="55EE5E14"/>
    <w:rsid w:val="55FD1CBF"/>
    <w:rsid w:val="55FE8D86"/>
    <w:rsid w:val="5602EDDB"/>
    <w:rsid w:val="5605AE20"/>
    <w:rsid w:val="5617C768"/>
    <w:rsid w:val="561A13E2"/>
    <w:rsid w:val="561F9E2A"/>
    <w:rsid w:val="5636092C"/>
    <w:rsid w:val="563DA8EE"/>
    <w:rsid w:val="564B68D1"/>
    <w:rsid w:val="565CDB5F"/>
    <w:rsid w:val="565E7214"/>
    <w:rsid w:val="5665DA53"/>
    <w:rsid w:val="56705088"/>
    <w:rsid w:val="56735456"/>
    <w:rsid w:val="567E6FAD"/>
    <w:rsid w:val="568D6391"/>
    <w:rsid w:val="56A80B8B"/>
    <w:rsid w:val="56C8FF70"/>
    <w:rsid w:val="56CE6F5A"/>
    <w:rsid w:val="56CFC25D"/>
    <w:rsid w:val="56DBFCD0"/>
    <w:rsid w:val="56FE104D"/>
    <w:rsid w:val="571ACCCE"/>
    <w:rsid w:val="571CD37D"/>
    <w:rsid w:val="57261540"/>
    <w:rsid w:val="572A68DD"/>
    <w:rsid w:val="573486C4"/>
    <w:rsid w:val="57405936"/>
    <w:rsid w:val="5741859A"/>
    <w:rsid w:val="5743F753"/>
    <w:rsid w:val="574D7C50"/>
    <w:rsid w:val="574DE03F"/>
    <w:rsid w:val="57519EB9"/>
    <w:rsid w:val="5758DAAA"/>
    <w:rsid w:val="575A27CD"/>
    <w:rsid w:val="57616E0B"/>
    <w:rsid w:val="576C5554"/>
    <w:rsid w:val="577E1BD2"/>
    <w:rsid w:val="57920B6F"/>
    <w:rsid w:val="579B084B"/>
    <w:rsid w:val="57B54D94"/>
    <w:rsid w:val="57C558CF"/>
    <w:rsid w:val="57CB1577"/>
    <w:rsid w:val="57CDCE59"/>
    <w:rsid w:val="57D4FA40"/>
    <w:rsid w:val="57DDB14F"/>
    <w:rsid w:val="57EB3F53"/>
    <w:rsid w:val="57F16FB4"/>
    <w:rsid w:val="57FCCDE8"/>
    <w:rsid w:val="5802D582"/>
    <w:rsid w:val="581B5587"/>
    <w:rsid w:val="581B57AC"/>
    <w:rsid w:val="582AFB7F"/>
    <w:rsid w:val="582E1C9E"/>
    <w:rsid w:val="58392716"/>
    <w:rsid w:val="583A6BFB"/>
    <w:rsid w:val="584E5347"/>
    <w:rsid w:val="5854D76D"/>
    <w:rsid w:val="58571A01"/>
    <w:rsid w:val="585AC025"/>
    <w:rsid w:val="58685403"/>
    <w:rsid w:val="586906C8"/>
    <w:rsid w:val="586DB0E1"/>
    <w:rsid w:val="586FAD80"/>
    <w:rsid w:val="587155D5"/>
    <w:rsid w:val="587E8EA4"/>
    <w:rsid w:val="588B2D65"/>
    <w:rsid w:val="589A8EB0"/>
    <w:rsid w:val="58A8E309"/>
    <w:rsid w:val="58B3EC19"/>
    <w:rsid w:val="58C756AF"/>
    <w:rsid w:val="58CA7322"/>
    <w:rsid w:val="58CE7DE6"/>
    <w:rsid w:val="58CF41BA"/>
    <w:rsid w:val="58CFC11F"/>
    <w:rsid w:val="58CFE1BF"/>
    <w:rsid w:val="58EA55C3"/>
    <w:rsid w:val="58F727FE"/>
    <w:rsid w:val="58FFB5CD"/>
    <w:rsid w:val="590846D4"/>
    <w:rsid w:val="5928D3F4"/>
    <w:rsid w:val="593459FF"/>
    <w:rsid w:val="59364075"/>
    <w:rsid w:val="593CCC65"/>
    <w:rsid w:val="594D81E8"/>
    <w:rsid w:val="59521F81"/>
    <w:rsid w:val="595F0A04"/>
    <w:rsid w:val="59689775"/>
    <w:rsid w:val="59722B9D"/>
    <w:rsid w:val="597E1E7C"/>
    <w:rsid w:val="5986BE52"/>
    <w:rsid w:val="598FE1D8"/>
    <w:rsid w:val="5992ECED"/>
    <w:rsid w:val="59976F59"/>
    <w:rsid w:val="59979E96"/>
    <w:rsid w:val="599BEB4F"/>
    <w:rsid w:val="59A36C08"/>
    <w:rsid w:val="59A6C9EE"/>
    <w:rsid w:val="59B16226"/>
    <w:rsid w:val="59B782CE"/>
    <w:rsid w:val="59C7FB37"/>
    <w:rsid w:val="59C83C6A"/>
    <w:rsid w:val="59C9A3C4"/>
    <w:rsid w:val="59D1165F"/>
    <w:rsid w:val="59D6A4CC"/>
    <w:rsid w:val="59D719AF"/>
    <w:rsid w:val="59E0471C"/>
    <w:rsid w:val="59E324B9"/>
    <w:rsid w:val="59ECF9B7"/>
    <w:rsid w:val="59EE1448"/>
    <w:rsid w:val="59F49286"/>
    <w:rsid w:val="5A0B5537"/>
    <w:rsid w:val="5A1C2FE2"/>
    <w:rsid w:val="5A1E15DA"/>
    <w:rsid w:val="5A246DB4"/>
    <w:rsid w:val="5A267D92"/>
    <w:rsid w:val="5A28C900"/>
    <w:rsid w:val="5A29CD40"/>
    <w:rsid w:val="5A319BC5"/>
    <w:rsid w:val="5A35DAEB"/>
    <w:rsid w:val="5A370D79"/>
    <w:rsid w:val="5A40040B"/>
    <w:rsid w:val="5A597964"/>
    <w:rsid w:val="5A5BB680"/>
    <w:rsid w:val="5A5E5F61"/>
    <w:rsid w:val="5A73F924"/>
    <w:rsid w:val="5A7596BF"/>
    <w:rsid w:val="5A7795FE"/>
    <w:rsid w:val="5A7A2220"/>
    <w:rsid w:val="5A85D6EC"/>
    <w:rsid w:val="5A8FD917"/>
    <w:rsid w:val="5A96CDFF"/>
    <w:rsid w:val="5A9CF858"/>
    <w:rsid w:val="5AB3196D"/>
    <w:rsid w:val="5AB48503"/>
    <w:rsid w:val="5AB95DCB"/>
    <w:rsid w:val="5AC33EB1"/>
    <w:rsid w:val="5AC883CD"/>
    <w:rsid w:val="5ACB206A"/>
    <w:rsid w:val="5ACD20C5"/>
    <w:rsid w:val="5AE8C507"/>
    <w:rsid w:val="5AE9CED7"/>
    <w:rsid w:val="5AEB8769"/>
    <w:rsid w:val="5AEEE043"/>
    <w:rsid w:val="5AF05B06"/>
    <w:rsid w:val="5AF5E293"/>
    <w:rsid w:val="5AFB1797"/>
    <w:rsid w:val="5AFC0955"/>
    <w:rsid w:val="5B091983"/>
    <w:rsid w:val="5B0C9D54"/>
    <w:rsid w:val="5B0E472B"/>
    <w:rsid w:val="5B1325FE"/>
    <w:rsid w:val="5B16A31E"/>
    <w:rsid w:val="5B1D0DDA"/>
    <w:rsid w:val="5B27EFD1"/>
    <w:rsid w:val="5B33C430"/>
    <w:rsid w:val="5B33D732"/>
    <w:rsid w:val="5B39E9FD"/>
    <w:rsid w:val="5B4DB476"/>
    <w:rsid w:val="5B4FFFA9"/>
    <w:rsid w:val="5B643EE6"/>
    <w:rsid w:val="5B67951F"/>
    <w:rsid w:val="5B6B769C"/>
    <w:rsid w:val="5B6FA203"/>
    <w:rsid w:val="5B79BD41"/>
    <w:rsid w:val="5B811266"/>
    <w:rsid w:val="5B81C86C"/>
    <w:rsid w:val="5B858755"/>
    <w:rsid w:val="5B88C965"/>
    <w:rsid w:val="5B8B4296"/>
    <w:rsid w:val="5B92393D"/>
    <w:rsid w:val="5BA14599"/>
    <w:rsid w:val="5BA31927"/>
    <w:rsid w:val="5BA6DCF8"/>
    <w:rsid w:val="5BB1D9E6"/>
    <w:rsid w:val="5BDFDD28"/>
    <w:rsid w:val="5BE0DBDB"/>
    <w:rsid w:val="5BE3B87E"/>
    <w:rsid w:val="5BE65027"/>
    <w:rsid w:val="5BE7310D"/>
    <w:rsid w:val="5BED011A"/>
    <w:rsid w:val="5BEDA242"/>
    <w:rsid w:val="5BEFF97B"/>
    <w:rsid w:val="5BF55D3D"/>
    <w:rsid w:val="5BF9D651"/>
    <w:rsid w:val="5C0A4EAC"/>
    <w:rsid w:val="5C10EF82"/>
    <w:rsid w:val="5C156640"/>
    <w:rsid w:val="5C1AAAC2"/>
    <w:rsid w:val="5C24202C"/>
    <w:rsid w:val="5C293979"/>
    <w:rsid w:val="5C2EC8C0"/>
    <w:rsid w:val="5C2F2636"/>
    <w:rsid w:val="5C3381FA"/>
    <w:rsid w:val="5C39E325"/>
    <w:rsid w:val="5C3E9585"/>
    <w:rsid w:val="5C56C7AB"/>
    <w:rsid w:val="5C61489C"/>
    <w:rsid w:val="5C6321DB"/>
    <w:rsid w:val="5C6AA9BF"/>
    <w:rsid w:val="5C6B6349"/>
    <w:rsid w:val="5C6C2A7F"/>
    <w:rsid w:val="5C6ED278"/>
    <w:rsid w:val="5C7293C2"/>
    <w:rsid w:val="5C74E341"/>
    <w:rsid w:val="5C75525D"/>
    <w:rsid w:val="5C792144"/>
    <w:rsid w:val="5C818C8D"/>
    <w:rsid w:val="5C8313BD"/>
    <w:rsid w:val="5C9AE2EE"/>
    <w:rsid w:val="5C9B282D"/>
    <w:rsid w:val="5CA27A73"/>
    <w:rsid w:val="5CA9BCAB"/>
    <w:rsid w:val="5CB6A52F"/>
    <w:rsid w:val="5CBB5865"/>
    <w:rsid w:val="5CC57AF0"/>
    <w:rsid w:val="5CC6662C"/>
    <w:rsid w:val="5CC7BBFE"/>
    <w:rsid w:val="5CC8B727"/>
    <w:rsid w:val="5CD2D132"/>
    <w:rsid w:val="5CD7D016"/>
    <w:rsid w:val="5CDA214F"/>
    <w:rsid w:val="5CE7EF8D"/>
    <w:rsid w:val="5CE855E7"/>
    <w:rsid w:val="5CE95018"/>
    <w:rsid w:val="5CF21A3C"/>
    <w:rsid w:val="5CF35B23"/>
    <w:rsid w:val="5CFD6413"/>
    <w:rsid w:val="5D252731"/>
    <w:rsid w:val="5D27A3A0"/>
    <w:rsid w:val="5D29D68D"/>
    <w:rsid w:val="5D29F27A"/>
    <w:rsid w:val="5D43461C"/>
    <w:rsid w:val="5D4A0C0D"/>
    <w:rsid w:val="5D4CA9C9"/>
    <w:rsid w:val="5D5B0720"/>
    <w:rsid w:val="5D6A314D"/>
    <w:rsid w:val="5D77A1A9"/>
    <w:rsid w:val="5D872D36"/>
    <w:rsid w:val="5D8B1BF4"/>
    <w:rsid w:val="5D92FF58"/>
    <w:rsid w:val="5D9BB8B8"/>
    <w:rsid w:val="5D9D2BC4"/>
    <w:rsid w:val="5D9FCFEA"/>
    <w:rsid w:val="5DA08864"/>
    <w:rsid w:val="5DB3104F"/>
    <w:rsid w:val="5DB90F76"/>
    <w:rsid w:val="5DBB5D94"/>
    <w:rsid w:val="5DC692ED"/>
    <w:rsid w:val="5DC8F4A3"/>
    <w:rsid w:val="5DD1B668"/>
    <w:rsid w:val="5DD7E907"/>
    <w:rsid w:val="5DFBB900"/>
    <w:rsid w:val="5E0325AF"/>
    <w:rsid w:val="5E06BAC4"/>
    <w:rsid w:val="5E0F5A5A"/>
    <w:rsid w:val="5E141BB7"/>
    <w:rsid w:val="5E1A595F"/>
    <w:rsid w:val="5E317522"/>
    <w:rsid w:val="5E35581C"/>
    <w:rsid w:val="5E3D19CA"/>
    <w:rsid w:val="5E4E9D8E"/>
    <w:rsid w:val="5E545CBA"/>
    <w:rsid w:val="5E57985B"/>
    <w:rsid w:val="5E6134E8"/>
    <w:rsid w:val="5E660725"/>
    <w:rsid w:val="5E6A099A"/>
    <w:rsid w:val="5E7EC3B6"/>
    <w:rsid w:val="5E80BBBF"/>
    <w:rsid w:val="5E811423"/>
    <w:rsid w:val="5E8483D5"/>
    <w:rsid w:val="5E848A55"/>
    <w:rsid w:val="5E9F3531"/>
    <w:rsid w:val="5EA32C49"/>
    <w:rsid w:val="5EA58CB1"/>
    <w:rsid w:val="5EB924C4"/>
    <w:rsid w:val="5ECB7929"/>
    <w:rsid w:val="5ECE7A79"/>
    <w:rsid w:val="5ED4CDED"/>
    <w:rsid w:val="5ED4D7BF"/>
    <w:rsid w:val="5EF0BD43"/>
    <w:rsid w:val="5EF24F8D"/>
    <w:rsid w:val="5EF608B1"/>
    <w:rsid w:val="5EF86456"/>
    <w:rsid w:val="5EF9D317"/>
    <w:rsid w:val="5EFBF0A4"/>
    <w:rsid w:val="5F195798"/>
    <w:rsid w:val="5F1A1DC9"/>
    <w:rsid w:val="5F2F8750"/>
    <w:rsid w:val="5F3BC835"/>
    <w:rsid w:val="5F3E8AC6"/>
    <w:rsid w:val="5F4C151F"/>
    <w:rsid w:val="5F5B7B52"/>
    <w:rsid w:val="5F9DC574"/>
    <w:rsid w:val="5FA9E991"/>
    <w:rsid w:val="5FB5C790"/>
    <w:rsid w:val="5FB729F6"/>
    <w:rsid w:val="5FB91EC7"/>
    <w:rsid w:val="5FBC7C0D"/>
    <w:rsid w:val="5FC51784"/>
    <w:rsid w:val="5FD74164"/>
    <w:rsid w:val="5FD80DA5"/>
    <w:rsid w:val="5FE30CF6"/>
    <w:rsid w:val="5FEFAD5C"/>
    <w:rsid w:val="5FFE2C9E"/>
    <w:rsid w:val="60058D43"/>
    <w:rsid w:val="6012E40D"/>
    <w:rsid w:val="602F3483"/>
    <w:rsid w:val="6035EE18"/>
    <w:rsid w:val="6044090D"/>
    <w:rsid w:val="604C8824"/>
    <w:rsid w:val="606065AC"/>
    <w:rsid w:val="6062C64D"/>
    <w:rsid w:val="606692A0"/>
    <w:rsid w:val="6072B00E"/>
    <w:rsid w:val="6075E3EC"/>
    <w:rsid w:val="607A6B75"/>
    <w:rsid w:val="608467FC"/>
    <w:rsid w:val="6099FDF0"/>
    <w:rsid w:val="60A1E440"/>
    <w:rsid w:val="60AC613C"/>
    <w:rsid w:val="60B54371"/>
    <w:rsid w:val="60C686AF"/>
    <w:rsid w:val="60DB4C01"/>
    <w:rsid w:val="60DE0358"/>
    <w:rsid w:val="60E16EFE"/>
    <w:rsid w:val="60EC614C"/>
    <w:rsid w:val="60F18233"/>
    <w:rsid w:val="60F55699"/>
    <w:rsid w:val="61076FD9"/>
    <w:rsid w:val="610B831D"/>
    <w:rsid w:val="610C0516"/>
    <w:rsid w:val="610C6B45"/>
    <w:rsid w:val="610F39A6"/>
    <w:rsid w:val="611BB504"/>
    <w:rsid w:val="613B7824"/>
    <w:rsid w:val="613EB651"/>
    <w:rsid w:val="61402013"/>
    <w:rsid w:val="61480C31"/>
    <w:rsid w:val="61588F6F"/>
    <w:rsid w:val="6162BD11"/>
    <w:rsid w:val="61751F15"/>
    <w:rsid w:val="618D3311"/>
    <w:rsid w:val="61DCC1FC"/>
    <w:rsid w:val="61DE0FC5"/>
    <w:rsid w:val="61E607F7"/>
    <w:rsid w:val="61E7CEA6"/>
    <w:rsid w:val="61ECCB30"/>
    <w:rsid w:val="61EE9B6A"/>
    <w:rsid w:val="61F0038B"/>
    <w:rsid w:val="61F4C8D9"/>
    <w:rsid w:val="61F5BFCC"/>
    <w:rsid w:val="620002BA"/>
    <w:rsid w:val="62017446"/>
    <w:rsid w:val="6206A2EF"/>
    <w:rsid w:val="6207B324"/>
    <w:rsid w:val="62124816"/>
    <w:rsid w:val="6228085B"/>
    <w:rsid w:val="62324699"/>
    <w:rsid w:val="6236A531"/>
    <w:rsid w:val="6236B605"/>
    <w:rsid w:val="6237E26C"/>
    <w:rsid w:val="62398938"/>
    <w:rsid w:val="623EF106"/>
    <w:rsid w:val="62423E9F"/>
    <w:rsid w:val="6248AB24"/>
    <w:rsid w:val="6250C2AF"/>
    <w:rsid w:val="625C512D"/>
    <w:rsid w:val="625DE082"/>
    <w:rsid w:val="625E003B"/>
    <w:rsid w:val="625F3FFE"/>
    <w:rsid w:val="626505E8"/>
    <w:rsid w:val="626C126B"/>
    <w:rsid w:val="6271ECE0"/>
    <w:rsid w:val="62802FAA"/>
    <w:rsid w:val="628625B3"/>
    <w:rsid w:val="6286CE9D"/>
    <w:rsid w:val="62897C08"/>
    <w:rsid w:val="62992751"/>
    <w:rsid w:val="629B4D48"/>
    <w:rsid w:val="62A1C949"/>
    <w:rsid w:val="62B0E8D5"/>
    <w:rsid w:val="62B6C287"/>
    <w:rsid w:val="62B7DFEE"/>
    <w:rsid w:val="62BF6C54"/>
    <w:rsid w:val="62C6CC51"/>
    <w:rsid w:val="62CD8B2B"/>
    <w:rsid w:val="62CE9926"/>
    <w:rsid w:val="62D58BCF"/>
    <w:rsid w:val="62E0BB3E"/>
    <w:rsid w:val="62E62BBE"/>
    <w:rsid w:val="62E67B9F"/>
    <w:rsid w:val="63044741"/>
    <w:rsid w:val="630E1D81"/>
    <w:rsid w:val="63111BB0"/>
    <w:rsid w:val="6312A53B"/>
    <w:rsid w:val="6324F66E"/>
    <w:rsid w:val="633FA4B5"/>
    <w:rsid w:val="63449B61"/>
    <w:rsid w:val="6345AE41"/>
    <w:rsid w:val="6352390C"/>
    <w:rsid w:val="635F6DFB"/>
    <w:rsid w:val="63613DD8"/>
    <w:rsid w:val="63699005"/>
    <w:rsid w:val="63705933"/>
    <w:rsid w:val="637CB658"/>
    <w:rsid w:val="638870D9"/>
    <w:rsid w:val="63895F09"/>
    <w:rsid w:val="638C5366"/>
    <w:rsid w:val="63929ECA"/>
    <w:rsid w:val="63A288AC"/>
    <w:rsid w:val="63AF1622"/>
    <w:rsid w:val="63B04610"/>
    <w:rsid w:val="63B79A30"/>
    <w:rsid w:val="63BCED53"/>
    <w:rsid w:val="63C85CEC"/>
    <w:rsid w:val="63CA0D56"/>
    <w:rsid w:val="63CC4703"/>
    <w:rsid w:val="63D1B4A5"/>
    <w:rsid w:val="63D6BD2D"/>
    <w:rsid w:val="63E62BD7"/>
    <w:rsid w:val="63F36D6D"/>
    <w:rsid w:val="63FA575B"/>
    <w:rsid w:val="64058794"/>
    <w:rsid w:val="640BA969"/>
    <w:rsid w:val="6413A842"/>
    <w:rsid w:val="642072ED"/>
    <w:rsid w:val="6437BFA2"/>
    <w:rsid w:val="6463791B"/>
    <w:rsid w:val="64645611"/>
    <w:rsid w:val="646C8764"/>
    <w:rsid w:val="64735DC4"/>
    <w:rsid w:val="64829DDF"/>
    <w:rsid w:val="648F505D"/>
    <w:rsid w:val="648F8221"/>
    <w:rsid w:val="649966E3"/>
    <w:rsid w:val="649FC0C1"/>
    <w:rsid w:val="64A2DB38"/>
    <w:rsid w:val="64AD0E7E"/>
    <w:rsid w:val="64B5736B"/>
    <w:rsid w:val="64B6E64A"/>
    <w:rsid w:val="64BA705B"/>
    <w:rsid w:val="64CA98E9"/>
    <w:rsid w:val="64CD4BDB"/>
    <w:rsid w:val="64D354C0"/>
    <w:rsid w:val="64DBA19D"/>
    <w:rsid w:val="64E0482B"/>
    <w:rsid w:val="64E3A31D"/>
    <w:rsid w:val="64E8195A"/>
    <w:rsid w:val="64E96499"/>
    <w:rsid w:val="64FAED3D"/>
    <w:rsid w:val="64FD146A"/>
    <w:rsid w:val="651B715A"/>
    <w:rsid w:val="651E70D4"/>
    <w:rsid w:val="652D6A5D"/>
    <w:rsid w:val="65312EF8"/>
    <w:rsid w:val="654A8FD1"/>
    <w:rsid w:val="6556647F"/>
    <w:rsid w:val="6558CFA5"/>
    <w:rsid w:val="6574131D"/>
    <w:rsid w:val="65788F2F"/>
    <w:rsid w:val="6579277A"/>
    <w:rsid w:val="65A8F766"/>
    <w:rsid w:val="65B40C8D"/>
    <w:rsid w:val="65B76D92"/>
    <w:rsid w:val="65BDF6ED"/>
    <w:rsid w:val="65C313B8"/>
    <w:rsid w:val="65C4A790"/>
    <w:rsid w:val="65CAAD6E"/>
    <w:rsid w:val="65D31593"/>
    <w:rsid w:val="65D3F4F5"/>
    <w:rsid w:val="65D74A40"/>
    <w:rsid w:val="65E02CD2"/>
    <w:rsid w:val="65E5373B"/>
    <w:rsid w:val="65E90E9B"/>
    <w:rsid w:val="65E9DE3A"/>
    <w:rsid w:val="65ED5329"/>
    <w:rsid w:val="660B7DCE"/>
    <w:rsid w:val="6621046E"/>
    <w:rsid w:val="662EAB98"/>
    <w:rsid w:val="663118E1"/>
    <w:rsid w:val="6633489B"/>
    <w:rsid w:val="663A6D34"/>
    <w:rsid w:val="663C5E1C"/>
    <w:rsid w:val="664A6E98"/>
    <w:rsid w:val="664C7EF5"/>
    <w:rsid w:val="6658E545"/>
    <w:rsid w:val="6667C070"/>
    <w:rsid w:val="668B362C"/>
    <w:rsid w:val="668DA73A"/>
    <w:rsid w:val="66910EDC"/>
    <w:rsid w:val="6699C18C"/>
    <w:rsid w:val="66A276F8"/>
    <w:rsid w:val="66A9326B"/>
    <w:rsid w:val="66B8F620"/>
    <w:rsid w:val="66BF2EC8"/>
    <w:rsid w:val="66C1B8CF"/>
    <w:rsid w:val="66C1F72B"/>
    <w:rsid w:val="66C24477"/>
    <w:rsid w:val="66D8C667"/>
    <w:rsid w:val="66D9D236"/>
    <w:rsid w:val="66E3C9D6"/>
    <w:rsid w:val="66F63893"/>
    <w:rsid w:val="66FBA0A5"/>
    <w:rsid w:val="66FC5FA8"/>
    <w:rsid w:val="66FE9466"/>
    <w:rsid w:val="6702A01C"/>
    <w:rsid w:val="6709333B"/>
    <w:rsid w:val="670BB383"/>
    <w:rsid w:val="670C306A"/>
    <w:rsid w:val="67176AF2"/>
    <w:rsid w:val="6728C706"/>
    <w:rsid w:val="672AF82A"/>
    <w:rsid w:val="673DEAB8"/>
    <w:rsid w:val="673FFA81"/>
    <w:rsid w:val="674B49BA"/>
    <w:rsid w:val="674E44D7"/>
    <w:rsid w:val="675D2E0E"/>
    <w:rsid w:val="675EB8BE"/>
    <w:rsid w:val="677111BA"/>
    <w:rsid w:val="67764F11"/>
    <w:rsid w:val="677C2AAB"/>
    <w:rsid w:val="6782074A"/>
    <w:rsid w:val="67842D4C"/>
    <w:rsid w:val="678D3905"/>
    <w:rsid w:val="67905CA2"/>
    <w:rsid w:val="6793D243"/>
    <w:rsid w:val="679DBDAE"/>
    <w:rsid w:val="67A2B6B0"/>
    <w:rsid w:val="67A90377"/>
    <w:rsid w:val="67AC92BC"/>
    <w:rsid w:val="67C7816A"/>
    <w:rsid w:val="67CE5E77"/>
    <w:rsid w:val="67D57F09"/>
    <w:rsid w:val="67EB1D41"/>
    <w:rsid w:val="67F1F44D"/>
    <w:rsid w:val="6807577D"/>
    <w:rsid w:val="680C1E71"/>
    <w:rsid w:val="6814E052"/>
    <w:rsid w:val="6815F191"/>
    <w:rsid w:val="683D4B2B"/>
    <w:rsid w:val="68461C8A"/>
    <w:rsid w:val="6851BF78"/>
    <w:rsid w:val="68525BD1"/>
    <w:rsid w:val="685972CF"/>
    <w:rsid w:val="685A5434"/>
    <w:rsid w:val="685CADFE"/>
    <w:rsid w:val="685CBC16"/>
    <w:rsid w:val="685DC78C"/>
    <w:rsid w:val="6861D890"/>
    <w:rsid w:val="68658BCD"/>
    <w:rsid w:val="686B37AC"/>
    <w:rsid w:val="686BF1B1"/>
    <w:rsid w:val="687312E1"/>
    <w:rsid w:val="687463F7"/>
    <w:rsid w:val="6875E047"/>
    <w:rsid w:val="6886226F"/>
    <w:rsid w:val="68871E47"/>
    <w:rsid w:val="68900EAE"/>
    <w:rsid w:val="6892C82B"/>
    <w:rsid w:val="68A92CD1"/>
    <w:rsid w:val="68ACA285"/>
    <w:rsid w:val="68B0C10E"/>
    <w:rsid w:val="68C5EAA8"/>
    <w:rsid w:val="68D27FEC"/>
    <w:rsid w:val="68D8F845"/>
    <w:rsid w:val="68DC38E0"/>
    <w:rsid w:val="68E40C3C"/>
    <w:rsid w:val="68E4C11D"/>
    <w:rsid w:val="68FFE5C3"/>
    <w:rsid w:val="69001F7E"/>
    <w:rsid w:val="6900D6DA"/>
    <w:rsid w:val="69081E30"/>
    <w:rsid w:val="690BACFD"/>
    <w:rsid w:val="690CB70A"/>
    <w:rsid w:val="691FE473"/>
    <w:rsid w:val="692E4158"/>
    <w:rsid w:val="6935966B"/>
    <w:rsid w:val="693749B9"/>
    <w:rsid w:val="69383C4F"/>
    <w:rsid w:val="69385198"/>
    <w:rsid w:val="69468B8B"/>
    <w:rsid w:val="694FF055"/>
    <w:rsid w:val="69519C55"/>
    <w:rsid w:val="695EF2DC"/>
    <w:rsid w:val="695F45CC"/>
    <w:rsid w:val="6968C930"/>
    <w:rsid w:val="696B8D29"/>
    <w:rsid w:val="69704C9F"/>
    <w:rsid w:val="697498AD"/>
    <w:rsid w:val="69822AC7"/>
    <w:rsid w:val="698D6F9A"/>
    <w:rsid w:val="69938481"/>
    <w:rsid w:val="69B57EBB"/>
    <w:rsid w:val="69C3739F"/>
    <w:rsid w:val="69D2F34A"/>
    <w:rsid w:val="69D82764"/>
    <w:rsid w:val="69DEF032"/>
    <w:rsid w:val="69E1DB95"/>
    <w:rsid w:val="69EB1F9D"/>
    <w:rsid w:val="69F42153"/>
    <w:rsid w:val="69FEB86D"/>
    <w:rsid w:val="6A0847CD"/>
    <w:rsid w:val="6A0BB3A8"/>
    <w:rsid w:val="6A1765B9"/>
    <w:rsid w:val="6A22B930"/>
    <w:rsid w:val="6A362F45"/>
    <w:rsid w:val="6A3CB551"/>
    <w:rsid w:val="6A4532A5"/>
    <w:rsid w:val="6A4656FA"/>
    <w:rsid w:val="6A4AEE37"/>
    <w:rsid w:val="6A4D9319"/>
    <w:rsid w:val="6A666A6B"/>
    <w:rsid w:val="6A71D0AE"/>
    <w:rsid w:val="6A77C92E"/>
    <w:rsid w:val="6A8F0E7D"/>
    <w:rsid w:val="6A9C4C98"/>
    <w:rsid w:val="6AA24459"/>
    <w:rsid w:val="6AA7E674"/>
    <w:rsid w:val="6AC13FD4"/>
    <w:rsid w:val="6AC39D9E"/>
    <w:rsid w:val="6ACE1FCD"/>
    <w:rsid w:val="6ADB5950"/>
    <w:rsid w:val="6ADDE6DE"/>
    <w:rsid w:val="6AED1372"/>
    <w:rsid w:val="6AF17A69"/>
    <w:rsid w:val="6B0B72A0"/>
    <w:rsid w:val="6B0D32DF"/>
    <w:rsid w:val="6B0F6D4F"/>
    <w:rsid w:val="6B12D617"/>
    <w:rsid w:val="6B1AC1C8"/>
    <w:rsid w:val="6B333445"/>
    <w:rsid w:val="6B350A8C"/>
    <w:rsid w:val="6B391984"/>
    <w:rsid w:val="6B43CB22"/>
    <w:rsid w:val="6B45F9DD"/>
    <w:rsid w:val="6B472957"/>
    <w:rsid w:val="6B489ED5"/>
    <w:rsid w:val="6B4A1061"/>
    <w:rsid w:val="6B797EAB"/>
    <w:rsid w:val="6BA1E8E0"/>
    <w:rsid w:val="6BA8683E"/>
    <w:rsid w:val="6BAA1C2B"/>
    <w:rsid w:val="6BB84140"/>
    <w:rsid w:val="6BC6A0DD"/>
    <w:rsid w:val="6BCB2540"/>
    <w:rsid w:val="6BD7D446"/>
    <w:rsid w:val="6BE22D6C"/>
    <w:rsid w:val="6BE303BF"/>
    <w:rsid w:val="6BE8D435"/>
    <w:rsid w:val="6BF4676C"/>
    <w:rsid w:val="6BFF1A58"/>
    <w:rsid w:val="6C01F0E2"/>
    <w:rsid w:val="6C10C5B3"/>
    <w:rsid w:val="6C12F379"/>
    <w:rsid w:val="6C17D307"/>
    <w:rsid w:val="6C24766E"/>
    <w:rsid w:val="6C28129A"/>
    <w:rsid w:val="6C2A03EF"/>
    <w:rsid w:val="6C3CD39E"/>
    <w:rsid w:val="6C3F8776"/>
    <w:rsid w:val="6C44938D"/>
    <w:rsid w:val="6C49C034"/>
    <w:rsid w:val="6C648E1B"/>
    <w:rsid w:val="6C67D2FE"/>
    <w:rsid w:val="6C728E67"/>
    <w:rsid w:val="6C7B8296"/>
    <w:rsid w:val="6C82D0DD"/>
    <w:rsid w:val="6C8D304F"/>
    <w:rsid w:val="6C8ED17F"/>
    <w:rsid w:val="6C8F499B"/>
    <w:rsid w:val="6C96579A"/>
    <w:rsid w:val="6C9D9A28"/>
    <w:rsid w:val="6CA47CBF"/>
    <w:rsid w:val="6CAF33FD"/>
    <w:rsid w:val="6CBA53AA"/>
    <w:rsid w:val="6CC86BB9"/>
    <w:rsid w:val="6CCECF0A"/>
    <w:rsid w:val="6CCFDBB1"/>
    <w:rsid w:val="6CD7BB7A"/>
    <w:rsid w:val="6CD8E623"/>
    <w:rsid w:val="6CE6D754"/>
    <w:rsid w:val="6CEBA563"/>
    <w:rsid w:val="6CED3E58"/>
    <w:rsid w:val="6CFFC8C5"/>
    <w:rsid w:val="6D014123"/>
    <w:rsid w:val="6D10A869"/>
    <w:rsid w:val="6D1C6D44"/>
    <w:rsid w:val="6D1D4B1B"/>
    <w:rsid w:val="6D22C05F"/>
    <w:rsid w:val="6D231849"/>
    <w:rsid w:val="6D2370D1"/>
    <w:rsid w:val="6D2765F9"/>
    <w:rsid w:val="6D2AC0EC"/>
    <w:rsid w:val="6D34F5F6"/>
    <w:rsid w:val="6D3855EC"/>
    <w:rsid w:val="6D38ABFE"/>
    <w:rsid w:val="6D3FE5DF"/>
    <w:rsid w:val="6D400DCA"/>
    <w:rsid w:val="6D496168"/>
    <w:rsid w:val="6D53AD6A"/>
    <w:rsid w:val="6D53E03B"/>
    <w:rsid w:val="6D5D1A44"/>
    <w:rsid w:val="6D5D8B63"/>
    <w:rsid w:val="6D6870C7"/>
    <w:rsid w:val="6D75E215"/>
    <w:rsid w:val="6D7C7908"/>
    <w:rsid w:val="6D8187F4"/>
    <w:rsid w:val="6D8DD7D8"/>
    <w:rsid w:val="6D8F18A4"/>
    <w:rsid w:val="6D923957"/>
    <w:rsid w:val="6D9F3EE0"/>
    <w:rsid w:val="6DB4DEA6"/>
    <w:rsid w:val="6DC69888"/>
    <w:rsid w:val="6DE2D0CC"/>
    <w:rsid w:val="6DEBA9C5"/>
    <w:rsid w:val="6DF8E3DE"/>
    <w:rsid w:val="6E040D05"/>
    <w:rsid w:val="6E0BE7B4"/>
    <w:rsid w:val="6E153AC2"/>
    <w:rsid w:val="6E2E50C0"/>
    <w:rsid w:val="6E314DE2"/>
    <w:rsid w:val="6E398E04"/>
    <w:rsid w:val="6E483C43"/>
    <w:rsid w:val="6E4DC8CB"/>
    <w:rsid w:val="6E502731"/>
    <w:rsid w:val="6E582FE9"/>
    <w:rsid w:val="6E6B67C6"/>
    <w:rsid w:val="6E7A4976"/>
    <w:rsid w:val="6E8C945A"/>
    <w:rsid w:val="6E99FD83"/>
    <w:rsid w:val="6EA0026F"/>
    <w:rsid w:val="6EA9EF23"/>
    <w:rsid w:val="6EADF187"/>
    <w:rsid w:val="6EB25B53"/>
    <w:rsid w:val="6EC2F35C"/>
    <w:rsid w:val="6EC40204"/>
    <w:rsid w:val="6EC9358E"/>
    <w:rsid w:val="6EDA1703"/>
    <w:rsid w:val="6EFDE497"/>
    <w:rsid w:val="6EFE5CCC"/>
    <w:rsid w:val="6F086C04"/>
    <w:rsid w:val="6F0AAEB0"/>
    <w:rsid w:val="6F0D38B4"/>
    <w:rsid w:val="6F11C0D9"/>
    <w:rsid w:val="6F197C58"/>
    <w:rsid w:val="6F205F48"/>
    <w:rsid w:val="6F2695FD"/>
    <w:rsid w:val="6F280D13"/>
    <w:rsid w:val="6F2A36C2"/>
    <w:rsid w:val="6F2DA009"/>
    <w:rsid w:val="6F2F56F3"/>
    <w:rsid w:val="6F308531"/>
    <w:rsid w:val="6F39824A"/>
    <w:rsid w:val="6F406F49"/>
    <w:rsid w:val="6F418718"/>
    <w:rsid w:val="6F474343"/>
    <w:rsid w:val="6F4A272C"/>
    <w:rsid w:val="6F4EECF4"/>
    <w:rsid w:val="6F596222"/>
    <w:rsid w:val="6F60734C"/>
    <w:rsid w:val="6F7D23D4"/>
    <w:rsid w:val="6F852189"/>
    <w:rsid w:val="6F8D3D07"/>
    <w:rsid w:val="6F9C5EEB"/>
    <w:rsid w:val="6F9C8A14"/>
    <w:rsid w:val="6FA03031"/>
    <w:rsid w:val="6FA54D53"/>
    <w:rsid w:val="6FA73374"/>
    <w:rsid w:val="6FAFB172"/>
    <w:rsid w:val="6FB6C1CE"/>
    <w:rsid w:val="6FE362BE"/>
    <w:rsid w:val="6FF27858"/>
    <w:rsid w:val="6FFA310C"/>
    <w:rsid w:val="7005ECAB"/>
    <w:rsid w:val="70112BEC"/>
    <w:rsid w:val="702ED0C5"/>
    <w:rsid w:val="7045EDBA"/>
    <w:rsid w:val="704E6C01"/>
    <w:rsid w:val="70522456"/>
    <w:rsid w:val="7052E551"/>
    <w:rsid w:val="705ADDF1"/>
    <w:rsid w:val="705DDB44"/>
    <w:rsid w:val="706E17E8"/>
    <w:rsid w:val="7086E649"/>
    <w:rsid w:val="7088069A"/>
    <w:rsid w:val="708AF678"/>
    <w:rsid w:val="708E7623"/>
    <w:rsid w:val="70A06912"/>
    <w:rsid w:val="70B708AD"/>
    <w:rsid w:val="70B84BAE"/>
    <w:rsid w:val="70C84BF9"/>
    <w:rsid w:val="70C85890"/>
    <w:rsid w:val="70D575CC"/>
    <w:rsid w:val="7108CA53"/>
    <w:rsid w:val="710FC626"/>
    <w:rsid w:val="7112C0C0"/>
    <w:rsid w:val="7117C8EF"/>
    <w:rsid w:val="713B6F62"/>
    <w:rsid w:val="714A4E50"/>
    <w:rsid w:val="714DACA1"/>
    <w:rsid w:val="7159BB7B"/>
    <w:rsid w:val="715BAF53"/>
    <w:rsid w:val="715E6BEB"/>
    <w:rsid w:val="715FAE46"/>
    <w:rsid w:val="7165EF6F"/>
    <w:rsid w:val="716F1433"/>
    <w:rsid w:val="71785D0E"/>
    <w:rsid w:val="717A0832"/>
    <w:rsid w:val="717B578E"/>
    <w:rsid w:val="717DA565"/>
    <w:rsid w:val="719A1B45"/>
    <w:rsid w:val="71A9C7A9"/>
    <w:rsid w:val="71AA87C9"/>
    <w:rsid w:val="71BA4459"/>
    <w:rsid w:val="71BAD314"/>
    <w:rsid w:val="71C0A42E"/>
    <w:rsid w:val="71C2F6CB"/>
    <w:rsid w:val="71DA419D"/>
    <w:rsid w:val="71EA7A1B"/>
    <w:rsid w:val="71F88C20"/>
    <w:rsid w:val="7200A7A4"/>
    <w:rsid w:val="7206F4F1"/>
    <w:rsid w:val="720D2940"/>
    <w:rsid w:val="72333FAA"/>
    <w:rsid w:val="72368864"/>
    <w:rsid w:val="723F073B"/>
    <w:rsid w:val="724DF0BD"/>
    <w:rsid w:val="72592B8D"/>
    <w:rsid w:val="725CF2DD"/>
    <w:rsid w:val="7260441D"/>
    <w:rsid w:val="7261F24F"/>
    <w:rsid w:val="72660829"/>
    <w:rsid w:val="7287F52E"/>
    <w:rsid w:val="728B2D27"/>
    <w:rsid w:val="728E74A5"/>
    <w:rsid w:val="728E7F66"/>
    <w:rsid w:val="72913424"/>
    <w:rsid w:val="7299C75E"/>
    <w:rsid w:val="729BAE84"/>
    <w:rsid w:val="729E258D"/>
    <w:rsid w:val="729E5D6E"/>
    <w:rsid w:val="729F470F"/>
    <w:rsid w:val="72B23497"/>
    <w:rsid w:val="72B32691"/>
    <w:rsid w:val="72B3B022"/>
    <w:rsid w:val="72B899D1"/>
    <w:rsid w:val="72BDF124"/>
    <w:rsid w:val="72C8E07A"/>
    <w:rsid w:val="72CB0179"/>
    <w:rsid w:val="72CBD223"/>
    <w:rsid w:val="72CCDF57"/>
    <w:rsid w:val="72E00FC0"/>
    <w:rsid w:val="72E4DB54"/>
    <w:rsid w:val="72E75CBD"/>
    <w:rsid w:val="72E75E16"/>
    <w:rsid w:val="72F4A199"/>
    <w:rsid w:val="72F8C263"/>
    <w:rsid w:val="730ECE9C"/>
    <w:rsid w:val="73121718"/>
    <w:rsid w:val="73176C00"/>
    <w:rsid w:val="733695BE"/>
    <w:rsid w:val="73537AB7"/>
    <w:rsid w:val="73564216"/>
    <w:rsid w:val="735AC897"/>
    <w:rsid w:val="7361E355"/>
    <w:rsid w:val="736E3EBA"/>
    <w:rsid w:val="736EE837"/>
    <w:rsid w:val="73873456"/>
    <w:rsid w:val="73880060"/>
    <w:rsid w:val="73892DA0"/>
    <w:rsid w:val="73899342"/>
    <w:rsid w:val="738B9B18"/>
    <w:rsid w:val="738D075F"/>
    <w:rsid w:val="7390A211"/>
    <w:rsid w:val="7391E381"/>
    <w:rsid w:val="73A6E9AE"/>
    <w:rsid w:val="73ABAC09"/>
    <w:rsid w:val="73BEFA46"/>
    <w:rsid w:val="73D226EF"/>
    <w:rsid w:val="73D966BD"/>
    <w:rsid w:val="73E49F67"/>
    <w:rsid w:val="73E67D07"/>
    <w:rsid w:val="73E82723"/>
    <w:rsid w:val="73E8D65B"/>
    <w:rsid w:val="73EBB81D"/>
    <w:rsid w:val="73EEE517"/>
    <w:rsid w:val="74016B5D"/>
    <w:rsid w:val="740A97B6"/>
    <w:rsid w:val="7417E0DB"/>
    <w:rsid w:val="743436C5"/>
    <w:rsid w:val="7436F16D"/>
    <w:rsid w:val="743E41F5"/>
    <w:rsid w:val="743F9B33"/>
    <w:rsid w:val="7446734A"/>
    <w:rsid w:val="7450F89B"/>
    <w:rsid w:val="7454DECC"/>
    <w:rsid w:val="746BA1C2"/>
    <w:rsid w:val="74773509"/>
    <w:rsid w:val="7484AFD8"/>
    <w:rsid w:val="7488C88A"/>
    <w:rsid w:val="749BA712"/>
    <w:rsid w:val="749E8591"/>
    <w:rsid w:val="74A3BD7A"/>
    <w:rsid w:val="74AA62DC"/>
    <w:rsid w:val="74B0D06F"/>
    <w:rsid w:val="74B2F7DA"/>
    <w:rsid w:val="74B3089D"/>
    <w:rsid w:val="74B4EAC5"/>
    <w:rsid w:val="74B582F1"/>
    <w:rsid w:val="74BCDA83"/>
    <w:rsid w:val="74CD5CB4"/>
    <w:rsid w:val="74D0E1E8"/>
    <w:rsid w:val="74DADE8E"/>
    <w:rsid w:val="74DD142C"/>
    <w:rsid w:val="74DDBEA8"/>
    <w:rsid w:val="74DF0AF3"/>
    <w:rsid w:val="74E66A2C"/>
    <w:rsid w:val="74EE521B"/>
    <w:rsid w:val="74F1849B"/>
    <w:rsid w:val="74F1ACE3"/>
    <w:rsid w:val="74F873BC"/>
    <w:rsid w:val="74FC1796"/>
    <w:rsid w:val="75166300"/>
    <w:rsid w:val="752C51F4"/>
    <w:rsid w:val="752F4C32"/>
    <w:rsid w:val="75377DF1"/>
    <w:rsid w:val="75388FEC"/>
    <w:rsid w:val="754007B8"/>
    <w:rsid w:val="7540AD67"/>
    <w:rsid w:val="7547F59B"/>
    <w:rsid w:val="754EA8CD"/>
    <w:rsid w:val="75502575"/>
    <w:rsid w:val="7552686B"/>
    <w:rsid w:val="7552B06A"/>
    <w:rsid w:val="756C2C31"/>
    <w:rsid w:val="756E4F7F"/>
    <w:rsid w:val="756FE59B"/>
    <w:rsid w:val="757C37A3"/>
    <w:rsid w:val="7580C092"/>
    <w:rsid w:val="7584261C"/>
    <w:rsid w:val="759D04F7"/>
    <w:rsid w:val="75A2A1FE"/>
    <w:rsid w:val="75ADBE14"/>
    <w:rsid w:val="75B2615F"/>
    <w:rsid w:val="75BD257C"/>
    <w:rsid w:val="75BEF6D3"/>
    <w:rsid w:val="75C585E2"/>
    <w:rsid w:val="75CAF412"/>
    <w:rsid w:val="75DCB3D1"/>
    <w:rsid w:val="75E22DD0"/>
    <w:rsid w:val="75E25D95"/>
    <w:rsid w:val="75E9C511"/>
    <w:rsid w:val="75EB3A12"/>
    <w:rsid w:val="75F5EBF5"/>
    <w:rsid w:val="75FA119D"/>
    <w:rsid w:val="76126B8F"/>
    <w:rsid w:val="761275A9"/>
    <w:rsid w:val="76143A65"/>
    <w:rsid w:val="76167BC8"/>
    <w:rsid w:val="763671CA"/>
    <w:rsid w:val="76478012"/>
    <w:rsid w:val="764BF67D"/>
    <w:rsid w:val="76610175"/>
    <w:rsid w:val="7667C38D"/>
    <w:rsid w:val="7669780B"/>
    <w:rsid w:val="766C6304"/>
    <w:rsid w:val="766F6346"/>
    <w:rsid w:val="7677682C"/>
    <w:rsid w:val="767E1C15"/>
    <w:rsid w:val="7686599F"/>
    <w:rsid w:val="76994657"/>
    <w:rsid w:val="76AC1BB1"/>
    <w:rsid w:val="76AE74C4"/>
    <w:rsid w:val="76C9AF37"/>
    <w:rsid w:val="76CD1029"/>
    <w:rsid w:val="76CE49A0"/>
    <w:rsid w:val="76D0B893"/>
    <w:rsid w:val="76DF34D0"/>
    <w:rsid w:val="76E73498"/>
    <w:rsid w:val="76F217A0"/>
    <w:rsid w:val="76F8BE7C"/>
    <w:rsid w:val="76F94AC7"/>
    <w:rsid w:val="76FCED54"/>
    <w:rsid w:val="77023FCD"/>
    <w:rsid w:val="7704E241"/>
    <w:rsid w:val="770CEFD5"/>
    <w:rsid w:val="7723E580"/>
    <w:rsid w:val="77289CB7"/>
    <w:rsid w:val="77297026"/>
    <w:rsid w:val="772B6F65"/>
    <w:rsid w:val="773AF33C"/>
    <w:rsid w:val="77417772"/>
    <w:rsid w:val="775D69C1"/>
    <w:rsid w:val="77645A2D"/>
    <w:rsid w:val="7769770E"/>
    <w:rsid w:val="778A93BE"/>
    <w:rsid w:val="7790C9C3"/>
    <w:rsid w:val="77A7C7AA"/>
    <w:rsid w:val="77AC9E11"/>
    <w:rsid w:val="77B99A6C"/>
    <w:rsid w:val="77C731EE"/>
    <w:rsid w:val="77C8BB79"/>
    <w:rsid w:val="77D0EEEF"/>
    <w:rsid w:val="77E90618"/>
    <w:rsid w:val="77F5F14B"/>
    <w:rsid w:val="77FD27E5"/>
    <w:rsid w:val="77FDF22E"/>
    <w:rsid w:val="77FF7DB6"/>
    <w:rsid w:val="7808406C"/>
    <w:rsid w:val="781A1149"/>
    <w:rsid w:val="781AA540"/>
    <w:rsid w:val="78220840"/>
    <w:rsid w:val="782F840F"/>
    <w:rsid w:val="7838C082"/>
    <w:rsid w:val="783DE5CD"/>
    <w:rsid w:val="783FD23A"/>
    <w:rsid w:val="784A84B6"/>
    <w:rsid w:val="7857929B"/>
    <w:rsid w:val="78618473"/>
    <w:rsid w:val="786C0B86"/>
    <w:rsid w:val="78725C7E"/>
    <w:rsid w:val="787D2D1C"/>
    <w:rsid w:val="78809BE2"/>
    <w:rsid w:val="78888A17"/>
    <w:rsid w:val="7890C1E9"/>
    <w:rsid w:val="7894BBA7"/>
    <w:rsid w:val="7898FFDB"/>
    <w:rsid w:val="789E259D"/>
    <w:rsid w:val="78A29AEC"/>
    <w:rsid w:val="78A29EA0"/>
    <w:rsid w:val="78A60076"/>
    <w:rsid w:val="78A82894"/>
    <w:rsid w:val="78A91BDD"/>
    <w:rsid w:val="78ACDB04"/>
    <w:rsid w:val="78AFFEC7"/>
    <w:rsid w:val="78C1641B"/>
    <w:rsid w:val="78DD9B6F"/>
    <w:rsid w:val="78DF378E"/>
    <w:rsid w:val="78E1464E"/>
    <w:rsid w:val="78FAD0D0"/>
    <w:rsid w:val="78FB90B6"/>
    <w:rsid w:val="78FFC0B8"/>
    <w:rsid w:val="790C5643"/>
    <w:rsid w:val="790D2C46"/>
    <w:rsid w:val="79114AA7"/>
    <w:rsid w:val="79116BF9"/>
    <w:rsid w:val="791B2BC5"/>
    <w:rsid w:val="792D4ABC"/>
    <w:rsid w:val="793568EB"/>
    <w:rsid w:val="793C4531"/>
    <w:rsid w:val="793F9E34"/>
    <w:rsid w:val="794086B2"/>
    <w:rsid w:val="794BBBB4"/>
    <w:rsid w:val="7966C5B2"/>
    <w:rsid w:val="798808F0"/>
    <w:rsid w:val="798D055F"/>
    <w:rsid w:val="798DC77A"/>
    <w:rsid w:val="7991450A"/>
    <w:rsid w:val="7994DB0E"/>
    <w:rsid w:val="799807E8"/>
    <w:rsid w:val="79ACE638"/>
    <w:rsid w:val="79B4E89E"/>
    <w:rsid w:val="79BC84BF"/>
    <w:rsid w:val="79BEF40F"/>
    <w:rsid w:val="79C2368D"/>
    <w:rsid w:val="79C28EAF"/>
    <w:rsid w:val="79E44BAD"/>
    <w:rsid w:val="7A017638"/>
    <w:rsid w:val="7A050FFE"/>
    <w:rsid w:val="7A116F5E"/>
    <w:rsid w:val="7A120181"/>
    <w:rsid w:val="7A148092"/>
    <w:rsid w:val="7A23A55E"/>
    <w:rsid w:val="7A365C81"/>
    <w:rsid w:val="7A565876"/>
    <w:rsid w:val="7A5A8FFD"/>
    <w:rsid w:val="7A5CB859"/>
    <w:rsid w:val="7A5E03FB"/>
    <w:rsid w:val="7A64BF88"/>
    <w:rsid w:val="7A680E61"/>
    <w:rsid w:val="7A6B7701"/>
    <w:rsid w:val="7A71F2CD"/>
    <w:rsid w:val="7A7990CC"/>
    <w:rsid w:val="7A818253"/>
    <w:rsid w:val="7A97C6E0"/>
    <w:rsid w:val="7A993868"/>
    <w:rsid w:val="7A9DECDC"/>
    <w:rsid w:val="7AACB2C3"/>
    <w:rsid w:val="7AAD7E10"/>
    <w:rsid w:val="7ACCC58F"/>
    <w:rsid w:val="7ADAD0C8"/>
    <w:rsid w:val="7AE40A72"/>
    <w:rsid w:val="7B059D09"/>
    <w:rsid w:val="7B0A4104"/>
    <w:rsid w:val="7B0FCD3B"/>
    <w:rsid w:val="7B28F5B0"/>
    <w:rsid w:val="7B2F629E"/>
    <w:rsid w:val="7B3B4CF4"/>
    <w:rsid w:val="7B472230"/>
    <w:rsid w:val="7B53558E"/>
    <w:rsid w:val="7B559EC4"/>
    <w:rsid w:val="7B5AAB39"/>
    <w:rsid w:val="7B5F5578"/>
    <w:rsid w:val="7B6031E6"/>
    <w:rsid w:val="7B69FE7F"/>
    <w:rsid w:val="7B6AB783"/>
    <w:rsid w:val="7B7A508C"/>
    <w:rsid w:val="7B93DADE"/>
    <w:rsid w:val="7B95DE53"/>
    <w:rsid w:val="7B97288A"/>
    <w:rsid w:val="7B97BF86"/>
    <w:rsid w:val="7BA55398"/>
    <w:rsid w:val="7BA5CF5B"/>
    <w:rsid w:val="7BCC4BB0"/>
    <w:rsid w:val="7BE2A526"/>
    <w:rsid w:val="7BF6A578"/>
    <w:rsid w:val="7BF7A553"/>
    <w:rsid w:val="7BF80970"/>
    <w:rsid w:val="7BF88FA2"/>
    <w:rsid w:val="7BF97529"/>
    <w:rsid w:val="7BFB2A1E"/>
    <w:rsid w:val="7C027FB9"/>
    <w:rsid w:val="7C0666A0"/>
    <w:rsid w:val="7C0B4646"/>
    <w:rsid w:val="7C14CE7A"/>
    <w:rsid w:val="7C21F7C6"/>
    <w:rsid w:val="7C392C7C"/>
    <w:rsid w:val="7C425BC0"/>
    <w:rsid w:val="7C43CF05"/>
    <w:rsid w:val="7C5AC8CF"/>
    <w:rsid w:val="7C6ACE64"/>
    <w:rsid w:val="7C6C1625"/>
    <w:rsid w:val="7C6E03EC"/>
    <w:rsid w:val="7C7FDF26"/>
    <w:rsid w:val="7C8A83A0"/>
    <w:rsid w:val="7C96866C"/>
    <w:rsid w:val="7CAC6A5E"/>
    <w:rsid w:val="7CBB39C0"/>
    <w:rsid w:val="7CC2C084"/>
    <w:rsid w:val="7CCCD77F"/>
    <w:rsid w:val="7CCE1C28"/>
    <w:rsid w:val="7CCED624"/>
    <w:rsid w:val="7CD034BA"/>
    <w:rsid w:val="7CDD96BB"/>
    <w:rsid w:val="7CF74AC6"/>
    <w:rsid w:val="7CFA3BF5"/>
    <w:rsid w:val="7CFB54A8"/>
    <w:rsid w:val="7CFBB68A"/>
    <w:rsid w:val="7CFC0BA3"/>
    <w:rsid w:val="7CFCB997"/>
    <w:rsid w:val="7D001882"/>
    <w:rsid w:val="7D080E1C"/>
    <w:rsid w:val="7D0CB29F"/>
    <w:rsid w:val="7D14C801"/>
    <w:rsid w:val="7D197E69"/>
    <w:rsid w:val="7D20CCF5"/>
    <w:rsid w:val="7D2922CE"/>
    <w:rsid w:val="7D2B1BED"/>
    <w:rsid w:val="7D2D2C72"/>
    <w:rsid w:val="7D302D55"/>
    <w:rsid w:val="7D3EE741"/>
    <w:rsid w:val="7D439A4E"/>
    <w:rsid w:val="7D496183"/>
    <w:rsid w:val="7D4C3030"/>
    <w:rsid w:val="7D50482D"/>
    <w:rsid w:val="7D5461BD"/>
    <w:rsid w:val="7D67926B"/>
    <w:rsid w:val="7D6DB1C2"/>
    <w:rsid w:val="7D70F471"/>
    <w:rsid w:val="7D87D75A"/>
    <w:rsid w:val="7D88633D"/>
    <w:rsid w:val="7D8B02E2"/>
    <w:rsid w:val="7D9D9D7C"/>
    <w:rsid w:val="7D9DBC97"/>
    <w:rsid w:val="7D9FBBF2"/>
    <w:rsid w:val="7DB0D1A6"/>
    <w:rsid w:val="7DBD106B"/>
    <w:rsid w:val="7DC5D8A4"/>
    <w:rsid w:val="7DCD551C"/>
    <w:rsid w:val="7DCFFD05"/>
    <w:rsid w:val="7DD30B33"/>
    <w:rsid w:val="7DEA2F41"/>
    <w:rsid w:val="7DF7047B"/>
    <w:rsid w:val="7DFB04DE"/>
    <w:rsid w:val="7DFCB03B"/>
    <w:rsid w:val="7DFE7AAA"/>
    <w:rsid w:val="7E08AAF4"/>
    <w:rsid w:val="7E0C1A62"/>
    <w:rsid w:val="7E1AFB85"/>
    <w:rsid w:val="7E20662A"/>
    <w:rsid w:val="7E26E29D"/>
    <w:rsid w:val="7E2A4870"/>
    <w:rsid w:val="7E4805A9"/>
    <w:rsid w:val="7E5C2A6C"/>
    <w:rsid w:val="7E643317"/>
    <w:rsid w:val="7E77ED34"/>
    <w:rsid w:val="7E7EB701"/>
    <w:rsid w:val="7E7FFDE1"/>
    <w:rsid w:val="7E82945F"/>
    <w:rsid w:val="7E8CD793"/>
    <w:rsid w:val="7E9387E8"/>
    <w:rsid w:val="7E969193"/>
    <w:rsid w:val="7EA17DD3"/>
    <w:rsid w:val="7EA2A48C"/>
    <w:rsid w:val="7EB24C9E"/>
    <w:rsid w:val="7EB59A57"/>
    <w:rsid w:val="7ECB4333"/>
    <w:rsid w:val="7ECECED3"/>
    <w:rsid w:val="7ECFC7BD"/>
    <w:rsid w:val="7ED225E3"/>
    <w:rsid w:val="7EDE7C1C"/>
    <w:rsid w:val="7EE267EB"/>
    <w:rsid w:val="7EEF177E"/>
    <w:rsid w:val="7EF519B2"/>
    <w:rsid w:val="7EF7E1AA"/>
    <w:rsid w:val="7EF9436B"/>
    <w:rsid w:val="7F183DEA"/>
    <w:rsid w:val="7F1944E4"/>
    <w:rsid w:val="7F1AD87B"/>
    <w:rsid w:val="7F48AD39"/>
    <w:rsid w:val="7F4CE870"/>
    <w:rsid w:val="7F4DB096"/>
    <w:rsid w:val="7F533C81"/>
    <w:rsid w:val="7F55CD32"/>
    <w:rsid w:val="7F5FEAF3"/>
    <w:rsid w:val="7F67467B"/>
    <w:rsid w:val="7F67F40B"/>
    <w:rsid w:val="7F6CA3A3"/>
    <w:rsid w:val="7F729D0F"/>
    <w:rsid w:val="7F80D563"/>
    <w:rsid w:val="7F85BCF1"/>
    <w:rsid w:val="7F8F0940"/>
    <w:rsid w:val="7FA09A66"/>
    <w:rsid w:val="7FA13B77"/>
    <w:rsid w:val="7FAB4CFB"/>
    <w:rsid w:val="7FAD4D20"/>
    <w:rsid w:val="7FBB6F4D"/>
    <w:rsid w:val="7FBF964B"/>
    <w:rsid w:val="7FD38544"/>
    <w:rsid w:val="7FD3FF3E"/>
    <w:rsid w:val="7FD51AF6"/>
    <w:rsid w:val="7FDEBFE4"/>
    <w:rsid w:val="7FF3DB90"/>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0EF4F"/>
  <w15:docId w15:val="{E9E4B6F8-FBAC-4A0A-A4B9-B3A27C7C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455"/>
    <w:rPr>
      <w:rFonts w:ascii="Cambria" w:hAnsi="Cambria"/>
      <w:lang w:eastAsia="en-US"/>
    </w:rPr>
  </w:style>
  <w:style w:type="paragraph" w:styleId="Heading1">
    <w:name w:val="heading 1"/>
    <w:next w:val="DHHSbody"/>
    <w:link w:val="Heading1Char"/>
    <w:uiPriority w:val="9"/>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9"/>
    <w:qFormat/>
    <w:rsid w:val="00032BA9"/>
    <w:pPr>
      <w:keepNext/>
      <w:keepLines/>
      <w:spacing w:before="240" w:after="90" w:line="320" w:lineRule="atLeast"/>
      <w:outlineLvl w:val="1"/>
    </w:pPr>
    <w:rPr>
      <w:rFonts w:ascii="Arial" w:hAnsi="Arial"/>
      <w:b/>
      <w:color w:val="004EA8"/>
      <w:sz w:val="32"/>
      <w:szCs w:val="28"/>
      <w:lang w:eastAsia="en-US"/>
    </w:rPr>
  </w:style>
  <w:style w:type="paragraph" w:styleId="Heading3">
    <w:name w:val="heading 3"/>
    <w:next w:val="DHHSbody"/>
    <w:link w:val="Heading3Char"/>
    <w:uiPriority w:val="9"/>
    <w:qFormat/>
    <w:rsid w:val="00032BA9"/>
    <w:pPr>
      <w:keepNext/>
      <w:keepLines/>
      <w:spacing w:before="280" w:after="120" w:line="280" w:lineRule="atLeast"/>
      <w:outlineLvl w:val="2"/>
    </w:pPr>
    <w:rPr>
      <w:rFonts w:ascii="Arial" w:eastAsia="MS Gothic" w:hAnsi="Arial"/>
      <w:bCs/>
      <w:sz w:val="30"/>
      <w:szCs w:val="26"/>
      <w:lang w:eastAsia="en-US"/>
    </w:rPr>
  </w:style>
  <w:style w:type="paragraph" w:styleId="Heading4">
    <w:name w:val="heading 4"/>
    <w:next w:val="DHHSbody"/>
    <w:link w:val="Heading4Char"/>
    <w:uiPriority w:val="9"/>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3241"/>
    <w:rPr>
      <w:rFonts w:ascii="Arial" w:hAnsi="Arial"/>
      <w:bCs/>
      <w:color w:val="004EA8"/>
      <w:sz w:val="44"/>
      <w:szCs w:val="44"/>
      <w:lang w:eastAsia="en-US"/>
    </w:rPr>
  </w:style>
  <w:style w:type="character" w:customStyle="1" w:styleId="Heading2Char">
    <w:name w:val="Heading 2 Char"/>
    <w:link w:val="Heading2"/>
    <w:uiPriority w:val="9"/>
    <w:rsid w:val="00032BA9"/>
    <w:rPr>
      <w:rFonts w:ascii="Arial" w:hAnsi="Arial"/>
      <w:b/>
      <w:color w:val="004EA8"/>
      <w:sz w:val="32"/>
      <w:szCs w:val="28"/>
      <w:lang w:eastAsia="en-US"/>
    </w:rPr>
  </w:style>
  <w:style w:type="character" w:customStyle="1" w:styleId="Heading3Char">
    <w:name w:val="Heading 3 Char"/>
    <w:link w:val="Heading3"/>
    <w:uiPriority w:val="9"/>
    <w:rsid w:val="00032BA9"/>
    <w:rPr>
      <w:rFonts w:ascii="Arial" w:eastAsia="MS Gothic" w:hAnsi="Arial"/>
      <w:bCs/>
      <w:sz w:val="30"/>
      <w:szCs w:val="26"/>
      <w:lang w:eastAsia="en-US"/>
    </w:rPr>
  </w:style>
  <w:style w:type="character" w:customStyle="1" w:styleId="Heading4Char">
    <w:name w:val="Heading 4 Char"/>
    <w:link w:val="Heading4"/>
    <w:uiPriority w:val="9"/>
    <w:rsid w:val="00EE6CD3"/>
    <w:rPr>
      <w:rFonts w:ascii="Arial" w:eastAsia="MS Mincho" w:hAnsi="Arial" w:cs="Times New Roman"/>
      <w:b/>
      <w:bCs/>
    </w:rPr>
  </w:style>
  <w:style w:type="paragraph" w:styleId="Header">
    <w:name w:val="header"/>
    <w:basedOn w:val="DHHSheader"/>
    <w:link w:val="HeaderChar"/>
    <w:uiPriority w:val="99"/>
    <w:rsid w:val="00D7458D"/>
    <w:rPr>
      <w:color w:val="53565A"/>
    </w:rPr>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0D0B9B"/>
    <w:pPr>
      <w:keepNext/>
      <w:keepLines/>
      <w:tabs>
        <w:tab w:val="right" w:leader="dot" w:pos="9299"/>
      </w:tabs>
      <w:spacing w:before="160" w:after="60" w:line="270" w:lineRule="atLeast"/>
      <w:ind w:right="680"/>
    </w:pPr>
    <w:rPr>
      <w:rFonts w:ascii="Arial" w:hAnsi="Arial"/>
      <w:b/>
      <w:noProof/>
      <w:sz w:val="21"/>
    </w:rPr>
  </w:style>
  <w:style w:type="paragraph" w:styleId="TOC2">
    <w:name w:val="toc 2"/>
    <w:basedOn w:val="Normal"/>
    <w:next w:val="Normal"/>
    <w:uiPriority w:val="39"/>
    <w:rsid w:val="000D0B9B"/>
    <w:pPr>
      <w:keepNext/>
      <w:keepLines/>
      <w:tabs>
        <w:tab w:val="right" w:leader="dot" w:pos="9299"/>
      </w:tabs>
      <w:spacing w:after="60" w:line="270" w:lineRule="atLeast"/>
      <w:ind w:right="680"/>
    </w:pPr>
    <w:rPr>
      <w:rFonts w:ascii="Arial" w:hAnsi="Arial"/>
      <w:noProof/>
      <w:sz w:val="21"/>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3"/>
      </w:numPr>
      <w:tabs>
        <w:tab w:val="clear" w:pos="397"/>
        <w:tab w:val="num" w:pos="360"/>
      </w:tabs>
      <w:ind w:left="0" w:firstLine="0"/>
    </w:pPr>
  </w:style>
  <w:style w:type="paragraph" w:customStyle="1" w:styleId="DHHSnumberloweralphaindent">
    <w:name w:val="DHHS number lower alpha indent"/>
    <w:basedOn w:val="DHHSbody"/>
    <w:uiPriority w:val="3"/>
    <w:rsid w:val="00CF7CB6"/>
    <w:pPr>
      <w:numPr>
        <w:ilvl w:val="3"/>
        <w:numId w:val="3"/>
      </w:numPr>
      <w:tabs>
        <w:tab w:val="clear" w:pos="794"/>
        <w:tab w:val="num" w:pos="360"/>
      </w:tabs>
      <w:ind w:left="0" w:firstLine="0"/>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tabs>
        <w:tab w:val="num" w:pos="397"/>
      </w:tabs>
      <w:spacing w:after="40"/>
      <w:ind w:left="2520" w:hanging="283"/>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tabs>
        <w:tab w:val="clear" w:pos="681"/>
        <w:tab w:val="num" w:pos="360"/>
        <w:tab w:val="num" w:pos="397"/>
      </w:tabs>
      <w:ind w:left="0" w:firstLine="0"/>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numId w:val="0"/>
      </w:numPr>
      <w:tabs>
        <w:tab w:val="num" w:pos="794"/>
      </w:tabs>
      <w:spacing w:after="120"/>
      <w:ind w:left="2520" w:hanging="397"/>
    </w:pPr>
  </w:style>
  <w:style w:type="paragraph" w:customStyle="1" w:styleId="DHHSbullet2lastline">
    <w:name w:val="DHHS bullet 2 last line"/>
    <w:basedOn w:val="DHHSbullet2"/>
    <w:uiPriority w:val="2"/>
    <w:qFormat/>
    <w:rsid w:val="00CF7CB6"/>
    <w:pPr>
      <w:spacing w:after="120"/>
      <w:ind w:left="3240"/>
    </w:pPr>
  </w:style>
  <w:style w:type="paragraph" w:customStyle="1" w:styleId="DHHStablebullet">
    <w:name w:val="DHHS table bullet"/>
    <w:basedOn w:val="DHHStabletext"/>
    <w:uiPriority w:val="3"/>
    <w:qFormat/>
    <w:rsid w:val="00CF7CB6"/>
    <w:pPr>
      <w:numPr>
        <w:ilvl w:val="6"/>
        <w:numId w:val="3"/>
      </w:numPr>
      <w:tabs>
        <w:tab w:val="num" w:pos="360"/>
      </w:tabs>
    </w:pPr>
  </w:style>
  <w:style w:type="paragraph" w:customStyle="1" w:styleId="TOCheadingreport">
    <w:name w:val="TOC heading report"/>
    <w:basedOn w:val="Heading1"/>
    <w:link w:val="TOCheadingreportChar"/>
    <w:uiPriority w:val="5"/>
    <w:rsid w:val="00636934"/>
    <w:pPr>
      <w:spacing w:before="0"/>
      <w:outlineLvl w:val="9"/>
    </w:pPr>
  </w:style>
  <w:style w:type="character" w:customStyle="1" w:styleId="TOCheadingreportChar">
    <w:name w:val="TOC heading report Char"/>
    <w:link w:val="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3"/>
      </w:numPr>
      <w:tabs>
        <w:tab w:val="clear" w:pos="397"/>
        <w:tab w:val="num" w:pos="360"/>
      </w:tabs>
      <w:ind w:left="0" w:firstLine="0"/>
    </w:pPr>
  </w:style>
  <w:style w:type="paragraph" w:customStyle="1" w:styleId="DHHSnumberlowerromanindent">
    <w:name w:val="DHHS number lower roman indent"/>
    <w:basedOn w:val="DHHSbody"/>
    <w:uiPriority w:val="3"/>
    <w:rsid w:val="00CF7CB6"/>
    <w:pPr>
      <w:numPr>
        <w:ilvl w:val="5"/>
        <w:numId w:val="3"/>
      </w:numPr>
      <w:tabs>
        <w:tab w:val="clear" w:pos="794"/>
        <w:tab w:val="num" w:pos="360"/>
      </w:tabs>
      <w:ind w:left="0" w:firstLine="0"/>
    </w:pPr>
  </w:style>
  <w:style w:type="paragraph" w:customStyle="1" w:styleId="DHHSnumberdigitindent">
    <w:name w:val="DHHS number digit indent"/>
    <w:basedOn w:val="DHHSnumberloweralphaindent"/>
    <w:uiPriority w:val="3"/>
    <w:rsid w:val="00CF7CB6"/>
    <w:pPr>
      <w:numPr>
        <w:ilvl w:val="1"/>
      </w:numPr>
      <w:tabs>
        <w:tab w:val="clear" w:pos="794"/>
        <w:tab w:val="num" w:pos="360"/>
      </w:tabs>
      <w:ind w:left="0" w:firstLine="0"/>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F8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4"/>
    <w:rPr>
      <w:rFonts w:ascii="Segoe UI" w:hAnsi="Segoe UI" w:cs="Segoe UI"/>
      <w:sz w:val="18"/>
      <w:szCs w:val="18"/>
      <w:lang w:eastAsia="en-US"/>
    </w:rPr>
  </w:style>
  <w:style w:type="character" w:customStyle="1" w:styleId="normaltextrun">
    <w:name w:val="normaltextrun"/>
    <w:basedOn w:val="DefaultParagraphFont"/>
    <w:rsid w:val="00381B2F"/>
  </w:style>
  <w:style w:type="character" w:customStyle="1" w:styleId="FootnoteTextChar">
    <w:name w:val="Footnote Text Char"/>
    <w:basedOn w:val="DefaultParagraphFont"/>
    <w:link w:val="FootnoteText"/>
    <w:uiPriority w:val="99"/>
    <w:rsid w:val="00381B2F"/>
    <w:rPr>
      <w:rFonts w:ascii="Arial" w:eastAsia="MS Gothic" w:hAnsi="Arial" w:cs="Arial"/>
      <w:sz w:val="16"/>
      <w:szCs w:val="16"/>
      <w:lang w:eastAsia="en-US"/>
    </w:rPr>
  </w:style>
  <w:style w:type="paragraph" w:customStyle="1" w:styleId="paragraph">
    <w:name w:val="paragraph"/>
    <w:basedOn w:val="Normal"/>
    <w:rsid w:val="00381B2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381B2F"/>
  </w:style>
  <w:style w:type="paragraph" w:styleId="ListParagraph">
    <w:name w:val="List Paragraph"/>
    <w:basedOn w:val="Normal"/>
    <w:uiPriority w:val="34"/>
    <w:qFormat/>
    <w:rsid w:val="00381B2F"/>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458D"/>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381B2F"/>
    <w:rPr>
      <w:rFonts w:ascii="Arial" w:hAnsi="Arial" w:cs="Arial"/>
      <w:sz w:val="18"/>
      <w:szCs w:val="18"/>
      <w:lang w:eastAsia="en-US"/>
    </w:rPr>
  </w:style>
  <w:style w:type="character" w:styleId="CommentReference">
    <w:name w:val="annotation reference"/>
    <w:basedOn w:val="DefaultParagraphFont"/>
    <w:uiPriority w:val="99"/>
    <w:semiHidden/>
    <w:unhideWhenUsed/>
    <w:rsid w:val="00381B2F"/>
    <w:rPr>
      <w:sz w:val="16"/>
      <w:szCs w:val="16"/>
    </w:rPr>
  </w:style>
  <w:style w:type="paragraph" w:styleId="CommentText">
    <w:name w:val="annotation text"/>
    <w:basedOn w:val="Normal"/>
    <w:link w:val="CommentTextChar"/>
    <w:uiPriority w:val="99"/>
    <w:unhideWhenUsed/>
    <w:rsid w:val="00381B2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81B2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81B2F"/>
    <w:rPr>
      <w:b/>
      <w:bCs/>
    </w:rPr>
  </w:style>
  <w:style w:type="character" w:customStyle="1" w:styleId="CommentSubjectChar">
    <w:name w:val="Comment Subject Char"/>
    <w:basedOn w:val="CommentTextChar"/>
    <w:link w:val="CommentSubject"/>
    <w:uiPriority w:val="99"/>
    <w:semiHidden/>
    <w:rsid w:val="00381B2F"/>
    <w:rPr>
      <w:rFonts w:asciiTheme="minorHAnsi" w:eastAsiaTheme="minorHAnsi" w:hAnsiTheme="minorHAnsi" w:cstheme="minorBidi"/>
      <w:b/>
      <w:bCs/>
      <w:lang w:eastAsia="en-US"/>
    </w:rPr>
  </w:style>
  <w:style w:type="character" w:styleId="Mention">
    <w:name w:val="Mention"/>
    <w:basedOn w:val="DefaultParagraphFont"/>
    <w:uiPriority w:val="99"/>
    <w:unhideWhenUsed/>
    <w:rsid w:val="00381B2F"/>
    <w:rPr>
      <w:color w:val="2B579A"/>
      <w:shd w:val="clear" w:color="auto" w:fill="E6E6E6"/>
    </w:rPr>
  </w:style>
  <w:style w:type="character" w:styleId="UnresolvedMention">
    <w:name w:val="Unresolved Mention"/>
    <w:basedOn w:val="DefaultParagraphFont"/>
    <w:uiPriority w:val="99"/>
    <w:unhideWhenUsed/>
    <w:rsid w:val="00381B2F"/>
    <w:rPr>
      <w:color w:val="605E5C"/>
      <w:shd w:val="clear" w:color="auto" w:fill="E1DFDD"/>
    </w:rPr>
  </w:style>
  <w:style w:type="paragraph" w:styleId="Revision">
    <w:name w:val="Revision"/>
    <w:hidden/>
    <w:uiPriority w:val="99"/>
    <w:semiHidden/>
    <w:rsid w:val="00381B2F"/>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381B2F"/>
    <w:pPr>
      <w:spacing w:before="100" w:beforeAutospacing="1" w:after="100" w:afterAutospacing="1"/>
    </w:pPr>
    <w:rPr>
      <w:rFonts w:ascii="Times New Roman" w:hAnsi="Times New Roman"/>
      <w:sz w:val="24"/>
      <w:szCs w:val="24"/>
      <w:lang w:eastAsia="en-AU"/>
    </w:rPr>
  </w:style>
  <w:style w:type="character" w:customStyle="1" w:styleId="spellingerror">
    <w:name w:val="spellingerror"/>
    <w:basedOn w:val="DefaultParagraphFont"/>
    <w:rsid w:val="00DD0930"/>
  </w:style>
  <w:style w:type="character" w:customStyle="1" w:styleId="contextualspellingandgrammarerror">
    <w:name w:val="contextualspellingandgrammarerror"/>
    <w:basedOn w:val="DefaultParagraphFont"/>
    <w:rsid w:val="00DD0930"/>
  </w:style>
  <w:style w:type="paragraph" w:customStyle="1" w:styleId="Body">
    <w:name w:val="Body"/>
    <w:basedOn w:val="Normal"/>
    <w:link w:val="BodyChar"/>
    <w:qFormat/>
    <w:rsid w:val="00643556"/>
    <w:pPr>
      <w:spacing w:after="160" w:line="280" w:lineRule="atLeast"/>
    </w:pPr>
    <w:rPr>
      <w:rFonts w:ascii="Arial" w:eastAsia="Times" w:hAnsi="Arial"/>
      <w:sz w:val="21"/>
      <w:szCs w:val="21"/>
    </w:rPr>
  </w:style>
  <w:style w:type="paragraph" w:customStyle="1" w:styleId="Bullet1">
    <w:name w:val="Bullet 1"/>
    <w:basedOn w:val="DHHSbullet1"/>
    <w:rsid w:val="00643556"/>
    <w:pPr>
      <w:spacing w:line="280" w:lineRule="atLeast"/>
    </w:pPr>
    <w:rPr>
      <w:sz w:val="21"/>
      <w:szCs w:val="21"/>
    </w:rPr>
  </w:style>
  <w:style w:type="paragraph" w:customStyle="1" w:styleId="Bodyafterbullets">
    <w:name w:val="Body after bullets"/>
    <w:basedOn w:val="Body"/>
    <w:rsid w:val="00643556"/>
    <w:pPr>
      <w:spacing w:before="160"/>
    </w:pPr>
  </w:style>
  <w:style w:type="paragraph" w:customStyle="1" w:styleId="Tabletext">
    <w:name w:val="Table text"/>
    <w:basedOn w:val="DHHStabletext"/>
    <w:rsid w:val="000D0B9B"/>
    <w:rPr>
      <w:sz w:val="21"/>
      <w:szCs w:val="21"/>
      <w:lang w:val="en-US"/>
    </w:rPr>
  </w:style>
  <w:style w:type="paragraph" w:customStyle="1" w:styleId="Tablecolhead">
    <w:name w:val="Table col head"/>
    <w:basedOn w:val="DHHStablecolhead"/>
    <w:rsid w:val="000D0B9B"/>
    <w:rPr>
      <w:sz w:val="21"/>
      <w:szCs w:val="21"/>
    </w:rPr>
  </w:style>
  <w:style w:type="paragraph" w:customStyle="1" w:styleId="Tablecaption">
    <w:name w:val="Table caption"/>
    <w:basedOn w:val="DHHStablecaption"/>
    <w:rsid w:val="000D0B9B"/>
    <w:rPr>
      <w:sz w:val="21"/>
      <w:szCs w:val="21"/>
    </w:rPr>
  </w:style>
  <w:style w:type="paragraph" w:customStyle="1" w:styleId="Figurecaption">
    <w:name w:val="Figure caption"/>
    <w:basedOn w:val="Tablecaption"/>
    <w:rsid w:val="007B2175"/>
    <w:rPr>
      <w:lang w:val="en-US"/>
    </w:rPr>
  </w:style>
  <w:style w:type="paragraph" w:customStyle="1" w:styleId="Bodyaftertable">
    <w:name w:val="Body after table"/>
    <w:basedOn w:val="Bodyafterbullets"/>
    <w:rsid w:val="00643556"/>
    <w:pPr>
      <w:spacing w:before="200"/>
    </w:pPr>
  </w:style>
  <w:style w:type="paragraph" w:customStyle="1" w:styleId="Tablefigurenote">
    <w:name w:val="Table/figure note"/>
    <w:basedOn w:val="DHHStablefigurenote"/>
    <w:rsid w:val="00643556"/>
    <w:rPr>
      <w:rFonts w:eastAsia="Arial"/>
      <w:i w:val="0"/>
      <w:iCs/>
      <w:lang w:val="en-US"/>
    </w:rPr>
  </w:style>
  <w:style w:type="paragraph" w:customStyle="1" w:styleId="Bodynospace">
    <w:name w:val="Body no space"/>
    <w:basedOn w:val="Body"/>
    <w:rsid w:val="00D40C2B"/>
    <w:pPr>
      <w:spacing w:after="0"/>
    </w:pPr>
  </w:style>
  <w:style w:type="paragraph" w:customStyle="1" w:styleId="Boxtitle">
    <w:name w:val="Box title"/>
    <w:basedOn w:val="Body"/>
    <w:rsid w:val="00BF3C21"/>
    <w:pPr>
      <w:spacing w:before="120"/>
    </w:pPr>
    <w:rPr>
      <w:b/>
      <w:bCs/>
    </w:rPr>
  </w:style>
  <w:style w:type="paragraph" w:customStyle="1" w:styleId="Documenttitle">
    <w:name w:val="Document title"/>
    <w:uiPriority w:val="8"/>
    <w:rsid w:val="00B41C39"/>
    <w:pPr>
      <w:spacing w:after="240" w:line="560" w:lineRule="atLeast"/>
    </w:pPr>
    <w:rPr>
      <w:rFonts w:ascii="Arial" w:hAnsi="Arial"/>
      <w:b/>
      <w:color w:val="201547"/>
      <w:sz w:val="48"/>
      <w:szCs w:val="50"/>
      <w:lang w:eastAsia="en-US"/>
    </w:rPr>
  </w:style>
  <w:style w:type="paragraph" w:customStyle="1" w:styleId="Documentsubtitle">
    <w:name w:val="Document subtitle"/>
    <w:uiPriority w:val="8"/>
    <w:rsid w:val="00B41C39"/>
    <w:pPr>
      <w:spacing w:after="120"/>
    </w:pPr>
    <w:rPr>
      <w:rFonts w:ascii="Arial" w:hAnsi="Arial"/>
      <w:color w:val="53565A"/>
      <w:sz w:val="28"/>
      <w:szCs w:val="24"/>
      <w:lang w:eastAsia="en-US"/>
    </w:rPr>
  </w:style>
  <w:style w:type="paragraph" w:customStyle="1" w:styleId="Bannermarking">
    <w:name w:val="Banner marking"/>
    <w:basedOn w:val="Normal"/>
    <w:uiPriority w:val="11"/>
    <w:rsid w:val="00B41C39"/>
    <w:pPr>
      <w:spacing w:line="280" w:lineRule="atLeast"/>
    </w:pPr>
    <w:rPr>
      <w:rFonts w:ascii="Arial" w:eastAsia="Times" w:hAnsi="Arial"/>
      <w:b/>
      <w:bCs/>
      <w:color w:val="000000" w:themeColor="text1"/>
      <w:sz w:val="21"/>
    </w:rPr>
  </w:style>
  <w:style w:type="paragraph" w:customStyle="1" w:styleId="EmptyLayoutCell">
    <w:name w:val="EmptyLayoutCell"/>
    <w:basedOn w:val="Normal"/>
    <w:rsid w:val="00CC2020"/>
    <w:rPr>
      <w:rFonts w:ascii="Times New Roman" w:hAnsi="Times New Roman"/>
      <w:sz w:val="2"/>
      <w:lang w:val="en-US"/>
    </w:rPr>
  </w:style>
  <w:style w:type="table" w:customStyle="1" w:styleId="TableGrid1">
    <w:name w:val="Table Grid1"/>
    <w:basedOn w:val="TableNormal"/>
    <w:next w:val="TableGrid"/>
    <w:uiPriority w:val="59"/>
    <w:rsid w:val="0074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rsid w:val="006109B7"/>
    <w:rPr>
      <w:rFonts w:ascii="Arial" w:eastAsia="Times" w:hAnsi="Arial"/>
      <w:sz w:val="21"/>
      <w:szCs w:val="21"/>
      <w:lang w:eastAsia="en-US"/>
    </w:rPr>
  </w:style>
  <w:style w:type="paragraph" w:customStyle="1" w:styleId="Bulletafternumbers1">
    <w:name w:val="Bullet after numbers 1"/>
    <w:basedOn w:val="Body"/>
    <w:uiPriority w:val="4"/>
    <w:rsid w:val="005D2F48"/>
    <w:pPr>
      <w:numPr>
        <w:ilvl w:val="2"/>
        <w:numId w:val="5"/>
      </w:numPr>
      <w:spacing w:after="120"/>
    </w:pPr>
    <w:rPr>
      <w:szCs w:val="20"/>
    </w:rPr>
  </w:style>
  <w:style w:type="numbering" w:customStyle="1" w:styleId="ZZNumbersdigit">
    <w:name w:val="ZZ Numbers digit"/>
    <w:rsid w:val="005D2F48"/>
    <w:pPr>
      <w:numPr>
        <w:numId w:val="4"/>
      </w:numPr>
    </w:pPr>
  </w:style>
  <w:style w:type="paragraph" w:customStyle="1" w:styleId="Numberdigit">
    <w:name w:val="Number digit"/>
    <w:basedOn w:val="Body"/>
    <w:uiPriority w:val="2"/>
    <w:rsid w:val="00D40630"/>
    <w:pPr>
      <w:numPr>
        <w:numId w:val="5"/>
      </w:numPr>
      <w:spacing w:after="120"/>
    </w:pPr>
    <w:rPr>
      <w:szCs w:val="20"/>
    </w:rPr>
  </w:style>
  <w:style w:type="paragraph" w:customStyle="1" w:styleId="Numberdigitindent">
    <w:name w:val="Number digit indent"/>
    <w:basedOn w:val="Normal"/>
    <w:uiPriority w:val="3"/>
    <w:rsid w:val="005D2F48"/>
    <w:pPr>
      <w:numPr>
        <w:ilvl w:val="1"/>
        <w:numId w:val="5"/>
      </w:numPr>
      <w:spacing w:after="120" w:line="280" w:lineRule="atLeast"/>
    </w:pPr>
    <w:rPr>
      <w:rFonts w:ascii="Arial" w:eastAsia="Times" w:hAnsi="Arial"/>
      <w:sz w:val="21"/>
    </w:rPr>
  </w:style>
  <w:style w:type="paragraph" w:customStyle="1" w:styleId="Bulletafternumbers2">
    <w:name w:val="Bullet after numbers 2"/>
    <w:basedOn w:val="Body"/>
    <w:rsid w:val="005D2F48"/>
    <w:pPr>
      <w:numPr>
        <w:ilvl w:val="3"/>
        <w:numId w:val="5"/>
      </w:numPr>
      <w:spacing w:after="120"/>
    </w:pPr>
    <w:rPr>
      <w:szCs w:val="20"/>
    </w:rPr>
  </w:style>
  <w:style w:type="character" w:customStyle="1" w:styleId="DHHSbodyChar">
    <w:name w:val="DHHS body Char"/>
    <w:link w:val="DHHSbody"/>
    <w:uiPriority w:val="99"/>
    <w:locked/>
    <w:rsid w:val="005D2F48"/>
    <w:rPr>
      <w:rFonts w:ascii="Arial" w:eastAsia="Times" w:hAnsi="Arial"/>
      <w:lang w:eastAsia="en-US"/>
    </w:rPr>
  </w:style>
  <w:style w:type="paragraph" w:customStyle="1" w:styleId="Bullet2">
    <w:name w:val="Bullet 2"/>
    <w:basedOn w:val="Bullet1"/>
    <w:rsid w:val="00AA53FE"/>
    <w:pPr>
      <w:numPr>
        <w:numId w:val="7"/>
      </w:numP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721">
      <w:bodyDiv w:val="1"/>
      <w:marLeft w:val="0"/>
      <w:marRight w:val="0"/>
      <w:marTop w:val="0"/>
      <w:marBottom w:val="0"/>
      <w:divBdr>
        <w:top w:val="none" w:sz="0" w:space="0" w:color="auto"/>
        <w:left w:val="none" w:sz="0" w:space="0" w:color="auto"/>
        <w:bottom w:val="none" w:sz="0" w:space="0" w:color="auto"/>
        <w:right w:val="none" w:sz="0" w:space="0" w:color="auto"/>
      </w:divBdr>
    </w:div>
    <w:div w:id="58793270">
      <w:bodyDiv w:val="1"/>
      <w:marLeft w:val="0"/>
      <w:marRight w:val="0"/>
      <w:marTop w:val="0"/>
      <w:marBottom w:val="0"/>
      <w:divBdr>
        <w:top w:val="none" w:sz="0" w:space="0" w:color="auto"/>
        <w:left w:val="none" w:sz="0" w:space="0" w:color="auto"/>
        <w:bottom w:val="none" w:sz="0" w:space="0" w:color="auto"/>
        <w:right w:val="none" w:sz="0" w:space="0" w:color="auto"/>
      </w:divBdr>
      <w:divsChild>
        <w:div w:id="158814113">
          <w:marLeft w:val="0"/>
          <w:marRight w:val="0"/>
          <w:marTop w:val="0"/>
          <w:marBottom w:val="0"/>
          <w:divBdr>
            <w:top w:val="none" w:sz="0" w:space="0" w:color="auto"/>
            <w:left w:val="none" w:sz="0" w:space="0" w:color="auto"/>
            <w:bottom w:val="none" w:sz="0" w:space="0" w:color="auto"/>
            <w:right w:val="none" w:sz="0" w:space="0" w:color="auto"/>
          </w:divBdr>
        </w:div>
        <w:div w:id="371350260">
          <w:marLeft w:val="0"/>
          <w:marRight w:val="0"/>
          <w:marTop w:val="0"/>
          <w:marBottom w:val="0"/>
          <w:divBdr>
            <w:top w:val="none" w:sz="0" w:space="0" w:color="auto"/>
            <w:left w:val="none" w:sz="0" w:space="0" w:color="auto"/>
            <w:bottom w:val="none" w:sz="0" w:space="0" w:color="auto"/>
            <w:right w:val="none" w:sz="0" w:space="0" w:color="auto"/>
          </w:divBdr>
        </w:div>
        <w:div w:id="530265855">
          <w:marLeft w:val="0"/>
          <w:marRight w:val="0"/>
          <w:marTop w:val="0"/>
          <w:marBottom w:val="0"/>
          <w:divBdr>
            <w:top w:val="none" w:sz="0" w:space="0" w:color="auto"/>
            <w:left w:val="none" w:sz="0" w:space="0" w:color="auto"/>
            <w:bottom w:val="none" w:sz="0" w:space="0" w:color="auto"/>
            <w:right w:val="none" w:sz="0" w:space="0" w:color="auto"/>
          </w:divBdr>
        </w:div>
        <w:div w:id="793522161">
          <w:marLeft w:val="0"/>
          <w:marRight w:val="0"/>
          <w:marTop w:val="0"/>
          <w:marBottom w:val="0"/>
          <w:divBdr>
            <w:top w:val="none" w:sz="0" w:space="0" w:color="auto"/>
            <w:left w:val="none" w:sz="0" w:space="0" w:color="auto"/>
            <w:bottom w:val="none" w:sz="0" w:space="0" w:color="auto"/>
            <w:right w:val="none" w:sz="0" w:space="0" w:color="auto"/>
          </w:divBdr>
        </w:div>
        <w:div w:id="910044704">
          <w:marLeft w:val="0"/>
          <w:marRight w:val="0"/>
          <w:marTop w:val="0"/>
          <w:marBottom w:val="0"/>
          <w:divBdr>
            <w:top w:val="none" w:sz="0" w:space="0" w:color="auto"/>
            <w:left w:val="none" w:sz="0" w:space="0" w:color="auto"/>
            <w:bottom w:val="none" w:sz="0" w:space="0" w:color="auto"/>
            <w:right w:val="none" w:sz="0" w:space="0" w:color="auto"/>
          </w:divBdr>
        </w:div>
        <w:div w:id="942299481">
          <w:marLeft w:val="0"/>
          <w:marRight w:val="0"/>
          <w:marTop w:val="0"/>
          <w:marBottom w:val="0"/>
          <w:divBdr>
            <w:top w:val="none" w:sz="0" w:space="0" w:color="auto"/>
            <w:left w:val="none" w:sz="0" w:space="0" w:color="auto"/>
            <w:bottom w:val="none" w:sz="0" w:space="0" w:color="auto"/>
            <w:right w:val="none" w:sz="0" w:space="0" w:color="auto"/>
          </w:divBdr>
        </w:div>
        <w:div w:id="1217621240">
          <w:marLeft w:val="0"/>
          <w:marRight w:val="0"/>
          <w:marTop w:val="0"/>
          <w:marBottom w:val="0"/>
          <w:divBdr>
            <w:top w:val="none" w:sz="0" w:space="0" w:color="auto"/>
            <w:left w:val="none" w:sz="0" w:space="0" w:color="auto"/>
            <w:bottom w:val="none" w:sz="0" w:space="0" w:color="auto"/>
            <w:right w:val="none" w:sz="0" w:space="0" w:color="auto"/>
          </w:divBdr>
        </w:div>
        <w:div w:id="1220435346">
          <w:marLeft w:val="0"/>
          <w:marRight w:val="0"/>
          <w:marTop w:val="0"/>
          <w:marBottom w:val="0"/>
          <w:divBdr>
            <w:top w:val="none" w:sz="0" w:space="0" w:color="auto"/>
            <w:left w:val="none" w:sz="0" w:space="0" w:color="auto"/>
            <w:bottom w:val="none" w:sz="0" w:space="0" w:color="auto"/>
            <w:right w:val="none" w:sz="0" w:space="0" w:color="auto"/>
          </w:divBdr>
        </w:div>
        <w:div w:id="1297878978">
          <w:marLeft w:val="0"/>
          <w:marRight w:val="0"/>
          <w:marTop w:val="0"/>
          <w:marBottom w:val="0"/>
          <w:divBdr>
            <w:top w:val="none" w:sz="0" w:space="0" w:color="auto"/>
            <w:left w:val="none" w:sz="0" w:space="0" w:color="auto"/>
            <w:bottom w:val="none" w:sz="0" w:space="0" w:color="auto"/>
            <w:right w:val="none" w:sz="0" w:space="0" w:color="auto"/>
          </w:divBdr>
        </w:div>
        <w:div w:id="1304964010">
          <w:marLeft w:val="0"/>
          <w:marRight w:val="0"/>
          <w:marTop w:val="0"/>
          <w:marBottom w:val="0"/>
          <w:divBdr>
            <w:top w:val="none" w:sz="0" w:space="0" w:color="auto"/>
            <w:left w:val="none" w:sz="0" w:space="0" w:color="auto"/>
            <w:bottom w:val="none" w:sz="0" w:space="0" w:color="auto"/>
            <w:right w:val="none" w:sz="0" w:space="0" w:color="auto"/>
          </w:divBdr>
        </w:div>
      </w:divsChild>
    </w:div>
    <w:div w:id="148599909">
      <w:bodyDiv w:val="1"/>
      <w:marLeft w:val="0"/>
      <w:marRight w:val="0"/>
      <w:marTop w:val="0"/>
      <w:marBottom w:val="0"/>
      <w:divBdr>
        <w:top w:val="none" w:sz="0" w:space="0" w:color="auto"/>
        <w:left w:val="none" w:sz="0" w:space="0" w:color="auto"/>
        <w:bottom w:val="none" w:sz="0" w:space="0" w:color="auto"/>
        <w:right w:val="none" w:sz="0" w:space="0" w:color="auto"/>
      </w:divBdr>
      <w:divsChild>
        <w:div w:id="750003138">
          <w:marLeft w:val="0"/>
          <w:marRight w:val="0"/>
          <w:marTop w:val="0"/>
          <w:marBottom w:val="0"/>
          <w:divBdr>
            <w:top w:val="none" w:sz="0" w:space="0" w:color="auto"/>
            <w:left w:val="none" w:sz="0" w:space="0" w:color="auto"/>
            <w:bottom w:val="none" w:sz="0" w:space="0" w:color="auto"/>
            <w:right w:val="none" w:sz="0" w:space="0" w:color="auto"/>
          </w:divBdr>
          <w:divsChild>
            <w:div w:id="1503274224">
              <w:marLeft w:val="-75"/>
              <w:marRight w:val="0"/>
              <w:marTop w:val="30"/>
              <w:marBottom w:val="30"/>
              <w:divBdr>
                <w:top w:val="none" w:sz="0" w:space="0" w:color="auto"/>
                <w:left w:val="none" w:sz="0" w:space="0" w:color="auto"/>
                <w:bottom w:val="none" w:sz="0" w:space="0" w:color="auto"/>
                <w:right w:val="none" w:sz="0" w:space="0" w:color="auto"/>
              </w:divBdr>
              <w:divsChild>
                <w:div w:id="102263204">
                  <w:marLeft w:val="0"/>
                  <w:marRight w:val="0"/>
                  <w:marTop w:val="0"/>
                  <w:marBottom w:val="0"/>
                  <w:divBdr>
                    <w:top w:val="none" w:sz="0" w:space="0" w:color="auto"/>
                    <w:left w:val="none" w:sz="0" w:space="0" w:color="auto"/>
                    <w:bottom w:val="none" w:sz="0" w:space="0" w:color="auto"/>
                    <w:right w:val="none" w:sz="0" w:space="0" w:color="auto"/>
                  </w:divBdr>
                  <w:divsChild>
                    <w:div w:id="998117127">
                      <w:marLeft w:val="0"/>
                      <w:marRight w:val="0"/>
                      <w:marTop w:val="0"/>
                      <w:marBottom w:val="0"/>
                      <w:divBdr>
                        <w:top w:val="none" w:sz="0" w:space="0" w:color="auto"/>
                        <w:left w:val="none" w:sz="0" w:space="0" w:color="auto"/>
                        <w:bottom w:val="none" w:sz="0" w:space="0" w:color="auto"/>
                        <w:right w:val="none" w:sz="0" w:space="0" w:color="auto"/>
                      </w:divBdr>
                    </w:div>
                  </w:divsChild>
                </w:div>
                <w:div w:id="147400104">
                  <w:marLeft w:val="0"/>
                  <w:marRight w:val="0"/>
                  <w:marTop w:val="0"/>
                  <w:marBottom w:val="0"/>
                  <w:divBdr>
                    <w:top w:val="none" w:sz="0" w:space="0" w:color="auto"/>
                    <w:left w:val="none" w:sz="0" w:space="0" w:color="auto"/>
                    <w:bottom w:val="none" w:sz="0" w:space="0" w:color="auto"/>
                    <w:right w:val="none" w:sz="0" w:space="0" w:color="auto"/>
                  </w:divBdr>
                  <w:divsChild>
                    <w:div w:id="1329358498">
                      <w:marLeft w:val="0"/>
                      <w:marRight w:val="0"/>
                      <w:marTop w:val="0"/>
                      <w:marBottom w:val="0"/>
                      <w:divBdr>
                        <w:top w:val="none" w:sz="0" w:space="0" w:color="auto"/>
                        <w:left w:val="none" w:sz="0" w:space="0" w:color="auto"/>
                        <w:bottom w:val="none" w:sz="0" w:space="0" w:color="auto"/>
                        <w:right w:val="none" w:sz="0" w:space="0" w:color="auto"/>
                      </w:divBdr>
                    </w:div>
                  </w:divsChild>
                </w:div>
                <w:div w:id="167135860">
                  <w:marLeft w:val="0"/>
                  <w:marRight w:val="0"/>
                  <w:marTop w:val="0"/>
                  <w:marBottom w:val="0"/>
                  <w:divBdr>
                    <w:top w:val="none" w:sz="0" w:space="0" w:color="auto"/>
                    <w:left w:val="none" w:sz="0" w:space="0" w:color="auto"/>
                    <w:bottom w:val="none" w:sz="0" w:space="0" w:color="auto"/>
                    <w:right w:val="none" w:sz="0" w:space="0" w:color="auto"/>
                  </w:divBdr>
                  <w:divsChild>
                    <w:div w:id="1835534146">
                      <w:marLeft w:val="0"/>
                      <w:marRight w:val="0"/>
                      <w:marTop w:val="0"/>
                      <w:marBottom w:val="0"/>
                      <w:divBdr>
                        <w:top w:val="none" w:sz="0" w:space="0" w:color="auto"/>
                        <w:left w:val="none" w:sz="0" w:space="0" w:color="auto"/>
                        <w:bottom w:val="none" w:sz="0" w:space="0" w:color="auto"/>
                        <w:right w:val="none" w:sz="0" w:space="0" w:color="auto"/>
                      </w:divBdr>
                    </w:div>
                  </w:divsChild>
                </w:div>
                <w:div w:id="191110502">
                  <w:marLeft w:val="0"/>
                  <w:marRight w:val="0"/>
                  <w:marTop w:val="0"/>
                  <w:marBottom w:val="0"/>
                  <w:divBdr>
                    <w:top w:val="none" w:sz="0" w:space="0" w:color="auto"/>
                    <w:left w:val="none" w:sz="0" w:space="0" w:color="auto"/>
                    <w:bottom w:val="none" w:sz="0" w:space="0" w:color="auto"/>
                    <w:right w:val="none" w:sz="0" w:space="0" w:color="auto"/>
                  </w:divBdr>
                  <w:divsChild>
                    <w:div w:id="1625574552">
                      <w:marLeft w:val="0"/>
                      <w:marRight w:val="0"/>
                      <w:marTop w:val="0"/>
                      <w:marBottom w:val="0"/>
                      <w:divBdr>
                        <w:top w:val="none" w:sz="0" w:space="0" w:color="auto"/>
                        <w:left w:val="none" w:sz="0" w:space="0" w:color="auto"/>
                        <w:bottom w:val="none" w:sz="0" w:space="0" w:color="auto"/>
                        <w:right w:val="none" w:sz="0" w:space="0" w:color="auto"/>
                      </w:divBdr>
                    </w:div>
                  </w:divsChild>
                </w:div>
                <w:div w:id="215627772">
                  <w:marLeft w:val="0"/>
                  <w:marRight w:val="0"/>
                  <w:marTop w:val="0"/>
                  <w:marBottom w:val="0"/>
                  <w:divBdr>
                    <w:top w:val="none" w:sz="0" w:space="0" w:color="auto"/>
                    <w:left w:val="none" w:sz="0" w:space="0" w:color="auto"/>
                    <w:bottom w:val="none" w:sz="0" w:space="0" w:color="auto"/>
                    <w:right w:val="none" w:sz="0" w:space="0" w:color="auto"/>
                  </w:divBdr>
                  <w:divsChild>
                    <w:div w:id="886064563">
                      <w:marLeft w:val="0"/>
                      <w:marRight w:val="0"/>
                      <w:marTop w:val="0"/>
                      <w:marBottom w:val="0"/>
                      <w:divBdr>
                        <w:top w:val="none" w:sz="0" w:space="0" w:color="auto"/>
                        <w:left w:val="none" w:sz="0" w:space="0" w:color="auto"/>
                        <w:bottom w:val="none" w:sz="0" w:space="0" w:color="auto"/>
                        <w:right w:val="none" w:sz="0" w:space="0" w:color="auto"/>
                      </w:divBdr>
                    </w:div>
                  </w:divsChild>
                </w:div>
                <w:div w:id="216161676">
                  <w:marLeft w:val="0"/>
                  <w:marRight w:val="0"/>
                  <w:marTop w:val="0"/>
                  <w:marBottom w:val="0"/>
                  <w:divBdr>
                    <w:top w:val="none" w:sz="0" w:space="0" w:color="auto"/>
                    <w:left w:val="none" w:sz="0" w:space="0" w:color="auto"/>
                    <w:bottom w:val="none" w:sz="0" w:space="0" w:color="auto"/>
                    <w:right w:val="none" w:sz="0" w:space="0" w:color="auto"/>
                  </w:divBdr>
                  <w:divsChild>
                    <w:div w:id="176047319">
                      <w:marLeft w:val="0"/>
                      <w:marRight w:val="0"/>
                      <w:marTop w:val="0"/>
                      <w:marBottom w:val="0"/>
                      <w:divBdr>
                        <w:top w:val="none" w:sz="0" w:space="0" w:color="auto"/>
                        <w:left w:val="none" w:sz="0" w:space="0" w:color="auto"/>
                        <w:bottom w:val="none" w:sz="0" w:space="0" w:color="auto"/>
                        <w:right w:val="none" w:sz="0" w:space="0" w:color="auto"/>
                      </w:divBdr>
                    </w:div>
                  </w:divsChild>
                </w:div>
                <w:div w:id="262107346">
                  <w:marLeft w:val="0"/>
                  <w:marRight w:val="0"/>
                  <w:marTop w:val="0"/>
                  <w:marBottom w:val="0"/>
                  <w:divBdr>
                    <w:top w:val="none" w:sz="0" w:space="0" w:color="auto"/>
                    <w:left w:val="none" w:sz="0" w:space="0" w:color="auto"/>
                    <w:bottom w:val="none" w:sz="0" w:space="0" w:color="auto"/>
                    <w:right w:val="none" w:sz="0" w:space="0" w:color="auto"/>
                  </w:divBdr>
                  <w:divsChild>
                    <w:div w:id="702050752">
                      <w:marLeft w:val="0"/>
                      <w:marRight w:val="0"/>
                      <w:marTop w:val="0"/>
                      <w:marBottom w:val="0"/>
                      <w:divBdr>
                        <w:top w:val="none" w:sz="0" w:space="0" w:color="auto"/>
                        <w:left w:val="none" w:sz="0" w:space="0" w:color="auto"/>
                        <w:bottom w:val="none" w:sz="0" w:space="0" w:color="auto"/>
                        <w:right w:val="none" w:sz="0" w:space="0" w:color="auto"/>
                      </w:divBdr>
                    </w:div>
                  </w:divsChild>
                </w:div>
                <w:div w:id="290551613">
                  <w:marLeft w:val="0"/>
                  <w:marRight w:val="0"/>
                  <w:marTop w:val="0"/>
                  <w:marBottom w:val="0"/>
                  <w:divBdr>
                    <w:top w:val="none" w:sz="0" w:space="0" w:color="auto"/>
                    <w:left w:val="none" w:sz="0" w:space="0" w:color="auto"/>
                    <w:bottom w:val="none" w:sz="0" w:space="0" w:color="auto"/>
                    <w:right w:val="none" w:sz="0" w:space="0" w:color="auto"/>
                  </w:divBdr>
                  <w:divsChild>
                    <w:div w:id="1197767435">
                      <w:marLeft w:val="0"/>
                      <w:marRight w:val="0"/>
                      <w:marTop w:val="0"/>
                      <w:marBottom w:val="0"/>
                      <w:divBdr>
                        <w:top w:val="none" w:sz="0" w:space="0" w:color="auto"/>
                        <w:left w:val="none" w:sz="0" w:space="0" w:color="auto"/>
                        <w:bottom w:val="none" w:sz="0" w:space="0" w:color="auto"/>
                        <w:right w:val="none" w:sz="0" w:space="0" w:color="auto"/>
                      </w:divBdr>
                    </w:div>
                  </w:divsChild>
                </w:div>
                <w:div w:id="320159777">
                  <w:marLeft w:val="0"/>
                  <w:marRight w:val="0"/>
                  <w:marTop w:val="0"/>
                  <w:marBottom w:val="0"/>
                  <w:divBdr>
                    <w:top w:val="none" w:sz="0" w:space="0" w:color="auto"/>
                    <w:left w:val="none" w:sz="0" w:space="0" w:color="auto"/>
                    <w:bottom w:val="none" w:sz="0" w:space="0" w:color="auto"/>
                    <w:right w:val="none" w:sz="0" w:space="0" w:color="auto"/>
                  </w:divBdr>
                  <w:divsChild>
                    <w:div w:id="1704136799">
                      <w:marLeft w:val="0"/>
                      <w:marRight w:val="0"/>
                      <w:marTop w:val="0"/>
                      <w:marBottom w:val="0"/>
                      <w:divBdr>
                        <w:top w:val="none" w:sz="0" w:space="0" w:color="auto"/>
                        <w:left w:val="none" w:sz="0" w:space="0" w:color="auto"/>
                        <w:bottom w:val="none" w:sz="0" w:space="0" w:color="auto"/>
                        <w:right w:val="none" w:sz="0" w:space="0" w:color="auto"/>
                      </w:divBdr>
                    </w:div>
                  </w:divsChild>
                </w:div>
                <w:div w:id="518276237">
                  <w:marLeft w:val="0"/>
                  <w:marRight w:val="0"/>
                  <w:marTop w:val="0"/>
                  <w:marBottom w:val="0"/>
                  <w:divBdr>
                    <w:top w:val="none" w:sz="0" w:space="0" w:color="auto"/>
                    <w:left w:val="none" w:sz="0" w:space="0" w:color="auto"/>
                    <w:bottom w:val="none" w:sz="0" w:space="0" w:color="auto"/>
                    <w:right w:val="none" w:sz="0" w:space="0" w:color="auto"/>
                  </w:divBdr>
                  <w:divsChild>
                    <w:div w:id="1488008400">
                      <w:marLeft w:val="0"/>
                      <w:marRight w:val="0"/>
                      <w:marTop w:val="0"/>
                      <w:marBottom w:val="0"/>
                      <w:divBdr>
                        <w:top w:val="none" w:sz="0" w:space="0" w:color="auto"/>
                        <w:left w:val="none" w:sz="0" w:space="0" w:color="auto"/>
                        <w:bottom w:val="none" w:sz="0" w:space="0" w:color="auto"/>
                        <w:right w:val="none" w:sz="0" w:space="0" w:color="auto"/>
                      </w:divBdr>
                    </w:div>
                  </w:divsChild>
                </w:div>
                <w:div w:id="553124415">
                  <w:marLeft w:val="0"/>
                  <w:marRight w:val="0"/>
                  <w:marTop w:val="0"/>
                  <w:marBottom w:val="0"/>
                  <w:divBdr>
                    <w:top w:val="none" w:sz="0" w:space="0" w:color="auto"/>
                    <w:left w:val="none" w:sz="0" w:space="0" w:color="auto"/>
                    <w:bottom w:val="none" w:sz="0" w:space="0" w:color="auto"/>
                    <w:right w:val="none" w:sz="0" w:space="0" w:color="auto"/>
                  </w:divBdr>
                  <w:divsChild>
                    <w:div w:id="2070837571">
                      <w:marLeft w:val="0"/>
                      <w:marRight w:val="0"/>
                      <w:marTop w:val="0"/>
                      <w:marBottom w:val="0"/>
                      <w:divBdr>
                        <w:top w:val="none" w:sz="0" w:space="0" w:color="auto"/>
                        <w:left w:val="none" w:sz="0" w:space="0" w:color="auto"/>
                        <w:bottom w:val="none" w:sz="0" w:space="0" w:color="auto"/>
                        <w:right w:val="none" w:sz="0" w:space="0" w:color="auto"/>
                      </w:divBdr>
                    </w:div>
                  </w:divsChild>
                </w:div>
                <w:div w:id="612782312">
                  <w:marLeft w:val="0"/>
                  <w:marRight w:val="0"/>
                  <w:marTop w:val="0"/>
                  <w:marBottom w:val="0"/>
                  <w:divBdr>
                    <w:top w:val="none" w:sz="0" w:space="0" w:color="auto"/>
                    <w:left w:val="none" w:sz="0" w:space="0" w:color="auto"/>
                    <w:bottom w:val="none" w:sz="0" w:space="0" w:color="auto"/>
                    <w:right w:val="none" w:sz="0" w:space="0" w:color="auto"/>
                  </w:divBdr>
                  <w:divsChild>
                    <w:div w:id="250117917">
                      <w:marLeft w:val="0"/>
                      <w:marRight w:val="0"/>
                      <w:marTop w:val="0"/>
                      <w:marBottom w:val="0"/>
                      <w:divBdr>
                        <w:top w:val="none" w:sz="0" w:space="0" w:color="auto"/>
                        <w:left w:val="none" w:sz="0" w:space="0" w:color="auto"/>
                        <w:bottom w:val="none" w:sz="0" w:space="0" w:color="auto"/>
                        <w:right w:val="none" w:sz="0" w:space="0" w:color="auto"/>
                      </w:divBdr>
                    </w:div>
                  </w:divsChild>
                </w:div>
                <w:div w:id="700983297">
                  <w:marLeft w:val="0"/>
                  <w:marRight w:val="0"/>
                  <w:marTop w:val="0"/>
                  <w:marBottom w:val="0"/>
                  <w:divBdr>
                    <w:top w:val="none" w:sz="0" w:space="0" w:color="auto"/>
                    <w:left w:val="none" w:sz="0" w:space="0" w:color="auto"/>
                    <w:bottom w:val="none" w:sz="0" w:space="0" w:color="auto"/>
                    <w:right w:val="none" w:sz="0" w:space="0" w:color="auto"/>
                  </w:divBdr>
                  <w:divsChild>
                    <w:div w:id="650213515">
                      <w:marLeft w:val="0"/>
                      <w:marRight w:val="0"/>
                      <w:marTop w:val="0"/>
                      <w:marBottom w:val="0"/>
                      <w:divBdr>
                        <w:top w:val="none" w:sz="0" w:space="0" w:color="auto"/>
                        <w:left w:val="none" w:sz="0" w:space="0" w:color="auto"/>
                        <w:bottom w:val="none" w:sz="0" w:space="0" w:color="auto"/>
                        <w:right w:val="none" w:sz="0" w:space="0" w:color="auto"/>
                      </w:divBdr>
                    </w:div>
                  </w:divsChild>
                </w:div>
                <w:div w:id="839543003">
                  <w:marLeft w:val="0"/>
                  <w:marRight w:val="0"/>
                  <w:marTop w:val="0"/>
                  <w:marBottom w:val="0"/>
                  <w:divBdr>
                    <w:top w:val="none" w:sz="0" w:space="0" w:color="auto"/>
                    <w:left w:val="none" w:sz="0" w:space="0" w:color="auto"/>
                    <w:bottom w:val="none" w:sz="0" w:space="0" w:color="auto"/>
                    <w:right w:val="none" w:sz="0" w:space="0" w:color="auto"/>
                  </w:divBdr>
                  <w:divsChild>
                    <w:div w:id="664285692">
                      <w:marLeft w:val="0"/>
                      <w:marRight w:val="0"/>
                      <w:marTop w:val="0"/>
                      <w:marBottom w:val="0"/>
                      <w:divBdr>
                        <w:top w:val="none" w:sz="0" w:space="0" w:color="auto"/>
                        <w:left w:val="none" w:sz="0" w:space="0" w:color="auto"/>
                        <w:bottom w:val="none" w:sz="0" w:space="0" w:color="auto"/>
                        <w:right w:val="none" w:sz="0" w:space="0" w:color="auto"/>
                      </w:divBdr>
                    </w:div>
                  </w:divsChild>
                </w:div>
                <w:div w:id="887566009">
                  <w:marLeft w:val="0"/>
                  <w:marRight w:val="0"/>
                  <w:marTop w:val="0"/>
                  <w:marBottom w:val="0"/>
                  <w:divBdr>
                    <w:top w:val="none" w:sz="0" w:space="0" w:color="auto"/>
                    <w:left w:val="none" w:sz="0" w:space="0" w:color="auto"/>
                    <w:bottom w:val="none" w:sz="0" w:space="0" w:color="auto"/>
                    <w:right w:val="none" w:sz="0" w:space="0" w:color="auto"/>
                  </w:divBdr>
                  <w:divsChild>
                    <w:div w:id="1399589903">
                      <w:marLeft w:val="0"/>
                      <w:marRight w:val="0"/>
                      <w:marTop w:val="0"/>
                      <w:marBottom w:val="0"/>
                      <w:divBdr>
                        <w:top w:val="none" w:sz="0" w:space="0" w:color="auto"/>
                        <w:left w:val="none" w:sz="0" w:space="0" w:color="auto"/>
                        <w:bottom w:val="none" w:sz="0" w:space="0" w:color="auto"/>
                        <w:right w:val="none" w:sz="0" w:space="0" w:color="auto"/>
                      </w:divBdr>
                    </w:div>
                  </w:divsChild>
                </w:div>
                <w:div w:id="896816266">
                  <w:marLeft w:val="0"/>
                  <w:marRight w:val="0"/>
                  <w:marTop w:val="0"/>
                  <w:marBottom w:val="0"/>
                  <w:divBdr>
                    <w:top w:val="none" w:sz="0" w:space="0" w:color="auto"/>
                    <w:left w:val="none" w:sz="0" w:space="0" w:color="auto"/>
                    <w:bottom w:val="none" w:sz="0" w:space="0" w:color="auto"/>
                    <w:right w:val="none" w:sz="0" w:space="0" w:color="auto"/>
                  </w:divBdr>
                  <w:divsChild>
                    <w:div w:id="2022927082">
                      <w:marLeft w:val="0"/>
                      <w:marRight w:val="0"/>
                      <w:marTop w:val="0"/>
                      <w:marBottom w:val="0"/>
                      <w:divBdr>
                        <w:top w:val="none" w:sz="0" w:space="0" w:color="auto"/>
                        <w:left w:val="none" w:sz="0" w:space="0" w:color="auto"/>
                        <w:bottom w:val="none" w:sz="0" w:space="0" w:color="auto"/>
                        <w:right w:val="none" w:sz="0" w:space="0" w:color="auto"/>
                      </w:divBdr>
                    </w:div>
                  </w:divsChild>
                </w:div>
                <w:div w:id="954409802">
                  <w:marLeft w:val="0"/>
                  <w:marRight w:val="0"/>
                  <w:marTop w:val="0"/>
                  <w:marBottom w:val="0"/>
                  <w:divBdr>
                    <w:top w:val="none" w:sz="0" w:space="0" w:color="auto"/>
                    <w:left w:val="none" w:sz="0" w:space="0" w:color="auto"/>
                    <w:bottom w:val="none" w:sz="0" w:space="0" w:color="auto"/>
                    <w:right w:val="none" w:sz="0" w:space="0" w:color="auto"/>
                  </w:divBdr>
                  <w:divsChild>
                    <w:div w:id="70279863">
                      <w:marLeft w:val="0"/>
                      <w:marRight w:val="0"/>
                      <w:marTop w:val="0"/>
                      <w:marBottom w:val="0"/>
                      <w:divBdr>
                        <w:top w:val="none" w:sz="0" w:space="0" w:color="auto"/>
                        <w:left w:val="none" w:sz="0" w:space="0" w:color="auto"/>
                        <w:bottom w:val="none" w:sz="0" w:space="0" w:color="auto"/>
                        <w:right w:val="none" w:sz="0" w:space="0" w:color="auto"/>
                      </w:divBdr>
                    </w:div>
                  </w:divsChild>
                </w:div>
                <w:div w:id="960495790">
                  <w:marLeft w:val="0"/>
                  <w:marRight w:val="0"/>
                  <w:marTop w:val="0"/>
                  <w:marBottom w:val="0"/>
                  <w:divBdr>
                    <w:top w:val="none" w:sz="0" w:space="0" w:color="auto"/>
                    <w:left w:val="none" w:sz="0" w:space="0" w:color="auto"/>
                    <w:bottom w:val="none" w:sz="0" w:space="0" w:color="auto"/>
                    <w:right w:val="none" w:sz="0" w:space="0" w:color="auto"/>
                  </w:divBdr>
                  <w:divsChild>
                    <w:div w:id="762839835">
                      <w:marLeft w:val="0"/>
                      <w:marRight w:val="0"/>
                      <w:marTop w:val="0"/>
                      <w:marBottom w:val="0"/>
                      <w:divBdr>
                        <w:top w:val="none" w:sz="0" w:space="0" w:color="auto"/>
                        <w:left w:val="none" w:sz="0" w:space="0" w:color="auto"/>
                        <w:bottom w:val="none" w:sz="0" w:space="0" w:color="auto"/>
                        <w:right w:val="none" w:sz="0" w:space="0" w:color="auto"/>
                      </w:divBdr>
                    </w:div>
                  </w:divsChild>
                </w:div>
                <w:div w:id="991179482">
                  <w:marLeft w:val="0"/>
                  <w:marRight w:val="0"/>
                  <w:marTop w:val="0"/>
                  <w:marBottom w:val="0"/>
                  <w:divBdr>
                    <w:top w:val="none" w:sz="0" w:space="0" w:color="auto"/>
                    <w:left w:val="none" w:sz="0" w:space="0" w:color="auto"/>
                    <w:bottom w:val="none" w:sz="0" w:space="0" w:color="auto"/>
                    <w:right w:val="none" w:sz="0" w:space="0" w:color="auto"/>
                  </w:divBdr>
                  <w:divsChild>
                    <w:div w:id="1941403554">
                      <w:marLeft w:val="0"/>
                      <w:marRight w:val="0"/>
                      <w:marTop w:val="0"/>
                      <w:marBottom w:val="0"/>
                      <w:divBdr>
                        <w:top w:val="none" w:sz="0" w:space="0" w:color="auto"/>
                        <w:left w:val="none" w:sz="0" w:space="0" w:color="auto"/>
                        <w:bottom w:val="none" w:sz="0" w:space="0" w:color="auto"/>
                        <w:right w:val="none" w:sz="0" w:space="0" w:color="auto"/>
                      </w:divBdr>
                    </w:div>
                  </w:divsChild>
                </w:div>
                <w:div w:id="1118991412">
                  <w:marLeft w:val="0"/>
                  <w:marRight w:val="0"/>
                  <w:marTop w:val="0"/>
                  <w:marBottom w:val="0"/>
                  <w:divBdr>
                    <w:top w:val="none" w:sz="0" w:space="0" w:color="auto"/>
                    <w:left w:val="none" w:sz="0" w:space="0" w:color="auto"/>
                    <w:bottom w:val="none" w:sz="0" w:space="0" w:color="auto"/>
                    <w:right w:val="none" w:sz="0" w:space="0" w:color="auto"/>
                  </w:divBdr>
                  <w:divsChild>
                    <w:div w:id="1464301628">
                      <w:marLeft w:val="0"/>
                      <w:marRight w:val="0"/>
                      <w:marTop w:val="0"/>
                      <w:marBottom w:val="0"/>
                      <w:divBdr>
                        <w:top w:val="none" w:sz="0" w:space="0" w:color="auto"/>
                        <w:left w:val="none" w:sz="0" w:space="0" w:color="auto"/>
                        <w:bottom w:val="none" w:sz="0" w:space="0" w:color="auto"/>
                        <w:right w:val="none" w:sz="0" w:space="0" w:color="auto"/>
                      </w:divBdr>
                    </w:div>
                  </w:divsChild>
                </w:div>
                <w:div w:id="1158573712">
                  <w:marLeft w:val="0"/>
                  <w:marRight w:val="0"/>
                  <w:marTop w:val="0"/>
                  <w:marBottom w:val="0"/>
                  <w:divBdr>
                    <w:top w:val="none" w:sz="0" w:space="0" w:color="auto"/>
                    <w:left w:val="none" w:sz="0" w:space="0" w:color="auto"/>
                    <w:bottom w:val="none" w:sz="0" w:space="0" w:color="auto"/>
                    <w:right w:val="none" w:sz="0" w:space="0" w:color="auto"/>
                  </w:divBdr>
                  <w:divsChild>
                    <w:div w:id="1512259163">
                      <w:marLeft w:val="0"/>
                      <w:marRight w:val="0"/>
                      <w:marTop w:val="0"/>
                      <w:marBottom w:val="0"/>
                      <w:divBdr>
                        <w:top w:val="none" w:sz="0" w:space="0" w:color="auto"/>
                        <w:left w:val="none" w:sz="0" w:space="0" w:color="auto"/>
                        <w:bottom w:val="none" w:sz="0" w:space="0" w:color="auto"/>
                        <w:right w:val="none" w:sz="0" w:space="0" w:color="auto"/>
                      </w:divBdr>
                    </w:div>
                  </w:divsChild>
                </w:div>
                <w:div w:id="1170409778">
                  <w:marLeft w:val="0"/>
                  <w:marRight w:val="0"/>
                  <w:marTop w:val="0"/>
                  <w:marBottom w:val="0"/>
                  <w:divBdr>
                    <w:top w:val="none" w:sz="0" w:space="0" w:color="auto"/>
                    <w:left w:val="none" w:sz="0" w:space="0" w:color="auto"/>
                    <w:bottom w:val="none" w:sz="0" w:space="0" w:color="auto"/>
                    <w:right w:val="none" w:sz="0" w:space="0" w:color="auto"/>
                  </w:divBdr>
                  <w:divsChild>
                    <w:div w:id="990869060">
                      <w:marLeft w:val="0"/>
                      <w:marRight w:val="0"/>
                      <w:marTop w:val="0"/>
                      <w:marBottom w:val="0"/>
                      <w:divBdr>
                        <w:top w:val="none" w:sz="0" w:space="0" w:color="auto"/>
                        <w:left w:val="none" w:sz="0" w:space="0" w:color="auto"/>
                        <w:bottom w:val="none" w:sz="0" w:space="0" w:color="auto"/>
                        <w:right w:val="none" w:sz="0" w:space="0" w:color="auto"/>
                      </w:divBdr>
                    </w:div>
                  </w:divsChild>
                </w:div>
                <w:div w:id="1339578444">
                  <w:marLeft w:val="0"/>
                  <w:marRight w:val="0"/>
                  <w:marTop w:val="0"/>
                  <w:marBottom w:val="0"/>
                  <w:divBdr>
                    <w:top w:val="none" w:sz="0" w:space="0" w:color="auto"/>
                    <w:left w:val="none" w:sz="0" w:space="0" w:color="auto"/>
                    <w:bottom w:val="none" w:sz="0" w:space="0" w:color="auto"/>
                    <w:right w:val="none" w:sz="0" w:space="0" w:color="auto"/>
                  </w:divBdr>
                  <w:divsChild>
                    <w:div w:id="1165248849">
                      <w:marLeft w:val="0"/>
                      <w:marRight w:val="0"/>
                      <w:marTop w:val="0"/>
                      <w:marBottom w:val="0"/>
                      <w:divBdr>
                        <w:top w:val="none" w:sz="0" w:space="0" w:color="auto"/>
                        <w:left w:val="none" w:sz="0" w:space="0" w:color="auto"/>
                        <w:bottom w:val="none" w:sz="0" w:space="0" w:color="auto"/>
                        <w:right w:val="none" w:sz="0" w:space="0" w:color="auto"/>
                      </w:divBdr>
                    </w:div>
                  </w:divsChild>
                </w:div>
                <w:div w:id="1358966440">
                  <w:marLeft w:val="0"/>
                  <w:marRight w:val="0"/>
                  <w:marTop w:val="0"/>
                  <w:marBottom w:val="0"/>
                  <w:divBdr>
                    <w:top w:val="none" w:sz="0" w:space="0" w:color="auto"/>
                    <w:left w:val="none" w:sz="0" w:space="0" w:color="auto"/>
                    <w:bottom w:val="none" w:sz="0" w:space="0" w:color="auto"/>
                    <w:right w:val="none" w:sz="0" w:space="0" w:color="auto"/>
                  </w:divBdr>
                  <w:divsChild>
                    <w:div w:id="1677613121">
                      <w:marLeft w:val="0"/>
                      <w:marRight w:val="0"/>
                      <w:marTop w:val="0"/>
                      <w:marBottom w:val="0"/>
                      <w:divBdr>
                        <w:top w:val="none" w:sz="0" w:space="0" w:color="auto"/>
                        <w:left w:val="none" w:sz="0" w:space="0" w:color="auto"/>
                        <w:bottom w:val="none" w:sz="0" w:space="0" w:color="auto"/>
                        <w:right w:val="none" w:sz="0" w:space="0" w:color="auto"/>
                      </w:divBdr>
                    </w:div>
                  </w:divsChild>
                </w:div>
                <w:div w:id="1360204186">
                  <w:marLeft w:val="0"/>
                  <w:marRight w:val="0"/>
                  <w:marTop w:val="0"/>
                  <w:marBottom w:val="0"/>
                  <w:divBdr>
                    <w:top w:val="none" w:sz="0" w:space="0" w:color="auto"/>
                    <w:left w:val="none" w:sz="0" w:space="0" w:color="auto"/>
                    <w:bottom w:val="none" w:sz="0" w:space="0" w:color="auto"/>
                    <w:right w:val="none" w:sz="0" w:space="0" w:color="auto"/>
                  </w:divBdr>
                  <w:divsChild>
                    <w:div w:id="1223640344">
                      <w:marLeft w:val="0"/>
                      <w:marRight w:val="0"/>
                      <w:marTop w:val="0"/>
                      <w:marBottom w:val="0"/>
                      <w:divBdr>
                        <w:top w:val="none" w:sz="0" w:space="0" w:color="auto"/>
                        <w:left w:val="none" w:sz="0" w:space="0" w:color="auto"/>
                        <w:bottom w:val="none" w:sz="0" w:space="0" w:color="auto"/>
                        <w:right w:val="none" w:sz="0" w:space="0" w:color="auto"/>
                      </w:divBdr>
                    </w:div>
                  </w:divsChild>
                </w:div>
                <w:div w:id="1380936129">
                  <w:marLeft w:val="0"/>
                  <w:marRight w:val="0"/>
                  <w:marTop w:val="0"/>
                  <w:marBottom w:val="0"/>
                  <w:divBdr>
                    <w:top w:val="none" w:sz="0" w:space="0" w:color="auto"/>
                    <w:left w:val="none" w:sz="0" w:space="0" w:color="auto"/>
                    <w:bottom w:val="none" w:sz="0" w:space="0" w:color="auto"/>
                    <w:right w:val="none" w:sz="0" w:space="0" w:color="auto"/>
                  </w:divBdr>
                  <w:divsChild>
                    <w:div w:id="1305157543">
                      <w:marLeft w:val="0"/>
                      <w:marRight w:val="0"/>
                      <w:marTop w:val="0"/>
                      <w:marBottom w:val="0"/>
                      <w:divBdr>
                        <w:top w:val="none" w:sz="0" w:space="0" w:color="auto"/>
                        <w:left w:val="none" w:sz="0" w:space="0" w:color="auto"/>
                        <w:bottom w:val="none" w:sz="0" w:space="0" w:color="auto"/>
                        <w:right w:val="none" w:sz="0" w:space="0" w:color="auto"/>
                      </w:divBdr>
                    </w:div>
                  </w:divsChild>
                </w:div>
                <w:div w:id="1545674195">
                  <w:marLeft w:val="0"/>
                  <w:marRight w:val="0"/>
                  <w:marTop w:val="0"/>
                  <w:marBottom w:val="0"/>
                  <w:divBdr>
                    <w:top w:val="none" w:sz="0" w:space="0" w:color="auto"/>
                    <w:left w:val="none" w:sz="0" w:space="0" w:color="auto"/>
                    <w:bottom w:val="none" w:sz="0" w:space="0" w:color="auto"/>
                    <w:right w:val="none" w:sz="0" w:space="0" w:color="auto"/>
                  </w:divBdr>
                  <w:divsChild>
                    <w:div w:id="581062544">
                      <w:marLeft w:val="0"/>
                      <w:marRight w:val="0"/>
                      <w:marTop w:val="0"/>
                      <w:marBottom w:val="0"/>
                      <w:divBdr>
                        <w:top w:val="none" w:sz="0" w:space="0" w:color="auto"/>
                        <w:left w:val="none" w:sz="0" w:space="0" w:color="auto"/>
                        <w:bottom w:val="none" w:sz="0" w:space="0" w:color="auto"/>
                        <w:right w:val="none" w:sz="0" w:space="0" w:color="auto"/>
                      </w:divBdr>
                    </w:div>
                  </w:divsChild>
                </w:div>
                <w:div w:id="1626159629">
                  <w:marLeft w:val="0"/>
                  <w:marRight w:val="0"/>
                  <w:marTop w:val="0"/>
                  <w:marBottom w:val="0"/>
                  <w:divBdr>
                    <w:top w:val="none" w:sz="0" w:space="0" w:color="auto"/>
                    <w:left w:val="none" w:sz="0" w:space="0" w:color="auto"/>
                    <w:bottom w:val="none" w:sz="0" w:space="0" w:color="auto"/>
                    <w:right w:val="none" w:sz="0" w:space="0" w:color="auto"/>
                  </w:divBdr>
                  <w:divsChild>
                    <w:div w:id="1906334722">
                      <w:marLeft w:val="0"/>
                      <w:marRight w:val="0"/>
                      <w:marTop w:val="0"/>
                      <w:marBottom w:val="0"/>
                      <w:divBdr>
                        <w:top w:val="none" w:sz="0" w:space="0" w:color="auto"/>
                        <w:left w:val="none" w:sz="0" w:space="0" w:color="auto"/>
                        <w:bottom w:val="none" w:sz="0" w:space="0" w:color="auto"/>
                        <w:right w:val="none" w:sz="0" w:space="0" w:color="auto"/>
                      </w:divBdr>
                    </w:div>
                  </w:divsChild>
                </w:div>
                <w:div w:id="1748264688">
                  <w:marLeft w:val="0"/>
                  <w:marRight w:val="0"/>
                  <w:marTop w:val="0"/>
                  <w:marBottom w:val="0"/>
                  <w:divBdr>
                    <w:top w:val="none" w:sz="0" w:space="0" w:color="auto"/>
                    <w:left w:val="none" w:sz="0" w:space="0" w:color="auto"/>
                    <w:bottom w:val="none" w:sz="0" w:space="0" w:color="auto"/>
                    <w:right w:val="none" w:sz="0" w:space="0" w:color="auto"/>
                  </w:divBdr>
                  <w:divsChild>
                    <w:div w:id="1109741596">
                      <w:marLeft w:val="0"/>
                      <w:marRight w:val="0"/>
                      <w:marTop w:val="0"/>
                      <w:marBottom w:val="0"/>
                      <w:divBdr>
                        <w:top w:val="none" w:sz="0" w:space="0" w:color="auto"/>
                        <w:left w:val="none" w:sz="0" w:space="0" w:color="auto"/>
                        <w:bottom w:val="none" w:sz="0" w:space="0" w:color="auto"/>
                        <w:right w:val="none" w:sz="0" w:space="0" w:color="auto"/>
                      </w:divBdr>
                    </w:div>
                  </w:divsChild>
                </w:div>
                <w:div w:id="2051610937">
                  <w:marLeft w:val="0"/>
                  <w:marRight w:val="0"/>
                  <w:marTop w:val="0"/>
                  <w:marBottom w:val="0"/>
                  <w:divBdr>
                    <w:top w:val="none" w:sz="0" w:space="0" w:color="auto"/>
                    <w:left w:val="none" w:sz="0" w:space="0" w:color="auto"/>
                    <w:bottom w:val="none" w:sz="0" w:space="0" w:color="auto"/>
                    <w:right w:val="none" w:sz="0" w:space="0" w:color="auto"/>
                  </w:divBdr>
                  <w:divsChild>
                    <w:div w:id="6378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035999">
          <w:marLeft w:val="0"/>
          <w:marRight w:val="0"/>
          <w:marTop w:val="0"/>
          <w:marBottom w:val="0"/>
          <w:divBdr>
            <w:top w:val="none" w:sz="0" w:space="0" w:color="auto"/>
            <w:left w:val="none" w:sz="0" w:space="0" w:color="auto"/>
            <w:bottom w:val="none" w:sz="0" w:space="0" w:color="auto"/>
            <w:right w:val="none" w:sz="0" w:space="0" w:color="auto"/>
          </w:divBdr>
        </w:div>
        <w:div w:id="1341156226">
          <w:marLeft w:val="0"/>
          <w:marRight w:val="0"/>
          <w:marTop w:val="0"/>
          <w:marBottom w:val="0"/>
          <w:divBdr>
            <w:top w:val="none" w:sz="0" w:space="0" w:color="auto"/>
            <w:left w:val="none" w:sz="0" w:space="0" w:color="auto"/>
            <w:bottom w:val="none" w:sz="0" w:space="0" w:color="auto"/>
            <w:right w:val="none" w:sz="0" w:space="0" w:color="auto"/>
          </w:divBdr>
        </w:div>
      </w:divsChild>
    </w:div>
    <w:div w:id="211502881">
      <w:bodyDiv w:val="1"/>
      <w:marLeft w:val="0"/>
      <w:marRight w:val="0"/>
      <w:marTop w:val="0"/>
      <w:marBottom w:val="0"/>
      <w:divBdr>
        <w:top w:val="none" w:sz="0" w:space="0" w:color="auto"/>
        <w:left w:val="none" w:sz="0" w:space="0" w:color="auto"/>
        <w:bottom w:val="none" w:sz="0" w:space="0" w:color="auto"/>
        <w:right w:val="none" w:sz="0" w:space="0" w:color="auto"/>
      </w:divBdr>
    </w:div>
    <w:div w:id="464661765">
      <w:bodyDiv w:val="1"/>
      <w:marLeft w:val="0"/>
      <w:marRight w:val="0"/>
      <w:marTop w:val="0"/>
      <w:marBottom w:val="0"/>
      <w:divBdr>
        <w:top w:val="none" w:sz="0" w:space="0" w:color="auto"/>
        <w:left w:val="none" w:sz="0" w:space="0" w:color="auto"/>
        <w:bottom w:val="none" w:sz="0" w:space="0" w:color="auto"/>
        <w:right w:val="none" w:sz="0" w:space="0" w:color="auto"/>
      </w:divBdr>
    </w:div>
    <w:div w:id="520166956">
      <w:bodyDiv w:val="1"/>
      <w:marLeft w:val="0"/>
      <w:marRight w:val="0"/>
      <w:marTop w:val="0"/>
      <w:marBottom w:val="0"/>
      <w:divBdr>
        <w:top w:val="none" w:sz="0" w:space="0" w:color="auto"/>
        <w:left w:val="none" w:sz="0" w:space="0" w:color="auto"/>
        <w:bottom w:val="none" w:sz="0" w:space="0" w:color="auto"/>
        <w:right w:val="none" w:sz="0" w:space="0" w:color="auto"/>
      </w:divBdr>
    </w:div>
    <w:div w:id="722221150">
      <w:bodyDiv w:val="1"/>
      <w:marLeft w:val="0"/>
      <w:marRight w:val="0"/>
      <w:marTop w:val="0"/>
      <w:marBottom w:val="0"/>
      <w:divBdr>
        <w:top w:val="none" w:sz="0" w:space="0" w:color="auto"/>
        <w:left w:val="none" w:sz="0" w:space="0" w:color="auto"/>
        <w:bottom w:val="none" w:sz="0" w:space="0" w:color="auto"/>
        <w:right w:val="none" w:sz="0" w:space="0" w:color="auto"/>
      </w:divBdr>
      <w:divsChild>
        <w:div w:id="22368579">
          <w:marLeft w:val="0"/>
          <w:marRight w:val="0"/>
          <w:marTop w:val="0"/>
          <w:marBottom w:val="0"/>
          <w:divBdr>
            <w:top w:val="none" w:sz="0" w:space="0" w:color="auto"/>
            <w:left w:val="none" w:sz="0" w:space="0" w:color="auto"/>
            <w:bottom w:val="none" w:sz="0" w:space="0" w:color="auto"/>
            <w:right w:val="none" w:sz="0" w:space="0" w:color="auto"/>
          </w:divBdr>
        </w:div>
        <w:div w:id="48648220">
          <w:marLeft w:val="0"/>
          <w:marRight w:val="0"/>
          <w:marTop w:val="0"/>
          <w:marBottom w:val="0"/>
          <w:divBdr>
            <w:top w:val="none" w:sz="0" w:space="0" w:color="auto"/>
            <w:left w:val="none" w:sz="0" w:space="0" w:color="auto"/>
            <w:bottom w:val="none" w:sz="0" w:space="0" w:color="auto"/>
            <w:right w:val="none" w:sz="0" w:space="0" w:color="auto"/>
          </w:divBdr>
        </w:div>
        <w:div w:id="87626907">
          <w:marLeft w:val="0"/>
          <w:marRight w:val="0"/>
          <w:marTop w:val="0"/>
          <w:marBottom w:val="0"/>
          <w:divBdr>
            <w:top w:val="none" w:sz="0" w:space="0" w:color="auto"/>
            <w:left w:val="none" w:sz="0" w:space="0" w:color="auto"/>
            <w:bottom w:val="none" w:sz="0" w:space="0" w:color="auto"/>
            <w:right w:val="none" w:sz="0" w:space="0" w:color="auto"/>
          </w:divBdr>
        </w:div>
        <w:div w:id="198514563">
          <w:marLeft w:val="0"/>
          <w:marRight w:val="0"/>
          <w:marTop w:val="0"/>
          <w:marBottom w:val="0"/>
          <w:divBdr>
            <w:top w:val="none" w:sz="0" w:space="0" w:color="auto"/>
            <w:left w:val="none" w:sz="0" w:space="0" w:color="auto"/>
            <w:bottom w:val="none" w:sz="0" w:space="0" w:color="auto"/>
            <w:right w:val="none" w:sz="0" w:space="0" w:color="auto"/>
          </w:divBdr>
        </w:div>
        <w:div w:id="231475605">
          <w:marLeft w:val="0"/>
          <w:marRight w:val="0"/>
          <w:marTop w:val="0"/>
          <w:marBottom w:val="0"/>
          <w:divBdr>
            <w:top w:val="none" w:sz="0" w:space="0" w:color="auto"/>
            <w:left w:val="none" w:sz="0" w:space="0" w:color="auto"/>
            <w:bottom w:val="none" w:sz="0" w:space="0" w:color="auto"/>
            <w:right w:val="none" w:sz="0" w:space="0" w:color="auto"/>
          </w:divBdr>
        </w:div>
        <w:div w:id="297149303">
          <w:marLeft w:val="0"/>
          <w:marRight w:val="0"/>
          <w:marTop w:val="0"/>
          <w:marBottom w:val="0"/>
          <w:divBdr>
            <w:top w:val="none" w:sz="0" w:space="0" w:color="auto"/>
            <w:left w:val="none" w:sz="0" w:space="0" w:color="auto"/>
            <w:bottom w:val="none" w:sz="0" w:space="0" w:color="auto"/>
            <w:right w:val="none" w:sz="0" w:space="0" w:color="auto"/>
          </w:divBdr>
        </w:div>
        <w:div w:id="341980431">
          <w:marLeft w:val="0"/>
          <w:marRight w:val="0"/>
          <w:marTop w:val="0"/>
          <w:marBottom w:val="0"/>
          <w:divBdr>
            <w:top w:val="none" w:sz="0" w:space="0" w:color="auto"/>
            <w:left w:val="none" w:sz="0" w:space="0" w:color="auto"/>
            <w:bottom w:val="none" w:sz="0" w:space="0" w:color="auto"/>
            <w:right w:val="none" w:sz="0" w:space="0" w:color="auto"/>
          </w:divBdr>
        </w:div>
        <w:div w:id="579411000">
          <w:marLeft w:val="0"/>
          <w:marRight w:val="0"/>
          <w:marTop w:val="0"/>
          <w:marBottom w:val="0"/>
          <w:divBdr>
            <w:top w:val="none" w:sz="0" w:space="0" w:color="auto"/>
            <w:left w:val="none" w:sz="0" w:space="0" w:color="auto"/>
            <w:bottom w:val="none" w:sz="0" w:space="0" w:color="auto"/>
            <w:right w:val="none" w:sz="0" w:space="0" w:color="auto"/>
          </w:divBdr>
        </w:div>
        <w:div w:id="588730764">
          <w:marLeft w:val="0"/>
          <w:marRight w:val="0"/>
          <w:marTop w:val="0"/>
          <w:marBottom w:val="0"/>
          <w:divBdr>
            <w:top w:val="none" w:sz="0" w:space="0" w:color="auto"/>
            <w:left w:val="none" w:sz="0" w:space="0" w:color="auto"/>
            <w:bottom w:val="none" w:sz="0" w:space="0" w:color="auto"/>
            <w:right w:val="none" w:sz="0" w:space="0" w:color="auto"/>
          </w:divBdr>
        </w:div>
        <w:div w:id="651719461">
          <w:marLeft w:val="0"/>
          <w:marRight w:val="0"/>
          <w:marTop w:val="0"/>
          <w:marBottom w:val="0"/>
          <w:divBdr>
            <w:top w:val="none" w:sz="0" w:space="0" w:color="auto"/>
            <w:left w:val="none" w:sz="0" w:space="0" w:color="auto"/>
            <w:bottom w:val="none" w:sz="0" w:space="0" w:color="auto"/>
            <w:right w:val="none" w:sz="0" w:space="0" w:color="auto"/>
          </w:divBdr>
        </w:div>
        <w:div w:id="658922095">
          <w:marLeft w:val="0"/>
          <w:marRight w:val="0"/>
          <w:marTop w:val="0"/>
          <w:marBottom w:val="0"/>
          <w:divBdr>
            <w:top w:val="none" w:sz="0" w:space="0" w:color="auto"/>
            <w:left w:val="none" w:sz="0" w:space="0" w:color="auto"/>
            <w:bottom w:val="none" w:sz="0" w:space="0" w:color="auto"/>
            <w:right w:val="none" w:sz="0" w:space="0" w:color="auto"/>
          </w:divBdr>
        </w:div>
        <w:div w:id="682708711">
          <w:marLeft w:val="0"/>
          <w:marRight w:val="0"/>
          <w:marTop w:val="0"/>
          <w:marBottom w:val="0"/>
          <w:divBdr>
            <w:top w:val="none" w:sz="0" w:space="0" w:color="auto"/>
            <w:left w:val="none" w:sz="0" w:space="0" w:color="auto"/>
            <w:bottom w:val="none" w:sz="0" w:space="0" w:color="auto"/>
            <w:right w:val="none" w:sz="0" w:space="0" w:color="auto"/>
          </w:divBdr>
        </w:div>
        <w:div w:id="825783472">
          <w:marLeft w:val="0"/>
          <w:marRight w:val="0"/>
          <w:marTop w:val="0"/>
          <w:marBottom w:val="0"/>
          <w:divBdr>
            <w:top w:val="none" w:sz="0" w:space="0" w:color="auto"/>
            <w:left w:val="none" w:sz="0" w:space="0" w:color="auto"/>
            <w:bottom w:val="none" w:sz="0" w:space="0" w:color="auto"/>
            <w:right w:val="none" w:sz="0" w:space="0" w:color="auto"/>
          </w:divBdr>
        </w:div>
        <w:div w:id="939680801">
          <w:marLeft w:val="0"/>
          <w:marRight w:val="0"/>
          <w:marTop w:val="0"/>
          <w:marBottom w:val="0"/>
          <w:divBdr>
            <w:top w:val="none" w:sz="0" w:space="0" w:color="auto"/>
            <w:left w:val="none" w:sz="0" w:space="0" w:color="auto"/>
            <w:bottom w:val="none" w:sz="0" w:space="0" w:color="auto"/>
            <w:right w:val="none" w:sz="0" w:space="0" w:color="auto"/>
          </w:divBdr>
        </w:div>
        <w:div w:id="1275821074">
          <w:marLeft w:val="0"/>
          <w:marRight w:val="0"/>
          <w:marTop w:val="0"/>
          <w:marBottom w:val="0"/>
          <w:divBdr>
            <w:top w:val="none" w:sz="0" w:space="0" w:color="auto"/>
            <w:left w:val="none" w:sz="0" w:space="0" w:color="auto"/>
            <w:bottom w:val="none" w:sz="0" w:space="0" w:color="auto"/>
            <w:right w:val="none" w:sz="0" w:space="0" w:color="auto"/>
          </w:divBdr>
        </w:div>
        <w:div w:id="1659535036">
          <w:marLeft w:val="0"/>
          <w:marRight w:val="0"/>
          <w:marTop w:val="0"/>
          <w:marBottom w:val="0"/>
          <w:divBdr>
            <w:top w:val="none" w:sz="0" w:space="0" w:color="auto"/>
            <w:left w:val="none" w:sz="0" w:space="0" w:color="auto"/>
            <w:bottom w:val="none" w:sz="0" w:space="0" w:color="auto"/>
            <w:right w:val="none" w:sz="0" w:space="0" w:color="auto"/>
          </w:divBdr>
        </w:div>
        <w:div w:id="1728723373">
          <w:marLeft w:val="0"/>
          <w:marRight w:val="0"/>
          <w:marTop w:val="0"/>
          <w:marBottom w:val="0"/>
          <w:divBdr>
            <w:top w:val="none" w:sz="0" w:space="0" w:color="auto"/>
            <w:left w:val="none" w:sz="0" w:space="0" w:color="auto"/>
            <w:bottom w:val="none" w:sz="0" w:space="0" w:color="auto"/>
            <w:right w:val="none" w:sz="0" w:space="0" w:color="auto"/>
          </w:divBdr>
        </w:div>
        <w:div w:id="1799835207">
          <w:marLeft w:val="0"/>
          <w:marRight w:val="0"/>
          <w:marTop w:val="0"/>
          <w:marBottom w:val="0"/>
          <w:divBdr>
            <w:top w:val="none" w:sz="0" w:space="0" w:color="auto"/>
            <w:left w:val="none" w:sz="0" w:space="0" w:color="auto"/>
            <w:bottom w:val="none" w:sz="0" w:space="0" w:color="auto"/>
            <w:right w:val="none" w:sz="0" w:space="0" w:color="auto"/>
          </w:divBdr>
        </w:div>
        <w:div w:id="1846167757">
          <w:marLeft w:val="0"/>
          <w:marRight w:val="0"/>
          <w:marTop w:val="0"/>
          <w:marBottom w:val="0"/>
          <w:divBdr>
            <w:top w:val="none" w:sz="0" w:space="0" w:color="auto"/>
            <w:left w:val="none" w:sz="0" w:space="0" w:color="auto"/>
            <w:bottom w:val="none" w:sz="0" w:space="0" w:color="auto"/>
            <w:right w:val="none" w:sz="0" w:space="0" w:color="auto"/>
          </w:divBdr>
        </w:div>
        <w:div w:id="1883980944">
          <w:marLeft w:val="0"/>
          <w:marRight w:val="0"/>
          <w:marTop w:val="0"/>
          <w:marBottom w:val="0"/>
          <w:divBdr>
            <w:top w:val="none" w:sz="0" w:space="0" w:color="auto"/>
            <w:left w:val="none" w:sz="0" w:space="0" w:color="auto"/>
            <w:bottom w:val="none" w:sz="0" w:space="0" w:color="auto"/>
            <w:right w:val="none" w:sz="0" w:space="0" w:color="auto"/>
          </w:divBdr>
        </w:div>
        <w:div w:id="1962149109">
          <w:marLeft w:val="0"/>
          <w:marRight w:val="0"/>
          <w:marTop w:val="0"/>
          <w:marBottom w:val="0"/>
          <w:divBdr>
            <w:top w:val="none" w:sz="0" w:space="0" w:color="auto"/>
            <w:left w:val="none" w:sz="0" w:space="0" w:color="auto"/>
            <w:bottom w:val="none" w:sz="0" w:space="0" w:color="auto"/>
            <w:right w:val="none" w:sz="0" w:space="0" w:color="auto"/>
          </w:divBdr>
        </w:div>
        <w:div w:id="1994485838">
          <w:marLeft w:val="0"/>
          <w:marRight w:val="0"/>
          <w:marTop w:val="0"/>
          <w:marBottom w:val="0"/>
          <w:divBdr>
            <w:top w:val="none" w:sz="0" w:space="0" w:color="auto"/>
            <w:left w:val="none" w:sz="0" w:space="0" w:color="auto"/>
            <w:bottom w:val="none" w:sz="0" w:space="0" w:color="auto"/>
            <w:right w:val="none" w:sz="0" w:space="0" w:color="auto"/>
          </w:divBdr>
        </w:div>
        <w:div w:id="2106417108">
          <w:marLeft w:val="0"/>
          <w:marRight w:val="0"/>
          <w:marTop w:val="0"/>
          <w:marBottom w:val="0"/>
          <w:divBdr>
            <w:top w:val="none" w:sz="0" w:space="0" w:color="auto"/>
            <w:left w:val="none" w:sz="0" w:space="0" w:color="auto"/>
            <w:bottom w:val="none" w:sz="0" w:space="0" w:color="auto"/>
            <w:right w:val="none" w:sz="0" w:space="0" w:color="auto"/>
          </w:divBdr>
        </w:div>
      </w:divsChild>
    </w:div>
    <w:div w:id="815029022">
      <w:bodyDiv w:val="1"/>
      <w:marLeft w:val="0"/>
      <w:marRight w:val="0"/>
      <w:marTop w:val="0"/>
      <w:marBottom w:val="0"/>
      <w:divBdr>
        <w:top w:val="none" w:sz="0" w:space="0" w:color="auto"/>
        <w:left w:val="none" w:sz="0" w:space="0" w:color="auto"/>
        <w:bottom w:val="none" w:sz="0" w:space="0" w:color="auto"/>
        <w:right w:val="none" w:sz="0" w:space="0" w:color="auto"/>
      </w:divBdr>
      <w:divsChild>
        <w:div w:id="688533579">
          <w:marLeft w:val="0"/>
          <w:marRight w:val="0"/>
          <w:marTop w:val="0"/>
          <w:marBottom w:val="0"/>
          <w:divBdr>
            <w:top w:val="none" w:sz="0" w:space="0" w:color="auto"/>
            <w:left w:val="none" w:sz="0" w:space="0" w:color="auto"/>
            <w:bottom w:val="none" w:sz="0" w:space="0" w:color="auto"/>
            <w:right w:val="none" w:sz="0" w:space="0" w:color="auto"/>
          </w:divBdr>
        </w:div>
        <w:div w:id="1029795506">
          <w:marLeft w:val="0"/>
          <w:marRight w:val="0"/>
          <w:marTop w:val="0"/>
          <w:marBottom w:val="0"/>
          <w:divBdr>
            <w:top w:val="none" w:sz="0" w:space="0" w:color="auto"/>
            <w:left w:val="none" w:sz="0" w:space="0" w:color="auto"/>
            <w:bottom w:val="none" w:sz="0" w:space="0" w:color="auto"/>
            <w:right w:val="none" w:sz="0" w:space="0" w:color="auto"/>
          </w:divBdr>
        </w:div>
        <w:div w:id="1086804016">
          <w:marLeft w:val="0"/>
          <w:marRight w:val="0"/>
          <w:marTop w:val="0"/>
          <w:marBottom w:val="0"/>
          <w:divBdr>
            <w:top w:val="none" w:sz="0" w:space="0" w:color="auto"/>
            <w:left w:val="none" w:sz="0" w:space="0" w:color="auto"/>
            <w:bottom w:val="none" w:sz="0" w:space="0" w:color="auto"/>
            <w:right w:val="none" w:sz="0" w:space="0" w:color="auto"/>
          </w:divBdr>
          <w:divsChild>
            <w:div w:id="1503937239">
              <w:marLeft w:val="-75"/>
              <w:marRight w:val="0"/>
              <w:marTop w:val="30"/>
              <w:marBottom w:val="30"/>
              <w:divBdr>
                <w:top w:val="none" w:sz="0" w:space="0" w:color="auto"/>
                <w:left w:val="none" w:sz="0" w:space="0" w:color="auto"/>
                <w:bottom w:val="none" w:sz="0" w:space="0" w:color="auto"/>
                <w:right w:val="none" w:sz="0" w:space="0" w:color="auto"/>
              </w:divBdr>
              <w:divsChild>
                <w:div w:id="51580256">
                  <w:marLeft w:val="0"/>
                  <w:marRight w:val="0"/>
                  <w:marTop w:val="0"/>
                  <w:marBottom w:val="0"/>
                  <w:divBdr>
                    <w:top w:val="none" w:sz="0" w:space="0" w:color="auto"/>
                    <w:left w:val="none" w:sz="0" w:space="0" w:color="auto"/>
                    <w:bottom w:val="none" w:sz="0" w:space="0" w:color="auto"/>
                    <w:right w:val="none" w:sz="0" w:space="0" w:color="auto"/>
                  </w:divBdr>
                  <w:divsChild>
                    <w:div w:id="1700231784">
                      <w:marLeft w:val="0"/>
                      <w:marRight w:val="0"/>
                      <w:marTop w:val="0"/>
                      <w:marBottom w:val="0"/>
                      <w:divBdr>
                        <w:top w:val="none" w:sz="0" w:space="0" w:color="auto"/>
                        <w:left w:val="none" w:sz="0" w:space="0" w:color="auto"/>
                        <w:bottom w:val="none" w:sz="0" w:space="0" w:color="auto"/>
                        <w:right w:val="none" w:sz="0" w:space="0" w:color="auto"/>
                      </w:divBdr>
                    </w:div>
                  </w:divsChild>
                </w:div>
                <w:div w:id="152338019">
                  <w:marLeft w:val="0"/>
                  <w:marRight w:val="0"/>
                  <w:marTop w:val="0"/>
                  <w:marBottom w:val="0"/>
                  <w:divBdr>
                    <w:top w:val="none" w:sz="0" w:space="0" w:color="auto"/>
                    <w:left w:val="none" w:sz="0" w:space="0" w:color="auto"/>
                    <w:bottom w:val="none" w:sz="0" w:space="0" w:color="auto"/>
                    <w:right w:val="none" w:sz="0" w:space="0" w:color="auto"/>
                  </w:divBdr>
                  <w:divsChild>
                    <w:div w:id="37363080">
                      <w:marLeft w:val="0"/>
                      <w:marRight w:val="0"/>
                      <w:marTop w:val="0"/>
                      <w:marBottom w:val="0"/>
                      <w:divBdr>
                        <w:top w:val="none" w:sz="0" w:space="0" w:color="auto"/>
                        <w:left w:val="none" w:sz="0" w:space="0" w:color="auto"/>
                        <w:bottom w:val="none" w:sz="0" w:space="0" w:color="auto"/>
                        <w:right w:val="none" w:sz="0" w:space="0" w:color="auto"/>
                      </w:divBdr>
                    </w:div>
                  </w:divsChild>
                </w:div>
                <w:div w:id="204609947">
                  <w:marLeft w:val="0"/>
                  <w:marRight w:val="0"/>
                  <w:marTop w:val="0"/>
                  <w:marBottom w:val="0"/>
                  <w:divBdr>
                    <w:top w:val="none" w:sz="0" w:space="0" w:color="auto"/>
                    <w:left w:val="none" w:sz="0" w:space="0" w:color="auto"/>
                    <w:bottom w:val="none" w:sz="0" w:space="0" w:color="auto"/>
                    <w:right w:val="none" w:sz="0" w:space="0" w:color="auto"/>
                  </w:divBdr>
                  <w:divsChild>
                    <w:div w:id="1271740307">
                      <w:marLeft w:val="0"/>
                      <w:marRight w:val="0"/>
                      <w:marTop w:val="0"/>
                      <w:marBottom w:val="0"/>
                      <w:divBdr>
                        <w:top w:val="none" w:sz="0" w:space="0" w:color="auto"/>
                        <w:left w:val="none" w:sz="0" w:space="0" w:color="auto"/>
                        <w:bottom w:val="none" w:sz="0" w:space="0" w:color="auto"/>
                        <w:right w:val="none" w:sz="0" w:space="0" w:color="auto"/>
                      </w:divBdr>
                    </w:div>
                  </w:divsChild>
                </w:div>
                <w:div w:id="324358046">
                  <w:marLeft w:val="0"/>
                  <w:marRight w:val="0"/>
                  <w:marTop w:val="0"/>
                  <w:marBottom w:val="0"/>
                  <w:divBdr>
                    <w:top w:val="none" w:sz="0" w:space="0" w:color="auto"/>
                    <w:left w:val="none" w:sz="0" w:space="0" w:color="auto"/>
                    <w:bottom w:val="none" w:sz="0" w:space="0" w:color="auto"/>
                    <w:right w:val="none" w:sz="0" w:space="0" w:color="auto"/>
                  </w:divBdr>
                  <w:divsChild>
                    <w:div w:id="1402142900">
                      <w:marLeft w:val="0"/>
                      <w:marRight w:val="0"/>
                      <w:marTop w:val="0"/>
                      <w:marBottom w:val="0"/>
                      <w:divBdr>
                        <w:top w:val="none" w:sz="0" w:space="0" w:color="auto"/>
                        <w:left w:val="none" w:sz="0" w:space="0" w:color="auto"/>
                        <w:bottom w:val="none" w:sz="0" w:space="0" w:color="auto"/>
                        <w:right w:val="none" w:sz="0" w:space="0" w:color="auto"/>
                      </w:divBdr>
                    </w:div>
                  </w:divsChild>
                </w:div>
                <w:div w:id="529996779">
                  <w:marLeft w:val="0"/>
                  <w:marRight w:val="0"/>
                  <w:marTop w:val="0"/>
                  <w:marBottom w:val="0"/>
                  <w:divBdr>
                    <w:top w:val="none" w:sz="0" w:space="0" w:color="auto"/>
                    <w:left w:val="none" w:sz="0" w:space="0" w:color="auto"/>
                    <w:bottom w:val="none" w:sz="0" w:space="0" w:color="auto"/>
                    <w:right w:val="none" w:sz="0" w:space="0" w:color="auto"/>
                  </w:divBdr>
                  <w:divsChild>
                    <w:div w:id="1903328202">
                      <w:marLeft w:val="0"/>
                      <w:marRight w:val="0"/>
                      <w:marTop w:val="0"/>
                      <w:marBottom w:val="0"/>
                      <w:divBdr>
                        <w:top w:val="none" w:sz="0" w:space="0" w:color="auto"/>
                        <w:left w:val="none" w:sz="0" w:space="0" w:color="auto"/>
                        <w:bottom w:val="none" w:sz="0" w:space="0" w:color="auto"/>
                        <w:right w:val="none" w:sz="0" w:space="0" w:color="auto"/>
                      </w:divBdr>
                    </w:div>
                  </w:divsChild>
                </w:div>
                <w:div w:id="637884749">
                  <w:marLeft w:val="0"/>
                  <w:marRight w:val="0"/>
                  <w:marTop w:val="0"/>
                  <w:marBottom w:val="0"/>
                  <w:divBdr>
                    <w:top w:val="none" w:sz="0" w:space="0" w:color="auto"/>
                    <w:left w:val="none" w:sz="0" w:space="0" w:color="auto"/>
                    <w:bottom w:val="none" w:sz="0" w:space="0" w:color="auto"/>
                    <w:right w:val="none" w:sz="0" w:space="0" w:color="auto"/>
                  </w:divBdr>
                  <w:divsChild>
                    <w:div w:id="676543526">
                      <w:marLeft w:val="0"/>
                      <w:marRight w:val="0"/>
                      <w:marTop w:val="0"/>
                      <w:marBottom w:val="0"/>
                      <w:divBdr>
                        <w:top w:val="none" w:sz="0" w:space="0" w:color="auto"/>
                        <w:left w:val="none" w:sz="0" w:space="0" w:color="auto"/>
                        <w:bottom w:val="none" w:sz="0" w:space="0" w:color="auto"/>
                        <w:right w:val="none" w:sz="0" w:space="0" w:color="auto"/>
                      </w:divBdr>
                    </w:div>
                  </w:divsChild>
                </w:div>
                <w:div w:id="710688896">
                  <w:marLeft w:val="0"/>
                  <w:marRight w:val="0"/>
                  <w:marTop w:val="0"/>
                  <w:marBottom w:val="0"/>
                  <w:divBdr>
                    <w:top w:val="none" w:sz="0" w:space="0" w:color="auto"/>
                    <w:left w:val="none" w:sz="0" w:space="0" w:color="auto"/>
                    <w:bottom w:val="none" w:sz="0" w:space="0" w:color="auto"/>
                    <w:right w:val="none" w:sz="0" w:space="0" w:color="auto"/>
                  </w:divBdr>
                  <w:divsChild>
                    <w:div w:id="956832954">
                      <w:marLeft w:val="0"/>
                      <w:marRight w:val="0"/>
                      <w:marTop w:val="0"/>
                      <w:marBottom w:val="0"/>
                      <w:divBdr>
                        <w:top w:val="none" w:sz="0" w:space="0" w:color="auto"/>
                        <w:left w:val="none" w:sz="0" w:space="0" w:color="auto"/>
                        <w:bottom w:val="none" w:sz="0" w:space="0" w:color="auto"/>
                        <w:right w:val="none" w:sz="0" w:space="0" w:color="auto"/>
                      </w:divBdr>
                    </w:div>
                  </w:divsChild>
                </w:div>
                <w:div w:id="756901018">
                  <w:marLeft w:val="0"/>
                  <w:marRight w:val="0"/>
                  <w:marTop w:val="0"/>
                  <w:marBottom w:val="0"/>
                  <w:divBdr>
                    <w:top w:val="none" w:sz="0" w:space="0" w:color="auto"/>
                    <w:left w:val="none" w:sz="0" w:space="0" w:color="auto"/>
                    <w:bottom w:val="none" w:sz="0" w:space="0" w:color="auto"/>
                    <w:right w:val="none" w:sz="0" w:space="0" w:color="auto"/>
                  </w:divBdr>
                  <w:divsChild>
                    <w:div w:id="310257251">
                      <w:marLeft w:val="0"/>
                      <w:marRight w:val="0"/>
                      <w:marTop w:val="0"/>
                      <w:marBottom w:val="0"/>
                      <w:divBdr>
                        <w:top w:val="none" w:sz="0" w:space="0" w:color="auto"/>
                        <w:left w:val="none" w:sz="0" w:space="0" w:color="auto"/>
                        <w:bottom w:val="none" w:sz="0" w:space="0" w:color="auto"/>
                        <w:right w:val="none" w:sz="0" w:space="0" w:color="auto"/>
                      </w:divBdr>
                    </w:div>
                  </w:divsChild>
                </w:div>
                <w:div w:id="774251797">
                  <w:marLeft w:val="0"/>
                  <w:marRight w:val="0"/>
                  <w:marTop w:val="0"/>
                  <w:marBottom w:val="0"/>
                  <w:divBdr>
                    <w:top w:val="none" w:sz="0" w:space="0" w:color="auto"/>
                    <w:left w:val="none" w:sz="0" w:space="0" w:color="auto"/>
                    <w:bottom w:val="none" w:sz="0" w:space="0" w:color="auto"/>
                    <w:right w:val="none" w:sz="0" w:space="0" w:color="auto"/>
                  </w:divBdr>
                  <w:divsChild>
                    <w:div w:id="1502312261">
                      <w:marLeft w:val="0"/>
                      <w:marRight w:val="0"/>
                      <w:marTop w:val="0"/>
                      <w:marBottom w:val="0"/>
                      <w:divBdr>
                        <w:top w:val="none" w:sz="0" w:space="0" w:color="auto"/>
                        <w:left w:val="none" w:sz="0" w:space="0" w:color="auto"/>
                        <w:bottom w:val="none" w:sz="0" w:space="0" w:color="auto"/>
                        <w:right w:val="none" w:sz="0" w:space="0" w:color="auto"/>
                      </w:divBdr>
                    </w:div>
                  </w:divsChild>
                </w:div>
                <w:div w:id="774449381">
                  <w:marLeft w:val="0"/>
                  <w:marRight w:val="0"/>
                  <w:marTop w:val="0"/>
                  <w:marBottom w:val="0"/>
                  <w:divBdr>
                    <w:top w:val="none" w:sz="0" w:space="0" w:color="auto"/>
                    <w:left w:val="none" w:sz="0" w:space="0" w:color="auto"/>
                    <w:bottom w:val="none" w:sz="0" w:space="0" w:color="auto"/>
                    <w:right w:val="none" w:sz="0" w:space="0" w:color="auto"/>
                  </w:divBdr>
                  <w:divsChild>
                    <w:div w:id="2019458245">
                      <w:marLeft w:val="0"/>
                      <w:marRight w:val="0"/>
                      <w:marTop w:val="0"/>
                      <w:marBottom w:val="0"/>
                      <w:divBdr>
                        <w:top w:val="none" w:sz="0" w:space="0" w:color="auto"/>
                        <w:left w:val="none" w:sz="0" w:space="0" w:color="auto"/>
                        <w:bottom w:val="none" w:sz="0" w:space="0" w:color="auto"/>
                        <w:right w:val="none" w:sz="0" w:space="0" w:color="auto"/>
                      </w:divBdr>
                    </w:div>
                  </w:divsChild>
                </w:div>
                <w:div w:id="898327312">
                  <w:marLeft w:val="0"/>
                  <w:marRight w:val="0"/>
                  <w:marTop w:val="0"/>
                  <w:marBottom w:val="0"/>
                  <w:divBdr>
                    <w:top w:val="none" w:sz="0" w:space="0" w:color="auto"/>
                    <w:left w:val="none" w:sz="0" w:space="0" w:color="auto"/>
                    <w:bottom w:val="none" w:sz="0" w:space="0" w:color="auto"/>
                    <w:right w:val="none" w:sz="0" w:space="0" w:color="auto"/>
                  </w:divBdr>
                  <w:divsChild>
                    <w:div w:id="2098362658">
                      <w:marLeft w:val="0"/>
                      <w:marRight w:val="0"/>
                      <w:marTop w:val="0"/>
                      <w:marBottom w:val="0"/>
                      <w:divBdr>
                        <w:top w:val="none" w:sz="0" w:space="0" w:color="auto"/>
                        <w:left w:val="none" w:sz="0" w:space="0" w:color="auto"/>
                        <w:bottom w:val="none" w:sz="0" w:space="0" w:color="auto"/>
                        <w:right w:val="none" w:sz="0" w:space="0" w:color="auto"/>
                      </w:divBdr>
                    </w:div>
                  </w:divsChild>
                </w:div>
                <w:div w:id="954675128">
                  <w:marLeft w:val="0"/>
                  <w:marRight w:val="0"/>
                  <w:marTop w:val="0"/>
                  <w:marBottom w:val="0"/>
                  <w:divBdr>
                    <w:top w:val="none" w:sz="0" w:space="0" w:color="auto"/>
                    <w:left w:val="none" w:sz="0" w:space="0" w:color="auto"/>
                    <w:bottom w:val="none" w:sz="0" w:space="0" w:color="auto"/>
                    <w:right w:val="none" w:sz="0" w:space="0" w:color="auto"/>
                  </w:divBdr>
                  <w:divsChild>
                    <w:div w:id="1040209177">
                      <w:marLeft w:val="0"/>
                      <w:marRight w:val="0"/>
                      <w:marTop w:val="0"/>
                      <w:marBottom w:val="0"/>
                      <w:divBdr>
                        <w:top w:val="none" w:sz="0" w:space="0" w:color="auto"/>
                        <w:left w:val="none" w:sz="0" w:space="0" w:color="auto"/>
                        <w:bottom w:val="none" w:sz="0" w:space="0" w:color="auto"/>
                        <w:right w:val="none" w:sz="0" w:space="0" w:color="auto"/>
                      </w:divBdr>
                    </w:div>
                  </w:divsChild>
                </w:div>
                <w:div w:id="975451764">
                  <w:marLeft w:val="0"/>
                  <w:marRight w:val="0"/>
                  <w:marTop w:val="0"/>
                  <w:marBottom w:val="0"/>
                  <w:divBdr>
                    <w:top w:val="none" w:sz="0" w:space="0" w:color="auto"/>
                    <w:left w:val="none" w:sz="0" w:space="0" w:color="auto"/>
                    <w:bottom w:val="none" w:sz="0" w:space="0" w:color="auto"/>
                    <w:right w:val="none" w:sz="0" w:space="0" w:color="auto"/>
                  </w:divBdr>
                  <w:divsChild>
                    <w:div w:id="2025276402">
                      <w:marLeft w:val="0"/>
                      <w:marRight w:val="0"/>
                      <w:marTop w:val="0"/>
                      <w:marBottom w:val="0"/>
                      <w:divBdr>
                        <w:top w:val="none" w:sz="0" w:space="0" w:color="auto"/>
                        <w:left w:val="none" w:sz="0" w:space="0" w:color="auto"/>
                        <w:bottom w:val="none" w:sz="0" w:space="0" w:color="auto"/>
                        <w:right w:val="none" w:sz="0" w:space="0" w:color="auto"/>
                      </w:divBdr>
                    </w:div>
                  </w:divsChild>
                </w:div>
                <w:div w:id="985939391">
                  <w:marLeft w:val="0"/>
                  <w:marRight w:val="0"/>
                  <w:marTop w:val="0"/>
                  <w:marBottom w:val="0"/>
                  <w:divBdr>
                    <w:top w:val="none" w:sz="0" w:space="0" w:color="auto"/>
                    <w:left w:val="none" w:sz="0" w:space="0" w:color="auto"/>
                    <w:bottom w:val="none" w:sz="0" w:space="0" w:color="auto"/>
                    <w:right w:val="none" w:sz="0" w:space="0" w:color="auto"/>
                  </w:divBdr>
                  <w:divsChild>
                    <w:div w:id="1895655293">
                      <w:marLeft w:val="0"/>
                      <w:marRight w:val="0"/>
                      <w:marTop w:val="0"/>
                      <w:marBottom w:val="0"/>
                      <w:divBdr>
                        <w:top w:val="none" w:sz="0" w:space="0" w:color="auto"/>
                        <w:left w:val="none" w:sz="0" w:space="0" w:color="auto"/>
                        <w:bottom w:val="none" w:sz="0" w:space="0" w:color="auto"/>
                        <w:right w:val="none" w:sz="0" w:space="0" w:color="auto"/>
                      </w:divBdr>
                    </w:div>
                  </w:divsChild>
                </w:div>
                <w:div w:id="1136525397">
                  <w:marLeft w:val="0"/>
                  <w:marRight w:val="0"/>
                  <w:marTop w:val="0"/>
                  <w:marBottom w:val="0"/>
                  <w:divBdr>
                    <w:top w:val="none" w:sz="0" w:space="0" w:color="auto"/>
                    <w:left w:val="none" w:sz="0" w:space="0" w:color="auto"/>
                    <w:bottom w:val="none" w:sz="0" w:space="0" w:color="auto"/>
                    <w:right w:val="none" w:sz="0" w:space="0" w:color="auto"/>
                  </w:divBdr>
                  <w:divsChild>
                    <w:div w:id="1905992044">
                      <w:marLeft w:val="0"/>
                      <w:marRight w:val="0"/>
                      <w:marTop w:val="0"/>
                      <w:marBottom w:val="0"/>
                      <w:divBdr>
                        <w:top w:val="none" w:sz="0" w:space="0" w:color="auto"/>
                        <w:left w:val="none" w:sz="0" w:space="0" w:color="auto"/>
                        <w:bottom w:val="none" w:sz="0" w:space="0" w:color="auto"/>
                        <w:right w:val="none" w:sz="0" w:space="0" w:color="auto"/>
                      </w:divBdr>
                    </w:div>
                  </w:divsChild>
                </w:div>
                <w:div w:id="1143691577">
                  <w:marLeft w:val="0"/>
                  <w:marRight w:val="0"/>
                  <w:marTop w:val="0"/>
                  <w:marBottom w:val="0"/>
                  <w:divBdr>
                    <w:top w:val="none" w:sz="0" w:space="0" w:color="auto"/>
                    <w:left w:val="none" w:sz="0" w:space="0" w:color="auto"/>
                    <w:bottom w:val="none" w:sz="0" w:space="0" w:color="auto"/>
                    <w:right w:val="none" w:sz="0" w:space="0" w:color="auto"/>
                  </w:divBdr>
                  <w:divsChild>
                    <w:div w:id="862017734">
                      <w:marLeft w:val="0"/>
                      <w:marRight w:val="0"/>
                      <w:marTop w:val="0"/>
                      <w:marBottom w:val="0"/>
                      <w:divBdr>
                        <w:top w:val="none" w:sz="0" w:space="0" w:color="auto"/>
                        <w:left w:val="none" w:sz="0" w:space="0" w:color="auto"/>
                        <w:bottom w:val="none" w:sz="0" w:space="0" w:color="auto"/>
                        <w:right w:val="none" w:sz="0" w:space="0" w:color="auto"/>
                      </w:divBdr>
                    </w:div>
                  </w:divsChild>
                </w:div>
                <w:div w:id="1193417647">
                  <w:marLeft w:val="0"/>
                  <w:marRight w:val="0"/>
                  <w:marTop w:val="0"/>
                  <w:marBottom w:val="0"/>
                  <w:divBdr>
                    <w:top w:val="none" w:sz="0" w:space="0" w:color="auto"/>
                    <w:left w:val="none" w:sz="0" w:space="0" w:color="auto"/>
                    <w:bottom w:val="none" w:sz="0" w:space="0" w:color="auto"/>
                    <w:right w:val="none" w:sz="0" w:space="0" w:color="auto"/>
                  </w:divBdr>
                  <w:divsChild>
                    <w:div w:id="244539280">
                      <w:marLeft w:val="0"/>
                      <w:marRight w:val="0"/>
                      <w:marTop w:val="0"/>
                      <w:marBottom w:val="0"/>
                      <w:divBdr>
                        <w:top w:val="none" w:sz="0" w:space="0" w:color="auto"/>
                        <w:left w:val="none" w:sz="0" w:space="0" w:color="auto"/>
                        <w:bottom w:val="none" w:sz="0" w:space="0" w:color="auto"/>
                        <w:right w:val="none" w:sz="0" w:space="0" w:color="auto"/>
                      </w:divBdr>
                    </w:div>
                  </w:divsChild>
                </w:div>
                <w:div w:id="1243300354">
                  <w:marLeft w:val="0"/>
                  <w:marRight w:val="0"/>
                  <w:marTop w:val="0"/>
                  <w:marBottom w:val="0"/>
                  <w:divBdr>
                    <w:top w:val="none" w:sz="0" w:space="0" w:color="auto"/>
                    <w:left w:val="none" w:sz="0" w:space="0" w:color="auto"/>
                    <w:bottom w:val="none" w:sz="0" w:space="0" w:color="auto"/>
                    <w:right w:val="none" w:sz="0" w:space="0" w:color="auto"/>
                  </w:divBdr>
                  <w:divsChild>
                    <w:div w:id="544828826">
                      <w:marLeft w:val="0"/>
                      <w:marRight w:val="0"/>
                      <w:marTop w:val="0"/>
                      <w:marBottom w:val="0"/>
                      <w:divBdr>
                        <w:top w:val="none" w:sz="0" w:space="0" w:color="auto"/>
                        <w:left w:val="none" w:sz="0" w:space="0" w:color="auto"/>
                        <w:bottom w:val="none" w:sz="0" w:space="0" w:color="auto"/>
                        <w:right w:val="none" w:sz="0" w:space="0" w:color="auto"/>
                      </w:divBdr>
                    </w:div>
                  </w:divsChild>
                </w:div>
                <w:div w:id="1281186125">
                  <w:marLeft w:val="0"/>
                  <w:marRight w:val="0"/>
                  <w:marTop w:val="0"/>
                  <w:marBottom w:val="0"/>
                  <w:divBdr>
                    <w:top w:val="none" w:sz="0" w:space="0" w:color="auto"/>
                    <w:left w:val="none" w:sz="0" w:space="0" w:color="auto"/>
                    <w:bottom w:val="none" w:sz="0" w:space="0" w:color="auto"/>
                    <w:right w:val="none" w:sz="0" w:space="0" w:color="auto"/>
                  </w:divBdr>
                  <w:divsChild>
                    <w:div w:id="775903440">
                      <w:marLeft w:val="0"/>
                      <w:marRight w:val="0"/>
                      <w:marTop w:val="0"/>
                      <w:marBottom w:val="0"/>
                      <w:divBdr>
                        <w:top w:val="none" w:sz="0" w:space="0" w:color="auto"/>
                        <w:left w:val="none" w:sz="0" w:space="0" w:color="auto"/>
                        <w:bottom w:val="none" w:sz="0" w:space="0" w:color="auto"/>
                        <w:right w:val="none" w:sz="0" w:space="0" w:color="auto"/>
                      </w:divBdr>
                    </w:div>
                  </w:divsChild>
                </w:div>
                <w:div w:id="1302344467">
                  <w:marLeft w:val="0"/>
                  <w:marRight w:val="0"/>
                  <w:marTop w:val="0"/>
                  <w:marBottom w:val="0"/>
                  <w:divBdr>
                    <w:top w:val="none" w:sz="0" w:space="0" w:color="auto"/>
                    <w:left w:val="none" w:sz="0" w:space="0" w:color="auto"/>
                    <w:bottom w:val="none" w:sz="0" w:space="0" w:color="auto"/>
                    <w:right w:val="none" w:sz="0" w:space="0" w:color="auto"/>
                  </w:divBdr>
                  <w:divsChild>
                    <w:div w:id="433986841">
                      <w:marLeft w:val="0"/>
                      <w:marRight w:val="0"/>
                      <w:marTop w:val="0"/>
                      <w:marBottom w:val="0"/>
                      <w:divBdr>
                        <w:top w:val="none" w:sz="0" w:space="0" w:color="auto"/>
                        <w:left w:val="none" w:sz="0" w:space="0" w:color="auto"/>
                        <w:bottom w:val="none" w:sz="0" w:space="0" w:color="auto"/>
                        <w:right w:val="none" w:sz="0" w:space="0" w:color="auto"/>
                      </w:divBdr>
                    </w:div>
                  </w:divsChild>
                </w:div>
                <w:div w:id="1498033273">
                  <w:marLeft w:val="0"/>
                  <w:marRight w:val="0"/>
                  <w:marTop w:val="0"/>
                  <w:marBottom w:val="0"/>
                  <w:divBdr>
                    <w:top w:val="none" w:sz="0" w:space="0" w:color="auto"/>
                    <w:left w:val="none" w:sz="0" w:space="0" w:color="auto"/>
                    <w:bottom w:val="none" w:sz="0" w:space="0" w:color="auto"/>
                    <w:right w:val="none" w:sz="0" w:space="0" w:color="auto"/>
                  </w:divBdr>
                  <w:divsChild>
                    <w:div w:id="1400637896">
                      <w:marLeft w:val="0"/>
                      <w:marRight w:val="0"/>
                      <w:marTop w:val="0"/>
                      <w:marBottom w:val="0"/>
                      <w:divBdr>
                        <w:top w:val="none" w:sz="0" w:space="0" w:color="auto"/>
                        <w:left w:val="none" w:sz="0" w:space="0" w:color="auto"/>
                        <w:bottom w:val="none" w:sz="0" w:space="0" w:color="auto"/>
                        <w:right w:val="none" w:sz="0" w:space="0" w:color="auto"/>
                      </w:divBdr>
                    </w:div>
                  </w:divsChild>
                </w:div>
                <w:div w:id="1501309324">
                  <w:marLeft w:val="0"/>
                  <w:marRight w:val="0"/>
                  <w:marTop w:val="0"/>
                  <w:marBottom w:val="0"/>
                  <w:divBdr>
                    <w:top w:val="none" w:sz="0" w:space="0" w:color="auto"/>
                    <w:left w:val="none" w:sz="0" w:space="0" w:color="auto"/>
                    <w:bottom w:val="none" w:sz="0" w:space="0" w:color="auto"/>
                    <w:right w:val="none" w:sz="0" w:space="0" w:color="auto"/>
                  </w:divBdr>
                  <w:divsChild>
                    <w:div w:id="464591329">
                      <w:marLeft w:val="0"/>
                      <w:marRight w:val="0"/>
                      <w:marTop w:val="0"/>
                      <w:marBottom w:val="0"/>
                      <w:divBdr>
                        <w:top w:val="none" w:sz="0" w:space="0" w:color="auto"/>
                        <w:left w:val="none" w:sz="0" w:space="0" w:color="auto"/>
                        <w:bottom w:val="none" w:sz="0" w:space="0" w:color="auto"/>
                        <w:right w:val="none" w:sz="0" w:space="0" w:color="auto"/>
                      </w:divBdr>
                    </w:div>
                  </w:divsChild>
                </w:div>
                <w:div w:id="1510439398">
                  <w:marLeft w:val="0"/>
                  <w:marRight w:val="0"/>
                  <w:marTop w:val="0"/>
                  <w:marBottom w:val="0"/>
                  <w:divBdr>
                    <w:top w:val="none" w:sz="0" w:space="0" w:color="auto"/>
                    <w:left w:val="none" w:sz="0" w:space="0" w:color="auto"/>
                    <w:bottom w:val="none" w:sz="0" w:space="0" w:color="auto"/>
                    <w:right w:val="none" w:sz="0" w:space="0" w:color="auto"/>
                  </w:divBdr>
                  <w:divsChild>
                    <w:div w:id="224264301">
                      <w:marLeft w:val="0"/>
                      <w:marRight w:val="0"/>
                      <w:marTop w:val="0"/>
                      <w:marBottom w:val="0"/>
                      <w:divBdr>
                        <w:top w:val="none" w:sz="0" w:space="0" w:color="auto"/>
                        <w:left w:val="none" w:sz="0" w:space="0" w:color="auto"/>
                        <w:bottom w:val="none" w:sz="0" w:space="0" w:color="auto"/>
                        <w:right w:val="none" w:sz="0" w:space="0" w:color="auto"/>
                      </w:divBdr>
                    </w:div>
                  </w:divsChild>
                </w:div>
                <w:div w:id="1812676258">
                  <w:marLeft w:val="0"/>
                  <w:marRight w:val="0"/>
                  <w:marTop w:val="0"/>
                  <w:marBottom w:val="0"/>
                  <w:divBdr>
                    <w:top w:val="none" w:sz="0" w:space="0" w:color="auto"/>
                    <w:left w:val="none" w:sz="0" w:space="0" w:color="auto"/>
                    <w:bottom w:val="none" w:sz="0" w:space="0" w:color="auto"/>
                    <w:right w:val="none" w:sz="0" w:space="0" w:color="auto"/>
                  </w:divBdr>
                  <w:divsChild>
                    <w:div w:id="2083983941">
                      <w:marLeft w:val="0"/>
                      <w:marRight w:val="0"/>
                      <w:marTop w:val="0"/>
                      <w:marBottom w:val="0"/>
                      <w:divBdr>
                        <w:top w:val="none" w:sz="0" w:space="0" w:color="auto"/>
                        <w:left w:val="none" w:sz="0" w:space="0" w:color="auto"/>
                        <w:bottom w:val="none" w:sz="0" w:space="0" w:color="auto"/>
                        <w:right w:val="none" w:sz="0" w:space="0" w:color="auto"/>
                      </w:divBdr>
                    </w:div>
                  </w:divsChild>
                </w:div>
                <w:div w:id="1889294644">
                  <w:marLeft w:val="0"/>
                  <w:marRight w:val="0"/>
                  <w:marTop w:val="0"/>
                  <w:marBottom w:val="0"/>
                  <w:divBdr>
                    <w:top w:val="none" w:sz="0" w:space="0" w:color="auto"/>
                    <w:left w:val="none" w:sz="0" w:space="0" w:color="auto"/>
                    <w:bottom w:val="none" w:sz="0" w:space="0" w:color="auto"/>
                    <w:right w:val="none" w:sz="0" w:space="0" w:color="auto"/>
                  </w:divBdr>
                  <w:divsChild>
                    <w:div w:id="1984116673">
                      <w:marLeft w:val="0"/>
                      <w:marRight w:val="0"/>
                      <w:marTop w:val="0"/>
                      <w:marBottom w:val="0"/>
                      <w:divBdr>
                        <w:top w:val="none" w:sz="0" w:space="0" w:color="auto"/>
                        <w:left w:val="none" w:sz="0" w:space="0" w:color="auto"/>
                        <w:bottom w:val="none" w:sz="0" w:space="0" w:color="auto"/>
                        <w:right w:val="none" w:sz="0" w:space="0" w:color="auto"/>
                      </w:divBdr>
                    </w:div>
                  </w:divsChild>
                </w:div>
                <w:div w:id="2007391942">
                  <w:marLeft w:val="0"/>
                  <w:marRight w:val="0"/>
                  <w:marTop w:val="0"/>
                  <w:marBottom w:val="0"/>
                  <w:divBdr>
                    <w:top w:val="none" w:sz="0" w:space="0" w:color="auto"/>
                    <w:left w:val="none" w:sz="0" w:space="0" w:color="auto"/>
                    <w:bottom w:val="none" w:sz="0" w:space="0" w:color="auto"/>
                    <w:right w:val="none" w:sz="0" w:space="0" w:color="auto"/>
                  </w:divBdr>
                  <w:divsChild>
                    <w:div w:id="426853417">
                      <w:marLeft w:val="0"/>
                      <w:marRight w:val="0"/>
                      <w:marTop w:val="0"/>
                      <w:marBottom w:val="0"/>
                      <w:divBdr>
                        <w:top w:val="none" w:sz="0" w:space="0" w:color="auto"/>
                        <w:left w:val="none" w:sz="0" w:space="0" w:color="auto"/>
                        <w:bottom w:val="none" w:sz="0" w:space="0" w:color="auto"/>
                        <w:right w:val="none" w:sz="0" w:space="0" w:color="auto"/>
                      </w:divBdr>
                    </w:div>
                  </w:divsChild>
                </w:div>
                <w:div w:id="2060006048">
                  <w:marLeft w:val="0"/>
                  <w:marRight w:val="0"/>
                  <w:marTop w:val="0"/>
                  <w:marBottom w:val="0"/>
                  <w:divBdr>
                    <w:top w:val="none" w:sz="0" w:space="0" w:color="auto"/>
                    <w:left w:val="none" w:sz="0" w:space="0" w:color="auto"/>
                    <w:bottom w:val="none" w:sz="0" w:space="0" w:color="auto"/>
                    <w:right w:val="none" w:sz="0" w:space="0" w:color="auto"/>
                  </w:divBdr>
                  <w:divsChild>
                    <w:div w:id="2976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6222">
          <w:marLeft w:val="0"/>
          <w:marRight w:val="0"/>
          <w:marTop w:val="0"/>
          <w:marBottom w:val="0"/>
          <w:divBdr>
            <w:top w:val="none" w:sz="0" w:space="0" w:color="auto"/>
            <w:left w:val="none" w:sz="0" w:space="0" w:color="auto"/>
            <w:bottom w:val="none" w:sz="0" w:space="0" w:color="auto"/>
            <w:right w:val="none" w:sz="0" w:space="0" w:color="auto"/>
          </w:divBdr>
        </w:div>
        <w:div w:id="1535121408">
          <w:marLeft w:val="0"/>
          <w:marRight w:val="0"/>
          <w:marTop w:val="0"/>
          <w:marBottom w:val="0"/>
          <w:divBdr>
            <w:top w:val="none" w:sz="0" w:space="0" w:color="auto"/>
            <w:left w:val="none" w:sz="0" w:space="0" w:color="auto"/>
            <w:bottom w:val="none" w:sz="0" w:space="0" w:color="auto"/>
            <w:right w:val="none" w:sz="0" w:space="0" w:color="auto"/>
          </w:divBdr>
        </w:div>
        <w:div w:id="1733457953">
          <w:marLeft w:val="0"/>
          <w:marRight w:val="0"/>
          <w:marTop w:val="0"/>
          <w:marBottom w:val="0"/>
          <w:divBdr>
            <w:top w:val="none" w:sz="0" w:space="0" w:color="auto"/>
            <w:left w:val="none" w:sz="0" w:space="0" w:color="auto"/>
            <w:bottom w:val="none" w:sz="0" w:space="0" w:color="auto"/>
            <w:right w:val="none" w:sz="0" w:space="0" w:color="auto"/>
          </w:divBdr>
        </w:div>
        <w:div w:id="2014912147">
          <w:marLeft w:val="0"/>
          <w:marRight w:val="0"/>
          <w:marTop w:val="0"/>
          <w:marBottom w:val="0"/>
          <w:divBdr>
            <w:top w:val="none" w:sz="0" w:space="0" w:color="auto"/>
            <w:left w:val="none" w:sz="0" w:space="0" w:color="auto"/>
            <w:bottom w:val="none" w:sz="0" w:space="0" w:color="auto"/>
            <w:right w:val="none" w:sz="0" w:space="0" w:color="auto"/>
          </w:divBdr>
        </w:div>
      </w:divsChild>
    </w:div>
    <w:div w:id="932278119">
      <w:bodyDiv w:val="1"/>
      <w:marLeft w:val="0"/>
      <w:marRight w:val="0"/>
      <w:marTop w:val="0"/>
      <w:marBottom w:val="0"/>
      <w:divBdr>
        <w:top w:val="none" w:sz="0" w:space="0" w:color="auto"/>
        <w:left w:val="none" w:sz="0" w:space="0" w:color="auto"/>
        <w:bottom w:val="none" w:sz="0" w:space="0" w:color="auto"/>
        <w:right w:val="none" w:sz="0" w:space="0" w:color="auto"/>
      </w:divBdr>
    </w:div>
    <w:div w:id="1205750100">
      <w:bodyDiv w:val="1"/>
      <w:marLeft w:val="0"/>
      <w:marRight w:val="0"/>
      <w:marTop w:val="0"/>
      <w:marBottom w:val="0"/>
      <w:divBdr>
        <w:top w:val="none" w:sz="0" w:space="0" w:color="auto"/>
        <w:left w:val="none" w:sz="0" w:space="0" w:color="auto"/>
        <w:bottom w:val="none" w:sz="0" w:space="0" w:color="auto"/>
        <w:right w:val="none" w:sz="0" w:space="0" w:color="auto"/>
      </w:divBdr>
    </w:div>
    <w:div w:id="1223247435">
      <w:bodyDiv w:val="1"/>
      <w:marLeft w:val="0"/>
      <w:marRight w:val="0"/>
      <w:marTop w:val="0"/>
      <w:marBottom w:val="0"/>
      <w:divBdr>
        <w:top w:val="none" w:sz="0" w:space="0" w:color="auto"/>
        <w:left w:val="none" w:sz="0" w:space="0" w:color="auto"/>
        <w:bottom w:val="none" w:sz="0" w:space="0" w:color="auto"/>
        <w:right w:val="none" w:sz="0" w:space="0" w:color="auto"/>
      </w:divBdr>
    </w:div>
    <w:div w:id="1365328367">
      <w:bodyDiv w:val="1"/>
      <w:marLeft w:val="0"/>
      <w:marRight w:val="0"/>
      <w:marTop w:val="0"/>
      <w:marBottom w:val="0"/>
      <w:divBdr>
        <w:top w:val="none" w:sz="0" w:space="0" w:color="auto"/>
        <w:left w:val="none" w:sz="0" w:space="0" w:color="auto"/>
        <w:bottom w:val="none" w:sz="0" w:space="0" w:color="auto"/>
        <w:right w:val="none" w:sz="0" w:space="0" w:color="auto"/>
      </w:divBdr>
      <w:divsChild>
        <w:div w:id="106895931">
          <w:marLeft w:val="0"/>
          <w:marRight w:val="0"/>
          <w:marTop w:val="0"/>
          <w:marBottom w:val="0"/>
          <w:divBdr>
            <w:top w:val="none" w:sz="0" w:space="0" w:color="auto"/>
            <w:left w:val="none" w:sz="0" w:space="0" w:color="auto"/>
            <w:bottom w:val="none" w:sz="0" w:space="0" w:color="auto"/>
            <w:right w:val="none" w:sz="0" w:space="0" w:color="auto"/>
          </w:divBdr>
        </w:div>
        <w:div w:id="120536773">
          <w:marLeft w:val="0"/>
          <w:marRight w:val="0"/>
          <w:marTop w:val="0"/>
          <w:marBottom w:val="0"/>
          <w:divBdr>
            <w:top w:val="none" w:sz="0" w:space="0" w:color="auto"/>
            <w:left w:val="none" w:sz="0" w:space="0" w:color="auto"/>
            <w:bottom w:val="none" w:sz="0" w:space="0" w:color="auto"/>
            <w:right w:val="none" w:sz="0" w:space="0" w:color="auto"/>
          </w:divBdr>
        </w:div>
        <w:div w:id="349722757">
          <w:marLeft w:val="0"/>
          <w:marRight w:val="0"/>
          <w:marTop w:val="0"/>
          <w:marBottom w:val="0"/>
          <w:divBdr>
            <w:top w:val="none" w:sz="0" w:space="0" w:color="auto"/>
            <w:left w:val="none" w:sz="0" w:space="0" w:color="auto"/>
            <w:bottom w:val="none" w:sz="0" w:space="0" w:color="auto"/>
            <w:right w:val="none" w:sz="0" w:space="0" w:color="auto"/>
          </w:divBdr>
        </w:div>
        <w:div w:id="375588580">
          <w:marLeft w:val="0"/>
          <w:marRight w:val="0"/>
          <w:marTop w:val="0"/>
          <w:marBottom w:val="0"/>
          <w:divBdr>
            <w:top w:val="none" w:sz="0" w:space="0" w:color="auto"/>
            <w:left w:val="none" w:sz="0" w:space="0" w:color="auto"/>
            <w:bottom w:val="none" w:sz="0" w:space="0" w:color="auto"/>
            <w:right w:val="none" w:sz="0" w:space="0" w:color="auto"/>
          </w:divBdr>
        </w:div>
        <w:div w:id="375935928">
          <w:marLeft w:val="0"/>
          <w:marRight w:val="0"/>
          <w:marTop w:val="0"/>
          <w:marBottom w:val="0"/>
          <w:divBdr>
            <w:top w:val="none" w:sz="0" w:space="0" w:color="auto"/>
            <w:left w:val="none" w:sz="0" w:space="0" w:color="auto"/>
            <w:bottom w:val="none" w:sz="0" w:space="0" w:color="auto"/>
            <w:right w:val="none" w:sz="0" w:space="0" w:color="auto"/>
          </w:divBdr>
        </w:div>
        <w:div w:id="501628401">
          <w:marLeft w:val="0"/>
          <w:marRight w:val="0"/>
          <w:marTop w:val="0"/>
          <w:marBottom w:val="0"/>
          <w:divBdr>
            <w:top w:val="none" w:sz="0" w:space="0" w:color="auto"/>
            <w:left w:val="none" w:sz="0" w:space="0" w:color="auto"/>
            <w:bottom w:val="none" w:sz="0" w:space="0" w:color="auto"/>
            <w:right w:val="none" w:sz="0" w:space="0" w:color="auto"/>
          </w:divBdr>
        </w:div>
        <w:div w:id="518010471">
          <w:marLeft w:val="0"/>
          <w:marRight w:val="0"/>
          <w:marTop w:val="0"/>
          <w:marBottom w:val="0"/>
          <w:divBdr>
            <w:top w:val="none" w:sz="0" w:space="0" w:color="auto"/>
            <w:left w:val="none" w:sz="0" w:space="0" w:color="auto"/>
            <w:bottom w:val="none" w:sz="0" w:space="0" w:color="auto"/>
            <w:right w:val="none" w:sz="0" w:space="0" w:color="auto"/>
          </w:divBdr>
        </w:div>
        <w:div w:id="774251011">
          <w:marLeft w:val="0"/>
          <w:marRight w:val="0"/>
          <w:marTop w:val="0"/>
          <w:marBottom w:val="0"/>
          <w:divBdr>
            <w:top w:val="none" w:sz="0" w:space="0" w:color="auto"/>
            <w:left w:val="none" w:sz="0" w:space="0" w:color="auto"/>
            <w:bottom w:val="none" w:sz="0" w:space="0" w:color="auto"/>
            <w:right w:val="none" w:sz="0" w:space="0" w:color="auto"/>
          </w:divBdr>
        </w:div>
        <w:div w:id="778110194">
          <w:marLeft w:val="0"/>
          <w:marRight w:val="0"/>
          <w:marTop w:val="0"/>
          <w:marBottom w:val="0"/>
          <w:divBdr>
            <w:top w:val="none" w:sz="0" w:space="0" w:color="auto"/>
            <w:left w:val="none" w:sz="0" w:space="0" w:color="auto"/>
            <w:bottom w:val="none" w:sz="0" w:space="0" w:color="auto"/>
            <w:right w:val="none" w:sz="0" w:space="0" w:color="auto"/>
          </w:divBdr>
        </w:div>
        <w:div w:id="912466497">
          <w:marLeft w:val="0"/>
          <w:marRight w:val="0"/>
          <w:marTop w:val="0"/>
          <w:marBottom w:val="0"/>
          <w:divBdr>
            <w:top w:val="none" w:sz="0" w:space="0" w:color="auto"/>
            <w:left w:val="none" w:sz="0" w:space="0" w:color="auto"/>
            <w:bottom w:val="none" w:sz="0" w:space="0" w:color="auto"/>
            <w:right w:val="none" w:sz="0" w:space="0" w:color="auto"/>
          </w:divBdr>
        </w:div>
        <w:div w:id="1080446337">
          <w:marLeft w:val="0"/>
          <w:marRight w:val="0"/>
          <w:marTop w:val="0"/>
          <w:marBottom w:val="0"/>
          <w:divBdr>
            <w:top w:val="none" w:sz="0" w:space="0" w:color="auto"/>
            <w:left w:val="none" w:sz="0" w:space="0" w:color="auto"/>
            <w:bottom w:val="none" w:sz="0" w:space="0" w:color="auto"/>
            <w:right w:val="none" w:sz="0" w:space="0" w:color="auto"/>
          </w:divBdr>
        </w:div>
        <w:div w:id="1367218473">
          <w:marLeft w:val="0"/>
          <w:marRight w:val="0"/>
          <w:marTop w:val="0"/>
          <w:marBottom w:val="0"/>
          <w:divBdr>
            <w:top w:val="none" w:sz="0" w:space="0" w:color="auto"/>
            <w:left w:val="none" w:sz="0" w:space="0" w:color="auto"/>
            <w:bottom w:val="none" w:sz="0" w:space="0" w:color="auto"/>
            <w:right w:val="none" w:sz="0" w:space="0" w:color="auto"/>
          </w:divBdr>
        </w:div>
        <w:div w:id="1530027641">
          <w:marLeft w:val="0"/>
          <w:marRight w:val="0"/>
          <w:marTop w:val="0"/>
          <w:marBottom w:val="0"/>
          <w:divBdr>
            <w:top w:val="none" w:sz="0" w:space="0" w:color="auto"/>
            <w:left w:val="none" w:sz="0" w:space="0" w:color="auto"/>
            <w:bottom w:val="none" w:sz="0" w:space="0" w:color="auto"/>
            <w:right w:val="none" w:sz="0" w:space="0" w:color="auto"/>
          </w:divBdr>
        </w:div>
        <w:div w:id="1535802807">
          <w:marLeft w:val="0"/>
          <w:marRight w:val="0"/>
          <w:marTop w:val="0"/>
          <w:marBottom w:val="0"/>
          <w:divBdr>
            <w:top w:val="none" w:sz="0" w:space="0" w:color="auto"/>
            <w:left w:val="none" w:sz="0" w:space="0" w:color="auto"/>
            <w:bottom w:val="none" w:sz="0" w:space="0" w:color="auto"/>
            <w:right w:val="none" w:sz="0" w:space="0" w:color="auto"/>
          </w:divBdr>
        </w:div>
        <w:div w:id="1580358609">
          <w:marLeft w:val="0"/>
          <w:marRight w:val="0"/>
          <w:marTop w:val="0"/>
          <w:marBottom w:val="0"/>
          <w:divBdr>
            <w:top w:val="none" w:sz="0" w:space="0" w:color="auto"/>
            <w:left w:val="none" w:sz="0" w:space="0" w:color="auto"/>
            <w:bottom w:val="none" w:sz="0" w:space="0" w:color="auto"/>
            <w:right w:val="none" w:sz="0" w:space="0" w:color="auto"/>
          </w:divBdr>
        </w:div>
        <w:div w:id="1700741751">
          <w:marLeft w:val="0"/>
          <w:marRight w:val="0"/>
          <w:marTop w:val="0"/>
          <w:marBottom w:val="0"/>
          <w:divBdr>
            <w:top w:val="none" w:sz="0" w:space="0" w:color="auto"/>
            <w:left w:val="none" w:sz="0" w:space="0" w:color="auto"/>
            <w:bottom w:val="none" w:sz="0" w:space="0" w:color="auto"/>
            <w:right w:val="none" w:sz="0" w:space="0" w:color="auto"/>
          </w:divBdr>
        </w:div>
        <w:div w:id="1727070603">
          <w:marLeft w:val="0"/>
          <w:marRight w:val="0"/>
          <w:marTop w:val="0"/>
          <w:marBottom w:val="0"/>
          <w:divBdr>
            <w:top w:val="none" w:sz="0" w:space="0" w:color="auto"/>
            <w:left w:val="none" w:sz="0" w:space="0" w:color="auto"/>
            <w:bottom w:val="none" w:sz="0" w:space="0" w:color="auto"/>
            <w:right w:val="none" w:sz="0" w:space="0" w:color="auto"/>
          </w:divBdr>
        </w:div>
        <w:div w:id="1878929739">
          <w:marLeft w:val="0"/>
          <w:marRight w:val="0"/>
          <w:marTop w:val="0"/>
          <w:marBottom w:val="0"/>
          <w:divBdr>
            <w:top w:val="none" w:sz="0" w:space="0" w:color="auto"/>
            <w:left w:val="none" w:sz="0" w:space="0" w:color="auto"/>
            <w:bottom w:val="none" w:sz="0" w:space="0" w:color="auto"/>
            <w:right w:val="none" w:sz="0" w:space="0" w:color="auto"/>
          </w:divBdr>
        </w:div>
        <w:div w:id="1932926460">
          <w:marLeft w:val="0"/>
          <w:marRight w:val="0"/>
          <w:marTop w:val="0"/>
          <w:marBottom w:val="0"/>
          <w:divBdr>
            <w:top w:val="none" w:sz="0" w:space="0" w:color="auto"/>
            <w:left w:val="none" w:sz="0" w:space="0" w:color="auto"/>
            <w:bottom w:val="none" w:sz="0" w:space="0" w:color="auto"/>
            <w:right w:val="none" w:sz="0" w:space="0" w:color="auto"/>
          </w:divBdr>
        </w:div>
        <w:div w:id="1992252289">
          <w:marLeft w:val="0"/>
          <w:marRight w:val="0"/>
          <w:marTop w:val="0"/>
          <w:marBottom w:val="0"/>
          <w:divBdr>
            <w:top w:val="none" w:sz="0" w:space="0" w:color="auto"/>
            <w:left w:val="none" w:sz="0" w:space="0" w:color="auto"/>
            <w:bottom w:val="none" w:sz="0" w:space="0" w:color="auto"/>
            <w:right w:val="none" w:sz="0" w:space="0" w:color="auto"/>
          </w:divBdr>
        </w:div>
        <w:div w:id="2067801520">
          <w:marLeft w:val="0"/>
          <w:marRight w:val="0"/>
          <w:marTop w:val="0"/>
          <w:marBottom w:val="0"/>
          <w:divBdr>
            <w:top w:val="none" w:sz="0" w:space="0" w:color="auto"/>
            <w:left w:val="none" w:sz="0" w:space="0" w:color="auto"/>
            <w:bottom w:val="none" w:sz="0" w:space="0" w:color="auto"/>
            <w:right w:val="none" w:sz="0" w:space="0" w:color="auto"/>
          </w:divBdr>
        </w:div>
        <w:div w:id="2101833405">
          <w:marLeft w:val="0"/>
          <w:marRight w:val="0"/>
          <w:marTop w:val="0"/>
          <w:marBottom w:val="0"/>
          <w:divBdr>
            <w:top w:val="none" w:sz="0" w:space="0" w:color="auto"/>
            <w:left w:val="none" w:sz="0" w:space="0" w:color="auto"/>
            <w:bottom w:val="none" w:sz="0" w:space="0" w:color="auto"/>
            <w:right w:val="none" w:sz="0" w:space="0" w:color="auto"/>
          </w:divBdr>
        </w:div>
        <w:div w:id="2113429926">
          <w:marLeft w:val="0"/>
          <w:marRight w:val="0"/>
          <w:marTop w:val="0"/>
          <w:marBottom w:val="0"/>
          <w:divBdr>
            <w:top w:val="none" w:sz="0" w:space="0" w:color="auto"/>
            <w:left w:val="none" w:sz="0" w:space="0" w:color="auto"/>
            <w:bottom w:val="none" w:sz="0" w:space="0" w:color="auto"/>
            <w:right w:val="none" w:sz="0" w:space="0" w:color="auto"/>
          </w:divBdr>
        </w:div>
      </w:divsChild>
    </w:div>
    <w:div w:id="1481384193">
      <w:bodyDiv w:val="1"/>
      <w:marLeft w:val="0"/>
      <w:marRight w:val="0"/>
      <w:marTop w:val="0"/>
      <w:marBottom w:val="0"/>
      <w:divBdr>
        <w:top w:val="none" w:sz="0" w:space="0" w:color="auto"/>
        <w:left w:val="none" w:sz="0" w:space="0" w:color="auto"/>
        <w:bottom w:val="none" w:sz="0" w:space="0" w:color="auto"/>
        <w:right w:val="none" w:sz="0" w:space="0" w:color="auto"/>
      </w:divBdr>
    </w:div>
    <w:div w:id="1693416414">
      <w:bodyDiv w:val="1"/>
      <w:marLeft w:val="0"/>
      <w:marRight w:val="0"/>
      <w:marTop w:val="0"/>
      <w:marBottom w:val="0"/>
      <w:divBdr>
        <w:top w:val="none" w:sz="0" w:space="0" w:color="auto"/>
        <w:left w:val="none" w:sz="0" w:space="0" w:color="auto"/>
        <w:bottom w:val="none" w:sz="0" w:space="0" w:color="auto"/>
        <w:right w:val="none" w:sz="0" w:space="0" w:color="auto"/>
      </w:divBdr>
    </w:div>
    <w:div w:id="179470975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15826838">
      <w:bodyDiv w:val="1"/>
      <w:marLeft w:val="0"/>
      <w:marRight w:val="0"/>
      <w:marTop w:val="0"/>
      <w:marBottom w:val="0"/>
      <w:divBdr>
        <w:top w:val="none" w:sz="0" w:space="0" w:color="auto"/>
        <w:left w:val="none" w:sz="0" w:space="0" w:color="auto"/>
        <w:bottom w:val="none" w:sz="0" w:space="0" w:color="auto"/>
        <w:right w:val="none" w:sz="0" w:space="0" w:color="auto"/>
      </w:divBdr>
    </w:div>
    <w:div w:id="211301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chart" Target="charts/chart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5.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chart" Target="charts/chart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health.vic.gov.au/chief-psychiatrist/improving-sexual-safet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vic.gov.au/key-staff/publications-from-the-chief-psychiatrist" TargetMode="External"/><Relationship Id="rId23" Type="http://schemas.openxmlformats.org/officeDocument/2006/relationships/chart" Target="charts/chart7.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p@dhhs.vic.gov.au" TargetMode="External"/><Relationship Id="rId22" Type="http://schemas.openxmlformats.org/officeDocument/2006/relationships/chart" Target="charts/chart6.xml"/><Relationship Id="rId27" Type="http://schemas.openxmlformats.org/officeDocument/2006/relationships/header" Target="header2.xml"/><Relationship Id="rId30" Type="http://schemas.openxmlformats.org/officeDocument/2006/relationships/header" Target="header3.xml"/><Relationship Id="rId35"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Sheet1!$D$68</c:f>
              <c:strCache>
                <c:ptCount val="1"/>
                <c:pt idx="0">
                  <c:v>Major affective and other mood disorders</c:v>
                </c:pt>
              </c:strCache>
            </c:strRef>
          </c:tx>
          <c:spPr>
            <a:solidFill>
              <a:schemeClr val="accent1"/>
            </a:solidFill>
            <a:ln>
              <a:noFill/>
            </a:ln>
            <a:effectLst/>
          </c:spPr>
          <c:invertIfNegative val="0"/>
          <c:cat>
            <c:strRef>
              <c:f>Sheet1!$E$67:$I$67</c:f>
              <c:strCache>
                <c:ptCount val="5"/>
                <c:pt idx="0">
                  <c:v>2019–20</c:v>
                </c:pt>
                <c:pt idx="1">
                  <c:v>2020–21</c:v>
                </c:pt>
                <c:pt idx="2">
                  <c:v>2021–22</c:v>
                </c:pt>
                <c:pt idx="3">
                  <c:v>2022–23</c:v>
                </c:pt>
                <c:pt idx="4">
                  <c:v>2023–24</c:v>
                </c:pt>
              </c:strCache>
            </c:strRef>
          </c:cat>
          <c:val>
            <c:numRef>
              <c:f>Sheet1!$E$68:$I$68</c:f>
              <c:numCache>
                <c:formatCode>#,##0</c:formatCode>
                <c:ptCount val="5"/>
                <c:pt idx="0">
                  <c:v>7442</c:v>
                </c:pt>
                <c:pt idx="1">
                  <c:v>7255</c:v>
                </c:pt>
                <c:pt idx="2">
                  <c:v>7168</c:v>
                </c:pt>
                <c:pt idx="3">
                  <c:v>7074</c:v>
                </c:pt>
                <c:pt idx="4">
                  <c:v>7129</c:v>
                </c:pt>
              </c:numCache>
            </c:numRef>
          </c:val>
          <c:extLst>
            <c:ext xmlns:c16="http://schemas.microsoft.com/office/drawing/2014/chart" uri="{C3380CC4-5D6E-409C-BE32-E72D297353CC}">
              <c16:uniqueId val="{00000000-9A49-4C31-B423-2836E8257977}"/>
            </c:ext>
          </c:extLst>
        </c:ser>
        <c:ser>
          <c:idx val="1"/>
          <c:order val="1"/>
          <c:tx>
            <c:strRef>
              <c:f>Sheet1!$D$69</c:f>
              <c:strCache>
                <c:ptCount val="1"/>
                <c:pt idx="0">
                  <c:v>Schizophrenia, schizoaffective and other psychotic disorders</c:v>
                </c:pt>
              </c:strCache>
            </c:strRef>
          </c:tx>
          <c:spPr>
            <a:solidFill>
              <a:schemeClr val="accent2"/>
            </a:solidFill>
            <a:ln>
              <a:noFill/>
            </a:ln>
            <a:effectLst/>
          </c:spPr>
          <c:invertIfNegative val="0"/>
          <c:cat>
            <c:strRef>
              <c:f>Sheet1!$E$67:$I$67</c:f>
              <c:strCache>
                <c:ptCount val="5"/>
                <c:pt idx="0">
                  <c:v>2019–20</c:v>
                </c:pt>
                <c:pt idx="1">
                  <c:v>2020–21</c:v>
                </c:pt>
                <c:pt idx="2">
                  <c:v>2021–22</c:v>
                </c:pt>
                <c:pt idx="3">
                  <c:v>2022–23</c:v>
                </c:pt>
                <c:pt idx="4">
                  <c:v>2023–24</c:v>
                </c:pt>
              </c:strCache>
            </c:strRef>
          </c:cat>
          <c:val>
            <c:numRef>
              <c:f>Sheet1!$E$69:$I$69</c:f>
              <c:numCache>
                <c:formatCode>#,##0</c:formatCode>
                <c:ptCount val="5"/>
                <c:pt idx="0">
                  <c:v>3811</c:v>
                </c:pt>
                <c:pt idx="1">
                  <c:v>4104</c:v>
                </c:pt>
                <c:pt idx="2">
                  <c:v>4215</c:v>
                </c:pt>
                <c:pt idx="3">
                  <c:v>3941</c:v>
                </c:pt>
                <c:pt idx="4">
                  <c:v>4214</c:v>
                </c:pt>
              </c:numCache>
            </c:numRef>
          </c:val>
          <c:extLst>
            <c:ext xmlns:c16="http://schemas.microsoft.com/office/drawing/2014/chart" uri="{C3380CC4-5D6E-409C-BE32-E72D297353CC}">
              <c16:uniqueId val="{00000001-9A49-4C31-B423-2836E8257977}"/>
            </c:ext>
          </c:extLst>
        </c:ser>
        <c:ser>
          <c:idx val="2"/>
          <c:order val="2"/>
          <c:tx>
            <c:strRef>
              <c:f>Sheet1!$D$70</c:f>
              <c:strCache>
                <c:ptCount val="1"/>
                <c:pt idx="0">
                  <c:v>Other mental health disorders</c:v>
                </c:pt>
              </c:strCache>
            </c:strRef>
          </c:tx>
          <c:spPr>
            <a:solidFill>
              <a:schemeClr val="accent3"/>
            </a:solidFill>
            <a:ln>
              <a:noFill/>
            </a:ln>
            <a:effectLst/>
          </c:spPr>
          <c:invertIfNegative val="0"/>
          <c:cat>
            <c:strRef>
              <c:f>Sheet1!$E$67:$I$67</c:f>
              <c:strCache>
                <c:ptCount val="5"/>
                <c:pt idx="0">
                  <c:v>2019–20</c:v>
                </c:pt>
                <c:pt idx="1">
                  <c:v>2020–21</c:v>
                </c:pt>
                <c:pt idx="2">
                  <c:v>2021–22</c:v>
                </c:pt>
                <c:pt idx="3">
                  <c:v>2022–23</c:v>
                </c:pt>
                <c:pt idx="4">
                  <c:v>2023–24</c:v>
                </c:pt>
              </c:strCache>
            </c:strRef>
          </c:cat>
          <c:val>
            <c:numRef>
              <c:f>Sheet1!$E$70:$I$70</c:f>
              <c:numCache>
                <c:formatCode>General</c:formatCode>
                <c:ptCount val="5"/>
                <c:pt idx="0">
                  <c:v>233</c:v>
                </c:pt>
                <c:pt idx="1">
                  <c:v>167</c:v>
                </c:pt>
                <c:pt idx="2">
                  <c:v>214</c:v>
                </c:pt>
                <c:pt idx="3">
                  <c:v>357</c:v>
                </c:pt>
                <c:pt idx="4">
                  <c:v>304</c:v>
                </c:pt>
              </c:numCache>
            </c:numRef>
          </c:val>
          <c:extLst>
            <c:ext xmlns:c16="http://schemas.microsoft.com/office/drawing/2014/chart" uri="{C3380CC4-5D6E-409C-BE32-E72D297353CC}">
              <c16:uniqueId val="{00000002-9A49-4C31-B423-2836E8257977}"/>
            </c:ext>
          </c:extLst>
        </c:ser>
        <c:ser>
          <c:idx val="3"/>
          <c:order val="3"/>
          <c:tx>
            <c:strRef>
              <c:f>Sheet1!$D$71</c:f>
              <c:strCache>
                <c:ptCount val="1"/>
                <c:pt idx="0">
                  <c:v>No mental health diagnosis recorded</c:v>
                </c:pt>
              </c:strCache>
            </c:strRef>
          </c:tx>
          <c:spPr>
            <a:solidFill>
              <a:schemeClr val="accent4"/>
            </a:solidFill>
            <a:ln>
              <a:noFill/>
            </a:ln>
            <a:effectLst/>
          </c:spPr>
          <c:invertIfNegative val="0"/>
          <c:cat>
            <c:strRef>
              <c:f>Sheet1!$E$67:$I$67</c:f>
              <c:strCache>
                <c:ptCount val="5"/>
                <c:pt idx="0">
                  <c:v>2019–20</c:v>
                </c:pt>
                <c:pt idx="1">
                  <c:v>2020–21</c:v>
                </c:pt>
                <c:pt idx="2">
                  <c:v>2021–22</c:v>
                </c:pt>
                <c:pt idx="3">
                  <c:v>2022–23</c:v>
                </c:pt>
                <c:pt idx="4">
                  <c:v>2023–24</c:v>
                </c:pt>
              </c:strCache>
            </c:strRef>
          </c:cat>
          <c:val>
            <c:numRef>
              <c:f>Sheet1!$E$71:$I$71</c:f>
              <c:numCache>
                <c:formatCode>General</c:formatCode>
                <c:ptCount val="5"/>
                <c:pt idx="0">
                  <c:v>621</c:v>
                </c:pt>
                <c:pt idx="1">
                  <c:v>456</c:v>
                </c:pt>
                <c:pt idx="2">
                  <c:v>350</c:v>
                </c:pt>
                <c:pt idx="3">
                  <c:v>415</c:v>
                </c:pt>
                <c:pt idx="4">
                  <c:v>213</c:v>
                </c:pt>
              </c:numCache>
            </c:numRef>
          </c:val>
          <c:extLst>
            <c:ext xmlns:c16="http://schemas.microsoft.com/office/drawing/2014/chart" uri="{C3380CC4-5D6E-409C-BE32-E72D297353CC}">
              <c16:uniqueId val="{00000003-9A49-4C31-B423-2836E8257977}"/>
            </c:ext>
          </c:extLst>
        </c:ser>
        <c:dLbls>
          <c:showLegendKey val="0"/>
          <c:showVal val="0"/>
          <c:showCatName val="0"/>
          <c:showSerName val="0"/>
          <c:showPercent val="0"/>
          <c:showBubbleSize val="0"/>
        </c:dLbls>
        <c:gapWidth val="219"/>
        <c:overlap val="-27"/>
        <c:axId val="826627440"/>
        <c:axId val="826625280"/>
      </c:barChart>
      <c:catAx>
        <c:axId val="82662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625280"/>
        <c:crosses val="autoZero"/>
        <c:auto val="1"/>
        <c:lblAlgn val="ctr"/>
        <c:lblOffset val="100"/>
        <c:noMultiLvlLbl val="0"/>
      </c:catAx>
      <c:valAx>
        <c:axId val="82662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662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Sheet1!$C$51</c:f>
              <c:strCache>
                <c:ptCount val="1"/>
                <c:pt idx="0">
                  <c:v>Female</c:v>
                </c:pt>
              </c:strCache>
            </c:strRef>
          </c:tx>
          <c:spPr>
            <a:solidFill>
              <a:schemeClr val="accent1"/>
            </a:solidFill>
            <a:ln>
              <a:noFill/>
            </a:ln>
            <a:effectLst/>
          </c:spPr>
          <c:invertIfNegative val="0"/>
          <c:cat>
            <c:strRef>
              <c:f>Sheet1!$D$50:$K$50</c:f>
              <c:strCache>
                <c:ptCount val="8"/>
                <c:pt idx="0">
                  <c:v>13–17</c:v>
                </c:pt>
                <c:pt idx="1">
                  <c:v>18–29</c:v>
                </c:pt>
                <c:pt idx="2">
                  <c:v>30–39</c:v>
                </c:pt>
                <c:pt idx="3">
                  <c:v>40–49</c:v>
                </c:pt>
                <c:pt idx="4">
                  <c:v>50–59</c:v>
                </c:pt>
                <c:pt idx="5">
                  <c:v>60–69</c:v>
                </c:pt>
                <c:pt idx="6">
                  <c:v>70–79</c:v>
                </c:pt>
                <c:pt idx="7">
                  <c:v>80+</c:v>
                </c:pt>
              </c:strCache>
            </c:strRef>
          </c:cat>
          <c:val>
            <c:numRef>
              <c:f>Sheet1!$D$51:$K$51</c:f>
              <c:numCache>
                <c:formatCode>General</c:formatCode>
                <c:ptCount val="8"/>
                <c:pt idx="0">
                  <c:v>13</c:v>
                </c:pt>
                <c:pt idx="1">
                  <c:v>727</c:v>
                </c:pt>
                <c:pt idx="2">
                  <c:v>769</c:v>
                </c:pt>
                <c:pt idx="3">
                  <c:v>992</c:v>
                </c:pt>
                <c:pt idx="4">
                  <c:v>971</c:v>
                </c:pt>
                <c:pt idx="5" formatCode="#,##0">
                  <c:v>1249</c:v>
                </c:pt>
                <c:pt idx="6" formatCode="#,##0">
                  <c:v>1182</c:v>
                </c:pt>
                <c:pt idx="7">
                  <c:v>647</c:v>
                </c:pt>
              </c:numCache>
            </c:numRef>
          </c:val>
          <c:extLst>
            <c:ext xmlns:c16="http://schemas.microsoft.com/office/drawing/2014/chart" uri="{C3380CC4-5D6E-409C-BE32-E72D297353CC}">
              <c16:uniqueId val="{00000000-39FC-4036-91B1-F202FF48307A}"/>
            </c:ext>
          </c:extLst>
        </c:ser>
        <c:ser>
          <c:idx val="1"/>
          <c:order val="1"/>
          <c:tx>
            <c:strRef>
              <c:f>Sheet1!$C$52</c:f>
              <c:strCache>
                <c:ptCount val="1"/>
                <c:pt idx="0">
                  <c:v>Male</c:v>
                </c:pt>
              </c:strCache>
            </c:strRef>
          </c:tx>
          <c:spPr>
            <a:solidFill>
              <a:schemeClr val="accent2"/>
            </a:solidFill>
            <a:ln>
              <a:noFill/>
            </a:ln>
            <a:effectLst/>
          </c:spPr>
          <c:invertIfNegative val="0"/>
          <c:cat>
            <c:strRef>
              <c:f>Sheet1!$D$50:$K$50</c:f>
              <c:strCache>
                <c:ptCount val="8"/>
                <c:pt idx="0">
                  <c:v>13–17</c:v>
                </c:pt>
                <c:pt idx="1">
                  <c:v>18–29</c:v>
                </c:pt>
                <c:pt idx="2">
                  <c:v>30–39</c:v>
                </c:pt>
                <c:pt idx="3">
                  <c:v>40–49</c:v>
                </c:pt>
                <c:pt idx="4">
                  <c:v>50–59</c:v>
                </c:pt>
                <c:pt idx="5">
                  <c:v>60–69</c:v>
                </c:pt>
                <c:pt idx="6">
                  <c:v>70–79</c:v>
                </c:pt>
                <c:pt idx="7">
                  <c:v>80+</c:v>
                </c:pt>
              </c:strCache>
            </c:strRef>
          </c:cat>
          <c:val>
            <c:numRef>
              <c:f>Sheet1!$D$52:$K$52</c:f>
              <c:numCache>
                <c:formatCode>General</c:formatCode>
                <c:ptCount val="8"/>
                <c:pt idx="0">
                  <c:v>12</c:v>
                </c:pt>
                <c:pt idx="1">
                  <c:v>526</c:v>
                </c:pt>
                <c:pt idx="2" formatCode="#,##0">
                  <c:v>1059</c:v>
                </c:pt>
                <c:pt idx="3">
                  <c:v>776</c:v>
                </c:pt>
                <c:pt idx="4" formatCode="#,##0">
                  <c:v>1122</c:v>
                </c:pt>
                <c:pt idx="5">
                  <c:v>751</c:v>
                </c:pt>
                <c:pt idx="6">
                  <c:v>657</c:v>
                </c:pt>
                <c:pt idx="7">
                  <c:v>401</c:v>
                </c:pt>
              </c:numCache>
            </c:numRef>
          </c:val>
          <c:extLst>
            <c:ext xmlns:c16="http://schemas.microsoft.com/office/drawing/2014/chart" uri="{C3380CC4-5D6E-409C-BE32-E72D297353CC}">
              <c16:uniqueId val="{00000001-39FC-4036-91B1-F202FF48307A}"/>
            </c:ext>
          </c:extLst>
        </c:ser>
        <c:ser>
          <c:idx val="2"/>
          <c:order val="2"/>
          <c:tx>
            <c:strRef>
              <c:f>Sheet1!$C$53</c:f>
              <c:strCache>
                <c:ptCount val="1"/>
                <c:pt idx="0">
                  <c:v>Other or unknown</c:v>
                </c:pt>
              </c:strCache>
            </c:strRef>
          </c:tx>
          <c:spPr>
            <a:solidFill>
              <a:schemeClr val="accent3"/>
            </a:solidFill>
            <a:ln>
              <a:noFill/>
            </a:ln>
            <a:effectLst/>
          </c:spPr>
          <c:invertIfNegative val="0"/>
          <c:cat>
            <c:strRef>
              <c:f>Sheet1!$D$50:$K$50</c:f>
              <c:strCache>
                <c:ptCount val="8"/>
                <c:pt idx="0">
                  <c:v>13–17</c:v>
                </c:pt>
                <c:pt idx="1">
                  <c:v>18–29</c:v>
                </c:pt>
                <c:pt idx="2">
                  <c:v>30–39</c:v>
                </c:pt>
                <c:pt idx="3">
                  <c:v>40–49</c:v>
                </c:pt>
                <c:pt idx="4">
                  <c:v>50–59</c:v>
                </c:pt>
                <c:pt idx="5">
                  <c:v>60–69</c:v>
                </c:pt>
                <c:pt idx="6">
                  <c:v>70–79</c:v>
                </c:pt>
                <c:pt idx="7">
                  <c:v>80+</c:v>
                </c:pt>
              </c:strCache>
            </c:strRef>
          </c:cat>
          <c:val>
            <c:numRef>
              <c:f>Sheet1!$D$53:$K$53</c:f>
              <c:numCache>
                <c:formatCode>General</c:formatCode>
                <c:ptCount val="8"/>
                <c:pt idx="0">
                  <c:v>0</c:v>
                </c:pt>
                <c:pt idx="1">
                  <c:v>0</c:v>
                </c:pt>
                <c:pt idx="2">
                  <c:v>0</c:v>
                </c:pt>
                <c:pt idx="3">
                  <c:v>0</c:v>
                </c:pt>
                <c:pt idx="4">
                  <c:v>6</c:v>
                </c:pt>
                <c:pt idx="5">
                  <c:v>0</c:v>
                </c:pt>
                <c:pt idx="6">
                  <c:v>0</c:v>
                </c:pt>
                <c:pt idx="7">
                  <c:v>0</c:v>
                </c:pt>
              </c:numCache>
            </c:numRef>
          </c:val>
          <c:extLst>
            <c:ext xmlns:c16="http://schemas.microsoft.com/office/drawing/2014/chart" uri="{C3380CC4-5D6E-409C-BE32-E72D297353CC}">
              <c16:uniqueId val="{00000002-39FC-4036-91B1-F202FF48307A}"/>
            </c:ext>
          </c:extLst>
        </c:ser>
        <c:dLbls>
          <c:showLegendKey val="0"/>
          <c:showVal val="0"/>
          <c:showCatName val="0"/>
          <c:showSerName val="0"/>
          <c:showPercent val="0"/>
          <c:showBubbleSize val="0"/>
        </c:dLbls>
        <c:gapWidth val="219"/>
        <c:axId val="723057584"/>
        <c:axId val="723057944"/>
      </c:barChart>
      <c:lineChart>
        <c:grouping val="standard"/>
        <c:varyColors val="0"/>
        <c:ser>
          <c:idx val="3"/>
          <c:order val="3"/>
          <c:tx>
            <c:strRef>
              <c:f>Sheet1!$C$54</c:f>
              <c:strCache>
                <c:ptCount val="1"/>
                <c:pt idx="0">
                  <c:v>Total</c:v>
                </c:pt>
              </c:strCache>
            </c:strRef>
          </c:tx>
          <c:spPr>
            <a:ln w="28575" cap="rnd">
              <a:solidFill>
                <a:schemeClr val="accent4"/>
              </a:solidFill>
              <a:round/>
            </a:ln>
            <a:effectLst/>
          </c:spPr>
          <c:marker>
            <c:symbol val="none"/>
          </c:marker>
          <c:cat>
            <c:strRef>
              <c:f>Sheet1!$D$50:$K$50</c:f>
              <c:strCache>
                <c:ptCount val="8"/>
                <c:pt idx="0">
                  <c:v>13–17</c:v>
                </c:pt>
                <c:pt idx="1">
                  <c:v>18–29</c:v>
                </c:pt>
                <c:pt idx="2">
                  <c:v>30–39</c:v>
                </c:pt>
                <c:pt idx="3">
                  <c:v>40–49</c:v>
                </c:pt>
                <c:pt idx="4">
                  <c:v>50–59</c:v>
                </c:pt>
                <c:pt idx="5">
                  <c:v>60–69</c:v>
                </c:pt>
                <c:pt idx="6">
                  <c:v>70–79</c:v>
                </c:pt>
                <c:pt idx="7">
                  <c:v>80+</c:v>
                </c:pt>
              </c:strCache>
            </c:strRef>
          </c:cat>
          <c:val>
            <c:numRef>
              <c:f>Sheet1!$D$54:$K$54</c:f>
              <c:numCache>
                <c:formatCode>General</c:formatCode>
                <c:ptCount val="8"/>
                <c:pt idx="0">
                  <c:v>25</c:v>
                </c:pt>
                <c:pt idx="1">
                  <c:v>1253</c:v>
                </c:pt>
                <c:pt idx="2">
                  <c:v>1828</c:v>
                </c:pt>
                <c:pt idx="3">
                  <c:v>1768</c:v>
                </c:pt>
                <c:pt idx="4">
                  <c:v>2099</c:v>
                </c:pt>
                <c:pt idx="5">
                  <c:v>2000</c:v>
                </c:pt>
                <c:pt idx="6">
                  <c:v>1839</c:v>
                </c:pt>
                <c:pt idx="7">
                  <c:v>1048</c:v>
                </c:pt>
              </c:numCache>
            </c:numRef>
          </c:val>
          <c:smooth val="0"/>
          <c:extLst>
            <c:ext xmlns:c16="http://schemas.microsoft.com/office/drawing/2014/chart" uri="{C3380CC4-5D6E-409C-BE32-E72D297353CC}">
              <c16:uniqueId val="{00000003-39FC-4036-91B1-F202FF48307A}"/>
            </c:ext>
          </c:extLst>
        </c:ser>
        <c:dLbls>
          <c:showLegendKey val="0"/>
          <c:showVal val="0"/>
          <c:showCatName val="0"/>
          <c:showSerName val="0"/>
          <c:showPercent val="0"/>
          <c:showBubbleSize val="0"/>
        </c:dLbls>
        <c:marker val="1"/>
        <c:smooth val="0"/>
        <c:axId val="723057584"/>
        <c:axId val="723057944"/>
      </c:lineChart>
      <c:catAx>
        <c:axId val="72305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057944"/>
        <c:crosses val="autoZero"/>
        <c:auto val="1"/>
        <c:lblAlgn val="ctr"/>
        <c:lblOffset val="100"/>
        <c:noMultiLvlLbl val="0"/>
      </c:catAx>
      <c:valAx>
        <c:axId val="723057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057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Pivot!$B$66</c:f>
              <c:strCache>
                <c:ptCount val="1"/>
                <c:pt idx="0">
                  <c:v>Community deaths</c:v>
                </c:pt>
              </c:strCache>
            </c:strRef>
          </c:tx>
          <c:spPr>
            <a:solidFill>
              <a:schemeClr val="accent5">
                <a:lumMod val="60000"/>
                <a:lumOff val="40000"/>
              </a:schemeClr>
            </a:solidFill>
            <a:ln w="12700" cap="flat" cmpd="sng" algn="ctr">
              <a:solidFill>
                <a:schemeClr val="accent5">
                  <a:lumMod val="60000"/>
                  <a:lumOff val="40000"/>
                </a:schemeClr>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Pivot!$A$68:$A$72</c:f>
              <c:strCache>
                <c:ptCount val="5"/>
                <c:pt idx="0">
                  <c:v>2019–20</c:v>
                </c:pt>
                <c:pt idx="1">
                  <c:v>2020–21</c:v>
                </c:pt>
                <c:pt idx="2">
                  <c:v>2021–22</c:v>
                </c:pt>
                <c:pt idx="3">
                  <c:v>2022–23</c:v>
                </c:pt>
                <c:pt idx="4">
                  <c:v>2023-24</c:v>
                </c:pt>
              </c:strCache>
            </c:strRef>
          </c:cat>
          <c:val>
            <c:numRef>
              <c:f>Pivot!$B$68:$B$72</c:f>
              <c:numCache>
                <c:formatCode>0.00</c:formatCode>
                <c:ptCount val="5"/>
                <c:pt idx="0">
                  <c:v>5.4237791853186472</c:v>
                </c:pt>
                <c:pt idx="1">
                  <c:v>4.4156711732744345</c:v>
                </c:pt>
                <c:pt idx="2">
                  <c:v>4.5625233757810104</c:v>
                </c:pt>
                <c:pt idx="3">
                  <c:v>5.0280312699999996</c:v>
                </c:pt>
                <c:pt idx="4">
                  <c:v>5.0199999999999996</c:v>
                </c:pt>
              </c:numCache>
            </c:numRef>
          </c:val>
          <c:extLst>
            <c:ext xmlns:c16="http://schemas.microsoft.com/office/drawing/2014/chart" uri="{C3380CC4-5D6E-409C-BE32-E72D297353CC}">
              <c16:uniqueId val="{00000000-7DE3-4E80-9504-B506ED40016B}"/>
            </c:ext>
          </c:extLst>
        </c:ser>
        <c:ser>
          <c:idx val="1"/>
          <c:order val="1"/>
          <c:tx>
            <c:strRef>
              <c:f>Pivot!$C$66</c:f>
              <c:strCache>
                <c:ptCount val="1"/>
                <c:pt idx="0">
                  <c:v>Inpatient deaths</c:v>
                </c:pt>
              </c:strCache>
            </c:strRef>
          </c:tx>
          <c:spPr>
            <a:solidFill>
              <a:schemeClr val="accent2">
                <a:lumMod val="60000"/>
                <a:lumOff val="40000"/>
              </a:schemeClr>
            </a:solidFill>
            <a:ln>
              <a:solidFill>
                <a:schemeClr val="accent2">
                  <a:lumMod val="60000"/>
                  <a:lumOff val="4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Pivot!$A$68:$A$72</c:f>
              <c:strCache>
                <c:ptCount val="5"/>
                <c:pt idx="0">
                  <c:v>2019–20</c:v>
                </c:pt>
                <c:pt idx="1">
                  <c:v>2020–21</c:v>
                </c:pt>
                <c:pt idx="2">
                  <c:v>2021–22</c:v>
                </c:pt>
                <c:pt idx="3">
                  <c:v>2022–23</c:v>
                </c:pt>
                <c:pt idx="4">
                  <c:v>2023-24</c:v>
                </c:pt>
              </c:strCache>
            </c:strRef>
          </c:cat>
          <c:val>
            <c:numRef>
              <c:f>Pivot!$C$68:$C$72</c:f>
              <c:numCache>
                <c:formatCode>0.00</c:formatCode>
                <c:ptCount val="5"/>
                <c:pt idx="0">
                  <c:v>0.62410609803666628</c:v>
                </c:pt>
                <c:pt idx="1">
                  <c:v>0.24774392721341712</c:v>
                </c:pt>
                <c:pt idx="2">
                  <c:v>0.24314387896011652</c:v>
                </c:pt>
                <c:pt idx="3">
                  <c:v>0.26685081999999999</c:v>
                </c:pt>
                <c:pt idx="4">
                  <c:v>0.35</c:v>
                </c:pt>
              </c:numCache>
            </c:numRef>
          </c:val>
          <c:extLst>
            <c:ext xmlns:c16="http://schemas.microsoft.com/office/drawing/2014/chart" uri="{C3380CC4-5D6E-409C-BE32-E72D297353CC}">
              <c16:uniqueId val="{00000001-7DE3-4E80-9504-B506ED40016B}"/>
            </c:ext>
          </c:extLst>
        </c:ser>
        <c:dLbls>
          <c:showLegendKey val="0"/>
          <c:showVal val="0"/>
          <c:showCatName val="0"/>
          <c:showSerName val="0"/>
          <c:showPercent val="0"/>
          <c:showBubbleSize val="0"/>
        </c:dLbls>
        <c:gapWidth val="100"/>
        <c:overlap val="-20"/>
        <c:axId val="831249704"/>
        <c:axId val="831255280"/>
      </c:barChart>
      <c:lineChart>
        <c:grouping val="standard"/>
        <c:varyColors val="0"/>
        <c:ser>
          <c:idx val="2"/>
          <c:order val="2"/>
          <c:tx>
            <c:strRef>
              <c:f>Pivot!$D$66</c:f>
              <c:strCache>
                <c:ptCount val="1"/>
                <c:pt idx="0">
                  <c:v>All deaths</c:v>
                </c:pt>
              </c:strCache>
            </c:strRef>
          </c:tx>
          <c:spPr>
            <a:ln w="12700" cap="flat" cmpd="sng" algn="ctr">
              <a:solidFill>
                <a:schemeClr val="accent6">
                  <a:lumMod val="60000"/>
                  <a:lumOff val="40000"/>
                </a:schemeClr>
              </a:solidFill>
              <a:prstDash val="solid"/>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Pivot!$A$68:$A$72</c:f>
              <c:strCache>
                <c:ptCount val="5"/>
                <c:pt idx="0">
                  <c:v>2019–20</c:v>
                </c:pt>
                <c:pt idx="1">
                  <c:v>2020–21</c:v>
                </c:pt>
                <c:pt idx="2">
                  <c:v>2021–22</c:v>
                </c:pt>
                <c:pt idx="3">
                  <c:v>2022–23</c:v>
                </c:pt>
                <c:pt idx="4">
                  <c:v>2023-24</c:v>
                </c:pt>
              </c:strCache>
            </c:strRef>
          </c:cat>
          <c:val>
            <c:numRef>
              <c:f>Pivot!$D$68:$D$72</c:f>
              <c:numCache>
                <c:formatCode>0.00</c:formatCode>
                <c:ptCount val="5"/>
                <c:pt idx="0">
                  <c:v>6.0478852833553134</c:v>
                </c:pt>
                <c:pt idx="1">
                  <c:v>4.6634151004878515</c:v>
                </c:pt>
                <c:pt idx="2">
                  <c:v>4.8056672547411274</c:v>
                </c:pt>
                <c:pt idx="3">
                  <c:v>5.2948820999999997</c:v>
                </c:pt>
                <c:pt idx="4">
                  <c:v>5.37</c:v>
                </c:pt>
              </c:numCache>
            </c:numRef>
          </c:val>
          <c:smooth val="0"/>
          <c:extLst>
            <c:ext xmlns:c16="http://schemas.microsoft.com/office/drawing/2014/chart" uri="{C3380CC4-5D6E-409C-BE32-E72D297353CC}">
              <c16:uniqueId val="{00000002-7DE3-4E80-9504-B506ED40016B}"/>
            </c:ext>
          </c:extLst>
        </c:ser>
        <c:dLbls>
          <c:showLegendKey val="0"/>
          <c:showVal val="0"/>
          <c:showCatName val="0"/>
          <c:showSerName val="0"/>
          <c:showPercent val="0"/>
          <c:showBubbleSize val="0"/>
        </c:dLbls>
        <c:marker val="1"/>
        <c:smooth val="0"/>
        <c:axId val="831249704"/>
        <c:axId val="831255280"/>
      </c:lineChart>
      <c:catAx>
        <c:axId val="83124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1255280"/>
        <c:crosses val="autoZero"/>
        <c:auto val="1"/>
        <c:lblAlgn val="ctr"/>
        <c:lblOffset val="100"/>
        <c:noMultiLvlLbl val="0"/>
      </c:catAx>
      <c:valAx>
        <c:axId val="831255280"/>
        <c:scaling>
          <c:orientation val="minMax"/>
        </c:scaling>
        <c:delete val="1"/>
        <c:axPos val="l"/>
        <c:numFmt formatCode="0.00" sourceLinked="1"/>
        <c:majorTickMark val="none"/>
        <c:minorTickMark val="none"/>
        <c:tickLblPos val="nextTo"/>
        <c:crossAx val="83124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c:f>
              <c:strCache>
                <c:ptCount val="1"/>
                <c:pt idx="0">
                  <c:v>Female</c:v>
                </c:pt>
              </c:strCache>
            </c:strRef>
          </c:tx>
          <c:spPr>
            <a:solidFill>
              <a:schemeClr val="accent1"/>
            </a:solidFill>
            <a:ln>
              <a:noFill/>
            </a:ln>
            <a:effectLst/>
          </c:spPr>
          <c:invertIfNegative val="0"/>
          <c:cat>
            <c:strRef>
              <c:f>Sheet1!$C$5:$J$5</c:f>
              <c:strCache>
                <c:ptCount val="8"/>
                <c:pt idx="0">
                  <c:v>0–17</c:v>
                </c:pt>
                <c:pt idx="1">
                  <c:v>18–29</c:v>
                </c:pt>
                <c:pt idx="2">
                  <c:v>30–39</c:v>
                </c:pt>
                <c:pt idx="3">
                  <c:v>40–49</c:v>
                </c:pt>
                <c:pt idx="4">
                  <c:v>50–59</c:v>
                </c:pt>
                <c:pt idx="5">
                  <c:v>60–69</c:v>
                </c:pt>
                <c:pt idx="6">
                  <c:v>70–79</c:v>
                </c:pt>
                <c:pt idx="7">
                  <c:v>80+</c:v>
                </c:pt>
              </c:strCache>
            </c:strRef>
          </c:cat>
          <c:val>
            <c:numRef>
              <c:f>Sheet1!$C$6:$J$6</c:f>
              <c:numCache>
                <c:formatCode>General</c:formatCode>
                <c:ptCount val="8"/>
                <c:pt idx="0">
                  <c:v>37</c:v>
                </c:pt>
                <c:pt idx="1">
                  <c:v>166</c:v>
                </c:pt>
                <c:pt idx="2">
                  <c:v>193</c:v>
                </c:pt>
                <c:pt idx="3">
                  <c:v>148</c:v>
                </c:pt>
                <c:pt idx="4">
                  <c:v>65</c:v>
                </c:pt>
                <c:pt idx="5">
                  <c:v>21</c:v>
                </c:pt>
                <c:pt idx="6">
                  <c:v>5</c:v>
                </c:pt>
                <c:pt idx="7">
                  <c:v>0</c:v>
                </c:pt>
              </c:numCache>
            </c:numRef>
          </c:val>
          <c:extLst>
            <c:ext xmlns:c16="http://schemas.microsoft.com/office/drawing/2014/chart" uri="{C3380CC4-5D6E-409C-BE32-E72D297353CC}">
              <c16:uniqueId val="{00000000-4B3F-49BC-911F-E1A3AD0DF087}"/>
            </c:ext>
          </c:extLst>
        </c:ser>
        <c:ser>
          <c:idx val="1"/>
          <c:order val="1"/>
          <c:tx>
            <c:strRef>
              <c:f>Sheet1!$B$7</c:f>
              <c:strCache>
                <c:ptCount val="1"/>
                <c:pt idx="0">
                  <c:v>Male</c:v>
                </c:pt>
              </c:strCache>
            </c:strRef>
          </c:tx>
          <c:spPr>
            <a:solidFill>
              <a:schemeClr val="accent2"/>
            </a:solidFill>
            <a:ln>
              <a:noFill/>
            </a:ln>
            <a:effectLst/>
          </c:spPr>
          <c:invertIfNegative val="0"/>
          <c:cat>
            <c:strRef>
              <c:f>Sheet1!$C$5:$J$5</c:f>
              <c:strCache>
                <c:ptCount val="8"/>
                <c:pt idx="0">
                  <c:v>0–17</c:v>
                </c:pt>
                <c:pt idx="1">
                  <c:v>18–29</c:v>
                </c:pt>
                <c:pt idx="2">
                  <c:v>30–39</c:v>
                </c:pt>
                <c:pt idx="3">
                  <c:v>40–49</c:v>
                </c:pt>
                <c:pt idx="4">
                  <c:v>50–59</c:v>
                </c:pt>
                <c:pt idx="5">
                  <c:v>60–69</c:v>
                </c:pt>
                <c:pt idx="6">
                  <c:v>70–79</c:v>
                </c:pt>
                <c:pt idx="7">
                  <c:v>80+</c:v>
                </c:pt>
              </c:strCache>
            </c:strRef>
          </c:cat>
          <c:val>
            <c:numRef>
              <c:f>Sheet1!$C$7:$J$7</c:f>
              <c:numCache>
                <c:formatCode>General</c:formatCode>
                <c:ptCount val="8"/>
                <c:pt idx="0">
                  <c:v>87</c:v>
                </c:pt>
                <c:pt idx="1">
                  <c:v>405</c:v>
                </c:pt>
                <c:pt idx="2">
                  <c:v>538</c:v>
                </c:pt>
                <c:pt idx="3">
                  <c:v>407</c:v>
                </c:pt>
                <c:pt idx="4">
                  <c:v>166</c:v>
                </c:pt>
                <c:pt idx="5">
                  <c:v>18</c:v>
                </c:pt>
                <c:pt idx="6">
                  <c:v>31</c:v>
                </c:pt>
                <c:pt idx="7">
                  <c:v>0</c:v>
                </c:pt>
              </c:numCache>
            </c:numRef>
          </c:val>
          <c:extLst>
            <c:ext xmlns:c16="http://schemas.microsoft.com/office/drawing/2014/chart" uri="{C3380CC4-5D6E-409C-BE32-E72D297353CC}">
              <c16:uniqueId val="{00000001-4B3F-49BC-911F-E1A3AD0DF087}"/>
            </c:ext>
          </c:extLst>
        </c:ser>
        <c:ser>
          <c:idx val="2"/>
          <c:order val="2"/>
          <c:tx>
            <c:strRef>
              <c:f>Sheet1!$B$8</c:f>
              <c:strCache>
                <c:ptCount val="1"/>
                <c:pt idx="0">
                  <c:v>Other or unknown</c:v>
                </c:pt>
              </c:strCache>
            </c:strRef>
          </c:tx>
          <c:spPr>
            <a:solidFill>
              <a:schemeClr val="accent3"/>
            </a:solidFill>
            <a:ln>
              <a:noFill/>
            </a:ln>
            <a:effectLst/>
          </c:spPr>
          <c:invertIfNegative val="0"/>
          <c:cat>
            <c:strRef>
              <c:f>Sheet1!$C$5:$J$5</c:f>
              <c:strCache>
                <c:ptCount val="8"/>
                <c:pt idx="0">
                  <c:v>0–17</c:v>
                </c:pt>
                <c:pt idx="1">
                  <c:v>18–29</c:v>
                </c:pt>
                <c:pt idx="2">
                  <c:v>30–39</c:v>
                </c:pt>
                <c:pt idx="3">
                  <c:v>40–49</c:v>
                </c:pt>
                <c:pt idx="4">
                  <c:v>50–59</c:v>
                </c:pt>
                <c:pt idx="5">
                  <c:v>60–69</c:v>
                </c:pt>
                <c:pt idx="6">
                  <c:v>70–79</c:v>
                </c:pt>
                <c:pt idx="7">
                  <c:v>80+</c:v>
                </c:pt>
              </c:strCache>
            </c:strRef>
          </c:cat>
          <c:val>
            <c:numRef>
              <c:f>Sheet1!$C$8:$J$8</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2-4B3F-49BC-911F-E1A3AD0DF087}"/>
            </c:ext>
          </c:extLst>
        </c:ser>
        <c:dLbls>
          <c:showLegendKey val="0"/>
          <c:showVal val="0"/>
          <c:showCatName val="0"/>
          <c:showSerName val="0"/>
          <c:showPercent val="0"/>
          <c:showBubbleSize val="0"/>
        </c:dLbls>
        <c:gapWidth val="219"/>
        <c:overlap val="-27"/>
        <c:axId val="849745344"/>
        <c:axId val="849744624"/>
      </c:barChart>
      <c:catAx>
        <c:axId val="84974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744624"/>
        <c:crosses val="autoZero"/>
        <c:auto val="1"/>
        <c:lblAlgn val="ctr"/>
        <c:lblOffset val="100"/>
        <c:noMultiLvlLbl val="0"/>
      </c:catAx>
      <c:valAx>
        <c:axId val="849744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74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Sheet1!$T$6</c:f>
              <c:strCache>
                <c:ptCount val="1"/>
                <c:pt idx="0">
                  <c:v>Female</c:v>
                </c:pt>
              </c:strCache>
            </c:strRef>
          </c:tx>
          <c:spPr>
            <a:solidFill>
              <a:schemeClr val="accent1"/>
            </a:solidFill>
            <a:ln>
              <a:noFill/>
            </a:ln>
            <a:effectLst/>
          </c:spPr>
          <c:invertIfNegative val="0"/>
          <c:cat>
            <c:strRef>
              <c:f>Sheet1!$U$5:$AC$5</c:f>
              <c:strCache>
                <c:ptCount val="9"/>
                <c:pt idx="0">
                  <c:v>0-12</c:v>
                </c:pt>
                <c:pt idx="1">
                  <c:v>13-17</c:v>
                </c:pt>
                <c:pt idx="2">
                  <c:v>18–29</c:v>
                </c:pt>
                <c:pt idx="3">
                  <c:v>30–39</c:v>
                </c:pt>
                <c:pt idx="4">
                  <c:v>40–49</c:v>
                </c:pt>
                <c:pt idx="5">
                  <c:v>50–59</c:v>
                </c:pt>
                <c:pt idx="6">
                  <c:v>60–69</c:v>
                </c:pt>
                <c:pt idx="7">
                  <c:v>70–79</c:v>
                </c:pt>
                <c:pt idx="8">
                  <c:v>80+</c:v>
                </c:pt>
              </c:strCache>
            </c:strRef>
          </c:cat>
          <c:val>
            <c:numRef>
              <c:f>Sheet1!$U$6:$AC$6</c:f>
              <c:numCache>
                <c:formatCode>General</c:formatCode>
                <c:ptCount val="9"/>
                <c:pt idx="0">
                  <c:v>5</c:v>
                </c:pt>
                <c:pt idx="1">
                  <c:v>272</c:v>
                </c:pt>
                <c:pt idx="2">
                  <c:v>528</c:v>
                </c:pt>
                <c:pt idx="3">
                  <c:v>335</c:v>
                </c:pt>
                <c:pt idx="4">
                  <c:v>290</c:v>
                </c:pt>
                <c:pt idx="5">
                  <c:v>255</c:v>
                </c:pt>
                <c:pt idx="6">
                  <c:v>191</c:v>
                </c:pt>
                <c:pt idx="7">
                  <c:v>130</c:v>
                </c:pt>
                <c:pt idx="8">
                  <c:v>27</c:v>
                </c:pt>
              </c:numCache>
            </c:numRef>
          </c:val>
          <c:extLst>
            <c:ext xmlns:c16="http://schemas.microsoft.com/office/drawing/2014/chart" uri="{C3380CC4-5D6E-409C-BE32-E72D297353CC}">
              <c16:uniqueId val="{00000000-4BE8-48F6-BD5D-D91D457F5567}"/>
            </c:ext>
          </c:extLst>
        </c:ser>
        <c:ser>
          <c:idx val="1"/>
          <c:order val="1"/>
          <c:tx>
            <c:strRef>
              <c:f>Sheet1!$T$7</c:f>
              <c:strCache>
                <c:ptCount val="1"/>
                <c:pt idx="0">
                  <c:v>Male</c:v>
                </c:pt>
              </c:strCache>
            </c:strRef>
          </c:tx>
          <c:spPr>
            <a:solidFill>
              <a:schemeClr val="accent2"/>
            </a:solidFill>
            <a:ln>
              <a:noFill/>
            </a:ln>
            <a:effectLst/>
          </c:spPr>
          <c:invertIfNegative val="0"/>
          <c:cat>
            <c:strRef>
              <c:f>Sheet1!$U$5:$AC$5</c:f>
              <c:strCache>
                <c:ptCount val="9"/>
                <c:pt idx="0">
                  <c:v>0-12</c:v>
                </c:pt>
                <c:pt idx="1">
                  <c:v>13-17</c:v>
                </c:pt>
                <c:pt idx="2">
                  <c:v>18–29</c:v>
                </c:pt>
                <c:pt idx="3">
                  <c:v>30–39</c:v>
                </c:pt>
                <c:pt idx="4">
                  <c:v>40–49</c:v>
                </c:pt>
                <c:pt idx="5">
                  <c:v>50–59</c:v>
                </c:pt>
                <c:pt idx="6">
                  <c:v>60–69</c:v>
                </c:pt>
                <c:pt idx="7">
                  <c:v>70–79</c:v>
                </c:pt>
                <c:pt idx="8">
                  <c:v>80+</c:v>
                </c:pt>
              </c:strCache>
            </c:strRef>
          </c:cat>
          <c:val>
            <c:numRef>
              <c:f>Sheet1!$U$7:$AC$7</c:f>
              <c:numCache>
                <c:formatCode>General</c:formatCode>
                <c:ptCount val="9"/>
                <c:pt idx="0">
                  <c:v>15</c:v>
                </c:pt>
                <c:pt idx="1">
                  <c:v>123</c:v>
                </c:pt>
                <c:pt idx="2">
                  <c:v>642</c:v>
                </c:pt>
                <c:pt idx="3" formatCode="#,##0">
                  <c:v>2418</c:v>
                </c:pt>
                <c:pt idx="4">
                  <c:v>541</c:v>
                </c:pt>
                <c:pt idx="5">
                  <c:v>293</c:v>
                </c:pt>
                <c:pt idx="6">
                  <c:v>72</c:v>
                </c:pt>
                <c:pt idx="7">
                  <c:v>88</c:v>
                </c:pt>
                <c:pt idx="8">
                  <c:v>20</c:v>
                </c:pt>
              </c:numCache>
            </c:numRef>
          </c:val>
          <c:extLst>
            <c:ext xmlns:c16="http://schemas.microsoft.com/office/drawing/2014/chart" uri="{C3380CC4-5D6E-409C-BE32-E72D297353CC}">
              <c16:uniqueId val="{00000001-4BE8-48F6-BD5D-D91D457F5567}"/>
            </c:ext>
          </c:extLst>
        </c:ser>
        <c:ser>
          <c:idx val="2"/>
          <c:order val="2"/>
          <c:tx>
            <c:strRef>
              <c:f>Sheet1!$T$8</c:f>
              <c:strCache>
                <c:ptCount val="1"/>
                <c:pt idx="0">
                  <c:v>Other or unknown</c:v>
                </c:pt>
              </c:strCache>
            </c:strRef>
          </c:tx>
          <c:spPr>
            <a:solidFill>
              <a:schemeClr val="accent3"/>
            </a:solidFill>
            <a:ln>
              <a:noFill/>
            </a:ln>
            <a:effectLst/>
          </c:spPr>
          <c:invertIfNegative val="0"/>
          <c:cat>
            <c:strRef>
              <c:f>Sheet1!$U$5:$AC$5</c:f>
              <c:strCache>
                <c:ptCount val="9"/>
                <c:pt idx="0">
                  <c:v>0-12</c:v>
                </c:pt>
                <c:pt idx="1">
                  <c:v>13-17</c:v>
                </c:pt>
                <c:pt idx="2">
                  <c:v>18–29</c:v>
                </c:pt>
                <c:pt idx="3">
                  <c:v>30–39</c:v>
                </c:pt>
                <c:pt idx="4">
                  <c:v>40–49</c:v>
                </c:pt>
                <c:pt idx="5">
                  <c:v>50–59</c:v>
                </c:pt>
                <c:pt idx="6">
                  <c:v>60–69</c:v>
                </c:pt>
                <c:pt idx="7">
                  <c:v>70–79</c:v>
                </c:pt>
                <c:pt idx="8">
                  <c:v>80+</c:v>
                </c:pt>
              </c:strCache>
            </c:strRef>
          </c:cat>
          <c:val>
            <c:numRef>
              <c:f>Sheet1!$U$8:$AC$8</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2-4BE8-48F6-BD5D-D91D457F5567}"/>
            </c:ext>
          </c:extLst>
        </c:ser>
        <c:dLbls>
          <c:showLegendKey val="0"/>
          <c:showVal val="0"/>
          <c:showCatName val="0"/>
          <c:showSerName val="0"/>
          <c:showPercent val="0"/>
          <c:showBubbleSize val="0"/>
        </c:dLbls>
        <c:gapWidth val="219"/>
        <c:overlap val="-27"/>
        <c:axId val="723037784"/>
        <c:axId val="723038504"/>
      </c:barChart>
      <c:catAx>
        <c:axId val="723037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038504"/>
        <c:crosses val="autoZero"/>
        <c:auto val="1"/>
        <c:lblAlgn val="ctr"/>
        <c:lblOffset val="100"/>
        <c:noMultiLvlLbl val="0"/>
      </c:catAx>
      <c:valAx>
        <c:axId val="723038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3037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Sheet1!$B$23</c:f>
              <c:strCache>
                <c:ptCount val="1"/>
                <c:pt idx="0">
                  <c:v>Adult</c:v>
                </c:pt>
              </c:strCache>
            </c:strRef>
          </c:tx>
          <c:spPr>
            <a:solidFill>
              <a:schemeClr val="accent1"/>
            </a:solidFill>
            <a:ln>
              <a:noFill/>
            </a:ln>
            <a:effectLst/>
          </c:spPr>
          <c:invertIfNegative val="0"/>
          <c:cat>
            <c:strRef>
              <c:f>Sheet1!$C$22:$G$22</c:f>
              <c:strCache>
                <c:ptCount val="5"/>
                <c:pt idx="0">
                  <c:v>2019–20</c:v>
                </c:pt>
                <c:pt idx="1">
                  <c:v>2020–21</c:v>
                </c:pt>
                <c:pt idx="2">
                  <c:v>2021–22</c:v>
                </c:pt>
                <c:pt idx="3">
                  <c:v>2022–23</c:v>
                </c:pt>
                <c:pt idx="4">
                  <c:v>2023–24</c:v>
                </c:pt>
              </c:strCache>
            </c:strRef>
          </c:cat>
          <c:val>
            <c:numRef>
              <c:f>Sheet1!$C$23:$G$23</c:f>
              <c:numCache>
                <c:formatCode>General</c:formatCode>
                <c:ptCount val="5"/>
                <c:pt idx="0">
                  <c:v>10</c:v>
                </c:pt>
                <c:pt idx="1">
                  <c:v>9.5</c:v>
                </c:pt>
                <c:pt idx="2">
                  <c:v>8.5</c:v>
                </c:pt>
                <c:pt idx="3">
                  <c:v>8</c:v>
                </c:pt>
                <c:pt idx="4">
                  <c:v>6.5</c:v>
                </c:pt>
              </c:numCache>
            </c:numRef>
          </c:val>
          <c:extLst>
            <c:ext xmlns:c16="http://schemas.microsoft.com/office/drawing/2014/chart" uri="{C3380CC4-5D6E-409C-BE32-E72D297353CC}">
              <c16:uniqueId val="{00000000-D2AD-46E9-804D-0343D389573D}"/>
            </c:ext>
          </c:extLst>
        </c:ser>
        <c:ser>
          <c:idx val="1"/>
          <c:order val="1"/>
          <c:tx>
            <c:strRef>
              <c:f>Sheet1!$B$24</c:f>
              <c:strCache>
                <c:ptCount val="1"/>
                <c:pt idx="0">
                  <c:v>Older persons</c:v>
                </c:pt>
              </c:strCache>
            </c:strRef>
          </c:tx>
          <c:spPr>
            <a:solidFill>
              <a:schemeClr val="accent2"/>
            </a:solidFill>
            <a:ln>
              <a:noFill/>
            </a:ln>
            <a:effectLst/>
          </c:spPr>
          <c:invertIfNegative val="0"/>
          <c:cat>
            <c:strRef>
              <c:f>Sheet1!$C$22:$G$22</c:f>
              <c:strCache>
                <c:ptCount val="5"/>
                <c:pt idx="0">
                  <c:v>2019–20</c:v>
                </c:pt>
                <c:pt idx="1">
                  <c:v>2020–21</c:v>
                </c:pt>
                <c:pt idx="2">
                  <c:v>2021–22</c:v>
                </c:pt>
                <c:pt idx="3">
                  <c:v>2022–23</c:v>
                </c:pt>
                <c:pt idx="4">
                  <c:v>2023–24</c:v>
                </c:pt>
              </c:strCache>
            </c:strRef>
          </c:cat>
          <c:val>
            <c:numRef>
              <c:f>Sheet1!$C$24:$G$24</c:f>
              <c:numCache>
                <c:formatCode>General</c:formatCode>
                <c:ptCount val="5"/>
                <c:pt idx="0">
                  <c:v>0.6</c:v>
                </c:pt>
                <c:pt idx="1">
                  <c:v>0.6</c:v>
                </c:pt>
                <c:pt idx="2">
                  <c:v>0.2</c:v>
                </c:pt>
                <c:pt idx="3">
                  <c:v>0.4</c:v>
                </c:pt>
                <c:pt idx="4">
                  <c:v>0.7</c:v>
                </c:pt>
              </c:numCache>
            </c:numRef>
          </c:val>
          <c:extLst>
            <c:ext xmlns:c16="http://schemas.microsoft.com/office/drawing/2014/chart" uri="{C3380CC4-5D6E-409C-BE32-E72D297353CC}">
              <c16:uniqueId val="{00000001-D2AD-46E9-804D-0343D389573D}"/>
            </c:ext>
          </c:extLst>
        </c:ser>
        <c:ser>
          <c:idx val="2"/>
          <c:order val="2"/>
          <c:tx>
            <c:strRef>
              <c:f>Sheet1!$B$25</c:f>
              <c:strCache>
                <c:ptCount val="1"/>
                <c:pt idx="0">
                  <c:v>Child and adolescent</c:v>
                </c:pt>
              </c:strCache>
            </c:strRef>
          </c:tx>
          <c:spPr>
            <a:solidFill>
              <a:schemeClr val="accent3"/>
            </a:solidFill>
            <a:ln>
              <a:noFill/>
            </a:ln>
            <a:effectLst/>
          </c:spPr>
          <c:invertIfNegative val="0"/>
          <c:cat>
            <c:strRef>
              <c:f>Sheet1!$C$22:$G$22</c:f>
              <c:strCache>
                <c:ptCount val="5"/>
                <c:pt idx="0">
                  <c:v>2019–20</c:v>
                </c:pt>
                <c:pt idx="1">
                  <c:v>2020–21</c:v>
                </c:pt>
                <c:pt idx="2">
                  <c:v>2021–22</c:v>
                </c:pt>
                <c:pt idx="3">
                  <c:v>2022–23</c:v>
                </c:pt>
                <c:pt idx="4">
                  <c:v>2023–24</c:v>
                </c:pt>
              </c:strCache>
            </c:strRef>
          </c:cat>
          <c:val>
            <c:numRef>
              <c:f>Sheet1!$C$25:$G$25</c:f>
              <c:numCache>
                <c:formatCode>General</c:formatCode>
                <c:ptCount val="5"/>
                <c:pt idx="0">
                  <c:v>14.6</c:v>
                </c:pt>
                <c:pt idx="1">
                  <c:v>10.7</c:v>
                </c:pt>
                <c:pt idx="2">
                  <c:v>7.6</c:v>
                </c:pt>
                <c:pt idx="3">
                  <c:v>20.399999999999999</c:v>
                </c:pt>
                <c:pt idx="4">
                  <c:v>8.1</c:v>
                </c:pt>
              </c:numCache>
            </c:numRef>
          </c:val>
          <c:extLst>
            <c:ext xmlns:c16="http://schemas.microsoft.com/office/drawing/2014/chart" uri="{C3380CC4-5D6E-409C-BE32-E72D297353CC}">
              <c16:uniqueId val="{00000002-D2AD-46E9-804D-0343D389573D}"/>
            </c:ext>
          </c:extLst>
        </c:ser>
        <c:ser>
          <c:idx val="3"/>
          <c:order val="3"/>
          <c:tx>
            <c:strRef>
              <c:f>Sheet1!$B$26</c:f>
              <c:strCache>
                <c:ptCount val="1"/>
                <c:pt idx="0">
                  <c:v>Forensic</c:v>
                </c:pt>
              </c:strCache>
            </c:strRef>
          </c:tx>
          <c:spPr>
            <a:solidFill>
              <a:schemeClr val="accent4"/>
            </a:solidFill>
            <a:ln>
              <a:noFill/>
            </a:ln>
            <a:effectLst/>
          </c:spPr>
          <c:invertIfNegative val="0"/>
          <c:cat>
            <c:strRef>
              <c:f>Sheet1!$C$22:$G$22</c:f>
              <c:strCache>
                <c:ptCount val="5"/>
                <c:pt idx="0">
                  <c:v>2019–20</c:v>
                </c:pt>
                <c:pt idx="1">
                  <c:v>2020–21</c:v>
                </c:pt>
                <c:pt idx="2">
                  <c:v>2021–22</c:v>
                </c:pt>
                <c:pt idx="3">
                  <c:v>2022–23</c:v>
                </c:pt>
                <c:pt idx="4">
                  <c:v>2023–24</c:v>
                </c:pt>
              </c:strCache>
            </c:strRef>
          </c:cat>
          <c:val>
            <c:numRef>
              <c:f>Sheet1!$C$26:$G$26</c:f>
              <c:numCache>
                <c:formatCode>General</c:formatCode>
                <c:ptCount val="5"/>
                <c:pt idx="0">
                  <c:v>47.3</c:v>
                </c:pt>
                <c:pt idx="1">
                  <c:v>58.7</c:v>
                </c:pt>
                <c:pt idx="2">
                  <c:v>65.8</c:v>
                </c:pt>
                <c:pt idx="3">
                  <c:v>31.8</c:v>
                </c:pt>
                <c:pt idx="4">
                  <c:v>24.4</c:v>
                </c:pt>
              </c:numCache>
            </c:numRef>
          </c:val>
          <c:extLst>
            <c:ext xmlns:c16="http://schemas.microsoft.com/office/drawing/2014/chart" uri="{C3380CC4-5D6E-409C-BE32-E72D297353CC}">
              <c16:uniqueId val="{00000003-D2AD-46E9-804D-0343D389573D}"/>
            </c:ext>
          </c:extLst>
        </c:ser>
        <c:ser>
          <c:idx val="4"/>
          <c:order val="4"/>
          <c:tx>
            <c:strRef>
              <c:f>Sheet1!$B$27</c:f>
              <c:strCache>
                <c:ptCount val="1"/>
                <c:pt idx="0">
                  <c:v>Specialist</c:v>
                </c:pt>
              </c:strCache>
            </c:strRef>
          </c:tx>
          <c:spPr>
            <a:solidFill>
              <a:schemeClr val="accent5"/>
            </a:solidFill>
            <a:ln>
              <a:noFill/>
            </a:ln>
            <a:effectLst/>
          </c:spPr>
          <c:invertIfNegative val="0"/>
          <c:cat>
            <c:strRef>
              <c:f>Sheet1!$C$22:$G$22</c:f>
              <c:strCache>
                <c:ptCount val="5"/>
                <c:pt idx="0">
                  <c:v>2019–20</c:v>
                </c:pt>
                <c:pt idx="1">
                  <c:v>2020–21</c:v>
                </c:pt>
                <c:pt idx="2">
                  <c:v>2021–22</c:v>
                </c:pt>
                <c:pt idx="3">
                  <c:v>2022–23</c:v>
                </c:pt>
                <c:pt idx="4">
                  <c:v>2023–24</c:v>
                </c:pt>
              </c:strCache>
            </c:strRef>
          </c:cat>
          <c:val>
            <c:numRef>
              <c:f>Sheet1!$C$27:$G$27</c:f>
              <c:numCache>
                <c:formatCode>General</c:formatCode>
                <c:ptCount val="5"/>
                <c:pt idx="0">
                  <c:v>0.5</c:v>
                </c:pt>
                <c:pt idx="1">
                  <c:v>3.2</c:v>
                </c:pt>
                <c:pt idx="2">
                  <c:v>10.6</c:v>
                </c:pt>
                <c:pt idx="3">
                  <c:v>11.6</c:v>
                </c:pt>
                <c:pt idx="4">
                  <c:v>8.6999999999999993</c:v>
                </c:pt>
              </c:numCache>
            </c:numRef>
          </c:val>
          <c:extLst>
            <c:ext xmlns:c16="http://schemas.microsoft.com/office/drawing/2014/chart" uri="{C3380CC4-5D6E-409C-BE32-E72D297353CC}">
              <c16:uniqueId val="{00000004-D2AD-46E9-804D-0343D389573D}"/>
            </c:ext>
          </c:extLst>
        </c:ser>
        <c:ser>
          <c:idx val="5"/>
          <c:order val="5"/>
          <c:tx>
            <c:strRef>
              <c:f>Sheet1!$B$28</c:f>
              <c:strCache>
                <c:ptCount val="1"/>
                <c:pt idx="0">
                  <c:v>Total</c:v>
                </c:pt>
              </c:strCache>
            </c:strRef>
          </c:tx>
          <c:spPr>
            <a:solidFill>
              <a:schemeClr val="accent6"/>
            </a:solidFill>
            <a:ln>
              <a:noFill/>
            </a:ln>
            <a:effectLst/>
          </c:spPr>
          <c:invertIfNegative val="0"/>
          <c:cat>
            <c:strRef>
              <c:f>Sheet1!$C$22:$G$22</c:f>
              <c:strCache>
                <c:ptCount val="5"/>
                <c:pt idx="0">
                  <c:v>2019–20</c:v>
                </c:pt>
                <c:pt idx="1">
                  <c:v>2020–21</c:v>
                </c:pt>
                <c:pt idx="2">
                  <c:v>2021–22</c:v>
                </c:pt>
                <c:pt idx="3">
                  <c:v>2022–23</c:v>
                </c:pt>
                <c:pt idx="4">
                  <c:v>2023–24</c:v>
                </c:pt>
              </c:strCache>
            </c:strRef>
          </c:cat>
          <c:val>
            <c:numRef>
              <c:f>Sheet1!$C$28:$G$28</c:f>
              <c:numCache>
                <c:formatCode>General</c:formatCode>
                <c:ptCount val="5"/>
                <c:pt idx="0">
                  <c:v>10</c:v>
                </c:pt>
                <c:pt idx="1">
                  <c:v>10.3</c:v>
                </c:pt>
                <c:pt idx="2">
                  <c:v>9.8000000000000007</c:v>
                </c:pt>
                <c:pt idx="3">
                  <c:v>8.3000000000000007</c:v>
                </c:pt>
                <c:pt idx="4">
                  <c:v>6.3</c:v>
                </c:pt>
              </c:numCache>
            </c:numRef>
          </c:val>
          <c:extLst>
            <c:ext xmlns:c16="http://schemas.microsoft.com/office/drawing/2014/chart" uri="{C3380CC4-5D6E-409C-BE32-E72D297353CC}">
              <c16:uniqueId val="{00000005-D2AD-46E9-804D-0343D389573D}"/>
            </c:ext>
          </c:extLst>
        </c:ser>
        <c:dLbls>
          <c:showLegendKey val="0"/>
          <c:showVal val="0"/>
          <c:showCatName val="0"/>
          <c:showSerName val="0"/>
          <c:showPercent val="0"/>
          <c:showBubbleSize val="0"/>
        </c:dLbls>
        <c:gapWidth val="219"/>
        <c:axId val="849222296"/>
        <c:axId val="849219416"/>
      </c:barChart>
      <c:catAx>
        <c:axId val="849222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219416"/>
        <c:crosses val="autoZero"/>
        <c:auto val="1"/>
        <c:lblAlgn val="ctr"/>
        <c:lblOffset val="100"/>
        <c:noMultiLvlLbl val="0"/>
      </c:catAx>
      <c:valAx>
        <c:axId val="849219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222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Sheet1!$B$36</c:f>
              <c:strCache>
                <c:ptCount val="1"/>
                <c:pt idx="0">
                  <c:v>Adult</c:v>
                </c:pt>
              </c:strCache>
            </c:strRef>
          </c:tx>
          <c:spPr>
            <a:solidFill>
              <a:schemeClr val="accent1"/>
            </a:solidFill>
            <a:ln>
              <a:noFill/>
            </a:ln>
            <a:effectLst/>
          </c:spPr>
          <c:invertIfNegative val="0"/>
          <c:cat>
            <c:strRef>
              <c:f>Sheet1!$C$35:$G$35</c:f>
              <c:strCache>
                <c:ptCount val="5"/>
                <c:pt idx="0">
                  <c:v>2019–20</c:v>
                </c:pt>
                <c:pt idx="1">
                  <c:v>2020–21</c:v>
                </c:pt>
                <c:pt idx="2">
                  <c:v>2021–22</c:v>
                </c:pt>
                <c:pt idx="3">
                  <c:v>2022–23</c:v>
                </c:pt>
                <c:pt idx="4">
                  <c:v>2023–24</c:v>
                </c:pt>
              </c:strCache>
            </c:strRef>
          </c:cat>
          <c:val>
            <c:numRef>
              <c:f>Sheet1!$C$36:$G$36</c:f>
              <c:numCache>
                <c:formatCode>General</c:formatCode>
                <c:ptCount val="5"/>
                <c:pt idx="0">
                  <c:v>11.8</c:v>
                </c:pt>
                <c:pt idx="1">
                  <c:v>13.4</c:v>
                </c:pt>
                <c:pt idx="2">
                  <c:v>13.7</c:v>
                </c:pt>
                <c:pt idx="3">
                  <c:v>12.5</c:v>
                </c:pt>
                <c:pt idx="4">
                  <c:v>12</c:v>
                </c:pt>
              </c:numCache>
            </c:numRef>
          </c:val>
          <c:extLst>
            <c:ext xmlns:c16="http://schemas.microsoft.com/office/drawing/2014/chart" uri="{C3380CC4-5D6E-409C-BE32-E72D297353CC}">
              <c16:uniqueId val="{00000000-97C8-451F-8122-65A25C812DCB}"/>
            </c:ext>
          </c:extLst>
        </c:ser>
        <c:ser>
          <c:idx val="1"/>
          <c:order val="1"/>
          <c:tx>
            <c:strRef>
              <c:f>Sheet1!$B$37</c:f>
              <c:strCache>
                <c:ptCount val="1"/>
                <c:pt idx="0">
                  <c:v>Older persons</c:v>
                </c:pt>
              </c:strCache>
            </c:strRef>
          </c:tx>
          <c:spPr>
            <a:solidFill>
              <a:schemeClr val="accent2"/>
            </a:solidFill>
            <a:ln>
              <a:noFill/>
            </a:ln>
            <a:effectLst/>
          </c:spPr>
          <c:invertIfNegative val="0"/>
          <c:cat>
            <c:strRef>
              <c:f>Sheet1!$C$35:$G$35</c:f>
              <c:strCache>
                <c:ptCount val="5"/>
                <c:pt idx="0">
                  <c:v>2019–20</c:v>
                </c:pt>
                <c:pt idx="1">
                  <c:v>2020–21</c:v>
                </c:pt>
                <c:pt idx="2">
                  <c:v>2021–22</c:v>
                </c:pt>
                <c:pt idx="3">
                  <c:v>2022–23</c:v>
                </c:pt>
                <c:pt idx="4">
                  <c:v>2023–24</c:v>
                </c:pt>
              </c:strCache>
            </c:strRef>
          </c:cat>
          <c:val>
            <c:numRef>
              <c:f>Sheet1!$C$37:$G$37</c:f>
              <c:numCache>
                <c:formatCode>General</c:formatCode>
                <c:ptCount val="5"/>
                <c:pt idx="0">
                  <c:v>8.9</c:v>
                </c:pt>
                <c:pt idx="1">
                  <c:v>8.5</c:v>
                </c:pt>
                <c:pt idx="2">
                  <c:v>6.4</c:v>
                </c:pt>
                <c:pt idx="3">
                  <c:v>5.3</c:v>
                </c:pt>
                <c:pt idx="4">
                  <c:v>5.4</c:v>
                </c:pt>
              </c:numCache>
            </c:numRef>
          </c:val>
          <c:extLst>
            <c:ext xmlns:c16="http://schemas.microsoft.com/office/drawing/2014/chart" uri="{C3380CC4-5D6E-409C-BE32-E72D297353CC}">
              <c16:uniqueId val="{00000001-97C8-451F-8122-65A25C812DCB}"/>
            </c:ext>
          </c:extLst>
        </c:ser>
        <c:ser>
          <c:idx val="2"/>
          <c:order val="2"/>
          <c:tx>
            <c:strRef>
              <c:f>Sheet1!$B$38</c:f>
              <c:strCache>
                <c:ptCount val="1"/>
                <c:pt idx="0">
                  <c:v>Child and adolescent</c:v>
                </c:pt>
              </c:strCache>
            </c:strRef>
          </c:tx>
          <c:spPr>
            <a:solidFill>
              <a:schemeClr val="accent3"/>
            </a:solidFill>
            <a:ln>
              <a:noFill/>
            </a:ln>
            <a:effectLst/>
          </c:spPr>
          <c:invertIfNegative val="0"/>
          <c:cat>
            <c:strRef>
              <c:f>Sheet1!$C$35:$G$35</c:f>
              <c:strCache>
                <c:ptCount val="5"/>
                <c:pt idx="0">
                  <c:v>2019–20</c:v>
                </c:pt>
                <c:pt idx="1">
                  <c:v>2020–21</c:v>
                </c:pt>
                <c:pt idx="2">
                  <c:v>2021–22</c:v>
                </c:pt>
                <c:pt idx="3">
                  <c:v>2022–23</c:v>
                </c:pt>
                <c:pt idx="4">
                  <c:v>2023–24</c:v>
                </c:pt>
              </c:strCache>
            </c:strRef>
          </c:cat>
          <c:val>
            <c:numRef>
              <c:f>Sheet1!$C$38:$G$38</c:f>
              <c:numCache>
                <c:formatCode>General</c:formatCode>
                <c:ptCount val="5"/>
                <c:pt idx="0">
                  <c:v>42.3</c:v>
                </c:pt>
                <c:pt idx="1">
                  <c:v>50.4</c:v>
                </c:pt>
                <c:pt idx="2">
                  <c:v>66.8</c:v>
                </c:pt>
                <c:pt idx="3">
                  <c:v>64.599999999999994</c:v>
                </c:pt>
                <c:pt idx="4">
                  <c:v>27.3</c:v>
                </c:pt>
              </c:numCache>
            </c:numRef>
          </c:val>
          <c:extLst>
            <c:ext xmlns:c16="http://schemas.microsoft.com/office/drawing/2014/chart" uri="{C3380CC4-5D6E-409C-BE32-E72D297353CC}">
              <c16:uniqueId val="{00000002-97C8-451F-8122-65A25C812DCB}"/>
            </c:ext>
          </c:extLst>
        </c:ser>
        <c:ser>
          <c:idx val="3"/>
          <c:order val="3"/>
          <c:tx>
            <c:strRef>
              <c:f>Sheet1!$B$39</c:f>
              <c:strCache>
                <c:ptCount val="1"/>
                <c:pt idx="0">
                  <c:v>Forensic</c:v>
                </c:pt>
              </c:strCache>
            </c:strRef>
          </c:tx>
          <c:spPr>
            <a:solidFill>
              <a:schemeClr val="accent4"/>
            </a:solidFill>
            <a:ln>
              <a:noFill/>
            </a:ln>
            <a:effectLst/>
          </c:spPr>
          <c:invertIfNegative val="0"/>
          <c:cat>
            <c:strRef>
              <c:f>Sheet1!$C$35:$G$35</c:f>
              <c:strCache>
                <c:ptCount val="5"/>
                <c:pt idx="0">
                  <c:v>2019–20</c:v>
                </c:pt>
                <c:pt idx="1">
                  <c:v>2020–21</c:v>
                </c:pt>
                <c:pt idx="2">
                  <c:v>2021–22</c:v>
                </c:pt>
                <c:pt idx="3">
                  <c:v>2022–23</c:v>
                </c:pt>
                <c:pt idx="4">
                  <c:v>2023–24</c:v>
                </c:pt>
              </c:strCache>
            </c:strRef>
          </c:cat>
          <c:val>
            <c:numRef>
              <c:f>Sheet1!$C$39:$G$39</c:f>
              <c:numCache>
                <c:formatCode>General</c:formatCode>
                <c:ptCount val="5"/>
                <c:pt idx="0">
                  <c:v>90.3</c:v>
                </c:pt>
                <c:pt idx="1">
                  <c:v>76.5</c:v>
                </c:pt>
                <c:pt idx="2">
                  <c:v>59.7</c:v>
                </c:pt>
                <c:pt idx="3">
                  <c:v>45.8</c:v>
                </c:pt>
                <c:pt idx="4">
                  <c:v>50.2</c:v>
                </c:pt>
              </c:numCache>
            </c:numRef>
          </c:val>
          <c:extLst>
            <c:ext xmlns:c16="http://schemas.microsoft.com/office/drawing/2014/chart" uri="{C3380CC4-5D6E-409C-BE32-E72D297353CC}">
              <c16:uniqueId val="{00000003-97C8-451F-8122-65A25C812DCB}"/>
            </c:ext>
          </c:extLst>
        </c:ser>
        <c:ser>
          <c:idx val="4"/>
          <c:order val="4"/>
          <c:tx>
            <c:strRef>
              <c:f>Sheet1!$B$40</c:f>
              <c:strCache>
                <c:ptCount val="1"/>
                <c:pt idx="0">
                  <c:v>Specialist</c:v>
                </c:pt>
              </c:strCache>
            </c:strRef>
          </c:tx>
          <c:spPr>
            <a:solidFill>
              <a:schemeClr val="accent5"/>
            </a:solidFill>
            <a:ln>
              <a:noFill/>
            </a:ln>
            <a:effectLst/>
          </c:spPr>
          <c:invertIfNegative val="0"/>
          <c:cat>
            <c:strRef>
              <c:f>Sheet1!$C$35:$G$35</c:f>
              <c:strCache>
                <c:ptCount val="5"/>
                <c:pt idx="0">
                  <c:v>2019–20</c:v>
                </c:pt>
                <c:pt idx="1">
                  <c:v>2020–21</c:v>
                </c:pt>
                <c:pt idx="2">
                  <c:v>2021–22</c:v>
                </c:pt>
                <c:pt idx="3">
                  <c:v>2022–23</c:v>
                </c:pt>
                <c:pt idx="4">
                  <c:v>2023–24</c:v>
                </c:pt>
              </c:strCache>
            </c:strRef>
          </c:cat>
          <c:val>
            <c:numRef>
              <c:f>Sheet1!$C$40:$G$40</c:f>
              <c:numCache>
                <c:formatCode>General</c:formatCode>
                <c:ptCount val="5"/>
                <c:pt idx="0">
                  <c:v>0.8</c:v>
                </c:pt>
                <c:pt idx="1">
                  <c:v>1.1000000000000001</c:v>
                </c:pt>
                <c:pt idx="2">
                  <c:v>10.199999999999999</c:v>
                </c:pt>
                <c:pt idx="3">
                  <c:v>15.2</c:v>
                </c:pt>
                <c:pt idx="4">
                  <c:v>4.7</c:v>
                </c:pt>
              </c:numCache>
            </c:numRef>
          </c:val>
          <c:extLst>
            <c:ext xmlns:c16="http://schemas.microsoft.com/office/drawing/2014/chart" uri="{C3380CC4-5D6E-409C-BE32-E72D297353CC}">
              <c16:uniqueId val="{00000004-97C8-451F-8122-65A25C812DCB}"/>
            </c:ext>
          </c:extLst>
        </c:ser>
        <c:ser>
          <c:idx val="5"/>
          <c:order val="5"/>
          <c:tx>
            <c:strRef>
              <c:f>Sheet1!$B$41</c:f>
              <c:strCache>
                <c:ptCount val="1"/>
                <c:pt idx="0">
                  <c:v>Total</c:v>
                </c:pt>
              </c:strCache>
            </c:strRef>
          </c:tx>
          <c:spPr>
            <a:solidFill>
              <a:schemeClr val="accent6"/>
            </a:solidFill>
            <a:ln>
              <a:noFill/>
            </a:ln>
            <a:effectLst/>
          </c:spPr>
          <c:invertIfNegative val="0"/>
          <c:cat>
            <c:strRef>
              <c:f>Sheet1!$C$35:$G$35</c:f>
              <c:strCache>
                <c:ptCount val="5"/>
                <c:pt idx="0">
                  <c:v>2019–20</c:v>
                </c:pt>
                <c:pt idx="1">
                  <c:v>2020–21</c:v>
                </c:pt>
                <c:pt idx="2">
                  <c:v>2021–22</c:v>
                </c:pt>
                <c:pt idx="3">
                  <c:v>2022–23</c:v>
                </c:pt>
                <c:pt idx="4">
                  <c:v>2023–24</c:v>
                </c:pt>
              </c:strCache>
            </c:strRef>
          </c:cat>
          <c:val>
            <c:numRef>
              <c:f>Sheet1!$C$41:$G$41</c:f>
              <c:numCache>
                <c:formatCode>General</c:formatCode>
                <c:ptCount val="5"/>
                <c:pt idx="0">
                  <c:v>20.8</c:v>
                </c:pt>
                <c:pt idx="1">
                  <c:v>21</c:v>
                </c:pt>
                <c:pt idx="2">
                  <c:v>19.8</c:v>
                </c:pt>
                <c:pt idx="3">
                  <c:v>17</c:v>
                </c:pt>
                <c:pt idx="4">
                  <c:v>15.2</c:v>
                </c:pt>
              </c:numCache>
            </c:numRef>
          </c:val>
          <c:extLst>
            <c:ext xmlns:c16="http://schemas.microsoft.com/office/drawing/2014/chart" uri="{C3380CC4-5D6E-409C-BE32-E72D297353CC}">
              <c16:uniqueId val="{00000005-97C8-451F-8122-65A25C812DCB}"/>
            </c:ext>
          </c:extLst>
        </c:ser>
        <c:dLbls>
          <c:showLegendKey val="0"/>
          <c:showVal val="0"/>
          <c:showCatName val="0"/>
          <c:showSerName val="0"/>
          <c:showPercent val="0"/>
          <c:showBubbleSize val="0"/>
        </c:dLbls>
        <c:gapWidth val="150"/>
        <c:axId val="726851560"/>
        <c:axId val="726852280"/>
      </c:barChart>
      <c:catAx>
        <c:axId val="726851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852280"/>
        <c:crosses val="autoZero"/>
        <c:auto val="1"/>
        <c:lblAlgn val="ctr"/>
        <c:lblOffset val="100"/>
        <c:noMultiLvlLbl val="0"/>
      </c:catAx>
      <c:valAx>
        <c:axId val="726852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851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Sheet1!$D$75</c:f>
              <c:strCache>
                <c:ptCount val="1"/>
                <c:pt idx="0">
                  <c:v>Female</c:v>
                </c:pt>
              </c:strCache>
            </c:strRef>
          </c:tx>
          <c:spPr>
            <a:solidFill>
              <a:schemeClr val="accent1"/>
            </a:solidFill>
            <a:ln>
              <a:noFill/>
            </a:ln>
            <a:effectLst/>
          </c:spPr>
          <c:invertIfNegative val="0"/>
          <c:cat>
            <c:strRef>
              <c:f>Sheet1!$E$74:$M$74</c:f>
              <c:strCache>
                <c:ptCount val="9"/>
                <c:pt idx="0">
                  <c:v>00-11</c:v>
                </c:pt>
                <c:pt idx="1">
                  <c:v>12-17</c:v>
                </c:pt>
                <c:pt idx="2">
                  <c:v>18-25</c:v>
                </c:pt>
                <c:pt idx="3">
                  <c:v>26-34</c:v>
                </c:pt>
                <c:pt idx="4">
                  <c:v>35-44</c:v>
                </c:pt>
                <c:pt idx="5">
                  <c:v>45-54</c:v>
                </c:pt>
                <c:pt idx="6">
                  <c:v>55-64</c:v>
                </c:pt>
                <c:pt idx="7">
                  <c:v>65+</c:v>
                </c:pt>
                <c:pt idx="8">
                  <c:v>Unknown</c:v>
                </c:pt>
              </c:strCache>
            </c:strRef>
          </c:cat>
          <c:val>
            <c:numRef>
              <c:f>Sheet1!$E$75:$M$75</c:f>
              <c:numCache>
                <c:formatCode>General</c:formatCode>
                <c:ptCount val="9"/>
                <c:pt idx="0">
                  <c:v>2</c:v>
                </c:pt>
                <c:pt idx="1">
                  <c:v>23</c:v>
                </c:pt>
                <c:pt idx="2">
                  <c:v>156</c:v>
                </c:pt>
                <c:pt idx="3">
                  <c:v>213</c:v>
                </c:pt>
                <c:pt idx="4">
                  <c:v>170</c:v>
                </c:pt>
                <c:pt idx="5">
                  <c:v>101</c:v>
                </c:pt>
                <c:pt idx="6">
                  <c:v>31</c:v>
                </c:pt>
                <c:pt idx="7">
                  <c:v>39</c:v>
                </c:pt>
                <c:pt idx="8">
                  <c:v>57</c:v>
                </c:pt>
              </c:numCache>
            </c:numRef>
          </c:val>
          <c:extLst>
            <c:ext xmlns:c16="http://schemas.microsoft.com/office/drawing/2014/chart" uri="{C3380CC4-5D6E-409C-BE32-E72D297353CC}">
              <c16:uniqueId val="{00000000-2787-434A-9C02-47082AE9635B}"/>
            </c:ext>
          </c:extLst>
        </c:ser>
        <c:ser>
          <c:idx val="1"/>
          <c:order val="1"/>
          <c:tx>
            <c:strRef>
              <c:f>Sheet1!$D$76</c:f>
              <c:strCache>
                <c:ptCount val="1"/>
                <c:pt idx="0">
                  <c:v>Male</c:v>
                </c:pt>
              </c:strCache>
            </c:strRef>
          </c:tx>
          <c:spPr>
            <a:solidFill>
              <a:schemeClr val="accent2"/>
            </a:solidFill>
            <a:ln>
              <a:noFill/>
            </a:ln>
            <a:effectLst/>
          </c:spPr>
          <c:invertIfNegative val="0"/>
          <c:cat>
            <c:strRef>
              <c:f>Sheet1!$E$74:$M$74</c:f>
              <c:strCache>
                <c:ptCount val="9"/>
                <c:pt idx="0">
                  <c:v>00-11</c:v>
                </c:pt>
                <c:pt idx="1">
                  <c:v>12-17</c:v>
                </c:pt>
                <c:pt idx="2">
                  <c:v>18-25</c:v>
                </c:pt>
                <c:pt idx="3">
                  <c:v>26-34</c:v>
                </c:pt>
                <c:pt idx="4">
                  <c:v>35-44</c:v>
                </c:pt>
                <c:pt idx="5">
                  <c:v>45-54</c:v>
                </c:pt>
                <c:pt idx="6">
                  <c:v>55-64</c:v>
                </c:pt>
                <c:pt idx="7">
                  <c:v>65+</c:v>
                </c:pt>
                <c:pt idx="8">
                  <c:v>Unknown</c:v>
                </c:pt>
              </c:strCache>
            </c:strRef>
          </c:cat>
          <c:val>
            <c:numRef>
              <c:f>Sheet1!$E$76:$M$76</c:f>
              <c:numCache>
                <c:formatCode>General</c:formatCode>
                <c:ptCount val="9"/>
                <c:pt idx="0">
                  <c:v>1</c:v>
                </c:pt>
                <c:pt idx="1">
                  <c:v>12</c:v>
                </c:pt>
                <c:pt idx="2">
                  <c:v>154</c:v>
                </c:pt>
                <c:pt idx="3">
                  <c:v>192</c:v>
                </c:pt>
                <c:pt idx="4">
                  <c:v>239</c:v>
                </c:pt>
                <c:pt idx="5">
                  <c:v>171</c:v>
                </c:pt>
                <c:pt idx="6">
                  <c:v>86</c:v>
                </c:pt>
                <c:pt idx="7">
                  <c:v>58</c:v>
                </c:pt>
                <c:pt idx="8">
                  <c:v>14</c:v>
                </c:pt>
              </c:numCache>
            </c:numRef>
          </c:val>
          <c:extLst>
            <c:ext xmlns:c16="http://schemas.microsoft.com/office/drawing/2014/chart" uri="{C3380CC4-5D6E-409C-BE32-E72D297353CC}">
              <c16:uniqueId val="{00000001-2787-434A-9C02-47082AE9635B}"/>
            </c:ext>
          </c:extLst>
        </c:ser>
        <c:ser>
          <c:idx val="2"/>
          <c:order val="2"/>
          <c:tx>
            <c:strRef>
              <c:f>Sheet1!$D$77</c:f>
              <c:strCache>
                <c:ptCount val="1"/>
                <c:pt idx="0">
                  <c:v>Other</c:v>
                </c:pt>
              </c:strCache>
            </c:strRef>
          </c:tx>
          <c:spPr>
            <a:solidFill>
              <a:schemeClr val="accent3"/>
            </a:solidFill>
            <a:ln>
              <a:noFill/>
            </a:ln>
            <a:effectLst/>
          </c:spPr>
          <c:invertIfNegative val="0"/>
          <c:cat>
            <c:strRef>
              <c:f>Sheet1!$E$74:$M$74</c:f>
              <c:strCache>
                <c:ptCount val="9"/>
                <c:pt idx="0">
                  <c:v>00-11</c:v>
                </c:pt>
                <c:pt idx="1">
                  <c:v>12-17</c:v>
                </c:pt>
                <c:pt idx="2">
                  <c:v>18-25</c:v>
                </c:pt>
                <c:pt idx="3">
                  <c:v>26-34</c:v>
                </c:pt>
                <c:pt idx="4">
                  <c:v>35-44</c:v>
                </c:pt>
                <c:pt idx="5">
                  <c:v>45-54</c:v>
                </c:pt>
                <c:pt idx="6">
                  <c:v>55-64</c:v>
                </c:pt>
                <c:pt idx="7">
                  <c:v>65+</c:v>
                </c:pt>
                <c:pt idx="8">
                  <c:v>Unknown</c:v>
                </c:pt>
              </c:strCache>
            </c:strRef>
          </c:cat>
          <c:val>
            <c:numRef>
              <c:f>Sheet1!$E$77:$M$77</c:f>
              <c:numCache>
                <c:formatCode>General</c:formatCode>
                <c:ptCount val="9"/>
                <c:pt idx="0">
                  <c:v>0</c:v>
                </c:pt>
                <c:pt idx="1">
                  <c:v>1</c:v>
                </c:pt>
                <c:pt idx="2">
                  <c:v>2</c:v>
                </c:pt>
                <c:pt idx="3">
                  <c:v>1</c:v>
                </c:pt>
                <c:pt idx="4">
                  <c:v>0</c:v>
                </c:pt>
                <c:pt idx="5">
                  <c:v>0</c:v>
                </c:pt>
                <c:pt idx="6">
                  <c:v>3</c:v>
                </c:pt>
                <c:pt idx="7">
                  <c:v>0</c:v>
                </c:pt>
                <c:pt idx="8">
                  <c:v>0</c:v>
                </c:pt>
              </c:numCache>
            </c:numRef>
          </c:val>
          <c:extLst>
            <c:ext xmlns:c16="http://schemas.microsoft.com/office/drawing/2014/chart" uri="{C3380CC4-5D6E-409C-BE32-E72D297353CC}">
              <c16:uniqueId val="{00000002-2787-434A-9C02-47082AE9635B}"/>
            </c:ext>
          </c:extLst>
        </c:ser>
        <c:ser>
          <c:idx val="3"/>
          <c:order val="3"/>
          <c:tx>
            <c:strRef>
              <c:f>Sheet1!$D$78</c:f>
              <c:strCache>
                <c:ptCount val="1"/>
                <c:pt idx="0">
                  <c:v>Unknown</c:v>
                </c:pt>
              </c:strCache>
            </c:strRef>
          </c:tx>
          <c:spPr>
            <a:solidFill>
              <a:schemeClr val="accent4"/>
            </a:solidFill>
            <a:ln>
              <a:noFill/>
            </a:ln>
            <a:effectLst/>
          </c:spPr>
          <c:invertIfNegative val="0"/>
          <c:cat>
            <c:strRef>
              <c:f>Sheet1!$E$74:$M$74</c:f>
              <c:strCache>
                <c:ptCount val="9"/>
                <c:pt idx="0">
                  <c:v>00-11</c:v>
                </c:pt>
                <c:pt idx="1">
                  <c:v>12-17</c:v>
                </c:pt>
                <c:pt idx="2">
                  <c:v>18-25</c:v>
                </c:pt>
                <c:pt idx="3">
                  <c:v>26-34</c:v>
                </c:pt>
                <c:pt idx="4">
                  <c:v>35-44</c:v>
                </c:pt>
                <c:pt idx="5">
                  <c:v>45-54</c:v>
                </c:pt>
                <c:pt idx="6">
                  <c:v>55-64</c:v>
                </c:pt>
                <c:pt idx="7">
                  <c:v>65+</c:v>
                </c:pt>
                <c:pt idx="8">
                  <c:v>Unknown</c:v>
                </c:pt>
              </c:strCache>
            </c:strRef>
          </c:cat>
          <c:val>
            <c:numRef>
              <c:f>Sheet1!$E$78:$M$78</c:f>
              <c:numCache>
                <c:formatCode>General</c:formatCode>
                <c:ptCount val="9"/>
                <c:pt idx="0">
                  <c:v>0</c:v>
                </c:pt>
                <c:pt idx="1">
                  <c:v>0</c:v>
                </c:pt>
                <c:pt idx="2">
                  <c:v>0</c:v>
                </c:pt>
                <c:pt idx="3">
                  <c:v>0</c:v>
                </c:pt>
                <c:pt idx="4">
                  <c:v>0</c:v>
                </c:pt>
                <c:pt idx="5">
                  <c:v>2</c:v>
                </c:pt>
                <c:pt idx="6">
                  <c:v>0</c:v>
                </c:pt>
                <c:pt idx="7">
                  <c:v>0</c:v>
                </c:pt>
                <c:pt idx="8">
                  <c:v>36</c:v>
                </c:pt>
              </c:numCache>
            </c:numRef>
          </c:val>
          <c:extLst>
            <c:ext xmlns:c16="http://schemas.microsoft.com/office/drawing/2014/chart" uri="{C3380CC4-5D6E-409C-BE32-E72D297353CC}">
              <c16:uniqueId val="{00000003-2787-434A-9C02-47082AE9635B}"/>
            </c:ext>
          </c:extLst>
        </c:ser>
        <c:dLbls>
          <c:showLegendKey val="0"/>
          <c:showVal val="0"/>
          <c:showCatName val="0"/>
          <c:showSerName val="0"/>
          <c:showPercent val="0"/>
          <c:showBubbleSize val="0"/>
        </c:dLbls>
        <c:gapWidth val="219"/>
        <c:axId val="825475344"/>
        <c:axId val="825476784"/>
      </c:barChart>
      <c:lineChart>
        <c:grouping val="standard"/>
        <c:varyColors val="0"/>
        <c:ser>
          <c:idx val="4"/>
          <c:order val="4"/>
          <c:tx>
            <c:strRef>
              <c:f>Sheet1!$D$79</c:f>
              <c:strCache>
                <c:ptCount val="1"/>
                <c:pt idx="0">
                  <c:v>Total</c:v>
                </c:pt>
              </c:strCache>
            </c:strRef>
          </c:tx>
          <c:spPr>
            <a:ln w="28575" cap="rnd">
              <a:solidFill>
                <a:schemeClr val="accent5"/>
              </a:solidFill>
              <a:round/>
            </a:ln>
            <a:effectLst/>
          </c:spPr>
          <c:marker>
            <c:symbol val="none"/>
          </c:marker>
          <c:cat>
            <c:strRef>
              <c:f>Sheet1!$E$74:$M$74</c:f>
              <c:strCache>
                <c:ptCount val="9"/>
                <c:pt idx="0">
                  <c:v>00-11</c:v>
                </c:pt>
                <c:pt idx="1">
                  <c:v>12-17</c:v>
                </c:pt>
                <c:pt idx="2">
                  <c:v>18-25</c:v>
                </c:pt>
                <c:pt idx="3">
                  <c:v>26-34</c:v>
                </c:pt>
                <c:pt idx="4">
                  <c:v>35-44</c:v>
                </c:pt>
                <c:pt idx="5">
                  <c:v>45-54</c:v>
                </c:pt>
                <c:pt idx="6">
                  <c:v>55-64</c:v>
                </c:pt>
                <c:pt idx="7">
                  <c:v>65+</c:v>
                </c:pt>
                <c:pt idx="8">
                  <c:v>Unknown</c:v>
                </c:pt>
              </c:strCache>
            </c:strRef>
          </c:cat>
          <c:val>
            <c:numRef>
              <c:f>Sheet1!$E$79:$M$79</c:f>
              <c:numCache>
                <c:formatCode>General</c:formatCode>
                <c:ptCount val="9"/>
                <c:pt idx="0">
                  <c:v>3</c:v>
                </c:pt>
                <c:pt idx="1">
                  <c:v>36</c:v>
                </c:pt>
                <c:pt idx="2">
                  <c:v>312</c:v>
                </c:pt>
                <c:pt idx="3">
                  <c:v>406</c:v>
                </c:pt>
                <c:pt idx="4">
                  <c:v>409</c:v>
                </c:pt>
                <c:pt idx="5">
                  <c:v>274</c:v>
                </c:pt>
                <c:pt idx="6">
                  <c:v>120</c:v>
                </c:pt>
                <c:pt idx="7">
                  <c:v>97</c:v>
                </c:pt>
                <c:pt idx="8">
                  <c:v>107</c:v>
                </c:pt>
              </c:numCache>
            </c:numRef>
          </c:val>
          <c:smooth val="0"/>
          <c:extLst>
            <c:ext xmlns:c16="http://schemas.microsoft.com/office/drawing/2014/chart" uri="{C3380CC4-5D6E-409C-BE32-E72D297353CC}">
              <c16:uniqueId val="{00000004-2787-434A-9C02-47082AE9635B}"/>
            </c:ext>
          </c:extLst>
        </c:ser>
        <c:dLbls>
          <c:showLegendKey val="0"/>
          <c:showVal val="0"/>
          <c:showCatName val="0"/>
          <c:showSerName val="0"/>
          <c:showPercent val="0"/>
          <c:showBubbleSize val="0"/>
        </c:dLbls>
        <c:marker val="1"/>
        <c:smooth val="0"/>
        <c:axId val="825475344"/>
        <c:axId val="825476784"/>
      </c:lineChart>
      <c:catAx>
        <c:axId val="82547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476784"/>
        <c:crosses val="autoZero"/>
        <c:auto val="1"/>
        <c:lblAlgn val="ctr"/>
        <c:lblOffset val="100"/>
        <c:noMultiLvlLbl val="0"/>
      </c:catAx>
      <c:valAx>
        <c:axId val="82547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47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F4D80087-C819-4413-B080-4DAD87E8FB99}">
    <t:Anchor>
      <t:Comment id="651527358"/>
    </t:Anchor>
    <t:History>
      <t:Event id="{A7AFF0C6-485A-40EC-A509-F153FBC4E71F}" time="2022-09-21T03:00:21.123Z">
        <t:Attribution userId="S::maria.rivas.priday@health.vic.gov.au::faa4bf08-de3f-4f92-ade7-d52e46c29560" userProvider="AD" userName="Maria M Rivas Priday (Health)"/>
        <t:Anchor>
          <t:Comment id="302936485"/>
        </t:Anchor>
        <t:Create/>
      </t:Event>
      <t:Event id="{D75234F7-E448-4C1B-B786-2ACAB84DDE6B}" time="2022-09-21T03:00:21.123Z">
        <t:Attribution userId="S::maria.rivas.priday@health.vic.gov.au::faa4bf08-de3f-4f92-ade7-d52e46c29560" userProvider="AD" userName="Maria M Rivas Priday (Health)"/>
        <t:Anchor>
          <t:Comment id="302936485"/>
        </t:Anchor>
        <t:Assign userId="S::george.vasilev@health.vic.gov.au::1fd56ff2-e84f-4951-9a67-8831ffd1fae9" userProvider="AD" userName="George Vasilev (Health)"/>
      </t:Event>
      <t:Event id="{C2A691A3-6932-4116-87B9-26CEA472B4CF}" time="2022-09-21T03:00:21.123Z">
        <t:Attribution userId="S::maria.rivas.priday@health.vic.gov.au::faa4bf08-de3f-4f92-ade7-d52e46c29560" userProvider="AD" userName="Maria M Rivas Priday (Health)"/>
        <t:Anchor>
          <t:Comment id="302936485"/>
        </t:Anchor>
        <t:SetTitle title="@George Vasilev (Health) Yes I do. Are the 12 out of scope last year's number?"/>
      </t:Event>
    </t:History>
  </t:Task>
  <t:Task id="{DFBD24AB-9B49-40A6-AB9E-E9B8B7BAA370}">
    <t:Anchor>
      <t:Comment id="879000353"/>
    </t:Anchor>
    <t:History>
      <t:Event id="{CCD2DAE6-BD14-4352-AE53-D1DAF3B87485}" time="2021-09-09T09:17:32.58Z">
        <t:Attribution userId="S::dom.baetens@health.vic.gov.au::1ae88f1b-ff41-49c4-bbe0-b9fcb19c29c6" userProvider="AD" userName="Dom Baetens (Health)"/>
        <t:Anchor>
          <t:Comment id="879000353"/>
        </t:Anchor>
        <t:Create/>
      </t:Event>
      <t:Event id="{5B37B73B-5D66-4270-8D9A-D4D65A7F0526}" time="2021-09-09T09:17:32.58Z">
        <t:Attribution userId="S::dom.baetens@health.vic.gov.au::1ae88f1b-ff41-49c4-bbe0-b9fcb19c29c6" userProvider="AD" userName="Dom Baetens (Health)"/>
        <t:Anchor>
          <t:Comment id="879000353"/>
        </t:Anchor>
        <t:Assign userId="S::george.vasilev@health.vic.gov.au::1fd56ff2-e84f-4951-9a67-8831ffd1fae9" userProvider="AD" userName="George Vasilev (Health)"/>
      </t:Event>
      <t:Event id="{54BECB28-0306-41A7-999C-495FCA7B8485}" time="2021-09-09T09:17:32.58Z">
        <t:Attribution userId="S::dom.baetens@health.vic.gov.au::1ae88f1b-ff41-49c4-bbe0-b9fcb19c29c6" userProvider="AD" userName="Dom Baetens (Health)"/>
        <t:Anchor>
          <t:Comment id="879000353"/>
        </t:Anchor>
        <t:SetTitle title="@George Vasilev (Health) - did you want us to provide examples George?"/>
      </t:Event>
    </t:History>
  </t:Task>
  <t:Task id="{877ACF5D-DCF3-47CA-86B1-2AB5FB3FA331}">
    <t:Anchor>
      <t:Comment id="175961191"/>
    </t:Anchor>
    <t:History>
      <t:Event id="{CF76EF5A-389A-4222-9E88-73784738BFA1}" time="2021-09-09T09:36:54.149Z">
        <t:Attribution userId="S::dom.baetens@health.vic.gov.au::1ae88f1b-ff41-49c4-bbe0-b9fcb19c29c6" userProvider="AD" userName="Dom Baetens (Health)"/>
        <t:Anchor>
          <t:Comment id="175961191"/>
        </t:Anchor>
        <t:Create/>
      </t:Event>
      <t:Event id="{FA6D0FE7-A63C-41A7-B98D-4CA7C6A15A9D}" time="2021-09-09T09:36:54.149Z">
        <t:Attribution userId="S::dom.baetens@health.vic.gov.au::1ae88f1b-ff41-49c4-bbe0-b9fcb19c29c6" userProvider="AD" userName="Dom Baetens (Health)"/>
        <t:Anchor>
          <t:Comment id="175961191"/>
        </t:Anchor>
        <t:Assign userId="S::Neil.Coventry@health.vic.gov.au::d8e1249d-d624-41f4-8fbe-d1c32b993ca5" userProvider="AD" userName="Neil Coventry (Health)"/>
      </t:Event>
      <t:Event id="{03ED069C-E3A6-4FF1-BB8A-26158A4B8EB0}" time="2021-09-09T09:36:54.149Z">
        <t:Attribution userId="S::dom.baetens@health.vic.gov.au::1ae88f1b-ff41-49c4-bbe0-b9fcb19c29c6" userProvider="AD" userName="Dom Baetens (Health)"/>
        <t:Anchor>
          <t:Comment id="175961191"/>
        </t:Anchor>
        <t:SetTitle title="@Katherine Utry (Health) @Neil Coventry (Health) @David K Huppert (Health) @Sathya Rao (Health) - dare we comment on increased presentations and contact related to subsections of the community e.g. youth, eating disorders? We would need to cross …"/>
      </t:Event>
    </t:History>
  </t:Task>
  <t:Task id="{DA7B9AF3-C4C7-4771-B50C-323C2494CC4E}">
    <t:Anchor>
      <t:Comment id="139863397"/>
    </t:Anchor>
    <t:History>
      <t:Event id="{EEF28B1D-DC35-4ACC-A93E-7C367F37E7F1}" time="2021-09-09T11:10:09.783Z">
        <t:Attribution userId="S::dom.baetens@health.vic.gov.au::1ae88f1b-ff41-49c4-bbe0-b9fcb19c29c6" userProvider="AD" userName="Dom Baetens (Health)"/>
        <t:Anchor>
          <t:Comment id="139863397"/>
        </t:Anchor>
        <t:Create/>
      </t:Event>
      <t:Event id="{F2ADD898-8973-4E46-A73C-66668871610A}" time="2021-09-09T11:10:09.783Z">
        <t:Attribution userId="S::dom.baetens@health.vic.gov.au::1ae88f1b-ff41-49c4-bbe0-b9fcb19c29c6" userProvider="AD" userName="Dom Baetens (Health)"/>
        <t:Anchor>
          <t:Comment id="139863397"/>
        </t:Anchor>
        <t:Assign userId="S::David.k.Huppert@health.vic.gov.au::60f882b0-90e0-4459-851f-3b16fb018b60" userProvider="AD" userName="David K Huppert (Health)"/>
      </t:Event>
      <t:Event id="{A7891B83-4F59-4106-A53A-A7BDF418CAF3}" time="2021-09-09T11:10:09.783Z">
        <t:Attribution userId="S::dom.baetens@health.vic.gov.au::1ae88f1b-ff41-49c4-bbe0-b9fcb19c29c6" userProvider="AD" userName="Dom Baetens (Health)"/>
        <t:Anchor>
          <t:Comment id="139863397"/>
        </t:Anchor>
        <t:SetTitle title="@David K Huppert (Health) when did we get Forensicare to change its reporting around seclusion in terms of ongoing seclusion? Would that impact on this data?"/>
      </t:Event>
    </t:History>
  </t:Task>
  <t:Task id="{036154BB-2211-4C80-A970-55DF4CFC51FC}">
    <t:Anchor>
      <t:Comment id="651527595"/>
    </t:Anchor>
    <t:History>
      <t:Event id="{04B24055-2D2E-4DF3-B531-89FDCB8A4B3F}" time="2022-09-21T02:58:05.695Z">
        <t:Attribution userId="S::maria.rivas.priday@health.vic.gov.au::faa4bf08-de3f-4f92-ade7-d52e46c29560" userProvider="AD" userName="Maria M Rivas Priday (Health)"/>
        <t:Anchor>
          <t:Comment id="1257094410"/>
        </t:Anchor>
        <t:Create/>
      </t:Event>
      <t:Event id="{30A5139D-63F4-4FBD-8F84-AFFEFA92918A}" time="2022-09-21T02:58:05.695Z">
        <t:Attribution userId="S::maria.rivas.priday@health.vic.gov.au::faa4bf08-de3f-4f92-ade7-d52e46c29560" userProvider="AD" userName="Maria M Rivas Priday (Health)"/>
        <t:Anchor>
          <t:Comment id="1257094410"/>
        </t:Anchor>
        <t:Assign userId="S::george.vasilev@health.vic.gov.au::1fd56ff2-e84f-4951-9a67-8831ffd1fae9" userProvider="AD" userName="George Vasilev (Health)"/>
      </t:Event>
      <t:Event id="{4A055083-0391-4549-AD2E-CFBFF7A0A3A0}" time="2022-09-21T02:58:05.695Z">
        <t:Attribution userId="S::maria.rivas.priday@health.vic.gov.au::faa4bf08-de3f-4f92-ade7-d52e46c29560" userProvider="AD" userName="Maria M Rivas Priday (Health)"/>
        <t:Anchor>
          <t:Comment id="1257094410"/>
        </t:Anchor>
        <t:SetTitle title="@George Vasilev (Health), I'm currently auditing the 64 Inpatient deaths to ensure they have been classified correctly this number will most likely change and decrease. Once I finish I will send them to David for him to do the final check. Sorry it i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ce4eaa-4cb8-4908-9479-89279dfc8e74">
      <UserInfo>
        <DisplayName>Daniel W O'Connor (DHHS)</DisplayName>
        <AccountId>22</AccountId>
        <AccountType/>
      </UserInfo>
      <UserInfo>
        <DisplayName>David K Huppert (Health)</DisplayName>
        <AccountId>16</AccountId>
        <AccountType/>
      </UserInfo>
      <UserInfo>
        <DisplayName>Dom Baetens (Health)</DisplayName>
        <AccountId>68</AccountId>
        <AccountType/>
      </UserInfo>
      <UserInfo>
        <DisplayName>Sathya Rao (Health)</DisplayName>
        <AccountId>126</AccountId>
        <AccountType/>
      </UserInfo>
      <UserInfo>
        <DisplayName>Sayesha Hasija (Health)</DisplayName>
        <AccountId>123</AccountId>
        <AccountType/>
      </UserInfo>
      <UserInfo>
        <DisplayName>Maria M Rivas Priday (Health)</DisplayName>
        <AccountId>20</AccountId>
        <AccountType/>
      </UserInfo>
      <UserInfo>
        <DisplayName>Moses Abbatangelo (Health)</DisplayName>
        <AccountId>71</AccountId>
        <AccountType/>
      </UserInfo>
      <UserInfo>
        <DisplayName>Katherine Utry (Health)</DisplayName>
        <AccountId>14</AccountId>
        <AccountType/>
      </UserInfo>
      <UserInfo>
        <DisplayName>Neil Coventry (Health)</DisplayName>
        <AccountId>42</AccountId>
        <AccountType/>
      </UserInfo>
      <UserInfo>
        <DisplayName>Ruth De Sa (Health)</DisplayName>
        <AccountId>17</AccountId>
        <AccountType/>
      </UserInfo>
      <UserInfo>
        <DisplayName>George Vasilev (Health)</DisplayName>
        <AccountId>93</AccountId>
        <AccountType/>
      </UserInfo>
      <UserInfo>
        <DisplayName>Dana Emmanouilidis (Health)</DisplayName>
        <AccountId>142</AccountId>
        <AccountType/>
      </UserInfo>
      <UserInfo>
        <DisplayName>Luke Pinney (Health)</DisplayName>
        <AccountId>21</AccountId>
        <AccountType/>
      </UserInfo>
      <UserInfo>
        <DisplayName>Wendy Lawrence (Health)</DisplayName>
        <AccountId>284</AccountId>
        <AccountType/>
      </UserInfo>
    </SharedWithUsers>
    <TaxCatchAll xmlns="5ce0f2b5-5be5-4508-bce9-d7011ece0659" xsi:nil="true"/>
    <lcf76f155ced4ddcb4097134ff3c332f xmlns="3fdefc27-9daa-4412-9bc3-ba173f0af3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4F20F19C4104BBBAB94593FED5702" ma:contentTypeVersion="18" ma:contentTypeDescription="Create a new document." ma:contentTypeScope="" ma:versionID="3cfb6ee90b3a11b0d07ff9098199a344">
  <xsd:schema xmlns:xsd="http://www.w3.org/2001/XMLSchema" xmlns:xs="http://www.w3.org/2001/XMLSchema" xmlns:p="http://schemas.microsoft.com/office/2006/metadata/properties" xmlns:ns2="3fdefc27-9daa-4412-9bc3-ba173f0af375" xmlns:ns3="81ce4eaa-4cb8-4908-9479-89279dfc8e74" xmlns:ns4="5ce0f2b5-5be5-4508-bce9-d7011ece0659" targetNamespace="http://schemas.microsoft.com/office/2006/metadata/properties" ma:root="true" ma:fieldsID="73a59e9aea9c634f438e5a523eb0e895" ns2:_="" ns3:_="" ns4:_="">
    <xsd:import namespace="3fdefc27-9daa-4412-9bc3-ba173f0af375"/>
    <xsd:import namespace="81ce4eaa-4cb8-4908-9479-89279dfc8e7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efc27-9daa-4412-9bc3-ba173f0af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e4eaa-4cb8-4908-9479-89279dfc8e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7f40d39-d9c4-4750-b992-a0f32e5c75c5}" ma:internalName="TaxCatchAll" ma:showField="CatchAllData" ma:web="81ce4eaa-4cb8-4908-9479-89279dfc8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92642-FCF0-4B26-9B07-968FA704AF7B}">
  <ds:schemaRefs>
    <ds:schemaRef ds:uri="http://schemas.microsoft.com/office/2006/metadata/properties"/>
    <ds:schemaRef ds:uri="http://schemas.microsoft.com/office/infopath/2007/PartnerControls"/>
    <ds:schemaRef ds:uri="81ce4eaa-4cb8-4908-9479-89279dfc8e74"/>
    <ds:schemaRef ds:uri="5ce0f2b5-5be5-4508-bce9-d7011ece0659"/>
    <ds:schemaRef ds:uri="3fdefc27-9daa-4412-9bc3-ba173f0af375"/>
  </ds:schemaRefs>
</ds:datastoreItem>
</file>

<file path=customXml/itemProps2.xml><?xml version="1.0" encoding="utf-8"?>
<ds:datastoreItem xmlns:ds="http://schemas.openxmlformats.org/officeDocument/2006/customXml" ds:itemID="{944B5B52-5AA8-47A7-A5D8-49E282B6E3D3}">
  <ds:schemaRefs>
    <ds:schemaRef ds:uri="http://schemas.openxmlformats.org/officeDocument/2006/bibliography"/>
  </ds:schemaRefs>
</ds:datastoreItem>
</file>

<file path=customXml/itemProps3.xml><?xml version="1.0" encoding="utf-8"?>
<ds:datastoreItem xmlns:ds="http://schemas.openxmlformats.org/officeDocument/2006/customXml" ds:itemID="{C5C979ED-22C3-47D1-A084-A6111F03DE37}">
  <ds:schemaRefs>
    <ds:schemaRef ds:uri="http://schemas.microsoft.com/sharepoint/v3/contenttype/forms"/>
  </ds:schemaRefs>
</ds:datastoreItem>
</file>

<file path=customXml/itemProps4.xml><?xml version="1.0" encoding="utf-8"?>
<ds:datastoreItem xmlns:ds="http://schemas.openxmlformats.org/officeDocument/2006/customXml" ds:itemID="{E55AADF4-0956-4935-B2DC-94098ECE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efc27-9daa-4412-9bc3-ba173f0af375"/>
    <ds:schemaRef ds:uri="81ce4eaa-4cb8-4908-9479-89279dfc8e7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10262</Words>
  <Characters>58500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Chief Psychiatrist’s annual report 2023–24</vt:lpstr>
    </vt:vector>
  </TitlesOfParts>
  <Company>State Government of Victoria, Department of Health</Company>
  <LinksUpToDate>false</LinksUpToDate>
  <CharactersWithSpaces>68625</CharactersWithSpaces>
  <SharedDoc>false</SharedDoc>
  <HyperlinkBase/>
  <HLinks>
    <vt:vector size="150" baseType="variant">
      <vt:variant>
        <vt:i4>1114133</vt:i4>
      </vt:variant>
      <vt:variant>
        <vt:i4>138</vt:i4>
      </vt:variant>
      <vt:variant>
        <vt:i4>0</vt:i4>
      </vt:variant>
      <vt:variant>
        <vt:i4>5</vt:i4>
      </vt:variant>
      <vt:variant>
        <vt:lpwstr>https://www.health.vic.gov.au/chief-psychiatrist/improving-sexual-safety</vt:lpwstr>
      </vt:variant>
      <vt:variant>
        <vt:lpwstr/>
      </vt:variant>
      <vt:variant>
        <vt:i4>4259933</vt:i4>
      </vt:variant>
      <vt:variant>
        <vt:i4>135</vt:i4>
      </vt:variant>
      <vt:variant>
        <vt:i4>0</vt:i4>
      </vt:variant>
      <vt:variant>
        <vt:i4>5</vt:i4>
      </vt:variant>
      <vt:variant>
        <vt:lpwstr>https://www.health.vic.gov.au/mental-health-and-wellbeing-act</vt:lpwstr>
      </vt:variant>
      <vt:variant>
        <vt:lpwstr/>
      </vt:variant>
      <vt:variant>
        <vt:i4>1900598</vt:i4>
      </vt:variant>
      <vt:variant>
        <vt:i4>128</vt:i4>
      </vt:variant>
      <vt:variant>
        <vt:i4>0</vt:i4>
      </vt:variant>
      <vt:variant>
        <vt:i4>5</vt:i4>
      </vt:variant>
      <vt:variant>
        <vt:lpwstr/>
      </vt:variant>
      <vt:variant>
        <vt:lpwstr>_Toc180660142</vt:lpwstr>
      </vt:variant>
      <vt:variant>
        <vt:i4>1900598</vt:i4>
      </vt:variant>
      <vt:variant>
        <vt:i4>122</vt:i4>
      </vt:variant>
      <vt:variant>
        <vt:i4>0</vt:i4>
      </vt:variant>
      <vt:variant>
        <vt:i4>5</vt:i4>
      </vt:variant>
      <vt:variant>
        <vt:lpwstr/>
      </vt:variant>
      <vt:variant>
        <vt:lpwstr>_Toc180660141</vt:lpwstr>
      </vt:variant>
      <vt:variant>
        <vt:i4>1900598</vt:i4>
      </vt:variant>
      <vt:variant>
        <vt:i4>116</vt:i4>
      </vt:variant>
      <vt:variant>
        <vt:i4>0</vt:i4>
      </vt:variant>
      <vt:variant>
        <vt:i4>5</vt:i4>
      </vt:variant>
      <vt:variant>
        <vt:lpwstr/>
      </vt:variant>
      <vt:variant>
        <vt:lpwstr>_Toc180660140</vt:lpwstr>
      </vt:variant>
      <vt:variant>
        <vt:i4>1703990</vt:i4>
      </vt:variant>
      <vt:variant>
        <vt:i4>110</vt:i4>
      </vt:variant>
      <vt:variant>
        <vt:i4>0</vt:i4>
      </vt:variant>
      <vt:variant>
        <vt:i4>5</vt:i4>
      </vt:variant>
      <vt:variant>
        <vt:lpwstr/>
      </vt:variant>
      <vt:variant>
        <vt:lpwstr>_Toc180660139</vt:lpwstr>
      </vt:variant>
      <vt:variant>
        <vt:i4>1703990</vt:i4>
      </vt:variant>
      <vt:variant>
        <vt:i4>104</vt:i4>
      </vt:variant>
      <vt:variant>
        <vt:i4>0</vt:i4>
      </vt:variant>
      <vt:variant>
        <vt:i4>5</vt:i4>
      </vt:variant>
      <vt:variant>
        <vt:lpwstr/>
      </vt:variant>
      <vt:variant>
        <vt:lpwstr>_Toc180660138</vt:lpwstr>
      </vt:variant>
      <vt:variant>
        <vt:i4>1703990</vt:i4>
      </vt:variant>
      <vt:variant>
        <vt:i4>98</vt:i4>
      </vt:variant>
      <vt:variant>
        <vt:i4>0</vt:i4>
      </vt:variant>
      <vt:variant>
        <vt:i4>5</vt:i4>
      </vt:variant>
      <vt:variant>
        <vt:lpwstr/>
      </vt:variant>
      <vt:variant>
        <vt:lpwstr>_Toc180660137</vt:lpwstr>
      </vt:variant>
      <vt:variant>
        <vt:i4>1703990</vt:i4>
      </vt:variant>
      <vt:variant>
        <vt:i4>92</vt:i4>
      </vt:variant>
      <vt:variant>
        <vt:i4>0</vt:i4>
      </vt:variant>
      <vt:variant>
        <vt:i4>5</vt:i4>
      </vt:variant>
      <vt:variant>
        <vt:lpwstr/>
      </vt:variant>
      <vt:variant>
        <vt:lpwstr>_Toc180660136</vt:lpwstr>
      </vt:variant>
      <vt:variant>
        <vt:i4>1703990</vt:i4>
      </vt:variant>
      <vt:variant>
        <vt:i4>86</vt:i4>
      </vt:variant>
      <vt:variant>
        <vt:i4>0</vt:i4>
      </vt:variant>
      <vt:variant>
        <vt:i4>5</vt:i4>
      </vt:variant>
      <vt:variant>
        <vt:lpwstr/>
      </vt:variant>
      <vt:variant>
        <vt:lpwstr>_Toc180660135</vt:lpwstr>
      </vt:variant>
      <vt:variant>
        <vt:i4>1703990</vt:i4>
      </vt:variant>
      <vt:variant>
        <vt:i4>80</vt:i4>
      </vt:variant>
      <vt:variant>
        <vt:i4>0</vt:i4>
      </vt:variant>
      <vt:variant>
        <vt:i4>5</vt:i4>
      </vt:variant>
      <vt:variant>
        <vt:lpwstr/>
      </vt:variant>
      <vt:variant>
        <vt:lpwstr>_Toc180660134</vt:lpwstr>
      </vt:variant>
      <vt:variant>
        <vt:i4>1703990</vt:i4>
      </vt:variant>
      <vt:variant>
        <vt:i4>74</vt:i4>
      </vt:variant>
      <vt:variant>
        <vt:i4>0</vt:i4>
      </vt:variant>
      <vt:variant>
        <vt:i4>5</vt:i4>
      </vt:variant>
      <vt:variant>
        <vt:lpwstr/>
      </vt:variant>
      <vt:variant>
        <vt:lpwstr>_Toc180660133</vt:lpwstr>
      </vt:variant>
      <vt:variant>
        <vt:i4>1703990</vt:i4>
      </vt:variant>
      <vt:variant>
        <vt:i4>68</vt:i4>
      </vt:variant>
      <vt:variant>
        <vt:i4>0</vt:i4>
      </vt:variant>
      <vt:variant>
        <vt:i4>5</vt:i4>
      </vt:variant>
      <vt:variant>
        <vt:lpwstr/>
      </vt:variant>
      <vt:variant>
        <vt:lpwstr>_Toc180660132</vt:lpwstr>
      </vt:variant>
      <vt:variant>
        <vt:i4>1703990</vt:i4>
      </vt:variant>
      <vt:variant>
        <vt:i4>62</vt:i4>
      </vt:variant>
      <vt:variant>
        <vt:i4>0</vt:i4>
      </vt:variant>
      <vt:variant>
        <vt:i4>5</vt:i4>
      </vt:variant>
      <vt:variant>
        <vt:lpwstr/>
      </vt:variant>
      <vt:variant>
        <vt:lpwstr>_Toc180660131</vt:lpwstr>
      </vt:variant>
      <vt:variant>
        <vt:i4>1703990</vt:i4>
      </vt:variant>
      <vt:variant>
        <vt:i4>56</vt:i4>
      </vt:variant>
      <vt:variant>
        <vt:i4>0</vt:i4>
      </vt:variant>
      <vt:variant>
        <vt:i4>5</vt:i4>
      </vt:variant>
      <vt:variant>
        <vt:lpwstr/>
      </vt:variant>
      <vt:variant>
        <vt:lpwstr>_Toc180660130</vt:lpwstr>
      </vt:variant>
      <vt:variant>
        <vt:i4>1769526</vt:i4>
      </vt:variant>
      <vt:variant>
        <vt:i4>50</vt:i4>
      </vt:variant>
      <vt:variant>
        <vt:i4>0</vt:i4>
      </vt:variant>
      <vt:variant>
        <vt:i4>5</vt:i4>
      </vt:variant>
      <vt:variant>
        <vt:lpwstr/>
      </vt:variant>
      <vt:variant>
        <vt:lpwstr>_Toc180660129</vt:lpwstr>
      </vt:variant>
      <vt:variant>
        <vt:i4>1769526</vt:i4>
      </vt:variant>
      <vt:variant>
        <vt:i4>44</vt:i4>
      </vt:variant>
      <vt:variant>
        <vt:i4>0</vt:i4>
      </vt:variant>
      <vt:variant>
        <vt:i4>5</vt:i4>
      </vt:variant>
      <vt:variant>
        <vt:lpwstr/>
      </vt:variant>
      <vt:variant>
        <vt:lpwstr>_Toc180660128</vt:lpwstr>
      </vt:variant>
      <vt:variant>
        <vt:i4>1769526</vt:i4>
      </vt:variant>
      <vt:variant>
        <vt:i4>38</vt:i4>
      </vt:variant>
      <vt:variant>
        <vt:i4>0</vt:i4>
      </vt:variant>
      <vt:variant>
        <vt:i4>5</vt:i4>
      </vt:variant>
      <vt:variant>
        <vt:lpwstr/>
      </vt:variant>
      <vt:variant>
        <vt:lpwstr>_Toc180660127</vt:lpwstr>
      </vt:variant>
      <vt:variant>
        <vt:i4>1769526</vt:i4>
      </vt:variant>
      <vt:variant>
        <vt:i4>32</vt:i4>
      </vt:variant>
      <vt:variant>
        <vt:i4>0</vt:i4>
      </vt:variant>
      <vt:variant>
        <vt:i4>5</vt:i4>
      </vt:variant>
      <vt:variant>
        <vt:lpwstr/>
      </vt:variant>
      <vt:variant>
        <vt:lpwstr>_Toc180660126</vt:lpwstr>
      </vt:variant>
      <vt:variant>
        <vt:i4>1769526</vt:i4>
      </vt:variant>
      <vt:variant>
        <vt:i4>26</vt:i4>
      </vt:variant>
      <vt:variant>
        <vt:i4>0</vt:i4>
      </vt:variant>
      <vt:variant>
        <vt:i4>5</vt:i4>
      </vt:variant>
      <vt:variant>
        <vt:lpwstr/>
      </vt:variant>
      <vt:variant>
        <vt:lpwstr>_Toc180660125</vt:lpwstr>
      </vt:variant>
      <vt:variant>
        <vt:i4>1769526</vt:i4>
      </vt:variant>
      <vt:variant>
        <vt:i4>20</vt:i4>
      </vt:variant>
      <vt:variant>
        <vt:i4>0</vt:i4>
      </vt:variant>
      <vt:variant>
        <vt:i4>5</vt:i4>
      </vt:variant>
      <vt:variant>
        <vt:lpwstr/>
      </vt:variant>
      <vt:variant>
        <vt:lpwstr>_Toc180660124</vt:lpwstr>
      </vt:variant>
      <vt:variant>
        <vt:i4>1769526</vt:i4>
      </vt:variant>
      <vt:variant>
        <vt:i4>14</vt:i4>
      </vt:variant>
      <vt:variant>
        <vt:i4>0</vt:i4>
      </vt:variant>
      <vt:variant>
        <vt:i4>5</vt:i4>
      </vt:variant>
      <vt:variant>
        <vt:lpwstr/>
      </vt:variant>
      <vt:variant>
        <vt:lpwstr>_Toc180660123</vt:lpwstr>
      </vt:variant>
      <vt:variant>
        <vt:i4>1769526</vt:i4>
      </vt:variant>
      <vt:variant>
        <vt:i4>8</vt:i4>
      </vt:variant>
      <vt:variant>
        <vt:i4>0</vt:i4>
      </vt:variant>
      <vt:variant>
        <vt:i4>5</vt:i4>
      </vt:variant>
      <vt:variant>
        <vt:lpwstr/>
      </vt:variant>
      <vt:variant>
        <vt:lpwstr>_Toc180660122</vt:lpwstr>
      </vt:variant>
      <vt:variant>
        <vt:i4>5570645</vt:i4>
      </vt:variant>
      <vt:variant>
        <vt:i4>3</vt:i4>
      </vt:variant>
      <vt:variant>
        <vt:i4>0</vt:i4>
      </vt:variant>
      <vt:variant>
        <vt:i4>5</vt:i4>
      </vt:variant>
      <vt:variant>
        <vt:lpwstr>https://www.health.vic.gov.au/key-staff/publications-from-the-chief-psychiatrist</vt:lpwstr>
      </vt:variant>
      <vt:variant>
        <vt:lpwstr/>
      </vt:variant>
      <vt:variant>
        <vt:i4>2883607</vt:i4>
      </vt:variant>
      <vt:variant>
        <vt:i4>0</vt:i4>
      </vt:variant>
      <vt:variant>
        <vt:i4>0</vt:i4>
      </vt:variant>
      <vt:variant>
        <vt:i4>5</vt:i4>
      </vt:variant>
      <vt:variant>
        <vt:lpwstr>mailto:ocp@dhhs.vic.gov.au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Psychiatrist’s annual report 2023–24</dc:title>
  <dc:subject>Chief Psychiatrist’s annual report 2023–24</dc:subject>
  <dc:creator>Mental Health Branch</dc:creator>
  <cp:keywords>Chief Psychiatrist, annual report, 2023–24, mental health, victoria</cp:keywords>
  <cp:lastModifiedBy>Claire East (Health)</cp:lastModifiedBy>
  <cp:revision>3</cp:revision>
  <cp:lastPrinted>2015-08-29T01:33:00Z</cp:lastPrinted>
  <dcterms:created xsi:type="dcterms:W3CDTF">2024-11-11T02:15:00Z</dcterms:created>
  <dcterms:modified xsi:type="dcterms:W3CDTF">2024-11-29T05:30:00Z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0x0101002F04F20F19C4104BBBAB94593FED5702</vt:lpwstr>
  </property>
  <property fmtid="{D5CDD505-2E9C-101B-9397-08002B2CF9AE}" pid="4" name="MSIP_Label_f20f9b25-8d0c-4146-9c91-3f0a3637bd09_Enabled">
    <vt:lpwstr>true</vt:lpwstr>
  </property>
  <property fmtid="{D5CDD505-2E9C-101B-9397-08002B2CF9AE}" pid="5" name="MSIP_Label_f20f9b25-8d0c-4146-9c91-3f0a3637bd09_SetDate">
    <vt:lpwstr>2021-09-24T03:31:13Z</vt:lpwstr>
  </property>
  <property fmtid="{D5CDD505-2E9C-101B-9397-08002B2CF9AE}" pid="6" name="MSIP_Label_f20f9b25-8d0c-4146-9c91-3f0a3637bd09_Method">
    <vt:lpwstr>Standard</vt:lpwstr>
  </property>
  <property fmtid="{D5CDD505-2E9C-101B-9397-08002B2CF9AE}" pid="7" name="MSIP_Label_f20f9b25-8d0c-4146-9c91-3f0a3637bd09_Name">
    <vt:lpwstr>f20f9b25-8d0c-4146-9c91-3f0a3637bd09</vt:lpwstr>
  </property>
  <property fmtid="{D5CDD505-2E9C-101B-9397-08002B2CF9AE}" pid="8" name="MSIP_Label_f20f9b25-8d0c-4146-9c91-3f0a3637bd09_SiteId">
    <vt:lpwstr>c0e0601f-0fac-449c-9c88-a104c4eb9f28</vt:lpwstr>
  </property>
  <property fmtid="{D5CDD505-2E9C-101B-9397-08002B2CF9AE}" pid="9" name="MSIP_Label_f20f9b25-8d0c-4146-9c91-3f0a3637bd09_ActionId">
    <vt:lpwstr>78f992ff-8633-4a38-92be-4bed48e9b69f</vt:lpwstr>
  </property>
  <property fmtid="{D5CDD505-2E9C-101B-9397-08002B2CF9AE}" pid="10" name="MSIP_Label_f20f9b25-8d0c-4146-9c91-3f0a3637bd09_ContentBits">
    <vt:lpwstr>2</vt:lpwstr>
  </property>
  <property fmtid="{D5CDD505-2E9C-101B-9397-08002B2CF9AE}" pid="11" name="MediaServiceImageTags">
    <vt:lpwstr/>
  </property>
</Properties>
</file>