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A82BB" w14:textId="77777777" w:rsidR="00056EC4" w:rsidRPr="00F56540" w:rsidRDefault="00E9042A" w:rsidP="00056EC4">
      <w:pPr>
        <w:pStyle w:val="Body"/>
        <w:rPr>
          <w:rFonts w:cs="Arial"/>
        </w:rPr>
      </w:pPr>
      <w:r w:rsidRPr="00F56540">
        <w:rPr>
          <w:rFonts w:cs="Arial"/>
          <w:noProof/>
        </w:rPr>
        <w:drawing>
          <wp:anchor distT="0" distB="0" distL="114300" distR="114300" simplePos="0" relativeHeight="251658240" behindDoc="1" locked="1" layoutInCell="1" allowOverlap="0" wp14:anchorId="5A37C06E" wp14:editId="22BDC372">
            <wp:simplePos x="0" y="0"/>
            <wp:positionH relativeFrom="page">
              <wp:posOffset>0</wp:posOffset>
            </wp:positionH>
            <wp:positionV relativeFrom="page">
              <wp:posOffset>0</wp:posOffset>
            </wp:positionV>
            <wp:extent cx="7555865" cy="10146665"/>
            <wp:effectExtent l="0" t="0" r="635" b="635"/>
            <wp:wrapNone/>
            <wp:docPr id="3" name="Picture 1"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F56540" w14:paraId="029476AC" w14:textId="77777777" w:rsidTr="00431F42">
        <w:trPr>
          <w:cantSplit/>
        </w:trPr>
        <w:tc>
          <w:tcPr>
            <w:tcW w:w="0" w:type="auto"/>
            <w:tcMar>
              <w:top w:w="0" w:type="dxa"/>
              <w:left w:w="0" w:type="dxa"/>
              <w:right w:w="0" w:type="dxa"/>
            </w:tcMar>
          </w:tcPr>
          <w:p w14:paraId="165629F6" w14:textId="3E4A8FA5" w:rsidR="00AD784C" w:rsidRPr="00F56540" w:rsidRDefault="002E7B2A" w:rsidP="00CC3BB0">
            <w:pPr>
              <w:pStyle w:val="Documenttitle"/>
              <w:rPr>
                <w:rFonts w:cs="Arial"/>
              </w:rPr>
            </w:pPr>
            <w:r w:rsidRPr="00F56540">
              <w:rPr>
                <w:rFonts w:cs="Arial"/>
              </w:rPr>
              <w:t>V</w:t>
            </w:r>
            <w:r w:rsidR="002205D2" w:rsidRPr="00F56540">
              <w:rPr>
                <w:rFonts w:cs="Arial"/>
              </w:rPr>
              <w:t xml:space="preserve">accination </w:t>
            </w:r>
            <w:r w:rsidRPr="00F56540">
              <w:rPr>
                <w:rFonts w:cs="Arial"/>
              </w:rPr>
              <w:t xml:space="preserve">requirements for </w:t>
            </w:r>
            <w:r w:rsidR="002205D2" w:rsidRPr="00F56540">
              <w:rPr>
                <w:rFonts w:cs="Arial"/>
              </w:rPr>
              <w:t xml:space="preserve">healthcare workers </w:t>
            </w:r>
          </w:p>
        </w:tc>
      </w:tr>
      <w:tr w:rsidR="00AD784C" w:rsidRPr="00F56540" w14:paraId="58941844" w14:textId="77777777" w:rsidTr="00431F42">
        <w:trPr>
          <w:cantSplit/>
        </w:trPr>
        <w:tc>
          <w:tcPr>
            <w:tcW w:w="0" w:type="auto"/>
          </w:tcPr>
          <w:p w14:paraId="4875EF85" w14:textId="77777777" w:rsidR="00386109" w:rsidRDefault="002205D2" w:rsidP="009315BE">
            <w:pPr>
              <w:pStyle w:val="Documentsubtitle"/>
              <w:rPr>
                <w:rFonts w:cs="Arial"/>
              </w:rPr>
            </w:pPr>
            <w:r w:rsidRPr="00F56540">
              <w:rPr>
                <w:rFonts w:cs="Arial"/>
              </w:rPr>
              <w:t>Policy guidance for healthcare settings</w:t>
            </w:r>
          </w:p>
          <w:p w14:paraId="14994FB9" w14:textId="7FA74D6B" w:rsidR="007E3213" w:rsidRPr="00F56540" w:rsidRDefault="00A711CA" w:rsidP="009315BE">
            <w:pPr>
              <w:pStyle w:val="Documentsubtitle"/>
              <w:rPr>
                <w:rFonts w:cs="Arial"/>
              </w:rPr>
            </w:pPr>
            <w:r>
              <w:rPr>
                <w:rFonts w:cs="Arial"/>
              </w:rPr>
              <w:t xml:space="preserve">Updated </w:t>
            </w:r>
            <w:r w:rsidR="007E3213">
              <w:rPr>
                <w:rFonts w:cs="Arial"/>
              </w:rPr>
              <w:t>4 October 2024</w:t>
            </w:r>
          </w:p>
        </w:tc>
      </w:tr>
      <w:tr w:rsidR="00430393" w:rsidRPr="00F56540" w14:paraId="2A4E2566" w14:textId="77777777" w:rsidTr="00431F42">
        <w:trPr>
          <w:cantSplit/>
        </w:trPr>
        <w:tc>
          <w:tcPr>
            <w:tcW w:w="0" w:type="auto"/>
          </w:tcPr>
          <w:p w14:paraId="4473D20D" w14:textId="77777777" w:rsidR="00430393" w:rsidRPr="00F56540" w:rsidRDefault="0038355D" w:rsidP="00430393">
            <w:pPr>
              <w:pStyle w:val="Bannermarking"/>
              <w:rPr>
                <w:rFonts w:cs="Arial"/>
              </w:rPr>
            </w:pPr>
            <w:r w:rsidRPr="00F56540">
              <w:rPr>
                <w:rFonts w:cs="Arial"/>
              </w:rPr>
              <w:fldChar w:fldCharType="begin"/>
            </w:r>
            <w:r w:rsidRPr="00F56540">
              <w:rPr>
                <w:rFonts w:cs="Arial"/>
              </w:rPr>
              <w:instrText>FILLIN  "Type the protective marking" \d OFFICIAL \o  \* MERGEFORMAT</w:instrText>
            </w:r>
            <w:r w:rsidRPr="00F56540">
              <w:rPr>
                <w:rFonts w:cs="Arial"/>
              </w:rPr>
              <w:fldChar w:fldCharType="separate"/>
            </w:r>
            <w:r w:rsidR="002205D2" w:rsidRPr="00F56540">
              <w:rPr>
                <w:rFonts w:cs="Arial"/>
              </w:rPr>
              <w:t>OFFICIAL</w:t>
            </w:r>
            <w:r w:rsidRPr="00F56540">
              <w:rPr>
                <w:rFonts w:cs="Arial"/>
              </w:rPr>
              <w:fldChar w:fldCharType="end"/>
            </w:r>
          </w:p>
        </w:tc>
      </w:tr>
    </w:tbl>
    <w:p w14:paraId="12FD8A62" w14:textId="77777777" w:rsidR="00FE4081" w:rsidRPr="00F56540" w:rsidRDefault="00FE4081" w:rsidP="00FE4081">
      <w:pPr>
        <w:pStyle w:val="Body"/>
        <w:rPr>
          <w:rFonts w:cs="Arial"/>
        </w:rPr>
      </w:pPr>
    </w:p>
    <w:p w14:paraId="23B27A4A" w14:textId="77777777" w:rsidR="00FE4081" w:rsidRPr="00F56540" w:rsidRDefault="00FE4081" w:rsidP="00FE4081">
      <w:pPr>
        <w:pStyle w:val="Body"/>
        <w:rPr>
          <w:rFonts w:cs="Arial"/>
        </w:rPr>
        <w:sectPr w:rsidR="00FE4081" w:rsidRPr="00F56540" w:rsidSect="00491E56">
          <w:headerReference w:type="even" r:id="rId12"/>
          <w:headerReference w:type="default" r:id="rId13"/>
          <w:footerReference w:type="even" r:id="rId14"/>
          <w:footerReference w:type="default" r:id="rId15"/>
          <w:headerReference w:type="first" r:id="rId16"/>
          <w:footerReference w:type="first" r:id="rId17"/>
          <w:type w:val="nextColumn"/>
          <w:pgSz w:w="11906" w:h="16838" w:code="9"/>
          <w:pgMar w:top="3969" w:right="1304" w:bottom="1418" w:left="1304" w:header="680" w:footer="851" w:gutter="0"/>
          <w:cols w:space="340"/>
          <w:docGrid w:linePitch="360"/>
        </w:sectPr>
      </w:pPr>
    </w:p>
    <w:p w14:paraId="23159960" w14:textId="0BBF322D" w:rsidR="00E912AD" w:rsidRPr="00AC0CF5" w:rsidRDefault="00AD784C" w:rsidP="00AC0CF5">
      <w:pPr>
        <w:pStyle w:val="Body"/>
      </w:pPr>
      <w:bookmarkStart w:id="0" w:name="_Ref170988330"/>
      <w:bookmarkStart w:id="1" w:name="_Toc171321488"/>
      <w:r w:rsidRPr="00931398">
        <w:rPr>
          <w:sz w:val="40"/>
          <w:szCs w:val="40"/>
        </w:rPr>
        <w:lastRenderedPageBreak/>
        <w:t>Contents</w:t>
      </w:r>
      <w:bookmarkEnd w:id="0"/>
      <w:bookmarkEnd w:id="1"/>
    </w:p>
    <w:p w14:paraId="4F34F249" w14:textId="22B6AC51" w:rsidR="005C12EA" w:rsidRDefault="002205D2" w:rsidP="000209DA">
      <w:pPr>
        <w:pStyle w:val="TOC1"/>
        <w:pBdr>
          <w:top w:val="single" w:sz="4" w:space="23" w:color="auto"/>
        </w:pBdr>
        <w:rPr>
          <w:rFonts w:asciiTheme="minorHAnsi" w:eastAsiaTheme="minorEastAsia" w:hAnsiTheme="minorHAnsi" w:cstheme="minorBidi"/>
          <w:b w:val="0"/>
          <w:kern w:val="2"/>
          <w:sz w:val="24"/>
          <w:szCs w:val="24"/>
          <w:lang w:eastAsia="en-AU"/>
          <w14:ligatures w14:val="standardContextual"/>
        </w:rPr>
      </w:pPr>
      <w:r w:rsidRPr="00F56540">
        <w:rPr>
          <w:rFonts w:cs="Arial"/>
          <w:sz w:val="20"/>
        </w:rPr>
        <w:fldChar w:fldCharType="begin"/>
      </w:r>
      <w:r w:rsidRPr="00F56540">
        <w:rPr>
          <w:rFonts w:cs="Arial"/>
          <w:sz w:val="20"/>
        </w:rPr>
        <w:instrText xml:space="preserve"> TOC \o "1-3" \h \z \u </w:instrText>
      </w:r>
      <w:r w:rsidRPr="00F56540">
        <w:rPr>
          <w:rFonts w:cs="Arial"/>
          <w:sz w:val="20"/>
        </w:rPr>
        <w:fldChar w:fldCharType="separate"/>
      </w:r>
      <w:hyperlink w:anchor="_Toc176360348" w:history="1">
        <w:r w:rsidR="005C12EA" w:rsidRPr="00B834EF">
          <w:rPr>
            <w:rStyle w:val="Hyperlink"/>
          </w:rPr>
          <w:t>1. Introduction</w:t>
        </w:r>
        <w:r w:rsidR="005C12EA">
          <w:rPr>
            <w:webHidden/>
          </w:rPr>
          <w:tab/>
        </w:r>
        <w:r w:rsidR="005C12EA">
          <w:rPr>
            <w:webHidden/>
          </w:rPr>
          <w:fldChar w:fldCharType="begin"/>
        </w:r>
        <w:r w:rsidR="005C12EA">
          <w:rPr>
            <w:webHidden/>
          </w:rPr>
          <w:instrText xml:space="preserve"> PAGEREF _Toc176360348 \h </w:instrText>
        </w:r>
        <w:r w:rsidR="005C12EA">
          <w:rPr>
            <w:webHidden/>
          </w:rPr>
        </w:r>
        <w:r w:rsidR="005C12EA">
          <w:rPr>
            <w:webHidden/>
          </w:rPr>
          <w:fldChar w:fldCharType="separate"/>
        </w:r>
        <w:r w:rsidR="005C12EA">
          <w:rPr>
            <w:webHidden/>
          </w:rPr>
          <w:t>3</w:t>
        </w:r>
        <w:r w:rsidR="005C12EA">
          <w:rPr>
            <w:webHidden/>
          </w:rPr>
          <w:fldChar w:fldCharType="end"/>
        </w:r>
      </w:hyperlink>
    </w:p>
    <w:p w14:paraId="3D3FA9F2" w14:textId="2B3CB888" w:rsidR="005C12EA" w:rsidRDefault="00000000" w:rsidP="000209DA">
      <w:pPr>
        <w:pStyle w:val="TOC2"/>
        <w:pBdr>
          <w:top w:val="single" w:sz="4" w:space="23" w:color="auto"/>
        </w:pBdr>
        <w:rPr>
          <w:rFonts w:asciiTheme="minorHAnsi" w:eastAsiaTheme="minorEastAsia" w:hAnsiTheme="minorHAnsi" w:cstheme="minorBidi"/>
          <w:kern w:val="2"/>
          <w:sz w:val="24"/>
          <w:szCs w:val="24"/>
          <w:lang w:eastAsia="en-AU"/>
          <w14:ligatures w14:val="standardContextual"/>
        </w:rPr>
      </w:pPr>
      <w:hyperlink w:anchor="_Toc176360349" w:history="1">
        <w:r w:rsidR="005C12EA" w:rsidRPr="00B834EF">
          <w:rPr>
            <w:rStyle w:val="Hyperlink"/>
            <w:lang w:eastAsia="en-AU"/>
          </w:rPr>
          <w:t>Note on COVID-19 vaccination</w:t>
        </w:r>
        <w:r w:rsidR="005C12EA">
          <w:rPr>
            <w:webHidden/>
          </w:rPr>
          <w:tab/>
        </w:r>
        <w:r w:rsidR="005C12EA">
          <w:rPr>
            <w:webHidden/>
          </w:rPr>
          <w:fldChar w:fldCharType="begin"/>
        </w:r>
        <w:r w:rsidR="005C12EA">
          <w:rPr>
            <w:webHidden/>
          </w:rPr>
          <w:instrText xml:space="preserve"> PAGEREF _Toc176360349 \h </w:instrText>
        </w:r>
        <w:r w:rsidR="005C12EA">
          <w:rPr>
            <w:webHidden/>
          </w:rPr>
        </w:r>
        <w:r w:rsidR="005C12EA">
          <w:rPr>
            <w:webHidden/>
          </w:rPr>
          <w:fldChar w:fldCharType="separate"/>
        </w:r>
        <w:r w:rsidR="005C12EA">
          <w:rPr>
            <w:webHidden/>
          </w:rPr>
          <w:t>4</w:t>
        </w:r>
        <w:r w:rsidR="005C12EA">
          <w:rPr>
            <w:webHidden/>
          </w:rPr>
          <w:fldChar w:fldCharType="end"/>
        </w:r>
      </w:hyperlink>
    </w:p>
    <w:p w14:paraId="4E677112" w14:textId="4BEAF5B1" w:rsidR="005C12EA" w:rsidRDefault="00000000" w:rsidP="000209DA">
      <w:pPr>
        <w:pStyle w:val="TOC1"/>
        <w:pBdr>
          <w:top w:val="single" w:sz="4" w:space="23" w:color="auto"/>
        </w:pBdr>
        <w:rPr>
          <w:rFonts w:asciiTheme="minorHAnsi" w:eastAsiaTheme="minorEastAsia" w:hAnsiTheme="minorHAnsi" w:cstheme="minorBidi"/>
          <w:b w:val="0"/>
          <w:kern w:val="2"/>
          <w:sz w:val="24"/>
          <w:szCs w:val="24"/>
          <w:lang w:eastAsia="en-AU"/>
          <w14:ligatures w14:val="standardContextual"/>
        </w:rPr>
      </w:pPr>
      <w:hyperlink w:anchor="_Toc176360353" w:history="1">
        <w:r w:rsidR="005C12EA" w:rsidRPr="00B834EF">
          <w:rPr>
            <w:rStyle w:val="Hyperlink"/>
          </w:rPr>
          <w:t>2. Definitions</w:t>
        </w:r>
        <w:r w:rsidR="005C12EA">
          <w:rPr>
            <w:webHidden/>
          </w:rPr>
          <w:tab/>
        </w:r>
        <w:r w:rsidR="005C12EA">
          <w:rPr>
            <w:webHidden/>
          </w:rPr>
          <w:fldChar w:fldCharType="begin"/>
        </w:r>
        <w:r w:rsidR="005C12EA">
          <w:rPr>
            <w:webHidden/>
          </w:rPr>
          <w:instrText xml:space="preserve"> PAGEREF _Toc176360353 \h </w:instrText>
        </w:r>
        <w:r w:rsidR="005C12EA">
          <w:rPr>
            <w:webHidden/>
          </w:rPr>
        </w:r>
        <w:r w:rsidR="005C12EA">
          <w:rPr>
            <w:webHidden/>
          </w:rPr>
          <w:fldChar w:fldCharType="separate"/>
        </w:r>
        <w:r w:rsidR="005C12EA">
          <w:rPr>
            <w:webHidden/>
          </w:rPr>
          <w:t>4</w:t>
        </w:r>
        <w:r w:rsidR="005C12EA">
          <w:rPr>
            <w:webHidden/>
          </w:rPr>
          <w:fldChar w:fldCharType="end"/>
        </w:r>
      </w:hyperlink>
    </w:p>
    <w:p w14:paraId="7169964E" w14:textId="71D184EA" w:rsidR="005C12EA" w:rsidRDefault="00000000" w:rsidP="000209DA">
      <w:pPr>
        <w:pStyle w:val="TOC1"/>
        <w:pBdr>
          <w:top w:val="single" w:sz="4" w:space="23" w:color="auto"/>
        </w:pBdr>
        <w:rPr>
          <w:rFonts w:asciiTheme="minorHAnsi" w:eastAsiaTheme="minorEastAsia" w:hAnsiTheme="minorHAnsi" w:cstheme="minorBidi"/>
          <w:b w:val="0"/>
          <w:kern w:val="2"/>
          <w:sz w:val="24"/>
          <w:szCs w:val="24"/>
          <w:lang w:eastAsia="en-AU"/>
          <w14:ligatures w14:val="standardContextual"/>
        </w:rPr>
      </w:pPr>
      <w:hyperlink w:anchor="_Toc176360354" w:history="1">
        <w:r w:rsidR="00FE07DE">
          <w:rPr>
            <w:rStyle w:val="Hyperlink"/>
          </w:rPr>
          <w:t>3</w:t>
        </w:r>
        <w:r w:rsidR="005C12EA" w:rsidRPr="00B834EF">
          <w:rPr>
            <w:rStyle w:val="Hyperlink"/>
          </w:rPr>
          <w:t>. Scope</w:t>
        </w:r>
        <w:r w:rsidR="005C12EA">
          <w:rPr>
            <w:webHidden/>
          </w:rPr>
          <w:tab/>
        </w:r>
        <w:r w:rsidR="005C12EA">
          <w:rPr>
            <w:webHidden/>
          </w:rPr>
          <w:fldChar w:fldCharType="begin"/>
        </w:r>
        <w:r w:rsidR="005C12EA">
          <w:rPr>
            <w:webHidden/>
          </w:rPr>
          <w:instrText xml:space="preserve"> PAGEREF _Toc176360354 \h </w:instrText>
        </w:r>
        <w:r w:rsidR="005C12EA">
          <w:rPr>
            <w:webHidden/>
          </w:rPr>
        </w:r>
        <w:r w:rsidR="005C12EA">
          <w:rPr>
            <w:webHidden/>
          </w:rPr>
          <w:fldChar w:fldCharType="separate"/>
        </w:r>
        <w:r w:rsidR="005C12EA">
          <w:rPr>
            <w:webHidden/>
          </w:rPr>
          <w:t>5</w:t>
        </w:r>
        <w:r w:rsidR="005C12EA">
          <w:rPr>
            <w:webHidden/>
          </w:rPr>
          <w:fldChar w:fldCharType="end"/>
        </w:r>
      </w:hyperlink>
    </w:p>
    <w:p w14:paraId="7AB81536" w14:textId="4AC15F5C" w:rsidR="005C12EA" w:rsidRDefault="00000000" w:rsidP="000209DA">
      <w:pPr>
        <w:pStyle w:val="TOC1"/>
        <w:pBdr>
          <w:top w:val="single" w:sz="4" w:space="23" w:color="auto"/>
        </w:pBdr>
        <w:rPr>
          <w:rFonts w:asciiTheme="minorHAnsi" w:eastAsiaTheme="minorEastAsia" w:hAnsiTheme="minorHAnsi" w:cstheme="minorBidi"/>
          <w:b w:val="0"/>
          <w:kern w:val="2"/>
          <w:sz w:val="24"/>
          <w:szCs w:val="24"/>
          <w:lang w:eastAsia="en-AU"/>
          <w14:ligatures w14:val="standardContextual"/>
        </w:rPr>
      </w:pPr>
      <w:hyperlink w:anchor="_Toc176360384" w:history="1">
        <w:r w:rsidR="00FE07DE">
          <w:rPr>
            <w:rStyle w:val="Hyperlink"/>
          </w:rPr>
          <w:t>4</w:t>
        </w:r>
        <w:r w:rsidR="005C12EA" w:rsidRPr="00B834EF">
          <w:rPr>
            <w:rStyle w:val="Hyperlink"/>
          </w:rPr>
          <w:t xml:space="preserve">. </w:t>
        </w:r>
        <w:r w:rsidR="00FE07DE">
          <w:rPr>
            <w:rStyle w:val="Hyperlink"/>
          </w:rPr>
          <w:t>Seasonal influenza v</w:t>
        </w:r>
        <w:r w:rsidR="005C12EA" w:rsidRPr="00B834EF">
          <w:rPr>
            <w:rStyle w:val="Hyperlink"/>
          </w:rPr>
          <w:t>accination requirements</w:t>
        </w:r>
        <w:r w:rsidR="005C12EA">
          <w:rPr>
            <w:webHidden/>
          </w:rPr>
          <w:tab/>
        </w:r>
        <w:r w:rsidR="005C12EA">
          <w:rPr>
            <w:webHidden/>
          </w:rPr>
          <w:fldChar w:fldCharType="begin"/>
        </w:r>
        <w:r w:rsidR="005C12EA">
          <w:rPr>
            <w:webHidden/>
          </w:rPr>
          <w:instrText xml:space="preserve"> PAGEREF _Toc176360384 \h </w:instrText>
        </w:r>
        <w:r w:rsidR="005C12EA">
          <w:rPr>
            <w:webHidden/>
          </w:rPr>
        </w:r>
        <w:r w:rsidR="005C12EA">
          <w:rPr>
            <w:webHidden/>
          </w:rPr>
          <w:fldChar w:fldCharType="separate"/>
        </w:r>
        <w:r w:rsidR="005C12EA">
          <w:rPr>
            <w:webHidden/>
          </w:rPr>
          <w:t>7</w:t>
        </w:r>
        <w:r w:rsidR="005C12EA">
          <w:rPr>
            <w:webHidden/>
          </w:rPr>
          <w:fldChar w:fldCharType="end"/>
        </w:r>
      </w:hyperlink>
    </w:p>
    <w:p w14:paraId="0312A199" w14:textId="40B2AA12" w:rsidR="005C12EA" w:rsidRDefault="00000000" w:rsidP="000209DA">
      <w:pPr>
        <w:pStyle w:val="TOC1"/>
        <w:pBdr>
          <w:top w:val="single" w:sz="4" w:space="23" w:color="auto"/>
        </w:pBdr>
        <w:rPr>
          <w:rFonts w:asciiTheme="minorHAnsi" w:eastAsiaTheme="minorEastAsia" w:hAnsiTheme="minorHAnsi" w:cstheme="minorBidi"/>
          <w:b w:val="0"/>
          <w:kern w:val="2"/>
          <w:sz w:val="24"/>
          <w:szCs w:val="24"/>
          <w:lang w:eastAsia="en-AU"/>
          <w14:ligatures w14:val="standardContextual"/>
        </w:rPr>
      </w:pPr>
      <w:hyperlink w:anchor="_Toc176360389" w:history="1">
        <w:r w:rsidR="00FE07DE">
          <w:rPr>
            <w:rStyle w:val="Hyperlink"/>
          </w:rPr>
          <w:t>5</w:t>
        </w:r>
        <w:r w:rsidR="005C12EA" w:rsidRPr="00B834EF">
          <w:rPr>
            <w:rStyle w:val="Hyperlink"/>
          </w:rPr>
          <w:t>. Evidence to demonstrate compliance</w:t>
        </w:r>
        <w:r w:rsidR="005C12EA">
          <w:rPr>
            <w:webHidden/>
          </w:rPr>
          <w:tab/>
        </w:r>
        <w:r w:rsidR="005C12EA">
          <w:rPr>
            <w:webHidden/>
          </w:rPr>
          <w:fldChar w:fldCharType="begin"/>
        </w:r>
        <w:r w:rsidR="005C12EA">
          <w:rPr>
            <w:webHidden/>
          </w:rPr>
          <w:instrText xml:space="preserve"> PAGEREF _Toc176360389 \h </w:instrText>
        </w:r>
        <w:r w:rsidR="005C12EA">
          <w:rPr>
            <w:webHidden/>
          </w:rPr>
        </w:r>
        <w:r w:rsidR="005C12EA">
          <w:rPr>
            <w:webHidden/>
          </w:rPr>
          <w:fldChar w:fldCharType="separate"/>
        </w:r>
        <w:r w:rsidR="005C12EA">
          <w:rPr>
            <w:webHidden/>
          </w:rPr>
          <w:t>7</w:t>
        </w:r>
        <w:r w:rsidR="005C12EA">
          <w:rPr>
            <w:webHidden/>
          </w:rPr>
          <w:fldChar w:fldCharType="end"/>
        </w:r>
      </w:hyperlink>
    </w:p>
    <w:p w14:paraId="07675987" w14:textId="453394DD" w:rsidR="005C12EA" w:rsidRDefault="00000000" w:rsidP="000209DA">
      <w:pPr>
        <w:pStyle w:val="TOC1"/>
        <w:pBdr>
          <w:top w:val="single" w:sz="4" w:space="23" w:color="auto"/>
        </w:pBdr>
        <w:rPr>
          <w:rFonts w:asciiTheme="minorHAnsi" w:eastAsiaTheme="minorEastAsia" w:hAnsiTheme="minorHAnsi" w:cstheme="minorBidi"/>
          <w:b w:val="0"/>
          <w:kern w:val="2"/>
          <w:sz w:val="24"/>
          <w:szCs w:val="24"/>
          <w:lang w:eastAsia="en-AU"/>
          <w14:ligatures w14:val="standardContextual"/>
        </w:rPr>
      </w:pPr>
      <w:hyperlink w:anchor="_Toc176360407" w:history="1">
        <w:r w:rsidR="00FE07DE">
          <w:rPr>
            <w:rStyle w:val="Hyperlink"/>
          </w:rPr>
          <w:t>6</w:t>
        </w:r>
        <w:r w:rsidR="005C12EA" w:rsidRPr="00B834EF">
          <w:rPr>
            <w:rStyle w:val="Hyperlink"/>
          </w:rPr>
          <w:t>. Exemptions</w:t>
        </w:r>
        <w:r w:rsidR="005C12EA">
          <w:rPr>
            <w:webHidden/>
          </w:rPr>
          <w:tab/>
        </w:r>
        <w:r w:rsidR="005C12EA">
          <w:rPr>
            <w:webHidden/>
          </w:rPr>
          <w:fldChar w:fldCharType="begin"/>
        </w:r>
        <w:r w:rsidR="005C12EA">
          <w:rPr>
            <w:webHidden/>
          </w:rPr>
          <w:instrText xml:space="preserve"> PAGEREF _Toc176360407 \h </w:instrText>
        </w:r>
        <w:r w:rsidR="005C12EA">
          <w:rPr>
            <w:webHidden/>
          </w:rPr>
        </w:r>
        <w:r w:rsidR="005C12EA">
          <w:rPr>
            <w:webHidden/>
          </w:rPr>
          <w:fldChar w:fldCharType="separate"/>
        </w:r>
        <w:r w:rsidR="005C12EA">
          <w:rPr>
            <w:webHidden/>
          </w:rPr>
          <w:t>8</w:t>
        </w:r>
        <w:r w:rsidR="005C12EA">
          <w:rPr>
            <w:webHidden/>
          </w:rPr>
          <w:fldChar w:fldCharType="end"/>
        </w:r>
      </w:hyperlink>
    </w:p>
    <w:p w14:paraId="22E249D1" w14:textId="227D7321" w:rsidR="005C12EA" w:rsidRDefault="00000000" w:rsidP="000209DA">
      <w:pPr>
        <w:pStyle w:val="TOC1"/>
        <w:pBdr>
          <w:top w:val="single" w:sz="4" w:space="23" w:color="auto"/>
        </w:pBdr>
        <w:rPr>
          <w:rFonts w:asciiTheme="minorHAnsi" w:eastAsiaTheme="minorEastAsia" w:hAnsiTheme="minorHAnsi" w:cstheme="minorBidi"/>
          <w:b w:val="0"/>
          <w:kern w:val="2"/>
          <w:sz w:val="24"/>
          <w:szCs w:val="24"/>
          <w:lang w:eastAsia="en-AU"/>
          <w14:ligatures w14:val="standardContextual"/>
        </w:rPr>
      </w:pPr>
      <w:hyperlink w:anchor="_Toc176360414" w:history="1">
        <w:r w:rsidR="00FE07DE">
          <w:rPr>
            <w:rStyle w:val="Hyperlink"/>
          </w:rPr>
          <w:t>7</w:t>
        </w:r>
        <w:r w:rsidR="005C12EA" w:rsidRPr="00B834EF">
          <w:rPr>
            <w:rStyle w:val="Hyperlink"/>
          </w:rPr>
          <w:t>. Vaccine refusal</w:t>
        </w:r>
        <w:r w:rsidR="005C12EA">
          <w:rPr>
            <w:webHidden/>
          </w:rPr>
          <w:tab/>
        </w:r>
        <w:r w:rsidR="005C12EA">
          <w:rPr>
            <w:webHidden/>
          </w:rPr>
          <w:fldChar w:fldCharType="begin"/>
        </w:r>
        <w:r w:rsidR="005C12EA">
          <w:rPr>
            <w:webHidden/>
          </w:rPr>
          <w:instrText xml:space="preserve"> PAGEREF _Toc176360414 \h </w:instrText>
        </w:r>
        <w:r w:rsidR="005C12EA">
          <w:rPr>
            <w:webHidden/>
          </w:rPr>
        </w:r>
        <w:r w:rsidR="005C12EA">
          <w:rPr>
            <w:webHidden/>
          </w:rPr>
          <w:fldChar w:fldCharType="separate"/>
        </w:r>
        <w:r w:rsidR="005C12EA">
          <w:rPr>
            <w:webHidden/>
          </w:rPr>
          <w:t>9</w:t>
        </w:r>
        <w:r w:rsidR="005C12EA">
          <w:rPr>
            <w:webHidden/>
          </w:rPr>
          <w:fldChar w:fldCharType="end"/>
        </w:r>
      </w:hyperlink>
    </w:p>
    <w:p w14:paraId="5E368C20" w14:textId="0F4C18D1" w:rsidR="005C12EA" w:rsidRDefault="00000000" w:rsidP="000209DA">
      <w:pPr>
        <w:pStyle w:val="TOC1"/>
        <w:pBdr>
          <w:top w:val="single" w:sz="4" w:space="23" w:color="auto"/>
        </w:pBdr>
        <w:rPr>
          <w:rFonts w:asciiTheme="minorHAnsi" w:eastAsiaTheme="minorEastAsia" w:hAnsiTheme="minorHAnsi" w:cstheme="minorBidi"/>
          <w:b w:val="0"/>
          <w:kern w:val="2"/>
          <w:sz w:val="24"/>
          <w:szCs w:val="24"/>
          <w:lang w:eastAsia="en-AU"/>
          <w14:ligatures w14:val="standardContextual"/>
        </w:rPr>
      </w:pPr>
      <w:hyperlink w:anchor="_Toc176360430" w:history="1">
        <w:r w:rsidR="00FE07DE">
          <w:rPr>
            <w:rStyle w:val="Hyperlink"/>
          </w:rPr>
          <w:t>8</w:t>
        </w:r>
        <w:r w:rsidR="005C12EA" w:rsidRPr="00B834EF">
          <w:rPr>
            <w:rStyle w:val="Hyperlink"/>
          </w:rPr>
          <w:t>. Managing risk</w:t>
        </w:r>
        <w:r w:rsidR="005C12EA">
          <w:rPr>
            <w:webHidden/>
          </w:rPr>
          <w:tab/>
        </w:r>
        <w:r w:rsidR="005C12EA">
          <w:rPr>
            <w:webHidden/>
          </w:rPr>
          <w:fldChar w:fldCharType="begin"/>
        </w:r>
        <w:r w:rsidR="005C12EA">
          <w:rPr>
            <w:webHidden/>
          </w:rPr>
          <w:instrText xml:space="preserve"> PAGEREF _Toc176360430 \h </w:instrText>
        </w:r>
        <w:r w:rsidR="005C12EA">
          <w:rPr>
            <w:webHidden/>
          </w:rPr>
        </w:r>
        <w:r w:rsidR="005C12EA">
          <w:rPr>
            <w:webHidden/>
          </w:rPr>
          <w:fldChar w:fldCharType="separate"/>
        </w:r>
        <w:r w:rsidR="005C12EA">
          <w:rPr>
            <w:webHidden/>
          </w:rPr>
          <w:t>9</w:t>
        </w:r>
        <w:r w:rsidR="005C12EA">
          <w:rPr>
            <w:webHidden/>
          </w:rPr>
          <w:fldChar w:fldCharType="end"/>
        </w:r>
      </w:hyperlink>
    </w:p>
    <w:p w14:paraId="6DAA801D" w14:textId="1ECFC1BE" w:rsidR="005C12EA" w:rsidRDefault="00000000" w:rsidP="000209DA">
      <w:pPr>
        <w:pStyle w:val="TOC1"/>
        <w:pBdr>
          <w:top w:val="single" w:sz="4" w:space="23" w:color="auto"/>
        </w:pBdr>
        <w:rPr>
          <w:rFonts w:asciiTheme="minorHAnsi" w:eastAsiaTheme="minorEastAsia" w:hAnsiTheme="minorHAnsi" w:cstheme="minorBidi"/>
          <w:b w:val="0"/>
          <w:kern w:val="2"/>
          <w:sz w:val="24"/>
          <w:szCs w:val="24"/>
          <w:lang w:eastAsia="en-AU"/>
          <w14:ligatures w14:val="standardContextual"/>
        </w:rPr>
      </w:pPr>
      <w:hyperlink w:anchor="_Toc176360431" w:history="1">
        <w:r w:rsidR="00FE07DE">
          <w:rPr>
            <w:rStyle w:val="Hyperlink"/>
          </w:rPr>
          <w:t>9</w:t>
        </w:r>
        <w:r w:rsidR="005C12EA" w:rsidRPr="00B834EF">
          <w:rPr>
            <w:rStyle w:val="Hyperlink"/>
          </w:rPr>
          <w:t>. Reporting vaccination uptake</w:t>
        </w:r>
        <w:r w:rsidR="005C12EA">
          <w:rPr>
            <w:webHidden/>
          </w:rPr>
          <w:tab/>
        </w:r>
        <w:r w:rsidR="005C12EA">
          <w:rPr>
            <w:webHidden/>
          </w:rPr>
          <w:fldChar w:fldCharType="begin"/>
        </w:r>
        <w:r w:rsidR="005C12EA">
          <w:rPr>
            <w:webHidden/>
          </w:rPr>
          <w:instrText xml:space="preserve"> PAGEREF _Toc176360431 \h </w:instrText>
        </w:r>
        <w:r w:rsidR="005C12EA">
          <w:rPr>
            <w:webHidden/>
          </w:rPr>
        </w:r>
        <w:r w:rsidR="005C12EA">
          <w:rPr>
            <w:webHidden/>
          </w:rPr>
          <w:fldChar w:fldCharType="separate"/>
        </w:r>
        <w:r w:rsidR="005C12EA">
          <w:rPr>
            <w:webHidden/>
          </w:rPr>
          <w:t>12</w:t>
        </w:r>
        <w:r w:rsidR="005C12EA">
          <w:rPr>
            <w:webHidden/>
          </w:rPr>
          <w:fldChar w:fldCharType="end"/>
        </w:r>
      </w:hyperlink>
    </w:p>
    <w:p w14:paraId="4101C63B" w14:textId="49415954" w:rsidR="005C12EA" w:rsidRDefault="00000000" w:rsidP="000209DA">
      <w:pPr>
        <w:pStyle w:val="TOC1"/>
        <w:pBdr>
          <w:top w:val="single" w:sz="4" w:space="23" w:color="auto"/>
        </w:pBdr>
        <w:rPr>
          <w:rFonts w:asciiTheme="minorHAnsi" w:eastAsiaTheme="minorEastAsia" w:hAnsiTheme="minorHAnsi" w:cstheme="minorBidi"/>
          <w:b w:val="0"/>
          <w:kern w:val="2"/>
          <w:sz w:val="24"/>
          <w:szCs w:val="24"/>
          <w:lang w:eastAsia="en-AU"/>
          <w14:ligatures w14:val="standardContextual"/>
        </w:rPr>
      </w:pPr>
      <w:hyperlink w:anchor="_Toc176360432" w:history="1">
        <w:r w:rsidR="005C12EA" w:rsidRPr="00B834EF">
          <w:rPr>
            <w:rStyle w:val="Hyperlink"/>
          </w:rPr>
          <w:t>Appendix 1</w:t>
        </w:r>
        <w:r w:rsidR="005C12EA">
          <w:rPr>
            <w:webHidden/>
          </w:rPr>
          <w:tab/>
        </w:r>
        <w:r w:rsidR="005C12EA">
          <w:rPr>
            <w:webHidden/>
          </w:rPr>
          <w:fldChar w:fldCharType="begin"/>
        </w:r>
        <w:r w:rsidR="005C12EA">
          <w:rPr>
            <w:webHidden/>
          </w:rPr>
          <w:instrText xml:space="preserve"> PAGEREF _Toc176360432 \h </w:instrText>
        </w:r>
        <w:r w:rsidR="005C12EA">
          <w:rPr>
            <w:webHidden/>
          </w:rPr>
        </w:r>
        <w:r w:rsidR="005C12EA">
          <w:rPr>
            <w:webHidden/>
          </w:rPr>
          <w:fldChar w:fldCharType="separate"/>
        </w:r>
        <w:r w:rsidR="005C12EA">
          <w:rPr>
            <w:webHidden/>
          </w:rPr>
          <w:t>13</w:t>
        </w:r>
        <w:r w:rsidR="005C12EA">
          <w:rPr>
            <w:webHidden/>
          </w:rPr>
          <w:fldChar w:fldCharType="end"/>
        </w:r>
      </w:hyperlink>
    </w:p>
    <w:p w14:paraId="6B798B2B" w14:textId="6BD937D4" w:rsidR="00B00109" w:rsidRDefault="002205D2" w:rsidP="001C224D">
      <w:pPr>
        <w:pStyle w:val="Accessibilitypara"/>
        <w:tabs>
          <w:tab w:val="left" w:pos="3845"/>
        </w:tabs>
        <w:spacing w:before="1560"/>
        <w:rPr>
          <w:bCs/>
          <w:sz w:val="40"/>
          <w:szCs w:val="40"/>
        </w:rPr>
        <w:sectPr w:rsidR="00B00109" w:rsidSect="00491E56">
          <w:headerReference w:type="even" r:id="rId18"/>
          <w:headerReference w:type="default" r:id="rId19"/>
          <w:footerReference w:type="even" r:id="rId20"/>
          <w:footerReference w:type="default" r:id="rId21"/>
          <w:headerReference w:type="first" r:id="rId22"/>
          <w:footerReference w:type="first" r:id="rId23"/>
          <w:type w:val="nextColumn"/>
          <w:pgSz w:w="11906" w:h="16838" w:code="9"/>
          <w:pgMar w:top="720" w:right="720" w:bottom="720" w:left="720" w:header="680" w:footer="851" w:gutter="0"/>
          <w:cols w:space="340"/>
          <w:titlePg/>
          <w:docGrid w:linePitch="360"/>
        </w:sectPr>
      </w:pPr>
      <w:r w:rsidRPr="00F56540">
        <w:rPr>
          <w:rFonts w:cs="Arial"/>
          <w:b/>
          <w:bCs/>
          <w:noProof/>
          <w:sz w:val="20"/>
        </w:rPr>
        <w:fldChar w:fldCharType="end"/>
      </w:r>
      <w:bookmarkStart w:id="2" w:name="_Toc113362842"/>
      <w:bookmarkStart w:id="3" w:name="_Hlk66712316"/>
      <w:r w:rsidR="00B31EF6">
        <w:rPr>
          <w:rFonts w:cs="Arial"/>
          <w:b/>
          <w:bCs/>
          <w:noProof/>
          <w:sz w:val="20"/>
        </w:rPr>
        <w:tab/>
      </w:r>
    </w:p>
    <w:p w14:paraId="643DA2CC" w14:textId="0D2DEDBF" w:rsidR="00EE29AD" w:rsidRPr="00931398" w:rsidRDefault="002205D2" w:rsidP="00FE07DE">
      <w:pPr>
        <w:pStyle w:val="Heading1"/>
        <w:numPr>
          <w:ilvl w:val="0"/>
          <w:numId w:val="11"/>
        </w:numPr>
        <w:spacing w:after="0"/>
      </w:pPr>
      <w:bookmarkStart w:id="4" w:name="_Toc171321489"/>
      <w:bookmarkStart w:id="5" w:name="_Ref171589154"/>
      <w:bookmarkStart w:id="6" w:name="_Toc176360348"/>
      <w:r w:rsidRPr="00931398">
        <w:lastRenderedPageBreak/>
        <w:t>Introduction</w:t>
      </w:r>
      <w:bookmarkEnd w:id="2"/>
      <w:bookmarkEnd w:id="4"/>
      <w:bookmarkEnd w:id="5"/>
      <w:bookmarkEnd w:id="6"/>
    </w:p>
    <w:p w14:paraId="799C83FF" w14:textId="3606729C" w:rsidR="002205D2" w:rsidRPr="007441D3" w:rsidRDefault="002205D2" w:rsidP="00FE07DE">
      <w:pPr>
        <w:pStyle w:val="Heading4"/>
        <w:numPr>
          <w:ilvl w:val="1"/>
          <w:numId w:val="12"/>
        </w:numPr>
        <w:spacing w:after="120"/>
        <w:ind w:left="360" w:hanging="360"/>
      </w:pPr>
      <w:bookmarkStart w:id="7" w:name="_Toc66711981"/>
      <w:r w:rsidRPr="007441D3">
        <w:t>Background</w:t>
      </w:r>
    </w:p>
    <w:p w14:paraId="7EAA95C8" w14:textId="65A33FA0" w:rsidR="00A724F5" w:rsidRPr="005903CE" w:rsidRDefault="00A724F5" w:rsidP="005903CE">
      <w:pPr>
        <w:pStyle w:val="Body"/>
      </w:pPr>
      <w:bookmarkStart w:id="8" w:name="_Hlk31891391"/>
      <w:r w:rsidRPr="006D7D0A">
        <w:t>Healthcare workers are more likely to be exposed to, acquire and transmit vaccine-preventable diseases such as influenza, measles, rubella and pertussis.</w:t>
      </w:r>
      <w:r w:rsidR="001A52B1" w:rsidRPr="005903CE">
        <w:t xml:space="preserve"> </w:t>
      </w:r>
      <w:r w:rsidR="001A52B1" w:rsidRPr="001C224D">
        <w:t>To protect the health and safety of patients and other workers, vaccination for certain diseases is highly recommended for all healthcare workers.</w:t>
      </w:r>
    </w:p>
    <w:p w14:paraId="0480D75C" w14:textId="62B78DFC" w:rsidR="002205D2" w:rsidRDefault="00204682" w:rsidP="005903CE">
      <w:pPr>
        <w:pStyle w:val="Body"/>
      </w:pPr>
      <w:r>
        <w:rPr>
          <w:noProof/>
        </w:rPr>
        <mc:AlternateContent>
          <mc:Choice Requires="wps">
            <w:drawing>
              <wp:anchor distT="0" distB="0" distL="114300" distR="114300" simplePos="0" relativeHeight="251657215" behindDoc="1" locked="0" layoutInCell="1" allowOverlap="1" wp14:anchorId="36CEF1A9" wp14:editId="1F4D30A2">
                <wp:simplePos x="0" y="0"/>
                <wp:positionH relativeFrom="column">
                  <wp:posOffset>-27940</wp:posOffset>
                </wp:positionH>
                <wp:positionV relativeFrom="paragraph">
                  <wp:posOffset>328295</wp:posOffset>
                </wp:positionV>
                <wp:extent cx="6337300" cy="5226050"/>
                <wp:effectExtent l="0" t="0" r="6350" b="0"/>
                <wp:wrapNone/>
                <wp:docPr id="1475106190" name="Rectangle 1"/>
                <wp:cNvGraphicFramePr/>
                <a:graphic xmlns:a="http://schemas.openxmlformats.org/drawingml/2006/main">
                  <a:graphicData uri="http://schemas.microsoft.com/office/word/2010/wordprocessingShape">
                    <wps:wsp>
                      <wps:cNvSpPr/>
                      <wps:spPr>
                        <a:xfrm>
                          <a:off x="0" y="0"/>
                          <a:ext cx="6337300" cy="52260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85E41" id="Rectangle 1" o:spid="_x0000_s1026" style="position:absolute;margin-left:-2.2pt;margin-top:25.85pt;width:499pt;height:411.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" fillcolor="white [3212]" stroked="f" strokeweight="2pt"/>
            </w:pict>
          </mc:Fallback>
        </mc:AlternateContent>
      </w:r>
      <w:r w:rsidR="001A52B1" w:rsidRPr="005903CE">
        <w:t>In V</w:t>
      </w:r>
      <w:r w:rsidR="000960DA" w:rsidRPr="005903CE">
        <w:t xml:space="preserve">ictoria, </w:t>
      </w:r>
      <w:r w:rsidR="005903CE" w:rsidRPr="005903CE">
        <w:t>s</w:t>
      </w:r>
      <w:r w:rsidR="000960DA" w:rsidRPr="005903CE">
        <w:t xml:space="preserve">ome healthcare workers are required to be vaccinated </w:t>
      </w:r>
      <w:r w:rsidR="00607C78">
        <w:t>against seasonal</w:t>
      </w:r>
      <w:r w:rsidR="000960DA" w:rsidRPr="005903CE">
        <w:t xml:space="preserve"> influenza annually</w:t>
      </w:r>
      <w:r w:rsidR="00355612">
        <w:t xml:space="preserve"> under Secretary </w:t>
      </w:r>
      <w:r w:rsidR="00607C78">
        <w:t>or</w:t>
      </w:r>
      <w:r w:rsidR="00355612">
        <w:t xml:space="preserve"> Ministerial Directions</w:t>
      </w:r>
      <w:r w:rsidR="000960DA" w:rsidRPr="005903CE">
        <w:t>.</w:t>
      </w:r>
      <w:r w:rsidR="005903CE" w:rsidRPr="005903CE">
        <w:t xml:space="preserve"> </w:t>
      </w:r>
      <w:r w:rsidR="005903CE" w:rsidRPr="001C224D">
        <w:t>The mandatory requirement is based on the setting where a healthcare worker is employed, and the role they perform.</w:t>
      </w:r>
    </w:p>
    <w:bookmarkEnd w:id="8"/>
    <w:p w14:paraId="08C302CB" w14:textId="4A3DE1F0" w:rsidR="002205D2" w:rsidRPr="007441D3" w:rsidRDefault="002205D2" w:rsidP="00FE07DE">
      <w:pPr>
        <w:pStyle w:val="Heading4"/>
        <w:numPr>
          <w:ilvl w:val="1"/>
          <w:numId w:val="12"/>
        </w:numPr>
        <w:spacing w:after="120"/>
      </w:pPr>
      <w:r w:rsidRPr="007441D3">
        <w:t xml:space="preserve">Purpose </w:t>
      </w:r>
    </w:p>
    <w:p w14:paraId="28184FC5" w14:textId="53CC6FC6" w:rsidR="00BF07B4" w:rsidRPr="00F56540" w:rsidRDefault="00BF07B4" w:rsidP="00BF07B4">
      <w:pPr>
        <w:pStyle w:val="Body"/>
      </w:pPr>
      <w:r>
        <w:t>Seasonal influenza</w:t>
      </w:r>
      <w:r w:rsidRPr="0005512E">
        <w:t xml:space="preserve"> vaccination requirements for healthcare workers </w:t>
      </w:r>
      <w:r>
        <w:t xml:space="preserve">in prescribed healthcare settings </w:t>
      </w:r>
      <w:r w:rsidRPr="0005512E">
        <w:t>are specified in Secretary Directions</w:t>
      </w:r>
      <w:r>
        <w:t>.</w:t>
      </w:r>
      <w:r w:rsidR="000C1F16">
        <w:t xml:space="preserve"> </w:t>
      </w:r>
      <w:r>
        <w:t xml:space="preserve">Seasonal influenza vaccination requirements </w:t>
      </w:r>
      <w:r w:rsidRPr="0005512E">
        <w:t xml:space="preserve">for </w:t>
      </w:r>
      <w:proofErr w:type="spellStart"/>
      <w:r>
        <w:t>Forensicare</w:t>
      </w:r>
      <w:proofErr w:type="spellEnd"/>
      <w:r w:rsidR="000C1F16">
        <w:t xml:space="preserve"> employees</w:t>
      </w:r>
      <w:r>
        <w:t xml:space="preserve"> are specified in</w:t>
      </w:r>
      <w:r w:rsidR="00E23645">
        <w:t xml:space="preserve"> a</w:t>
      </w:r>
      <w:r>
        <w:t xml:space="preserve"> </w:t>
      </w:r>
      <w:r w:rsidRPr="0005512E">
        <w:t>Ministerial Direction</w:t>
      </w:r>
      <w:r>
        <w:t>.</w:t>
      </w:r>
      <w:r w:rsidR="00742E1A">
        <w:t xml:space="preserve"> </w:t>
      </w:r>
      <w:r>
        <w:t>Copies of these directions</w:t>
      </w:r>
      <w:r w:rsidRPr="00F56540">
        <w:t xml:space="preserve"> can be found </w:t>
      </w:r>
      <w:r w:rsidR="001837B5">
        <w:t>on</w:t>
      </w:r>
      <w:r w:rsidRPr="00F56540">
        <w:t xml:space="preserve"> th</w:t>
      </w:r>
      <w:r w:rsidRPr="0068407B">
        <w:rPr>
          <w:szCs w:val="21"/>
        </w:rPr>
        <w:t xml:space="preserve">e </w:t>
      </w:r>
      <w:hyperlink r:id="rId24" w:history="1">
        <w:r w:rsidRPr="0068407B">
          <w:rPr>
            <w:rStyle w:val="Hyperlink"/>
            <w:rFonts w:cs="Arial"/>
            <w:szCs w:val="21"/>
          </w:rPr>
          <w:t>Vaccination of healthcare workers website</w:t>
        </w:r>
      </w:hyperlink>
      <w:r w:rsidRPr="0068407B">
        <w:rPr>
          <w:szCs w:val="21"/>
        </w:rPr>
        <w:t xml:space="preserve"> &lt;</w:t>
      </w:r>
      <w:r w:rsidRPr="0068407B">
        <w:rPr>
          <w:rFonts w:eastAsia="MS Gothic"/>
          <w:szCs w:val="21"/>
        </w:rPr>
        <w:t>https://www.health.vic.gov.au/immunisation/vaccination-for-healthcare</w:t>
      </w:r>
      <w:r w:rsidRPr="00F56540">
        <w:rPr>
          <w:rFonts w:eastAsia="MS Gothic"/>
        </w:rPr>
        <w:t>-worker</w:t>
      </w:r>
      <w:r w:rsidR="00CD577F">
        <w:rPr>
          <w:rFonts w:eastAsia="MS Gothic"/>
        </w:rPr>
        <w:t>s</w:t>
      </w:r>
      <w:r w:rsidRPr="00F56540">
        <w:rPr>
          <w:rFonts w:eastAsia="MS Gothic"/>
        </w:rPr>
        <w:t>&gt;.</w:t>
      </w:r>
    </w:p>
    <w:p w14:paraId="3C4ED22E" w14:textId="4BA28828" w:rsidR="002205D2" w:rsidRDefault="00B86CF9" w:rsidP="00BD7469">
      <w:pPr>
        <w:pStyle w:val="Body"/>
      </w:pPr>
      <w:r w:rsidRPr="19700172">
        <w:t xml:space="preserve">The purpose of this document is to provide guidance to healthcare settings </w:t>
      </w:r>
      <w:r>
        <w:t>implementing the influenza</w:t>
      </w:r>
      <w:r w:rsidRPr="19700172">
        <w:t xml:space="preserve"> vaccination requirements </w:t>
      </w:r>
      <w:r w:rsidR="007F1033">
        <w:t xml:space="preserve">under the </w:t>
      </w:r>
      <w:r w:rsidR="00A87940">
        <w:t>d</w:t>
      </w:r>
      <w:r w:rsidR="007F1033">
        <w:t>irections.</w:t>
      </w:r>
      <w:r w:rsidRPr="19700172">
        <w:t xml:space="preserve"> </w:t>
      </w:r>
      <w:r w:rsidR="00FD160B" w:rsidRPr="19700172">
        <w:t>Healthcare setting</w:t>
      </w:r>
      <w:r w:rsidR="001C4ADA" w:rsidRPr="19700172">
        <w:t>s</w:t>
      </w:r>
      <w:r w:rsidR="00FD160B" w:rsidRPr="19700172">
        <w:t xml:space="preserve"> </w:t>
      </w:r>
      <w:r w:rsidR="001D031E" w:rsidRPr="19700172">
        <w:t xml:space="preserve">are not required to adopt all elements of this </w:t>
      </w:r>
      <w:proofErr w:type="gramStart"/>
      <w:r w:rsidR="001D031E" w:rsidRPr="19700172">
        <w:t>policy</w:t>
      </w:r>
      <w:r w:rsidR="00D37BEF">
        <w:t>,</w:t>
      </w:r>
      <w:proofErr w:type="gramEnd"/>
      <w:r w:rsidR="00F036A0">
        <w:t xml:space="preserve"> however t</w:t>
      </w:r>
      <w:r w:rsidR="001D031E" w:rsidRPr="19700172">
        <w:t xml:space="preserve">hey </w:t>
      </w:r>
      <w:r w:rsidR="00FD160B" w:rsidRPr="19700172">
        <w:t>must ensure that their policy</w:t>
      </w:r>
      <w:r w:rsidR="00F21B39">
        <w:t xml:space="preserve"> </w:t>
      </w:r>
      <w:r w:rsidR="00FD160B" w:rsidRPr="19700172">
        <w:t>meets</w:t>
      </w:r>
      <w:r w:rsidR="00126CA0" w:rsidRPr="19700172">
        <w:t xml:space="preserve"> </w:t>
      </w:r>
      <w:r w:rsidR="005E5B14">
        <w:t xml:space="preserve">the </w:t>
      </w:r>
      <w:r w:rsidR="00126CA0" w:rsidRPr="19700172">
        <w:t xml:space="preserve">vaccination requirements outlined in </w:t>
      </w:r>
      <w:r w:rsidR="00D722D0" w:rsidRPr="19700172">
        <w:t xml:space="preserve">all </w:t>
      </w:r>
      <w:r w:rsidR="00EA4659" w:rsidRPr="19700172">
        <w:t>current</w:t>
      </w:r>
      <w:r w:rsidR="00126CA0" w:rsidRPr="19700172">
        <w:t xml:space="preserve"> </w:t>
      </w:r>
      <w:r w:rsidR="00757CD0" w:rsidRPr="19700172">
        <w:t>Secretary</w:t>
      </w:r>
      <w:r w:rsidR="003A7184" w:rsidRPr="19700172">
        <w:t xml:space="preserve"> </w:t>
      </w:r>
      <w:r w:rsidR="00FC5614" w:rsidRPr="19700172">
        <w:t xml:space="preserve">or </w:t>
      </w:r>
      <w:r w:rsidR="00926689" w:rsidRPr="19700172">
        <w:t xml:space="preserve">Ministerial </w:t>
      </w:r>
      <w:r w:rsidR="003A7184" w:rsidRPr="19700172">
        <w:t>D</w:t>
      </w:r>
      <w:r w:rsidR="00126CA0" w:rsidRPr="19700172">
        <w:t>irections</w:t>
      </w:r>
      <w:r w:rsidR="00FC5614" w:rsidRPr="19700172">
        <w:t xml:space="preserve"> (as applicable)</w:t>
      </w:r>
      <w:r w:rsidR="00126CA0" w:rsidRPr="19700172">
        <w:t>.</w:t>
      </w:r>
    </w:p>
    <w:p w14:paraId="1B01B128" w14:textId="77777777" w:rsidR="00AB4F9A" w:rsidRPr="007441D3" w:rsidRDefault="00AB4F9A" w:rsidP="00FE07DE">
      <w:pPr>
        <w:pStyle w:val="Heading4"/>
        <w:numPr>
          <w:ilvl w:val="1"/>
          <w:numId w:val="12"/>
        </w:numPr>
        <w:spacing w:after="120"/>
      </w:pPr>
      <w:r w:rsidRPr="007441D3">
        <w:t>Objectives</w:t>
      </w:r>
      <w:r>
        <w:tab/>
      </w:r>
    </w:p>
    <w:p w14:paraId="2AF60800" w14:textId="77777777" w:rsidR="00AB4F9A" w:rsidRPr="00F56540" w:rsidRDefault="00AB4F9A" w:rsidP="00AB4F9A">
      <w:pPr>
        <w:pStyle w:val="Body"/>
      </w:pPr>
      <w:r w:rsidRPr="00F56540">
        <w:t xml:space="preserve">The objective of </w:t>
      </w:r>
      <w:r>
        <w:t>the healthcare worker</w:t>
      </w:r>
      <w:r w:rsidRPr="00F56540">
        <w:t xml:space="preserve"> vaccination requirements </w:t>
      </w:r>
      <w:proofErr w:type="gramStart"/>
      <w:r>
        <w:t>are</w:t>
      </w:r>
      <w:proofErr w:type="gramEnd"/>
      <w:r w:rsidRPr="00F56540">
        <w:t xml:space="preserve"> to: </w:t>
      </w:r>
    </w:p>
    <w:p w14:paraId="3B9DB1E1" w14:textId="77777777" w:rsidR="00AB4F9A" w:rsidRPr="00BD7469" w:rsidRDefault="00AB4F9A" w:rsidP="00AB4F9A">
      <w:pPr>
        <w:pStyle w:val="Bullet1"/>
      </w:pPr>
      <w:r w:rsidRPr="00BD7469">
        <w:t xml:space="preserve">protect the health and safety of patients by reducing the risk of infection and transmission of vaccine-preventable diseases in prescribed health services </w:t>
      </w:r>
    </w:p>
    <w:p w14:paraId="2BBDE253" w14:textId="77777777" w:rsidR="00AB4F9A" w:rsidRPr="00BD7469" w:rsidRDefault="00AB4F9A" w:rsidP="00AB4F9A">
      <w:pPr>
        <w:pStyle w:val="Bullet1"/>
      </w:pPr>
      <w:r w:rsidRPr="00BD7469">
        <w:t>reduce risks of infection, transmission, severe illness, hospitalisation and/or death resulting vaccine-preventable disease for healthcare workers working in these settings</w:t>
      </w:r>
    </w:p>
    <w:p w14:paraId="2EA05EF9" w14:textId="77777777" w:rsidR="00AB4F9A" w:rsidRPr="00BD7469" w:rsidRDefault="00AB4F9A" w:rsidP="00AB4F9A">
      <w:pPr>
        <w:pStyle w:val="Bullet1"/>
      </w:pPr>
      <w:r w:rsidRPr="00BD7469">
        <w:t>reduce workforce absence due to illness resulting from vaccine-preventable disease.</w:t>
      </w:r>
    </w:p>
    <w:p w14:paraId="131BDEF2" w14:textId="4ED46FA7" w:rsidR="00227B4C" w:rsidRPr="007441D3" w:rsidRDefault="00227B4C" w:rsidP="00FE07DE">
      <w:pPr>
        <w:pStyle w:val="Heading4"/>
        <w:numPr>
          <w:ilvl w:val="1"/>
          <w:numId w:val="12"/>
        </w:numPr>
        <w:spacing w:after="120"/>
      </w:pPr>
      <w:r w:rsidRPr="007441D3">
        <w:t xml:space="preserve">Legislative framework </w:t>
      </w:r>
    </w:p>
    <w:p w14:paraId="5BDA1C8B" w14:textId="77777777" w:rsidR="0086184B" w:rsidRPr="001C224D" w:rsidRDefault="0086184B" w:rsidP="001C224D">
      <w:pPr>
        <w:pStyle w:val="DHHSbullet2"/>
      </w:pPr>
      <w:r w:rsidRPr="001C224D">
        <w:rPr>
          <w:b/>
          <w:bCs/>
        </w:rPr>
        <w:t>Secretary Directions</w:t>
      </w:r>
    </w:p>
    <w:p w14:paraId="538F3154" w14:textId="4C0CAC48" w:rsidR="002A327F" w:rsidRPr="00AC0CF5" w:rsidRDefault="00573A49" w:rsidP="00BD7469">
      <w:pPr>
        <w:pStyle w:val="Body"/>
      </w:pPr>
      <w:r w:rsidRPr="00D479AD">
        <w:t xml:space="preserve">Under the </w:t>
      </w:r>
      <w:r w:rsidRPr="001C224D">
        <w:rPr>
          <w:i/>
          <w:iCs/>
        </w:rPr>
        <w:t>Health Services Act 1988</w:t>
      </w:r>
      <w:r w:rsidRPr="00D479AD">
        <w:t xml:space="preserve"> and the </w:t>
      </w:r>
      <w:r w:rsidRPr="001C224D">
        <w:rPr>
          <w:i/>
          <w:iCs/>
        </w:rPr>
        <w:t>Ambulance Services Act 1986</w:t>
      </w:r>
      <w:r w:rsidRPr="00D479AD">
        <w:t>, the Secretary of the Department of Health (the Secretary) can provide directions to public hospitals, denominational hospitals, health service establishments and ambulance services on the safety, appropriateness, and responsiveness of their services.</w:t>
      </w:r>
    </w:p>
    <w:p w14:paraId="08E64C25" w14:textId="10ADF043" w:rsidR="007A5550" w:rsidRDefault="00573A49" w:rsidP="00BD7469">
      <w:pPr>
        <w:pStyle w:val="Body"/>
      </w:pPr>
      <w:r w:rsidRPr="00611D4A">
        <w:t xml:space="preserve">On 25 March 2020, the </w:t>
      </w:r>
      <w:r w:rsidRPr="001C224D">
        <w:rPr>
          <w:i/>
          <w:iCs/>
        </w:rPr>
        <w:t>Health Services Amendment (Mandatory Vaccination of Healthcare Workers) Act 2020</w:t>
      </w:r>
      <w:r w:rsidRPr="00611D4A">
        <w:t xml:space="preserve"> came into effect. This Act inserted new sections into the </w:t>
      </w:r>
      <w:r w:rsidRPr="001C224D">
        <w:rPr>
          <w:i/>
          <w:iCs/>
        </w:rPr>
        <w:t>Health Services Act 1988</w:t>
      </w:r>
      <w:r w:rsidRPr="00611D4A">
        <w:t xml:space="preserve"> (ss. 42 and 105A) and the </w:t>
      </w:r>
      <w:r w:rsidRPr="001C224D">
        <w:rPr>
          <w:i/>
          <w:iCs/>
        </w:rPr>
        <w:t>Ambulance Services Act 1986</w:t>
      </w:r>
      <w:r w:rsidRPr="00611D4A">
        <w:t xml:space="preserve"> (s. 10(4)), enabling the Secretary to direct public hospitals, denominational hospitals, health service establishments and ambulance services to require vaccination against specified vaccine-preventable diseases for the purpose of protecting the health and safety of patients.</w:t>
      </w:r>
    </w:p>
    <w:p w14:paraId="7EAE4E2C" w14:textId="4D424F03" w:rsidR="00AF6105" w:rsidRDefault="00AF6105" w:rsidP="00AF6105">
      <w:pPr>
        <w:spacing w:before="100" w:beforeAutospacing="1" w:after="100" w:afterAutospacing="1" w:line="240" w:lineRule="auto"/>
        <w:rPr>
          <w:rFonts w:eastAsia="Times"/>
        </w:rPr>
      </w:pPr>
      <w:r w:rsidRPr="001C224D">
        <w:rPr>
          <w:rFonts w:eastAsia="Times"/>
        </w:rPr>
        <w:t xml:space="preserve">Secretary Directions requiring </w:t>
      </w:r>
      <w:r w:rsidR="00F75DD6">
        <w:rPr>
          <w:rFonts w:eastAsia="Times"/>
        </w:rPr>
        <w:t xml:space="preserve">healthcare workers to be vaccinated against seasonal </w:t>
      </w:r>
      <w:r w:rsidRPr="001C224D">
        <w:rPr>
          <w:rFonts w:eastAsia="Times"/>
        </w:rPr>
        <w:t xml:space="preserve">influenza </w:t>
      </w:r>
      <w:r w:rsidR="000E02FC">
        <w:rPr>
          <w:rFonts w:eastAsia="Times"/>
        </w:rPr>
        <w:t>by 15 August each year</w:t>
      </w:r>
      <w:r w:rsidRPr="001C224D">
        <w:rPr>
          <w:rFonts w:eastAsia="Times"/>
        </w:rPr>
        <w:t xml:space="preserve"> </w:t>
      </w:r>
      <w:r w:rsidR="00534610">
        <w:rPr>
          <w:rFonts w:eastAsia="Times"/>
        </w:rPr>
        <w:t>took effect</w:t>
      </w:r>
      <w:r w:rsidRPr="001C224D">
        <w:rPr>
          <w:rFonts w:eastAsia="Times"/>
        </w:rPr>
        <w:t xml:space="preserve"> on 8 April 2022.</w:t>
      </w:r>
    </w:p>
    <w:p w14:paraId="40C06C84" w14:textId="77777777" w:rsidR="00AD4179" w:rsidRPr="001C224D" w:rsidRDefault="00AD4179" w:rsidP="00AF6105">
      <w:pPr>
        <w:spacing w:before="100" w:beforeAutospacing="1" w:after="100" w:afterAutospacing="1" w:line="240" w:lineRule="auto"/>
        <w:rPr>
          <w:rFonts w:eastAsia="Times"/>
        </w:rPr>
      </w:pPr>
    </w:p>
    <w:p w14:paraId="08270213" w14:textId="77777777" w:rsidR="009B1125" w:rsidRPr="001C224D" w:rsidRDefault="009B1125" w:rsidP="001C224D">
      <w:pPr>
        <w:pStyle w:val="DHHSbullet2"/>
        <w:rPr>
          <w:b/>
          <w:bCs/>
        </w:rPr>
      </w:pPr>
      <w:r w:rsidRPr="001C224D">
        <w:rPr>
          <w:b/>
          <w:bCs/>
        </w:rPr>
        <w:lastRenderedPageBreak/>
        <w:t>Ministerial Directions</w:t>
      </w:r>
    </w:p>
    <w:p w14:paraId="5E46FC03" w14:textId="074EA246" w:rsidR="0078146E" w:rsidRDefault="00621F48" w:rsidP="00BD7469">
      <w:pPr>
        <w:pStyle w:val="Body"/>
        <w:rPr>
          <w:rStyle w:val="normaltextrun"/>
          <w:rFonts w:eastAsia="MS Mincho" w:cs="Arial"/>
          <w:color w:val="000000"/>
          <w:szCs w:val="21"/>
        </w:rPr>
      </w:pPr>
      <w:r w:rsidRPr="00611D4A">
        <w:rPr>
          <w:rStyle w:val="normaltextrun"/>
          <w:rFonts w:eastAsia="MS Mincho" w:cs="Arial"/>
          <w:szCs w:val="21"/>
          <w:shd w:val="clear" w:color="auto" w:fill="FFFFFF"/>
        </w:rPr>
        <w:t xml:space="preserve">Section 342 of the </w:t>
      </w:r>
      <w:r w:rsidRPr="00611D4A">
        <w:rPr>
          <w:rStyle w:val="normaltextrun"/>
          <w:rFonts w:eastAsia="MS Mincho" w:cs="Arial"/>
          <w:i/>
          <w:color w:val="000000"/>
          <w:szCs w:val="21"/>
          <w:shd w:val="clear" w:color="auto" w:fill="FFFFFF"/>
        </w:rPr>
        <w:t>Mental Health Act 2014</w:t>
      </w:r>
      <w:r w:rsidRPr="00611D4A">
        <w:rPr>
          <w:rStyle w:val="normaltextrun"/>
          <w:rFonts w:eastAsia="MS Mincho" w:cs="Arial"/>
          <w:color w:val="000000"/>
          <w:szCs w:val="21"/>
          <w:shd w:val="clear" w:color="auto" w:fill="FFFFFF"/>
        </w:rPr>
        <w:t xml:space="preserve"> allows the Minister for Mental Health to issue</w:t>
      </w:r>
      <w:r w:rsidR="0085032D" w:rsidRPr="00611D4A">
        <w:rPr>
          <w:rStyle w:val="normaltextrun"/>
          <w:rFonts w:eastAsia="MS Mincho" w:cs="Arial"/>
          <w:color w:val="000000"/>
          <w:szCs w:val="21"/>
          <w:shd w:val="clear" w:color="auto" w:fill="FFFFFF"/>
        </w:rPr>
        <w:t xml:space="preserve"> written</w:t>
      </w:r>
      <w:r w:rsidRPr="00611D4A">
        <w:rPr>
          <w:rStyle w:val="normaltextrun"/>
          <w:rFonts w:eastAsia="MS Mincho" w:cs="Arial"/>
          <w:color w:val="000000"/>
          <w:szCs w:val="21"/>
          <w:shd w:val="clear" w:color="auto" w:fill="FFFFFF"/>
        </w:rPr>
        <w:t xml:space="preserve"> directions to </w:t>
      </w:r>
      <w:proofErr w:type="spellStart"/>
      <w:r w:rsidRPr="00611D4A">
        <w:rPr>
          <w:rStyle w:val="normaltextrun"/>
          <w:rFonts w:eastAsia="MS Mincho" w:cs="Arial"/>
          <w:color w:val="000000"/>
          <w:szCs w:val="21"/>
          <w:shd w:val="clear" w:color="auto" w:fill="FFFFFF"/>
        </w:rPr>
        <w:t>Forensicare</w:t>
      </w:r>
      <w:proofErr w:type="spellEnd"/>
      <w:r w:rsidRPr="00611D4A">
        <w:rPr>
          <w:rStyle w:val="normaltextrun"/>
          <w:rFonts w:eastAsia="MS Mincho" w:cs="Arial"/>
          <w:color w:val="000000"/>
          <w:szCs w:val="21"/>
          <w:shd w:val="clear" w:color="auto" w:fill="FFFFFF"/>
        </w:rPr>
        <w:t xml:space="preserve"> </w:t>
      </w:r>
      <w:r w:rsidR="000F7830" w:rsidRPr="000F7830">
        <w:rPr>
          <w:rFonts w:eastAsia="MS Mincho" w:cs="Arial"/>
          <w:color w:val="000000"/>
          <w:szCs w:val="21"/>
          <w:shd w:val="clear" w:color="auto" w:fill="FFFFFF"/>
        </w:rPr>
        <w:t>on any matter that the Minister is satisfied is necessary</w:t>
      </w:r>
      <w:r w:rsidRPr="00611D4A">
        <w:rPr>
          <w:rStyle w:val="normaltextrun"/>
          <w:rFonts w:eastAsia="MS Mincho" w:cs="Arial"/>
          <w:color w:val="000000"/>
          <w:szCs w:val="21"/>
        </w:rPr>
        <w:t xml:space="preserve">. </w:t>
      </w:r>
      <w:r w:rsidR="00DC50A2" w:rsidRPr="00611D4A">
        <w:rPr>
          <w:rStyle w:val="normaltextrun"/>
          <w:rFonts w:eastAsia="MS Mincho" w:cs="Arial"/>
          <w:color w:val="000000"/>
          <w:szCs w:val="21"/>
        </w:rPr>
        <w:t xml:space="preserve">This includes </w:t>
      </w:r>
      <w:r w:rsidR="00F31550" w:rsidRPr="00611D4A">
        <w:rPr>
          <w:rStyle w:val="normaltextrun"/>
          <w:rFonts w:eastAsia="MS Mincho" w:cs="Arial"/>
          <w:color w:val="000000"/>
          <w:szCs w:val="21"/>
        </w:rPr>
        <w:t xml:space="preserve">issuing Ministerial Directions </w:t>
      </w:r>
      <w:r w:rsidR="00DC50A2" w:rsidRPr="00611D4A">
        <w:rPr>
          <w:rStyle w:val="normaltextrun"/>
          <w:rFonts w:eastAsia="MS Mincho" w:cs="Arial"/>
          <w:color w:val="000000"/>
          <w:szCs w:val="21"/>
        </w:rPr>
        <w:t xml:space="preserve">requiring </w:t>
      </w:r>
      <w:r w:rsidR="0016561C" w:rsidRPr="00611D4A">
        <w:rPr>
          <w:rStyle w:val="normaltextrun"/>
          <w:rFonts w:eastAsia="MS Mincho" w:cs="Arial"/>
          <w:color w:val="000000"/>
          <w:szCs w:val="21"/>
        </w:rPr>
        <w:t xml:space="preserve">healthcare workers employed or </w:t>
      </w:r>
      <w:r w:rsidR="00475281" w:rsidRPr="00611D4A">
        <w:rPr>
          <w:rStyle w:val="normaltextrun"/>
          <w:rFonts w:eastAsia="MS Mincho" w:cs="Arial"/>
          <w:color w:val="000000"/>
          <w:szCs w:val="21"/>
        </w:rPr>
        <w:t xml:space="preserve">engaged </w:t>
      </w:r>
      <w:r w:rsidR="0016561C" w:rsidRPr="00611D4A">
        <w:rPr>
          <w:rStyle w:val="normaltextrun"/>
          <w:rFonts w:eastAsia="MS Mincho" w:cs="Arial"/>
          <w:color w:val="000000"/>
          <w:szCs w:val="21"/>
        </w:rPr>
        <w:t xml:space="preserve">by </w:t>
      </w:r>
      <w:proofErr w:type="spellStart"/>
      <w:r w:rsidR="00DC50A2" w:rsidRPr="00611D4A">
        <w:rPr>
          <w:rStyle w:val="normaltextrun"/>
          <w:rFonts w:eastAsia="MS Mincho" w:cs="Arial"/>
          <w:color w:val="000000"/>
          <w:szCs w:val="21"/>
        </w:rPr>
        <w:t>Forensicare</w:t>
      </w:r>
      <w:proofErr w:type="spellEnd"/>
      <w:r w:rsidR="00DC50A2" w:rsidRPr="00611D4A">
        <w:rPr>
          <w:rStyle w:val="normaltextrun"/>
          <w:rFonts w:eastAsia="MS Mincho" w:cs="Arial"/>
          <w:color w:val="000000"/>
          <w:szCs w:val="21"/>
        </w:rPr>
        <w:t xml:space="preserve"> </w:t>
      </w:r>
      <w:r w:rsidR="0016561C" w:rsidRPr="00611D4A">
        <w:rPr>
          <w:rStyle w:val="normaltextrun"/>
          <w:rFonts w:eastAsia="MS Mincho" w:cs="Arial"/>
          <w:color w:val="000000"/>
          <w:szCs w:val="21"/>
        </w:rPr>
        <w:t>to be vaccinated against specified vaccine-preventable diseases</w:t>
      </w:r>
      <w:r w:rsidR="00AF4A0C" w:rsidRPr="00611D4A">
        <w:rPr>
          <w:rStyle w:val="normaltextrun"/>
          <w:rFonts w:eastAsia="MS Mincho" w:cs="Arial"/>
          <w:color w:val="000000"/>
          <w:szCs w:val="21"/>
        </w:rPr>
        <w:t>.</w:t>
      </w:r>
      <w:r w:rsidR="000B2911" w:rsidRPr="00611D4A">
        <w:rPr>
          <w:rStyle w:val="normaltextrun"/>
          <w:rFonts w:eastAsia="MS Mincho" w:cs="Arial"/>
          <w:color w:val="000000"/>
          <w:szCs w:val="21"/>
        </w:rPr>
        <w:t xml:space="preserve"> </w:t>
      </w:r>
    </w:p>
    <w:p w14:paraId="45BE3134" w14:textId="2F5D52BB" w:rsidR="00C7378B" w:rsidRDefault="006E2376" w:rsidP="00C7378B">
      <w:pPr>
        <w:spacing w:before="100" w:beforeAutospacing="1" w:after="100" w:afterAutospacing="1" w:line="240" w:lineRule="auto"/>
        <w:rPr>
          <w:rStyle w:val="normaltextrun"/>
          <w:rFonts w:eastAsia="MS Mincho"/>
          <w:color w:val="000000"/>
          <w:szCs w:val="21"/>
        </w:rPr>
      </w:pPr>
      <w:r w:rsidRPr="006E2376">
        <w:rPr>
          <w:rStyle w:val="normaltextrun"/>
          <w:rFonts w:eastAsia="MS Mincho"/>
          <w:noProof/>
          <w:color w:val="000000"/>
          <w:szCs w:val="21"/>
        </w:rPr>
        <mc:AlternateContent>
          <mc:Choice Requires="wps">
            <w:drawing>
              <wp:anchor distT="45720" distB="45720" distL="114300" distR="114300" simplePos="0" relativeHeight="251658241" behindDoc="0" locked="0" layoutInCell="1" allowOverlap="1" wp14:anchorId="4E07748F" wp14:editId="50ABB2B1">
                <wp:simplePos x="0" y="0"/>
                <wp:positionH relativeFrom="margin">
                  <wp:align>left</wp:align>
                </wp:positionH>
                <wp:positionV relativeFrom="paragraph">
                  <wp:posOffset>582091</wp:posOffset>
                </wp:positionV>
                <wp:extent cx="6391910" cy="1404620"/>
                <wp:effectExtent l="0" t="0" r="279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1404620"/>
                        </a:xfrm>
                        <a:prstGeom prst="rect">
                          <a:avLst/>
                        </a:prstGeom>
                        <a:solidFill>
                          <a:srgbClr val="FFFFFF"/>
                        </a:solidFill>
                        <a:ln w="9525">
                          <a:solidFill>
                            <a:srgbClr val="000000"/>
                          </a:solidFill>
                          <a:miter lim="800000"/>
                          <a:headEnd/>
                          <a:tailEnd/>
                        </a:ln>
                      </wps:spPr>
                      <wps:txbx>
                        <w:txbxContent>
                          <w:p w14:paraId="40CB9982" w14:textId="78675D35" w:rsidR="006E2376" w:rsidRPr="009F604F" w:rsidRDefault="006E2376" w:rsidP="001C224D">
                            <w:pPr>
                              <w:pStyle w:val="Heading2"/>
                              <w:rPr>
                                <w:lang w:eastAsia="en-AU"/>
                              </w:rPr>
                            </w:pPr>
                            <w:bookmarkStart w:id="9" w:name="_Toc176360349"/>
                            <w:r>
                              <w:rPr>
                                <w:lang w:eastAsia="en-AU"/>
                              </w:rPr>
                              <w:t>Note on COVID-19 vaccination</w:t>
                            </w:r>
                            <w:bookmarkEnd w:id="9"/>
                          </w:p>
                          <w:p w14:paraId="2F89BEC6" w14:textId="77777777" w:rsidR="006363BE" w:rsidRDefault="006363BE" w:rsidP="006363BE">
                            <w:pPr>
                              <w:pStyle w:val="Body"/>
                              <w:spacing w:after="0"/>
                            </w:pPr>
                            <w:r>
                              <w:t xml:space="preserve">Secretary Directions were introduced on 13 October 2022, requiring specified healthcare workers in </w:t>
                            </w:r>
                          </w:p>
                          <w:p w14:paraId="213E647A" w14:textId="2F63F72D" w:rsidR="008B7033" w:rsidRDefault="006363BE" w:rsidP="006363BE">
                            <w:pPr>
                              <w:pStyle w:val="Body"/>
                            </w:pPr>
                            <w:r>
                              <w:t>prescribed Victorian healthcare settings to be vaccinated against COVID-19. This followed the cessation of Pandemic (Workplace) Order 2022 (No. 10).</w:t>
                            </w:r>
                          </w:p>
                          <w:p w14:paraId="2ED2FD0B" w14:textId="127C3DD0" w:rsidR="00214268" w:rsidRPr="006E2376" w:rsidRDefault="00214268" w:rsidP="00214268">
                            <w:pPr>
                              <w:pStyle w:val="Body"/>
                            </w:pPr>
                            <w:r w:rsidRPr="006E2376">
                              <w:t xml:space="preserve">On </w:t>
                            </w:r>
                            <w:r w:rsidR="00F66902">
                              <w:t>4 October 2024</w:t>
                            </w:r>
                            <w:r w:rsidRPr="006E2376">
                              <w:t>, Secretary Directions mandating COVID-19 vaccination for healthcare workers were revoked.</w:t>
                            </w:r>
                          </w:p>
                          <w:p w14:paraId="6F425B1F" w14:textId="77777777" w:rsidR="00214268" w:rsidRPr="001C224D" w:rsidRDefault="00214268" w:rsidP="00214268">
                            <w:pPr>
                              <w:pStyle w:val="Body"/>
                              <w:rPr>
                                <w:rStyle w:val="ui-provider"/>
                              </w:rPr>
                            </w:pPr>
                            <w:r w:rsidRPr="006E2376">
                              <w:t xml:space="preserve">Healthcare workers are now strongly recommended to remain up to date with their COVID-19 vaccinations as per </w:t>
                            </w:r>
                            <w:r w:rsidRPr="00831FAC">
                              <w:t xml:space="preserve">Australian Technical Advisory Group on Immunisation (ATAGI) advice and </w:t>
                            </w:r>
                            <w:r w:rsidRPr="006E2376">
                              <w:t xml:space="preserve">the </w:t>
                            </w:r>
                            <w:hyperlink r:id="rId25" w:history="1">
                              <w:r w:rsidRPr="001C224D">
                                <w:t>Australian Immunisation Handbook</w:t>
                              </w:r>
                            </w:hyperlink>
                            <w:r w:rsidRPr="006E2376">
                              <w:t>.</w:t>
                            </w:r>
                          </w:p>
                          <w:p w14:paraId="5FAEA314" w14:textId="77777777" w:rsidR="00214268" w:rsidRPr="001C224D" w:rsidRDefault="00214268" w:rsidP="00214268">
                            <w:pPr>
                              <w:pStyle w:val="Body"/>
                              <w:rPr>
                                <w:rStyle w:val="ui-provider"/>
                              </w:rPr>
                            </w:pPr>
                            <w:r w:rsidRPr="000F7938">
                              <w:rPr>
                                <w:rStyle w:val="ui-provider"/>
                              </w:rPr>
                              <w:t xml:space="preserve">The decision to revoke the COVID-19 vaccine Secretary </w:t>
                            </w:r>
                            <w:proofErr w:type="gramStart"/>
                            <w:r w:rsidRPr="000F7938">
                              <w:rPr>
                                <w:rStyle w:val="ui-provider"/>
                              </w:rPr>
                              <w:t>Directions</w:t>
                            </w:r>
                            <w:r>
                              <w:rPr>
                                <w:rStyle w:val="ui-provider"/>
                              </w:rPr>
                              <w:t>,</w:t>
                            </w:r>
                            <w:r w:rsidRPr="000F7938">
                              <w:rPr>
                                <w:rStyle w:val="ui-provider"/>
                              </w:rPr>
                              <w:t xml:space="preserve"> and</w:t>
                            </w:r>
                            <w:proofErr w:type="gramEnd"/>
                            <w:r w:rsidRPr="000F7938">
                              <w:rPr>
                                <w:rStyle w:val="ui-provider"/>
                              </w:rPr>
                              <w:t xml:space="preserve"> replace them with a strong recommendation to remain up to date, reflects </w:t>
                            </w:r>
                            <w:r w:rsidRPr="001C224D">
                              <w:rPr>
                                <w:rStyle w:val="ui-provider"/>
                              </w:rPr>
                              <w:t>the evolving COVID-19 epidemiologic situation in Victoria, emerging evidence on the burden of COVID-19 disease and advice and guidance from ATAGI on COVID-19 vaccination.</w:t>
                            </w:r>
                          </w:p>
                          <w:p w14:paraId="49B328FB" w14:textId="77777777" w:rsidR="00214268" w:rsidRPr="00F91624" w:rsidRDefault="00214268" w:rsidP="00214268">
                            <w:pPr>
                              <w:pStyle w:val="Body"/>
                              <w:rPr>
                                <w:rStyle w:val="ui-provider"/>
                              </w:rPr>
                            </w:pPr>
                            <w:r w:rsidRPr="00F91624">
                              <w:rPr>
                                <w:rStyle w:val="ui-provider"/>
                              </w:rPr>
                              <w:t>Should any health service determine that it is appropriate for their circumstances to i</w:t>
                            </w:r>
                            <w:r>
                              <w:rPr>
                                <w:rStyle w:val="ui-provider"/>
                              </w:rPr>
                              <w:t>ntroduce</w:t>
                            </w:r>
                            <w:r w:rsidRPr="00F91624">
                              <w:rPr>
                                <w:rStyle w:val="ui-provider"/>
                              </w:rPr>
                              <w:t xml:space="preserve"> </w:t>
                            </w:r>
                            <w:r w:rsidRPr="001C224D">
                              <w:rPr>
                                <w:rStyle w:val="ui-provider"/>
                              </w:rPr>
                              <w:t>COVID-19 vaccination requirements through their own workplace policies</w:t>
                            </w:r>
                            <w:r w:rsidRPr="00F91624">
                              <w:rPr>
                                <w:rStyle w:val="ui-provider"/>
                              </w:rPr>
                              <w:t xml:space="preserve">, </w:t>
                            </w:r>
                            <w:r>
                              <w:rPr>
                                <w:rStyle w:val="ui-provider"/>
                              </w:rPr>
                              <w:t>they should ensure that these requirements</w:t>
                            </w:r>
                            <w:r w:rsidRPr="00F91624">
                              <w:rPr>
                                <w:rStyle w:val="ui-provider"/>
                              </w:rPr>
                              <w:t xml:space="preserve"> </w:t>
                            </w:r>
                            <w:r>
                              <w:rPr>
                                <w:rStyle w:val="ui-provider"/>
                              </w:rPr>
                              <w:t>are</w:t>
                            </w:r>
                            <w:r w:rsidRPr="00F91624">
                              <w:rPr>
                                <w:rStyle w:val="ui-provider"/>
                              </w:rPr>
                              <w:t xml:space="preserve"> informed by an assessment of risk, and meet consultation obligations with employees and applicable representatives under occupational health and safety legislation and any applicable industrial instrument/s.   </w:t>
                            </w:r>
                          </w:p>
                          <w:p w14:paraId="3E37FCB1" w14:textId="168D6F50" w:rsidR="00477FF7" w:rsidRPr="00F91624" w:rsidRDefault="00477FF7" w:rsidP="00214268">
                            <w:pPr>
                              <w:pStyle w:val="Body"/>
                              <w:rPr>
                                <w:rStyle w:val="ui-provide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7748F" id="_x0000_t202" coordsize="21600,21600" o:spt="202" path="m,l,21600r21600,l21600,xe">
                <v:stroke joinstyle="miter"/>
                <v:path gradientshapeok="t" o:connecttype="rect"/>
              </v:shapetype>
              <v:shape id="Text Box 2" o:spid="_x0000_s1026" type="#_x0000_t202" style="position:absolute;margin-left:0;margin-top:45.85pt;width:503.3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">
                <v:textbox style="mso-fit-shape-to-text:t">
                  <w:txbxContent>
                    <w:p w14:paraId="40CB9982" w14:textId="78675D35" w:rsidR="006E2376" w:rsidRPr="009F604F" w:rsidRDefault="006E2376" w:rsidP="001C224D">
                      <w:pPr>
                        <w:pStyle w:val="Heading2"/>
                        <w:rPr>
                          <w:lang w:eastAsia="en-AU"/>
                        </w:rPr>
                      </w:pPr>
                      <w:bookmarkStart w:id="10" w:name="_Toc176360349"/>
                      <w:r>
                        <w:rPr>
                          <w:lang w:eastAsia="en-AU"/>
                        </w:rPr>
                        <w:t>Note on COVID-19 vaccination</w:t>
                      </w:r>
                      <w:bookmarkEnd w:id="10"/>
                    </w:p>
                    <w:p w14:paraId="2F89BEC6" w14:textId="77777777" w:rsidR="006363BE" w:rsidRDefault="006363BE" w:rsidP="006363BE">
                      <w:pPr>
                        <w:pStyle w:val="Body"/>
                        <w:spacing w:after="0"/>
                      </w:pPr>
                      <w:r>
                        <w:t xml:space="preserve">Secretary Directions were introduced on 13 October 2022, requiring specified healthcare workers in </w:t>
                      </w:r>
                    </w:p>
                    <w:p w14:paraId="213E647A" w14:textId="2F63F72D" w:rsidR="008B7033" w:rsidRDefault="006363BE" w:rsidP="006363BE">
                      <w:pPr>
                        <w:pStyle w:val="Body"/>
                      </w:pPr>
                      <w:r>
                        <w:t>prescribed Victorian healthcare settings to be vaccinated against COVID-19. This followed the cessation of Pandemic (Workplace) Order 2022 (No. 10).</w:t>
                      </w:r>
                    </w:p>
                    <w:p w14:paraId="2ED2FD0B" w14:textId="127C3DD0" w:rsidR="00214268" w:rsidRPr="006E2376" w:rsidRDefault="00214268" w:rsidP="00214268">
                      <w:pPr>
                        <w:pStyle w:val="Body"/>
                      </w:pPr>
                      <w:r w:rsidRPr="006E2376">
                        <w:t xml:space="preserve">On </w:t>
                      </w:r>
                      <w:r w:rsidR="00F66902">
                        <w:t>4 October 2024</w:t>
                      </w:r>
                      <w:r w:rsidRPr="006E2376">
                        <w:t>, Secretary Directions mandating COVID-19 vaccination for healthcare workers were revoked.</w:t>
                      </w:r>
                    </w:p>
                    <w:p w14:paraId="6F425B1F" w14:textId="77777777" w:rsidR="00214268" w:rsidRPr="001C224D" w:rsidRDefault="00214268" w:rsidP="00214268">
                      <w:pPr>
                        <w:pStyle w:val="Body"/>
                        <w:rPr>
                          <w:rStyle w:val="ui-provider"/>
                        </w:rPr>
                      </w:pPr>
                      <w:r w:rsidRPr="006E2376">
                        <w:t xml:space="preserve">Healthcare workers are now strongly recommended to remain up to date with their COVID-19 vaccinations as per </w:t>
                      </w:r>
                      <w:r w:rsidRPr="00831FAC">
                        <w:t xml:space="preserve">Australian Technical Advisory Group on Immunisation (ATAGI) advice and </w:t>
                      </w:r>
                      <w:r w:rsidRPr="006E2376">
                        <w:t xml:space="preserve">the </w:t>
                      </w:r>
                      <w:hyperlink r:id="rId26" w:history="1">
                        <w:r w:rsidRPr="001C224D">
                          <w:t>Australian Immunisation Handbook</w:t>
                        </w:r>
                      </w:hyperlink>
                      <w:r w:rsidRPr="006E2376">
                        <w:t>.</w:t>
                      </w:r>
                    </w:p>
                    <w:p w14:paraId="5FAEA314" w14:textId="77777777" w:rsidR="00214268" w:rsidRPr="001C224D" w:rsidRDefault="00214268" w:rsidP="00214268">
                      <w:pPr>
                        <w:pStyle w:val="Body"/>
                        <w:rPr>
                          <w:rStyle w:val="ui-provider"/>
                        </w:rPr>
                      </w:pPr>
                      <w:r w:rsidRPr="000F7938">
                        <w:rPr>
                          <w:rStyle w:val="ui-provider"/>
                        </w:rPr>
                        <w:t xml:space="preserve">The decision to revoke the COVID-19 vaccine Secretary </w:t>
                      </w:r>
                      <w:proofErr w:type="gramStart"/>
                      <w:r w:rsidRPr="000F7938">
                        <w:rPr>
                          <w:rStyle w:val="ui-provider"/>
                        </w:rPr>
                        <w:t>Directions</w:t>
                      </w:r>
                      <w:r>
                        <w:rPr>
                          <w:rStyle w:val="ui-provider"/>
                        </w:rPr>
                        <w:t>,</w:t>
                      </w:r>
                      <w:r w:rsidRPr="000F7938">
                        <w:rPr>
                          <w:rStyle w:val="ui-provider"/>
                        </w:rPr>
                        <w:t xml:space="preserve"> and</w:t>
                      </w:r>
                      <w:proofErr w:type="gramEnd"/>
                      <w:r w:rsidRPr="000F7938">
                        <w:rPr>
                          <w:rStyle w:val="ui-provider"/>
                        </w:rPr>
                        <w:t xml:space="preserve"> replace them with a strong recommendation to remain up to date, reflects </w:t>
                      </w:r>
                      <w:r w:rsidRPr="001C224D">
                        <w:rPr>
                          <w:rStyle w:val="ui-provider"/>
                        </w:rPr>
                        <w:t>the evolving COVID-19 epidemiologic situation in Victoria, emerging evidence on the burden of COVID-19 disease and advice and guidance from ATAGI on COVID-19 vaccination.</w:t>
                      </w:r>
                    </w:p>
                    <w:p w14:paraId="49B328FB" w14:textId="77777777" w:rsidR="00214268" w:rsidRPr="00F91624" w:rsidRDefault="00214268" w:rsidP="00214268">
                      <w:pPr>
                        <w:pStyle w:val="Body"/>
                        <w:rPr>
                          <w:rStyle w:val="ui-provider"/>
                        </w:rPr>
                      </w:pPr>
                      <w:r w:rsidRPr="00F91624">
                        <w:rPr>
                          <w:rStyle w:val="ui-provider"/>
                        </w:rPr>
                        <w:t>Should any health service determine that it is appropriate for their circumstances to i</w:t>
                      </w:r>
                      <w:r>
                        <w:rPr>
                          <w:rStyle w:val="ui-provider"/>
                        </w:rPr>
                        <w:t>ntroduce</w:t>
                      </w:r>
                      <w:r w:rsidRPr="00F91624">
                        <w:rPr>
                          <w:rStyle w:val="ui-provider"/>
                        </w:rPr>
                        <w:t xml:space="preserve"> </w:t>
                      </w:r>
                      <w:r w:rsidRPr="001C224D">
                        <w:rPr>
                          <w:rStyle w:val="ui-provider"/>
                        </w:rPr>
                        <w:t>COVID-19 vaccination requirements through their own workplace policies</w:t>
                      </w:r>
                      <w:r w:rsidRPr="00F91624">
                        <w:rPr>
                          <w:rStyle w:val="ui-provider"/>
                        </w:rPr>
                        <w:t xml:space="preserve">, </w:t>
                      </w:r>
                      <w:r>
                        <w:rPr>
                          <w:rStyle w:val="ui-provider"/>
                        </w:rPr>
                        <w:t>they should ensure that these requirements</w:t>
                      </w:r>
                      <w:r w:rsidRPr="00F91624">
                        <w:rPr>
                          <w:rStyle w:val="ui-provider"/>
                        </w:rPr>
                        <w:t xml:space="preserve"> </w:t>
                      </w:r>
                      <w:r>
                        <w:rPr>
                          <w:rStyle w:val="ui-provider"/>
                        </w:rPr>
                        <w:t>are</w:t>
                      </w:r>
                      <w:r w:rsidRPr="00F91624">
                        <w:rPr>
                          <w:rStyle w:val="ui-provider"/>
                        </w:rPr>
                        <w:t xml:space="preserve"> informed by an assessment of risk, and meet consultation obligations with employees and applicable representatives under occupational health and safety legislation and any applicable industrial instrument/s.   </w:t>
                      </w:r>
                    </w:p>
                    <w:p w14:paraId="3E37FCB1" w14:textId="168D6F50" w:rsidR="00477FF7" w:rsidRPr="00F91624" w:rsidRDefault="00477FF7" w:rsidP="00214268">
                      <w:pPr>
                        <w:pStyle w:val="Body"/>
                        <w:rPr>
                          <w:rStyle w:val="ui-provider"/>
                        </w:rPr>
                      </w:pPr>
                    </w:p>
                  </w:txbxContent>
                </v:textbox>
                <w10:wrap type="square" anchorx="margin"/>
              </v:shape>
            </w:pict>
          </mc:Fallback>
        </mc:AlternateContent>
      </w:r>
      <w:r w:rsidR="00C7378B" w:rsidRPr="001C224D">
        <w:rPr>
          <w:rStyle w:val="normaltextrun"/>
          <w:rFonts w:eastAsia="MS Mincho"/>
          <w:color w:val="000000"/>
          <w:szCs w:val="21"/>
        </w:rPr>
        <w:t>Ministerial Directions requiring</w:t>
      </w:r>
      <w:r w:rsidR="000E02FC">
        <w:rPr>
          <w:rStyle w:val="normaltextrun"/>
          <w:rFonts w:eastAsia="MS Mincho"/>
          <w:color w:val="000000"/>
          <w:szCs w:val="21"/>
        </w:rPr>
        <w:t xml:space="preserve"> </w:t>
      </w:r>
      <w:proofErr w:type="spellStart"/>
      <w:r w:rsidR="000E02FC">
        <w:rPr>
          <w:rStyle w:val="normaltextrun"/>
          <w:rFonts w:eastAsia="MS Mincho"/>
          <w:color w:val="000000"/>
          <w:szCs w:val="21"/>
        </w:rPr>
        <w:t>F</w:t>
      </w:r>
      <w:r w:rsidR="00E42962">
        <w:rPr>
          <w:rStyle w:val="normaltextrun"/>
          <w:rFonts w:eastAsia="MS Mincho"/>
          <w:color w:val="000000"/>
          <w:szCs w:val="21"/>
        </w:rPr>
        <w:t>orensicare</w:t>
      </w:r>
      <w:proofErr w:type="spellEnd"/>
      <w:r w:rsidR="00E42962">
        <w:rPr>
          <w:rStyle w:val="normaltextrun"/>
          <w:rFonts w:eastAsia="MS Mincho"/>
          <w:color w:val="000000"/>
          <w:szCs w:val="21"/>
        </w:rPr>
        <w:t xml:space="preserve"> employees to be vaccinated against seasonal influenza by 15 August each year t</w:t>
      </w:r>
      <w:r w:rsidR="00BA1251">
        <w:rPr>
          <w:rStyle w:val="normaltextrun"/>
          <w:rFonts w:eastAsia="MS Mincho"/>
          <w:color w:val="000000"/>
          <w:szCs w:val="21"/>
        </w:rPr>
        <w:t>ook effect</w:t>
      </w:r>
      <w:r w:rsidR="00C7378B" w:rsidRPr="001C224D">
        <w:rPr>
          <w:rStyle w:val="normaltextrun"/>
          <w:rFonts w:eastAsia="MS Mincho"/>
          <w:color w:val="000000"/>
          <w:szCs w:val="21"/>
        </w:rPr>
        <w:t xml:space="preserve"> on 6 June 2022.</w:t>
      </w:r>
    </w:p>
    <w:p w14:paraId="69294F64" w14:textId="5D47606B" w:rsidR="00ED7762" w:rsidRPr="00AC0CF5" w:rsidRDefault="002205D2" w:rsidP="00FE07DE">
      <w:pPr>
        <w:pStyle w:val="Heading1"/>
        <w:numPr>
          <w:ilvl w:val="0"/>
          <w:numId w:val="12"/>
        </w:numPr>
        <w:spacing w:after="0"/>
      </w:pPr>
      <w:bookmarkStart w:id="10" w:name="_Toc176358908"/>
      <w:bookmarkStart w:id="11" w:name="_Toc176360350"/>
      <w:bookmarkStart w:id="12" w:name="_Toc176358909"/>
      <w:bookmarkStart w:id="13" w:name="_Toc176360351"/>
      <w:bookmarkStart w:id="14" w:name="_Toc176358910"/>
      <w:bookmarkStart w:id="15" w:name="_Toc176360352"/>
      <w:bookmarkStart w:id="16" w:name="_Toc113362843"/>
      <w:bookmarkStart w:id="17" w:name="_Toc171321490"/>
      <w:bookmarkStart w:id="18" w:name="_Toc176360353"/>
      <w:bookmarkStart w:id="19" w:name="_Hlk63948051"/>
      <w:bookmarkEnd w:id="7"/>
      <w:bookmarkEnd w:id="10"/>
      <w:bookmarkEnd w:id="11"/>
      <w:bookmarkEnd w:id="12"/>
      <w:bookmarkEnd w:id="13"/>
      <w:bookmarkEnd w:id="14"/>
      <w:bookmarkEnd w:id="15"/>
      <w:r w:rsidRPr="00AC0CF5">
        <w:t>Definitions</w:t>
      </w:r>
      <w:bookmarkEnd w:id="16"/>
      <w:bookmarkEnd w:id="17"/>
      <w:bookmarkEnd w:id="18"/>
    </w:p>
    <w:p w14:paraId="1E1FC62D" w14:textId="3FB27755" w:rsidR="740EA8BA" w:rsidRPr="00BD7469" w:rsidRDefault="503CCB84" w:rsidP="000332F2">
      <w:pPr>
        <w:spacing w:before="120" w:after="160" w:line="270" w:lineRule="atLeast"/>
        <w:rPr>
          <w:rFonts w:eastAsia="Times" w:cs="Arial"/>
          <w:b/>
          <w:bCs/>
          <w:szCs w:val="21"/>
        </w:rPr>
      </w:pPr>
      <w:r w:rsidRPr="00BD7469">
        <w:rPr>
          <w:rFonts w:eastAsia="Times" w:cs="Arial"/>
          <w:b/>
          <w:bCs/>
          <w:szCs w:val="21"/>
        </w:rPr>
        <w:t xml:space="preserve">These definitions should be read in conjunction with the definitions contained in the Secretary Directions for influenza </w:t>
      </w:r>
      <w:r w:rsidR="1CFC9D00" w:rsidRPr="00BD7469">
        <w:rPr>
          <w:rFonts w:eastAsia="Times" w:cs="Arial"/>
          <w:b/>
          <w:bCs/>
          <w:szCs w:val="21"/>
        </w:rPr>
        <w:t xml:space="preserve">vaccination and the Ministerial Directions for </w:t>
      </w:r>
      <w:proofErr w:type="spellStart"/>
      <w:r w:rsidR="1CFC9D00" w:rsidRPr="00BD7469">
        <w:rPr>
          <w:rFonts w:eastAsia="Times" w:cs="Arial"/>
          <w:b/>
          <w:bCs/>
          <w:szCs w:val="21"/>
        </w:rPr>
        <w:t>Forensicare</w:t>
      </w:r>
      <w:proofErr w:type="spellEnd"/>
      <w:r w:rsidR="1CFC9D00" w:rsidRPr="00BD7469">
        <w:rPr>
          <w:rFonts w:eastAsia="Times" w:cs="Arial"/>
          <w:b/>
          <w:bCs/>
          <w:szCs w:val="21"/>
        </w:rPr>
        <w:t xml:space="preserve"> influenza vaccination.</w:t>
      </w:r>
    </w:p>
    <w:p w14:paraId="407F2F54" w14:textId="161E0E00" w:rsidR="002205D2" w:rsidRPr="00BD7469" w:rsidRDefault="002205D2" w:rsidP="002205D2">
      <w:pPr>
        <w:spacing w:before="120" w:line="270" w:lineRule="atLeast"/>
        <w:rPr>
          <w:rFonts w:eastAsia="Times" w:cs="Arial"/>
          <w:szCs w:val="21"/>
        </w:rPr>
      </w:pPr>
      <w:bookmarkStart w:id="20" w:name="_Hlk43797455"/>
      <w:bookmarkStart w:id="21" w:name="_Toc66711982"/>
      <w:bookmarkEnd w:id="19"/>
      <w:r w:rsidRPr="00BD7469">
        <w:rPr>
          <w:rFonts w:eastAsia="Times" w:cs="Arial"/>
          <w:b/>
          <w:bCs/>
          <w:szCs w:val="21"/>
        </w:rPr>
        <w:t xml:space="preserve">Healthcare settings: </w:t>
      </w:r>
      <w:r w:rsidRPr="00BD7469">
        <w:rPr>
          <w:rFonts w:eastAsia="Times" w:cs="Arial"/>
          <w:szCs w:val="21"/>
        </w:rPr>
        <w:t xml:space="preserve"> Public hospitals, public health services, denominational hospitals, private hospitals and day procedure centres, ambulance </w:t>
      </w:r>
      <w:r w:rsidR="00FD6029" w:rsidRPr="00BD7469">
        <w:rPr>
          <w:rFonts w:eastAsia="Times" w:cs="Arial"/>
          <w:szCs w:val="21"/>
        </w:rPr>
        <w:t>and patient transport services,</w:t>
      </w:r>
      <w:r w:rsidRPr="00BD7469">
        <w:rPr>
          <w:rFonts w:eastAsia="Times" w:cs="Arial"/>
          <w:szCs w:val="21"/>
        </w:rPr>
        <w:t xml:space="preserve"> and residential aged care services operated by</w:t>
      </w:r>
      <w:r w:rsidR="00460D60" w:rsidRPr="00BD7469">
        <w:rPr>
          <w:rFonts w:eastAsia="Times" w:cs="Arial"/>
          <w:szCs w:val="21"/>
        </w:rPr>
        <w:t xml:space="preserve"> a public hospital, public health service or denominational hospital</w:t>
      </w:r>
      <w:r w:rsidRPr="00BD7469">
        <w:rPr>
          <w:rFonts w:eastAsia="Times" w:cs="Arial"/>
          <w:szCs w:val="21"/>
        </w:rPr>
        <w:t>.</w:t>
      </w:r>
    </w:p>
    <w:bookmarkEnd w:id="20"/>
    <w:p w14:paraId="6A4772F1" w14:textId="3049E04B" w:rsidR="002205D2" w:rsidRPr="00BD7469" w:rsidRDefault="002205D2" w:rsidP="002205D2">
      <w:pPr>
        <w:spacing w:before="120" w:line="270" w:lineRule="atLeast"/>
        <w:rPr>
          <w:rFonts w:eastAsia="Times" w:cs="Arial"/>
          <w:szCs w:val="21"/>
        </w:rPr>
      </w:pPr>
      <w:r w:rsidRPr="00BD7469">
        <w:rPr>
          <w:rFonts w:eastAsia="Times" w:cs="Arial"/>
          <w:b/>
          <w:szCs w:val="21"/>
        </w:rPr>
        <w:t xml:space="preserve">Healthcare worker: </w:t>
      </w:r>
      <w:r w:rsidRPr="00BD7469">
        <w:rPr>
          <w:rFonts w:eastAsia="Times" w:cs="Arial"/>
          <w:szCs w:val="21"/>
        </w:rPr>
        <w:t xml:space="preserve">A person employed or </w:t>
      </w:r>
      <w:r w:rsidR="00475281" w:rsidRPr="00BD7469">
        <w:rPr>
          <w:rFonts w:eastAsia="Times" w:cs="Arial"/>
          <w:szCs w:val="21"/>
        </w:rPr>
        <w:t xml:space="preserve">engaged </w:t>
      </w:r>
      <w:r w:rsidRPr="00BD7469">
        <w:rPr>
          <w:rFonts w:eastAsia="Times" w:cs="Arial"/>
          <w:szCs w:val="21"/>
        </w:rPr>
        <w:t xml:space="preserve">by a healthcare setting including all employees, contractors, </w:t>
      </w:r>
      <w:r w:rsidR="00C33AD3" w:rsidRPr="00BD7469">
        <w:rPr>
          <w:rFonts w:eastAsia="Times" w:cs="Arial"/>
          <w:szCs w:val="21"/>
        </w:rPr>
        <w:t>visiting medical officers (</w:t>
      </w:r>
      <w:r w:rsidRPr="00BD7469">
        <w:rPr>
          <w:rFonts w:eastAsia="Times" w:cs="Arial"/>
          <w:szCs w:val="21"/>
        </w:rPr>
        <w:t>VMOs</w:t>
      </w:r>
      <w:r w:rsidR="00C33AD3" w:rsidRPr="00BD7469">
        <w:rPr>
          <w:rFonts w:eastAsia="Times" w:cs="Arial"/>
          <w:szCs w:val="21"/>
        </w:rPr>
        <w:t>)</w:t>
      </w:r>
      <w:r w:rsidR="00F06769" w:rsidRPr="00BD7469">
        <w:rPr>
          <w:rFonts w:eastAsia="Times" w:cs="Arial"/>
          <w:szCs w:val="21"/>
        </w:rPr>
        <w:t xml:space="preserve"> and locums </w:t>
      </w:r>
      <w:r w:rsidRPr="00BD7469">
        <w:rPr>
          <w:rFonts w:eastAsia="Times" w:cs="Arial"/>
          <w:szCs w:val="21"/>
        </w:rPr>
        <w:t xml:space="preserve">performing clinical and non-clinical roles. </w:t>
      </w:r>
    </w:p>
    <w:p w14:paraId="553A8760" w14:textId="4D4BA0DA" w:rsidR="00B56D2E" w:rsidRPr="00BD7469" w:rsidRDefault="00B56D2E" w:rsidP="002205D2">
      <w:pPr>
        <w:spacing w:before="120" w:line="270" w:lineRule="atLeast"/>
        <w:rPr>
          <w:rFonts w:eastAsia="Times" w:cs="Arial"/>
          <w:szCs w:val="21"/>
        </w:rPr>
      </w:pPr>
      <w:r w:rsidRPr="00BD7469">
        <w:rPr>
          <w:rFonts w:eastAsia="Times" w:cs="Arial"/>
          <w:b/>
          <w:bCs/>
          <w:szCs w:val="21"/>
        </w:rPr>
        <w:t xml:space="preserve">Directions: </w:t>
      </w:r>
      <w:r w:rsidRPr="00BD7469">
        <w:rPr>
          <w:rFonts w:eastAsia="Times" w:cs="Arial"/>
          <w:szCs w:val="21"/>
        </w:rPr>
        <w:t xml:space="preserve">for the purpose of this document, Directions </w:t>
      </w:r>
      <w:r w:rsidR="00702350" w:rsidRPr="00BD7469">
        <w:rPr>
          <w:rFonts w:eastAsia="Times" w:cs="Arial"/>
          <w:szCs w:val="21"/>
        </w:rPr>
        <w:t>mean</w:t>
      </w:r>
      <w:r w:rsidR="00EB60FE" w:rsidRPr="00BD7469">
        <w:rPr>
          <w:rFonts w:eastAsia="Times" w:cs="Arial"/>
          <w:szCs w:val="21"/>
        </w:rPr>
        <w:t>s</w:t>
      </w:r>
      <w:r w:rsidR="00702350" w:rsidRPr="00BD7469">
        <w:rPr>
          <w:rFonts w:eastAsia="Times" w:cs="Arial"/>
          <w:szCs w:val="21"/>
        </w:rPr>
        <w:t xml:space="preserve"> </w:t>
      </w:r>
      <w:r w:rsidR="00EB7453" w:rsidRPr="00BD7469" w:rsidDel="00EB60FE">
        <w:rPr>
          <w:rFonts w:eastAsia="Times" w:cs="Arial"/>
          <w:szCs w:val="21"/>
        </w:rPr>
        <w:t xml:space="preserve">both </w:t>
      </w:r>
      <w:r w:rsidR="00702350" w:rsidRPr="00BD7469">
        <w:rPr>
          <w:rFonts w:eastAsia="Times" w:cs="Arial"/>
          <w:szCs w:val="21"/>
        </w:rPr>
        <w:t xml:space="preserve">Secretary Directions </w:t>
      </w:r>
      <w:r w:rsidR="00EB7453" w:rsidRPr="00BD7469">
        <w:rPr>
          <w:rFonts w:eastAsia="Times" w:cs="Arial"/>
          <w:szCs w:val="21"/>
        </w:rPr>
        <w:t xml:space="preserve">and </w:t>
      </w:r>
      <w:r w:rsidR="00702350" w:rsidRPr="00BD7469">
        <w:rPr>
          <w:rFonts w:eastAsia="Times" w:cs="Arial"/>
          <w:szCs w:val="21"/>
        </w:rPr>
        <w:t>Ministerial Directions</w:t>
      </w:r>
      <w:r w:rsidR="00517C77" w:rsidRPr="00BD7469">
        <w:rPr>
          <w:rFonts w:eastAsia="Times" w:cs="Arial"/>
          <w:szCs w:val="21"/>
        </w:rPr>
        <w:t>, as applicable in their relevant healthcare settings</w:t>
      </w:r>
      <w:r w:rsidR="00EB7453" w:rsidRPr="00BD7469">
        <w:rPr>
          <w:rFonts w:eastAsia="Times" w:cs="Arial"/>
          <w:szCs w:val="21"/>
        </w:rPr>
        <w:t xml:space="preserve">. </w:t>
      </w:r>
    </w:p>
    <w:p w14:paraId="2287DD05" w14:textId="3F481727" w:rsidR="006E608F" w:rsidRPr="00BD7469" w:rsidRDefault="006E608F" w:rsidP="002205D2">
      <w:pPr>
        <w:spacing w:before="120" w:line="270" w:lineRule="atLeast"/>
        <w:rPr>
          <w:rFonts w:eastAsia="Times" w:cs="Arial"/>
          <w:szCs w:val="21"/>
        </w:rPr>
      </w:pPr>
      <w:r w:rsidRPr="00BD7469">
        <w:rPr>
          <w:rFonts w:eastAsia="Times" w:cs="Arial"/>
          <w:b/>
          <w:bCs/>
          <w:szCs w:val="21"/>
        </w:rPr>
        <w:t xml:space="preserve">Excepted person: </w:t>
      </w:r>
      <w:r w:rsidRPr="00BD7469">
        <w:rPr>
          <w:rFonts w:eastAsia="Times" w:cs="Arial"/>
          <w:szCs w:val="21"/>
        </w:rPr>
        <w:t xml:space="preserve">a person who </w:t>
      </w:r>
      <w:r w:rsidR="003E5232" w:rsidRPr="00BD7469">
        <w:rPr>
          <w:rFonts w:eastAsia="Times" w:cs="Arial"/>
          <w:szCs w:val="21"/>
        </w:rPr>
        <w:t xml:space="preserve">holds acceptable certification that they are </w:t>
      </w:r>
      <w:r w:rsidR="00B858F4" w:rsidRPr="00BD7469">
        <w:rPr>
          <w:rFonts w:eastAsia="Times" w:cs="Arial"/>
          <w:szCs w:val="21"/>
        </w:rPr>
        <w:t>excepted from COVID-19 vaccination requirements</w:t>
      </w:r>
      <w:r w:rsidR="7EB8D413" w:rsidRPr="00BD7469">
        <w:rPr>
          <w:rFonts w:eastAsia="Times" w:cs="Arial"/>
          <w:szCs w:val="21"/>
        </w:rPr>
        <w:t>.</w:t>
      </w:r>
      <w:r w:rsidR="00B858F4" w:rsidRPr="00BD7469">
        <w:rPr>
          <w:rFonts w:eastAsia="Times" w:cs="Arial"/>
          <w:szCs w:val="21"/>
        </w:rPr>
        <w:t xml:space="preserve"> </w:t>
      </w:r>
    </w:p>
    <w:p w14:paraId="5211880D" w14:textId="0E27B4FB" w:rsidR="002205D2" w:rsidRPr="00BD7469" w:rsidRDefault="002205D2" w:rsidP="002205D2">
      <w:pPr>
        <w:spacing w:before="120" w:line="270" w:lineRule="atLeast"/>
        <w:rPr>
          <w:rFonts w:eastAsia="Times" w:cs="Arial"/>
          <w:szCs w:val="21"/>
        </w:rPr>
      </w:pPr>
      <w:r w:rsidRPr="00BD7469">
        <w:rPr>
          <w:rFonts w:eastAsia="Times" w:cs="Arial"/>
          <w:b/>
          <w:szCs w:val="21"/>
        </w:rPr>
        <w:t xml:space="preserve">Employer: </w:t>
      </w:r>
      <w:r w:rsidRPr="00BD7469">
        <w:rPr>
          <w:rFonts w:eastAsia="Times" w:cs="Arial"/>
          <w:szCs w:val="21"/>
        </w:rPr>
        <w:t xml:space="preserve">A healthcare setting that employs or </w:t>
      </w:r>
      <w:r w:rsidR="008F1BD0" w:rsidRPr="00BD7469">
        <w:rPr>
          <w:rFonts w:eastAsia="Times" w:cs="Arial"/>
          <w:szCs w:val="21"/>
        </w:rPr>
        <w:t>contracts</w:t>
      </w:r>
      <w:r w:rsidRPr="00BD7469">
        <w:rPr>
          <w:rFonts w:eastAsia="Times" w:cs="Arial"/>
          <w:szCs w:val="21"/>
        </w:rPr>
        <w:t xml:space="preserve"> healthcare workers.</w:t>
      </w:r>
    </w:p>
    <w:p w14:paraId="059D4846" w14:textId="2337AC09" w:rsidR="002205D2" w:rsidRPr="00BD7469" w:rsidRDefault="002205D2" w:rsidP="002205D2">
      <w:pPr>
        <w:spacing w:before="120" w:line="270" w:lineRule="atLeast"/>
        <w:rPr>
          <w:rFonts w:eastAsia="Times" w:cs="Arial"/>
          <w:szCs w:val="21"/>
        </w:rPr>
      </w:pPr>
      <w:r w:rsidRPr="00BD7469">
        <w:rPr>
          <w:rFonts w:eastAsia="Times" w:cs="Arial"/>
          <w:b/>
          <w:szCs w:val="21"/>
        </w:rPr>
        <w:lastRenderedPageBreak/>
        <w:t xml:space="preserve">Employee: </w:t>
      </w:r>
      <w:r w:rsidR="00D63F0E" w:rsidRPr="00BD7469">
        <w:rPr>
          <w:rFonts w:eastAsia="Times" w:cs="Arial"/>
          <w:szCs w:val="21"/>
        </w:rPr>
        <w:t>A h</w:t>
      </w:r>
      <w:r w:rsidRPr="00BD7469">
        <w:rPr>
          <w:rFonts w:eastAsia="Times" w:cs="Arial"/>
          <w:szCs w:val="21"/>
        </w:rPr>
        <w:t>ealthcare worker employed by a healthcare setting.</w:t>
      </w:r>
    </w:p>
    <w:p w14:paraId="7DEA47F8" w14:textId="29CFA67E" w:rsidR="002205D2" w:rsidRPr="00BD7469" w:rsidRDefault="002205D2" w:rsidP="002205D2">
      <w:pPr>
        <w:spacing w:before="120" w:line="270" w:lineRule="atLeast"/>
        <w:rPr>
          <w:rFonts w:eastAsia="Times" w:cs="Arial"/>
          <w:szCs w:val="21"/>
        </w:rPr>
      </w:pPr>
      <w:r w:rsidRPr="00BD7469">
        <w:rPr>
          <w:rFonts w:eastAsia="Times" w:cs="Arial"/>
          <w:b/>
          <w:szCs w:val="21"/>
        </w:rPr>
        <w:t xml:space="preserve">Volunteer: </w:t>
      </w:r>
      <w:r w:rsidR="00D63F0E" w:rsidRPr="00BD7469">
        <w:rPr>
          <w:rFonts w:eastAsia="Times" w:cs="Arial"/>
          <w:szCs w:val="21"/>
        </w:rPr>
        <w:t>A h</w:t>
      </w:r>
      <w:r w:rsidRPr="00BD7469">
        <w:rPr>
          <w:rFonts w:eastAsia="Times" w:cs="Arial"/>
          <w:szCs w:val="21"/>
        </w:rPr>
        <w:t>ealthcare worker volunteering in a healthcare setting.</w:t>
      </w:r>
    </w:p>
    <w:p w14:paraId="1FD7EB2F" w14:textId="1D2E6D7F" w:rsidR="002205D2" w:rsidRPr="00BD7469" w:rsidRDefault="002205D2" w:rsidP="002205D2">
      <w:pPr>
        <w:spacing w:before="120" w:line="270" w:lineRule="atLeast"/>
        <w:rPr>
          <w:rFonts w:eastAsia="Times" w:cs="Arial"/>
          <w:szCs w:val="21"/>
        </w:rPr>
      </w:pPr>
      <w:r w:rsidRPr="00BD7469">
        <w:rPr>
          <w:rFonts w:eastAsia="Times" w:cs="Arial"/>
          <w:b/>
          <w:szCs w:val="21"/>
        </w:rPr>
        <w:t xml:space="preserve">Contractor: </w:t>
      </w:r>
      <w:r w:rsidRPr="00BD7469">
        <w:rPr>
          <w:rFonts w:eastAsia="Times" w:cs="Arial"/>
          <w:szCs w:val="21"/>
        </w:rPr>
        <w:t xml:space="preserve">Healthcare workers who are not employed but </w:t>
      </w:r>
      <w:r w:rsidR="001650D9" w:rsidRPr="00BD7469">
        <w:rPr>
          <w:rFonts w:eastAsia="Times" w:cs="Arial"/>
          <w:szCs w:val="21"/>
        </w:rPr>
        <w:t>are</w:t>
      </w:r>
      <w:r w:rsidRPr="00BD7469">
        <w:rPr>
          <w:rFonts w:eastAsia="Times" w:cs="Arial"/>
          <w:szCs w:val="21"/>
        </w:rPr>
        <w:t xml:space="preserve"> be </w:t>
      </w:r>
      <w:r w:rsidR="00475281" w:rsidRPr="00BD7469">
        <w:rPr>
          <w:rFonts w:eastAsia="Times" w:cs="Arial"/>
          <w:szCs w:val="21"/>
        </w:rPr>
        <w:t xml:space="preserve">engaged </w:t>
      </w:r>
      <w:r w:rsidRPr="00BD7469">
        <w:rPr>
          <w:rFonts w:eastAsia="Times" w:cs="Arial"/>
          <w:szCs w:val="21"/>
        </w:rPr>
        <w:t>by a healthcare setting either through an agency or another arrangement.</w:t>
      </w:r>
    </w:p>
    <w:p w14:paraId="396627BE" w14:textId="192B6938" w:rsidR="002205D2" w:rsidRPr="00BD7469" w:rsidRDefault="002205D2" w:rsidP="002205D2">
      <w:pPr>
        <w:spacing w:before="120" w:line="270" w:lineRule="atLeast"/>
        <w:rPr>
          <w:rFonts w:eastAsia="Times" w:cs="Arial"/>
          <w:szCs w:val="21"/>
        </w:rPr>
      </w:pPr>
      <w:r w:rsidRPr="00BD7469">
        <w:rPr>
          <w:rFonts w:eastAsia="Times" w:cs="Arial"/>
          <w:b/>
          <w:szCs w:val="21"/>
        </w:rPr>
        <w:t xml:space="preserve">Current healthcare workers: </w:t>
      </w:r>
      <w:r w:rsidRPr="00BD7469">
        <w:rPr>
          <w:rFonts w:eastAsia="Times" w:cs="Arial"/>
          <w:szCs w:val="21"/>
        </w:rPr>
        <w:t xml:space="preserve">Healthcare workers currently employed or </w:t>
      </w:r>
      <w:r w:rsidR="00A9764B" w:rsidRPr="00BD7469">
        <w:rPr>
          <w:rFonts w:eastAsia="Times" w:cs="Arial"/>
          <w:szCs w:val="21"/>
        </w:rPr>
        <w:t>engaged</w:t>
      </w:r>
      <w:r w:rsidRPr="00BD7469">
        <w:rPr>
          <w:rFonts w:eastAsia="Times" w:cs="Arial"/>
          <w:szCs w:val="21"/>
        </w:rPr>
        <w:t xml:space="preserve"> in a healthcare setting.</w:t>
      </w:r>
    </w:p>
    <w:p w14:paraId="1F0F6A4F" w14:textId="3E18A513" w:rsidR="002205D2" w:rsidRPr="00BD7469" w:rsidRDefault="002205D2" w:rsidP="002205D2">
      <w:pPr>
        <w:spacing w:before="120" w:line="270" w:lineRule="atLeast"/>
        <w:rPr>
          <w:rFonts w:eastAsia="Times" w:cs="Arial"/>
          <w:szCs w:val="21"/>
        </w:rPr>
      </w:pPr>
      <w:r w:rsidRPr="00BD7469">
        <w:rPr>
          <w:rFonts w:eastAsia="Times" w:cs="Arial"/>
          <w:b/>
          <w:szCs w:val="21"/>
        </w:rPr>
        <w:t xml:space="preserve">Prospective healthcare workers: </w:t>
      </w:r>
      <w:r w:rsidRPr="00BD7469">
        <w:rPr>
          <w:rFonts w:eastAsia="Times" w:cs="Arial"/>
          <w:szCs w:val="21"/>
        </w:rPr>
        <w:t xml:space="preserve">Healthcare workers about to be newly employed or </w:t>
      </w:r>
      <w:r w:rsidR="008B2281" w:rsidRPr="00BD7469">
        <w:rPr>
          <w:rFonts w:eastAsia="Times" w:cs="Arial"/>
          <w:szCs w:val="21"/>
        </w:rPr>
        <w:t xml:space="preserve">engaged </w:t>
      </w:r>
      <w:r w:rsidR="002C4B22" w:rsidRPr="00BD7469">
        <w:rPr>
          <w:rFonts w:eastAsia="Times" w:cs="Arial"/>
          <w:szCs w:val="21"/>
        </w:rPr>
        <w:t>by</w:t>
      </w:r>
      <w:r w:rsidRPr="00BD7469">
        <w:rPr>
          <w:rFonts w:eastAsia="Times" w:cs="Arial"/>
          <w:szCs w:val="21"/>
        </w:rPr>
        <w:t xml:space="preserve"> a healthcare setting but not currently employed by that setting.</w:t>
      </w:r>
    </w:p>
    <w:p w14:paraId="2D6E1AB6" w14:textId="2C9731FE" w:rsidR="002205D2" w:rsidRPr="00BD7469" w:rsidRDefault="002205D2" w:rsidP="002205D2">
      <w:pPr>
        <w:widowControl w:val="0"/>
        <w:kinsoku w:val="0"/>
        <w:overflowPunct w:val="0"/>
        <w:autoSpaceDE w:val="0"/>
        <w:autoSpaceDN w:val="0"/>
        <w:adjustRightInd w:val="0"/>
        <w:spacing w:before="122" w:after="0" w:line="276" w:lineRule="auto"/>
        <w:ind w:right="239"/>
        <w:rPr>
          <w:rFonts w:cs="Arial"/>
          <w:szCs w:val="21"/>
          <w:lang w:eastAsia="zh-CN"/>
        </w:rPr>
      </w:pPr>
      <w:bookmarkStart w:id="22" w:name="_Hlk43797420"/>
      <w:r w:rsidRPr="00BD7469">
        <w:rPr>
          <w:rFonts w:cs="Arial"/>
          <w:b/>
          <w:szCs w:val="21"/>
          <w:lang w:eastAsia="zh-CN"/>
        </w:rPr>
        <w:t xml:space="preserve">Education </w:t>
      </w:r>
      <w:r w:rsidR="0084088B" w:rsidRPr="00BD7469">
        <w:rPr>
          <w:rFonts w:cs="Arial"/>
          <w:b/>
          <w:szCs w:val="21"/>
          <w:lang w:eastAsia="zh-CN"/>
        </w:rPr>
        <w:t>p</w:t>
      </w:r>
      <w:r w:rsidRPr="00BD7469">
        <w:rPr>
          <w:rFonts w:cs="Arial"/>
          <w:b/>
          <w:szCs w:val="21"/>
          <w:lang w:eastAsia="zh-CN"/>
        </w:rPr>
        <w:t xml:space="preserve">rovider: </w:t>
      </w:r>
      <w:r w:rsidRPr="00BD7469">
        <w:rPr>
          <w:rFonts w:cs="Arial"/>
          <w:szCs w:val="21"/>
          <w:lang w:eastAsia="zh-CN"/>
        </w:rPr>
        <w:t>Any institution delivering education that involves students to undertake placements in a healthcare setting. This includes</w:t>
      </w:r>
      <w:r w:rsidR="009F2BE7" w:rsidRPr="00BD7469">
        <w:rPr>
          <w:rFonts w:cs="Arial"/>
          <w:szCs w:val="21"/>
          <w:lang w:eastAsia="zh-CN"/>
        </w:rPr>
        <w:t>, but is not limited to,</w:t>
      </w:r>
      <w:r w:rsidRPr="00BD7469">
        <w:rPr>
          <w:rFonts w:cs="Arial"/>
          <w:szCs w:val="21"/>
          <w:lang w:eastAsia="zh-CN"/>
        </w:rPr>
        <w:t xml:space="preserve"> universities and Vocational Education and Training (VET)</w:t>
      </w:r>
      <w:r w:rsidRPr="00BD7469">
        <w:rPr>
          <w:rFonts w:cs="Arial"/>
          <w:spacing w:val="-2"/>
          <w:szCs w:val="21"/>
          <w:lang w:eastAsia="zh-CN"/>
        </w:rPr>
        <w:t xml:space="preserve"> </w:t>
      </w:r>
      <w:r w:rsidRPr="00BD7469">
        <w:rPr>
          <w:rFonts w:cs="Arial"/>
          <w:szCs w:val="21"/>
          <w:lang w:eastAsia="zh-CN"/>
        </w:rPr>
        <w:t>providers.</w:t>
      </w:r>
    </w:p>
    <w:p w14:paraId="740392ED" w14:textId="48684A5C" w:rsidR="002205D2" w:rsidRPr="00BD7469" w:rsidRDefault="002205D2" w:rsidP="6EB43F11">
      <w:pPr>
        <w:widowControl w:val="0"/>
        <w:kinsoku w:val="0"/>
        <w:overflowPunct w:val="0"/>
        <w:autoSpaceDE w:val="0"/>
        <w:autoSpaceDN w:val="0"/>
        <w:adjustRightInd w:val="0"/>
        <w:spacing w:before="122" w:line="276" w:lineRule="auto"/>
        <w:ind w:right="299"/>
        <w:rPr>
          <w:rFonts w:cs="Arial"/>
          <w:szCs w:val="21"/>
          <w:lang w:eastAsia="zh-CN"/>
        </w:rPr>
      </w:pPr>
      <w:r w:rsidRPr="00BD7469">
        <w:rPr>
          <w:rFonts w:cs="Arial"/>
          <w:b/>
          <w:szCs w:val="21"/>
          <w:lang w:eastAsia="zh-CN"/>
        </w:rPr>
        <w:t xml:space="preserve">Student: </w:t>
      </w:r>
      <w:r w:rsidRPr="00BD7469">
        <w:rPr>
          <w:rFonts w:cs="Arial"/>
          <w:szCs w:val="21"/>
          <w:lang w:eastAsia="zh-CN"/>
        </w:rPr>
        <w:t xml:space="preserve">A </w:t>
      </w:r>
      <w:r w:rsidR="00D63F0E" w:rsidRPr="00BD7469">
        <w:rPr>
          <w:rFonts w:cs="Arial"/>
          <w:szCs w:val="21"/>
          <w:lang w:eastAsia="zh-CN"/>
        </w:rPr>
        <w:t>person</w:t>
      </w:r>
      <w:r w:rsidRPr="00BD7469">
        <w:rPr>
          <w:rFonts w:cs="Arial"/>
          <w:szCs w:val="21"/>
          <w:lang w:eastAsia="zh-CN"/>
        </w:rPr>
        <w:t xml:space="preserve"> enrolled in a course offered by an education provider that </w:t>
      </w:r>
      <w:r w:rsidR="00D63F0E" w:rsidRPr="00BD7469">
        <w:rPr>
          <w:rFonts w:cs="Arial"/>
          <w:szCs w:val="21"/>
          <w:lang w:eastAsia="zh-CN"/>
        </w:rPr>
        <w:t xml:space="preserve">is </w:t>
      </w:r>
      <w:r w:rsidRPr="00BD7469">
        <w:rPr>
          <w:rFonts w:cs="Arial"/>
          <w:szCs w:val="21"/>
          <w:lang w:eastAsia="zh-CN"/>
        </w:rPr>
        <w:t>require</w:t>
      </w:r>
      <w:r w:rsidR="00D63F0E" w:rsidRPr="00BD7469">
        <w:rPr>
          <w:rFonts w:cs="Arial"/>
          <w:szCs w:val="21"/>
          <w:lang w:eastAsia="zh-CN"/>
        </w:rPr>
        <w:t>d</w:t>
      </w:r>
      <w:r w:rsidRPr="00BD7469">
        <w:rPr>
          <w:rFonts w:cs="Arial"/>
          <w:szCs w:val="21"/>
          <w:lang w:eastAsia="zh-CN"/>
        </w:rPr>
        <w:t xml:space="preserve"> to undertake placements in a healthcare setting.</w:t>
      </w:r>
    </w:p>
    <w:p w14:paraId="2D72C303" w14:textId="1A788F25" w:rsidR="002205D2" w:rsidRPr="00BD7469" w:rsidRDefault="002205D2" w:rsidP="00BF3EAE">
      <w:pPr>
        <w:spacing w:line="270" w:lineRule="atLeast"/>
        <w:rPr>
          <w:rFonts w:eastAsia="Times" w:cs="Arial"/>
          <w:szCs w:val="21"/>
        </w:rPr>
      </w:pPr>
      <w:r w:rsidRPr="00BD7469">
        <w:rPr>
          <w:rFonts w:eastAsia="Times" w:cs="Arial"/>
          <w:b/>
          <w:szCs w:val="21"/>
        </w:rPr>
        <w:t>Medical practitioner</w:t>
      </w:r>
      <w:r w:rsidRPr="00BD7469">
        <w:rPr>
          <w:rFonts w:eastAsia="Times" w:cs="Arial"/>
          <w:szCs w:val="21"/>
        </w:rPr>
        <w:t xml:space="preserve">: </w:t>
      </w:r>
      <w:r w:rsidR="007B1E8A" w:rsidRPr="00BD7469">
        <w:rPr>
          <w:rFonts w:eastAsia="Times" w:cs="Arial"/>
          <w:szCs w:val="21"/>
        </w:rPr>
        <w:t>means a person registered under the Health Practitioner Regulation National Law to practise in the medical profession (other than as a student).</w:t>
      </w:r>
    </w:p>
    <w:p w14:paraId="688EE276" w14:textId="24ED8383" w:rsidR="005A7218" w:rsidRDefault="00C37D0C" w:rsidP="001C224D">
      <w:pPr>
        <w:rPr>
          <w:rFonts w:eastAsia="MS Gothic" w:cs="Arial"/>
          <w:bCs/>
          <w:color w:val="201547"/>
          <w:kern w:val="32"/>
          <w:sz w:val="44"/>
          <w:szCs w:val="44"/>
        </w:rPr>
      </w:pPr>
      <w:r w:rsidRPr="00BD7469">
        <w:rPr>
          <w:rFonts w:eastAsia="Times" w:cs="Arial"/>
          <w:b/>
          <w:bCs/>
          <w:szCs w:val="21"/>
        </w:rPr>
        <w:t>Medical c</w:t>
      </w:r>
      <w:r w:rsidR="00FD2D6B" w:rsidRPr="00BD7469">
        <w:rPr>
          <w:rFonts w:eastAsia="Times" w:cs="Arial"/>
          <w:b/>
          <w:bCs/>
          <w:szCs w:val="21"/>
        </w:rPr>
        <w:t>ontraindication</w:t>
      </w:r>
      <w:r w:rsidR="00FD2D6B" w:rsidRPr="00BD7469">
        <w:rPr>
          <w:rFonts w:eastAsia="Times" w:cs="Arial"/>
          <w:szCs w:val="21"/>
        </w:rPr>
        <w:t xml:space="preserve"> </w:t>
      </w:r>
      <w:r w:rsidR="00D63BB5" w:rsidRPr="00BD7469">
        <w:rPr>
          <w:rFonts w:eastAsia="Times" w:cs="Arial"/>
          <w:b/>
          <w:bCs/>
          <w:szCs w:val="21"/>
        </w:rPr>
        <w:t>to influenza vaccination</w:t>
      </w:r>
      <w:r w:rsidR="00D63BB5" w:rsidRPr="00BD7469">
        <w:rPr>
          <w:rFonts w:eastAsia="Times" w:cs="Arial"/>
          <w:szCs w:val="21"/>
        </w:rPr>
        <w:t xml:space="preserve"> means </w:t>
      </w:r>
      <w:r w:rsidR="001B01EA" w:rsidRPr="00BD7469">
        <w:rPr>
          <w:rFonts w:eastAsia="Times" w:cs="Arial"/>
          <w:szCs w:val="21"/>
        </w:rPr>
        <w:t xml:space="preserve">a contraindication to an influenza vaccine </w:t>
      </w:r>
      <w:r w:rsidR="00BF0279" w:rsidRPr="00BD7469">
        <w:rPr>
          <w:rFonts w:eastAsia="Times" w:cs="Arial"/>
          <w:szCs w:val="21"/>
        </w:rPr>
        <w:t xml:space="preserve">as defined by the </w:t>
      </w:r>
      <w:r w:rsidR="00EB3B5E" w:rsidRPr="00BD7469">
        <w:rPr>
          <w:rFonts w:eastAsia="Times" w:cs="Arial"/>
          <w:szCs w:val="21"/>
        </w:rPr>
        <w:t>Australian</w:t>
      </w:r>
      <w:r w:rsidR="00BF0279" w:rsidRPr="00BD7469">
        <w:rPr>
          <w:rFonts w:eastAsia="Times" w:cs="Arial"/>
          <w:szCs w:val="21"/>
        </w:rPr>
        <w:t xml:space="preserve"> Immunisation Handbook </w:t>
      </w:r>
      <w:r w:rsidR="00061614">
        <w:rPr>
          <w:rFonts w:eastAsia="Times" w:cs="Arial"/>
          <w:szCs w:val="21"/>
        </w:rPr>
        <w:t>&lt;</w:t>
      </w:r>
      <w:hyperlink r:id="rId27" w:history="1">
        <w:r w:rsidR="009056B2" w:rsidRPr="00025D10">
          <w:rPr>
            <w:rStyle w:val="Hyperlink"/>
            <w:rFonts w:cs="Arial"/>
            <w:szCs w:val="21"/>
          </w:rPr>
          <w:t>https://immunisationhandbook.health.gov.au/contents/vaccine-preventable-diseases/influenza-flu</w:t>
        </w:r>
      </w:hyperlink>
      <w:r w:rsidR="00061614">
        <w:rPr>
          <w:rStyle w:val="Hyperlink"/>
          <w:rFonts w:cs="Arial"/>
          <w:szCs w:val="21"/>
        </w:rPr>
        <w:t>&gt;</w:t>
      </w:r>
      <w:r w:rsidR="0029020F" w:rsidRPr="00BD7469">
        <w:rPr>
          <w:rFonts w:cs="Arial"/>
          <w:szCs w:val="21"/>
        </w:rPr>
        <w:t xml:space="preserve"> </w:t>
      </w:r>
    </w:p>
    <w:p w14:paraId="027201C6" w14:textId="5B04F744" w:rsidR="00234716" w:rsidRPr="00F719D5" w:rsidRDefault="00234716" w:rsidP="00FE07DE">
      <w:pPr>
        <w:pStyle w:val="Heading1"/>
        <w:numPr>
          <w:ilvl w:val="0"/>
          <w:numId w:val="12"/>
        </w:numPr>
        <w:spacing w:after="0"/>
      </w:pPr>
      <w:bookmarkStart w:id="23" w:name="_Toc176360354"/>
      <w:r>
        <w:t>Scope</w:t>
      </w:r>
      <w:bookmarkEnd w:id="23"/>
    </w:p>
    <w:p w14:paraId="40945BA0" w14:textId="02AF7070" w:rsidR="002205D2" w:rsidRPr="00FD08C3" w:rsidRDefault="002205D2" w:rsidP="00FE07DE">
      <w:pPr>
        <w:pStyle w:val="Heading4"/>
        <w:numPr>
          <w:ilvl w:val="1"/>
          <w:numId w:val="15"/>
        </w:numPr>
      </w:pPr>
      <w:bookmarkStart w:id="24" w:name="_Toc171321492"/>
      <w:bookmarkStart w:id="25" w:name="_Toc171321493"/>
      <w:bookmarkEnd w:id="24"/>
      <w:r w:rsidRPr="00FD08C3">
        <w:t>Settings</w:t>
      </w:r>
      <w:bookmarkEnd w:id="25"/>
    </w:p>
    <w:p w14:paraId="168BDD59" w14:textId="64F5C7D4" w:rsidR="002205D2" w:rsidRPr="00F56540" w:rsidRDefault="00D675C3" w:rsidP="00261E0D">
      <w:pPr>
        <w:pStyle w:val="Body"/>
      </w:pPr>
      <w:r>
        <w:t>The</w:t>
      </w:r>
      <w:r w:rsidR="00E27D35">
        <w:t xml:space="preserve"> Directions</w:t>
      </w:r>
      <w:r w:rsidR="006671DA" w:rsidRPr="00F56540">
        <w:t xml:space="preserve"> </w:t>
      </w:r>
      <w:r w:rsidR="002205D2" w:rsidRPr="00F56540">
        <w:t>appl</w:t>
      </w:r>
      <w:r w:rsidR="006671DA" w:rsidRPr="00F56540">
        <w:t>y</w:t>
      </w:r>
      <w:r w:rsidR="002205D2" w:rsidRPr="00F56540">
        <w:t xml:space="preserve"> to healthcare workers </w:t>
      </w:r>
      <w:r w:rsidR="00165650">
        <w:t xml:space="preserve">employed or engaged </w:t>
      </w:r>
      <w:r w:rsidR="00812324">
        <w:t>by</w:t>
      </w:r>
      <w:r w:rsidR="00165650">
        <w:t xml:space="preserve"> the following services</w:t>
      </w:r>
      <w:r w:rsidR="002205D2" w:rsidRPr="00F56540">
        <w:t>:</w:t>
      </w:r>
    </w:p>
    <w:p w14:paraId="0EB7591B" w14:textId="0628437F" w:rsidR="002205D2" w:rsidRPr="00261E0D" w:rsidRDefault="002205D2" w:rsidP="00261E0D">
      <w:pPr>
        <w:pStyle w:val="Bullet1"/>
      </w:pPr>
      <w:r w:rsidRPr="00261E0D">
        <w:t>public health services</w:t>
      </w:r>
    </w:p>
    <w:p w14:paraId="2AE21602" w14:textId="77777777" w:rsidR="002205D2" w:rsidRPr="00261E0D" w:rsidRDefault="002205D2" w:rsidP="00261E0D">
      <w:pPr>
        <w:pStyle w:val="Bullet1"/>
      </w:pPr>
      <w:r w:rsidRPr="00261E0D">
        <w:t>public hospitals</w:t>
      </w:r>
    </w:p>
    <w:p w14:paraId="3E732338" w14:textId="77777777" w:rsidR="002205D2" w:rsidRPr="00261E0D" w:rsidRDefault="002205D2" w:rsidP="00261E0D">
      <w:pPr>
        <w:pStyle w:val="Bullet1"/>
      </w:pPr>
      <w:r w:rsidRPr="00261E0D">
        <w:t>denominational hospitals</w:t>
      </w:r>
    </w:p>
    <w:p w14:paraId="621AE2AC" w14:textId="77777777" w:rsidR="002205D2" w:rsidRPr="00261E0D" w:rsidRDefault="002205D2" w:rsidP="00261E0D">
      <w:pPr>
        <w:pStyle w:val="Bullet1"/>
      </w:pPr>
      <w:r w:rsidRPr="00261E0D">
        <w:t>private hospitals and day procedure centres</w:t>
      </w:r>
    </w:p>
    <w:p w14:paraId="02D0E278" w14:textId="228CC780" w:rsidR="007A7248" w:rsidRPr="00261E0D" w:rsidRDefault="002205D2" w:rsidP="00261E0D">
      <w:pPr>
        <w:pStyle w:val="Bullet1"/>
      </w:pPr>
      <w:r w:rsidRPr="00261E0D">
        <w:t xml:space="preserve">ambulance services </w:t>
      </w:r>
    </w:p>
    <w:p w14:paraId="3C76DDB1" w14:textId="5281B26D" w:rsidR="002205D2" w:rsidRPr="00261E0D" w:rsidRDefault="00E8453A" w:rsidP="00261E0D">
      <w:pPr>
        <w:pStyle w:val="Bullet1"/>
      </w:pPr>
      <w:r w:rsidRPr="00261E0D">
        <w:t>patient transport services that are engaged by a health service or Ambulance Victoria</w:t>
      </w:r>
    </w:p>
    <w:p w14:paraId="20A0FCED" w14:textId="516B1CEC" w:rsidR="006171BD" w:rsidRPr="00261E0D" w:rsidRDefault="002205D2" w:rsidP="00261E0D">
      <w:pPr>
        <w:pStyle w:val="Bullet1"/>
      </w:pPr>
      <w:r w:rsidRPr="00261E0D">
        <w:t xml:space="preserve">residential aged care services operated by </w:t>
      </w:r>
      <w:r w:rsidR="00460D60" w:rsidRPr="00261E0D">
        <w:t>a public hospital, public health service or denominational hospital</w:t>
      </w:r>
    </w:p>
    <w:p w14:paraId="6B5C5B6F" w14:textId="721CE2B3" w:rsidR="002205D2" w:rsidRPr="00261E0D" w:rsidRDefault="006171BD" w:rsidP="00261E0D">
      <w:pPr>
        <w:pStyle w:val="Bullet1"/>
      </w:pPr>
      <w:proofErr w:type="spellStart"/>
      <w:r w:rsidRPr="00261E0D">
        <w:t>Forensicare</w:t>
      </w:r>
      <w:proofErr w:type="spellEnd"/>
      <w:r w:rsidRPr="00261E0D">
        <w:t xml:space="preserve"> (via Ministerial Directions)</w:t>
      </w:r>
    </w:p>
    <w:p w14:paraId="512C96ED" w14:textId="183A1FCD" w:rsidR="002205D2" w:rsidRPr="00A80676" w:rsidRDefault="002205D2" w:rsidP="00261E0D">
      <w:pPr>
        <w:pStyle w:val="Body"/>
        <w:rPr>
          <w:iCs/>
        </w:rPr>
      </w:pPr>
      <w:r w:rsidRPr="00F56540">
        <w:t xml:space="preserve">Other healthcare settings, </w:t>
      </w:r>
      <w:r w:rsidR="00214268" w:rsidRPr="00F56540">
        <w:t xml:space="preserve">that </w:t>
      </w:r>
      <w:r w:rsidR="00214268">
        <w:t>are not</w:t>
      </w:r>
      <w:r w:rsidR="00214268" w:rsidRPr="00F56540">
        <w:t xml:space="preserve"> directly subject to </w:t>
      </w:r>
      <w:r w:rsidR="00214268">
        <w:t>the D</w:t>
      </w:r>
      <w:r w:rsidR="00214268" w:rsidRPr="00F56540">
        <w:t xml:space="preserve">irections, </w:t>
      </w:r>
      <w:r w:rsidRPr="00F56540">
        <w:t xml:space="preserve">may be required to be compliant with this policy as part of their funding agreement (such as, but not limited to, </w:t>
      </w:r>
      <w:r w:rsidRPr="00F56540">
        <w:rPr>
          <w:i/>
        </w:rPr>
        <w:t>Service Agreements, bi- or tri-partite agreements or other contractual arrangements).</w:t>
      </w:r>
      <w:r w:rsidR="00A80676">
        <w:rPr>
          <w:i/>
        </w:rPr>
        <w:t xml:space="preserve"> </w:t>
      </w:r>
    </w:p>
    <w:p w14:paraId="3C10C3AF" w14:textId="069C1ED7" w:rsidR="002205D2" w:rsidRPr="00FD08C3" w:rsidRDefault="00B831ED" w:rsidP="00B831ED">
      <w:pPr>
        <w:pStyle w:val="Heading4"/>
        <w:numPr>
          <w:ilvl w:val="0"/>
          <w:numId w:val="0"/>
        </w:numPr>
      </w:pPr>
      <w:bookmarkStart w:id="26" w:name="_Toc171321494"/>
      <w:r>
        <w:t xml:space="preserve">3.2 </w:t>
      </w:r>
      <w:r w:rsidR="002205D2" w:rsidRPr="00FD08C3">
        <w:t>Healthcare workers</w:t>
      </w:r>
      <w:bookmarkEnd w:id="26"/>
    </w:p>
    <w:p w14:paraId="134283C8" w14:textId="77777777" w:rsidR="00214268" w:rsidRDefault="00214268" w:rsidP="00214268">
      <w:pPr>
        <w:spacing w:after="160" w:line="259" w:lineRule="auto"/>
      </w:pPr>
      <w:r>
        <w:rPr>
          <w:lang w:val="en-US"/>
        </w:rPr>
        <w:t>Under the</w:t>
      </w:r>
      <w:r w:rsidRPr="00A51387">
        <w:rPr>
          <w:lang w:val="en-US"/>
        </w:rPr>
        <w:t xml:space="preserve"> Directions a health care worker</w:t>
      </w:r>
      <w:r>
        <w:rPr>
          <w:lang w:val="en-US"/>
        </w:rPr>
        <w:t xml:space="preserve"> is defined</w:t>
      </w:r>
      <w:r w:rsidRPr="00A51387">
        <w:rPr>
          <w:b/>
          <w:bCs/>
          <w:lang w:val="en-US"/>
        </w:rPr>
        <w:t xml:space="preserve"> </w:t>
      </w:r>
      <w:r>
        <w:rPr>
          <w:lang w:val="en-US"/>
        </w:rPr>
        <w:t xml:space="preserve">as someone who is employed or otherwise engaged by one of the above mentioned services and whose </w:t>
      </w:r>
      <w:r w:rsidRPr="00A51387">
        <w:rPr>
          <w:lang w:val="en-US"/>
        </w:rPr>
        <w:t xml:space="preserve">role requires them to have direct in-person contact with patients, clients, </w:t>
      </w:r>
      <w:r w:rsidRPr="00A51387">
        <w:t xml:space="preserve">deceased persons or body parts, blood, body substances, infectious material or surfaces or equipment that might contain any of the aforementioned, </w:t>
      </w:r>
      <w:r w:rsidRPr="00A51387">
        <w:rPr>
          <w:lang w:val="en-US"/>
        </w:rPr>
        <w:t>or who is required to work in a clinical area where they may be exposed to infections spread by droplets, such as influenza</w:t>
      </w:r>
      <w:r w:rsidRPr="00A51387">
        <w:t xml:space="preserve">. </w:t>
      </w:r>
    </w:p>
    <w:p w14:paraId="4A6E96A8" w14:textId="77777777" w:rsidR="00EC02CD" w:rsidRDefault="00EC02CD" w:rsidP="00214268">
      <w:pPr>
        <w:spacing w:after="160" w:line="259" w:lineRule="auto"/>
      </w:pPr>
    </w:p>
    <w:p w14:paraId="41A1C210" w14:textId="77777777" w:rsidR="00853779" w:rsidRPr="00F56540" w:rsidRDefault="00853779" w:rsidP="00853779">
      <w:pPr>
        <w:spacing w:after="0" w:line="240" w:lineRule="auto"/>
      </w:pPr>
      <w:r w:rsidRPr="00F56540">
        <w:lastRenderedPageBreak/>
        <w:t xml:space="preserve">Vaccination requirements specified in </w:t>
      </w:r>
      <w:r>
        <w:t>the D</w:t>
      </w:r>
      <w:r w:rsidRPr="00F56540">
        <w:t>irections apply to:</w:t>
      </w:r>
    </w:p>
    <w:p w14:paraId="759EA56B" w14:textId="77777777" w:rsidR="00853779" w:rsidRPr="00261E0D" w:rsidRDefault="00853779" w:rsidP="00853779">
      <w:pPr>
        <w:pStyle w:val="Bullet1"/>
      </w:pPr>
      <w:r w:rsidRPr="00261E0D">
        <w:t>current employees</w:t>
      </w:r>
    </w:p>
    <w:p w14:paraId="623CF042" w14:textId="77777777" w:rsidR="00853779" w:rsidRPr="00261E0D" w:rsidRDefault="00853779" w:rsidP="00853779">
      <w:pPr>
        <w:pStyle w:val="Bullet1"/>
      </w:pPr>
      <w:r w:rsidRPr="00261E0D">
        <w:t>prospective employees</w:t>
      </w:r>
    </w:p>
    <w:p w14:paraId="56D9ED84" w14:textId="77777777" w:rsidR="00853779" w:rsidRPr="00261E0D" w:rsidRDefault="00853779" w:rsidP="00853779">
      <w:pPr>
        <w:pStyle w:val="Bullet1"/>
      </w:pPr>
      <w:r w:rsidRPr="00261E0D">
        <w:t>contractors (including locums, agency workers, and some non-clinical workers); and</w:t>
      </w:r>
    </w:p>
    <w:p w14:paraId="0179BD1E" w14:textId="77777777" w:rsidR="00853779" w:rsidRPr="00261E0D" w:rsidRDefault="00853779" w:rsidP="00853779">
      <w:pPr>
        <w:pStyle w:val="Bullet1"/>
      </w:pPr>
      <w:r w:rsidRPr="00261E0D">
        <w:t>visiting medical officers (VMOs)*</w:t>
      </w:r>
    </w:p>
    <w:p w14:paraId="3658EB69" w14:textId="77777777" w:rsidR="00853779" w:rsidRDefault="00853779" w:rsidP="00853779">
      <w:pPr>
        <w:pStyle w:val="Body"/>
      </w:pPr>
      <w:r w:rsidRPr="4F585365">
        <w:t xml:space="preserve">*VMOs who lease premises from a healthcare </w:t>
      </w:r>
      <w:proofErr w:type="gramStart"/>
      <w:r w:rsidRPr="4F585365">
        <w:t>setting, but</w:t>
      </w:r>
      <w:proofErr w:type="gramEnd"/>
      <w:r w:rsidRPr="4F585365">
        <w:t xml:space="preserve"> are not employed or </w:t>
      </w:r>
      <w:r>
        <w:t xml:space="preserve">engaged </w:t>
      </w:r>
      <w:r w:rsidRPr="4F585365">
        <w:t xml:space="preserve">by that setting are not directly subject to </w:t>
      </w:r>
      <w:r>
        <w:t>D</w:t>
      </w:r>
      <w:r w:rsidRPr="4F585365">
        <w:t xml:space="preserve">irections. </w:t>
      </w:r>
      <w:r>
        <w:t>H</w:t>
      </w:r>
      <w:r w:rsidRPr="4F585365">
        <w:t>ealthcare setting</w:t>
      </w:r>
      <w:r>
        <w:t>s</w:t>
      </w:r>
      <w:r w:rsidRPr="4F585365">
        <w:t xml:space="preserve"> may reasonably require certain vaccinations for VMOs in this circumstance</w:t>
      </w:r>
      <w:r>
        <w:t>,</w:t>
      </w:r>
      <w:r w:rsidRPr="4F585365">
        <w:t xml:space="preserve"> at their discretion. </w:t>
      </w:r>
    </w:p>
    <w:p w14:paraId="2E23E68A" w14:textId="2699360C" w:rsidR="006F2D26" w:rsidRPr="00FB0D72" w:rsidRDefault="0088036F" w:rsidP="006F2D26">
      <w:pPr>
        <w:pStyle w:val="Body"/>
      </w:pPr>
      <w:r>
        <w:t xml:space="preserve">Employers may choose to triage their </w:t>
      </w:r>
      <w:r w:rsidR="001A7EAF">
        <w:t xml:space="preserve">healthcare workers </w:t>
      </w:r>
      <w:r w:rsidR="006F2D26" w:rsidRPr="001C224D">
        <w:t>as risk Category A, B and C</w:t>
      </w:r>
      <w:r w:rsidR="00CD759E">
        <w:t xml:space="preserve"> (See </w:t>
      </w:r>
      <w:r w:rsidR="00CD759E">
        <w:rPr>
          <w:b/>
          <w:bCs/>
        </w:rPr>
        <w:t>Table 1)</w:t>
      </w:r>
      <w:r w:rsidR="006F2D26" w:rsidRPr="00FB0D72">
        <w:t>.</w:t>
      </w:r>
    </w:p>
    <w:p w14:paraId="4C9E1DA9" w14:textId="6DE4ABFF" w:rsidR="00FB0D72" w:rsidRDefault="00FB0D72" w:rsidP="006F2D26">
      <w:pPr>
        <w:pStyle w:val="Body"/>
        <w:rPr>
          <w:rFonts w:eastAsia="Times New Roman" w:cs="Arial"/>
          <w:szCs w:val="21"/>
          <w:lang w:eastAsia="en-AU"/>
        </w:rPr>
      </w:pPr>
      <w:r w:rsidRPr="001C224D">
        <w:rPr>
          <w:rFonts w:eastAsia="Times New Roman" w:cs="Arial"/>
          <w:szCs w:val="21"/>
          <w:lang w:eastAsia="en-AU"/>
        </w:rPr>
        <w:t>Category A and B healthcare workers in the settings</w:t>
      </w:r>
      <w:r w:rsidR="00C32D99">
        <w:rPr>
          <w:rFonts w:eastAsia="Times New Roman" w:cs="Arial"/>
          <w:szCs w:val="21"/>
          <w:lang w:eastAsia="en-AU"/>
        </w:rPr>
        <w:t xml:space="preserve"> </w:t>
      </w:r>
      <w:r w:rsidR="00F6188F">
        <w:rPr>
          <w:rFonts w:eastAsia="Times New Roman" w:cs="Arial"/>
          <w:szCs w:val="21"/>
          <w:lang w:eastAsia="en-AU"/>
        </w:rPr>
        <w:t>listed above</w:t>
      </w:r>
      <w:r w:rsidRPr="001C224D">
        <w:rPr>
          <w:rFonts w:eastAsia="Times New Roman" w:cs="Arial"/>
          <w:szCs w:val="21"/>
          <w:lang w:eastAsia="en-AU"/>
        </w:rPr>
        <w:t xml:space="preserve"> </w:t>
      </w:r>
      <w:r w:rsidR="00C7610E">
        <w:rPr>
          <w:rFonts w:eastAsia="Times New Roman" w:cs="Arial"/>
          <w:szCs w:val="21"/>
          <w:lang w:eastAsia="en-AU"/>
        </w:rPr>
        <w:t>are subject to the Secretary Directions and are therefore</w:t>
      </w:r>
      <w:r w:rsidR="00A22E05">
        <w:rPr>
          <w:rFonts w:eastAsia="Times New Roman" w:cs="Arial"/>
          <w:szCs w:val="21"/>
          <w:lang w:eastAsia="en-AU"/>
        </w:rPr>
        <w:t xml:space="preserve"> </w:t>
      </w:r>
      <w:r w:rsidRPr="001C224D">
        <w:rPr>
          <w:rFonts w:eastAsia="Times New Roman" w:cs="Arial"/>
          <w:szCs w:val="21"/>
          <w:lang w:eastAsia="en-AU"/>
        </w:rPr>
        <w:t>required to be vaccinated for seasonal influenza annually by 15 August. Category C workers are strongly recommended to be vaccinated.</w:t>
      </w:r>
    </w:p>
    <w:p w14:paraId="29EC8B94" w14:textId="1FD594A7" w:rsidR="001C24EA" w:rsidRDefault="001C24EA" w:rsidP="001C24EA">
      <w:pPr>
        <w:pStyle w:val="Body"/>
      </w:pPr>
      <w:r>
        <w:t>C</w:t>
      </w:r>
      <w:r w:rsidRPr="00F56540">
        <w:t>ategorisation is based on the work activities, rather than job title, for each person to ensure that they</w:t>
      </w:r>
      <w:r>
        <w:t>, and the patients they care for,</w:t>
      </w:r>
      <w:r w:rsidRPr="00F56540">
        <w:t xml:space="preserve"> are appropriately protected. Where a healthcare worker changes job positions or commences new duties, their risk category </w:t>
      </w:r>
      <w:r>
        <w:t xml:space="preserve">should </w:t>
      </w:r>
      <w:r w:rsidRPr="00F56540">
        <w:t xml:space="preserve">be reassessed. </w:t>
      </w:r>
    </w:p>
    <w:p w14:paraId="6A7B362B" w14:textId="1DAD4C9C" w:rsidR="00CD759E" w:rsidRPr="001C224D" w:rsidRDefault="001C24EA" w:rsidP="006F2D26">
      <w:pPr>
        <w:pStyle w:val="Body"/>
        <w:rPr>
          <w:rFonts w:eastAsia="Times New Roman" w:cs="Arial"/>
          <w:b/>
          <w:bCs/>
          <w:szCs w:val="21"/>
          <w:lang w:eastAsia="en-AU"/>
        </w:rPr>
      </w:pPr>
      <w:r w:rsidRPr="00BF3EAE">
        <w:t xml:space="preserve">Risk categorisation can </w:t>
      </w:r>
      <w:r w:rsidRPr="00AC44A9">
        <w:t>be considered at a facility, ward</w:t>
      </w:r>
      <w:r>
        <w:t xml:space="preserve">, </w:t>
      </w:r>
      <w:r w:rsidRPr="00AC44A9">
        <w:t>department or individual level.</w:t>
      </w:r>
    </w:p>
    <w:p w14:paraId="6F481565" w14:textId="095C3651" w:rsidR="009352C9" w:rsidRPr="009352C9" w:rsidRDefault="00E307DA" w:rsidP="006F2D26">
      <w:pPr>
        <w:pStyle w:val="Body"/>
        <w:rPr>
          <w:szCs w:val="21"/>
        </w:rPr>
      </w:pPr>
      <w:r w:rsidRPr="001C224D">
        <w:rPr>
          <w:rFonts w:cs="Arial"/>
          <w:b/>
          <w:bCs/>
          <w:szCs w:val="21"/>
          <w:lang w:eastAsia="en-AU"/>
        </w:rPr>
        <w:t>Table 1: Risk categorisation and vaccination requirements</w:t>
      </w:r>
    </w:p>
    <w:tbl>
      <w:tblPr>
        <w:tblStyle w:val="TableGrid"/>
        <w:tblW w:w="10060" w:type="dxa"/>
        <w:tblLook w:val="04A0" w:firstRow="1" w:lastRow="0" w:firstColumn="1" w:lastColumn="0" w:noHBand="0" w:noVBand="1"/>
      </w:tblPr>
      <w:tblGrid>
        <w:gridCol w:w="1129"/>
        <w:gridCol w:w="2268"/>
        <w:gridCol w:w="3686"/>
        <w:gridCol w:w="1276"/>
        <w:gridCol w:w="1701"/>
      </w:tblGrid>
      <w:tr w:rsidR="00627EEB" w14:paraId="46AD3614" w14:textId="77777777" w:rsidTr="00627EEB">
        <w:tc>
          <w:tcPr>
            <w:tcW w:w="1129" w:type="dxa"/>
            <w:shd w:val="clear" w:color="auto" w:fill="DBE5F1" w:themeFill="accent1" w:themeFillTint="33"/>
          </w:tcPr>
          <w:p w14:paraId="42FDA7AA" w14:textId="2649EFF4" w:rsidR="00627EEB" w:rsidRPr="001C224D" w:rsidRDefault="00627EEB" w:rsidP="00627EEB">
            <w:pPr>
              <w:pStyle w:val="Body"/>
              <w:rPr>
                <w:b/>
                <w:bCs/>
              </w:rPr>
            </w:pPr>
            <w:r w:rsidRPr="001C224D">
              <w:rPr>
                <w:b/>
                <w:bCs/>
              </w:rPr>
              <w:t>Risk category</w:t>
            </w:r>
          </w:p>
        </w:tc>
        <w:tc>
          <w:tcPr>
            <w:tcW w:w="2268" w:type="dxa"/>
            <w:shd w:val="clear" w:color="auto" w:fill="DBE5F1" w:themeFill="accent1" w:themeFillTint="33"/>
          </w:tcPr>
          <w:p w14:paraId="1816063E" w14:textId="2FE6CA88" w:rsidR="00627EEB" w:rsidRDefault="00627EEB" w:rsidP="00627EEB">
            <w:pPr>
              <w:pStyle w:val="Body"/>
            </w:pPr>
            <w:r w:rsidRPr="0005512E">
              <w:rPr>
                <w:rFonts w:eastAsia="MS Gothic"/>
                <w:b/>
                <w:szCs w:val="21"/>
              </w:rPr>
              <w:t>Risk category descriptor</w:t>
            </w:r>
            <w:r w:rsidRPr="0005512E">
              <w:rPr>
                <w:rFonts w:eastAsia="MS Mincho"/>
                <w:b/>
                <w:szCs w:val="21"/>
              </w:rPr>
              <w:t> </w:t>
            </w:r>
          </w:p>
        </w:tc>
        <w:tc>
          <w:tcPr>
            <w:tcW w:w="3686" w:type="dxa"/>
            <w:shd w:val="clear" w:color="auto" w:fill="DBE5F1" w:themeFill="accent1" w:themeFillTint="33"/>
          </w:tcPr>
          <w:p w14:paraId="1FFA3811" w14:textId="43F48EDC" w:rsidR="00627EEB" w:rsidRDefault="00627EEB" w:rsidP="00627EEB">
            <w:pPr>
              <w:pStyle w:val="Body"/>
            </w:pPr>
            <w:r w:rsidRPr="0005512E">
              <w:rPr>
                <w:rFonts w:eastAsia="MS Gothic"/>
                <w:b/>
                <w:szCs w:val="21"/>
              </w:rPr>
              <w:t>Summary of risk category</w:t>
            </w:r>
            <w:r w:rsidRPr="0005512E">
              <w:rPr>
                <w:rFonts w:eastAsia="MS Mincho"/>
                <w:b/>
                <w:szCs w:val="21"/>
              </w:rPr>
              <w:t> </w:t>
            </w:r>
          </w:p>
        </w:tc>
        <w:tc>
          <w:tcPr>
            <w:tcW w:w="1276" w:type="dxa"/>
            <w:shd w:val="clear" w:color="auto" w:fill="DBE5F1" w:themeFill="accent1" w:themeFillTint="33"/>
          </w:tcPr>
          <w:p w14:paraId="5D4598D9" w14:textId="18196464" w:rsidR="00627EEB" w:rsidRDefault="00627EEB" w:rsidP="00627EEB">
            <w:pPr>
              <w:pStyle w:val="Body"/>
            </w:pPr>
            <w:r w:rsidRPr="0005512E">
              <w:rPr>
                <w:b/>
                <w:szCs w:val="21"/>
              </w:rPr>
              <w:t xml:space="preserve">Vaccines </w:t>
            </w:r>
            <w:r w:rsidRPr="0005512E">
              <w:rPr>
                <w:b/>
                <w:szCs w:val="21"/>
                <w:u w:val="single"/>
              </w:rPr>
              <w:t>required</w:t>
            </w:r>
            <w:r w:rsidRPr="0005512E">
              <w:rPr>
                <w:b/>
                <w:szCs w:val="21"/>
              </w:rPr>
              <w:t xml:space="preserve"> for this group </w:t>
            </w:r>
          </w:p>
        </w:tc>
        <w:tc>
          <w:tcPr>
            <w:tcW w:w="1701" w:type="dxa"/>
            <w:shd w:val="clear" w:color="auto" w:fill="DBE5F1" w:themeFill="accent1" w:themeFillTint="33"/>
          </w:tcPr>
          <w:p w14:paraId="5205B145" w14:textId="212D1B55" w:rsidR="00627EEB" w:rsidRDefault="00627EEB" w:rsidP="00627EEB">
            <w:pPr>
              <w:pStyle w:val="Body"/>
            </w:pPr>
            <w:r w:rsidRPr="0005512E">
              <w:rPr>
                <w:b/>
                <w:szCs w:val="21"/>
              </w:rPr>
              <w:t>Vaccines recommended but not required</w:t>
            </w:r>
          </w:p>
        </w:tc>
      </w:tr>
      <w:tr w:rsidR="006F578C" w14:paraId="46A16938" w14:textId="77777777">
        <w:tc>
          <w:tcPr>
            <w:tcW w:w="1129" w:type="dxa"/>
          </w:tcPr>
          <w:p w14:paraId="0E6DAD1C" w14:textId="6B6033CC" w:rsidR="006F578C" w:rsidRDefault="006F578C" w:rsidP="006F578C">
            <w:pPr>
              <w:pStyle w:val="Body"/>
            </w:pPr>
            <w:r w:rsidRPr="0005512E">
              <w:rPr>
                <w:b/>
                <w:szCs w:val="21"/>
              </w:rPr>
              <w:t>A</w:t>
            </w:r>
          </w:p>
        </w:tc>
        <w:tc>
          <w:tcPr>
            <w:tcW w:w="2268" w:type="dxa"/>
          </w:tcPr>
          <w:p w14:paraId="2096C4F2" w14:textId="2638C0B2" w:rsidR="006F578C" w:rsidRDefault="006F578C" w:rsidP="006F578C">
            <w:pPr>
              <w:pStyle w:val="Body"/>
            </w:pPr>
            <w:r w:rsidRPr="002053CB">
              <w:rPr>
                <w:sz w:val="20"/>
              </w:rPr>
              <w:t>Healthcare workers at risk of acquisition and/or transmission of blood borne viruses and infections spread via respiratory or enteric routes.  </w:t>
            </w:r>
          </w:p>
        </w:tc>
        <w:tc>
          <w:tcPr>
            <w:tcW w:w="3686" w:type="dxa"/>
          </w:tcPr>
          <w:p w14:paraId="6A453378" w14:textId="77777777" w:rsidR="006F578C" w:rsidRPr="002053CB" w:rsidRDefault="006F578C" w:rsidP="006F578C">
            <w:pPr>
              <w:rPr>
                <w:sz w:val="20"/>
              </w:rPr>
            </w:pPr>
            <w:r w:rsidRPr="002053CB">
              <w:rPr>
                <w:rFonts w:eastAsia="MS Gothic"/>
                <w:sz w:val="20"/>
              </w:rPr>
              <w:t>Healthcare workers with direct physical contact with patients, clients, deceased persons or body parts, blood, body substances, infectious material or surfaces or equipment that might contain these.</w:t>
            </w:r>
            <w:r w:rsidRPr="002053CB">
              <w:rPr>
                <w:rFonts w:eastAsia="MS Mincho"/>
                <w:sz w:val="20"/>
              </w:rPr>
              <w:t> </w:t>
            </w:r>
          </w:p>
          <w:p w14:paraId="530E2D1D" w14:textId="7BD47561" w:rsidR="006F578C" w:rsidRDefault="006F578C" w:rsidP="006F578C">
            <w:pPr>
              <w:pStyle w:val="Body"/>
            </w:pPr>
            <w:r w:rsidRPr="002053CB">
              <w:rPr>
                <w:sz w:val="20"/>
              </w:rPr>
              <w:t>For example, workers with prolonged face-to-face contact with patients or clients or where their normal work is in a clinical area.   </w:t>
            </w:r>
          </w:p>
        </w:tc>
        <w:tc>
          <w:tcPr>
            <w:tcW w:w="1276" w:type="dxa"/>
            <w:vMerge w:val="restart"/>
          </w:tcPr>
          <w:p w14:paraId="522F2E95" w14:textId="77777777" w:rsidR="006F578C" w:rsidRPr="002053CB" w:rsidRDefault="006F578C" w:rsidP="006F578C">
            <w:pPr>
              <w:rPr>
                <w:sz w:val="20"/>
              </w:rPr>
            </w:pPr>
            <w:r w:rsidRPr="002053CB">
              <w:rPr>
                <w:sz w:val="20"/>
              </w:rPr>
              <w:t>Influenza (annually by 15 August)</w:t>
            </w:r>
          </w:p>
          <w:p w14:paraId="61E58A06" w14:textId="77777777" w:rsidR="006F578C" w:rsidRDefault="006F578C" w:rsidP="006F578C">
            <w:pPr>
              <w:pStyle w:val="Body"/>
            </w:pPr>
          </w:p>
        </w:tc>
        <w:tc>
          <w:tcPr>
            <w:tcW w:w="1701" w:type="dxa"/>
            <w:vMerge w:val="restart"/>
          </w:tcPr>
          <w:p w14:paraId="3DECF5E0" w14:textId="3F6D1B0B" w:rsidR="006F578C" w:rsidRDefault="006F578C" w:rsidP="006F578C">
            <w:pPr>
              <w:pStyle w:val="Body"/>
            </w:pPr>
            <w:r w:rsidRPr="002053CB">
              <w:rPr>
                <w:sz w:val="20"/>
              </w:rPr>
              <w:t>Hepatitis A/ meningococcal in some cases, and routine adult scheduled vaccines</w:t>
            </w:r>
            <w:r>
              <w:rPr>
                <w:sz w:val="20"/>
              </w:rPr>
              <w:t xml:space="preserve"> </w:t>
            </w:r>
            <w:r w:rsidRPr="002053CB">
              <w:rPr>
                <w:sz w:val="20"/>
              </w:rPr>
              <w:t xml:space="preserve">including </w:t>
            </w:r>
            <w:r>
              <w:rPr>
                <w:sz w:val="20"/>
              </w:rPr>
              <w:t>COVID-19.</w:t>
            </w:r>
          </w:p>
        </w:tc>
      </w:tr>
      <w:tr w:rsidR="006F578C" w14:paraId="0AD84398" w14:textId="77777777">
        <w:tc>
          <w:tcPr>
            <w:tcW w:w="1129" w:type="dxa"/>
          </w:tcPr>
          <w:p w14:paraId="394E50D3" w14:textId="64AFF844" w:rsidR="006F578C" w:rsidRDefault="006F578C" w:rsidP="006F578C">
            <w:pPr>
              <w:pStyle w:val="Body"/>
            </w:pPr>
            <w:r w:rsidRPr="0005512E">
              <w:rPr>
                <w:b/>
                <w:szCs w:val="21"/>
              </w:rPr>
              <w:t>B</w:t>
            </w:r>
          </w:p>
        </w:tc>
        <w:tc>
          <w:tcPr>
            <w:tcW w:w="2268" w:type="dxa"/>
          </w:tcPr>
          <w:p w14:paraId="0C7F936F" w14:textId="20A814EF" w:rsidR="006F578C" w:rsidRDefault="006F578C" w:rsidP="006F578C">
            <w:pPr>
              <w:pStyle w:val="Body"/>
            </w:pPr>
            <w:r w:rsidRPr="002053CB">
              <w:rPr>
                <w:sz w:val="20"/>
              </w:rPr>
              <w:t>Healthcare workers at risk of acquisition and/or transmission of infections spread via respiratory or enteric routes.  </w:t>
            </w:r>
          </w:p>
        </w:tc>
        <w:tc>
          <w:tcPr>
            <w:tcW w:w="3686" w:type="dxa"/>
          </w:tcPr>
          <w:p w14:paraId="1547C891" w14:textId="6B37D0B1" w:rsidR="006F578C" w:rsidRDefault="006F578C" w:rsidP="006F578C">
            <w:pPr>
              <w:pStyle w:val="Body"/>
            </w:pPr>
            <w:r w:rsidRPr="002053CB">
              <w:rPr>
                <w:rFonts w:eastAsia="MS Gothic"/>
                <w:sz w:val="20"/>
              </w:rPr>
              <w:t>Healthcare workers who rarely have direct physical contact with patients, clients, deceased persons or body parts, blood, body substances, infectious material or surfaces or equipment that might contain these.  </w:t>
            </w:r>
            <w:r w:rsidRPr="002053CB">
              <w:rPr>
                <w:rFonts w:eastAsia="MS Mincho"/>
                <w:sz w:val="20"/>
              </w:rPr>
              <w:t> </w:t>
            </w:r>
          </w:p>
        </w:tc>
        <w:tc>
          <w:tcPr>
            <w:tcW w:w="1276" w:type="dxa"/>
            <w:vMerge/>
          </w:tcPr>
          <w:p w14:paraId="7DE621D6" w14:textId="77777777" w:rsidR="006F578C" w:rsidRDefault="006F578C" w:rsidP="006F578C">
            <w:pPr>
              <w:pStyle w:val="Body"/>
            </w:pPr>
          </w:p>
        </w:tc>
        <w:tc>
          <w:tcPr>
            <w:tcW w:w="1701" w:type="dxa"/>
            <w:vMerge/>
          </w:tcPr>
          <w:p w14:paraId="00AD13AB" w14:textId="77777777" w:rsidR="006F578C" w:rsidRDefault="006F578C" w:rsidP="006F578C">
            <w:pPr>
              <w:pStyle w:val="Body"/>
            </w:pPr>
          </w:p>
        </w:tc>
      </w:tr>
      <w:tr w:rsidR="006F578C" w14:paraId="3C1211EB" w14:textId="77777777" w:rsidTr="001C224D">
        <w:tc>
          <w:tcPr>
            <w:tcW w:w="1129" w:type="dxa"/>
          </w:tcPr>
          <w:p w14:paraId="25A5C1BD" w14:textId="4DD43CEB" w:rsidR="006F578C" w:rsidRDefault="006F578C" w:rsidP="006F578C">
            <w:pPr>
              <w:pStyle w:val="Body"/>
            </w:pPr>
            <w:r w:rsidRPr="0005512E">
              <w:rPr>
                <w:b/>
                <w:szCs w:val="21"/>
              </w:rPr>
              <w:t>C</w:t>
            </w:r>
          </w:p>
        </w:tc>
        <w:tc>
          <w:tcPr>
            <w:tcW w:w="2268" w:type="dxa"/>
          </w:tcPr>
          <w:p w14:paraId="63063262" w14:textId="7E3C4687" w:rsidR="006F578C" w:rsidRPr="001C224D" w:rsidRDefault="006F578C" w:rsidP="006F578C">
            <w:pPr>
              <w:pStyle w:val="Body"/>
              <w:rPr>
                <w:b/>
                <w:bCs/>
              </w:rPr>
            </w:pPr>
            <w:r w:rsidRPr="002053CB">
              <w:rPr>
                <w:sz w:val="20"/>
              </w:rPr>
              <w:t>Healthcare workers at risk of acquisition and/or transmission of infections spread via respiratory routes.  </w:t>
            </w:r>
          </w:p>
        </w:tc>
        <w:tc>
          <w:tcPr>
            <w:tcW w:w="3686" w:type="dxa"/>
          </w:tcPr>
          <w:p w14:paraId="7FC7BD11" w14:textId="696A93BD" w:rsidR="006F578C" w:rsidRDefault="006F578C" w:rsidP="006F578C">
            <w:pPr>
              <w:pStyle w:val="Body"/>
            </w:pPr>
            <w:r w:rsidRPr="002053CB">
              <w:rPr>
                <w:sz w:val="20"/>
              </w:rPr>
              <w:t>Healthcare workers with no direct physical contact with patients, clients, deceased persons or body parts, blood, body substances, infectious material or surfaces or equipment that might contain these.    </w:t>
            </w:r>
          </w:p>
        </w:tc>
        <w:tc>
          <w:tcPr>
            <w:tcW w:w="1276" w:type="dxa"/>
          </w:tcPr>
          <w:p w14:paraId="2CAD2711" w14:textId="382C0DD8" w:rsidR="006F578C" w:rsidRDefault="006F578C" w:rsidP="006F578C">
            <w:pPr>
              <w:pStyle w:val="Body"/>
            </w:pPr>
            <w:r>
              <w:t>Nil</w:t>
            </w:r>
          </w:p>
        </w:tc>
        <w:tc>
          <w:tcPr>
            <w:tcW w:w="1701" w:type="dxa"/>
          </w:tcPr>
          <w:p w14:paraId="57B33B81" w14:textId="25B46629" w:rsidR="006F578C" w:rsidRPr="002053CB" w:rsidRDefault="006F578C" w:rsidP="006F578C">
            <w:pPr>
              <w:rPr>
                <w:sz w:val="20"/>
              </w:rPr>
            </w:pPr>
            <w:r w:rsidRPr="002053CB">
              <w:rPr>
                <w:sz w:val="20"/>
              </w:rPr>
              <w:t>Routine adult vaccination schedule vaccines, including influenza</w:t>
            </w:r>
            <w:r>
              <w:rPr>
                <w:sz w:val="20"/>
              </w:rPr>
              <w:t xml:space="preserve"> and COVID-19.</w:t>
            </w:r>
            <w:r w:rsidRPr="002053CB">
              <w:rPr>
                <w:sz w:val="20"/>
              </w:rPr>
              <w:t xml:space="preserve"> </w:t>
            </w:r>
          </w:p>
          <w:p w14:paraId="09C0949D" w14:textId="77777777" w:rsidR="006F578C" w:rsidRDefault="006F578C" w:rsidP="006F578C">
            <w:pPr>
              <w:pStyle w:val="Body"/>
            </w:pPr>
          </w:p>
        </w:tc>
      </w:tr>
    </w:tbl>
    <w:p w14:paraId="583FF167" w14:textId="77777777" w:rsidR="00E307DA" w:rsidRDefault="00E307DA" w:rsidP="00CD759E">
      <w:pPr>
        <w:pStyle w:val="Body"/>
      </w:pPr>
    </w:p>
    <w:p w14:paraId="1A6E41A5" w14:textId="741C35A5" w:rsidR="008C62E8" w:rsidRPr="00FD08C3" w:rsidRDefault="00FE07DE" w:rsidP="00FE07DE">
      <w:pPr>
        <w:pStyle w:val="Heading4"/>
        <w:numPr>
          <w:ilvl w:val="0"/>
          <w:numId w:val="0"/>
        </w:numPr>
      </w:pPr>
      <w:bookmarkStart w:id="27" w:name="_Toc113362845"/>
      <w:bookmarkStart w:id="28" w:name="_Toc171321495"/>
      <w:r>
        <w:lastRenderedPageBreak/>
        <w:t xml:space="preserve">3.3 </w:t>
      </w:r>
      <w:r w:rsidR="008C62E8" w:rsidRPr="00FD08C3">
        <w:t>Volunteers and students</w:t>
      </w:r>
      <w:bookmarkEnd w:id="27"/>
      <w:bookmarkEnd w:id="28"/>
    </w:p>
    <w:p w14:paraId="2743FFDE" w14:textId="137E81A3" w:rsidR="00C07A7A" w:rsidRDefault="00D64BE1" w:rsidP="00CD759E">
      <w:pPr>
        <w:pStyle w:val="Body"/>
      </w:pPr>
      <w:r w:rsidRPr="00F56540">
        <w:t>V</w:t>
      </w:r>
      <w:r w:rsidR="008C62E8" w:rsidRPr="00F56540">
        <w:t xml:space="preserve">olunteers and students are not subject to </w:t>
      </w:r>
      <w:r w:rsidR="00E12637">
        <w:t xml:space="preserve">the </w:t>
      </w:r>
      <w:r w:rsidR="005A0C0F">
        <w:t>D</w:t>
      </w:r>
      <w:r w:rsidR="006171BD" w:rsidRPr="00F56540">
        <w:t>irections;</w:t>
      </w:r>
      <w:r w:rsidR="008C62E8" w:rsidRPr="00F56540">
        <w:t xml:space="preserve"> </w:t>
      </w:r>
      <w:r w:rsidR="005C60A9" w:rsidRPr="00F56540">
        <w:t>however,</w:t>
      </w:r>
      <w:r w:rsidRPr="00F56540">
        <w:t xml:space="preserve"> </w:t>
      </w:r>
      <w:r w:rsidR="008C62E8" w:rsidRPr="00F56540">
        <w:t xml:space="preserve">a healthcare setting can reasonably require that volunteers and students </w:t>
      </w:r>
      <w:r w:rsidR="00E159CA" w:rsidRPr="00F56540">
        <w:t xml:space="preserve">meet </w:t>
      </w:r>
      <w:r w:rsidR="00A840BD" w:rsidRPr="00F56540">
        <w:t>certain</w:t>
      </w:r>
      <w:r w:rsidR="008C62E8" w:rsidRPr="00F56540">
        <w:t xml:space="preserve"> vaccination requirements under</w:t>
      </w:r>
      <w:r w:rsidR="00D73781">
        <w:t xml:space="preserve"> their </w:t>
      </w:r>
      <w:r w:rsidR="00D165B4">
        <w:t>own vaccination</w:t>
      </w:r>
      <w:r w:rsidR="008C62E8" w:rsidRPr="00F56540">
        <w:t xml:space="preserve"> policy prior to commencing roles or placements within the setting. </w:t>
      </w:r>
    </w:p>
    <w:p w14:paraId="59FDB665" w14:textId="046293A7" w:rsidR="00234716" w:rsidRPr="00F719D5" w:rsidRDefault="00C234A8" w:rsidP="00FE07DE">
      <w:pPr>
        <w:pStyle w:val="Heading1"/>
        <w:numPr>
          <w:ilvl w:val="0"/>
          <w:numId w:val="12"/>
        </w:numPr>
        <w:spacing w:after="0"/>
      </w:pPr>
      <w:bookmarkStart w:id="29" w:name="_Ref171588814"/>
      <w:r>
        <w:t>Seasonal i</w:t>
      </w:r>
      <w:r w:rsidR="00A8000D">
        <w:t xml:space="preserve">nfluenza </w:t>
      </w:r>
      <w:bookmarkStart w:id="30" w:name="_Toc176360384"/>
      <w:bookmarkEnd w:id="29"/>
      <w:r>
        <w:t>v</w:t>
      </w:r>
      <w:r w:rsidR="00B55CC8">
        <w:t>accin</w:t>
      </w:r>
      <w:r w:rsidR="0043766D">
        <w:t>ation</w:t>
      </w:r>
      <w:r w:rsidR="00B55CC8">
        <w:t xml:space="preserve"> requiremen</w:t>
      </w:r>
      <w:r w:rsidR="005C3A9F">
        <w:t>ts</w:t>
      </w:r>
      <w:bookmarkEnd w:id="30"/>
    </w:p>
    <w:p w14:paraId="0AEBFC5C" w14:textId="4A4FD12B" w:rsidR="00727897" w:rsidRPr="00FD08C3" w:rsidRDefault="0043766D" w:rsidP="00FE07DE">
      <w:pPr>
        <w:pStyle w:val="Heading4"/>
        <w:numPr>
          <w:ilvl w:val="1"/>
          <w:numId w:val="16"/>
        </w:numPr>
      </w:pPr>
      <w:bookmarkStart w:id="31" w:name="_Toc171321498"/>
      <w:bookmarkStart w:id="32" w:name="_Toc171321500"/>
      <w:bookmarkEnd w:id="31"/>
      <w:bookmarkEnd w:id="32"/>
      <w:r>
        <w:t>Context</w:t>
      </w:r>
    </w:p>
    <w:p w14:paraId="7165D5D7" w14:textId="747D2015" w:rsidR="00F653F1" w:rsidRPr="00FD2D6B" w:rsidRDefault="00F653F1" w:rsidP="00F26B49">
      <w:pPr>
        <w:pStyle w:val="Body"/>
      </w:pPr>
      <w:r w:rsidRPr="00FD2D6B">
        <w:t>A</w:t>
      </w:r>
      <w:r w:rsidR="00AD3DFC" w:rsidRPr="00FD2D6B">
        <w:t>nnual vaccination is the most important measure to prevent influenza and its complications</w:t>
      </w:r>
      <w:r w:rsidR="008913C8">
        <w:t>.</w:t>
      </w:r>
      <w:r w:rsidRPr="00FD2D6B">
        <w:t xml:space="preserve"> </w:t>
      </w:r>
      <w:r w:rsidR="00C32BB6" w:rsidRPr="00FD2D6B">
        <w:t xml:space="preserve">The Australian Immunisation Handbook lists influenza </w:t>
      </w:r>
      <w:r w:rsidRPr="00FD2D6B">
        <w:t>a</w:t>
      </w:r>
      <w:r w:rsidR="00C32BB6" w:rsidRPr="00FD2D6B">
        <w:t xml:space="preserve">s the most common vaccine-preventable </w:t>
      </w:r>
      <w:r w:rsidR="00966BB9" w:rsidRPr="00FD2D6B">
        <w:t>disease in Australia and recognises that while it can be a mild disease, it can also cause very serious illness in otherwise healthy people.</w:t>
      </w:r>
    </w:p>
    <w:p w14:paraId="471DBF8B" w14:textId="7EB0587A" w:rsidR="000739C7" w:rsidRPr="00FD2D6B" w:rsidRDefault="009F511E" w:rsidP="00F26B49">
      <w:pPr>
        <w:pStyle w:val="Body"/>
      </w:pPr>
      <w:r>
        <w:t>A</w:t>
      </w:r>
      <w:r w:rsidR="00F653F1" w:rsidRPr="00FD2D6B">
        <w:t xml:space="preserve">nnual </w:t>
      </w:r>
      <w:r>
        <w:t xml:space="preserve">influenza </w:t>
      </w:r>
      <w:r w:rsidR="00F653F1" w:rsidRPr="00FD2D6B">
        <w:t xml:space="preserve">vaccination </w:t>
      </w:r>
      <w:r>
        <w:t xml:space="preserve">is recommended </w:t>
      </w:r>
      <w:r w:rsidR="00F653F1" w:rsidRPr="00FD2D6B">
        <w:t xml:space="preserve">just before the influenza season begins for the most effective coverage, </w:t>
      </w:r>
      <w:r w:rsidR="008D2445">
        <w:t>however</w:t>
      </w:r>
      <w:r w:rsidR="003E32D9" w:rsidRPr="00FD2D6B">
        <w:t xml:space="preserve"> </w:t>
      </w:r>
      <w:r w:rsidR="00553264" w:rsidRPr="00FD2D6B">
        <w:t>vaccination</w:t>
      </w:r>
      <w:r w:rsidR="00F653F1" w:rsidRPr="00FD2D6B">
        <w:t xml:space="preserve"> at any time during the influenza season </w:t>
      </w:r>
      <w:r w:rsidR="00553264" w:rsidRPr="00FD2D6B">
        <w:t>will</w:t>
      </w:r>
      <w:r w:rsidR="00F653F1" w:rsidRPr="00FD2D6B">
        <w:t xml:space="preserve"> still help </w:t>
      </w:r>
      <w:r w:rsidR="00DA49CF">
        <w:t xml:space="preserve">to </w:t>
      </w:r>
      <w:r w:rsidR="00F653F1" w:rsidRPr="00FD2D6B">
        <w:t>prevent infection.</w:t>
      </w:r>
    </w:p>
    <w:p w14:paraId="1A952C82" w14:textId="25AA9388" w:rsidR="00B93A01" w:rsidRPr="00FD08C3" w:rsidRDefault="00B93A01" w:rsidP="00FE07DE">
      <w:pPr>
        <w:pStyle w:val="Heading4"/>
        <w:numPr>
          <w:ilvl w:val="1"/>
          <w:numId w:val="16"/>
        </w:numPr>
      </w:pPr>
      <w:bookmarkStart w:id="33" w:name="_Toc171321502"/>
      <w:r w:rsidRPr="00FD08C3">
        <w:t>Vaccination requirement</w:t>
      </w:r>
      <w:bookmarkEnd w:id="33"/>
      <w:r w:rsidR="003F69D0">
        <w:t>s</w:t>
      </w:r>
    </w:p>
    <w:p w14:paraId="2A8DD66C" w14:textId="12619F3A" w:rsidR="000B0000" w:rsidRPr="00A56D44" w:rsidRDefault="00D338C8" w:rsidP="00A56D44">
      <w:pPr>
        <w:pStyle w:val="Body"/>
        <w:rPr>
          <w:szCs w:val="21"/>
        </w:rPr>
      </w:pPr>
      <w:r>
        <w:rPr>
          <w:rStyle w:val="normaltextrun"/>
          <w:rFonts w:eastAsia="MS Mincho" w:cs="Arial"/>
          <w:color w:val="000000"/>
          <w:szCs w:val="21"/>
        </w:rPr>
        <w:t xml:space="preserve">Under the </w:t>
      </w:r>
      <w:r w:rsidR="00B10803">
        <w:rPr>
          <w:rStyle w:val="normaltextrun"/>
          <w:rFonts w:eastAsia="MS Mincho" w:cs="Arial"/>
          <w:color w:val="000000"/>
          <w:szCs w:val="21"/>
        </w:rPr>
        <w:t>Directions health</w:t>
      </w:r>
      <w:r w:rsidR="003D6127">
        <w:rPr>
          <w:rStyle w:val="normaltextrun"/>
          <w:rFonts w:eastAsia="MS Mincho" w:cs="Arial"/>
          <w:color w:val="000000"/>
          <w:szCs w:val="21"/>
        </w:rPr>
        <w:t>care settings</w:t>
      </w:r>
      <w:r w:rsidR="00B10803">
        <w:rPr>
          <w:rStyle w:val="normaltextrun"/>
          <w:rFonts w:eastAsia="MS Mincho" w:cs="Arial"/>
          <w:color w:val="000000"/>
          <w:szCs w:val="21"/>
        </w:rPr>
        <w:t xml:space="preserve"> must ensure that</w:t>
      </w:r>
      <w:r w:rsidR="00A56D44">
        <w:rPr>
          <w:rStyle w:val="normaltextrun"/>
          <w:rFonts w:eastAsia="MS Mincho" w:cs="Arial"/>
          <w:color w:val="000000"/>
          <w:szCs w:val="21"/>
        </w:rPr>
        <w:t xml:space="preserve"> </w:t>
      </w:r>
      <w:r w:rsidR="000B0000" w:rsidRPr="00F56540">
        <w:t>current and newly commencing healthcare workers</w:t>
      </w:r>
      <w:r w:rsidR="00350F35">
        <w:t xml:space="preserve"> that are subject to the Directions</w:t>
      </w:r>
      <w:r w:rsidR="000B0000" w:rsidRPr="00F56540">
        <w:t xml:space="preserve"> </w:t>
      </w:r>
      <w:r w:rsidR="000813A4" w:rsidRPr="001C224D">
        <w:rPr>
          <w:b/>
          <w:bCs/>
        </w:rPr>
        <w:t>are</w:t>
      </w:r>
      <w:r w:rsidR="000B0000" w:rsidRPr="000813A4">
        <w:rPr>
          <w:b/>
          <w:bCs/>
        </w:rPr>
        <w:t xml:space="preserve"> </w:t>
      </w:r>
      <w:r w:rsidR="000B0000" w:rsidRPr="00BF3EAE">
        <w:rPr>
          <w:b/>
          <w:bCs/>
        </w:rPr>
        <w:t>vaccinated</w:t>
      </w:r>
      <w:r w:rsidR="000B0000" w:rsidRPr="00F56540">
        <w:t xml:space="preserve"> </w:t>
      </w:r>
      <w:r w:rsidR="000A2E1C">
        <w:t>against</w:t>
      </w:r>
      <w:r w:rsidR="000B0000">
        <w:t xml:space="preserve"> </w:t>
      </w:r>
      <w:r w:rsidR="000B0000" w:rsidRPr="00F56540">
        <w:t xml:space="preserve">seasonal influenza </w:t>
      </w:r>
      <w:r w:rsidR="00DA49CF">
        <w:t xml:space="preserve">annually by </w:t>
      </w:r>
      <w:r w:rsidR="000B0000" w:rsidRPr="00F56540">
        <w:t>15 August</w:t>
      </w:r>
      <w:r w:rsidR="00DA49CF">
        <w:t>.</w:t>
      </w:r>
    </w:p>
    <w:p w14:paraId="66D1B6D5" w14:textId="5DD76B2E" w:rsidR="00A56D44" w:rsidRDefault="001F5AB2" w:rsidP="00A56D44">
      <w:pPr>
        <w:pStyle w:val="Bullet1"/>
        <w:numPr>
          <w:ilvl w:val="0"/>
          <w:numId w:val="0"/>
        </w:numPr>
        <w:spacing w:after="120"/>
      </w:pPr>
      <w:r>
        <w:t>C</w:t>
      </w:r>
      <w:r w:rsidR="000B0000" w:rsidRPr="00F56540">
        <w:t xml:space="preserve">urrent and newly commencing healthcare workers </w:t>
      </w:r>
      <w:r>
        <w:t>that are not subject to the D</w:t>
      </w:r>
      <w:r w:rsidR="00A56D44">
        <w:t xml:space="preserve">irections </w:t>
      </w:r>
      <w:r w:rsidR="000B0000" w:rsidRPr="00F56540">
        <w:t xml:space="preserve">are </w:t>
      </w:r>
      <w:r w:rsidR="000B0000" w:rsidRPr="00BF3EAE">
        <w:rPr>
          <w:b/>
          <w:bCs/>
        </w:rPr>
        <w:t>strongly encouraged to be vaccinated</w:t>
      </w:r>
      <w:r w:rsidR="000B0000" w:rsidRPr="00F56540">
        <w:t xml:space="preserve"> against seasonal influenza </w:t>
      </w:r>
      <w:r w:rsidR="00DA49CF">
        <w:t xml:space="preserve">annually </w:t>
      </w:r>
      <w:r w:rsidR="000B0000" w:rsidRPr="00F56540">
        <w:t>by 15 August</w:t>
      </w:r>
      <w:r w:rsidR="00DA49CF">
        <w:t>.</w:t>
      </w:r>
    </w:p>
    <w:p w14:paraId="23A66EF1" w14:textId="558ADBDF" w:rsidR="00FE5050" w:rsidRDefault="00D93804" w:rsidP="00041BED">
      <w:pPr>
        <w:pStyle w:val="Body"/>
        <w:rPr>
          <w:rFonts w:cs="Arial"/>
        </w:rPr>
      </w:pPr>
      <w:r w:rsidRPr="00F56540">
        <w:rPr>
          <w:rFonts w:cs="Arial"/>
        </w:rPr>
        <w:t xml:space="preserve">If </w:t>
      </w:r>
      <w:r w:rsidR="00D869C9">
        <w:rPr>
          <w:rFonts w:cs="Arial"/>
        </w:rPr>
        <w:t xml:space="preserve">a </w:t>
      </w:r>
      <w:r w:rsidR="002A19BF">
        <w:rPr>
          <w:rFonts w:cs="Arial"/>
        </w:rPr>
        <w:t xml:space="preserve">new </w:t>
      </w:r>
      <w:r w:rsidR="00D869C9">
        <w:rPr>
          <w:rFonts w:cs="Arial"/>
        </w:rPr>
        <w:t xml:space="preserve">healthcare worker is </w:t>
      </w:r>
      <w:r w:rsidRPr="00F56540">
        <w:rPr>
          <w:rFonts w:cs="Arial"/>
        </w:rPr>
        <w:t>commencing employment</w:t>
      </w:r>
      <w:r w:rsidR="00FE5050">
        <w:rPr>
          <w:rFonts w:cs="Arial"/>
        </w:rPr>
        <w:t>:</w:t>
      </w:r>
    </w:p>
    <w:p w14:paraId="00A9B0BA" w14:textId="2ADE9857" w:rsidR="00A55C2F" w:rsidRPr="000F1E1A" w:rsidRDefault="00D93804" w:rsidP="00FE07DE">
      <w:pPr>
        <w:pStyle w:val="Body"/>
        <w:numPr>
          <w:ilvl w:val="0"/>
          <w:numId w:val="14"/>
        </w:numPr>
      </w:pPr>
      <w:r w:rsidRPr="00F56540">
        <w:rPr>
          <w:rFonts w:cs="Arial"/>
        </w:rPr>
        <w:t>between January and April, influenza vaccin</w:t>
      </w:r>
      <w:r>
        <w:rPr>
          <w:rFonts w:cs="Arial"/>
        </w:rPr>
        <w:t>ation must occur w</w:t>
      </w:r>
      <w:r w:rsidRPr="00F56540">
        <w:rPr>
          <w:rFonts w:cs="Arial"/>
        </w:rPr>
        <w:t>ithin 4 months of commencement</w:t>
      </w:r>
      <w:r w:rsidR="002A19BF">
        <w:rPr>
          <w:rFonts w:cs="Arial"/>
        </w:rPr>
        <w:t>; or</w:t>
      </w:r>
    </w:p>
    <w:p w14:paraId="36E15C17" w14:textId="56A2BC31" w:rsidR="00F90E3D" w:rsidRPr="00603F9C" w:rsidRDefault="00F90E3D" w:rsidP="00FE07DE">
      <w:pPr>
        <w:pStyle w:val="Body"/>
        <w:numPr>
          <w:ilvl w:val="0"/>
          <w:numId w:val="14"/>
        </w:numPr>
      </w:pPr>
      <w:r w:rsidRPr="00F56540">
        <w:t xml:space="preserve">between 16 August and 31 December, vaccination </w:t>
      </w:r>
      <w:r w:rsidR="00425E81">
        <w:t>must occur prior to</w:t>
      </w:r>
      <w:r w:rsidRPr="00F56540">
        <w:t xml:space="preserve"> commencement.</w:t>
      </w:r>
    </w:p>
    <w:p w14:paraId="1461F9DA" w14:textId="2208D21C" w:rsidR="00B93A01" w:rsidRPr="00FD08C3" w:rsidRDefault="001274E9" w:rsidP="00FE07DE">
      <w:pPr>
        <w:pStyle w:val="Heading4"/>
        <w:numPr>
          <w:ilvl w:val="1"/>
          <w:numId w:val="16"/>
        </w:numPr>
      </w:pPr>
      <w:bookmarkStart w:id="34" w:name="_Toc171321504"/>
      <w:r w:rsidRPr="00FD08C3">
        <w:t>Exemptions</w:t>
      </w:r>
      <w:bookmarkEnd w:id="34"/>
    </w:p>
    <w:p w14:paraId="3AC8F7E7" w14:textId="65064D00" w:rsidR="002E4064" w:rsidRPr="00F56540" w:rsidRDefault="002E4064" w:rsidP="00F26B49">
      <w:pPr>
        <w:pStyle w:val="Body"/>
      </w:pPr>
      <w:r w:rsidRPr="00F56540">
        <w:t xml:space="preserve">Healthcare workers </w:t>
      </w:r>
      <w:r w:rsidR="005F0B75">
        <w:t>are exempt from the requirement to be vaccinated if they have a medical contraindication</w:t>
      </w:r>
      <w:r w:rsidR="009C5011">
        <w:t xml:space="preserve"> to the influenza vaccine</w:t>
      </w:r>
      <w:r w:rsidR="005F0B75">
        <w:t xml:space="preserve"> and </w:t>
      </w:r>
      <w:r w:rsidRPr="00F56540">
        <w:t>may be exempt from compliance with the influenza vaccination requirement in a small number of other exceptional circumstances</w:t>
      </w:r>
      <w:r w:rsidR="002A77AF">
        <w:t xml:space="preserve"> (further detail is provided in section 5)</w:t>
      </w:r>
      <w:r w:rsidRPr="00F56540">
        <w:t xml:space="preserve">. </w:t>
      </w:r>
    </w:p>
    <w:p w14:paraId="2CF23525" w14:textId="5FD4B06C" w:rsidR="00B331DD" w:rsidRPr="006A2090" w:rsidRDefault="00386C16" w:rsidP="00FE07DE">
      <w:pPr>
        <w:pStyle w:val="Heading1"/>
        <w:numPr>
          <w:ilvl w:val="0"/>
          <w:numId w:val="12"/>
        </w:numPr>
        <w:spacing w:after="0"/>
      </w:pPr>
      <w:bookmarkStart w:id="35" w:name="_Toc171321506"/>
      <w:bookmarkStart w:id="36" w:name="_Toc176358943"/>
      <w:bookmarkStart w:id="37" w:name="_Toc176360385"/>
      <w:bookmarkStart w:id="38" w:name="_Toc171085931"/>
      <w:bookmarkStart w:id="39" w:name="_Toc171321508"/>
      <w:bookmarkStart w:id="40" w:name="_Toc171085932"/>
      <w:bookmarkStart w:id="41" w:name="_Toc171321509"/>
      <w:bookmarkStart w:id="42" w:name="_Toc176358944"/>
      <w:bookmarkStart w:id="43" w:name="_Toc176360386"/>
      <w:bookmarkStart w:id="44" w:name="_Toc176358946"/>
      <w:bookmarkStart w:id="45" w:name="_Toc176360388"/>
      <w:bookmarkStart w:id="46" w:name="_Toc171085934"/>
      <w:bookmarkStart w:id="47" w:name="_Toc171321511"/>
      <w:bookmarkStart w:id="48" w:name="_Toc171085935"/>
      <w:bookmarkStart w:id="49" w:name="_Toc171321512"/>
      <w:bookmarkStart w:id="50" w:name="_Toc171085936"/>
      <w:bookmarkStart w:id="51" w:name="_Toc171321513"/>
      <w:bookmarkStart w:id="52" w:name="_Toc171085937"/>
      <w:bookmarkStart w:id="53" w:name="_Toc171321514"/>
      <w:bookmarkStart w:id="54" w:name="_Toc171085938"/>
      <w:bookmarkStart w:id="55" w:name="_Toc171321515"/>
      <w:bookmarkStart w:id="56" w:name="_Toc171085939"/>
      <w:bookmarkStart w:id="57" w:name="_Toc171321516"/>
      <w:bookmarkStart w:id="58" w:name="_Toc171085940"/>
      <w:bookmarkStart w:id="59" w:name="_Toc171321517"/>
      <w:bookmarkStart w:id="60" w:name="_Toc171085941"/>
      <w:bookmarkStart w:id="61" w:name="_Toc171321518"/>
      <w:bookmarkStart w:id="62" w:name="_Toc171085942"/>
      <w:bookmarkStart w:id="63" w:name="_Toc171321519"/>
      <w:bookmarkStart w:id="64" w:name="_Toc171085943"/>
      <w:bookmarkStart w:id="65" w:name="_Toc171321520"/>
      <w:bookmarkStart w:id="66" w:name="_Toc171085944"/>
      <w:bookmarkStart w:id="67" w:name="_Toc171321521"/>
      <w:bookmarkStart w:id="68" w:name="_Toc171085945"/>
      <w:bookmarkStart w:id="69" w:name="_Toc171321522"/>
      <w:bookmarkStart w:id="70" w:name="_Toc171085946"/>
      <w:bookmarkStart w:id="71" w:name="_Toc171321523"/>
      <w:bookmarkStart w:id="72" w:name="_Toc171085947"/>
      <w:bookmarkStart w:id="73" w:name="_Toc171321524"/>
      <w:bookmarkStart w:id="74" w:name="_Toc171085948"/>
      <w:bookmarkStart w:id="75" w:name="_Toc171321525"/>
      <w:bookmarkStart w:id="76" w:name="_Toc171085949"/>
      <w:bookmarkStart w:id="77" w:name="_Toc171321526"/>
      <w:bookmarkStart w:id="78" w:name="_Toc171085950"/>
      <w:bookmarkStart w:id="79" w:name="_Toc171321527"/>
      <w:bookmarkStart w:id="80" w:name="_Toc171085951"/>
      <w:bookmarkStart w:id="81" w:name="_Toc171321528"/>
      <w:bookmarkStart w:id="82" w:name="_Toc171085952"/>
      <w:bookmarkStart w:id="83" w:name="_Toc171321529"/>
      <w:bookmarkStart w:id="84" w:name="_Toc171085953"/>
      <w:bookmarkStart w:id="85" w:name="_Toc171321530"/>
      <w:bookmarkStart w:id="86" w:name="_Toc171085954"/>
      <w:bookmarkStart w:id="87" w:name="_Toc171321531"/>
      <w:bookmarkStart w:id="88" w:name="_5._Risk_categorisation"/>
      <w:bookmarkStart w:id="89" w:name="_Toc171321533"/>
      <w:bookmarkStart w:id="90" w:name="_Ref171595519"/>
      <w:bookmarkStart w:id="91" w:name="_Toc17636038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t>Evidence to d</w:t>
      </w:r>
      <w:r w:rsidR="00B331DD" w:rsidRPr="006A2090">
        <w:t>emonstrat</w:t>
      </w:r>
      <w:r>
        <w:t>e</w:t>
      </w:r>
      <w:r w:rsidR="00B331DD" w:rsidRPr="006A2090">
        <w:t xml:space="preserve"> compliance</w:t>
      </w:r>
      <w:bookmarkEnd w:id="89"/>
      <w:bookmarkEnd w:id="90"/>
      <w:bookmarkEnd w:id="91"/>
    </w:p>
    <w:p w14:paraId="5820B943" w14:textId="4ABC831D" w:rsidR="00782D19" w:rsidRDefault="00782D19" w:rsidP="00FE07DE">
      <w:pPr>
        <w:pStyle w:val="Heading4"/>
        <w:numPr>
          <w:ilvl w:val="1"/>
          <w:numId w:val="17"/>
        </w:numPr>
      </w:pPr>
      <w:r>
        <w:t>Evidence required</w:t>
      </w:r>
    </w:p>
    <w:p w14:paraId="1931D2CC" w14:textId="0FE4D088" w:rsidR="00782D19" w:rsidRPr="00F56540" w:rsidRDefault="00782D19" w:rsidP="001C224D">
      <w:pPr>
        <w:pStyle w:val="Body"/>
      </w:pPr>
      <w:r w:rsidRPr="00F56540">
        <w:t>The preferred evidence of vaccination for Category A and B healthcare workers is an immunisation history statement</w:t>
      </w:r>
      <w:r>
        <w:t xml:space="preserve"> (IHS) </w:t>
      </w:r>
      <w:r w:rsidRPr="00F56540">
        <w:t xml:space="preserve">from the Australian Immunisation Register (AIR). Prospective and current healthcare workers who do not have a record of vaccination on the AIR </w:t>
      </w:r>
      <w:r>
        <w:t xml:space="preserve">should </w:t>
      </w:r>
      <w:r w:rsidRPr="00F56540">
        <w:t xml:space="preserve">seek to establish a record and are advised to have their </w:t>
      </w:r>
      <w:r>
        <w:t xml:space="preserve">influenza and </w:t>
      </w:r>
      <w:r w:rsidRPr="00F56540">
        <w:t xml:space="preserve">previous vaccination history recorded on </w:t>
      </w:r>
      <w:r>
        <w:t xml:space="preserve">the </w:t>
      </w:r>
      <w:r w:rsidRPr="00F56540">
        <w:t>AIR</w:t>
      </w:r>
      <w:r>
        <w:t xml:space="preserve">. </w:t>
      </w:r>
    </w:p>
    <w:p w14:paraId="27709714" w14:textId="77777777" w:rsidR="00782D19" w:rsidRDefault="00782D19" w:rsidP="00782D19">
      <w:pPr>
        <w:pStyle w:val="Body"/>
      </w:pPr>
      <w:r>
        <w:t>R</w:t>
      </w:r>
      <w:r w:rsidRPr="00F56540">
        <w:t>eporting vaccinations to the AIR for influenza</w:t>
      </w:r>
      <w:r>
        <w:t xml:space="preserve"> is mandatory</w:t>
      </w:r>
      <w:r w:rsidRPr="00F56540">
        <w:t>. There are some health services with system challenges that mean that they are unable to report to the AIR. Where a healthcare worker is vaccinated in a setting that does not directly link to the AIR, such as a staff vaccination program within a health service, documented evidence provided by the health service provider would also be suitable.</w:t>
      </w:r>
    </w:p>
    <w:p w14:paraId="569399BA" w14:textId="43A18F85" w:rsidR="00145F9A" w:rsidRDefault="00145F9A" w:rsidP="00145F9A">
      <w:pPr>
        <w:pStyle w:val="Body"/>
      </w:pPr>
      <w:r w:rsidRPr="00242350">
        <w:lastRenderedPageBreak/>
        <w:t>Where a healthcare worker has a medical contraindication to vaccination, they must provide documented evidence of this to the healthcare setting</w:t>
      </w:r>
      <w:r>
        <w:t xml:space="preserve"> (See Section 5).</w:t>
      </w:r>
      <w:r w:rsidRPr="00242350">
        <w:t xml:space="preserve"> </w:t>
      </w:r>
      <w:r w:rsidRPr="00F56540">
        <w:t xml:space="preserve"> </w:t>
      </w:r>
    </w:p>
    <w:p w14:paraId="76090066" w14:textId="7D811253" w:rsidR="00782D19" w:rsidRDefault="00782D19" w:rsidP="00FE07DE">
      <w:pPr>
        <w:pStyle w:val="Heading4"/>
        <w:numPr>
          <w:ilvl w:val="1"/>
          <w:numId w:val="17"/>
        </w:numPr>
      </w:pPr>
      <w:r>
        <w:t xml:space="preserve">Requirement of employer to </w:t>
      </w:r>
      <w:r w:rsidR="005A7218">
        <w:t>record</w:t>
      </w:r>
      <w:r>
        <w:t xml:space="preserve"> evidence</w:t>
      </w:r>
    </w:p>
    <w:p w14:paraId="62EDA11C" w14:textId="7ADA6178" w:rsidR="00B331DD" w:rsidRPr="00F56540" w:rsidRDefault="00B331DD" w:rsidP="00F26B49">
      <w:pPr>
        <w:pStyle w:val="Body"/>
      </w:pPr>
      <w:r w:rsidRPr="00F56540" w:rsidDel="0069151B">
        <w:t>It is the responsibility of healthcare settings to ensure that workers demonstrate compliance with vaccination requirements.</w:t>
      </w:r>
      <w:r w:rsidDel="0069151B">
        <w:t xml:space="preserve"> </w:t>
      </w:r>
      <w:r>
        <w:t xml:space="preserve">Healthcare settings must sight evidence of and record compliance with vaccination. </w:t>
      </w:r>
    </w:p>
    <w:p w14:paraId="514A92C0" w14:textId="77777777" w:rsidR="00B331DD" w:rsidRDefault="00B331DD" w:rsidP="00F26B49">
      <w:pPr>
        <w:pStyle w:val="Body"/>
      </w:pPr>
      <w:r w:rsidRPr="02CCA15E">
        <w:t xml:space="preserve">Current </w:t>
      </w:r>
      <w:r>
        <w:t xml:space="preserve">and prospective </w:t>
      </w:r>
      <w:r w:rsidRPr="02CCA15E">
        <w:t xml:space="preserve">healthcare workers </w:t>
      </w:r>
      <w:r>
        <w:t xml:space="preserve">(including VMOs, locums and contractors) </w:t>
      </w:r>
      <w:r w:rsidRPr="02CCA15E">
        <w:t>are expected to demonstrate compliance with vaccination requirements.</w:t>
      </w:r>
    </w:p>
    <w:p w14:paraId="78801D03" w14:textId="6ACB779F" w:rsidR="00B331DD" w:rsidRPr="00656211" w:rsidRDefault="00B331DD" w:rsidP="00F26B49">
      <w:pPr>
        <w:pStyle w:val="Body"/>
      </w:pPr>
      <w:r w:rsidRPr="00242350">
        <w:t xml:space="preserve">Healthcare settings are not required to access the AIR to view evidence of healthcare worker vaccination status </w:t>
      </w:r>
      <w:r w:rsidRPr="02CCA15E">
        <w:t xml:space="preserve">and </w:t>
      </w:r>
      <w:r>
        <w:t>a</w:t>
      </w:r>
      <w:r w:rsidRPr="00242350">
        <w:t>necdotal evidence is not acceptable to establish immune status.</w:t>
      </w:r>
    </w:p>
    <w:p w14:paraId="47396C17" w14:textId="10B82A23" w:rsidR="003C642D" w:rsidRPr="001C224D" w:rsidRDefault="00B331DD" w:rsidP="00F26B49">
      <w:pPr>
        <w:pStyle w:val="Body"/>
        <w:rPr>
          <w:b/>
          <w:bCs/>
        </w:rPr>
      </w:pPr>
      <w:r>
        <w:t>Further</w:t>
      </w:r>
      <w:r w:rsidRPr="00F56540">
        <w:t xml:space="preserve"> roles and responsibilities of organisations and individuals in complying with this policy are outlined in </w:t>
      </w:r>
      <w:hyperlink w:anchor="_Appendix_1_1" w:history="1">
        <w:r w:rsidR="00B50A7D" w:rsidRPr="00EB5300">
          <w:rPr>
            <w:color w:val="1F497D" w:themeColor="text2"/>
          </w:rPr>
          <w:fldChar w:fldCharType="begin"/>
        </w:r>
        <w:r w:rsidR="00B50A7D" w:rsidRPr="00EB5300">
          <w:rPr>
            <w:color w:val="1F497D" w:themeColor="text2"/>
          </w:rPr>
          <w:instrText xml:space="preserve"> REF _Ref171589099 \h  \* MERGEFORMAT </w:instrText>
        </w:r>
        <w:r w:rsidR="00B50A7D" w:rsidRPr="00EB5300">
          <w:rPr>
            <w:color w:val="1F497D" w:themeColor="text2"/>
          </w:rPr>
        </w:r>
        <w:r w:rsidR="00B50A7D" w:rsidRPr="00EB5300">
          <w:rPr>
            <w:color w:val="1F497D" w:themeColor="text2"/>
          </w:rPr>
          <w:fldChar w:fldCharType="separate"/>
        </w:r>
        <w:r w:rsidR="00B50A7D" w:rsidRPr="00EB5300">
          <w:rPr>
            <w:color w:val="1F497D" w:themeColor="text2"/>
          </w:rPr>
          <w:t>Appendix 1</w:t>
        </w:r>
        <w:r w:rsidR="00B50A7D" w:rsidRPr="00EB5300">
          <w:rPr>
            <w:color w:val="1F497D" w:themeColor="text2"/>
          </w:rPr>
          <w:fldChar w:fldCharType="end"/>
        </w:r>
      </w:hyperlink>
      <w:r w:rsidRPr="00DE701B">
        <w:t>.</w:t>
      </w:r>
      <w:bookmarkStart w:id="92" w:name="_Toc46399881"/>
      <w:bookmarkStart w:id="93" w:name="_Toc113362848"/>
    </w:p>
    <w:p w14:paraId="5859EAB9" w14:textId="45C968AB" w:rsidR="002205D2" w:rsidRPr="006A2090" w:rsidRDefault="00386C16" w:rsidP="00FE07DE">
      <w:pPr>
        <w:pStyle w:val="Heading1"/>
        <w:numPr>
          <w:ilvl w:val="0"/>
          <w:numId w:val="12"/>
        </w:numPr>
        <w:spacing w:after="0"/>
      </w:pPr>
      <w:bookmarkStart w:id="94" w:name="_Toc176360405"/>
      <w:bookmarkStart w:id="95" w:name="_Toc176358948"/>
      <w:bookmarkStart w:id="96" w:name="_Toc176360406"/>
      <w:bookmarkStart w:id="97" w:name="_Table_1._Risk"/>
      <w:bookmarkStart w:id="98" w:name="_Table_2._Evidence"/>
      <w:bookmarkStart w:id="99" w:name="_Toc171321560"/>
      <w:bookmarkStart w:id="100" w:name="_7._Medical_contraindications"/>
      <w:bookmarkStart w:id="101" w:name="_Toc176360407"/>
      <w:bookmarkEnd w:id="92"/>
      <w:bookmarkEnd w:id="93"/>
      <w:bookmarkEnd w:id="94"/>
      <w:bookmarkEnd w:id="95"/>
      <w:bookmarkEnd w:id="96"/>
      <w:bookmarkEnd w:id="97"/>
      <w:bookmarkEnd w:id="98"/>
      <w:bookmarkEnd w:id="99"/>
      <w:bookmarkEnd w:id="100"/>
      <w:r>
        <w:t>Exemptions</w:t>
      </w:r>
      <w:bookmarkEnd w:id="101"/>
    </w:p>
    <w:p w14:paraId="5D32C2A7" w14:textId="30E0F7C6" w:rsidR="0016102B" w:rsidRPr="007441D3" w:rsidRDefault="0016102B" w:rsidP="00FE07DE">
      <w:pPr>
        <w:pStyle w:val="Heading4"/>
        <w:numPr>
          <w:ilvl w:val="1"/>
          <w:numId w:val="18"/>
        </w:numPr>
      </w:pPr>
      <w:r w:rsidRPr="007441D3">
        <w:t>Healthcare wor</w:t>
      </w:r>
      <w:r w:rsidR="00FE0790" w:rsidRPr="007441D3">
        <w:t xml:space="preserve">kers and medical contraindication </w:t>
      </w:r>
    </w:p>
    <w:p w14:paraId="6C98CBA8" w14:textId="5D174C03" w:rsidR="00540F02" w:rsidRPr="004E3141" w:rsidRDefault="00540F02" w:rsidP="002205D2">
      <w:pPr>
        <w:pStyle w:val="DHHSbody"/>
        <w:rPr>
          <w:rFonts w:cs="Arial"/>
          <w:sz w:val="21"/>
          <w:szCs w:val="21"/>
        </w:rPr>
      </w:pPr>
      <w:r w:rsidRPr="004E3141">
        <w:rPr>
          <w:rFonts w:cs="Arial"/>
          <w:sz w:val="21"/>
          <w:szCs w:val="21"/>
        </w:rPr>
        <w:t xml:space="preserve">Healthcare workers that are unable to comply due to a medical contraindication to </w:t>
      </w:r>
      <w:r w:rsidR="00742BD7" w:rsidRPr="004E3141">
        <w:rPr>
          <w:rFonts w:cs="Arial"/>
          <w:sz w:val="21"/>
          <w:szCs w:val="21"/>
        </w:rPr>
        <w:t xml:space="preserve">any </w:t>
      </w:r>
      <w:r w:rsidRPr="004E3141">
        <w:rPr>
          <w:rFonts w:cs="Arial"/>
          <w:sz w:val="21"/>
          <w:szCs w:val="21"/>
        </w:rPr>
        <w:t>vaccin</w:t>
      </w:r>
      <w:r w:rsidR="00913D02" w:rsidRPr="004E3141">
        <w:rPr>
          <w:rFonts w:cs="Arial"/>
          <w:sz w:val="21"/>
          <w:szCs w:val="21"/>
        </w:rPr>
        <w:t>ation</w:t>
      </w:r>
      <w:r w:rsidRPr="004E3141">
        <w:rPr>
          <w:rFonts w:cs="Arial"/>
          <w:sz w:val="21"/>
          <w:szCs w:val="21"/>
        </w:rPr>
        <w:t xml:space="preserve"> </w:t>
      </w:r>
      <w:r w:rsidRPr="001C224D">
        <w:rPr>
          <w:rFonts w:cs="Arial"/>
          <w:sz w:val="21"/>
          <w:szCs w:val="21"/>
        </w:rPr>
        <w:t>will not</w:t>
      </w:r>
      <w:r w:rsidRPr="004E3141">
        <w:rPr>
          <w:rFonts w:cs="Arial"/>
          <w:sz w:val="21"/>
          <w:szCs w:val="21"/>
        </w:rPr>
        <w:t xml:space="preserve"> have their employment terminated</w:t>
      </w:r>
      <w:r w:rsidR="00A51024" w:rsidRPr="004E3141">
        <w:rPr>
          <w:rFonts w:cs="Arial"/>
          <w:sz w:val="21"/>
          <w:szCs w:val="21"/>
        </w:rPr>
        <w:t xml:space="preserve"> </w:t>
      </w:r>
      <w:r w:rsidR="00A51024" w:rsidRPr="001C224D">
        <w:rPr>
          <w:rFonts w:cs="Arial"/>
          <w:sz w:val="21"/>
          <w:szCs w:val="21"/>
        </w:rPr>
        <w:t xml:space="preserve">nor be </w:t>
      </w:r>
      <w:r w:rsidR="007C3D17" w:rsidRPr="001C224D">
        <w:rPr>
          <w:rFonts w:cs="Arial"/>
          <w:sz w:val="21"/>
          <w:szCs w:val="21"/>
        </w:rPr>
        <w:t>discriminated against</w:t>
      </w:r>
      <w:r w:rsidR="007C3D17" w:rsidRPr="004E3141">
        <w:rPr>
          <w:rFonts w:cs="Arial"/>
          <w:sz w:val="21"/>
          <w:szCs w:val="21"/>
        </w:rPr>
        <w:t xml:space="preserve"> when seeking new employment.</w:t>
      </w:r>
    </w:p>
    <w:p w14:paraId="21D6D8B8" w14:textId="4DF15E30" w:rsidR="00E96FF4" w:rsidRPr="004E3141" w:rsidRDefault="002205D2" w:rsidP="002205D2">
      <w:pPr>
        <w:pStyle w:val="DHHSbody"/>
        <w:rPr>
          <w:rFonts w:cs="Arial"/>
          <w:bCs/>
          <w:sz w:val="21"/>
          <w:szCs w:val="21"/>
        </w:rPr>
      </w:pPr>
      <w:r w:rsidRPr="001C224D">
        <w:rPr>
          <w:rFonts w:cs="Arial"/>
          <w:bCs/>
          <w:sz w:val="21"/>
          <w:szCs w:val="21"/>
        </w:rPr>
        <w:t>Current and prospective healthcare workers</w:t>
      </w:r>
      <w:r w:rsidRPr="004E3141">
        <w:rPr>
          <w:rFonts w:cs="Arial"/>
          <w:bCs/>
          <w:sz w:val="21"/>
          <w:szCs w:val="21"/>
        </w:rPr>
        <w:t xml:space="preserve"> who are unable to be vaccinated due to temporary or permanent medical contraindications to </w:t>
      </w:r>
      <w:r w:rsidR="00F00D0A" w:rsidRPr="004E3141">
        <w:rPr>
          <w:rFonts w:cs="Arial"/>
          <w:bCs/>
          <w:sz w:val="21"/>
          <w:szCs w:val="21"/>
        </w:rPr>
        <w:t>vaccination must</w:t>
      </w:r>
      <w:r w:rsidRPr="004E3141">
        <w:rPr>
          <w:rFonts w:cs="Arial"/>
          <w:bCs/>
          <w:sz w:val="21"/>
          <w:szCs w:val="21"/>
        </w:rPr>
        <w:t xml:space="preserve"> provide documented evidence of this to their employer.</w:t>
      </w:r>
      <w:r w:rsidR="00B12747" w:rsidRPr="004E3141">
        <w:rPr>
          <w:rFonts w:cs="Arial"/>
          <w:bCs/>
          <w:sz w:val="21"/>
          <w:szCs w:val="21"/>
        </w:rPr>
        <w:t xml:space="preserve"> </w:t>
      </w:r>
    </w:p>
    <w:p w14:paraId="7235FDB2" w14:textId="4F36FF87" w:rsidR="00C77D70" w:rsidRPr="00F26B49" w:rsidRDefault="00E37F86" w:rsidP="002205D2">
      <w:pPr>
        <w:pStyle w:val="DHHSbody"/>
        <w:rPr>
          <w:rFonts w:cs="Arial"/>
          <w:sz w:val="21"/>
          <w:szCs w:val="21"/>
        </w:rPr>
      </w:pPr>
      <w:r w:rsidRPr="001C224D">
        <w:rPr>
          <w:rFonts w:cs="Arial"/>
          <w:sz w:val="21"/>
          <w:szCs w:val="21"/>
        </w:rPr>
        <w:t>Information about contraindications to influenza vaccination</w:t>
      </w:r>
      <w:r w:rsidRPr="00F26B49">
        <w:rPr>
          <w:rFonts w:cs="Arial"/>
          <w:sz w:val="21"/>
          <w:szCs w:val="21"/>
        </w:rPr>
        <w:t xml:space="preserve"> can be found </w:t>
      </w:r>
      <w:r w:rsidR="00E7657B" w:rsidRPr="00F26B49">
        <w:rPr>
          <w:rFonts w:cs="Arial"/>
          <w:sz w:val="21"/>
          <w:szCs w:val="21"/>
        </w:rPr>
        <w:t xml:space="preserve">on the </w:t>
      </w:r>
      <w:hyperlink r:id="rId28" w:history="1">
        <w:r w:rsidR="00E7657B" w:rsidRPr="00F26B49">
          <w:rPr>
            <w:rStyle w:val="Hyperlink"/>
            <w:rFonts w:cs="Arial"/>
            <w:i/>
            <w:iCs/>
            <w:sz w:val="21"/>
            <w:szCs w:val="21"/>
          </w:rPr>
          <w:t xml:space="preserve">Australian Immunisation Handbook </w:t>
        </w:r>
        <w:r w:rsidR="00E7657B" w:rsidRPr="00F26B49">
          <w:rPr>
            <w:rStyle w:val="Hyperlink"/>
            <w:rFonts w:cs="Arial"/>
            <w:sz w:val="21"/>
            <w:szCs w:val="21"/>
          </w:rPr>
          <w:t>website</w:t>
        </w:r>
      </w:hyperlink>
      <w:r w:rsidR="00292898" w:rsidRPr="00F26B49">
        <w:rPr>
          <w:rFonts w:cs="Arial"/>
          <w:sz w:val="21"/>
          <w:szCs w:val="21"/>
        </w:rPr>
        <w:t xml:space="preserve"> &lt;</w:t>
      </w:r>
      <w:r w:rsidR="004E79C9" w:rsidRPr="00F26B49">
        <w:rPr>
          <w:rFonts w:cs="Arial"/>
          <w:sz w:val="21"/>
          <w:szCs w:val="21"/>
        </w:rPr>
        <w:t>https://immunisationhandbook.health.gov.au/contents/vaccine-preventable-diseases/influenza-flu&gt;</w:t>
      </w:r>
      <w:r w:rsidR="00E7657B" w:rsidRPr="00F26B49">
        <w:rPr>
          <w:rFonts w:cs="Arial"/>
          <w:sz w:val="21"/>
          <w:szCs w:val="21"/>
        </w:rPr>
        <w:t>.</w:t>
      </w:r>
    </w:p>
    <w:p w14:paraId="135B2259" w14:textId="77777777" w:rsidR="00763681" w:rsidRDefault="00763681" w:rsidP="00FE07DE">
      <w:pPr>
        <w:pStyle w:val="Heading4"/>
        <w:numPr>
          <w:ilvl w:val="1"/>
          <w:numId w:val="18"/>
        </w:numPr>
        <w:rPr>
          <w:szCs w:val="24"/>
        </w:rPr>
      </w:pPr>
      <w:bookmarkStart w:id="102" w:name="_a_current_COVID-19"/>
      <w:bookmarkEnd w:id="102"/>
      <w:r w:rsidRPr="00597CE3">
        <w:rPr>
          <w:szCs w:val="24"/>
        </w:rPr>
        <w:t>Evidence required to demonstrate medical contraindication</w:t>
      </w:r>
      <w:r>
        <w:rPr>
          <w:szCs w:val="24"/>
        </w:rPr>
        <w:t xml:space="preserve"> for influenza vaccine</w:t>
      </w:r>
    </w:p>
    <w:p w14:paraId="2A41732B" w14:textId="0393B60B" w:rsidR="00763681" w:rsidRPr="00F26B49" w:rsidRDefault="002D1DE7" w:rsidP="00763681">
      <w:pPr>
        <w:pStyle w:val="Body"/>
        <w:rPr>
          <w:rFonts w:cs="Arial"/>
          <w:szCs w:val="21"/>
        </w:rPr>
      </w:pPr>
      <w:r>
        <w:rPr>
          <w:rFonts w:cs="Arial"/>
          <w:szCs w:val="21"/>
        </w:rPr>
        <w:t xml:space="preserve">The evidence required to note </w:t>
      </w:r>
      <w:r w:rsidR="00D540BA">
        <w:rPr>
          <w:rFonts w:cs="Arial"/>
          <w:szCs w:val="21"/>
        </w:rPr>
        <w:t>a contraindication to the influenza vaccines is signed documentation from a</w:t>
      </w:r>
      <w:r w:rsidR="00D540BA" w:rsidRPr="00F56540">
        <w:rPr>
          <w:rFonts w:cs="Arial"/>
        </w:rPr>
        <w:t xml:space="preserve"> medical practitioner that the</w:t>
      </w:r>
      <w:r w:rsidR="00D540BA">
        <w:rPr>
          <w:rFonts w:cs="Arial"/>
        </w:rPr>
        <w:t xml:space="preserve"> person </w:t>
      </w:r>
      <w:r w:rsidR="00D540BA" w:rsidRPr="00F56540">
        <w:rPr>
          <w:rFonts w:cs="Arial"/>
        </w:rPr>
        <w:t xml:space="preserve">cannot receive the seasonal influenza vaccine due to a medical contraindication, as defined by the </w:t>
      </w:r>
      <w:r w:rsidR="00D540BA" w:rsidRPr="00E51658">
        <w:rPr>
          <w:rFonts w:cs="Arial"/>
          <w:i/>
          <w:iCs/>
        </w:rPr>
        <w:t>Australian Immunisation Handbook</w:t>
      </w:r>
      <w:r w:rsidR="00D540BA">
        <w:rPr>
          <w:rFonts w:cs="Arial"/>
          <w:szCs w:val="21"/>
        </w:rPr>
        <w:t>.</w:t>
      </w:r>
    </w:p>
    <w:p w14:paraId="799BAD30" w14:textId="049336FF" w:rsidR="00FE0790" w:rsidRDefault="00A64641" w:rsidP="00BF3EAE">
      <w:pPr>
        <w:pStyle w:val="DHHSbody"/>
        <w:spacing w:after="240"/>
        <w:rPr>
          <w:rFonts w:cs="Arial"/>
          <w:sz w:val="21"/>
          <w:szCs w:val="21"/>
        </w:rPr>
      </w:pPr>
      <w:r w:rsidRPr="00F26B49">
        <w:rPr>
          <w:rFonts w:cs="Arial"/>
          <w:sz w:val="21"/>
          <w:szCs w:val="21"/>
        </w:rPr>
        <w:t xml:space="preserve">For all healthcare workers who have a medical contraindication, healthcare settings </w:t>
      </w:r>
      <w:r w:rsidR="002205D2" w:rsidRPr="00F26B49">
        <w:rPr>
          <w:rFonts w:cs="Arial"/>
          <w:sz w:val="21"/>
          <w:szCs w:val="21"/>
        </w:rPr>
        <w:t>must</w:t>
      </w:r>
      <w:r w:rsidR="001F47FA" w:rsidRPr="00F26B49">
        <w:rPr>
          <w:rFonts w:cs="Arial"/>
          <w:sz w:val="21"/>
          <w:szCs w:val="21"/>
        </w:rPr>
        <w:t xml:space="preserve"> sight evidence of </w:t>
      </w:r>
      <w:r w:rsidR="00F93B95" w:rsidRPr="00F26B49">
        <w:rPr>
          <w:rFonts w:cs="Arial"/>
          <w:sz w:val="21"/>
          <w:szCs w:val="21"/>
        </w:rPr>
        <w:t>the contraindication</w:t>
      </w:r>
      <w:r w:rsidR="009D7727" w:rsidRPr="00F26B49">
        <w:rPr>
          <w:rFonts w:cs="Arial"/>
          <w:sz w:val="21"/>
          <w:szCs w:val="21"/>
        </w:rPr>
        <w:t xml:space="preserve"> and record compliance with the policy</w:t>
      </w:r>
      <w:r w:rsidR="00FC2E3A" w:rsidRPr="00F26B49">
        <w:rPr>
          <w:rFonts w:cs="Arial"/>
          <w:sz w:val="21"/>
          <w:szCs w:val="21"/>
        </w:rPr>
        <w:t>.</w:t>
      </w:r>
      <w:r w:rsidR="009D7727" w:rsidRPr="00F26B49">
        <w:rPr>
          <w:rFonts w:cs="Arial"/>
          <w:sz w:val="21"/>
          <w:szCs w:val="21"/>
        </w:rPr>
        <w:t xml:space="preserve"> </w:t>
      </w:r>
      <w:r w:rsidR="001B0169" w:rsidRPr="00F26B49">
        <w:rPr>
          <w:rFonts w:cs="Arial"/>
          <w:sz w:val="21"/>
          <w:szCs w:val="21"/>
        </w:rPr>
        <w:t xml:space="preserve">Once evidence has been sighted, it must be deleted or destroyed following </w:t>
      </w:r>
      <w:r w:rsidR="0FE33AB3" w:rsidRPr="00F26B49">
        <w:rPr>
          <w:rFonts w:cs="Arial"/>
          <w:sz w:val="21"/>
          <w:szCs w:val="21"/>
        </w:rPr>
        <w:t xml:space="preserve">the </w:t>
      </w:r>
      <w:r w:rsidR="001B0169" w:rsidRPr="00F26B49">
        <w:rPr>
          <w:rFonts w:cs="Arial"/>
          <w:sz w:val="21"/>
          <w:szCs w:val="21"/>
        </w:rPr>
        <w:t>usual process for confidential information. If it is retained, it must be stored in compliance with relevant privacy and data protection legislation</w:t>
      </w:r>
      <w:r w:rsidR="003577F6" w:rsidRPr="00F26B49">
        <w:rPr>
          <w:rFonts w:cs="Arial"/>
          <w:sz w:val="21"/>
          <w:szCs w:val="21"/>
        </w:rPr>
        <w:t>.</w:t>
      </w:r>
      <w:r w:rsidR="009D7727" w:rsidRPr="00F26B49">
        <w:rPr>
          <w:rFonts w:cs="Arial"/>
          <w:sz w:val="21"/>
          <w:szCs w:val="21"/>
        </w:rPr>
        <w:t xml:space="preserve"> </w:t>
      </w:r>
      <w:r w:rsidR="00CA2CBE" w:rsidRPr="00F26B49">
        <w:rPr>
          <w:rFonts w:cs="Arial"/>
          <w:sz w:val="21"/>
          <w:szCs w:val="21"/>
        </w:rPr>
        <w:t>Where a w</w:t>
      </w:r>
      <w:r w:rsidR="003D2247" w:rsidRPr="00F26B49">
        <w:rPr>
          <w:rFonts w:cs="Arial"/>
          <w:sz w:val="21"/>
          <w:szCs w:val="21"/>
        </w:rPr>
        <w:t>orker</w:t>
      </w:r>
      <w:r w:rsidR="00CA2CBE" w:rsidRPr="00F26B49">
        <w:rPr>
          <w:rFonts w:cs="Arial"/>
          <w:sz w:val="21"/>
          <w:szCs w:val="21"/>
        </w:rPr>
        <w:t xml:space="preserve"> has a medical contraindication to vaccination, the health service should also assess their</w:t>
      </w:r>
      <w:r w:rsidR="00045F3D" w:rsidRPr="00F26B49">
        <w:rPr>
          <w:rFonts w:cs="Arial"/>
          <w:sz w:val="21"/>
          <w:szCs w:val="21"/>
        </w:rPr>
        <w:t xml:space="preserve"> role and duties </w:t>
      </w:r>
      <w:r w:rsidR="002205D2" w:rsidRPr="00F26B49">
        <w:rPr>
          <w:rFonts w:cs="Arial"/>
          <w:sz w:val="21"/>
          <w:szCs w:val="21"/>
        </w:rPr>
        <w:t xml:space="preserve">to ensure the health and safety of </w:t>
      </w:r>
      <w:r w:rsidR="00CA2CBE" w:rsidRPr="00F26B49">
        <w:rPr>
          <w:rFonts w:cs="Arial"/>
          <w:sz w:val="21"/>
          <w:szCs w:val="21"/>
        </w:rPr>
        <w:t xml:space="preserve">patients, </w:t>
      </w:r>
      <w:r w:rsidR="002205D2" w:rsidRPr="00F26B49">
        <w:rPr>
          <w:rFonts w:cs="Arial"/>
          <w:sz w:val="21"/>
          <w:szCs w:val="21"/>
        </w:rPr>
        <w:t>the worker and others is mai</w:t>
      </w:r>
      <w:r w:rsidR="002205D2" w:rsidRPr="00CD639A">
        <w:rPr>
          <w:rFonts w:cs="Arial"/>
          <w:sz w:val="21"/>
          <w:szCs w:val="21"/>
        </w:rPr>
        <w:t>ntaine</w:t>
      </w:r>
      <w:r w:rsidR="00CD639A" w:rsidRPr="001C224D">
        <w:rPr>
          <w:sz w:val="21"/>
          <w:szCs w:val="21"/>
        </w:rPr>
        <w:t>d</w:t>
      </w:r>
      <w:r w:rsidR="002205D2" w:rsidRPr="00CD639A">
        <w:rPr>
          <w:rFonts w:cs="Arial"/>
          <w:sz w:val="21"/>
          <w:szCs w:val="21"/>
        </w:rPr>
        <w:t xml:space="preserve">.  </w:t>
      </w:r>
    </w:p>
    <w:p w14:paraId="206D0EF3" w14:textId="1155E555" w:rsidR="002205D2" w:rsidRPr="006A2090" w:rsidRDefault="008D2BB3" w:rsidP="00FE07DE">
      <w:pPr>
        <w:pStyle w:val="Heading1"/>
        <w:numPr>
          <w:ilvl w:val="0"/>
          <w:numId w:val="12"/>
        </w:numPr>
        <w:spacing w:after="0"/>
      </w:pPr>
      <w:bookmarkStart w:id="103" w:name="_Toc176360409"/>
      <w:bookmarkStart w:id="104" w:name="_Toc176360410"/>
      <w:bookmarkStart w:id="105" w:name="_Toc176358950"/>
      <w:bookmarkStart w:id="106" w:name="_Toc176360411"/>
      <w:bookmarkStart w:id="107" w:name="_Toc176358951"/>
      <w:bookmarkStart w:id="108" w:name="_Toc176360412"/>
      <w:bookmarkStart w:id="109" w:name="_Toc170991305"/>
      <w:bookmarkStart w:id="110" w:name="_Toc171085971"/>
      <w:bookmarkStart w:id="111" w:name="_Toc171321562"/>
      <w:bookmarkStart w:id="112" w:name="_Toc170991306"/>
      <w:bookmarkStart w:id="113" w:name="_Toc171085972"/>
      <w:bookmarkStart w:id="114" w:name="_Toc171321563"/>
      <w:bookmarkStart w:id="115" w:name="_Toc170991307"/>
      <w:bookmarkStart w:id="116" w:name="_Toc171085973"/>
      <w:bookmarkStart w:id="117" w:name="_Toc171321564"/>
      <w:bookmarkStart w:id="118" w:name="_Toc170991308"/>
      <w:bookmarkStart w:id="119" w:name="_Toc171085974"/>
      <w:bookmarkStart w:id="120" w:name="_Toc171321565"/>
      <w:bookmarkStart w:id="121" w:name="_Toc170991309"/>
      <w:bookmarkStart w:id="122" w:name="_Toc171085975"/>
      <w:bookmarkStart w:id="123" w:name="_Toc171321566"/>
      <w:bookmarkStart w:id="124" w:name="_Toc170991310"/>
      <w:bookmarkStart w:id="125" w:name="_Toc171085976"/>
      <w:bookmarkStart w:id="126" w:name="_Toc171321567"/>
      <w:bookmarkStart w:id="127" w:name="_Toc170991311"/>
      <w:bookmarkStart w:id="128" w:name="_Toc171085977"/>
      <w:bookmarkStart w:id="129" w:name="_Toc171321568"/>
      <w:bookmarkStart w:id="130" w:name="_Toc170991312"/>
      <w:bookmarkStart w:id="131" w:name="_Toc171085978"/>
      <w:bookmarkStart w:id="132" w:name="_Toc171321569"/>
      <w:bookmarkStart w:id="133" w:name="_Toc170991313"/>
      <w:bookmarkStart w:id="134" w:name="_Toc171085979"/>
      <w:bookmarkStart w:id="135" w:name="_Toc171321570"/>
      <w:bookmarkStart w:id="136" w:name="_Toc170991314"/>
      <w:bookmarkStart w:id="137" w:name="_Toc171085980"/>
      <w:bookmarkStart w:id="138" w:name="_Toc171321571"/>
      <w:bookmarkStart w:id="139" w:name="_Toc170991315"/>
      <w:bookmarkStart w:id="140" w:name="_Toc171085981"/>
      <w:bookmarkStart w:id="141" w:name="_Toc171321572"/>
      <w:bookmarkStart w:id="142" w:name="_Toc46399889"/>
      <w:bookmarkStart w:id="143" w:name="_Toc171321573"/>
      <w:bookmarkStart w:id="144" w:name="_Toc176360414"/>
      <w:bookmarkStart w:id="145" w:name="_Toc11336285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6A2090">
        <w:t>Va</w:t>
      </w:r>
      <w:r w:rsidR="002205D2" w:rsidRPr="006A2090">
        <w:t>ccine refusal</w:t>
      </w:r>
      <w:bookmarkEnd w:id="142"/>
      <w:bookmarkEnd w:id="143"/>
      <w:bookmarkEnd w:id="144"/>
      <w:r w:rsidR="002205D2" w:rsidRPr="006A2090">
        <w:t xml:space="preserve"> </w:t>
      </w:r>
      <w:bookmarkEnd w:id="145"/>
    </w:p>
    <w:p w14:paraId="53FB56D7" w14:textId="77777777" w:rsidR="004366D9" w:rsidRDefault="0091104C" w:rsidP="00CD639A">
      <w:pPr>
        <w:pStyle w:val="Body"/>
      </w:pPr>
      <w:r w:rsidRPr="00CD639A">
        <w:t>V</w:t>
      </w:r>
      <w:r w:rsidR="002205D2" w:rsidRPr="00CD639A">
        <w:t>accination</w:t>
      </w:r>
      <w:r w:rsidR="00B126EF" w:rsidRPr="00CD639A">
        <w:t>s</w:t>
      </w:r>
      <w:r w:rsidR="002205D2" w:rsidRPr="00CD639A">
        <w:t xml:space="preserve"> require</w:t>
      </w:r>
      <w:r w:rsidR="006F34E0" w:rsidRPr="00CD639A">
        <w:t>d via Directions</w:t>
      </w:r>
      <w:r w:rsidR="002205D2" w:rsidRPr="00CD639A">
        <w:t xml:space="preserve"> do not allow for objections to vaccination by healthcare workers for non-medical reasons. </w:t>
      </w:r>
    </w:p>
    <w:p w14:paraId="6E89849B" w14:textId="20ACC53D" w:rsidR="004366D9" w:rsidRDefault="004366D9" w:rsidP="00CD639A">
      <w:pPr>
        <w:pStyle w:val="Body"/>
      </w:pPr>
      <w:r w:rsidRPr="00F26B49">
        <w:t>Employees who may be vaccine hesitant or choose not to be vaccinated where it is required should be encouraged to speak to trusted medical professionals about vaccination and encouraged to access reputable and reliable information about vaccination and vaccines</w:t>
      </w:r>
      <w:r>
        <w:t>.</w:t>
      </w:r>
      <w:r w:rsidRPr="00F26B49">
        <w:t xml:space="preserve"> Education about vaccine safety and the rigorous approval process for vaccines to be used in Australia may also be helpful. </w:t>
      </w:r>
    </w:p>
    <w:p w14:paraId="7354365B" w14:textId="7845C367" w:rsidR="00CD639A" w:rsidRDefault="00000000" w:rsidP="00CD639A">
      <w:pPr>
        <w:pStyle w:val="Body"/>
      </w:pPr>
      <w:hyperlink w:anchor="_Table_4._Potential" w:history="1">
        <w:r w:rsidR="00AA3E1C" w:rsidRPr="001C224D">
          <w:rPr>
            <w:rStyle w:val="Hyperlink"/>
            <w:color w:val="auto"/>
            <w:u w:val="none"/>
          </w:rPr>
          <w:fldChar w:fldCharType="begin"/>
        </w:r>
        <w:r w:rsidR="00AA3E1C" w:rsidRPr="001C224D">
          <w:instrText xml:space="preserve"> REF _Ref171589225 \r \h </w:instrText>
        </w:r>
        <w:r w:rsidR="00CD639A">
          <w:rPr>
            <w:rStyle w:val="Hyperlink"/>
            <w:color w:val="auto"/>
            <w:u w:val="none"/>
          </w:rPr>
          <w:instrText xml:space="preserve"> \* MERGEFORMAT </w:instrText>
        </w:r>
        <w:r w:rsidR="00AA3E1C" w:rsidRPr="001C224D">
          <w:rPr>
            <w:rStyle w:val="Hyperlink"/>
            <w:color w:val="auto"/>
            <w:u w:val="none"/>
          </w:rPr>
        </w:r>
        <w:r w:rsidR="00AA3E1C" w:rsidRPr="001C224D">
          <w:rPr>
            <w:rStyle w:val="Hyperlink"/>
            <w:color w:val="auto"/>
            <w:u w:val="none"/>
          </w:rPr>
          <w:fldChar w:fldCharType="separate"/>
        </w:r>
        <w:r w:rsidR="00AA3E1C" w:rsidRPr="001C224D">
          <w:t xml:space="preserve">Table </w:t>
        </w:r>
        <w:r w:rsidR="006820C5">
          <w:t>2</w:t>
        </w:r>
        <w:r w:rsidR="00AA3E1C" w:rsidRPr="001C224D">
          <w:t xml:space="preserve"> </w:t>
        </w:r>
        <w:r w:rsidR="00AA3E1C" w:rsidRPr="001C224D">
          <w:rPr>
            <w:rStyle w:val="Hyperlink"/>
            <w:color w:val="auto"/>
            <w:u w:val="none"/>
          </w:rPr>
          <w:fldChar w:fldCharType="end"/>
        </w:r>
      </w:hyperlink>
      <w:r w:rsidR="00F067F5" w:rsidRPr="00CD639A">
        <w:t xml:space="preserve">outlines potential consequences </w:t>
      </w:r>
      <w:r w:rsidR="00C26C42" w:rsidRPr="00CD639A">
        <w:t xml:space="preserve">of vaccine refusal per worker </w:t>
      </w:r>
      <w:r w:rsidR="00997DD3" w:rsidRPr="00CD639A">
        <w:t>group</w:t>
      </w:r>
      <w:r w:rsidR="00386C16" w:rsidRPr="00CD639A">
        <w:t>.</w:t>
      </w:r>
    </w:p>
    <w:p w14:paraId="763935CC" w14:textId="09A5087B" w:rsidR="00B62B18" w:rsidRPr="00CD639A" w:rsidDel="007A254E" w:rsidRDefault="00B62B18" w:rsidP="001C224D">
      <w:pPr>
        <w:pStyle w:val="Tablecaption"/>
      </w:pPr>
      <w:r>
        <w:lastRenderedPageBreak/>
        <w:t xml:space="preserve">Table </w:t>
      </w:r>
      <w:r w:rsidR="006820C5">
        <w:t>2</w:t>
      </w:r>
      <w:r>
        <w:t>:</w:t>
      </w:r>
      <w:r w:rsidR="00997DD3" w:rsidRPr="00CD639A">
        <w:t xml:space="preserve"> </w:t>
      </w:r>
      <w:r w:rsidRPr="00805B36">
        <w:t xml:space="preserve">Potential consequences of influenza vaccine non-compliance/refusal </w:t>
      </w:r>
    </w:p>
    <w:tbl>
      <w:tblPr>
        <w:tblStyle w:val="TableGrid"/>
        <w:tblW w:w="10060" w:type="dxa"/>
        <w:tblLook w:val="04A0" w:firstRow="1" w:lastRow="0" w:firstColumn="1" w:lastColumn="0" w:noHBand="0" w:noVBand="1"/>
      </w:tblPr>
      <w:tblGrid>
        <w:gridCol w:w="2830"/>
        <w:gridCol w:w="7230"/>
      </w:tblGrid>
      <w:tr w:rsidR="00B62B18" w:rsidRPr="00F56540" w14:paraId="794AD196" w14:textId="77777777" w:rsidTr="001C224D">
        <w:tc>
          <w:tcPr>
            <w:tcW w:w="2830" w:type="dxa"/>
            <w:shd w:val="clear" w:color="auto" w:fill="auto"/>
          </w:tcPr>
          <w:p w14:paraId="0BD1DB1C" w14:textId="77777777" w:rsidR="00B62B18" w:rsidRPr="00B62B18" w:rsidRDefault="00B62B18" w:rsidP="00C12511">
            <w:pPr>
              <w:pStyle w:val="DHHSbody"/>
              <w:rPr>
                <w:rFonts w:cs="Arial"/>
                <w:b/>
              </w:rPr>
            </w:pPr>
            <w:r w:rsidRPr="00B62B18">
              <w:rPr>
                <w:rFonts w:cs="Arial"/>
                <w:b/>
              </w:rPr>
              <w:t>Prospective healthcare workers</w:t>
            </w:r>
          </w:p>
        </w:tc>
        <w:tc>
          <w:tcPr>
            <w:tcW w:w="7230" w:type="dxa"/>
            <w:shd w:val="clear" w:color="auto" w:fill="auto"/>
          </w:tcPr>
          <w:p w14:paraId="764F4AF5" w14:textId="1B431FBE" w:rsidR="00B62B18" w:rsidRPr="00F56540" w:rsidRDefault="00B62B18" w:rsidP="00C12511">
            <w:pPr>
              <w:pStyle w:val="DHHSbody"/>
              <w:rPr>
                <w:rFonts w:cs="Arial"/>
                <w:b/>
              </w:rPr>
            </w:pPr>
            <w:r w:rsidRPr="00B62B18">
              <w:rPr>
                <w:rFonts w:cs="Arial"/>
              </w:rPr>
              <w:t xml:space="preserve">New Category A or B </w:t>
            </w:r>
            <w:r w:rsidR="00EF55C7">
              <w:rPr>
                <w:rFonts w:cs="Arial"/>
              </w:rPr>
              <w:t xml:space="preserve">healthcare </w:t>
            </w:r>
            <w:r w:rsidRPr="00B62B18">
              <w:rPr>
                <w:rFonts w:cs="Arial"/>
              </w:rPr>
              <w:t xml:space="preserve">workers are expected to be compliant with the influenza vaccination policy prior to commencing at the relevant setting and may not be employed or engaged by the healthcare setting if they refuse to be vaccinated </w:t>
            </w:r>
            <w:r w:rsidR="00422D57">
              <w:rPr>
                <w:rFonts w:cs="Arial"/>
              </w:rPr>
              <w:t>against</w:t>
            </w:r>
            <w:r w:rsidRPr="00B62B18">
              <w:rPr>
                <w:rFonts w:cs="Arial"/>
              </w:rPr>
              <w:t xml:space="preserve"> influenza.</w:t>
            </w:r>
          </w:p>
        </w:tc>
      </w:tr>
      <w:tr w:rsidR="00B62B18" w:rsidRPr="00F56540" w14:paraId="04644978" w14:textId="77777777" w:rsidTr="001C224D">
        <w:tc>
          <w:tcPr>
            <w:tcW w:w="2830" w:type="dxa"/>
          </w:tcPr>
          <w:p w14:paraId="46575BB5" w14:textId="11C1CB04" w:rsidR="00B62B18" w:rsidRPr="00F56540" w:rsidRDefault="00B62B18" w:rsidP="00B62B18">
            <w:pPr>
              <w:pStyle w:val="DHHSbody"/>
              <w:rPr>
                <w:rFonts w:cs="Arial"/>
              </w:rPr>
            </w:pPr>
            <w:r w:rsidRPr="00F56540">
              <w:rPr>
                <w:rFonts w:cs="Arial"/>
                <w:b/>
              </w:rPr>
              <w:t>Current healthcare workers</w:t>
            </w:r>
          </w:p>
        </w:tc>
        <w:tc>
          <w:tcPr>
            <w:tcW w:w="7230" w:type="dxa"/>
          </w:tcPr>
          <w:p w14:paraId="4D82CAC1" w14:textId="77777777" w:rsidR="00B62B18" w:rsidRPr="00F56540" w:rsidRDefault="00B62B18" w:rsidP="00B62B18">
            <w:pPr>
              <w:pStyle w:val="DHHSbody"/>
              <w:spacing w:line="276" w:lineRule="auto"/>
              <w:rPr>
                <w:rFonts w:cs="Arial"/>
              </w:rPr>
            </w:pPr>
            <w:r w:rsidRPr="00F56540">
              <w:rPr>
                <w:rFonts w:cs="Arial"/>
              </w:rPr>
              <w:t xml:space="preserve">Current Category A or B workers who refuse the influenza vaccine can continue to be employed or </w:t>
            </w:r>
            <w:r>
              <w:rPr>
                <w:rFonts w:cs="Arial"/>
              </w:rPr>
              <w:t>engaged</w:t>
            </w:r>
            <w:r w:rsidRPr="00F56540">
              <w:rPr>
                <w:rFonts w:cs="Arial"/>
              </w:rPr>
              <w:t xml:space="preserve"> by a health service after a</w:t>
            </w:r>
            <w:r>
              <w:rPr>
                <w:rFonts w:cs="Arial"/>
              </w:rPr>
              <w:t xml:space="preserve">n </w:t>
            </w:r>
            <w:r w:rsidRPr="00F56540">
              <w:rPr>
                <w:rFonts w:cs="Arial"/>
              </w:rPr>
              <w:t>assessment has been completed by the health setting to ensure that the health and safety of the worker and others is maintained</w:t>
            </w:r>
            <w:r>
              <w:rPr>
                <w:rFonts w:cs="Arial"/>
              </w:rPr>
              <w:t xml:space="preserve"> if they are not vaccinated</w:t>
            </w:r>
            <w:r w:rsidRPr="00F56540">
              <w:rPr>
                <w:rFonts w:cs="Arial"/>
              </w:rPr>
              <w:t xml:space="preserve">. </w:t>
            </w:r>
          </w:p>
          <w:p w14:paraId="7A8F434D" w14:textId="2DA93477" w:rsidR="00B62B18" w:rsidRPr="00F56540" w:rsidRDefault="00B62B18" w:rsidP="00B62B18">
            <w:pPr>
              <w:pStyle w:val="DHHSbody"/>
              <w:spacing w:line="276" w:lineRule="auto"/>
              <w:rPr>
                <w:rFonts w:cs="Arial"/>
              </w:rPr>
            </w:pPr>
            <w:r w:rsidRPr="00F56540">
              <w:rPr>
                <w:rFonts w:cs="Arial"/>
              </w:rPr>
              <w:t xml:space="preserve">Termination of employment may be considered </w:t>
            </w:r>
            <w:r>
              <w:rPr>
                <w:rFonts w:cs="Arial"/>
              </w:rPr>
              <w:t xml:space="preserve">if </w:t>
            </w:r>
            <w:r w:rsidRPr="00F56540">
              <w:rPr>
                <w:rFonts w:cs="Arial"/>
              </w:rPr>
              <w:t xml:space="preserve">the risk of contracting or transmitting influenza infection cannot be appropriately managed via other means. </w:t>
            </w:r>
          </w:p>
        </w:tc>
      </w:tr>
      <w:tr w:rsidR="00B62B18" w:rsidRPr="00F56540" w14:paraId="26773296" w14:textId="77777777" w:rsidTr="001C224D">
        <w:tc>
          <w:tcPr>
            <w:tcW w:w="2830" w:type="dxa"/>
          </w:tcPr>
          <w:p w14:paraId="72B3FA8D" w14:textId="423F3C15" w:rsidR="00B62B18" w:rsidRPr="00F56540" w:rsidRDefault="00B62B18" w:rsidP="00B62B18">
            <w:pPr>
              <w:pStyle w:val="DHHSbody"/>
              <w:rPr>
                <w:rFonts w:cs="Arial"/>
                <w:b/>
              </w:rPr>
            </w:pPr>
            <w:r w:rsidRPr="00F56540">
              <w:rPr>
                <w:rFonts w:cs="Arial"/>
                <w:b/>
              </w:rPr>
              <w:t>Contractors or VMOs</w:t>
            </w:r>
          </w:p>
        </w:tc>
        <w:tc>
          <w:tcPr>
            <w:tcW w:w="7230" w:type="dxa"/>
          </w:tcPr>
          <w:p w14:paraId="55F9D2AA" w14:textId="161541C5" w:rsidR="00B62B18" w:rsidRDefault="00B62B18" w:rsidP="00B62B18">
            <w:pPr>
              <w:pStyle w:val="DHHSbody"/>
              <w:rPr>
                <w:rFonts w:cs="Arial"/>
              </w:rPr>
            </w:pPr>
            <w:r>
              <w:rPr>
                <w:rFonts w:cs="Arial"/>
              </w:rPr>
              <w:t>Prospective c</w:t>
            </w:r>
            <w:r w:rsidRPr="00F56540">
              <w:rPr>
                <w:rFonts w:cs="Arial"/>
              </w:rPr>
              <w:t>ontractors and VMOs</w:t>
            </w:r>
            <w:r w:rsidR="00A0529C">
              <w:rPr>
                <w:rFonts w:cs="Arial"/>
              </w:rPr>
              <w:t>,</w:t>
            </w:r>
            <w:r w:rsidRPr="00F56540">
              <w:rPr>
                <w:rFonts w:cs="Arial"/>
              </w:rPr>
              <w:t xml:space="preserve"> </w:t>
            </w:r>
            <w:r w:rsidR="00A4601F">
              <w:rPr>
                <w:rFonts w:cs="Arial"/>
              </w:rPr>
              <w:t xml:space="preserve">that meet the definition of a healthcare worker </w:t>
            </w:r>
            <w:r w:rsidR="00A0529C">
              <w:rPr>
                <w:rFonts w:cs="Arial"/>
              </w:rPr>
              <w:t xml:space="preserve">under the Directions, </w:t>
            </w:r>
            <w:r>
              <w:rPr>
                <w:rFonts w:cs="Arial"/>
              </w:rPr>
              <w:t xml:space="preserve">may </w:t>
            </w:r>
            <w:r w:rsidRPr="00F56540">
              <w:rPr>
                <w:rFonts w:cs="Arial"/>
              </w:rPr>
              <w:t xml:space="preserve">not be </w:t>
            </w:r>
            <w:r w:rsidRPr="006554CC">
              <w:rPr>
                <w:rFonts w:cs="Arial"/>
              </w:rPr>
              <w:t xml:space="preserve">employed or </w:t>
            </w:r>
            <w:r>
              <w:rPr>
                <w:rFonts w:cs="Arial"/>
              </w:rPr>
              <w:t xml:space="preserve">engaged </w:t>
            </w:r>
            <w:r w:rsidRPr="00F56540">
              <w:rPr>
                <w:rFonts w:cs="Arial"/>
              </w:rPr>
              <w:t xml:space="preserve">if they refuse to be vaccinated </w:t>
            </w:r>
            <w:r>
              <w:rPr>
                <w:rFonts w:cs="Arial"/>
              </w:rPr>
              <w:t>for</w:t>
            </w:r>
            <w:r w:rsidRPr="00F56540">
              <w:rPr>
                <w:rFonts w:cs="Arial"/>
              </w:rPr>
              <w:t xml:space="preserve"> influenza</w:t>
            </w:r>
            <w:r>
              <w:rPr>
                <w:rFonts w:cs="Arial"/>
              </w:rPr>
              <w:t xml:space="preserve">. </w:t>
            </w:r>
          </w:p>
          <w:p w14:paraId="7D9FE915" w14:textId="6C13AE01" w:rsidR="00B62B18" w:rsidRPr="00F56540" w:rsidRDefault="00B62B18" w:rsidP="00B62B18">
            <w:pPr>
              <w:pStyle w:val="DHHSbody"/>
              <w:spacing w:line="276" w:lineRule="auto"/>
              <w:rPr>
                <w:rFonts w:cs="Arial"/>
              </w:rPr>
            </w:pPr>
            <w:r>
              <w:rPr>
                <w:rFonts w:cs="Arial"/>
              </w:rPr>
              <w:t xml:space="preserve">Current contractors or VMOs can be managed as “current healthcare </w:t>
            </w:r>
            <w:r w:rsidRPr="0088155A">
              <w:rPr>
                <w:rFonts w:cs="Arial"/>
              </w:rPr>
              <w:t>workers”</w:t>
            </w:r>
            <w:r>
              <w:rPr>
                <w:rFonts w:cs="Arial"/>
              </w:rPr>
              <w:t>.</w:t>
            </w:r>
          </w:p>
        </w:tc>
      </w:tr>
      <w:tr w:rsidR="00B62B18" w:rsidRPr="00F56540" w14:paraId="28CEBB50" w14:textId="77777777" w:rsidTr="001C224D">
        <w:tc>
          <w:tcPr>
            <w:tcW w:w="2830" w:type="dxa"/>
          </w:tcPr>
          <w:p w14:paraId="3DEE48E6" w14:textId="50237C62" w:rsidR="00B62B18" w:rsidRPr="00F56540" w:rsidRDefault="00B62B18" w:rsidP="00B62B18">
            <w:pPr>
              <w:pStyle w:val="DHHSbody"/>
              <w:rPr>
                <w:rFonts w:cs="Arial"/>
                <w:b/>
              </w:rPr>
            </w:pPr>
            <w:r w:rsidRPr="00F56540">
              <w:rPr>
                <w:rFonts w:cs="Arial"/>
                <w:b/>
              </w:rPr>
              <w:t>Students and volunteers</w:t>
            </w:r>
          </w:p>
        </w:tc>
        <w:tc>
          <w:tcPr>
            <w:tcW w:w="7230" w:type="dxa"/>
          </w:tcPr>
          <w:p w14:paraId="796F8288" w14:textId="5762A52D" w:rsidR="00B62B18" w:rsidRDefault="00B62B18" w:rsidP="001C224D">
            <w:pPr>
              <w:pStyle w:val="DHHSbody"/>
              <w:spacing w:after="240"/>
              <w:rPr>
                <w:rFonts w:cs="Arial"/>
              </w:rPr>
            </w:pPr>
            <w:r w:rsidRPr="00F56540">
              <w:rPr>
                <w:rFonts w:cs="Arial"/>
              </w:rPr>
              <w:t>Students and volunteers are not directly subject to the</w:t>
            </w:r>
            <w:r w:rsidR="00FE54F1">
              <w:rPr>
                <w:rFonts w:cs="Arial"/>
              </w:rPr>
              <w:t xml:space="preserve"> </w:t>
            </w:r>
            <w:r w:rsidRPr="02CCA15E">
              <w:rPr>
                <w:rFonts w:cs="Arial"/>
              </w:rPr>
              <w:t>D</w:t>
            </w:r>
            <w:r w:rsidRPr="00F56540">
              <w:rPr>
                <w:rFonts w:cs="Arial"/>
              </w:rPr>
              <w:t xml:space="preserve">irections; however, a health service may reasonably require that they meet influenza vaccination requirements under </w:t>
            </w:r>
            <w:r w:rsidR="00FE54F1">
              <w:rPr>
                <w:rFonts w:cs="Arial"/>
              </w:rPr>
              <w:t>their own vaccination policies</w:t>
            </w:r>
            <w:r w:rsidRPr="00F56540">
              <w:rPr>
                <w:rFonts w:cs="Arial"/>
              </w:rPr>
              <w:t xml:space="preserve"> policy prior to </w:t>
            </w:r>
            <w:r w:rsidR="00C6735D">
              <w:rPr>
                <w:rFonts w:cs="Arial"/>
              </w:rPr>
              <w:t xml:space="preserve">them </w:t>
            </w:r>
            <w:r w:rsidRPr="00F56540">
              <w:rPr>
                <w:rFonts w:cs="Arial"/>
              </w:rPr>
              <w:t xml:space="preserve">commencing roles or placements within the settings. </w:t>
            </w:r>
          </w:p>
        </w:tc>
      </w:tr>
    </w:tbl>
    <w:p w14:paraId="6316C2A0" w14:textId="362D3953" w:rsidR="002205D2" w:rsidRPr="009459B8" w:rsidRDefault="009F070A" w:rsidP="00FE07DE">
      <w:pPr>
        <w:pStyle w:val="Heading1"/>
        <w:numPr>
          <w:ilvl w:val="0"/>
          <w:numId w:val="12"/>
        </w:numPr>
        <w:spacing w:after="0"/>
      </w:pPr>
      <w:bookmarkStart w:id="146" w:name="_Toc176358954"/>
      <w:bookmarkStart w:id="147" w:name="_Toc176358955"/>
      <w:bookmarkStart w:id="148" w:name="_Toc176360415"/>
      <w:bookmarkStart w:id="149" w:name="_Table_4._Potential"/>
      <w:bookmarkStart w:id="150" w:name="_Toc176358956"/>
      <w:bookmarkStart w:id="151" w:name="_Toc176360416"/>
      <w:bookmarkStart w:id="152" w:name="_9._Managing_risk"/>
      <w:bookmarkStart w:id="153" w:name="_Toc46399890"/>
      <w:bookmarkStart w:id="154" w:name="_Toc113362853"/>
      <w:bookmarkStart w:id="155" w:name="_Toc171321574"/>
      <w:bookmarkStart w:id="156" w:name="_Ref171588990"/>
      <w:bookmarkStart w:id="157" w:name="_Ref171588998"/>
      <w:bookmarkStart w:id="158" w:name="_Ref171589169"/>
      <w:bookmarkStart w:id="159" w:name="_Ref171589190"/>
      <w:bookmarkStart w:id="160" w:name="_Toc176360430"/>
      <w:bookmarkEnd w:id="146"/>
      <w:bookmarkEnd w:id="147"/>
      <w:bookmarkEnd w:id="148"/>
      <w:bookmarkEnd w:id="149"/>
      <w:bookmarkEnd w:id="150"/>
      <w:bookmarkEnd w:id="151"/>
      <w:bookmarkEnd w:id="152"/>
      <w:r>
        <w:t>M</w:t>
      </w:r>
      <w:r w:rsidR="002205D2" w:rsidRPr="009459B8">
        <w:t>anaging risk</w:t>
      </w:r>
      <w:bookmarkEnd w:id="153"/>
      <w:bookmarkEnd w:id="154"/>
      <w:bookmarkEnd w:id="155"/>
      <w:bookmarkEnd w:id="156"/>
      <w:bookmarkEnd w:id="157"/>
      <w:bookmarkEnd w:id="158"/>
      <w:bookmarkEnd w:id="159"/>
      <w:bookmarkEnd w:id="160"/>
    </w:p>
    <w:p w14:paraId="7B355FA5" w14:textId="3109A25C" w:rsidR="002205D2" w:rsidRPr="00CD761A" w:rsidRDefault="002205D2" w:rsidP="00FE07DE">
      <w:pPr>
        <w:pStyle w:val="Heading4"/>
        <w:numPr>
          <w:ilvl w:val="1"/>
          <w:numId w:val="19"/>
        </w:numPr>
      </w:pPr>
      <w:bookmarkStart w:id="161" w:name="_Toc113362854"/>
      <w:bookmarkStart w:id="162" w:name="_Ref170988280"/>
      <w:bookmarkStart w:id="163" w:name="_Ref170988359"/>
      <w:r w:rsidRPr="004C47AA">
        <w:t>Medical contraindication</w:t>
      </w:r>
      <w:bookmarkEnd w:id="161"/>
      <w:bookmarkEnd w:id="162"/>
      <w:bookmarkEnd w:id="163"/>
      <w:r w:rsidR="001A201B">
        <w:t>s</w:t>
      </w:r>
      <w:r w:rsidR="00073854" w:rsidRPr="00CD761A">
        <w:t xml:space="preserve"> </w:t>
      </w:r>
    </w:p>
    <w:p w14:paraId="71CCD1A1" w14:textId="52B25BE0" w:rsidR="00604151" w:rsidRPr="00F56540" w:rsidRDefault="00604151" w:rsidP="00F26B49">
      <w:pPr>
        <w:pStyle w:val="Body"/>
      </w:pPr>
      <w:r w:rsidRPr="00F56540">
        <w:t>Whe</w:t>
      </w:r>
      <w:r w:rsidR="00115875">
        <w:t>re</w:t>
      </w:r>
      <w:r w:rsidRPr="00F56540">
        <w:t xml:space="preserve"> a healthcare worker does not meet vaccination requirements due to a medical contraindication</w:t>
      </w:r>
      <w:r w:rsidR="00DA4AB7">
        <w:t xml:space="preserve">, </w:t>
      </w:r>
      <w:r w:rsidRPr="00F56540">
        <w:t>healthcare settings should undertake a</w:t>
      </w:r>
      <w:r w:rsidR="000A0416">
        <w:t xml:space="preserve">n </w:t>
      </w:r>
      <w:r w:rsidRPr="00F56540">
        <w:t xml:space="preserve">assessment </w:t>
      </w:r>
      <w:r w:rsidR="00AC7C88">
        <w:t xml:space="preserve">to determine if it is safe for them to continue or start in a </w:t>
      </w:r>
      <w:r w:rsidR="00030654">
        <w:t>role</w:t>
      </w:r>
      <w:r w:rsidR="00115875">
        <w:t>,</w:t>
      </w:r>
      <w:r w:rsidR="00030654">
        <w:t xml:space="preserve"> and the basis on which it is safe for them to do so. </w:t>
      </w:r>
      <w:r w:rsidRPr="00F56540">
        <w:t xml:space="preserve"> </w:t>
      </w:r>
    </w:p>
    <w:p w14:paraId="782260D2" w14:textId="32F80C75" w:rsidR="00604151" w:rsidRPr="00EB5300" w:rsidRDefault="00A705B8" w:rsidP="00F26B49">
      <w:pPr>
        <w:pStyle w:val="Body"/>
        <w:rPr>
          <w:szCs w:val="21"/>
        </w:rPr>
      </w:pPr>
      <w:r w:rsidRPr="00EB5300">
        <w:rPr>
          <w:szCs w:val="21"/>
        </w:rPr>
        <w:t xml:space="preserve">Assessments may be considered at a facility, ward, department or individual level. </w:t>
      </w:r>
      <w:r w:rsidR="00604151" w:rsidRPr="00EB5300">
        <w:rPr>
          <w:szCs w:val="21"/>
        </w:rPr>
        <w:t>The assessment should consider the implications of not being vaccinated on the health and safety of the worker, patients and other workers</w:t>
      </w:r>
      <w:r w:rsidR="00591A7B" w:rsidRPr="00EB5300">
        <w:rPr>
          <w:szCs w:val="21"/>
        </w:rPr>
        <w:t xml:space="preserve"> and people they interact with as part of their role</w:t>
      </w:r>
      <w:r w:rsidR="00604151" w:rsidRPr="00EB5300">
        <w:rPr>
          <w:szCs w:val="21"/>
        </w:rPr>
        <w:t>.</w:t>
      </w:r>
      <w:r w:rsidR="00AC10FE" w:rsidRPr="00EB5300">
        <w:rPr>
          <w:szCs w:val="21"/>
        </w:rPr>
        <w:t xml:space="preserve"> It should </w:t>
      </w:r>
      <w:r w:rsidR="00591A7B" w:rsidRPr="00EB5300">
        <w:rPr>
          <w:szCs w:val="21"/>
        </w:rPr>
        <w:t xml:space="preserve">consider </w:t>
      </w:r>
      <w:r w:rsidR="00604151" w:rsidRPr="00EB5300">
        <w:rPr>
          <w:szCs w:val="21"/>
        </w:rPr>
        <w:t>the healthcare worker’s role</w:t>
      </w:r>
      <w:r w:rsidR="00591A7B" w:rsidRPr="00EB5300">
        <w:rPr>
          <w:szCs w:val="21"/>
        </w:rPr>
        <w:t xml:space="preserve"> and duties</w:t>
      </w:r>
      <w:r w:rsidR="00604151" w:rsidRPr="00EB5300">
        <w:rPr>
          <w:szCs w:val="21"/>
        </w:rPr>
        <w:t>, their area of work and the patient population</w:t>
      </w:r>
      <w:r w:rsidR="00AC10FE" w:rsidRPr="00EB5300">
        <w:rPr>
          <w:szCs w:val="21"/>
        </w:rPr>
        <w:t>/s</w:t>
      </w:r>
      <w:r w:rsidR="00604151" w:rsidRPr="00EB5300">
        <w:rPr>
          <w:szCs w:val="21"/>
        </w:rPr>
        <w:t xml:space="preserve"> with whom they will be in contact. </w:t>
      </w:r>
    </w:p>
    <w:p w14:paraId="46374437" w14:textId="4DD9B345" w:rsidR="00495C2C" w:rsidRPr="00F56540" w:rsidRDefault="00D825CB" w:rsidP="00F26B49">
      <w:pPr>
        <w:pStyle w:val="Body"/>
      </w:pPr>
      <w:r w:rsidRPr="0009261C">
        <w:t>Risk mitigation strategies should then be agreed upon and implemented</w:t>
      </w:r>
      <w:r w:rsidR="00C86251">
        <w:t xml:space="preserve"> after the assessment</w:t>
      </w:r>
      <w:r w:rsidRPr="0009261C">
        <w:t xml:space="preserve">, to minimise the risk of acquisition/transmission of vaccine preventable disease to </w:t>
      </w:r>
      <w:r w:rsidR="00CA2CBE" w:rsidRPr="5E085CB6">
        <w:t xml:space="preserve">patients, </w:t>
      </w:r>
      <w:r w:rsidRPr="5E085CB6">
        <w:t xml:space="preserve">the worker and </w:t>
      </w:r>
      <w:r w:rsidR="00CA2CBE" w:rsidRPr="5E085CB6">
        <w:t xml:space="preserve">other </w:t>
      </w:r>
      <w:r w:rsidRPr="5E085CB6">
        <w:t>people they interact with.</w:t>
      </w:r>
      <w:r w:rsidRPr="0009261C">
        <w:t xml:space="preserve"> </w:t>
      </w:r>
    </w:p>
    <w:p w14:paraId="41CD7FAD" w14:textId="4EFCA23E" w:rsidR="00A707C5" w:rsidRPr="007441D3" w:rsidRDefault="00A707C5" w:rsidP="00FE07DE">
      <w:pPr>
        <w:pStyle w:val="Heading4"/>
        <w:numPr>
          <w:ilvl w:val="1"/>
          <w:numId w:val="19"/>
        </w:numPr>
      </w:pPr>
      <w:r w:rsidRPr="007441D3">
        <w:t xml:space="preserve">High risk work areas </w:t>
      </w:r>
    </w:p>
    <w:p w14:paraId="44156905" w14:textId="77744AA6" w:rsidR="002205D2" w:rsidRPr="00F56540" w:rsidRDefault="002205D2" w:rsidP="00F26B49">
      <w:pPr>
        <w:pStyle w:val="Body"/>
      </w:pPr>
      <w:bookmarkStart w:id="164" w:name="_Hlk43811777"/>
      <w:r w:rsidRPr="00F56540">
        <w:t xml:space="preserve">Certain diseases </w:t>
      </w:r>
      <w:r w:rsidR="00AC10FE">
        <w:t>carry</w:t>
      </w:r>
      <w:r w:rsidRPr="00F56540">
        <w:t xml:space="preserve"> significantly increased risk </w:t>
      </w:r>
      <w:r w:rsidR="00AC10FE">
        <w:t xml:space="preserve">to </w:t>
      </w:r>
      <w:r w:rsidRPr="00F56540">
        <w:t xml:space="preserve">some patient populations. </w:t>
      </w:r>
      <w:r w:rsidR="00B72494" w:rsidRPr="00F56540">
        <w:t xml:space="preserve">Additionally, some work areas are likely to present a higher risk of </w:t>
      </w:r>
      <w:r w:rsidR="004B4574" w:rsidRPr="00F56540">
        <w:t>certain disease presentation</w:t>
      </w:r>
      <w:r w:rsidR="00581735" w:rsidRPr="00F56540">
        <w:t>, posing a</w:t>
      </w:r>
      <w:r w:rsidR="004B4574" w:rsidRPr="00F56540">
        <w:t xml:space="preserve"> higher</w:t>
      </w:r>
      <w:r w:rsidR="00581735" w:rsidRPr="00F56540">
        <w:t xml:space="preserve"> risk to unvaccinated </w:t>
      </w:r>
      <w:r w:rsidR="00DE24DD">
        <w:t xml:space="preserve">or partially vaccinated </w:t>
      </w:r>
      <w:r w:rsidR="00581735" w:rsidRPr="00F56540">
        <w:t xml:space="preserve">workers. </w:t>
      </w:r>
      <w:r w:rsidRPr="00F56540">
        <w:t>As a result</w:t>
      </w:r>
      <w:r w:rsidR="00246B2B" w:rsidRPr="00F56540">
        <w:t>,</w:t>
      </w:r>
      <w:r w:rsidRPr="00F56540">
        <w:t xml:space="preserve"> some </w:t>
      </w:r>
      <w:r w:rsidR="00C86251">
        <w:t>high-risk</w:t>
      </w:r>
      <w:r w:rsidR="00B11BF2">
        <w:t xml:space="preserve"> </w:t>
      </w:r>
      <w:r w:rsidRPr="00F56540">
        <w:t xml:space="preserve">work areas need </w:t>
      </w:r>
      <w:r w:rsidR="00B11BF2">
        <w:t xml:space="preserve">additional </w:t>
      </w:r>
      <w:r w:rsidRPr="00F56540">
        <w:t>consider</w:t>
      </w:r>
      <w:r w:rsidR="00B11BF2">
        <w:t>ation</w:t>
      </w:r>
      <w:r w:rsidRPr="00F56540">
        <w:t xml:space="preserve"> </w:t>
      </w:r>
      <w:r w:rsidR="00B11BF2">
        <w:t xml:space="preserve">when </w:t>
      </w:r>
      <w:r w:rsidR="00F155A8">
        <w:t xml:space="preserve">considering </w:t>
      </w:r>
      <w:r w:rsidRPr="00F56540">
        <w:t xml:space="preserve">the </w:t>
      </w:r>
      <w:r w:rsidR="00F155A8">
        <w:t xml:space="preserve">role </w:t>
      </w:r>
      <w:r w:rsidRPr="00F56540">
        <w:t>of a</w:t>
      </w:r>
      <w:r w:rsidR="00C86251">
        <w:t>n un</w:t>
      </w:r>
      <w:r w:rsidR="00F531B3" w:rsidRPr="00F56540">
        <w:t xml:space="preserve">vaccinated </w:t>
      </w:r>
      <w:r w:rsidR="0037104A">
        <w:t xml:space="preserve">or partially vaccinated </w:t>
      </w:r>
      <w:r w:rsidRPr="00F56540">
        <w:t xml:space="preserve">healthcare worker. </w:t>
      </w:r>
      <w:r w:rsidR="00FD08C3">
        <w:t>High risk work areas include:</w:t>
      </w:r>
    </w:p>
    <w:p w14:paraId="0F6342EC" w14:textId="2B3580E1" w:rsidR="00DA4AB7" w:rsidRPr="00F26B49" w:rsidRDefault="00DA4AB7" w:rsidP="00F26B49">
      <w:pPr>
        <w:pStyle w:val="Bullet1"/>
      </w:pPr>
      <w:r w:rsidRPr="00F26B49">
        <w:t xml:space="preserve">antenatal, perinatal and post-natal areas including labour wards and recovery rooms </w:t>
      </w:r>
    </w:p>
    <w:p w14:paraId="6E0B1B51" w14:textId="77777777" w:rsidR="00DA4AB7" w:rsidRPr="00F26B49" w:rsidRDefault="00DA4AB7" w:rsidP="00F26B49">
      <w:pPr>
        <w:pStyle w:val="Bullet1"/>
      </w:pPr>
      <w:r w:rsidRPr="00F26B49">
        <w:t>neonatal intensive care units and special care units</w:t>
      </w:r>
    </w:p>
    <w:p w14:paraId="3B23EC7C" w14:textId="77777777" w:rsidR="00DA4AB7" w:rsidRPr="00F26B49" w:rsidRDefault="00DA4AB7" w:rsidP="00F26B49">
      <w:pPr>
        <w:pStyle w:val="Bullet1"/>
      </w:pPr>
      <w:r w:rsidRPr="00F26B49">
        <w:t xml:space="preserve">paediatric intensive care units </w:t>
      </w:r>
    </w:p>
    <w:p w14:paraId="6C3426D6" w14:textId="77777777" w:rsidR="00DA4AB7" w:rsidRPr="00F26B49" w:rsidRDefault="00DA4AB7" w:rsidP="00F26B49">
      <w:pPr>
        <w:pStyle w:val="Bullet1"/>
      </w:pPr>
      <w:r w:rsidRPr="00F26B49">
        <w:lastRenderedPageBreak/>
        <w:t xml:space="preserve">transplant and oncology wards </w:t>
      </w:r>
    </w:p>
    <w:p w14:paraId="27C2DF1F" w14:textId="77777777" w:rsidR="00DA4AB7" w:rsidRPr="00F26B49" w:rsidRDefault="00DA4AB7" w:rsidP="00F26B49">
      <w:pPr>
        <w:pStyle w:val="Bullet1"/>
      </w:pPr>
      <w:r w:rsidRPr="00F26B49">
        <w:t>haemodialysis units</w:t>
      </w:r>
    </w:p>
    <w:p w14:paraId="79F67A01" w14:textId="77777777" w:rsidR="00DA4AB7" w:rsidRPr="00F26B49" w:rsidRDefault="00DA4AB7" w:rsidP="00F26B49">
      <w:pPr>
        <w:pStyle w:val="Bullet1"/>
      </w:pPr>
      <w:r w:rsidRPr="00F26B49">
        <w:t>respiratory wards</w:t>
      </w:r>
    </w:p>
    <w:p w14:paraId="7FB37F15" w14:textId="77777777" w:rsidR="00DA4AB7" w:rsidRPr="00F26B49" w:rsidRDefault="00DA4AB7" w:rsidP="00F26B49">
      <w:pPr>
        <w:pStyle w:val="Bullet1"/>
      </w:pPr>
      <w:r w:rsidRPr="00F26B49">
        <w:t>emergency departments</w:t>
      </w:r>
    </w:p>
    <w:p w14:paraId="241F3940" w14:textId="77777777" w:rsidR="00DA4AB7" w:rsidRPr="00F26B49" w:rsidRDefault="00DA4AB7" w:rsidP="00F26B49">
      <w:pPr>
        <w:pStyle w:val="Bullet1"/>
      </w:pPr>
      <w:r w:rsidRPr="00F26B49">
        <w:t>intensive care units</w:t>
      </w:r>
    </w:p>
    <w:p w14:paraId="59EED006" w14:textId="5CE40006" w:rsidR="00DA4AB7" w:rsidRPr="00F26B49" w:rsidRDefault="00DA4AB7" w:rsidP="00F26B49">
      <w:pPr>
        <w:pStyle w:val="Bullet1"/>
      </w:pPr>
      <w:r w:rsidRPr="00F26B49">
        <w:t>aged care wards and residential aged care settings.</w:t>
      </w:r>
    </w:p>
    <w:p w14:paraId="6F0AB4C5" w14:textId="151AC38E" w:rsidR="00F41AC6" w:rsidRPr="00F56540" w:rsidRDefault="002205D2" w:rsidP="00F26B49">
      <w:pPr>
        <w:pStyle w:val="Body"/>
      </w:pPr>
      <w:bookmarkStart w:id="165" w:name="_Hlk43893823"/>
      <w:bookmarkEnd w:id="164"/>
      <w:r w:rsidRPr="00F56540">
        <w:t xml:space="preserve">Having considered the risks to </w:t>
      </w:r>
      <w:r w:rsidR="429E6245" w:rsidRPr="02CCA15E">
        <w:t>un</w:t>
      </w:r>
      <w:r w:rsidR="2C31F0D0" w:rsidRPr="02CCA15E">
        <w:t>vaccinated</w:t>
      </w:r>
      <w:r w:rsidR="13FE3F07" w:rsidRPr="02CCA15E">
        <w:t xml:space="preserve"> or partially </w:t>
      </w:r>
      <w:r w:rsidR="00784CF8" w:rsidRPr="00F56540">
        <w:t xml:space="preserve">vaccinated </w:t>
      </w:r>
      <w:r w:rsidRPr="00F56540">
        <w:t>healthcare workers and the patients they care for, options for risk management</w:t>
      </w:r>
      <w:r w:rsidR="00D844A0" w:rsidRPr="00F56540">
        <w:t xml:space="preserve"> may</w:t>
      </w:r>
      <w:r w:rsidRPr="00F56540">
        <w:t xml:space="preserve"> include redeployment of the healthcare worker from areas of higher risk to alternative areas of the health service with lower risk</w:t>
      </w:r>
      <w:r w:rsidR="00926FB1">
        <w:t xml:space="preserve"> (including working from home/remotely)</w:t>
      </w:r>
      <w:r w:rsidRPr="00F56540">
        <w:t>, alternative duties</w:t>
      </w:r>
      <w:r w:rsidR="00181F8C" w:rsidRPr="00F56540">
        <w:t>, additional infection control measures,</w:t>
      </w:r>
      <w:r w:rsidRPr="00F56540">
        <w:t xml:space="preserve"> or </w:t>
      </w:r>
      <w:r w:rsidR="00926FB1">
        <w:t xml:space="preserve">other </w:t>
      </w:r>
      <w:r w:rsidRPr="00F56540">
        <w:t xml:space="preserve">work restrictions as </w:t>
      </w:r>
      <w:r w:rsidR="00481918">
        <w:t xml:space="preserve">the health service deems </w:t>
      </w:r>
      <w:r w:rsidRPr="00F56540">
        <w:t xml:space="preserve">appropriate. </w:t>
      </w:r>
    </w:p>
    <w:p w14:paraId="71D08CF3" w14:textId="530AFCD4" w:rsidR="002205D2" w:rsidRPr="00F56540" w:rsidRDefault="00EC0FDA" w:rsidP="00F26B49">
      <w:pPr>
        <w:pStyle w:val="Body"/>
      </w:pPr>
      <w:r w:rsidRPr="00F56540">
        <w:t xml:space="preserve">Risk </w:t>
      </w:r>
      <w:r w:rsidR="00BF1E01" w:rsidRPr="00F56540">
        <w:t>management</w:t>
      </w:r>
      <w:r w:rsidRPr="00F56540">
        <w:t xml:space="preserve"> strategies </w:t>
      </w:r>
      <w:r w:rsidR="00F920A0" w:rsidRPr="00F56540">
        <w:t>may be considered at a facility, ward</w:t>
      </w:r>
      <w:r w:rsidR="00481918">
        <w:t xml:space="preserve">, </w:t>
      </w:r>
      <w:r w:rsidR="00F920A0" w:rsidRPr="00F56540">
        <w:t>department or individual level.</w:t>
      </w:r>
    </w:p>
    <w:p w14:paraId="6D742312" w14:textId="67922F80" w:rsidR="00882B8C" w:rsidRDefault="002205D2" w:rsidP="00F26B49">
      <w:pPr>
        <w:pStyle w:val="Body"/>
      </w:pPr>
      <w:r w:rsidRPr="00F56540">
        <w:t xml:space="preserve">If there is difficulty in determining an acceptable outcome following a risk assessment for a current employee, it is recommended that the healthcare setting take appropriate measures such as convening an </w:t>
      </w:r>
      <w:r w:rsidR="00026568" w:rsidRPr="00F56540">
        <w:t xml:space="preserve">internal </w:t>
      </w:r>
      <w:r w:rsidRPr="00F56540">
        <w:t xml:space="preserve">expert group to recommend a course of action.  An expert group may include an infection control </w:t>
      </w:r>
      <w:r w:rsidR="003C202D" w:rsidRPr="00F56540">
        <w:t xml:space="preserve">or occupational health and safety </w:t>
      </w:r>
      <w:r w:rsidRPr="00F56540">
        <w:t>specialist, an infectious diseases specialist</w:t>
      </w:r>
      <w:r w:rsidR="00997D4A" w:rsidRPr="00F56540">
        <w:t>,</w:t>
      </w:r>
      <w:r w:rsidRPr="00F56540">
        <w:t xml:space="preserve"> and </w:t>
      </w:r>
      <w:r w:rsidR="00481918">
        <w:t xml:space="preserve">any </w:t>
      </w:r>
      <w:r w:rsidRPr="00F56540">
        <w:t xml:space="preserve">relevant health setting executive staff. All steps in determining an outcome should </w:t>
      </w:r>
      <w:r w:rsidR="00104CD4" w:rsidRPr="00F56540">
        <w:t>occur in consultation with the healthcare worker</w:t>
      </w:r>
      <w:r w:rsidR="006504B2" w:rsidRPr="00F56540">
        <w:t xml:space="preserve"> and their representative, if any,</w:t>
      </w:r>
      <w:r w:rsidR="00104CD4" w:rsidRPr="00F56540">
        <w:t xml:space="preserve"> </w:t>
      </w:r>
      <w:r w:rsidR="00686B59" w:rsidRPr="00F56540">
        <w:t xml:space="preserve">and relevant </w:t>
      </w:r>
      <w:r w:rsidR="00C926E0" w:rsidRPr="00F56540">
        <w:t>health and safety representatives</w:t>
      </w:r>
      <w:r w:rsidR="006504B2" w:rsidRPr="00F56540">
        <w:t xml:space="preserve">. </w:t>
      </w:r>
      <w:r w:rsidR="00C86251">
        <w:t>All steps</w:t>
      </w:r>
      <w:r w:rsidR="00C86251" w:rsidRPr="00F56540">
        <w:t xml:space="preserve"> </w:t>
      </w:r>
      <w:r w:rsidR="006504B2" w:rsidRPr="00F56540">
        <w:t xml:space="preserve">should </w:t>
      </w:r>
      <w:r w:rsidRPr="00F56540">
        <w:t xml:space="preserve">be appropriately documented. </w:t>
      </w:r>
    </w:p>
    <w:p w14:paraId="68BC316C" w14:textId="707F9685" w:rsidR="002205D2" w:rsidRPr="001C224D" w:rsidRDefault="00926FB1" w:rsidP="00BF3EAE">
      <w:pPr>
        <w:pStyle w:val="DHHSbody"/>
        <w:spacing w:after="240"/>
        <w:rPr>
          <w:sz w:val="21"/>
        </w:rPr>
      </w:pPr>
      <w:r w:rsidRPr="001C224D">
        <w:rPr>
          <w:sz w:val="21"/>
        </w:rPr>
        <w:t xml:space="preserve">Employees should be afforded fair process in all proceedings related to terms and conditions of </w:t>
      </w:r>
      <w:r w:rsidR="00C86251" w:rsidRPr="001C224D">
        <w:rPr>
          <w:sz w:val="21"/>
        </w:rPr>
        <w:t xml:space="preserve">their </w:t>
      </w:r>
      <w:r w:rsidRPr="001C224D">
        <w:rPr>
          <w:sz w:val="21"/>
        </w:rPr>
        <w:t xml:space="preserve">employment, and </w:t>
      </w:r>
      <w:r w:rsidR="003379AE" w:rsidRPr="001C224D">
        <w:rPr>
          <w:sz w:val="21"/>
        </w:rPr>
        <w:t xml:space="preserve">it is the responsibility of </w:t>
      </w:r>
      <w:r w:rsidRPr="001C224D">
        <w:rPr>
          <w:sz w:val="21"/>
        </w:rPr>
        <w:t xml:space="preserve">health services </w:t>
      </w:r>
      <w:r w:rsidR="003379AE" w:rsidRPr="001C224D">
        <w:rPr>
          <w:sz w:val="21"/>
        </w:rPr>
        <w:t xml:space="preserve">to </w:t>
      </w:r>
      <w:r w:rsidR="006E3934" w:rsidRPr="001C224D">
        <w:rPr>
          <w:sz w:val="21"/>
        </w:rPr>
        <w:t xml:space="preserve">comply with all </w:t>
      </w:r>
      <w:r w:rsidR="00C86251" w:rsidRPr="001C224D">
        <w:rPr>
          <w:sz w:val="21"/>
        </w:rPr>
        <w:t xml:space="preserve">applicable </w:t>
      </w:r>
      <w:r w:rsidRPr="001C224D">
        <w:rPr>
          <w:sz w:val="21"/>
        </w:rPr>
        <w:t xml:space="preserve">internal policies, </w:t>
      </w:r>
      <w:r w:rsidR="003379AE" w:rsidRPr="001C224D">
        <w:rPr>
          <w:sz w:val="21"/>
        </w:rPr>
        <w:t>workplace agreements and employment law</w:t>
      </w:r>
      <w:r w:rsidR="00C86251" w:rsidRPr="001C224D">
        <w:rPr>
          <w:sz w:val="21"/>
        </w:rPr>
        <w:t>.</w:t>
      </w:r>
      <w:r w:rsidR="003379AE" w:rsidRPr="001C224D">
        <w:rPr>
          <w:sz w:val="21"/>
        </w:rPr>
        <w:t xml:space="preserve"> </w:t>
      </w:r>
    </w:p>
    <w:p w14:paraId="37518FD6" w14:textId="52BE4808" w:rsidR="002205D2" w:rsidRPr="0009261C" w:rsidRDefault="009A38A9" w:rsidP="00FE07DE">
      <w:pPr>
        <w:pStyle w:val="Heading4"/>
        <w:numPr>
          <w:ilvl w:val="1"/>
          <w:numId w:val="19"/>
        </w:numPr>
      </w:pPr>
      <w:bookmarkStart w:id="166" w:name="_9.3_Managing_risk"/>
      <w:bookmarkStart w:id="167" w:name="_Toc46399892"/>
      <w:bookmarkStart w:id="168" w:name="_Toc113362855"/>
      <w:bookmarkStart w:id="169" w:name="_Ref171589253"/>
      <w:bookmarkEnd w:id="166"/>
      <w:r>
        <w:t>Managing risk related to v</w:t>
      </w:r>
      <w:r w:rsidR="002205D2" w:rsidRPr="0009261C">
        <w:t>accine refus</w:t>
      </w:r>
      <w:r w:rsidR="00B25715" w:rsidRPr="0009261C">
        <w:t>al</w:t>
      </w:r>
      <w:bookmarkEnd w:id="167"/>
      <w:bookmarkEnd w:id="168"/>
      <w:bookmarkEnd w:id="169"/>
    </w:p>
    <w:p w14:paraId="1523C974" w14:textId="6B340F5C" w:rsidR="007C3F99" w:rsidRPr="00F26B49" w:rsidRDefault="004D299E" w:rsidP="00CF5FA9">
      <w:pPr>
        <w:pStyle w:val="Body"/>
      </w:pPr>
      <w:r>
        <w:t xml:space="preserve">As detailed in section 6, the </w:t>
      </w:r>
      <w:r w:rsidR="007C3F99" w:rsidRPr="00F26B49">
        <w:t xml:space="preserve">Directions do not allow for refusal of vaccines for non-medical reasons. Where a worker refuses to comply with specified </w:t>
      </w:r>
      <w:r w:rsidR="00963289" w:rsidRPr="00F26B49">
        <w:t xml:space="preserve">vaccine requirements </w:t>
      </w:r>
      <w:r w:rsidR="00481918" w:rsidRPr="00F26B49">
        <w:t xml:space="preserve">for their role, </w:t>
      </w:r>
      <w:r w:rsidR="00CF5FA9">
        <w:t xml:space="preserve">a </w:t>
      </w:r>
      <w:r w:rsidR="00E14D8F" w:rsidRPr="00F26B49">
        <w:t>health service</w:t>
      </w:r>
      <w:r w:rsidR="00FB03FE" w:rsidRPr="00F26B49">
        <w:t xml:space="preserve"> must </w:t>
      </w:r>
      <w:r w:rsidR="00BE52E2" w:rsidRPr="00F26B49">
        <w:t xml:space="preserve">determine if it is safe </w:t>
      </w:r>
      <w:r w:rsidR="00E14D8F" w:rsidRPr="00F26B49">
        <w:t>for the worker to perform their role</w:t>
      </w:r>
      <w:r w:rsidR="00B11E38" w:rsidRPr="00F26B49">
        <w:t xml:space="preserve"> if they are not adequately protected by vaccination</w:t>
      </w:r>
      <w:r w:rsidR="00E14D8F" w:rsidRPr="00F26B49">
        <w:t xml:space="preserve">, and if so, the basis on which it is safe for them to do so. </w:t>
      </w:r>
    </w:p>
    <w:p w14:paraId="0A6CD03E" w14:textId="77AE8E11" w:rsidR="00D479AD" w:rsidRPr="00F26B49" w:rsidRDefault="00C349DB" w:rsidP="00F26B49">
      <w:pPr>
        <w:pStyle w:val="Body"/>
      </w:pPr>
      <w:r w:rsidRPr="00F26B49">
        <w:t>Redeployment, alternative duties, use of personal protective equipment</w:t>
      </w:r>
      <w:r w:rsidR="00350E5C">
        <w:t xml:space="preserve"> </w:t>
      </w:r>
      <w:r w:rsidRPr="00F26B49">
        <w:t>or other strategies deemed suitable by the health care setting</w:t>
      </w:r>
      <w:r w:rsidR="00350E5C">
        <w:t xml:space="preserve"> may be considered for staff who refuse vaccination.</w:t>
      </w:r>
      <w:r w:rsidRPr="00F26B49">
        <w:t xml:space="preserve"> </w:t>
      </w:r>
    </w:p>
    <w:p w14:paraId="0A7E8942" w14:textId="6B7F36F9" w:rsidR="00C349DB" w:rsidRPr="00F26B49" w:rsidRDefault="00C349DB" w:rsidP="00F26B49">
      <w:pPr>
        <w:pStyle w:val="Body"/>
      </w:pPr>
      <w:r w:rsidRPr="00F26B49">
        <w:t>In some cases, it may be necessary to consider termination of employment (see further detail below) if a suitable agreement is not able to be reached.</w:t>
      </w:r>
    </w:p>
    <w:p w14:paraId="11530B8B" w14:textId="0F837AA3" w:rsidR="00031CBB" w:rsidRPr="0009261C" w:rsidRDefault="00031CBB" w:rsidP="00FE07DE">
      <w:pPr>
        <w:pStyle w:val="Heading4"/>
        <w:numPr>
          <w:ilvl w:val="1"/>
          <w:numId w:val="19"/>
        </w:numPr>
      </w:pPr>
      <w:r w:rsidRPr="007441D3">
        <w:t>Consideration of termination of employment</w:t>
      </w:r>
      <w:r w:rsidR="00F410CA" w:rsidRPr="007441D3">
        <w:t xml:space="preserve"> </w:t>
      </w:r>
    </w:p>
    <w:p w14:paraId="23CD2579" w14:textId="012B6BD8" w:rsidR="02CCA15E" w:rsidRDefault="02CCA15E" w:rsidP="00F26B49">
      <w:pPr>
        <w:pStyle w:val="Body"/>
      </w:pPr>
      <w:r w:rsidRPr="02CCA15E">
        <w:t xml:space="preserve">Employers should ensure that employees are afforded procedural fairness in relation to any decision </w:t>
      </w:r>
      <w:r w:rsidR="00B11E38">
        <w:t>regarding their employment</w:t>
      </w:r>
      <w:r w:rsidRPr="02CCA15E">
        <w:t xml:space="preserve">, </w:t>
      </w:r>
      <w:r w:rsidR="00B11E38">
        <w:t>including</w:t>
      </w:r>
      <w:r w:rsidR="00774913">
        <w:t xml:space="preserve"> redeployment,</w:t>
      </w:r>
      <w:r w:rsidR="00B11E38">
        <w:t xml:space="preserve"> </w:t>
      </w:r>
      <w:r w:rsidRPr="02CCA15E">
        <w:t>introduc</w:t>
      </w:r>
      <w:r w:rsidR="00B11E38">
        <w:t>tion of</w:t>
      </w:r>
      <w:r w:rsidRPr="02CCA15E">
        <w:t xml:space="preserve"> special conditions of employment and/or in any discussions related to termination of any health care worker’s employment. </w:t>
      </w:r>
    </w:p>
    <w:p w14:paraId="4612D12D" w14:textId="1F82D184" w:rsidR="02CCA15E" w:rsidRDefault="02CCA15E" w:rsidP="00F26B49">
      <w:pPr>
        <w:pStyle w:val="Body"/>
      </w:pPr>
      <w:r w:rsidRPr="02CCA15E">
        <w:t>Health services are responsible for ensuring they adhere to relevant internal policies, workplace agreements and employment law when considering potential action and outcomes related to the terms of a health care worker’s employment.</w:t>
      </w:r>
      <w:r w:rsidR="00010A58">
        <w:t xml:space="preserve"> </w:t>
      </w:r>
      <w:r w:rsidR="00807CEF">
        <w:t xml:space="preserve">This </w:t>
      </w:r>
      <w:r w:rsidR="006B6C58">
        <w:t xml:space="preserve">section </w:t>
      </w:r>
      <w:r w:rsidR="00807CEF">
        <w:t xml:space="preserve">contains recommendations only, and </w:t>
      </w:r>
      <w:r w:rsidR="00473757">
        <w:t xml:space="preserve">health services </w:t>
      </w:r>
      <w:r w:rsidR="006B6C58">
        <w:t xml:space="preserve">should </w:t>
      </w:r>
      <w:r w:rsidR="00473757">
        <w:t xml:space="preserve">obtain independent advice on </w:t>
      </w:r>
      <w:r w:rsidR="002D6580">
        <w:t xml:space="preserve">proposed </w:t>
      </w:r>
      <w:r w:rsidR="00473757">
        <w:t xml:space="preserve">action where a worker refuses vaccination. </w:t>
      </w:r>
    </w:p>
    <w:p w14:paraId="570DA93D" w14:textId="3E4993C3" w:rsidR="509151A9" w:rsidRPr="001C224D" w:rsidRDefault="509151A9" w:rsidP="00F26B49">
      <w:pPr>
        <w:pStyle w:val="Body"/>
      </w:pPr>
      <w:r w:rsidRPr="001C224D">
        <w:t xml:space="preserve">In some circumstances, at the discretion of the health service, and </w:t>
      </w:r>
      <w:r w:rsidR="00CF0D9B" w:rsidRPr="001C224D">
        <w:t xml:space="preserve">in compliance with </w:t>
      </w:r>
      <w:r w:rsidRPr="001C224D">
        <w:t xml:space="preserve">relevant </w:t>
      </w:r>
      <w:r w:rsidR="001B07BA" w:rsidRPr="001C224D">
        <w:t xml:space="preserve">policies, </w:t>
      </w:r>
      <w:r w:rsidR="00D664A5" w:rsidRPr="001C224D">
        <w:t xml:space="preserve">agreements and </w:t>
      </w:r>
      <w:r w:rsidRPr="001C224D">
        <w:t xml:space="preserve">employment law, an employee who refuses vaccination may be at risk of having their employment terminated.  </w:t>
      </w:r>
    </w:p>
    <w:p w14:paraId="67521F30" w14:textId="12BB01CB" w:rsidR="02CCA15E" w:rsidRDefault="00C435FA" w:rsidP="00F26B49">
      <w:pPr>
        <w:pStyle w:val="Body"/>
      </w:pPr>
      <w:r w:rsidRPr="00F56540">
        <w:t>When health settings choose to take this course of action, a</w:t>
      </w:r>
      <w:r w:rsidR="002205D2" w:rsidRPr="00F56540">
        <w:t xml:space="preserve">dvice </w:t>
      </w:r>
      <w:r w:rsidR="00023F6F" w:rsidRPr="00F56540">
        <w:t>should</w:t>
      </w:r>
      <w:r w:rsidR="002205D2" w:rsidRPr="00F56540">
        <w:t xml:space="preserve"> be provided by an </w:t>
      </w:r>
      <w:r w:rsidR="00111424" w:rsidRPr="00F56540">
        <w:t xml:space="preserve">internal </w:t>
      </w:r>
      <w:r w:rsidR="002205D2" w:rsidRPr="00F56540">
        <w:t>expert group</w:t>
      </w:r>
      <w:r w:rsidR="00D157C5" w:rsidRPr="00F56540">
        <w:t>. It is recommended that</w:t>
      </w:r>
      <w:r w:rsidR="002205D2" w:rsidRPr="00F56540">
        <w:t xml:space="preserve"> ultimate decision</w:t>
      </w:r>
      <w:r w:rsidR="00CF41B3">
        <w:t>-</w:t>
      </w:r>
      <w:r w:rsidR="002205D2" w:rsidRPr="00F56540">
        <w:t xml:space="preserve">making </w:t>
      </w:r>
      <w:r w:rsidR="00CF41B3">
        <w:t xml:space="preserve">should be </w:t>
      </w:r>
      <w:r w:rsidR="002205D2" w:rsidRPr="00F56540">
        <w:t xml:space="preserve">the responsibility of the Chief </w:t>
      </w:r>
      <w:r w:rsidR="002205D2" w:rsidRPr="00F56540">
        <w:lastRenderedPageBreak/>
        <w:t>Executive Officer or appropriate delegate</w:t>
      </w:r>
      <w:r w:rsidR="00F96FB2" w:rsidRPr="00F56540">
        <w:t xml:space="preserve">, or as </w:t>
      </w:r>
      <w:r w:rsidR="00983646" w:rsidRPr="00F56540">
        <w:t xml:space="preserve">outlined in the health service’s individual vaccination and </w:t>
      </w:r>
      <w:r w:rsidR="00983646" w:rsidRPr="00702110">
        <w:t>disciplinary policy</w:t>
      </w:r>
      <w:r w:rsidR="002205D2" w:rsidRPr="00702110">
        <w:t>.</w:t>
      </w:r>
      <w:r w:rsidR="00FD54EC">
        <w:t xml:space="preserve"> </w:t>
      </w:r>
      <w:r w:rsidR="00E97BDC">
        <w:t>Independent legal advice may be considered as part of this process.</w:t>
      </w:r>
      <w:r w:rsidR="00FD54EC">
        <w:t xml:space="preserve"> </w:t>
      </w:r>
    </w:p>
    <w:p w14:paraId="7BD8ECF6" w14:textId="57275DAF" w:rsidR="002205D2" w:rsidRPr="00F56540" w:rsidRDefault="002205D2" w:rsidP="00F26B49">
      <w:pPr>
        <w:pStyle w:val="Body"/>
      </w:pPr>
      <w:r w:rsidRPr="00F56540">
        <w:t xml:space="preserve">Termination of employment </w:t>
      </w:r>
      <w:r w:rsidR="00544BC0">
        <w:t xml:space="preserve">should </w:t>
      </w:r>
      <w:r w:rsidR="005242C8" w:rsidRPr="00F56540">
        <w:t xml:space="preserve">only </w:t>
      </w:r>
      <w:r w:rsidRPr="00F56540">
        <w:t xml:space="preserve">be considered when a healthcare worker also refuses offers of redeployment </w:t>
      </w:r>
      <w:r w:rsidR="00525FFB">
        <w:t xml:space="preserve">or where </w:t>
      </w:r>
      <w:r w:rsidRPr="00F56540">
        <w:t xml:space="preserve">the option of redeployment is not feasible, </w:t>
      </w:r>
      <w:r w:rsidR="008C6D36">
        <w:t xml:space="preserve">where </w:t>
      </w:r>
      <w:r w:rsidRPr="00F56540">
        <w:t>all other</w:t>
      </w:r>
      <w:r w:rsidR="008542CA" w:rsidRPr="00F56540">
        <w:t xml:space="preserve"> risk management</w:t>
      </w:r>
      <w:r w:rsidRPr="00F56540">
        <w:t xml:space="preserve"> alternatives have been exhausted, </w:t>
      </w:r>
      <w:r w:rsidR="00544BC0">
        <w:t>and/</w:t>
      </w:r>
      <w:r w:rsidR="00023F6F" w:rsidRPr="00F56540">
        <w:t>or</w:t>
      </w:r>
      <w:r w:rsidRPr="00F56540">
        <w:t xml:space="preserve"> the risk cannot be acceptably managed.</w:t>
      </w:r>
      <w:r w:rsidR="004A6553" w:rsidRPr="00F56540">
        <w:t xml:space="preserve"> Before any decision is made</w:t>
      </w:r>
      <w:r w:rsidR="00596FC7">
        <w:t xml:space="preserve"> by the health</w:t>
      </w:r>
      <w:r w:rsidR="00A553C3">
        <w:t xml:space="preserve"> service</w:t>
      </w:r>
      <w:r w:rsidR="004A6553" w:rsidRPr="00F56540">
        <w:t xml:space="preserve"> to terminate, the healthcare worker (and their representative if any) should be notified </w:t>
      </w:r>
      <w:r w:rsidR="00391908" w:rsidRPr="00F56540">
        <w:t>of the potential for this to occur.</w:t>
      </w:r>
    </w:p>
    <w:p w14:paraId="7D9CD9CF" w14:textId="79BF78D8" w:rsidR="02CCA15E" w:rsidRDefault="00436EC7" w:rsidP="00F26B49">
      <w:pPr>
        <w:pStyle w:val="Body"/>
      </w:pPr>
      <w:r w:rsidRPr="00F56540">
        <w:t xml:space="preserve">Health settings must </w:t>
      </w:r>
      <w:r w:rsidR="00D81411">
        <w:t xml:space="preserve">ensure the healthcare worker has been offered </w:t>
      </w:r>
      <w:r w:rsidR="002728C1">
        <w:t>all feasible alternative</w:t>
      </w:r>
      <w:r w:rsidR="00E851B5">
        <w:t xml:space="preserve"> employment options</w:t>
      </w:r>
      <w:r w:rsidR="002728C1">
        <w:t xml:space="preserve">, including education </w:t>
      </w:r>
      <w:r w:rsidR="00B53C2B">
        <w:t xml:space="preserve">to address vaccine hesitancy </w:t>
      </w:r>
      <w:r w:rsidR="002728C1">
        <w:t>and the option to be vaccinat</w:t>
      </w:r>
      <w:r w:rsidR="00E851B5">
        <w:t>ed</w:t>
      </w:r>
      <w:r w:rsidR="00166D46">
        <w:t xml:space="preserve"> prior to consideration of termination</w:t>
      </w:r>
      <w:r w:rsidR="00F0131B">
        <w:t xml:space="preserve">. </w:t>
      </w:r>
      <w:r w:rsidR="002205D2" w:rsidRPr="00F56540">
        <w:t xml:space="preserve">The healthcare setting must ensure that the healthcare worker fully understands the requirements of </w:t>
      </w:r>
      <w:r w:rsidR="00CD66DA" w:rsidRPr="00F56540">
        <w:t>the vaccination</w:t>
      </w:r>
      <w:r w:rsidR="002205D2" w:rsidRPr="00F56540">
        <w:t xml:space="preserve"> policy and the potential </w:t>
      </w:r>
      <w:r w:rsidR="007554FE">
        <w:t>consequences</w:t>
      </w:r>
      <w:r w:rsidR="002205D2" w:rsidRPr="00F56540">
        <w:t xml:space="preserve"> arising from their refusal to comply. The healthcare worker must have </w:t>
      </w:r>
      <w:r w:rsidR="00166D46">
        <w:t xml:space="preserve">opportunities </w:t>
      </w:r>
      <w:r w:rsidR="002205D2" w:rsidRPr="00F56540">
        <w:t xml:space="preserve">to clarify issues and reconsider their </w:t>
      </w:r>
      <w:r w:rsidR="002205D2" w:rsidRPr="6B90F536">
        <w:t>decision</w:t>
      </w:r>
      <w:r w:rsidR="002205D2" w:rsidRPr="00F56540">
        <w:t xml:space="preserve"> to refuse vaccination</w:t>
      </w:r>
      <w:r w:rsidR="003476B7">
        <w:t xml:space="preserve"> at all steps </w:t>
      </w:r>
      <w:r w:rsidR="00374C69">
        <w:t xml:space="preserve">of the health service’s </w:t>
      </w:r>
      <w:r w:rsidR="00ED6285">
        <w:t>decision-making process</w:t>
      </w:r>
      <w:r w:rsidR="002205D2" w:rsidRPr="00F56540">
        <w:t xml:space="preserve">. All steps in determining an outcome should be appropriately documented. </w:t>
      </w:r>
    </w:p>
    <w:p w14:paraId="5A592AAF" w14:textId="49E0F05D" w:rsidR="002205D2" w:rsidRPr="00F56540" w:rsidRDefault="002205D2" w:rsidP="00FE07DE">
      <w:pPr>
        <w:pStyle w:val="Heading4"/>
        <w:numPr>
          <w:ilvl w:val="1"/>
          <w:numId w:val="19"/>
        </w:numPr>
      </w:pPr>
      <w:bookmarkStart w:id="170" w:name="_9.5_Exceptional_circumstances"/>
      <w:bookmarkStart w:id="171" w:name="_Toc46399893"/>
      <w:bookmarkStart w:id="172" w:name="_Toc113362856"/>
      <w:bookmarkEnd w:id="165"/>
      <w:bookmarkEnd w:id="170"/>
      <w:r w:rsidRPr="00F56540">
        <w:t>Exceptional circumstances</w:t>
      </w:r>
      <w:bookmarkEnd w:id="171"/>
      <w:bookmarkEnd w:id="172"/>
      <w:r w:rsidRPr="00F56540">
        <w:t xml:space="preserve"> </w:t>
      </w:r>
    </w:p>
    <w:p w14:paraId="29C76706" w14:textId="2E451AAC" w:rsidR="002205D2" w:rsidRPr="00F56540" w:rsidRDefault="002205D2" w:rsidP="00F26B49">
      <w:pPr>
        <w:pStyle w:val="Body"/>
      </w:pPr>
      <w:r w:rsidRPr="00F56540">
        <w:t xml:space="preserve">In exceptional circumstances, redeployment of, or refusal to appoint </w:t>
      </w:r>
      <w:r w:rsidR="00DE7BFC" w:rsidRPr="00E51658">
        <w:t xml:space="preserve">certain healthcare workers, </w:t>
      </w:r>
      <w:r w:rsidRPr="00F56540">
        <w:t>specifically skilled non-compliant worker</w:t>
      </w:r>
      <w:r w:rsidR="00DE7BFC" w:rsidRPr="00E51658">
        <w:t>s</w:t>
      </w:r>
      <w:r w:rsidRPr="00F56540">
        <w:t xml:space="preserve"> may result in serious risk to service delivery and ultimately patient care</w:t>
      </w:r>
      <w:r w:rsidR="008C6D36">
        <w:t>.</w:t>
      </w:r>
      <w:r w:rsidR="000846FA" w:rsidDel="00071791">
        <w:t xml:space="preserve"> </w:t>
      </w:r>
      <w:r w:rsidR="008C6D36">
        <w:t>In other exceptional circumstances</w:t>
      </w:r>
      <w:r w:rsidR="00071791">
        <w:t xml:space="preserve"> workers may be required to attend </w:t>
      </w:r>
      <w:r w:rsidR="00B02DB6">
        <w:t xml:space="preserve">work due </w:t>
      </w:r>
      <w:r w:rsidR="00071791">
        <w:t xml:space="preserve">to an </w:t>
      </w:r>
      <w:r w:rsidR="000846FA">
        <w:t>emergency</w:t>
      </w:r>
      <w:r w:rsidR="00B61A88">
        <w:t>,</w:t>
      </w:r>
      <w:r w:rsidR="000846FA">
        <w:t xml:space="preserve"> or </w:t>
      </w:r>
      <w:r w:rsidR="00B02DB6">
        <w:t xml:space="preserve">other critical </w:t>
      </w:r>
      <w:r w:rsidR="000846FA">
        <w:t>unforeseen circumstance</w:t>
      </w:r>
      <w:r w:rsidR="00B61A88">
        <w:t>, or exceptional circumstances</w:t>
      </w:r>
      <w:r w:rsidR="00071791">
        <w:t>.</w:t>
      </w:r>
      <w:r w:rsidR="00B56A4A">
        <w:t xml:space="preserve"> </w:t>
      </w:r>
    </w:p>
    <w:p w14:paraId="2A7609EC" w14:textId="3B24B45F" w:rsidR="005174C4" w:rsidRDefault="005174C4" w:rsidP="001C224D">
      <w:pPr>
        <w:pStyle w:val="Bullet1"/>
        <w:numPr>
          <w:ilvl w:val="0"/>
          <w:numId w:val="0"/>
        </w:numPr>
      </w:pPr>
      <w:bookmarkStart w:id="173" w:name="_Table_7_–"/>
      <w:bookmarkEnd w:id="173"/>
      <w:r>
        <w:t>Exceptional circumstances</w:t>
      </w:r>
      <w:r w:rsidR="00820F47">
        <w:t xml:space="preserve"> that may allow for non-compliance to vaccination requirements</w:t>
      </w:r>
      <w:r>
        <w:t xml:space="preserve"> </w:t>
      </w:r>
      <w:r w:rsidR="00820F47">
        <w:t>could</w:t>
      </w:r>
      <w:r>
        <w:t xml:space="preserve"> include</w:t>
      </w:r>
      <w:r w:rsidR="00154802">
        <w:t xml:space="preserve"> following</w:t>
      </w:r>
      <w:r>
        <w:t>:</w:t>
      </w:r>
    </w:p>
    <w:p w14:paraId="33EAC4ED" w14:textId="0A2871F6" w:rsidR="00727897" w:rsidRPr="00F56540" w:rsidRDefault="005174C4" w:rsidP="00F26B49">
      <w:pPr>
        <w:pStyle w:val="Bullet1"/>
      </w:pPr>
      <w:r>
        <w:t>t</w:t>
      </w:r>
      <w:r w:rsidR="00727897" w:rsidRPr="00F56540">
        <w:t>he healthcare worker is highly specialised, a sole practitioner (for example in some rural/remote areas), or there is a current workforce shortage in the person’s clinical area.</w:t>
      </w:r>
    </w:p>
    <w:p w14:paraId="1130DB42" w14:textId="4CA8AEDA" w:rsidR="00727897" w:rsidRDefault="00154802" w:rsidP="00F26B49">
      <w:pPr>
        <w:pStyle w:val="Bullet1"/>
      </w:pPr>
      <w:r>
        <w:t>f</w:t>
      </w:r>
      <w:r w:rsidR="00727897" w:rsidRPr="00F56540">
        <w:t xml:space="preserve">ailure to retain or appoint the healthcare worker would pose a genuine and serious risk to service delivery. </w:t>
      </w:r>
    </w:p>
    <w:p w14:paraId="1C24AEEA" w14:textId="7E48BBC8" w:rsidR="00727897" w:rsidRPr="00DF6716" w:rsidRDefault="00154802" w:rsidP="00F26B49">
      <w:pPr>
        <w:pStyle w:val="Bullet1"/>
        <w:rPr>
          <w:sz w:val="20"/>
        </w:rPr>
      </w:pPr>
      <w:r>
        <w:t>i</w:t>
      </w:r>
      <w:r w:rsidR="00727897" w:rsidRPr="00727897">
        <w:t>t would be difficult to replace the healthcare worker, and/or it would result in a significant period without the service.</w:t>
      </w:r>
    </w:p>
    <w:p w14:paraId="5B8B4B26" w14:textId="2AB1FAED" w:rsidR="002205D2" w:rsidRPr="00F56540" w:rsidRDefault="008E4F5E" w:rsidP="00F26B49">
      <w:pPr>
        <w:pStyle w:val="Body"/>
      </w:pPr>
      <w:r w:rsidRPr="57BEAF62">
        <w:t xml:space="preserve">Health services should establish a </w:t>
      </w:r>
      <w:r w:rsidR="005C1092" w:rsidRPr="57BEAF62">
        <w:t xml:space="preserve">process </w:t>
      </w:r>
      <w:r w:rsidRPr="57BEAF62">
        <w:t xml:space="preserve">for </w:t>
      </w:r>
      <w:r w:rsidR="00B77944" w:rsidRPr="57BEAF62">
        <w:t xml:space="preserve">assessing and approving </w:t>
      </w:r>
      <w:r w:rsidR="001212A4" w:rsidRPr="57BEAF62">
        <w:t xml:space="preserve">exemptions </w:t>
      </w:r>
      <w:r w:rsidR="0C4AA0F2" w:rsidRPr="57BEAF62">
        <w:t>in</w:t>
      </w:r>
      <w:r w:rsidR="001212A4" w:rsidRPr="57BEAF62">
        <w:t xml:space="preserve"> </w:t>
      </w:r>
      <w:r w:rsidRPr="57BEAF62">
        <w:t>exceptional circumstances</w:t>
      </w:r>
      <w:r w:rsidR="00793A32" w:rsidRPr="57BEAF62">
        <w:t xml:space="preserve">, and any conditions that apply to workers </w:t>
      </w:r>
      <w:r w:rsidR="53914CD7" w:rsidRPr="57BEAF62">
        <w:t>in</w:t>
      </w:r>
      <w:r w:rsidR="005320BA" w:rsidRPr="57BEAF62">
        <w:t xml:space="preserve"> these circumstances</w:t>
      </w:r>
      <w:r w:rsidR="00A149A4" w:rsidRPr="57BEAF62">
        <w:t>.</w:t>
      </w:r>
      <w:r w:rsidRPr="57BEAF62">
        <w:t xml:space="preserve"> </w:t>
      </w:r>
      <w:r w:rsidR="002205D2" w:rsidRPr="57BEAF62">
        <w:t>Whe</w:t>
      </w:r>
      <w:r w:rsidR="00A149A4" w:rsidRPr="57BEAF62">
        <w:t>n any of</w:t>
      </w:r>
      <w:r w:rsidR="002205D2" w:rsidRPr="57BEAF62">
        <w:t xml:space="preserve"> these exceptional circumstances arise, they should be assessed by an </w:t>
      </w:r>
      <w:r w:rsidR="00111424" w:rsidRPr="57BEAF62">
        <w:t xml:space="preserve">internal </w:t>
      </w:r>
      <w:r w:rsidR="002205D2" w:rsidRPr="57BEAF62">
        <w:t>expert group, in conjunction with the organisation’s Chief Executive Officer or appropriate delegate</w:t>
      </w:r>
      <w:r w:rsidR="58D9E222" w:rsidRPr="57BEAF62">
        <w:t>, to determine appropriate action</w:t>
      </w:r>
      <w:r w:rsidR="002205D2" w:rsidRPr="57BEAF62">
        <w:t>.</w:t>
      </w:r>
      <w:r w:rsidR="005C1092">
        <w:t xml:space="preserve"> </w:t>
      </w:r>
    </w:p>
    <w:p w14:paraId="09CEE3E6" w14:textId="4758D8A6" w:rsidR="002205D2" w:rsidRPr="00DF6716" w:rsidRDefault="0013037A" w:rsidP="00FE07DE">
      <w:pPr>
        <w:pStyle w:val="Heading1"/>
        <w:numPr>
          <w:ilvl w:val="0"/>
          <w:numId w:val="12"/>
        </w:numPr>
        <w:spacing w:after="0"/>
      </w:pPr>
      <w:bookmarkStart w:id="174" w:name="_Toc176360431"/>
      <w:r>
        <w:t>Reporting vaccination uptake</w:t>
      </w:r>
      <w:bookmarkEnd w:id="174"/>
    </w:p>
    <w:p w14:paraId="1D12D7E1" w14:textId="062DB1CC" w:rsidR="00285B04" w:rsidRDefault="00091B0D" w:rsidP="00F26B49">
      <w:pPr>
        <w:pStyle w:val="Body"/>
      </w:pPr>
      <w:r w:rsidRPr="00E51658">
        <w:t xml:space="preserve">Healthcare settings are required to report aggregated data outlining the vaccination rates of healthcare </w:t>
      </w:r>
      <w:r w:rsidRPr="006365A0">
        <w:t>workers.</w:t>
      </w:r>
      <w:r w:rsidR="00DF5116" w:rsidRPr="006365A0">
        <w:t xml:space="preserve"> </w:t>
      </w:r>
    </w:p>
    <w:p w14:paraId="7F64AB0B" w14:textId="3C3B5CE4" w:rsidR="00C349DB" w:rsidRPr="002A11B3" w:rsidRDefault="00C349DB" w:rsidP="001C224D">
      <w:pPr>
        <w:pStyle w:val="Body"/>
      </w:pPr>
      <w:bookmarkStart w:id="175" w:name="_Table_8._Reporting"/>
      <w:bookmarkEnd w:id="175"/>
      <w:r w:rsidRPr="002A11B3">
        <w:t>Acute and sub-acute hospitals, Public Residential Aged Care Services and Ambulance Victoria are</w:t>
      </w:r>
      <w:r w:rsidR="00B81EEB">
        <w:t xml:space="preserve"> </w:t>
      </w:r>
      <w:r w:rsidRPr="002A11B3">
        <w:t xml:space="preserve">required to report influenza vaccination coverage rates as </w:t>
      </w:r>
      <w:proofErr w:type="gramStart"/>
      <w:r w:rsidRPr="002A11B3">
        <w:t>at</w:t>
      </w:r>
      <w:proofErr w:type="gramEnd"/>
      <w:r w:rsidRPr="002A11B3">
        <w:t xml:space="preserve"> 15 August each year to the VICNISS Coordinating Centre.</w:t>
      </w:r>
    </w:p>
    <w:p w14:paraId="1686E3DB" w14:textId="118B4BE8" w:rsidR="0013037A" w:rsidRDefault="00C34988" w:rsidP="001C224D">
      <w:pPr>
        <w:pStyle w:val="Body"/>
        <w:spacing w:before="240"/>
        <w:rPr>
          <w:rFonts w:eastAsia="MS Gothic" w:cs="Arial"/>
          <w:bCs/>
          <w:color w:val="201547"/>
          <w:kern w:val="32"/>
          <w:sz w:val="40"/>
          <w:szCs w:val="40"/>
        </w:rPr>
      </w:pPr>
      <w:r w:rsidRPr="00F26B49">
        <w:rPr>
          <w:szCs w:val="21"/>
        </w:rPr>
        <w:t xml:space="preserve">Further information about reporting methodology is available through the </w:t>
      </w:r>
      <w:hyperlink r:id="rId29" w:history="1">
        <w:r w:rsidRPr="00F26B49">
          <w:rPr>
            <w:rStyle w:val="Hyperlink"/>
            <w:szCs w:val="21"/>
          </w:rPr>
          <w:t>VICNISS Influenza Vaccination – Healthcare Worker (HCW) website</w:t>
        </w:r>
      </w:hyperlink>
      <w:r w:rsidRPr="00F26B49">
        <w:rPr>
          <w:szCs w:val="21"/>
        </w:rPr>
        <w:t xml:space="preserve"> </w:t>
      </w:r>
      <w:bookmarkStart w:id="176" w:name="_Appendix_1"/>
      <w:bookmarkStart w:id="177" w:name="_Toc113362858"/>
      <w:bookmarkEnd w:id="176"/>
      <w:r w:rsidR="005C632E" w:rsidRPr="00F26B49">
        <w:rPr>
          <w:rStyle w:val="Hyperlink"/>
          <w:szCs w:val="21"/>
        </w:rPr>
        <w:t>&lt;</w:t>
      </w:r>
      <w:r w:rsidR="005C632E" w:rsidRPr="00F26B49">
        <w:rPr>
          <w:szCs w:val="21"/>
        </w:rPr>
        <w:t>https://www.vicniss.org.au/healthcare-workers/modules/acute-modules/influenza-vaccination-healthcare-worker-hcw/&gt;</w:t>
      </w:r>
      <w:bookmarkStart w:id="178" w:name="_Appendix_1_1"/>
      <w:bookmarkStart w:id="179" w:name="_Toc171321580"/>
      <w:bookmarkStart w:id="180" w:name="_Ref171588944"/>
      <w:bookmarkStart w:id="181" w:name="_Ref171589099"/>
      <w:bookmarkEnd w:id="178"/>
      <w:r w:rsidR="0013037A">
        <w:rPr>
          <w:sz w:val="40"/>
          <w:szCs w:val="40"/>
        </w:rPr>
        <w:br w:type="page"/>
      </w:r>
    </w:p>
    <w:p w14:paraId="6AD51F67" w14:textId="315149BF" w:rsidR="00EE25B5" w:rsidRPr="00597CE3" w:rsidRDefault="00EE25B5" w:rsidP="00056B62">
      <w:pPr>
        <w:pStyle w:val="Heading1"/>
        <w:spacing w:before="360" w:after="120"/>
        <w:rPr>
          <w:sz w:val="40"/>
          <w:szCs w:val="40"/>
        </w:rPr>
      </w:pPr>
      <w:bookmarkStart w:id="182" w:name="_Toc176360432"/>
      <w:r w:rsidRPr="00597CE3">
        <w:rPr>
          <w:sz w:val="40"/>
          <w:szCs w:val="40"/>
        </w:rPr>
        <w:lastRenderedPageBreak/>
        <w:t>Appendix 1</w:t>
      </w:r>
      <w:bookmarkEnd w:id="177"/>
      <w:bookmarkEnd w:id="179"/>
      <w:bookmarkEnd w:id="180"/>
      <w:bookmarkEnd w:id="181"/>
      <w:bookmarkEnd w:id="182"/>
    </w:p>
    <w:p w14:paraId="0D22ACA1" w14:textId="2D4A5F88" w:rsidR="00EE25B5" w:rsidRPr="00AC0CF5" w:rsidRDefault="00EE25B5" w:rsidP="00FE07DE">
      <w:pPr>
        <w:pStyle w:val="Tablecaption"/>
        <w:numPr>
          <w:ilvl w:val="0"/>
          <w:numId w:val="13"/>
        </w:numPr>
      </w:pPr>
      <w:bookmarkStart w:id="183" w:name="_Ref171589395"/>
      <w:bookmarkStart w:id="184" w:name="_Toc113362859"/>
      <w:r w:rsidRPr="00AC0CF5">
        <w:t xml:space="preserve">Responsibilities of organisations </w:t>
      </w:r>
      <w:r w:rsidR="00BC7FC2" w:rsidRPr="00AC0CF5">
        <w:t xml:space="preserve">and individuals </w:t>
      </w:r>
      <w:r w:rsidRPr="00AC0CF5">
        <w:t>in relation to this policy</w:t>
      </w:r>
      <w:bookmarkEnd w:id="183"/>
      <w:r w:rsidRPr="00AC0CF5">
        <w:t xml:space="preserve"> </w:t>
      </w:r>
      <w:bookmarkEnd w:id="184"/>
    </w:p>
    <w:tbl>
      <w:tblPr>
        <w:tblStyle w:val="TableGrid"/>
        <w:tblW w:w="9864" w:type="dxa"/>
        <w:tblLook w:val="04A0" w:firstRow="1" w:lastRow="0" w:firstColumn="1" w:lastColumn="0" w:noHBand="0" w:noVBand="1"/>
      </w:tblPr>
      <w:tblGrid>
        <w:gridCol w:w="2689"/>
        <w:gridCol w:w="7175"/>
      </w:tblGrid>
      <w:tr w:rsidR="00EB667D" w:rsidRPr="00BC7FC2" w14:paraId="173B85FF" w14:textId="77777777" w:rsidTr="001C224D">
        <w:tc>
          <w:tcPr>
            <w:tcW w:w="2689" w:type="dxa"/>
            <w:shd w:val="clear" w:color="auto" w:fill="DBE5F1" w:themeFill="accent1" w:themeFillTint="33"/>
          </w:tcPr>
          <w:p w14:paraId="0B5E6324" w14:textId="03ED4719" w:rsidR="00935C8F" w:rsidRPr="00BF3EAE" w:rsidRDefault="00935C8F" w:rsidP="00935C8F">
            <w:pPr>
              <w:pStyle w:val="Body"/>
              <w:rPr>
                <w:b/>
                <w:sz w:val="20"/>
              </w:rPr>
            </w:pPr>
            <w:r w:rsidRPr="00BF3EAE">
              <w:rPr>
                <w:b/>
                <w:sz w:val="20"/>
              </w:rPr>
              <w:t xml:space="preserve">Organisation or </w:t>
            </w:r>
            <w:r w:rsidR="00FE62AE" w:rsidRPr="00BF3EAE">
              <w:rPr>
                <w:b/>
                <w:sz w:val="20"/>
              </w:rPr>
              <w:t xml:space="preserve">individual </w:t>
            </w:r>
          </w:p>
        </w:tc>
        <w:tc>
          <w:tcPr>
            <w:tcW w:w="7175" w:type="dxa"/>
            <w:shd w:val="clear" w:color="auto" w:fill="DBE5F1" w:themeFill="accent1" w:themeFillTint="33"/>
          </w:tcPr>
          <w:p w14:paraId="3F0E00A5" w14:textId="3A0F209D" w:rsidR="00935C8F" w:rsidRPr="00BF3EAE" w:rsidRDefault="00935C8F" w:rsidP="00935C8F">
            <w:pPr>
              <w:pStyle w:val="Body"/>
              <w:rPr>
                <w:b/>
                <w:sz w:val="20"/>
              </w:rPr>
            </w:pPr>
            <w:r w:rsidRPr="00BF3EAE">
              <w:rPr>
                <w:b/>
                <w:sz w:val="20"/>
              </w:rPr>
              <w:t>Responsibilities</w:t>
            </w:r>
          </w:p>
        </w:tc>
      </w:tr>
      <w:tr w:rsidR="00EB667D" w14:paraId="24C9B933" w14:textId="77777777" w:rsidTr="001C224D">
        <w:tc>
          <w:tcPr>
            <w:tcW w:w="2689" w:type="dxa"/>
          </w:tcPr>
          <w:p w14:paraId="6190491F" w14:textId="7012F5ED" w:rsidR="00935C8F" w:rsidRPr="00BF3EAE" w:rsidRDefault="00FE62AE" w:rsidP="00935C8F">
            <w:pPr>
              <w:pStyle w:val="Body"/>
              <w:rPr>
                <w:sz w:val="20"/>
              </w:rPr>
            </w:pPr>
            <w:r w:rsidRPr="00BF3EAE">
              <w:rPr>
                <w:sz w:val="20"/>
              </w:rPr>
              <w:t>Department of Health (the department)</w:t>
            </w:r>
          </w:p>
        </w:tc>
        <w:tc>
          <w:tcPr>
            <w:tcW w:w="7175" w:type="dxa"/>
          </w:tcPr>
          <w:p w14:paraId="783D72AD" w14:textId="7649876F" w:rsidR="00EE5085" w:rsidRPr="00BF3EAE" w:rsidRDefault="00EE5085" w:rsidP="4F585365">
            <w:pPr>
              <w:pStyle w:val="Bullet1"/>
              <w:numPr>
                <w:ilvl w:val="0"/>
                <w:numId w:val="0"/>
              </w:numPr>
              <w:rPr>
                <w:sz w:val="20"/>
              </w:rPr>
            </w:pPr>
            <w:r w:rsidRPr="00BF3EAE">
              <w:rPr>
                <w:sz w:val="20"/>
              </w:rPr>
              <w:t>The department has a responsibility to:</w:t>
            </w:r>
          </w:p>
          <w:p w14:paraId="34F11486" w14:textId="4649EBAA" w:rsidR="00FE62AE" w:rsidRPr="00BF3EAE" w:rsidRDefault="00FE62AE" w:rsidP="00FE07DE">
            <w:pPr>
              <w:pStyle w:val="Bullet1"/>
              <w:numPr>
                <w:ilvl w:val="0"/>
                <w:numId w:val="9"/>
              </w:numPr>
              <w:rPr>
                <w:sz w:val="20"/>
              </w:rPr>
            </w:pPr>
            <w:r w:rsidRPr="00BF3EAE">
              <w:rPr>
                <w:sz w:val="20"/>
              </w:rPr>
              <w:t xml:space="preserve">review and update </w:t>
            </w:r>
            <w:r w:rsidRPr="00BF3EAE" w:rsidDel="0087399A">
              <w:rPr>
                <w:sz w:val="20"/>
              </w:rPr>
              <w:t>the</w:t>
            </w:r>
            <w:r w:rsidR="0087399A" w:rsidRPr="00BF3EAE">
              <w:rPr>
                <w:sz w:val="20"/>
              </w:rPr>
              <w:t xml:space="preserve"> </w:t>
            </w:r>
            <w:r w:rsidR="00F23EA4" w:rsidRPr="00BF3EAE">
              <w:rPr>
                <w:sz w:val="20"/>
              </w:rPr>
              <w:t xml:space="preserve">vaccination requirements </w:t>
            </w:r>
            <w:r w:rsidR="0087399A" w:rsidRPr="00BF3EAE">
              <w:rPr>
                <w:sz w:val="20"/>
              </w:rPr>
              <w:t xml:space="preserve">policy </w:t>
            </w:r>
            <w:r w:rsidR="00F23EA4" w:rsidRPr="00BF3EAE">
              <w:rPr>
                <w:sz w:val="20"/>
              </w:rPr>
              <w:t xml:space="preserve">for healthcare workers </w:t>
            </w:r>
            <w:r w:rsidRPr="00BF3EAE">
              <w:rPr>
                <w:sz w:val="20"/>
              </w:rPr>
              <w:t>as required</w:t>
            </w:r>
            <w:r w:rsidR="009B52C2">
              <w:rPr>
                <w:sz w:val="20"/>
              </w:rPr>
              <w:t xml:space="preserve">. </w:t>
            </w:r>
          </w:p>
          <w:p w14:paraId="171EDF3A" w14:textId="4137DA41" w:rsidR="006B082A" w:rsidRPr="00BF3EAE" w:rsidRDefault="006B082A" w:rsidP="00FE07DE">
            <w:pPr>
              <w:pStyle w:val="Bullet1"/>
              <w:numPr>
                <w:ilvl w:val="0"/>
                <w:numId w:val="9"/>
              </w:numPr>
              <w:rPr>
                <w:sz w:val="20"/>
              </w:rPr>
            </w:pPr>
            <w:r w:rsidRPr="00BF3EAE">
              <w:rPr>
                <w:sz w:val="20"/>
              </w:rPr>
              <w:t xml:space="preserve">review and update </w:t>
            </w:r>
            <w:r w:rsidR="00F61540" w:rsidRPr="00BF3EAE">
              <w:rPr>
                <w:sz w:val="20"/>
              </w:rPr>
              <w:t>this policy guidance document as required</w:t>
            </w:r>
            <w:r w:rsidR="009B52C2">
              <w:rPr>
                <w:sz w:val="20"/>
              </w:rPr>
              <w:t xml:space="preserve">. </w:t>
            </w:r>
            <w:r w:rsidR="00F61540" w:rsidRPr="00BF3EAE">
              <w:rPr>
                <w:sz w:val="20"/>
              </w:rPr>
              <w:t xml:space="preserve"> </w:t>
            </w:r>
          </w:p>
          <w:p w14:paraId="25948892" w14:textId="40C07027" w:rsidR="003838CE" w:rsidRPr="00BF3EAE" w:rsidRDefault="00FE62AE" w:rsidP="00FE07DE">
            <w:pPr>
              <w:pStyle w:val="Bullet1"/>
              <w:numPr>
                <w:ilvl w:val="0"/>
                <w:numId w:val="9"/>
              </w:numPr>
              <w:rPr>
                <w:sz w:val="20"/>
              </w:rPr>
            </w:pPr>
            <w:r w:rsidRPr="00BF3EAE">
              <w:rPr>
                <w:sz w:val="20"/>
              </w:rPr>
              <w:t xml:space="preserve">monitor healthcare worker compliance with the </w:t>
            </w:r>
            <w:r w:rsidR="0087399A" w:rsidRPr="00BF3EAE">
              <w:rPr>
                <w:sz w:val="20"/>
              </w:rPr>
              <w:t xml:space="preserve">vaccination </w:t>
            </w:r>
            <w:r w:rsidRPr="00BF3EAE">
              <w:rPr>
                <w:sz w:val="20"/>
              </w:rPr>
              <w:t>policy at the health service level</w:t>
            </w:r>
            <w:r w:rsidR="009B52C2">
              <w:rPr>
                <w:sz w:val="20"/>
              </w:rPr>
              <w:t xml:space="preserve">. </w:t>
            </w:r>
          </w:p>
          <w:p w14:paraId="77522105" w14:textId="70FA8352" w:rsidR="00935C8F" w:rsidRPr="00BF3EAE" w:rsidRDefault="00FE62AE" w:rsidP="00FE07DE">
            <w:pPr>
              <w:pStyle w:val="Bullet1"/>
              <w:numPr>
                <w:ilvl w:val="0"/>
                <w:numId w:val="9"/>
              </w:numPr>
              <w:spacing w:after="240"/>
              <w:rPr>
                <w:sz w:val="20"/>
              </w:rPr>
            </w:pPr>
            <w:r w:rsidRPr="00BF3EAE">
              <w:rPr>
                <w:sz w:val="20"/>
              </w:rPr>
              <w:t xml:space="preserve">provide advice, information and support to assist healthcare </w:t>
            </w:r>
            <w:r w:rsidR="00A140A8" w:rsidRPr="00BF3EAE">
              <w:rPr>
                <w:sz w:val="20"/>
              </w:rPr>
              <w:t xml:space="preserve">workers and </w:t>
            </w:r>
            <w:r w:rsidRPr="00BF3EAE">
              <w:rPr>
                <w:sz w:val="20"/>
              </w:rPr>
              <w:t>settings to meet vaccination policy requirements</w:t>
            </w:r>
            <w:r w:rsidR="00732ED1">
              <w:rPr>
                <w:sz w:val="20"/>
              </w:rPr>
              <w:t xml:space="preserve">. </w:t>
            </w:r>
          </w:p>
        </w:tc>
      </w:tr>
      <w:tr w:rsidR="00EB667D" w14:paraId="08B4DA5C" w14:textId="77777777" w:rsidTr="001C224D">
        <w:tc>
          <w:tcPr>
            <w:tcW w:w="2689" w:type="dxa"/>
          </w:tcPr>
          <w:p w14:paraId="56D21A08" w14:textId="3B625247" w:rsidR="006D5A86" w:rsidRPr="00BF3EAE" w:rsidRDefault="006D5A86" w:rsidP="006D5A86">
            <w:pPr>
              <w:pStyle w:val="Body"/>
              <w:rPr>
                <w:sz w:val="20"/>
              </w:rPr>
            </w:pPr>
            <w:r w:rsidRPr="00BF3EAE">
              <w:rPr>
                <w:sz w:val="20"/>
              </w:rPr>
              <w:t xml:space="preserve">Healthcare settings </w:t>
            </w:r>
          </w:p>
          <w:p w14:paraId="69D2A115" w14:textId="3B625247" w:rsidR="00935C8F" w:rsidRPr="00BF3EAE" w:rsidRDefault="00935C8F" w:rsidP="00935C8F">
            <w:pPr>
              <w:pStyle w:val="Body"/>
              <w:rPr>
                <w:sz w:val="20"/>
              </w:rPr>
            </w:pPr>
          </w:p>
        </w:tc>
        <w:tc>
          <w:tcPr>
            <w:tcW w:w="7175" w:type="dxa"/>
          </w:tcPr>
          <w:p w14:paraId="3A31DE6B" w14:textId="2C99F954" w:rsidR="00EE5085" w:rsidRPr="00BF3EAE" w:rsidRDefault="00EE5085" w:rsidP="00BF3EAE">
            <w:pPr>
              <w:pStyle w:val="Body"/>
              <w:rPr>
                <w:sz w:val="20"/>
              </w:rPr>
            </w:pPr>
            <w:r w:rsidRPr="00BF3EAE">
              <w:rPr>
                <w:sz w:val="20"/>
              </w:rPr>
              <w:t>Healthcare settings have a responsibility to:</w:t>
            </w:r>
          </w:p>
          <w:p w14:paraId="2900F399" w14:textId="620FFF96" w:rsidR="006D5A86" w:rsidRPr="00BF3EAE" w:rsidRDefault="00777C63" w:rsidP="00FE07DE">
            <w:pPr>
              <w:pStyle w:val="Body"/>
              <w:numPr>
                <w:ilvl w:val="0"/>
                <w:numId w:val="10"/>
              </w:numPr>
              <w:rPr>
                <w:sz w:val="20"/>
              </w:rPr>
            </w:pPr>
            <w:r w:rsidRPr="00BF3EAE">
              <w:rPr>
                <w:sz w:val="20"/>
              </w:rPr>
              <w:t xml:space="preserve">comply </w:t>
            </w:r>
            <w:r w:rsidR="006D5A86" w:rsidRPr="00BF3EAE">
              <w:rPr>
                <w:sz w:val="20"/>
              </w:rPr>
              <w:t xml:space="preserve">with </w:t>
            </w:r>
            <w:r w:rsidRPr="00BF3EAE">
              <w:rPr>
                <w:sz w:val="20"/>
              </w:rPr>
              <w:t xml:space="preserve">all </w:t>
            </w:r>
            <w:r w:rsidR="006D5A86" w:rsidRPr="00BF3EAE">
              <w:rPr>
                <w:sz w:val="20"/>
              </w:rPr>
              <w:t>current Secretary</w:t>
            </w:r>
            <w:r w:rsidR="00267506">
              <w:rPr>
                <w:sz w:val="20"/>
              </w:rPr>
              <w:t>/Ministerial</w:t>
            </w:r>
            <w:r w:rsidR="006D5A86" w:rsidRPr="00BF3EAE">
              <w:rPr>
                <w:sz w:val="20"/>
              </w:rPr>
              <w:t xml:space="preserve"> Directions </w:t>
            </w:r>
            <w:r w:rsidR="00CD19F8">
              <w:rPr>
                <w:sz w:val="20"/>
              </w:rPr>
              <w:t xml:space="preserve">(as applicable) </w:t>
            </w:r>
            <w:r w:rsidR="006D5A86" w:rsidRPr="00BF3EAE">
              <w:rPr>
                <w:sz w:val="20"/>
              </w:rPr>
              <w:t>requiring vaccination of healthcare workers</w:t>
            </w:r>
            <w:r w:rsidR="00AA29D5">
              <w:rPr>
                <w:sz w:val="20"/>
              </w:rPr>
              <w:t xml:space="preserve">. </w:t>
            </w:r>
          </w:p>
          <w:p w14:paraId="248DEA75" w14:textId="059A8F6D" w:rsidR="006D5A86" w:rsidRPr="00BF3EAE" w:rsidRDefault="006D5A86" w:rsidP="006D5A86">
            <w:pPr>
              <w:pStyle w:val="Body"/>
              <w:numPr>
                <w:ilvl w:val="0"/>
                <w:numId w:val="2"/>
              </w:numPr>
              <w:rPr>
                <w:sz w:val="20"/>
              </w:rPr>
            </w:pPr>
            <w:r w:rsidRPr="00BF3EAE">
              <w:rPr>
                <w:sz w:val="20"/>
              </w:rPr>
              <w:t>develop site</w:t>
            </w:r>
            <w:r w:rsidR="00AA29D5">
              <w:rPr>
                <w:sz w:val="20"/>
              </w:rPr>
              <w:t>-</w:t>
            </w:r>
            <w:r w:rsidRPr="00BF3EAE">
              <w:rPr>
                <w:sz w:val="20"/>
              </w:rPr>
              <w:t>specific immunisation policies and guidelines as required that incorporate, at a minimum, the vaccination requirements outlined in current Secretary</w:t>
            </w:r>
            <w:r w:rsidR="00B92A25">
              <w:rPr>
                <w:sz w:val="20"/>
              </w:rPr>
              <w:t>/Ministerial</w:t>
            </w:r>
            <w:r w:rsidRPr="00BF3EAE">
              <w:rPr>
                <w:sz w:val="20"/>
              </w:rPr>
              <w:t xml:space="preserve"> Directions</w:t>
            </w:r>
            <w:r w:rsidR="00AA29D5">
              <w:rPr>
                <w:sz w:val="20"/>
              </w:rPr>
              <w:t xml:space="preserve">. </w:t>
            </w:r>
          </w:p>
          <w:p w14:paraId="736854FB" w14:textId="33128455" w:rsidR="006D5A86" w:rsidRPr="00BF3EAE" w:rsidRDefault="006D5A86" w:rsidP="006D5A86">
            <w:pPr>
              <w:pStyle w:val="Body"/>
              <w:numPr>
                <w:ilvl w:val="0"/>
                <w:numId w:val="2"/>
              </w:numPr>
              <w:rPr>
                <w:sz w:val="20"/>
              </w:rPr>
            </w:pPr>
            <w:r w:rsidRPr="006554CC">
              <w:rPr>
                <w:sz w:val="20"/>
              </w:rPr>
              <w:t>sight evidence of and record compliance with</w:t>
            </w:r>
            <w:r w:rsidRPr="00BF3EAE">
              <w:rPr>
                <w:sz w:val="20"/>
              </w:rPr>
              <w:t xml:space="preserve"> vaccination requirements of healthcare workers </w:t>
            </w:r>
            <w:r w:rsidR="00777C63" w:rsidRPr="00BF3EAE">
              <w:rPr>
                <w:sz w:val="20"/>
              </w:rPr>
              <w:t xml:space="preserve">employed or </w:t>
            </w:r>
            <w:r w:rsidR="00241AEB">
              <w:rPr>
                <w:sz w:val="20"/>
              </w:rPr>
              <w:t>engaged</w:t>
            </w:r>
            <w:r w:rsidR="00241AEB" w:rsidRPr="00BF3EAE">
              <w:rPr>
                <w:sz w:val="20"/>
              </w:rPr>
              <w:t xml:space="preserve"> </w:t>
            </w:r>
            <w:r w:rsidR="00241AEB">
              <w:rPr>
                <w:sz w:val="20"/>
              </w:rPr>
              <w:t xml:space="preserve">by </w:t>
            </w:r>
            <w:r w:rsidR="00777C63" w:rsidRPr="00BF3EAE">
              <w:rPr>
                <w:sz w:val="20"/>
              </w:rPr>
              <w:t>their service</w:t>
            </w:r>
            <w:r w:rsidR="00732ED1">
              <w:rPr>
                <w:sz w:val="20"/>
              </w:rPr>
              <w:t xml:space="preserve">. </w:t>
            </w:r>
          </w:p>
          <w:p w14:paraId="04911028" w14:textId="686B7476" w:rsidR="006D5A86" w:rsidRPr="00BF3EAE" w:rsidRDefault="006D5A86" w:rsidP="006D5A86">
            <w:pPr>
              <w:pStyle w:val="Body"/>
              <w:numPr>
                <w:ilvl w:val="0"/>
                <w:numId w:val="2"/>
              </w:numPr>
              <w:rPr>
                <w:sz w:val="20"/>
              </w:rPr>
            </w:pPr>
            <w:r w:rsidRPr="00507B8C">
              <w:rPr>
                <w:sz w:val="20"/>
              </w:rPr>
              <w:t>develop an assessment and management plan</w:t>
            </w:r>
            <w:r w:rsidRPr="00BF3EAE">
              <w:rPr>
                <w:sz w:val="20"/>
              </w:rPr>
              <w:t xml:space="preserve"> where a currently employed or </w:t>
            </w:r>
            <w:r w:rsidR="000E015A">
              <w:rPr>
                <w:sz w:val="20"/>
              </w:rPr>
              <w:t>engaged</w:t>
            </w:r>
            <w:r w:rsidR="000E015A" w:rsidRPr="00BF3EAE">
              <w:rPr>
                <w:sz w:val="20"/>
              </w:rPr>
              <w:t xml:space="preserve"> </w:t>
            </w:r>
            <w:r w:rsidRPr="00BF3EAE">
              <w:rPr>
                <w:sz w:val="20"/>
              </w:rPr>
              <w:t>healthcare worker is unable to be vaccinated due to a contraindication or exemption to vaccination</w:t>
            </w:r>
            <w:r w:rsidR="0027268C">
              <w:rPr>
                <w:sz w:val="20"/>
              </w:rPr>
              <w:t>/s</w:t>
            </w:r>
            <w:r w:rsidR="00777C63" w:rsidRPr="00BF3EAE">
              <w:rPr>
                <w:sz w:val="20"/>
              </w:rPr>
              <w:t xml:space="preserve">. </w:t>
            </w:r>
          </w:p>
          <w:p w14:paraId="4C258275" w14:textId="50A96E64" w:rsidR="006D5A86" w:rsidRPr="00BF3EAE" w:rsidRDefault="006D5A86" w:rsidP="006D5A86">
            <w:pPr>
              <w:pStyle w:val="Body"/>
              <w:numPr>
                <w:ilvl w:val="0"/>
                <w:numId w:val="2"/>
              </w:numPr>
              <w:rPr>
                <w:sz w:val="20"/>
              </w:rPr>
            </w:pPr>
            <w:r w:rsidRPr="00BF3EAE">
              <w:rPr>
                <w:sz w:val="20"/>
              </w:rPr>
              <w:t xml:space="preserve">report data for healthcare worker vaccination against the specified diseases to the department or a body appointed by the department </w:t>
            </w:r>
            <w:r w:rsidR="006B5BA3">
              <w:rPr>
                <w:sz w:val="20"/>
              </w:rPr>
              <w:t>(</w:t>
            </w:r>
            <w:r w:rsidRPr="00BF3EAE">
              <w:rPr>
                <w:sz w:val="20"/>
              </w:rPr>
              <w:t>such as VICNISS</w:t>
            </w:r>
            <w:r w:rsidR="006B5BA3">
              <w:rPr>
                <w:sz w:val="20"/>
              </w:rPr>
              <w:t>)</w:t>
            </w:r>
            <w:r w:rsidRPr="00BF3EAE">
              <w:rPr>
                <w:sz w:val="20"/>
              </w:rPr>
              <w:t xml:space="preserve"> upon request for the purposes of collecting data. </w:t>
            </w:r>
          </w:p>
          <w:p w14:paraId="560A979F" w14:textId="00DA1329" w:rsidR="006D5A86" w:rsidRPr="00BF3EAE" w:rsidRDefault="006D5A86" w:rsidP="006D5A86">
            <w:pPr>
              <w:pStyle w:val="Body"/>
              <w:numPr>
                <w:ilvl w:val="0"/>
                <w:numId w:val="2"/>
              </w:numPr>
              <w:rPr>
                <w:sz w:val="20"/>
              </w:rPr>
            </w:pPr>
            <w:r w:rsidRPr="00BF3EAE">
              <w:rPr>
                <w:sz w:val="20"/>
              </w:rPr>
              <w:t>comply with the mandatory Australian Government requirement to notify vaccinations administered to the Australian Immunisation Register</w:t>
            </w:r>
            <w:r w:rsidR="00732ED1">
              <w:rPr>
                <w:sz w:val="20"/>
              </w:rPr>
              <w:t xml:space="preserve">. </w:t>
            </w:r>
          </w:p>
          <w:p w14:paraId="507A8E60" w14:textId="570FC2BE" w:rsidR="00935C8F" w:rsidRPr="00BF3EAE" w:rsidRDefault="006D5A86" w:rsidP="00BC7FC2">
            <w:pPr>
              <w:pStyle w:val="Body"/>
              <w:numPr>
                <w:ilvl w:val="0"/>
                <w:numId w:val="2"/>
              </w:numPr>
              <w:rPr>
                <w:sz w:val="20"/>
              </w:rPr>
            </w:pPr>
            <w:r w:rsidRPr="2D704CFB">
              <w:rPr>
                <w:sz w:val="20"/>
              </w:rPr>
              <w:t xml:space="preserve">advise prospective healthcare workers of the </w:t>
            </w:r>
            <w:r w:rsidR="0073324E" w:rsidRPr="2D704CFB">
              <w:rPr>
                <w:sz w:val="20"/>
              </w:rPr>
              <w:t xml:space="preserve">vaccination requirements for their </w:t>
            </w:r>
            <w:r w:rsidR="4ECEC03B" w:rsidRPr="2D704CFB">
              <w:rPr>
                <w:sz w:val="20"/>
              </w:rPr>
              <w:t xml:space="preserve">prospective </w:t>
            </w:r>
            <w:r w:rsidR="0073324E" w:rsidRPr="2D704CFB">
              <w:rPr>
                <w:sz w:val="20"/>
              </w:rPr>
              <w:t>role.</w:t>
            </w:r>
            <w:r w:rsidR="0073324E">
              <w:rPr>
                <w:sz w:val="20"/>
              </w:rPr>
              <w:t xml:space="preserve"> </w:t>
            </w:r>
            <w:r w:rsidR="00732ED1">
              <w:rPr>
                <w:sz w:val="20"/>
              </w:rPr>
              <w:t xml:space="preserve"> </w:t>
            </w:r>
          </w:p>
        </w:tc>
      </w:tr>
      <w:tr w:rsidR="00357278" w14:paraId="579145DB" w14:textId="77777777" w:rsidTr="001C224D">
        <w:tc>
          <w:tcPr>
            <w:tcW w:w="2689" w:type="dxa"/>
          </w:tcPr>
          <w:p w14:paraId="2C138BAA" w14:textId="77777777" w:rsidR="00357278" w:rsidRPr="00BF3EAE" w:rsidRDefault="00357278" w:rsidP="00357278">
            <w:pPr>
              <w:pStyle w:val="Body"/>
              <w:rPr>
                <w:sz w:val="20"/>
              </w:rPr>
            </w:pPr>
            <w:r w:rsidRPr="00BF3EAE">
              <w:rPr>
                <w:sz w:val="20"/>
              </w:rPr>
              <w:t xml:space="preserve">Current and prospective healthcare workers (including locums, VMOs and contractors) </w:t>
            </w:r>
          </w:p>
          <w:p w14:paraId="1D29BAF7" w14:textId="012C2C7A" w:rsidR="00BF08B7" w:rsidRPr="00BF3EAE" w:rsidRDefault="00BF08B7" w:rsidP="00357278">
            <w:pPr>
              <w:pStyle w:val="Body"/>
              <w:rPr>
                <w:sz w:val="20"/>
              </w:rPr>
            </w:pPr>
          </w:p>
        </w:tc>
        <w:tc>
          <w:tcPr>
            <w:tcW w:w="7175" w:type="dxa"/>
          </w:tcPr>
          <w:p w14:paraId="0AB2D367" w14:textId="355590C5" w:rsidR="00BF08B7" w:rsidRPr="00BF3EAE" w:rsidRDefault="00BF08B7" w:rsidP="00BF3EAE">
            <w:pPr>
              <w:pStyle w:val="Body"/>
              <w:rPr>
                <w:sz w:val="20"/>
              </w:rPr>
            </w:pPr>
            <w:r w:rsidRPr="00BF3EAE">
              <w:rPr>
                <w:sz w:val="20"/>
              </w:rPr>
              <w:t>Healthcare workers</w:t>
            </w:r>
            <w:r w:rsidR="008B5A10" w:rsidRPr="00BF3EAE">
              <w:rPr>
                <w:sz w:val="20"/>
              </w:rPr>
              <w:t xml:space="preserve"> have a responsibility to:</w:t>
            </w:r>
          </w:p>
          <w:p w14:paraId="04E1BA06" w14:textId="43CB7DC4" w:rsidR="00357278" w:rsidRPr="00BF3EAE" w:rsidRDefault="00357278" w:rsidP="00357278">
            <w:pPr>
              <w:pStyle w:val="Body"/>
              <w:numPr>
                <w:ilvl w:val="0"/>
                <w:numId w:val="2"/>
              </w:numPr>
              <w:rPr>
                <w:sz w:val="20"/>
              </w:rPr>
            </w:pPr>
            <w:r w:rsidRPr="00BF3EAE">
              <w:rPr>
                <w:sz w:val="20"/>
              </w:rPr>
              <w:t xml:space="preserve">demonstrate compliance with the policy through documented evidence of vaccination </w:t>
            </w:r>
            <w:r w:rsidR="00BC7FC2" w:rsidRPr="00BF3EAE">
              <w:rPr>
                <w:sz w:val="20"/>
              </w:rPr>
              <w:t>or contraindication/exemption</w:t>
            </w:r>
            <w:r w:rsidR="00E5469F">
              <w:rPr>
                <w:sz w:val="20"/>
              </w:rPr>
              <w:t xml:space="preserve">. </w:t>
            </w:r>
          </w:p>
          <w:p w14:paraId="4C0A2208" w14:textId="74514F8A" w:rsidR="00357278" w:rsidRPr="00BF3EAE" w:rsidRDefault="00357278" w:rsidP="00357278">
            <w:pPr>
              <w:pStyle w:val="Body"/>
              <w:numPr>
                <w:ilvl w:val="0"/>
                <w:numId w:val="2"/>
              </w:numPr>
              <w:rPr>
                <w:sz w:val="20"/>
              </w:rPr>
            </w:pPr>
            <w:r w:rsidRPr="00BF3EAE">
              <w:rPr>
                <w:sz w:val="20"/>
              </w:rPr>
              <w:t>demonstrate compliance with the policy within a specified timeframe (where applicable)</w:t>
            </w:r>
            <w:r w:rsidR="00E5469F">
              <w:rPr>
                <w:sz w:val="20"/>
              </w:rPr>
              <w:t xml:space="preserve">. </w:t>
            </w:r>
          </w:p>
          <w:p w14:paraId="64F64A67" w14:textId="5B965A4C" w:rsidR="00B2608B" w:rsidRPr="00BF3EAE" w:rsidRDefault="00B2608B" w:rsidP="00B2608B">
            <w:pPr>
              <w:pStyle w:val="Body"/>
              <w:rPr>
                <w:sz w:val="20"/>
              </w:rPr>
            </w:pPr>
            <w:r w:rsidRPr="00BF3EAE">
              <w:rPr>
                <w:sz w:val="20"/>
              </w:rPr>
              <w:t xml:space="preserve">Healthcare workers should </w:t>
            </w:r>
            <w:r w:rsidR="00144F24" w:rsidRPr="00BF3EAE">
              <w:rPr>
                <w:sz w:val="20"/>
              </w:rPr>
              <w:t>liaise with their current or potential employer/contractor in the first instance with any queries regarding vaccination requirements</w:t>
            </w:r>
            <w:r w:rsidR="009342AE" w:rsidRPr="00BF3EAE">
              <w:rPr>
                <w:sz w:val="20"/>
              </w:rPr>
              <w:t xml:space="preserve"> that apply</w:t>
            </w:r>
            <w:r w:rsidR="00077D34">
              <w:rPr>
                <w:sz w:val="20"/>
              </w:rPr>
              <w:t xml:space="preserve"> in their workplace</w:t>
            </w:r>
            <w:r w:rsidR="00144F24" w:rsidRPr="00BF3EAE">
              <w:rPr>
                <w:sz w:val="20"/>
              </w:rPr>
              <w:t xml:space="preserve">. </w:t>
            </w:r>
          </w:p>
        </w:tc>
      </w:tr>
      <w:tr w:rsidR="00357278" w14:paraId="5FD92788" w14:textId="77777777" w:rsidTr="001C224D">
        <w:tc>
          <w:tcPr>
            <w:tcW w:w="2689" w:type="dxa"/>
          </w:tcPr>
          <w:p w14:paraId="3E50C75A" w14:textId="77777777" w:rsidR="00357278" w:rsidRPr="00BF3EAE" w:rsidRDefault="00357278" w:rsidP="00357278">
            <w:pPr>
              <w:pStyle w:val="Body"/>
              <w:rPr>
                <w:sz w:val="20"/>
              </w:rPr>
            </w:pPr>
            <w:r w:rsidRPr="00BF3EAE">
              <w:rPr>
                <w:sz w:val="20"/>
              </w:rPr>
              <w:t>Universities and other education providers</w:t>
            </w:r>
          </w:p>
          <w:p w14:paraId="456B0818" w14:textId="77777777" w:rsidR="00357278" w:rsidRPr="00BF3EAE" w:rsidRDefault="00357278" w:rsidP="00357278">
            <w:pPr>
              <w:pStyle w:val="Body"/>
              <w:rPr>
                <w:sz w:val="20"/>
              </w:rPr>
            </w:pPr>
          </w:p>
        </w:tc>
        <w:tc>
          <w:tcPr>
            <w:tcW w:w="7175" w:type="dxa"/>
          </w:tcPr>
          <w:p w14:paraId="36226067" w14:textId="14ED6E3B" w:rsidR="00357278" w:rsidRPr="00BF3EAE" w:rsidRDefault="00357278" w:rsidP="00357278">
            <w:pPr>
              <w:pStyle w:val="Body"/>
              <w:rPr>
                <w:sz w:val="20"/>
              </w:rPr>
            </w:pPr>
            <w:r w:rsidRPr="00BF3EAE">
              <w:rPr>
                <w:sz w:val="20"/>
              </w:rPr>
              <w:t xml:space="preserve">Universities and other education providers are responsible for liaising with healthcare services where their students </w:t>
            </w:r>
            <w:r w:rsidR="004F20E0" w:rsidRPr="00BF3EAE">
              <w:rPr>
                <w:sz w:val="20"/>
              </w:rPr>
              <w:t>undertake placement</w:t>
            </w:r>
            <w:r w:rsidR="00743782" w:rsidRPr="00BF3EAE">
              <w:rPr>
                <w:sz w:val="20"/>
              </w:rPr>
              <w:t>s</w:t>
            </w:r>
            <w:r w:rsidR="00777C63" w:rsidRPr="00BF3EAE">
              <w:rPr>
                <w:sz w:val="20"/>
              </w:rPr>
              <w:t xml:space="preserve"> to</w:t>
            </w:r>
            <w:r w:rsidR="00743782" w:rsidRPr="00BF3EAE">
              <w:rPr>
                <w:sz w:val="20"/>
              </w:rPr>
              <w:t xml:space="preserve"> understand</w:t>
            </w:r>
            <w:r w:rsidRPr="00BF3EAE">
              <w:rPr>
                <w:sz w:val="20"/>
              </w:rPr>
              <w:t xml:space="preserve"> their student vaccination requirements (if any)</w:t>
            </w:r>
            <w:r w:rsidR="00AA7226">
              <w:rPr>
                <w:sz w:val="20"/>
              </w:rPr>
              <w:t xml:space="preserve">. Vaccination requirements for </w:t>
            </w:r>
            <w:r w:rsidR="00AA7226">
              <w:rPr>
                <w:sz w:val="20"/>
              </w:rPr>
              <w:lastRenderedPageBreak/>
              <w:t>students are at the healthcare setting’s discretion, as students are not subject to Directions</w:t>
            </w:r>
            <w:r w:rsidRPr="00BF3EAE">
              <w:rPr>
                <w:sz w:val="20"/>
              </w:rPr>
              <w:t xml:space="preserve">. </w:t>
            </w:r>
          </w:p>
        </w:tc>
      </w:tr>
      <w:tr w:rsidR="002471A9" w14:paraId="234011A9" w14:textId="77777777" w:rsidTr="001C224D">
        <w:tc>
          <w:tcPr>
            <w:tcW w:w="2689" w:type="dxa"/>
          </w:tcPr>
          <w:p w14:paraId="297A06D0" w14:textId="45144B74" w:rsidR="002471A9" w:rsidRPr="00BF3EAE" w:rsidRDefault="002471A9" w:rsidP="002471A9">
            <w:pPr>
              <w:pStyle w:val="Body"/>
              <w:rPr>
                <w:sz w:val="20"/>
              </w:rPr>
            </w:pPr>
            <w:r w:rsidRPr="00BF3EAE">
              <w:rPr>
                <w:sz w:val="20"/>
              </w:rPr>
              <w:lastRenderedPageBreak/>
              <w:t xml:space="preserve">Students </w:t>
            </w:r>
          </w:p>
        </w:tc>
        <w:tc>
          <w:tcPr>
            <w:tcW w:w="7175" w:type="dxa"/>
          </w:tcPr>
          <w:p w14:paraId="369F8B51" w14:textId="4B6C2DE5" w:rsidR="002471A9" w:rsidRPr="00BF3EAE" w:rsidRDefault="002471A9" w:rsidP="002471A9">
            <w:pPr>
              <w:pStyle w:val="Body"/>
              <w:rPr>
                <w:sz w:val="20"/>
              </w:rPr>
            </w:pPr>
            <w:r w:rsidRPr="00BF3EAE">
              <w:rPr>
                <w:sz w:val="20"/>
              </w:rPr>
              <w:t xml:space="preserve">Students are not directly subject to Directions; however, a health service may reasonably require that they meet vaccination requirements prior to commencing roles or placements within the setting. </w:t>
            </w:r>
          </w:p>
          <w:p w14:paraId="49642DDB" w14:textId="1AF2F5E8" w:rsidR="002471A9" w:rsidRPr="00BF3EAE" w:rsidRDefault="002471A9" w:rsidP="002471A9">
            <w:pPr>
              <w:pStyle w:val="Body"/>
              <w:rPr>
                <w:sz w:val="20"/>
              </w:rPr>
            </w:pPr>
            <w:r w:rsidRPr="00BF3EAE">
              <w:rPr>
                <w:sz w:val="20"/>
              </w:rPr>
              <w:t xml:space="preserve">Students should liaise with their education provider </w:t>
            </w:r>
            <w:r w:rsidR="006F3299" w:rsidRPr="00BF3EAE">
              <w:rPr>
                <w:sz w:val="20"/>
              </w:rPr>
              <w:t xml:space="preserve">directly </w:t>
            </w:r>
            <w:r w:rsidRPr="00BF3EAE">
              <w:rPr>
                <w:sz w:val="20"/>
              </w:rPr>
              <w:t xml:space="preserve">regarding any vaccination requirements that may apply to them. </w:t>
            </w:r>
          </w:p>
        </w:tc>
      </w:tr>
      <w:tr w:rsidR="002471A9" w14:paraId="6B365899" w14:textId="77777777" w:rsidTr="001C224D">
        <w:tc>
          <w:tcPr>
            <w:tcW w:w="2689" w:type="dxa"/>
          </w:tcPr>
          <w:p w14:paraId="3C181DC5" w14:textId="77777777" w:rsidR="002471A9" w:rsidRPr="00BF3EAE" w:rsidRDefault="002471A9" w:rsidP="002471A9">
            <w:pPr>
              <w:pStyle w:val="Body"/>
              <w:rPr>
                <w:sz w:val="20"/>
              </w:rPr>
            </w:pPr>
            <w:r w:rsidRPr="00BF3EAE">
              <w:rPr>
                <w:sz w:val="20"/>
              </w:rPr>
              <w:t>Volunteers</w:t>
            </w:r>
          </w:p>
          <w:p w14:paraId="708AD592" w14:textId="77777777" w:rsidR="002471A9" w:rsidRPr="00BF3EAE" w:rsidRDefault="002471A9" w:rsidP="002471A9">
            <w:pPr>
              <w:pStyle w:val="Body"/>
              <w:rPr>
                <w:sz w:val="20"/>
              </w:rPr>
            </w:pPr>
          </w:p>
        </w:tc>
        <w:tc>
          <w:tcPr>
            <w:tcW w:w="7175" w:type="dxa"/>
          </w:tcPr>
          <w:p w14:paraId="490AC62B" w14:textId="245ED135" w:rsidR="002471A9" w:rsidRPr="00BF3EAE" w:rsidRDefault="002471A9" w:rsidP="002471A9">
            <w:pPr>
              <w:pStyle w:val="Body"/>
              <w:rPr>
                <w:sz w:val="20"/>
              </w:rPr>
            </w:pPr>
            <w:r w:rsidRPr="00BF3EAE">
              <w:rPr>
                <w:sz w:val="20"/>
              </w:rPr>
              <w:t xml:space="preserve">Volunteers are not directly subject to Directions; however, a health service may reasonably require that they meet vaccination requirements prior to commencing roles within the setting. </w:t>
            </w:r>
          </w:p>
          <w:p w14:paraId="193040E5" w14:textId="65BAA419" w:rsidR="002471A9" w:rsidRPr="00BF3EAE" w:rsidRDefault="002471A9" w:rsidP="002471A9">
            <w:pPr>
              <w:pStyle w:val="Body"/>
              <w:rPr>
                <w:sz w:val="20"/>
              </w:rPr>
            </w:pPr>
            <w:r w:rsidRPr="00BF3EAE">
              <w:rPr>
                <w:sz w:val="20"/>
              </w:rPr>
              <w:t xml:space="preserve">Volunteers should liaise directly with the healthcare service where they volunteer/wish to volunteer, to </w:t>
            </w:r>
            <w:r w:rsidR="006F3299" w:rsidRPr="00BF3EAE">
              <w:rPr>
                <w:sz w:val="20"/>
              </w:rPr>
              <w:t xml:space="preserve">understand </w:t>
            </w:r>
            <w:r w:rsidR="00716DB3" w:rsidRPr="00BF3EAE">
              <w:rPr>
                <w:sz w:val="20"/>
              </w:rPr>
              <w:t xml:space="preserve">their </w:t>
            </w:r>
            <w:r w:rsidRPr="00BF3EAE">
              <w:rPr>
                <w:sz w:val="20"/>
              </w:rPr>
              <w:t xml:space="preserve">vaccination requirements (if any). </w:t>
            </w:r>
          </w:p>
        </w:tc>
      </w:tr>
      <w:tr w:rsidR="002471A9" w14:paraId="0CC89BE9" w14:textId="77777777" w:rsidTr="001C224D">
        <w:tc>
          <w:tcPr>
            <w:tcW w:w="2689" w:type="dxa"/>
          </w:tcPr>
          <w:p w14:paraId="51938386" w14:textId="39115A0A" w:rsidR="002471A9" w:rsidRPr="00BF3EAE" w:rsidRDefault="002471A9" w:rsidP="002471A9">
            <w:pPr>
              <w:pStyle w:val="Body"/>
              <w:rPr>
                <w:sz w:val="20"/>
              </w:rPr>
            </w:pPr>
            <w:r w:rsidRPr="00BF3EAE">
              <w:rPr>
                <w:sz w:val="20"/>
              </w:rPr>
              <w:t xml:space="preserve">Short-term workers </w:t>
            </w:r>
          </w:p>
        </w:tc>
        <w:tc>
          <w:tcPr>
            <w:tcW w:w="7175" w:type="dxa"/>
          </w:tcPr>
          <w:p w14:paraId="232991BC" w14:textId="6756BA53" w:rsidR="002471A9" w:rsidRPr="00BF3EAE" w:rsidRDefault="002471A9" w:rsidP="002471A9">
            <w:pPr>
              <w:pStyle w:val="Body"/>
              <w:rPr>
                <w:sz w:val="20"/>
              </w:rPr>
            </w:pPr>
            <w:r w:rsidRPr="00BF3EAE">
              <w:rPr>
                <w:sz w:val="20"/>
              </w:rPr>
              <w:t xml:space="preserve">One-off or very short-term workers that are not employed or </w:t>
            </w:r>
            <w:r w:rsidR="00475281">
              <w:rPr>
                <w:sz w:val="20"/>
              </w:rPr>
              <w:t xml:space="preserve">engaged </w:t>
            </w:r>
            <w:r w:rsidRPr="00BF3EAE">
              <w:rPr>
                <w:sz w:val="20"/>
              </w:rPr>
              <w:t xml:space="preserve">by the healthcare service are considered visitors to the healthcare setting and vaccination requirements do not apply in this instance. </w:t>
            </w:r>
          </w:p>
        </w:tc>
      </w:tr>
      <w:bookmarkEnd w:id="3"/>
      <w:bookmarkEnd w:id="21"/>
      <w:bookmarkEnd w:id="22"/>
    </w:tbl>
    <w:p w14:paraId="44F31534" w14:textId="144D6662" w:rsidR="00AA7226" w:rsidRDefault="00AA7226"/>
    <w:p w14:paraId="5D86A9E6" w14:textId="77777777" w:rsidR="00927EC2" w:rsidRDefault="00927EC2"/>
    <w:p w14:paraId="0910D84D" w14:textId="77777777" w:rsidR="00927EC2" w:rsidRDefault="00927EC2"/>
    <w:p w14:paraId="1DA0F6BF" w14:textId="77777777" w:rsidR="00927EC2" w:rsidRDefault="00927EC2"/>
    <w:p w14:paraId="1A06046C" w14:textId="77777777" w:rsidR="00927EC2" w:rsidRDefault="00927EC2"/>
    <w:p w14:paraId="38FE14D9" w14:textId="77777777" w:rsidR="00323BC4" w:rsidRDefault="00323BC4"/>
    <w:p w14:paraId="03743359" w14:textId="77777777" w:rsidR="00323BC4" w:rsidRDefault="00323BC4"/>
    <w:p w14:paraId="574B2760" w14:textId="77777777" w:rsidR="00323BC4" w:rsidRDefault="00323BC4"/>
    <w:p w14:paraId="6A6AF298" w14:textId="77777777" w:rsidR="00323BC4" w:rsidRDefault="00323BC4"/>
    <w:p w14:paraId="6A7F1C7E" w14:textId="77777777" w:rsidR="00323BC4" w:rsidRDefault="00323BC4"/>
    <w:p w14:paraId="24DFA66D" w14:textId="77777777" w:rsidR="00323BC4" w:rsidRDefault="00323BC4"/>
    <w:p w14:paraId="198DA542" w14:textId="77777777" w:rsidR="00323BC4" w:rsidRDefault="00323BC4"/>
    <w:p w14:paraId="64EAB088" w14:textId="77777777" w:rsidR="00323BC4" w:rsidRDefault="00323BC4"/>
    <w:p w14:paraId="24C307F5" w14:textId="77777777" w:rsidR="00323BC4" w:rsidRDefault="00323BC4"/>
    <w:p w14:paraId="2E7B8BA2" w14:textId="77777777" w:rsidR="00323BC4" w:rsidRDefault="00323BC4"/>
    <w:p w14:paraId="662AB768" w14:textId="77777777" w:rsidR="00927EC2" w:rsidRDefault="00927EC2"/>
    <w:p w14:paraId="76A2568B" w14:textId="09120FE2" w:rsidR="00D87A20" w:rsidRPr="00F56540" w:rsidRDefault="00D87A20" w:rsidP="00C31E31">
      <w:pPr>
        <w:pStyle w:val="Accessibilitypara"/>
        <w:pBdr>
          <w:top w:val="single" w:sz="4" w:space="1" w:color="auto"/>
          <w:left w:val="single" w:sz="4" w:space="4" w:color="auto"/>
          <w:bottom w:val="single" w:sz="4" w:space="0" w:color="auto"/>
          <w:right w:val="single" w:sz="4" w:space="4" w:color="auto"/>
        </w:pBdr>
        <w:spacing w:before="0"/>
        <w:rPr>
          <w:rFonts w:cs="Arial"/>
        </w:rPr>
      </w:pPr>
      <w:r w:rsidRPr="00F56540">
        <w:rPr>
          <w:rFonts w:cs="Arial"/>
        </w:rPr>
        <w:t xml:space="preserve">To this document in another format, </w:t>
      </w:r>
      <w:hyperlink r:id="rId30" w:history="1">
        <w:r w:rsidRPr="001C224D">
          <w:t>email the</w:t>
        </w:r>
        <w:r w:rsidRPr="00F56540">
          <w:rPr>
            <w:rStyle w:val="Hyperlink"/>
            <w:rFonts w:cs="Arial"/>
          </w:rPr>
          <w:t xml:space="preserve"> Department of Health Immunisation </w:t>
        </w:r>
        <w:r w:rsidR="005E6439">
          <w:rPr>
            <w:rStyle w:val="Hyperlink"/>
            <w:rFonts w:cs="Arial"/>
          </w:rPr>
          <w:t>Program</w:t>
        </w:r>
      </w:hyperlink>
      <w:r w:rsidRPr="00F56540">
        <w:rPr>
          <w:rFonts w:cs="Arial"/>
        </w:rPr>
        <w:t xml:space="preserve"> &lt;immunisation@health.vic.gov.au&gt;.</w:t>
      </w:r>
    </w:p>
    <w:p w14:paraId="4CDF1CE3" w14:textId="77777777" w:rsidR="00D87A20" w:rsidRPr="00F56540" w:rsidRDefault="00D87A20" w:rsidP="000200BD">
      <w:pPr>
        <w:pStyle w:val="Imprint"/>
        <w:pBdr>
          <w:top w:val="single" w:sz="4" w:space="1" w:color="auto"/>
          <w:left w:val="single" w:sz="4" w:space="4" w:color="auto"/>
          <w:bottom w:val="single" w:sz="4" w:space="0" w:color="auto"/>
          <w:right w:val="single" w:sz="4" w:space="4" w:color="auto"/>
        </w:pBdr>
        <w:rPr>
          <w:rFonts w:cs="Arial"/>
          <w:color w:val="auto"/>
        </w:rPr>
      </w:pPr>
      <w:r w:rsidRPr="00F56540">
        <w:rPr>
          <w:rFonts w:cs="Arial"/>
          <w:color w:val="auto"/>
        </w:rPr>
        <w:t>Authorised and published by the Victorian Government, 1 Treasury Place, Melbourne.</w:t>
      </w:r>
    </w:p>
    <w:p w14:paraId="26641D30" w14:textId="1D73CE6B" w:rsidR="00D87A20" w:rsidRDefault="00D87A20" w:rsidP="000200BD">
      <w:pPr>
        <w:pStyle w:val="Imprint"/>
        <w:pBdr>
          <w:top w:val="single" w:sz="4" w:space="1" w:color="auto"/>
          <w:left w:val="single" w:sz="4" w:space="4" w:color="auto"/>
          <w:bottom w:val="single" w:sz="4" w:space="0" w:color="auto"/>
          <w:right w:val="single" w:sz="4" w:space="4" w:color="auto"/>
        </w:pBdr>
        <w:rPr>
          <w:rFonts w:cs="Arial"/>
          <w:color w:val="auto"/>
        </w:rPr>
      </w:pPr>
      <w:r w:rsidRPr="00F56540">
        <w:rPr>
          <w:rFonts w:cs="Arial"/>
          <w:color w:val="auto"/>
        </w:rPr>
        <w:t xml:space="preserve">© State of Victoria, Australia, Department of Health, </w:t>
      </w:r>
      <w:r w:rsidR="00A711CA">
        <w:rPr>
          <w:rFonts w:cs="Arial"/>
          <w:color w:val="auto"/>
        </w:rPr>
        <w:t>4 October</w:t>
      </w:r>
      <w:r w:rsidR="00B81EEB" w:rsidRPr="00F56540">
        <w:rPr>
          <w:rFonts w:cs="Arial"/>
          <w:color w:val="auto"/>
        </w:rPr>
        <w:t xml:space="preserve"> </w:t>
      </w:r>
      <w:r w:rsidRPr="00F56540">
        <w:rPr>
          <w:rFonts w:cs="Arial"/>
          <w:color w:val="auto"/>
        </w:rPr>
        <w:t>202</w:t>
      </w:r>
      <w:r w:rsidR="00E42ED9">
        <w:rPr>
          <w:rFonts w:cs="Arial"/>
          <w:color w:val="auto"/>
        </w:rPr>
        <w:t>4</w:t>
      </w:r>
      <w:r w:rsidRPr="00F56540">
        <w:rPr>
          <w:rFonts w:cs="Arial"/>
          <w:color w:val="auto"/>
        </w:rPr>
        <w:t>.</w:t>
      </w:r>
    </w:p>
    <w:p w14:paraId="436295A4" w14:textId="17A49BCD" w:rsidR="002B5102" w:rsidRPr="00F56540" w:rsidRDefault="00A94480" w:rsidP="000200BD">
      <w:pPr>
        <w:pStyle w:val="Imprint"/>
        <w:pBdr>
          <w:top w:val="single" w:sz="4" w:space="1" w:color="auto"/>
          <w:left w:val="single" w:sz="4" w:space="4" w:color="auto"/>
          <w:bottom w:val="single" w:sz="4" w:space="0" w:color="auto"/>
          <w:right w:val="single" w:sz="4" w:space="4" w:color="auto"/>
        </w:pBdr>
        <w:rPr>
          <w:rFonts w:cs="Arial"/>
          <w:color w:val="auto"/>
        </w:rPr>
      </w:pPr>
      <w:r>
        <w:rPr>
          <w:rFonts w:cs="Arial"/>
          <w:b/>
          <w:bCs/>
          <w:color w:val="000000"/>
        </w:rPr>
        <w:t xml:space="preserve">ISBN </w:t>
      </w:r>
      <w:r>
        <w:rPr>
          <w:rFonts w:cs="Arial"/>
          <w:color w:val="000000"/>
        </w:rPr>
        <w:t xml:space="preserve">978-1-76131-613-5 </w:t>
      </w:r>
      <w:r>
        <w:rPr>
          <w:rFonts w:cs="Arial"/>
          <w:b/>
          <w:bCs/>
          <w:color w:val="000000"/>
        </w:rPr>
        <w:t>(pdf/online/MS word)</w:t>
      </w:r>
    </w:p>
    <w:p w14:paraId="573B7A53" w14:textId="20F9D22E" w:rsidR="00D87A20" w:rsidRPr="00597CE3" w:rsidRDefault="00D87A20" w:rsidP="000200BD">
      <w:pPr>
        <w:pStyle w:val="DHHSbody"/>
        <w:pBdr>
          <w:top w:val="single" w:sz="4" w:space="1" w:color="auto"/>
          <w:left w:val="single" w:sz="4" w:space="4" w:color="auto"/>
          <w:bottom w:val="single" w:sz="4" w:space="0" w:color="auto"/>
          <w:right w:val="single" w:sz="4" w:space="4" w:color="auto"/>
        </w:pBdr>
        <w:tabs>
          <w:tab w:val="left" w:pos="1845"/>
        </w:tabs>
      </w:pPr>
      <w:r w:rsidRPr="00F56540">
        <w:rPr>
          <w:rFonts w:cs="Arial"/>
        </w:rPr>
        <w:t xml:space="preserve">Available at </w:t>
      </w:r>
      <w:hyperlink r:id="rId31" w:history="1">
        <w:r w:rsidRPr="00F56540">
          <w:rPr>
            <w:rStyle w:val="Hyperlink"/>
            <w:rFonts w:cs="Arial"/>
          </w:rPr>
          <w:t>Vaccination for healthcare workers</w:t>
        </w:r>
      </w:hyperlink>
      <w:r w:rsidRPr="00F56540">
        <w:rPr>
          <w:rFonts w:cs="Arial"/>
        </w:rPr>
        <w:t xml:space="preserve"> </w:t>
      </w:r>
      <w:r w:rsidR="005C632E" w:rsidRPr="009056B2">
        <w:rPr>
          <w:rStyle w:val="Hyperlink"/>
          <w:rFonts w:cs="Arial"/>
          <w:color w:val="000000" w:themeColor="text1"/>
        </w:rPr>
        <w:t>&lt;</w:t>
      </w:r>
      <w:r w:rsidR="005C632E" w:rsidRPr="00C31E31">
        <w:t>https://www.health.vic.gov.au/immunisation/vaccination-for-healthcare-workers</w:t>
      </w:r>
      <w:r w:rsidR="005C632E">
        <w:rPr>
          <w:rFonts w:cs="Arial"/>
        </w:rPr>
        <w:t>&gt;</w:t>
      </w:r>
      <w:r>
        <w:rPr>
          <w:rFonts w:cs="Arial"/>
        </w:rPr>
        <w:t xml:space="preserve"> </w:t>
      </w:r>
    </w:p>
    <w:sectPr w:rsidR="00D87A20" w:rsidRPr="00597CE3" w:rsidSect="00CD1E96">
      <w:headerReference w:type="even" r:id="rId32"/>
      <w:headerReference w:type="default" r:id="rId33"/>
      <w:footerReference w:type="even" r:id="rId34"/>
      <w:footerReference w:type="default" r:id="rId35"/>
      <w:headerReference w:type="first" r:id="rId36"/>
      <w:footerReference w:type="first" r:id="rId37"/>
      <w:pgSz w:w="11906" w:h="16838" w:code="9"/>
      <w:pgMar w:top="1134" w:right="1134" w:bottom="1134" w:left="113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102FA" w14:textId="77777777" w:rsidR="008C115E" w:rsidRDefault="008C115E">
      <w:r>
        <w:separator/>
      </w:r>
    </w:p>
    <w:p w14:paraId="7E6BFFA4" w14:textId="77777777" w:rsidR="008C115E" w:rsidRDefault="008C115E"/>
  </w:endnote>
  <w:endnote w:type="continuationSeparator" w:id="0">
    <w:p w14:paraId="4B2FE2B6" w14:textId="77777777" w:rsidR="008C115E" w:rsidRDefault="008C115E">
      <w:r>
        <w:continuationSeparator/>
      </w:r>
    </w:p>
    <w:p w14:paraId="07194AF8" w14:textId="77777777" w:rsidR="008C115E" w:rsidRDefault="008C115E"/>
  </w:endnote>
  <w:endnote w:type="continuationNotice" w:id="1">
    <w:p w14:paraId="57A7D46B" w14:textId="77777777" w:rsidR="008C115E" w:rsidRDefault="008C1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305F1" w14:textId="77777777" w:rsidR="002205D2" w:rsidRDefault="002205D2">
    <w:pPr>
      <w:pStyle w:val="Footer"/>
    </w:pPr>
    <w:r>
      <w:rPr>
        <w:noProof/>
      </w:rPr>
      <mc:AlternateContent>
        <mc:Choice Requires="wps">
          <w:drawing>
            <wp:anchor distT="0" distB="0" distL="114300" distR="114300" simplePos="0" relativeHeight="251658240" behindDoc="0" locked="0" layoutInCell="0" allowOverlap="1" wp14:anchorId="14FF269C" wp14:editId="1B78DF4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16277" w14:textId="77777777" w:rsidR="002205D2" w:rsidRPr="00EB4BC7" w:rsidRDefault="002205D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FF269C" id="_x0000_t202" coordsize="21600,21600" o:spt="202" path="m,l,21600r21600,l21600,xe">
              <v:stroke joinstyle="miter"/>
              <v:path gradientshapeok="t" o:connecttype="rect"/>
            </v:shapetype>
            <v:shape id="MSIPCM9dd54572b391b968e538fedc"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26916277" w14:textId="77777777" w:rsidR="002205D2" w:rsidRPr="00EB4BC7" w:rsidRDefault="002205D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6A6A0" w14:textId="19551207" w:rsidR="002205D2" w:rsidRDefault="00A17683">
    <w:pPr>
      <w:pStyle w:val="Footer"/>
    </w:pPr>
    <w:r>
      <w:rPr>
        <w:noProof/>
      </w:rPr>
      <mc:AlternateContent>
        <mc:Choice Requires="wps">
          <w:drawing>
            <wp:anchor distT="0" distB="0" distL="114300" distR="114300" simplePos="0" relativeHeight="251658248" behindDoc="0" locked="0" layoutInCell="0" allowOverlap="1" wp14:anchorId="6FA14525" wp14:editId="7269FCF9">
              <wp:simplePos x="0" y="0"/>
              <wp:positionH relativeFrom="page">
                <wp:align>center</wp:align>
              </wp:positionH>
              <wp:positionV relativeFrom="page">
                <wp:align>bottom</wp:align>
              </wp:positionV>
              <wp:extent cx="7772400" cy="502285"/>
              <wp:effectExtent l="0" t="0" r="0" b="12065"/>
              <wp:wrapNone/>
              <wp:docPr id="10" name="MSIPCM03494ecfa84ba6c8470cfb6a"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778FB" w14:textId="0DA47D83" w:rsidR="00A17683"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A14525" id="_x0000_t202" coordsize="21600,21600" o:spt="202" path="m,l,21600r21600,l21600,xe">
              <v:stroke joinstyle="miter"/>
              <v:path gradientshapeok="t" o:connecttype="rect"/>
            </v:shapetype>
            <v:shape id="MSIPCM03494ecfa84ba6c8470cfb6a" o:spid="_x0000_s1028"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61F778FB" w14:textId="0DA47D83" w:rsidR="00A17683"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FA4D6" w14:textId="01F57FCD" w:rsidR="002205D2" w:rsidRDefault="00A17683">
    <w:pPr>
      <w:pStyle w:val="Footer"/>
    </w:pPr>
    <w:r>
      <w:rPr>
        <w:noProof/>
      </w:rPr>
      <mc:AlternateContent>
        <mc:Choice Requires="wps">
          <w:drawing>
            <wp:anchor distT="0" distB="0" distL="114300" distR="114300" simplePos="0" relativeHeight="251658249" behindDoc="0" locked="0" layoutInCell="0" allowOverlap="1" wp14:anchorId="423479D2" wp14:editId="0C959A54">
              <wp:simplePos x="0" y="9365456"/>
              <wp:positionH relativeFrom="page">
                <wp:align>center</wp:align>
              </wp:positionH>
              <wp:positionV relativeFrom="page">
                <wp:align>bottom</wp:align>
              </wp:positionV>
              <wp:extent cx="7772400" cy="502285"/>
              <wp:effectExtent l="0" t="0" r="0" b="12065"/>
              <wp:wrapNone/>
              <wp:docPr id="12" name="MSIPCMbaa24007ac81b72476119dff"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5EA282" w14:textId="37528A47" w:rsidR="00A17683"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3479D2" id="_x0000_t202" coordsize="21600,21600" o:spt="202" path="m,l,21600r21600,l21600,xe">
              <v:stroke joinstyle="miter"/>
              <v:path gradientshapeok="t" o:connecttype="rect"/>
            </v:shapetype>
            <v:shape id="MSIPCMbaa24007ac81b72476119dff" o:spid="_x0000_s1029"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B5EA282" w14:textId="37528A47" w:rsidR="00A17683"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03912" w14:textId="77777777" w:rsidR="002205D2" w:rsidRPr="008114D1" w:rsidRDefault="002205D2" w:rsidP="002205D2">
    <w:pPr>
      <w:pStyle w:val="DHHSfooter"/>
    </w:pPr>
    <w:r>
      <w:rPr>
        <w:noProof/>
      </w:rPr>
      <mc:AlternateContent>
        <mc:Choice Requires="wps">
          <w:drawing>
            <wp:anchor distT="0" distB="0" distL="114300" distR="114300" simplePos="0" relativeHeight="251658241" behindDoc="0" locked="0" layoutInCell="0" allowOverlap="1" wp14:anchorId="6C30E784" wp14:editId="019426CB">
              <wp:simplePos x="0" y="0"/>
              <wp:positionH relativeFrom="page">
                <wp:align>center</wp:align>
              </wp:positionH>
              <wp:positionV relativeFrom="page">
                <wp:align>bottom</wp:align>
              </wp:positionV>
              <wp:extent cx="7772400" cy="502285"/>
              <wp:effectExtent l="0" t="0" r="0" b="12065"/>
              <wp:wrapNone/>
              <wp:docPr id="9" name="MSIPCM275b480bb75a4ee1ed5aa269" descr="{&quot;HashCode&quot;:904758361,&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508D06" w14:textId="77777777" w:rsidR="002205D2" w:rsidRPr="00B74A31" w:rsidRDefault="002205D2" w:rsidP="002205D2">
                          <w:pPr>
                            <w:jc w:val="center"/>
                            <w:rPr>
                              <w:rFonts w:ascii="Arial Black" w:hAnsi="Arial Black"/>
                              <w:color w:val="000000"/>
                            </w:rPr>
                          </w:pPr>
                          <w:r w:rsidRPr="00B74A3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C30E784" id="_x0000_t202" coordsize="21600,21600" o:spt="202" path="m,l,21600r21600,l21600,xe">
              <v:stroke joinstyle="miter"/>
              <v:path gradientshapeok="t" o:connecttype="rect"/>
            </v:shapetype>
            <v:shape id="MSIPCM275b480bb75a4ee1ed5aa269" o:spid="_x0000_s1030" type="#_x0000_t202" alt="{&quot;HashCode&quot;:904758361,&quot;Height&quot;:9999999.0,&quot;Width&quot;:9999999.0,&quot;Placement&quot;:&quot;Footer&quot;,&quot;Index&quot;:&quot;OddAndEven&quot;,&quot;Section&quot;:2,&quot;Top&quot;:0.0,&quot;Left&quot;:0.0}" style="position:absolute;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39508D06" w14:textId="77777777" w:rsidR="002205D2" w:rsidRPr="00B74A31" w:rsidRDefault="002205D2" w:rsidP="002205D2">
                    <w:pPr>
                      <w:jc w:val="center"/>
                      <w:rPr>
                        <w:rFonts w:ascii="Arial Black" w:hAnsi="Arial Black"/>
                        <w:color w:val="000000"/>
                      </w:rPr>
                    </w:pPr>
                    <w:r w:rsidRPr="00B74A31">
                      <w:rPr>
                        <w:rFonts w:ascii="Arial Black" w:hAnsi="Arial Black"/>
                        <w:color w:val="000000"/>
                      </w:rPr>
                      <w:t>OFFICIAL</w:t>
                    </w:r>
                  </w:p>
                </w:txbxContent>
              </v:textbox>
              <w10:wrap anchorx="page" anchory="page"/>
            </v:shape>
          </w:pict>
        </mc:Fallback>
      </mc:AlternateContent>
    </w: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ptab w:relativeTo="margin" w:alignment="right" w:leader="none"/>
    </w:r>
    <w:r>
      <w:t>Mandatory vaccination of healthcare workers policy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A967C" w14:textId="30E9726D" w:rsidR="002205D2" w:rsidRPr="0031753A" w:rsidRDefault="004C369F" w:rsidP="002205D2">
    <w:pPr>
      <w:pStyle w:val="DHHSfooter"/>
    </w:pPr>
    <w:r>
      <w:rPr>
        <w:noProof/>
      </w:rPr>
      <mc:AlternateContent>
        <mc:Choice Requires="wps">
          <w:drawing>
            <wp:anchor distT="0" distB="0" distL="114300" distR="114300" simplePos="0" relativeHeight="251658243" behindDoc="0" locked="0" layoutInCell="0" allowOverlap="1" wp14:anchorId="06D78895" wp14:editId="15A93027">
              <wp:simplePos x="0" y="0"/>
              <wp:positionH relativeFrom="page">
                <wp:align>center</wp:align>
              </wp:positionH>
              <wp:positionV relativeFrom="page">
                <wp:align>bottom</wp:align>
              </wp:positionV>
              <wp:extent cx="7772400" cy="502285"/>
              <wp:effectExtent l="0" t="0" r="0" b="12065"/>
              <wp:wrapNone/>
              <wp:docPr id="1" name="MSIPCMccc74da599739583efdf7daf"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803D2A" w14:textId="17AB0845" w:rsidR="004C369F"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6D78895" id="_x0000_t202" coordsize="21600,21600" o:spt="202" path="m,l,21600r21600,l21600,xe">
              <v:stroke joinstyle="miter"/>
              <v:path gradientshapeok="t" o:connecttype="rect"/>
            </v:shapetype>
            <v:shape id="MSIPCMccc74da599739583efdf7daf" o:spid="_x0000_s1031" type="#_x0000_t202" alt="{&quot;HashCode&quot;:904758361,&quot;Height&quot;:9999999.0,&quot;Width&quot;:9999999.0,&quot;Placement&quot;:&quot;Footer&quot;,&quot;Index&quot;:&quot;Primary&quot;,&quot;Section&quot;:2,&quot;Top&quot;:0.0,&quot;Left&quot;:0.0}" style="position:absolute;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39803D2A" w14:textId="17AB0845" w:rsidR="004C369F"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097C7" w14:textId="6D78F675" w:rsidR="002205D2" w:rsidRPr="00151653" w:rsidRDefault="00AB07C0" w:rsidP="00151653">
    <w:pPr>
      <w:pStyle w:val="Footer"/>
    </w:pPr>
    <w:r>
      <w:rPr>
        <w:noProof/>
      </w:rPr>
      <mc:AlternateContent>
        <mc:Choice Requires="wps">
          <w:drawing>
            <wp:anchor distT="0" distB="0" distL="114300" distR="114300" simplePos="0" relativeHeight="251658244" behindDoc="0" locked="0" layoutInCell="0" allowOverlap="1" wp14:anchorId="5493C583" wp14:editId="16A8FEA5">
              <wp:simplePos x="0" y="0"/>
              <wp:positionH relativeFrom="page">
                <wp:align>center</wp:align>
              </wp:positionH>
              <wp:positionV relativeFrom="page">
                <wp:align>bottom</wp:align>
              </wp:positionV>
              <wp:extent cx="7772400" cy="502285"/>
              <wp:effectExtent l="0" t="0" r="0" b="12065"/>
              <wp:wrapNone/>
              <wp:docPr id="2" name="MSIPCM093d471c8aadce6aabec0155"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6E5B4F" w14:textId="5D937420" w:rsidR="00AB07C0"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93C583" id="_x0000_t202" coordsize="21600,21600" o:spt="202" path="m,l,21600r21600,l21600,xe">
              <v:stroke joinstyle="miter"/>
              <v:path gradientshapeok="t" o:connecttype="rect"/>
            </v:shapetype>
            <v:shape id="MSIPCM093d471c8aadce6aabec0155" o:spid="_x0000_s1032"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776E5B4F" w14:textId="5D937420" w:rsidR="00AB07C0"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CF2" w14:textId="77777777" w:rsidR="00D87A20" w:rsidRPr="008114D1" w:rsidRDefault="00D87A20" w:rsidP="002205D2">
    <w:pPr>
      <w:pStyle w:val="DHHSfooter"/>
    </w:pPr>
    <w:r>
      <w:rPr>
        <w:noProof/>
      </w:rPr>
      <mc:AlternateContent>
        <mc:Choice Requires="wps">
          <w:drawing>
            <wp:anchor distT="0" distB="0" distL="114300" distR="114300" simplePos="0" relativeHeight="251658246" behindDoc="0" locked="0" layoutInCell="0" allowOverlap="1" wp14:anchorId="2012693A" wp14:editId="173A939B">
              <wp:simplePos x="0" y="0"/>
              <wp:positionH relativeFrom="page">
                <wp:align>center</wp:align>
              </wp:positionH>
              <wp:positionV relativeFrom="page">
                <wp:align>bottom</wp:align>
              </wp:positionV>
              <wp:extent cx="7772400" cy="502285"/>
              <wp:effectExtent l="0" t="0" r="0" b="12065"/>
              <wp:wrapNone/>
              <wp:docPr id="6" name="MSIPCM275b480bb75a4ee1ed5aa269" descr="{&quot;HashCode&quot;:904758361,&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A1B5C" w14:textId="77777777" w:rsidR="00D87A20" w:rsidRPr="00B74A31" w:rsidRDefault="00D87A20" w:rsidP="002205D2">
                          <w:pPr>
                            <w:jc w:val="center"/>
                            <w:rPr>
                              <w:rFonts w:ascii="Arial Black" w:hAnsi="Arial Black"/>
                              <w:color w:val="000000"/>
                            </w:rPr>
                          </w:pPr>
                          <w:r w:rsidRPr="00B74A3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012693A" id="_x0000_t202" coordsize="21600,21600" o:spt="202" path="m,l,21600r21600,l21600,xe">
              <v:stroke joinstyle="miter"/>
              <v:path gradientshapeok="t" o:connecttype="rect"/>
            </v:shapetype>
            <v:shape id="_x0000_s1033" type="#_x0000_t202" alt="{&quot;HashCode&quot;:904758361,&quot;Height&quot;:9999999.0,&quot;Width&quot;:9999999.0,&quot;Placement&quot;:&quot;Footer&quot;,&quot;Index&quot;:&quot;OddAndEven&quot;,&quot;Section&quot;:2,&quot;Top&quot;:0.0,&quot;Left&quot;:0.0}" style="position:absolute;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7F3A1B5C" w14:textId="77777777" w:rsidR="00D87A20" w:rsidRPr="00B74A31" w:rsidRDefault="00D87A20" w:rsidP="002205D2">
                    <w:pPr>
                      <w:jc w:val="center"/>
                      <w:rPr>
                        <w:rFonts w:ascii="Arial Black" w:hAnsi="Arial Black"/>
                        <w:color w:val="000000"/>
                      </w:rPr>
                    </w:pPr>
                    <w:r w:rsidRPr="00B74A31">
                      <w:rPr>
                        <w:rFonts w:ascii="Arial Black" w:hAnsi="Arial Black"/>
                        <w:color w:val="000000"/>
                      </w:rPr>
                      <w:t>OFFICIAL</w:t>
                    </w:r>
                  </w:p>
                </w:txbxContent>
              </v:textbox>
              <w10:wrap anchorx="page" anchory="page"/>
            </v:shape>
          </w:pict>
        </mc:Fallback>
      </mc:AlternateContent>
    </w: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ptab w:relativeTo="margin" w:alignment="right" w:leader="none"/>
    </w:r>
    <w:r>
      <w:t>Mandatory vaccination of healthcare workers policy</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85301" w14:textId="49324196" w:rsidR="00D87A20" w:rsidRPr="0031753A" w:rsidRDefault="00D87A20" w:rsidP="002205D2">
    <w:pPr>
      <w:pStyle w:val="DHHS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7A528" w14:textId="6946D9F1" w:rsidR="00D87A20" w:rsidRPr="00151653" w:rsidRDefault="00FA58B0" w:rsidP="00151653">
    <w:pPr>
      <w:pStyle w:val="Footer"/>
    </w:pPr>
    <w:r>
      <w:rPr>
        <w:noProof/>
      </w:rPr>
      <mc:AlternateContent>
        <mc:Choice Requires="wps">
          <w:drawing>
            <wp:anchor distT="0" distB="0" distL="114300" distR="114300" simplePos="0" relativeHeight="251658250" behindDoc="0" locked="0" layoutInCell="0" allowOverlap="1" wp14:anchorId="5E23E843" wp14:editId="2540C1BE">
              <wp:simplePos x="0" y="0"/>
              <wp:positionH relativeFrom="page">
                <wp:align>center</wp:align>
              </wp:positionH>
              <wp:positionV relativeFrom="page">
                <wp:align>bottom</wp:align>
              </wp:positionV>
              <wp:extent cx="7772400" cy="502285"/>
              <wp:effectExtent l="0" t="0" r="0" b="12065"/>
              <wp:wrapNone/>
              <wp:docPr id="13" name="MSIPCM3d5744fa988aaa0f0e2c2a30" descr="{&quot;HashCode&quot;:904758361,&quot;Height&quot;:9999999.0,&quot;Width&quot;:9999999.0,&quot;Placement&quot;:&quot;Foot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C3BAB7" w14:textId="7FFE3108" w:rsidR="00FA58B0"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E23E843" id="_x0000_t202" coordsize="21600,21600" o:spt="202" path="m,l,21600r21600,l21600,xe">
              <v:stroke joinstyle="miter"/>
              <v:path gradientshapeok="t" o:connecttype="rect"/>
            </v:shapetype>
            <v:shape id="MSIPCM3d5744fa988aaa0f0e2c2a30" o:spid="_x0000_s1034" type="#_x0000_t202" alt="{&quot;HashCode&quot;:904758361,&quot;Height&quot;:9999999.0,&quot;Width&quot;:9999999.0,&quot;Placement&quot;:&quot;Footer&quot;,&quot;Index&quot;:&quot;FirstPage&quot;,&quot;Section&quot;:8,&quot;Top&quot;:0.0,&quot;Left&quot;:0.0}" style="position:absolute;left:0;text-align:left;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5EC3BAB7" w14:textId="7FFE3108" w:rsidR="00FA58B0" w:rsidRPr="00654C6A" w:rsidRDefault="00654C6A" w:rsidP="00654C6A">
                    <w:pPr>
                      <w:spacing w:after="0"/>
                      <w:jc w:val="center"/>
                      <w:rPr>
                        <w:rFonts w:ascii="Arial Black" w:hAnsi="Arial Black"/>
                        <w:color w:val="000000"/>
                        <w:sz w:val="20"/>
                      </w:rPr>
                    </w:pPr>
                    <w:r w:rsidRPr="00654C6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0B583" w14:textId="77777777" w:rsidR="008C115E" w:rsidRDefault="008C115E" w:rsidP="00207717">
      <w:pPr>
        <w:spacing w:before="120"/>
      </w:pPr>
      <w:r>
        <w:separator/>
      </w:r>
    </w:p>
  </w:footnote>
  <w:footnote w:type="continuationSeparator" w:id="0">
    <w:p w14:paraId="55ECEF5B" w14:textId="77777777" w:rsidR="008C115E" w:rsidRDefault="008C115E">
      <w:r>
        <w:continuationSeparator/>
      </w:r>
    </w:p>
    <w:p w14:paraId="7DA746AE" w14:textId="77777777" w:rsidR="008C115E" w:rsidRDefault="008C115E"/>
  </w:footnote>
  <w:footnote w:type="continuationNotice" w:id="1">
    <w:p w14:paraId="22F435FC" w14:textId="77777777" w:rsidR="008C115E" w:rsidRDefault="008C11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40E97" w14:textId="6FC909EC" w:rsidR="00F27605" w:rsidRDefault="00F27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9A0C3" w14:textId="0E8E88A4" w:rsidR="00F27605" w:rsidRDefault="00F27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0E43D" w14:textId="354D4125" w:rsidR="00F27605" w:rsidRDefault="00F276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3EE7F" w14:textId="20A27BB1" w:rsidR="002205D2" w:rsidRPr="0069374A" w:rsidRDefault="00000000" w:rsidP="002205D2">
    <w:pPr>
      <w:pStyle w:val="DHHSheader"/>
    </w:pPr>
    <w:r>
      <w:rPr>
        <w:noProof/>
      </w:rPr>
      <w:pict w14:anchorId="7AA59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8.2pt;height:187.25pt;rotation:315;z-index:-25165823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0546E" w14:textId="146FF31F" w:rsidR="002205D2" w:rsidRDefault="00EC1A85" w:rsidP="00446E41">
    <w:pPr>
      <w:pStyle w:val="Header"/>
    </w:pPr>
    <w:r>
      <w:t>V</w:t>
    </w:r>
    <w:r w:rsidR="00B50553">
      <w:t xml:space="preserve">accination </w:t>
    </w:r>
    <w:r>
      <w:t xml:space="preserve">requirements for </w:t>
    </w:r>
    <w:r w:rsidR="00B50553">
      <w:t>healthcare workers 202</w:t>
    </w:r>
    <w:r w:rsidR="004206FB">
      <w:t>3</w:t>
    </w:r>
    <w:r w:rsidR="00B50553">
      <w:ptab w:relativeTo="margin" w:alignment="center" w:leader="none"/>
    </w:r>
    <w:r w:rsidR="00B50553">
      <w:ptab w:relativeTo="margin" w:alignment="right" w:leader="none"/>
    </w:r>
    <w:r w:rsidR="007366C3">
      <w:fldChar w:fldCharType="begin"/>
    </w:r>
    <w:r w:rsidR="007366C3">
      <w:instrText xml:space="preserve"> PAGE   \* MERGEFORMAT </w:instrText>
    </w:r>
    <w:r w:rsidR="007366C3">
      <w:fldChar w:fldCharType="separate"/>
    </w:r>
    <w:r w:rsidR="007366C3">
      <w:rPr>
        <w:noProof/>
      </w:rPr>
      <w:t>1</w:t>
    </w:r>
    <w:r w:rsidR="007366C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EBCBA" w14:textId="0D1CB042" w:rsidR="002205D2" w:rsidRDefault="00DD3A76">
    <w:pPr>
      <w:pStyle w:val="Header"/>
    </w:pPr>
    <w:r>
      <w:t>Mandatory vaccination of healthcare worke</w:t>
    </w:r>
    <w:r w:rsidR="00C31E31">
      <w:t>rs</w:t>
    </w:r>
    <w:r>
      <w:ptab w:relativeTo="margin" w:alignment="center" w:leader="none"/>
    </w:r>
    <w:r>
      <w:ptab w:relativeTo="margin" w:alignment="right" w:leader="none"/>
    </w:r>
    <w:r>
      <w:fldChar w:fldCharType="begin"/>
    </w:r>
    <w:r>
      <w:instrText xml:space="preserve"> PAGE   \* MERGEFORMAT </w:instrText>
    </w:r>
    <w:r>
      <w:fldChar w:fldCharType="separate"/>
    </w:r>
    <w:r>
      <w:t>10</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D2B52" w14:textId="01FB5109" w:rsidR="00D87A20" w:rsidRPr="0069374A" w:rsidRDefault="00000000" w:rsidP="002205D2">
    <w:pPr>
      <w:pStyle w:val="DHHSheader"/>
    </w:pPr>
    <w:r>
      <w:rPr>
        <w:noProof/>
      </w:rPr>
      <w:pict w14:anchorId="197E7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68.2pt;height:187.25pt;rotation:315;z-index:-251658235;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E2172" w14:textId="21607B79" w:rsidR="00D87A20" w:rsidRDefault="00D87A20" w:rsidP="00446E41">
    <w:pPr>
      <w:pStyle w:val="Header"/>
    </w:pPr>
    <w:r>
      <w:t>Vaccination requirements for healthcare workers 20</w:t>
    </w:r>
    <w:r w:rsidR="004206FB">
      <w:t>23</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10D2E" w14:textId="13AC581A" w:rsidR="00D87A20" w:rsidRDefault="00D87A20">
    <w:pPr>
      <w:pStyle w:val="Header"/>
    </w:pPr>
    <w:r>
      <w:t>Mandatory vaccination of healthcare workers 202</w:t>
    </w:r>
    <w:r w:rsidR="001C224D">
      <w:t>4</w:t>
    </w:r>
    <w:r>
      <w:ptab w:relativeTo="margin" w:alignment="center" w:leader="none"/>
    </w:r>
    <w:r>
      <w:ptab w:relativeTo="margin" w:alignment="right" w:leader="none"/>
    </w:r>
    <w:r>
      <w:fldChar w:fldCharType="begin"/>
    </w:r>
    <w:r>
      <w:instrText xml:space="preserve"> PAGE   \* MERGEFORMAT </w:instrText>
    </w:r>
    <w:r>
      <w:fldChar w:fldCharType="separate"/>
    </w:r>
    <w:r>
      <w:t>10</w:t>
    </w:r>
    <w:r>
      <w:rPr>
        <w:noProof/>
      </w:rPr>
      <w:fldChar w:fldCharType="end"/>
    </w:r>
    <w:r w:rsidR="00000000">
      <w:rPr>
        <w:noProof/>
      </w:rPr>
      <w:pict w14:anchorId="23975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68.2pt;height:187.25pt;rotation:315;z-index:-251658233;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1C0C"/>
    <w:multiLevelType w:val="multilevel"/>
    <w:tmpl w:val="64A0E3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C177F38"/>
    <w:multiLevelType w:val="multilevel"/>
    <w:tmpl w:val="D9CAAA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4F7803"/>
    <w:multiLevelType w:val="multilevel"/>
    <w:tmpl w:val="0D9A4A04"/>
    <w:styleLink w:val="Orderclausesnumberingliststyle"/>
    <w:lvl w:ilvl="0">
      <w:start w:val="1"/>
      <w:numFmt w:val="decimal"/>
      <w:pStyle w:val="Heading-clause"/>
      <w:lvlText w:val="%1"/>
      <w:lvlJc w:val="left"/>
      <w:pPr>
        <w:ind w:left="709" w:hanging="709"/>
      </w:pPr>
      <w:rPr>
        <w:rFonts w:hint="default"/>
      </w:rPr>
    </w:lvl>
    <w:lvl w:ilvl="1">
      <w:start w:val="1"/>
      <w:numFmt w:val="decimal"/>
      <w:pStyle w:val="Text-subclause"/>
      <w:lvlText w:val="(%2)"/>
      <w:lvlJc w:val="left"/>
      <w:pPr>
        <w:ind w:left="1418" w:hanging="709"/>
      </w:pPr>
      <w:rPr>
        <w:rFonts w:hint="default"/>
      </w:rPr>
    </w:lvl>
    <w:lvl w:ilvl="2">
      <w:start w:val="1"/>
      <w:numFmt w:val="lowerLetter"/>
      <w:pStyle w:val="Text-paragraph"/>
      <w:lvlText w:val="(%3)"/>
      <w:lvlJc w:val="left"/>
      <w:pPr>
        <w:ind w:left="2127" w:hanging="709"/>
      </w:pPr>
      <w:rPr>
        <w:rFonts w:hint="default"/>
      </w:rPr>
    </w:lvl>
    <w:lvl w:ilvl="3">
      <w:start w:val="1"/>
      <w:numFmt w:val="lowerRoman"/>
      <w:pStyle w:val="Text-subparagraph"/>
      <w:lvlText w:val="(%4)"/>
      <w:lvlJc w:val="left"/>
      <w:pPr>
        <w:ind w:left="2836" w:hanging="709"/>
      </w:pPr>
      <w:rPr>
        <w:rFonts w:hint="default"/>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4" w15:restartNumberingAfterBreak="0">
    <w:nsid w:val="112F591E"/>
    <w:multiLevelType w:val="hybridMultilevel"/>
    <w:tmpl w:val="532E75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6820560"/>
    <w:multiLevelType w:val="multilevel"/>
    <w:tmpl w:val="ABB266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04105B"/>
    <w:multiLevelType w:val="multilevel"/>
    <w:tmpl w:val="30F0B8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FE31B4"/>
    <w:multiLevelType w:val="hybridMultilevel"/>
    <w:tmpl w:val="F7F4E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AE5350"/>
    <w:multiLevelType w:val="hybridMultilevel"/>
    <w:tmpl w:val="518614C2"/>
    <w:lvl w:ilvl="0" w:tplc="76F2A740">
      <w:start w:val="1"/>
      <w:numFmt w:val="decimal"/>
      <w:suff w:val="space"/>
      <w:lvlText w:val="Table %1 "/>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442AA5"/>
    <w:multiLevelType w:val="multilevel"/>
    <w:tmpl w:val="6C3CC9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7E23C16"/>
    <w:multiLevelType w:val="multilevel"/>
    <w:tmpl w:val="ED708518"/>
    <w:lvl w:ilvl="0">
      <w:start w:val="1"/>
      <w:numFmt w:val="decimal"/>
      <w:suff w:val="space"/>
      <w:lvlText w:val="%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B493DE4"/>
    <w:multiLevelType w:val="multilevel"/>
    <w:tmpl w:val="A3CE9442"/>
    <w:lvl w:ilvl="0">
      <w:start w:val="1"/>
      <w:numFmt w:val="decimal"/>
      <w:suff w:val="space"/>
      <w:lvlText w:val="%1."/>
      <w:lvlJc w:val="left"/>
      <w:pPr>
        <w:ind w:left="284" w:hanging="284"/>
      </w:pPr>
      <w:rPr>
        <w:rFonts w:hint="default"/>
        <w:b w:val="0"/>
        <w:bCs/>
        <w:sz w:val="44"/>
        <w:szCs w:val="44"/>
      </w:rPr>
    </w:lvl>
    <w:lvl w:ilvl="1">
      <w:start w:val="1"/>
      <w:numFmt w:val="decimal"/>
      <w:pStyle w:val="Heading4"/>
      <w:suff w:val="space"/>
      <w:lvlText w:val="%1.%2."/>
      <w:lvlJc w:val="left"/>
      <w:pPr>
        <w:ind w:left="284" w:hanging="284"/>
      </w:pPr>
      <w:rPr>
        <w:rFonts w:hint="default"/>
      </w:rPr>
    </w:lvl>
    <w:lvl w:ilvl="2">
      <w:start w:val="1"/>
      <w:numFmt w:val="decimal"/>
      <w:suff w:val="space"/>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7516853"/>
    <w:multiLevelType w:val="hybridMultilevel"/>
    <w:tmpl w:val="23D64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56E3EA5"/>
    <w:multiLevelType w:val="multilevel"/>
    <w:tmpl w:val="0D9A4A04"/>
    <w:numStyleLink w:val="Orderclausesnumberingliststyle"/>
  </w:abstractNum>
  <w:num w:numId="1" w16cid:durableId="379135237">
    <w:abstractNumId w:val="10"/>
  </w:num>
  <w:num w:numId="2" w16cid:durableId="1401246957">
    <w:abstractNumId w:val="13"/>
  </w:num>
  <w:num w:numId="3" w16cid:durableId="1267078870">
    <w:abstractNumId w:val="12"/>
  </w:num>
  <w:num w:numId="4" w16cid:durableId="1605382152">
    <w:abstractNumId w:val="16"/>
  </w:num>
  <w:num w:numId="5" w16cid:durableId="1325863774">
    <w:abstractNumId w:val="11"/>
  </w:num>
  <w:num w:numId="6" w16cid:durableId="722413013">
    <w:abstractNumId w:val="1"/>
  </w:num>
  <w:num w:numId="7" w16cid:durableId="174000785">
    <w:abstractNumId w:val="3"/>
  </w:num>
  <w:num w:numId="8" w16cid:durableId="623000303">
    <w:abstractNumId w:val="18"/>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9" w16cid:durableId="365835516">
    <w:abstractNumId w:val="17"/>
  </w:num>
  <w:num w:numId="10" w16cid:durableId="591936967">
    <w:abstractNumId w:val="7"/>
  </w:num>
  <w:num w:numId="11" w16cid:durableId="1283800320">
    <w:abstractNumId w:val="15"/>
  </w:num>
  <w:num w:numId="12" w16cid:durableId="1114709105">
    <w:abstractNumId w:val="14"/>
  </w:num>
  <w:num w:numId="13" w16cid:durableId="198394071">
    <w:abstractNumId w:val="8"/>
  </w:num>
  <w:num w:numId="14" w16cid:durableId="630598381">
    <w:abstractNumId w:val="4"/>
  </w:num>
  <w:num w:numId="15" w16cid:durableId="527910853">
    <w:abstractNumId w:val="5"/>
  </w:num>
  <w:num w:numId="16" w16cid:durableId="1399741232">
    <w:abstractNumId w:val="9"/>
  </w:num>
  <w:num w:numId="17" w16cid:durableId="1267618946">
    <w:abstractNumId w:val="6"/>
  </w:num>
  <w:num w:numId="18" w16cid:durableId="765266421">
    <w:abstractNumId w:val="2"/>
  </w:num>
  <w:num w:numId="19" w16cid:durableId="130559878">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D2"/>
    <w:rsid w:val="00000719"/>
    <w:rsid w:val="00001512"/>
    <w:rsid w:val="000020AF"/>
    <w:rsid w:val="000024B5"/>
    <w:rsid w:val="00002581"/>
    <w:rsid w:val="00002D68"/>
    <w:rsid w:val="000033F7"/>
    <w:rsid w:val="00003403"/>
    <w:rsid w:val="00005347"/>
    <w:rsid w:val="00005F8B"/>
    <w:rsid w:val="00006672"/>
    <w:rsid w:val="00006DB6"/>
    <w:rsid w:val="000072B6"/>
    <w:rsid w:val="0001021B"/>
    <w:rsid w:val="00010A58"/>
    <w:rsid w:val="00010C88"/>
    <w:rsid w:val="00011D89"/>
    <w:rsid w:val="0001219A"/>
    <w:rsid w:val="000139AC"/>
    <w:rsid w:val="00014444"/>
    <w:rsid w:val="000144D2"/>
    <w:rsid w:val="00014946"/>
    <w:rsid w:val="000154FD"/>
    <w:rsid w:val="00015899"/>
    <w:rsid w:val="00015A19"/>
    <w:rsid w:val="000162EB"/>
    <w:rsid w:val="00016B1A"/>
    <w:rsid w:val="000176F0"/>
    <w:rsid w:val="000200BD"/>
    <w:rsid w:val="0002098C"/>
    <w:rsid w:val="000209DA"/>
    <w:rsid w:val="00020F31"/>
    <w:rsid w:val="00022271"/>
    <w:rsid w:val="00023022"/>
    <w:rsid w:val="00023458"/>
    <w:rsid w:val="000235E8"/>
    <w:rsid w:val="00023F6F"/>
    <w:rsid w:val="00024485"/>
    <w:rsid w:val="00024D89"/>
    <w:rsid w:val="000250B6"/>
    <w:rsid w:val="00026540"/>
    <w:rsid w:val="00026568"/>
    <w:rsid w:val="0002775F"/>
    <w:rsid w:val="00030638"/>
    <w:rsid w:val="00030654"/>
    <w:rsid w:val="00030B1E"/>
    <w:rsid w:val="00030CDD"/>
    <w:rsid w:val="00031CBB"/>
    <w:rsid w:val="00033027"/>
    <w:rsid w:val="000332F2"/>
    <w:rsid w:val="00033D81"/>
    <w:rsid w:val="00033DC9"/>
    <w:rsid w:val="000349F3"/>
    <w:rsid w:val="00034F72"/>
    <w:rsid w:val="00035DF2"/>
    <w:rsid w:val="000360B7"/>
    <w:rsid w:val="00037366"/>
    <w:rsid w:val="000407B9"/>
    <w:rsid w:val="000417D8"/>
    <w:rsid w:val="00041A06"/>
    <w:rsid w:val="00041BED"/>
    <w:rsid w:val="00041BF0"/>
    <w:rsid w:val="00042C8A"/>
    <w:rsid w:val="0004342D"/>
    <w:rsid w:val="00043C10"/>
    <w:rsid w:val="0004536B"/>
    <w:rsid w:val="00045990"/>
    <w:rsid w:val="00045F3D"/>
    <w:rsid w:val="000468C0"/>
    <w:rsid w:val="00046B68"/>
    <w:rsid w:val="00046BE7"/>
    <w:rsid w:val="00050780"/>
    <w:rsid w:val="000527DD"/>
    <w:rsid w:val="00052861"/>
    <w:rsid w:val="000529A8"/>
    <w:rsid w:val="00052B73"/>
    <w:rsid w:val="00052FB3"/>
    <w:rsid w:val="0005309E"/>
    <w:rsid w:val="0005512E"/>
    <w:rsid w:val="000569B0"/>
    <w:rsid w:val="00056B62"/>
    <w:rsid w:val="00056EC4"/>
    <w:rsid w:val="00056FB8"/>
    <w:rsid w:val="000574B3"/>
    <w:rsid w:val="000578B2"/>
    <w:rsid w:val="00060783"/>
    <w:rsid w:val="00060959"/>
    <w:rsid w:val="00060C26"/>
    <w:rsid w:val="00060C8F"/>
    <w:rsid w:val="00060D25"/>
    <w:rsid w:val="000612AE"/>
    <w:rsid w:val="000612CC"/>
    <w:rsid w:val="00061614"/>
    <w:rsid w:val="000622C1"/>
    <w:rsid w:val="0006298A"/>
    <w:rsid w:val="00062FCF"/>
    <w:rsid w:val="00063035"/>
    <w:rsid w:val="000642E6"/>
    <w:rsid w:val="00064A45"/>
    <w:rsid w:val="000652FB"/>
    <w:rsid w:val="00065342"/>
    <w:rsid w:val="00065A80"/>
    <w:rsid w:val="000663CD"/>
    <w:rsid w:val="0006699C"/>
    <w:rsid w:val="00070F3B"/>
    <w:rsid w:val="0007148E"/>
    <w:rsid w:val="00071791"/>
    <w:rsid w:val="00071942"/>
    <w:rsid w:val="00072013"/>
    <w:rsid w:val="0007232D"/>
    <w:rsid w:val="000728C3"/>
    <w:rsid w:val="00072F99"/>
    <w:rsid w:val="00073238"/>
    <w:rsid w:val="000733FE"/>
    <w:rsid w:val="00073401"/>
    <w:rsid w:val="00073854"/>
    <w:rsid w:val="000739C7"/>
    <w:rsid w:val="00073B45"/>
    <w:rsid w:val="00073E92"/>
    <w:rsid w:val="00074219"/>
    <w:rsid w:val="00074ED5"/>
    <w:rsid w:val="000750AF"/>
    <w:rsid w:val="00076854"/>
    <w:rsid w:val="00076CD1"/>
    <w:rsid w:val="00076DFB"/>
    <w:rsid w:val="00076F92"/>
    <w:rsid w:val="00077D34"/>
    <w:rsid w:val="000811E6"/>
    <w:rsid w:val="000813A4"/>
    <w:rsid w:val="0008204A"/>
    <w:rsid w:val="0008360B"/>
    <w:rsid w:val="00083EF2"/>
    <w:rsid w:val="000846FA"/>
    <w:rsid w:val="00084A25"/>
    <w:rsid w:val="00084C90"/>
    <w:rsid w:val="00084CA2"/>
    <w:rsid w:val="0008508E"/>
    <w:rsid w:val="0008578C"/>
    <w:rsid w:val="0008639A"/>
    <w:rsid w:val="0008674F"/>
    <w:rsid w:val="00086DC7"/>
    <w:rsid w:val="00087951"/>
    <w:rsid w:val="000903AB"/>
    <w:rsid w:val="0009113B"/>
    <w:rsid w:val="000913CA"/>
    <w:rsid w:val="00091B0D"/>
    <w:rsid w:val="0009261C"/>
    <w:rsid w:val="00092762"/>
    <w:rsid w:val="00092A4D"/>
    <w:rsid w:val="00093220"/>
    <w:rsid w:val="00093402"/>
    <w:rsid w:val="000934C8"/>
    <w:rsid w:val="00094099"/>
    <w:rsid w:val="0009472E"/>
    <w:rsid w:val="00094DA3"/>
    <w:rsid w:val="000956BC"/>
    <w:rsid w:val="000960DA"/>
    <w:rsid w:val="0009690C"/>
    <w:rsid w:val="00096CD1"/>
    <w:rsid w:val="00097F0D"/>
    <w:rsid w:val="000A012C"/>
    <w:rsid w:val="000A0416"/>
    <w:rsid w:val="000A0EB9"/>
    <w:rsid w:val="000A1557"/>
    <w:rsid w:val="000A186C"/>
    <w:rsid w:val="000A188D"/>
    <w:rsid w:val="000A1E42"/>
    <w:rsid w:val="000A1EA4"/>
    <w:rsid w:val="000A2476"/>
    <w:rsid w:val="000A2B19"/>
    <w:rsid w:val="000A2DFF"/>
    <w:rsid w:val="000A2E1C"/>
    <w:rsid w:val="000A3E74"/>
    <w:rsid w:val="000A4BCE"/>
    <w:rsid w:val="000A5488"/>
    <w:rsid w:val="000A6040"/>
    <w:rsid w:val="000A641A"/>
    <w:rsid w:val="000A7E7D"/>
    <w:rsid w:val="000B0000"/>
    <w:rsid w:val="000B0772"/>
    <w:rsid w:val="000B07D1"/>
    <w:rsid w:val="000B0B28"/>
    <w:rsid w:val="000B1499"/>
    <w:rsid w:val="000B1795"/>
    <w:rsid w:val="000B2146"/>
    <w:rsid w:val="000B2608"/>
    <w:rsid w:val="000B2911"/>
    <w:rsid w:val="000B3CA8"/>
    <w:rsid w:val="000B3EDB"/>
    <w:rsid w:val="000B543D"/>
    <w:rsid w:val="000B55F9"/>
    <w:rsid w:val="000B5AE0"/>
    <w:rsid w:val="000B5BA0"/>
    <w:rsid w:val="000B5BF7"/>
    <w:rsid w:val="000B5CA9"/>
    <w:rsid w:val="000B5F04"/>
    <w:rsid w:val="000B6BC8"/>
    <w:rsid w:val="000C0274"/>
    <w:rsid w:val="000C0303"/>
    <w:rsid w:val="000C1F16"/>
    <w:rsid w:val="000C1F45"/>
    <w:rsid w:val="000C1F7F"/>
    <w:rsid w:val="000C37C9"/>
    <w:rsid w:val="000C3848"/>
    <w:rsid w:val="000C40C6"/>
    <w:rsid w:val="000C42EA"/>
    <w:rsid w:val="000C4546"/>
    <w:rsid w:val="000C46F7"/>
    <w:rsid w:val="000C5223"/>
    <w:rsid w:val="000C6699"/>
    <w:rsid w:val="000C66E5"/>
    <w:rsid w:val="000C6D95"/>
    <w:rsid w:val="000C6DC6"/>
    <w:rsid w:val="000C729C"/>
    <w:rsid w:val="000C7405"/>
    <w:rsid w:val="000C757D"/>
    <w:rsid w:val="000D0408"/>
    <w:rsid w:val="000D0692"/>
    <w:rsid w:val="000D0A3F"/>
    <w:rsid w:val="000D1242"/>
    <w:rsid w:val="000D17E4"/>
    <w:rsid w:val="000D2ABA"/>
    <w:rsid w:val="000D2D2D"/>
    <w:rsid w:val="000D2E78"/>
    <w:rsid w:val="000D32E2"/>
    <w:rsid w:val="000D3442"/>
    <w:rsid w:val="000D4E99"/>
    <w:rsid w:val="000D54F7"/>
    <w:rsid w:val="000D582A"/>
    <w:rsid w:val="000D5B5C"/>
    <w:rsid w:val="000D6A84"/>
    <w:rsid w:val="000D7730"/>
    <w:rsid w:val="000D77E6"/>
    <w:rsid w:val="000D7A5D"/>
    <w:rsid w:val="000D7F2B"/>
    <w:rsid w:val="000E0125"/>
    <w:rsid w:val="000E015A"/>
    <w:rsid w:val="000E02FC"/>
    <w:rsid w:val="000E0970"/>
    <w:rsid w:val="000E1083"/>
    <w:rsid w:val="000E16A8"/>
    <w:rsid w:val="000E22B9"/>
    <w:rsid w:val="000E384C"/>
    <w:rsid w:val="000E3B1C"/>
    <w:rsid w:val="000E3CC7"/>
    <w:rsid w:val="000E3E8B"/>
    <w:rsid w:val="000E41ED"/>
    <w:rsid w:val="000E45A5"/>
    <w:rsid w:val="000E46F3"/>
    <w:rsid w:val="000E57CC"/>
    <w:rsid w:val="000E5F52"/>
    <w:rsid w:val="000E6BD4"/>
    <w:rsid w:val="000E6D6D"/>
    <w:rsid w:val="000E6F0D"/>
    <w:rsid w:val="000E79B8"/>
    <w:rsid w:val="000E7A57"/>
    <w:rsid w:val="000F0F65"/>
    <w:rsid w:val="000F12D2"/>
    <w:rsid w:val="000F1B3F"/>
    <w:rsid w:val="000F1E1A"/>
    <w:rsid w:val="000F1F1E"/>
    <w:rsid w:val="000F2259"/>
    <w:rsid w:val="000F2DDA"/>
    <w:rsid w:val="000F2EA0"/>
    <w:rsid w:val="000F3634"/>
    <w:rsid w:val="000F3771"/>
    <w:rsid w:val="000F37B6"/>
    <w:rsid w:val="000F3BD1"/>
    <w:rsid w:val="000F5213"/>
    <w:rsid w:val="000F5327"/>
    <w:rsid w:val="000F54C5"/>
    <w:rsid w:val="000F55E9"/>
    <w:rsid w:val="000F6225"/>
    <w:rsid w:val="000F6577"/>
    <w:rsid w:val="000F6774"/>
    <w:rsid w:val="000F6FD5"/>
    <w:rsid w:val="000F752F"/>
    <w:rsid w:val="000F7830"/>
    <w:rsid w:val="000F7938"/>
    <w:rsid w:val="00100649"/>
    <w:rsid w:val="0010072D"/>
    <w:rsid w:val="001007E4"/>
    <w:rsid w:val="00100901"/>
    <w:rsid w:val="00101001"/>
    <w:rsid w:val="0010172D"/>
    <w:rsid w:val="001017D1"/>
    <w:rsid w:val="00101970"/>
    <w:rsid w:val="00101B7A"/>
    <w:rsid w:val="00102BAB"/>
    <w:rsid w:val="00103276"/>
    <w:rsid w:val="0010392D"/>
    <w:rsid w:val="0010447F"/>
    <w:rsid w:val="00104A2E"/>
    <w:rsid w:val="00104C8D"/>
    <w:rsid w:val="00104CD4"/>
    <w:rsid w:val="00104FE3"/>
    <w:rsid w:val="00105147"/>
    <w:rsid w:val="001056AD"/>
    <w:rsid w:val="001057A5"/>
    <w:rsid w:val="0010609A"/>
    <w:rsid w:val="001068E4"/>
    <w:rsid w:val="00106D9D"/>
    <w:rsid w:val="00106F65"/>
    <w:rsid w:val="00107012"/>
    <w:rsid w:val="0010714F"/>
    <w:rsid w:val="00110E77"/>
    <w:rsid w:val="00111137"/>
    <w:rsid w:val="0011118E"/>
    <w:rsid w:val="00111424"/>
    <w:rsid w:val="00111BC7"/>
    <w:rsid w:val="001120C5"/>
    <w:rsid w:val="00113B36"/>
    <w:rsid w:val="00114083"/>
    <w:rsid w:val="00114F1F"/>
    <w:rsid w:val="00115875"/>
    <w:rsid w:val="00115951"/>
    <w:rsid w:val="00115FC2"/>
    <w:rsid w:val="0011685E"/>
    <w:rsid w:val="00120275"/>
    <w:rsid w:val="001208E9"/>
    <w:rsid w:val="00120BD3"/>
    <w:rsid w:val="001210FD"/>
    <w:rsid w:val="00121189"/>
    <w:rsid w:val="00121194"/>
    <w:rsid w:val="001212A4"/>
    <w:rsid w:val="00121750"/>
    <w:rsid w:val="00121A36"/>
    <w:rsid w:val="0012205B"/>
    <w:rsid w:val="00122DCE"/>
    <w:rsid w:val="00122FEA"/>
    <w:rsid w:val="001232BD"/>
    <w:rsid w:val="0012336C"/>
    <w:rsid w:val="001236DC"/>
    <w:rsid w:val="00124ED5"/>
    <w:rsid w:val="0012589E"/>
    <w:rsid w:val="00126CA0"/>
    <w:rsid w:val="001274E9"/>
    <w:rsid w:val="001276FA"/>
    <w:rsid w:val="0013037A"/>
    <w:rsid w:val="00130AF3"/>
    <w:rsid w:val="00132121"/>
    <w:rsid w:val="0013297D"/>
    <w:rsid w:val="00132AE8"/>
    <w:rsid w:val="00132E89"/>
    <w:rsid w:val="00135794"/>
    <w:rsid w:val="001367C0"/>
    <w:rsid w:val="00136957"/>
    <w:rsid w:val="0013704D"/>
    <w:rsid w:val="001375D2"/>
    <w:rsid w:val="0013788C"/>
    <w:rsid w:val="00140E81"/>
    <w:rsid w:val="00141157"/>
    <w:rsid w:val="001412F1"/>
    <w:rsid w:val="001417C7"/>
    <w:rsid w:val="00141DCA"/>
    <w:rsid w:val="00142237"/>
    <w:rsid w:val="001428D8"/>
    <w:rsid w:val="00143033"/>
    <w:rsid w:val="00144526"/>
    <w:rsid w:val="001447B3"/>
    <w:rsid w:val="00144F24"/>
    <w:rsid w:val="00145F9A"/>
    <w:rsid w:val="001463E7"/>
    <w:rsid w:val="001465D7"/>
    <w:rsid w:val="00146972"/>
    <w:rsid w:val="00146D89"/>
    <w:rsid w:val="00150680"/>
    <w:rsid w:val="0015135D"/>
    <w:rsid w:val="001514B1"/>
    <w:rsid w:val="00151653"/>
    <w:rsid w:val="00152073"/>
    <w:rsid w:val="00152329"/>
    <w:rsid w:val="00152494"/>
    <w:rsid w:val="00152DE7"/>
    <w:rsid w:val="0015337E"/>
    <w:rsid w:val="001533B1"/>
    <w:rsid w:val="0015389D"/>
    <w:rsid w:val="00153F82"/>
    <w:rsid w:val="0015411F"/>
    <w:rsid w:val="0015470E"/>
    <w:rsid w:val="00154802"/>
    <w:rsid w:val="00155947"/>
    <w:rsid w:val="001559F9"/>
    <w:rsid w:val="00156598"/>
    <w:rsid w:val="00156A73"/>
    <w:rsid w:val="00157043"/>
    <w:rsid w:val="00157D51"/>
    <w:rsid w:val="0016102B"/>
    <w:rsid w:val="0016116E"/>
    <w:rsid w:val="00161846"/>
    <w:rsid w:val="00161939"/>
    <w:rsid w:val="00161AA0"/>
    <w:rsid w:val="00161D2E"/>
    <w:rsid w:val="00161F3E"/>
    <w:rsid w:val="00162093"/>
    <w:rsid w:val="001629E1"/>
    <w:rsid w:val="00162CA9"/>
    <w:rsid w:val="001639F3"/>
    <w:rsid w:val="00163D5A"/>
    <w:rsid w:val="00164B0B"/>
    <w:rsid w:val="001650D6"/>
    <w:rsid w:val="001650D9"/>
    <w:rsid w:val="00165459"/>
    <w:rsid w:val="0016561C"/>
    <w:rsid w:val="00165650"/>
    <w:rsid w:val="00165A57"/>
    <w:rsid w:val="00165E8C"/>
    <w:rsid w:val="00166304"/>
    <w:rsid w:val="00166D46"/>
    <w:rsid w:val="001712C2"/>
    <w:rsid w:val="0017145C"/>
    <w:rsid w:val="00172B5C"/>
    <w:rsid w:val="00172BAF"/>
    <w:rsid w:val="00173191"/>
    <w:rsid w:val="001734E2"/>
    <w:rsid w:val="00173C51"/>
    <w:rsid w:val="00173EC7"/>
    <w:rsid w:val="00174243"/>
    <w:rsid w:val="001754AA"/>
    <w:rsid w:val="0017562E"/>
    <w:rsid w:val="00175FC8"/>
    <w:rsid w:val="0017674D"/>
    <w:rsid w:val="00176C6F"/>
    <w:rsid w:val="001771DD"/>
    <w:rsid w:val="00177463"/>
    <w:rsid w:val="00177995"/>
    <w:rsid w:val="001779E6"/>
    <w:rsid w:val="00177A8C"/>
    <w:rsid w:val="0018004B"/>
    <w:rsid w:val="001807A0"/>
    <w:rsid w:val="00180A42"/>
    <w:rsid w:val="00180A4D"/>
    <w:rsid w:val="001819A3"/>
    <w:rsid w:val="00181E80"/>
    <w:rsid w:val="00181F8C"/>
    <w:rsid w:val="0018244E"/>
    <w:rsid w:val="001835CA"/>
    <w:rsid w:val="001837B5"/>
    <w:rsid w:val="00183F85"/>
    <w:rsid w:val="00184408"/>
    <w:rsid w:val="00184F4F"/>
    <w:rsid w:val="001867AE"/>
    <w:rsid w:val="00186A57"/>
    <w:rsid w:val="00186B33"/>
    <w:rsid w:val="001877C9"/>
    <w:rsid w:val="001879ED"/>
    <w:rsid w:val="00187F88"/>
    <w:rsid w:val="00191264"/>
    <w:rsid w:val="00192133"/>
    <w:rsid w:val="00192396"/>
    <w:rsid w:val="00192D33"/>
    <w:rsid w:val="00192F9D"/>
    <w:rsid w:val="00193914"/>
    <w:rsid w:val="00193FB0"/>
    <w:rsid w:val="001942F6"/>
    <w:rsid w:val="001953DF"/>
    <w:rsid w:val="00195FC5"/>
    <w:rsid w:val="001961DD"/>
    <w:rsid w:val="001964DF"/>
    <w:rsid w:val="00196EB8"/>
    <w:rsid w:val="00196EFB"/>
    <w:rsid w:val="001979A5"/>
    <w:rsid w:val="001979FF"/>
    <w:rsid w:val="00197B17"/>
    <w:rsid w:val="001A0C33"/>
    <w:rsid w:val="001A0E29"/>
    <w:rsid w:val="001A17F7"/>
    <w:rsid w:val="001A1875"/>
    <w:rsid w:val="001A1950"/>
    <w:rsid w:val="001A1C54"/>
    <w:rsid w:val="001A201B"/>
    <w:rsid w:val="001A28CF"/>
    <w:rsid w:val="001A2DB3"/>
    <w:rsid w:val="001A3ACE"/>
    <w:rsid w:val="001A3E0E"/>
    <w:rsid w:val="001A437F"/>
    <w:rsid w:val="001A493A"/>
    <w:rsid w:val="001A4A7C"/>
    <w:rsid w:val="001A4D5B"/>
    <w:rsid w:val="001A50D4"/>
    <w:rsid w:val="001A52B1"/>
    <w:rsid w:val="001A6272"/>
    <w:rsid w:val="001A6344"/>
    <w:rsid w:val="001A6D54"/>
    <w:rsid w:val="001A7DCA"/>
    <w:rsid w:val="001A7EAF"/>
    <w:rsid w:val="001B0169"/>
    <w:rsid w:val="001B01EA"/>
    <w:rsid w:val="001B058F"/>
    <w:rsid w:val="001B07BA"/>
    <w:rsid w:val="001B3F5C"/>
    <w:rsid w:val="001B564B"/>
    <w:rsid w:val="001B6ABE"/>
    <w:rsid w:val="001B6B96"/>
    <w:rsid w:val="001B738B"/>
    <w:rsid w:val="001B78E0"/>
    <w:rsid w:val="001B7994"/>
    <w:rsid w:val="001B799C"/>
    <w:rsid w:val="001C09DB"/>
    <w:rsid w:val="001C148A"/>
    <w:rsid w:val="001C1534"/>
    <w:rsid w:val="001C224D"/>
    <w:rsid w:val="001C24EA"/>
    <w:rsid w:val="001C277E"/>
    <w:rsid w:val="001C2A72"/>
    <w:rsid w:val="001C2F3C"/>
    <w:rsid w:val="001C3030"/>
    <w:rsid w:val="001C31B7"/>
    <w:rsid w:val="001C339D"/>
    <w:rsid w:val="001C3D66"/>
    <w:rsid w:val="001C48F8"/>
    <w:rsid w:val="001C49DB"/>
    <w:rsid w:val="001C4ADA"/>
    <w:rsid w:val="001C5E92"/>
    <w:rsid w:val="001C5F38"/>
    <w:rsid w:val="001C6E95"/>
    <w:rsid w:val="001C77A8"/>
    <w:rsid w:val="001D031E"/>
    <w:rsid w:val="001D0B75"/>
    <w:rsid w:val="001D2A2F"/>
    <w:rsid w:val="001D2C35"/>
    <w:rsid w:val="001D3288"/>
    <w:rsid w:val="001D39A5"/>
    <w:rsid w:val="001D3C09"/>
    <w:rsid w:val="001D3F5A"/>
    <w:rsid w:val="001D44E8"/>
    <w:rsid w:val="001D4DF2"/>
    <w:rsid w:val="001D555E"/>
    <w:rsid w:val="001D60EC"/>
    <w:rsid w:val="001D61E4"/>
    <w:rsid w:val="001D65ED"/>
    <w:rsid w:val="001D6AF4"/>
    <w:rsid w:val="001D6F59"/>
    <w:rsid w:val="001D72B9"/>
    <w:rsid w:val="001D7BC4"/>
    <w:rsid w:val="001D7F7F"/>
    <w:rsid w:val="001E001D"/>
    <w:rsid w:val="001E07E6"/>
    <w:rsid w:val="001E0F9D"/>
    <w:rsid w:val="001E1A36"/>
    <w:rsid w:val="001E1E79"/>
    <w:rsid w:val="001E44DF"/>
    <w:rsid w:val="001E48DA"/>
    <w:rsid w:val="001E4B69"/>
    <w:rsid w:val="001E509E"/>
    <w:rsid w:val="001E68A5"/>
    <w:rsid w:val="001E6BB0"/>
    <w:rsid w:val="001E7124"/>
    <w:rsid w:val="001E7282"/>
    <w:rsid w:val="001E767F"/>
    <w:rsid w:val="001F01D9"/>
    <w:rsid w:val="001F07A1"/>
    <w:rsid w:val="001F158A"/>
    <w:rsid w:val="001F306C"/>
    <w:rsid w:val="001F3826"/>
    <w:rsid w:val="001F47FA"/>
    <w:rsid w:val="001F588D"/>
    <w:rsid w:val="001F5AB2"/>
    <w:rsid w:val="001F5D5B"/>
    <w:rsid w:val="001F678E"/>
    <w:rsid w:val="001F6E46"/>
    <w:rsid w:val="001F7365"/>
    <w:rsid w:val="001F7C91"/>
    <w:rsid w:val="0020034F"/>
    <w:rsid w:val="00200FED"/>
    <w:rsid w:val="002033B7"/>
    <w:rsid w:val="002034EF"/>
    <w:rsid w:val="0020379F"/>
    <w:rsid w:val="0020393C"/>
    <w:rsid w:val="002039EB"/>
    <w:rsid w:val="00203F1F"/>
    <w:rsid w:val="00203F65"/>
    <w:rsid w:val="00204682"/>
    <w:rsid w:val="002053CB"/>
    <w:rsid w:val="0020586D"/>
    <w:rsid w:val="00205DE3"/>
    <w:rsid w:val="00206463"/>
    <w:rsid w:val="00206F2F"/>
    <w:rsid w:val="00207473"/>
    <w:rsid w:val="00207712"/>
    <w:rsid w:val="00207717"/>
    <w:rsid w:val="00207D15"/>
    <w:rsid w:val="0021041B"/>
    <w:rsid w:val="0021053D"/>
    <w:rsid w:val="00210A92"/>
    <w:rsid w:val="0021164F"/>
    <w:rsid w:val="0021232A"/>
    <w:rsid w:val="00212775"/>
    <w:rsid w:val="002127CC"/>
    <w:rsid w:val="00212B95"/>
    <w:rsid w:val="00213434"/>
    <w:rsid w:val="002136C4"/>
    <w:rsid w:val="00214268"/>
    <w:rsid w:val="00214676"/>
    <w:rsid w:val="00214C53"/>
    <w:rsid w:val="00215BDF"/>
    <w:rsid w:val="00215CC8"/>
    <w:rsid w:val="002164D9"/>
    <w:rsid w:val="0021665C"/>
    <w:rsid w:val="00216C03"/>
    <w:rsid w:val="00216D64"/>
    <w:rsid w:val="002205D2"/>
    <w:rsid w:val="0022093D"/>
    <w:rsid w:val="00220A1A"/>
    <w:rsid w:val="00220C04"/>
    <w:rsid w:val="00220C09"/>
    <w:rsid w:val="00221CC4"/>
    <w:rsid w:val="002222C9"/>
    <w:rsid w:val="0022278D"/>
    <w:rsid w:val="002227E8"/>
    <w:rsid w:val="0022281A"/>
    <w:rsid w:val="00222A12"/>
    <w:rsid w:val="0022394E"/>
    <w:rsid w:val="002239DE"/>
    <w:rsid w:val="002241EF"/>
    <w:rsid w:val="002246FD"/>
    <w:rsid w:val="002257DD"/>
    <w:rsid w:val="0022604A"/>
    <w:rsid w:val="002261AF"/>
    <w:rsid w:val="00226474"/>
    <w:rsid w:val="0022701F"/>
    <w:rsid w:val="002272ED"/>
    <w:rsid w:val="00227B4C"/>
    <w:rsid w:val="00227C68"/>
    <w:rsid w:val="00231373"/>
    <w:rsid w:val="00231AE2"/>
    <w:rsid w:val="002324D5"/>
    <w:rsid w:val="002324F1"/>
    <w:rsid w:val="0023330A"/>
    <w:rsid w:val="002333F5"/>
    <w:rsid w:val="00233724"/>
    <w:rsid w:val="00233A34"/>
    <w:rsid w:val="00234716"/>
    <w:rsid w:val="00234813"/>
    <w:rsid w:val="0023539F"/>
    <w:rsid w:val="00235816"/>
    <w:rsid w:val="00235C1E"/>
    <w:rsid w:val="002365B4"/>
    <w:rsid w:val="0023668A"/>
    <w:rsid w:val="002369D7"/>
    <w:rsid w:val="00236A9C"/>
    <w:rsid w:val="0023785F"/>
    <w:rsid w:val="00241AEB"/>
    <w:rsid w:val="00242135"/>
    <w:rsid w:val="00242350"/>
    <w:rsid w:val="0024292E"/>
    <w:rsid w:val="002432E1"/>
    <w:rsid w:val="0024385A"/>
    <w:rsid w:val="00244B14"/>
    <w:rsid w:val="00245002"/>
    <w:rsid w:val="002458CF"/>
    <w:rsid w:val="00246207"/>
    <w:rsid w:val="00246B2B"/>
    <w:rsid w:val="00246C5E"/>
    <w:rsid w:val="00246F93"/>
    <w:rsid w:val="00247024"/>
    <w:rsid w:val="002471A9"/>
    <w:rsid w:val="00247565"/>
    <w:rsid w:val="002477F6"/>
    <w:rsid w:val="00250960"/>
    <w:rsid w:val="00250A36"/>
    <w:rsid w:val="00251343"/>
    <w:rsid w:val="0025167E"/>
    <w:rsid w:val="002525FC"/>
    <w:rsid w:val="002527D9"/>
    <w:rsid w:val="002532F1"/>
    <w:rsid w:val="002536A4"/>
    <w:rsid w:val="00254F58"/>
    <w:rsid w:val="00255F99"/>
    <w:rsid w:val="002567FB"/>
    <w:rsid w:val="00260897"/>
    <w:rsid w:val="00260E39"/>
    <w:rsid w:val="002612AB"/>
    <w:rsid w:val="002617F4"/>
    <w:rsid w:val="00261875"/>
    <w:rsid w:val="00261E0D"/>
    <w:rsid w:val="002620BC"/>
    <w:rsid w:val="00262802"/>
    <w:rsid w:val="00262891"/>
    <w:rsid w:val="002638FC"/>
    <w:rsid w:val="00263A90"/>
    <w:rsid w:val="00263B57"/>
    <w:rsid w:val="0026408B"/>
    <w:rsid w:val="00264156"/>
    <w:rsid w:val="00264378"/>
    <w:rsid w:val="00265393"/>
    <w:rsid w:val="0026595C"/>
    <w:rsid w:val="002666E4"/>
    <w:rsid w:val="00267506"/>
    <w:rsid w:val="002678E2"/>
    <w:rsid w:val="00267C3E"/>
    <w:rsid w:val="00270169"/>
    <w:rsid w:val="002701C1"/>
    <w:rsid w:val="00270556"/>
    <w:rsid w:val="002709BB"/>
    <w:rsid w:val="0027131C"/>
    <w:rsid w:val="0027257D"/>
    <w:rsid w:val="0027268C"/>
    <w:rsid w:val="002726FC"/>
    <w:rsid w:val="002728C1"/>
    <w:rsid w:val="002739E6"/>
    <w:rsid w:val="00273AB9"/>
    <w:rsid w:val="00273BAC"/>
    <w:rsid w:val="00274B47"/>
    <w:rsid w:val="00274FAF"/>
    <w:rsid w:val="002750FB"/>
    <w:rsid w:val="0027562B"/>
    <w:rsid w:val="00275D3A"/>
    <w:rsid w:val="00275EDD"/>
    <w:rsid w:val="002763B3"/>
    <w:rsid w:val="00276517"/>
    <w:rsid w:val="00276680"/>
    <w:rsid w:val="002770B8"/>
    <w:rsid w:val="0027762E"/>
    <w:rsid w:val="00277E83"/>
    <w:rsid w:val="002802E3"/>
    <w:rsid w:val="00280657"/>
    <w:rsid w:val="00280E2F"/>
    <w:rsid w:val="00281B2E"/>
    <w:rsid w:val="00281D6F"/>
    <w:rsid w:val="0028213D"/>
    <w:rsid w:val="00282140"/>
    <w:rsid w:val="002822B5"/>
    <w:rsid w:val="0028323A"/>
    <w:rsid w:val="0028328D"/>
    <w:rsid w:val="00283353"/>
    <w:rsid w:val="00283A29"/>
    <w:rsid w:val="00284870"/>
    <w:rsid w:val="002850FF"/>
    <w:rsid w:val="00285370"/>
    <w:rsid w:val="00285B04"/>
    <w:rsid w:val="002862F1"/>
    <w:rsid w:val="0028744F"/>
    <w:rsid w:val="002879FA"/>
    <w:rsid w:val="0029020F"/>
    <w:rsid w:val="0029085C"/>
    <w:rsid w:val="0029097B"/>
    <w:rsid w:val="002910F4"/>
    <w:rsid w:val="00291373"/>
    <w:rsid w:val="00291985"/>
    <w:rsid w:val="00291C29"/>
    <w:rsid w:val="002921B0"/>
    <w:rsid w:val="00292254"/>
    <w:rsid w:val="00292898"/>
    <w:rsid w:val="002957EA"/>
    <w:rsid w:val="0029597D"/>
    <w:rsid w:val="002962C3"/>
    <w:rsid w:val="0029752B"/>
    <w:rsid w:val="002A05FA"/>
    <w:rsid w:val="002A0A9C"/>
    <w:rsid w:val="002A0ACF"/>
    <w:rsid w:val="002A11B3"/>
    <w:rsid w:val="002A1768"/>
    <w:rsid w:val="002A187D"/>
    <w:rsid w:val="002A19BF"/>
    <w:rsid w:val="002A2E1D"/>
    <w:rsid w:val="002A327F"/>
    <w:rsid w:val="002A3294"/>
    <w:rsid w:val="002A32ED"/>
    <w:rsid w:val="002A4595"/>
    <w:rsid w:val="002A483C"/>
    <w:rsid w:val="002A540C"/>
    <w:rsid w:val="002A55CB"/>
    <w:rsid w:val="002A6D4E"/>
    <w:rsid w:val="002A70F9"/>
    <w:rsid w:val="002A77AF"/>
    <w:rsid w:val="002A7D86"/>
    <w:rsid w:val="002B01F0"/>
    <w:rsid w:val="002B0C7C"/>
    <w:rsid w:val="002B0ED6"/>
    <w:rsid w:val="002B1729"/>
    <w:rsid w:val="002B1E08"/>
    <w:rsid w:val="002B36C7"/>
    <w:rsid w:val="002B3B03"/>
    <w:rsid w:val="002B4333"/>
    <w:rsid w:val="002B45C2"/>
    <w:rsid w:val="002B47FC"/>
    <w:rsid w:val="002B4DD4"/>
    <w:rsid w:val="002B5102"/>
    <w:rsid w:val="002B5277"/>
    <w:rsid w:val="002B5375"/>
    <w:rsid w:val="002B5713"/>
    <w:rsid w:val="002B57F8"/>
    <w:rsid w:val="002B63E2"/>
    <w:rsid w:val="002B678C"/>
    <w:rsid w:val="002B758A"/>
    <w:rsid w:val="002B77C1"/>
    <w:rsid w:val="002C0ED7"/>
    <w:rsid w:val="002C1E39"/>
    <w:rsid w:val="002C2728"/>
    <w:rsid w:val="002C2F9B"/>
    <w:rsid w:val="002C3119"/>
    <w:rsid w:val="002C329B"/>
    <w:rsid w:val="002C4576"/>
    <w:rsid w:val="002C4B22"/>
    <w:rsid w:val="002C5025"/>
    <w:rsid w:val="002C51F8"/>
    <w:rsid w:val="002C5B7C"/>
    <w:rsid w:val="002C6728"/>
    <w:rsid w:val="002C6A6D"/>
    <w:rsid w:val="002C7622"/>
    <w:rsid w:val="002C7D82"/>
    <w:rsid w:val="002D05E4"/>
    <w:rsid w:val="002D0922"/>
    <w:rsid w:val="002D1096"/>
    <w:rsid w:val="002D171E"/>
    <w:rsid w:val="002D1DE7"/>
    <w:rsid w:val="002D1E0D"/>
    <w:rsid w:val="002D2779"/>
    <w:rsid w:val="002D3A4C"/>
    <w:rsid w:val="002D5006"/>
    <w:rsid w:val="002D6580"/>
    <w:rsid w:val="002D69D6"/>
    <w:rsid w:val="002D74E4"/>
    <w:rsid w:val="002D7C61"/>
    <w:rsid w:val="002E01D0"/>
    <w:rsid w:val="002E1048"/>
    <w:rsid w:val="002E161D"/>
    <w:rsid w:val="002E17F5"/>
    <w:rsid w:val="002E28A2"/>
    <w:rsid w:val="002E3035"/>
    <w:rsid w:val="002E3100"/>
    <w:rsid w:val="002E32E0"/>
    <w:rsid w:val="002E4064"/>
    <w:rsid w:val="002E44A9"/>
    <w:rsid w:val="002E4823"/>
    <w:rsid w:val="002E5D97"/>
    <w:rsid w:val="002E60F1"/>
    <w:rsid w:val="002E679F"/>
    <w:rsid w:val="002E69D6"/>
    <w:rsid w:val="002E6C95"/>
    <w:rsid w:val="002E7B2A"/>
    <w:rsid w:val="002E7C36"/>
    <w:rsid w:val="002F0E99"/>
    <w:rsid w:val="002F13EC"/>
    <w:rsid w:val="002F1B40"/>
    <w:rsid w:val="002F2944"/>
    <w:rsid w:val="002F31AC"/>
    <w:rsid w:val="002F364B"/>
    <w:rsid w:val="002F3D32"/>
    <w:rsid w:val="002F4A78"/>
    <w:rsid w:val="002F4B13"/>
    <w:rsid w:val="002F503B"/>
    <w:rsid w:val="002F5F31"/>
    <w:rsid w:val="002F5F46"/>
    <w:rsid w:val="002F61D2"/>
    <w:rsid w:val="002F7A09"/>
    <w:rsid w:val="00301BA2"/>
    <w:rsid w:val="00301DE7"/>
    <w:rsid w:val="00302216"/>
    <w:rsid w:val="003022C4"/>
    <w:rsid w:val="00302968"/>
    <w:rsid w:val="00303422"/>
    <w:rsid w:val="003039AB"/>
    <w:rsid w:val="00303C8E"/>
    <w:rsid w:val="00303E53"/>
    <w:rsid w:val="00304321"/>
    <w:rsid w:val="003044FE"/>
    <w:rsid w:val="0030474C"/>
    <w:rsid w:val="00304C7E"/>
    <w:rsid w:val="003053DE"/>
    <w:rsid w:val="00305CC1"/>
    <w:rsid w:val="00306956"/>
    <w:rsid w:val="00306E5F"/>
    <w:rsid w:val="00307075"/>
    <w:rsid w:val="00307179"/>
    <w:rsid w:val="00307923"/>
    <w:rsid w:val="003079DA"/>
    <w:rsid w:val="00307C60"/>
    <w:rsid w:val="00307E14"/>
    <w:rsid w:val="00310612"/>
    <w:rsid w:val="003111FF"/>
    <w:rsid w:val="00311759"/>
    <w:rsid w:val="00311D00"/>
    <w:rsid w:val="00312089"/>
    <w:rsid w:val="0031293B"/>
    <w:rsid w:val="0031336A"/>
    <w:rsid w:val="00313C85"/>
    <w:rsid w:val="00313FFF"/>
    <w:rsid w:val="00314054"/>
    <w:rsid w:val="00314990"/>
    <w:rsid w:val="00314B66"/>
    <w:rsid w:val="00314DB6"/>
    <w:rsid w:val="00315A46"/>
    <w:rsid w:val="00315C28"/>
    <w:rsid w:val="00315EC7"/>
    <w:rsid w:val="00315F7F"/>
    <w:rsid w:val="00316A75"/>
    <w:rsid w:val="00316F27"/>
    <w:rsid w:val="003179E2"/>
    <w:rsid w:val="00317AE6"/>
    <w:rsid w:val="00317E7F"/>
    <w:rsid w:val="00320E0A"/>
    <w:rsid w:val="00320F37"/>
    <w:rsid w:val="003214F1"/>
    <w:rsid w:val="00321BAF"/>
    <w:rsid w:val="0032246F"/>
    <w:rsid w:val="00322BD0"/>
    <w:rsid w:val="00322E4B"/>
    <w:rsid w:val="003236A6"/>
    <w:rsid w:val="00323BC4"/>
    <w:rsid w:val="00323DB2"/>
    <w:rsid w:val="00325185"/>
    <w:rsid w:val="0032629F"/>
    <w:rsid w:val="00326BE0"/>
    <w:rsid w:val="00327358"/>
    <w:rsid w:val="00327870"/>
    <w:rsid w:val="003302C2"/>
    <w:rsid w:val="00330BFA"/>
    <w:rsid w:val="00331134"/>
    <w:rsid w:val="00331870"/>
    <w:rsid w:val="0033259D"/>
    <w:rsid w:val="00333214"/>
    <w:rsid w:val="003333D2"/>
    <w:rsid w:val="00333905"/>
    <w:rsid w:val="0033405C"/>
    <w:rsid w:val="00334686"/>
    <w:rsid w:val="00334B7D"/>
    <w:rsid w:val="0033508E"/>
    <w:rsid w:val="003357DB"/>
    <w:rsid w:val="00335D10"/>
    <w:rsid w:val="00336214"/>
    <w:rsid w:val="003369BB"/>
    <w:rsid w:val="00336F96"/>
    <w:rsid w:val="00337339"/>
    <w:rsid w:val="003375B9"/>
    <w:rsid w:val="003375EB"/>
    <w:rsid w:val="003379AE"/>
    <w:rsid w:val="00340345"/>
    <w:rsid w:val="003403B9"/>
    <w:rsid w:val="003403E8"/>
    <w:rsid w:val="003406C6"/>
    <w:rsid w:val="00341886"/>
    <w:rsid w:val="003418CC"/>
    <w:rsid w:val="0034240D"/>
    <w:rsid w:val="003434EE"/>
    <w:rsid w:val="003440CA"/>
    <w:rsid w:val="00344791"/>
    <w:rsid w:val="003449AA"/>
    <w:rsid w:val="00344CDC"/>
    <w:rsid w:val="003459BD"/>
    <w:rsid w:val="003476B7"/>
    <w:rsid w:val="00347798"/>
    <w:rsid w:val="00347A0B"/>
    <w:rsid w:val="00347B8D"/>
    <w:rsid w:val="0035052E"/>
    <w:rsid w:val="00350D38"/>
    <w:rsid w:val="00350E5C"/>
    <w:rsid w:val="00350F35"/>
    <w:rsid w:val="00351A2B"/>
    <w:rsid w:val="00351B36"/>
    <w:rsid w:val="00351FC6"/>
    <w:rsid w:val="003520BB"/>
    <w:rsid w:val="0035347D"/>
    <w:rsid w:val="00355612"/>
    <w:rsid w:val="0035683A"/>
    <w:rsid w:val="00356863"/>
    <w:rsid w:val="00357278"/>
    <w:rsid w:val="003577F6"/>
    <w:rsid w:val="003579B8"/>
    <w:rsid w:val="00357B4E"/>
    <w:rsid w:val="00357C22"/>
    <w:rsid w:val="00362160"/>
    <w:rsid w:val="00362E77"/>
    <w:rsid w:val="003632A6"/>
    <w:rsid w:val="00364209"/>
    <w:rsid w:val="00364299"/>
    <w:rsid w:val="00364A56"/>
    <w:rsid w:val="00365336"/>
    <w:rsid w:val="00365C82"/>
    <w:rsid w:val="0036660A"/>
    <w:rsid w:val="00366CDF"/>
    <w:rsid w:val="00366DAA"/>
    <w:rsid w:val="00366EA3"/>
    <w:rsid w:val="0037104A"/>
    <w:rsid w:val="00371255"/>
    <w:rsid w:val="003716FD"/>
    <w:rsid w:val="0037204B"/>
    <w:rsid w:val="003738E1"/>
    <w:rsid w:val="003741AF"/>
    <w:rsid w:val="003744CF"/>
    <w:rsid w:val="00374717"/>
    <w:rsid w:val="00374C69"/>
    <w:rsid w:val="00374D89"/>
    <w:rsid w:val="0037502A"/>
    <w:rsid w:val="00376078"/>
    <w:rsid w:val="0037676C"/>
    <w:rsid w:val="003768FF"/>
    <w:rsid w:val="00376E7E"/>
    <w:rsid w:val="0037755F"/>
    <w:rsid w:val="00381043"/>
    <w:rsid w:val="0038195B"/>
    <w:rsid w:val="00381F1A"/>
    <w:rsid w:val="003820B2"/>
    <w:rsid w:val="003829E5"/>
    <w:rsid w:val="00382B03"/>
    <w:rsid w:val="0038355D"/>
    <w:rsid w:val="003838CE"/>
    <w:rsid w:val="00384486"/>
    <w:rsid w:val="0038496C"/>
    <w:rsid w:val="00386095"/>
    <w:rsid w:val="00386096"/>
    <w:rsid w:val="00386109"/>
    <w:rsid w:val="00386944"/>
    <w:rsid w:val="00386C16"/>
    <w:rsid w:val="00386CBC"/>
    <w:rsid w:val="00390047"/>
    <w:rsid w:val="0039031B"/>
    <w:rsid w:val="003908E7"/>
    <w:rsid w:val="00390AC9"/>
    <w:rsid w:val="00390C42"/>
    <w:rsid w:val="00391908"/>
    <w:rsid w:val="00393D93"/>
    <w:rsid w:val="00394A8B"/>
    <w:rsid w:val="00395552"/>
    <w:rsid w:val="003956CC"/>
    <w:rsid w:val="00395C9A"/>
    <w:rsid w:val="00395EB4"/>
    <w:rsid w:val="003974EE"/>
    <w:rsid w:val="00397B12"/>
    <w:rsid w:val="00397FC2"/>
    <w:rsid w:val="003A0853"/>
    <w:rsid w:val="003A22FB"/>
    <w:rsid w:val="003A26B6"/>
    <w:rsid w:val="003A27F0"/>
    <w:rsid w:val="003A3378"/>
    <w:rsid w:val="003A524E"/>
    <w:rsid w:val="003A6B67"/>
    <w:rsid w:val="003A6E69"/>
    <w:rsid w:val="003A7184"/>
    <w:rsid w:val="003A7CD6"/>
    <w:rsid w:val="003B02CF"/>
    <w:rsid w:val="003B0B8C"/>
    <w:rsid w:val="003B13B6"/>
    <w:rsid w:val="003B14C3"/>
    <w:rsid w:val="003B15E6"/>
    <w:rsid w:val="003B1F77"/>
    <w:rsid w:val="003B22EF"/>
    <w:rsid w:val="003B2705"/>
    <w:rsid w:val="003B2D82"/>
    <w:rsid w:val="003B3A66"/>
    <w:rsid w:val="003B408A"/>
    <w:rsid w:val="003B4821"/>
    <w:rsid w:val="003B4E6C"/>
    <w:rsid w:val="003B529C"/>
    <w:rsid w:val="003B54BB"/>
    <w:rsid w:val="003B6451"/>
    <w:rsid w:val="003B6BAB"/>
    <w:rsid w:val="003B751E"/>
    <w:rsid w:val="003C01AC"/>
    <w:rsid w:val="003C08A2"/>
    <w:rsid w:val="003C0C93"/>
    <w:rsid w:val="003C0F45"/>
    <w:rsid w:val="003C105B"/>
    <w:rsid w:val="003C202D"/>
    <w:rsid w:val="003C2045"/>
    <w:rsid w:val="003C20CF"/>
    <w:rsid w:val="003C27A8"/>
    <w:rsid w:val="003C2D42"/>
    <w:rsid w:val="003C43A1"/>
    <w:rsid w:val="003C4C93"/>
    <w:rsid w:val="003C4DFA"/>
    <w:rsid w:val="003C4E35"/>
    <w:rsid w:val="003C4FC0"/>
    <w:rsid w:val="003C55F4"/>
    <w:rsid w:val="003C642D"/>
    <w:rsid w:val="003C64B8"/>
    <w:rsid w:val="003C74BE"/>
    <w:rsid w:val="003C7897"/>
    <w:rsid w:val="003C7A3F"/>
    <w:rsid w:val="003D2247"/>
    <w:rsid w:val="003D2766"/>
    <w:rsid w:val="003D2A74"/>
    <w:rsid w:val="003D3958"/>
    <w:rsid w:val="003D3D88"/>
    <w:rsid w:val="003D3E8F"/>
    <w:rsid w:val="003D3EEB"/>
    <w:rsid w:val="003D460C"/>
    <w:rsid w:val="003D4975"/>
    <w:rsid w:val="003D5789"/>
    <w:rsid w:val="003D6127"/>
    <w:rsid w:val="003D6146"/>
    <w:rsid w:val="003D6475"/>
    <w:rsid w:val="003D6B72"/>
    <w:rsid w:val="003D6EE6"/>
    <w:rsid w:val="003D6FF8"/>
    <w:rsid w:val="003D73E1"/>
    <w:rsid w:val="003E0BC3"/>
    <w:rsid w:val="003E12C2"/>
    <w:rsid w:val="003E153B"/>
    <w:rsid w:val="003E32D9"/>
    <w:rsid w:val="003E375C"/>
    <w:rsid w:val="003E4086"/>
    <w:rsid w:val="003E419B"/>
    <w:rsid w:val="003E5232"/>
    <w:rsid w:val="003E5D61"/>
    <w:rsid w:val="003E639E"/>
    <w:rsid w:val="003E6608"/>
    <w:rsid w:val="003E6948"/>
    <w:rsid w:val="003E6FAC"/>
    <w:rsid w:val="003E71B7"/>
    <w:rsid w:val="003E71E5"/>
    <w:rsid w:val="003F0445"/>
    <w:rsid w:val="003F07E4"/>
    <w:rsid w:val="003F0CF0"/>
    <w:rsid w:val="003F14B1"/>
    <w:rsid w:val="003F1AF3"/>
    <w:rsid w:val="003F2B20"/>
    <w:rsid w:val="003F2F77"/>
    <w:rsid w:val="003F2FB7"/>
    <w:rsid w:val="003F3289"/>
    <w:rsid w:val="003F3C62"/>
    <w:rsid w:val="003F4FAB"/>
    <w:rsid w:val="003F5CB9"/>
    <w:rsid w:val="003F624D"/>
    <w:rsid w:val="003F69D0"/>
    <w:rsid w:val="003F7604"/>
    <w:rsid w:val="003F779E"/>
    <w:rsid w:val="00400D5E"/>
    <w:rsid w:val="004013C7"/>
    <w:rsid w:val="00401BFD"/>
    <w:rsid w:val="00401FCF"/>
    <w:rsid w:val="00402AA9"/>
    <w:rsid w:val="00402E4C"/>
    <w:rsid w:val="00402E58"/>
    <w:rsid w:val="00403E73"/>
    <w:rsid w:val="004041B5"/>
    <w:rsid w:val="004041F6"/>
    <w:rsid w:val="004050A1"/>
    <w:rsid w:val="00406194"/>
    <w:rsid w:val="00406285"/>
    <w:rsid w:val="00406510"/>
    <w:rsid w:val="00406CB5"/>
    <w:rsid w:val="004115A2"/>
    <w:rsid w:val="004122CA"/>
    <w:rsid w:val="004123C6"/>
    <w:rsid w:val="00412988"/>
    <w:rsid w:val="00412F64"/>
    <w:rsid w:val="004140E1"/>
    <w:rsid w:val="004148F9"/>
    <w:rsid w:val="00414A7A"/>
    <w:rsid w:val="004206FB"/>
    <w:rsid w:val="0042084E"/>
    <w:rsid w:val="004211EF"/>
    <w:rsid w:val="00421A93"/>
    <w:rsid w:val="00421EEF"/>
    <w:rsid w:val="00422B9A"/>
    <w:rsid w:val="00422D57"/>
    <w:rsid w:val="00424D65"/>
    <w:rsid w:val="00425884"/>
    <w:rsid w:val="00425E81"/>
    <w:rsid w:val="0042601F"/>
    <w:rsid w:val="0042682E"/>
    <w:rsid w:val="00426F39"/>
    <w:rsid w:val="00427BA7"/>
    <w:rsid w:val="00427E75"/>
    <w:rsid w:val="00430393"/>
    <w:rsid w:val="0043079D"/>
    <w:rsid w:val="00430BB1"/>
    <w:rsid w:val="00430E7D"/>
    <w:rsid w:val="00431057"/>
    <w:rsid w:val="00431806"/>
    <w:rsid w:val="00431A70"/>
    <w:rsid w:val="00431F42"/>
    <w:rsid w:val="00432DDB"/>
    <w:rsid w:val="00432E12"/>
    <w:rsid w:val="00432E25"/>
    <w:rsid w:val="00433F23"/>
    <w:rsid w:val="00433F63"/>
    <w:rsid w:val="004366D9"/>
    <w:rsid w:val="004369F2"/>
    <w:rsid w:val="00436EC7"/>
    <w:rsid w:val="00436F0F"/>
    <w:rsid w:val="0043766D"/>
    <w:rsid w:val="00437C30"/>
    <w:rsid w:val="0044111D"/>
    <w:rsid w:val="0044156E"/>
    <w:rsid w:val="00441594"/>
    <w:rsid w:val="00442190"/>
    <w:rsid w:val="004429D0"/>
    <w:rsid w:val="00442C6C"/>
    <w:rsid w:val="00442E8C"/>
    <w:rsid w:val="004431CC"/>
    <w:rsid w:val="00443CBE"/>
    <w:rsid w:val="00443E8A"/>
    <w:rsid w:val="004441BC"/>
    <w:rsid w:val="00444647"/>
    <w:rsid w:val="00444FEF"/>
    <w:rsid w:val="00445076"/>
    <w:rsid w:val="0044584C"/>
    <w:rsid w:val="00445B40"/>
    <w:rsid w:val="0044631F"/>
    <w:rsid w:val="0044637A"/>
    <w:rsid w:val="00446879"/>
    <w:rsid w:val="004468B4"/>
    <w:rsid w:val="00446B1B"/>
    <w:rsid w:val="00446C73"/>
    <w:rsid w:val="00446D86"/>
    <w:rsid w:val="00446E41"/>
    <w:rsid w:val="004479C1"/>
    <w:rsid w:val="00447C54"/>
    <w:rsid w:val="00451759"/>
    <w:rsid w:val="00451DE8"/>
    <w:rsid w:val="00452306"/>
    <w:rsid w:val="0045230A"/>
    <w:rsid w:val="00454A7D"/>
    <w:rsid w:val="00454AD0"/>
    <w:rsid w:val="00455156"/>
    <w:rsid w:val="00455D24"/>
    <w:rsid w:val="00455EE8"/>
    <w:rsid w:val="00455F25"/>
    <w:rsid w:val="004562C6"/>
    <w:rsid w:val="00457136"/>
    <w:rsid w:val="00457308"/>
    <w:rsid w:val="00457337"/>
    <w:rsid w:val="00457447"/>
    <w:rsid w:val="0045794D"/>
    <w:rsid w:val="00457D08"/>
    <w:rsid w:val="004607B7"/>
    <w:rsid w:val="00460C89"/>
    <w:rsid w:val="00460D60"/>
    <w:rsid w:val="00461458"/>
    <w:rsid w:val="00462870"/>
    <w:rsid w:val="0046290F"/>
    <w:rsid w:val="00462E3D"/>
    <w:rsid w:val="00463E3D"/>
    <w:rsid w:val="00464A4B"/>
    <w:rsid w:val="00464B40"/>
    <w:rsid w:val="0046689A"/>
    <w:rsid w:val="00466E79"/>
    <w:rsid w:val="004671C0"/>
    <w:rsid w:val="00467637"/>
    <w:rsid w:val="004703D3"/>
    <w:rsid w:val="00470A5E"/>
    <w:rsid w:val="00470D7D"/>
    <w:rsid w:val="00470EE7"/>
    <w:rsid w:val="00471F93"/>
    <w:rsid w:val="00473592"/>
    <w:rsid w:val="0047372D"/>
    <w:rsid w:val="00473757"/>
    <w:rsid w:val="00473BA3"/>
    <w:rsid w:val="004740AA"/>
    <w:rsid w:val="00474245"/>
    <w:rsid w:val="004743DD"/>
    <w:rsid w:val="00474776"/>
    <w:rsid w:val="00474CEA"/>
    <w:rsid w:val="00475281"/>
    <w:rsid w:val="004756FA"/>
    <w:rsid w:val="00475B41"/>
    <w:rsid w:val="00475C81"/>
    <w:rsid w:val="00475FB7"/>
    <w:rsid w:val="004766A7"/>
    <w:rsid w:val="0047773B"/>
    <w:rsid w:val="0047795F"/>
    <w:rsid w:val="00477FF7"/>
    <w:rsid w:val="0048020E"/>
    <w:rsid w:val="0048072D"/>
    <w:rsid w:val="00481918"/>
    <w:rsid w:val="00481DDD"/>
    <w:rsid w:val="00482512"/>
    <w:rsid w:val="00482823"/>
    <w:rsid w:val="004828B1"/>
    <w:rsid w:val="00482A7A"/>
    <w:rsid w:val="00483968"/>
    <w:rsid w:val="00483BD0"/>
    <w:rsid w:val="00484085"/>
    <w:rsid w:val="004841BE"/>
    <w:rsid w:val="004847A9"/>
    <w:rsid w:val="00484C4A"/>
    <w:rsid w:val="00484F86"/>
    <w:rsid w:val="00485DB9"/>
    <w:rsid w:val="004861AF"/>
    <w:rsid w:val="00486350"/>
    <w:rsid w:val="00487472"/>
    <w:rsid w:val="004877EB"/>
    <w:rsid w:val="004879B1"/>
    <w:rsid w:val="00490680"/>
    <w:rsid w:val="00490746"/>
    <w:rsid w:val="00490852"/>
    <w:rsid w:val="00490DEA"/>
    <w:rsid w:val="004913E5"/>
    <w:rsid w:val="00491714"/>
    <w:rsid w:val="00491981"/>
    <w:rsid w:val="004919A7"/>
    <w:rsid w:val="00491C9C"/>
    <w:rsid w:val="00491E56"/>
    <w:rsid w:val="00492791"/>
    <w:rsid w:val="00492F30"/>
    <w:rsid w:val="00493798"/>
    <w:rsid w:val="004941C2"/>
    <w:rsid w:val="004946F4"/>
    <w:rsid w:val="0049487E"/>
    <w:rsid w:val="00494CA4"/>
    <w:rsid w:val="00495094"/>
    <w:rsid w:val="0049528E"/>
    <w:rsid w:val="0049531A"/>
    <w:rsid w:val="00495C2C"/>
    <w:rsid w:val="004A0CFE"/>
    <w:rsid w:val="004A10CB"/>
    <w:rsid w:val="004A160D"/>
    <w:rsid w:val="004A1A85"/>
    <w:rsid w:val="004A3E81"/>
    <w:rsid w:val="004A4195"/>
    <w:rsid w:val="004A4C56"/>
    <w:rsid w:val="004A53C0"/>
    <w:rsid w:val="004A5C62"/>
    <w:rsid w:val="004A5CE5"/>
    <w:rsid w:val="004A6553"/>
    <w:rsid w:val="004A6BC2"/>
    <w:rsid w:val="004A707D"/>
    <w:rsid w:val="004A7E67"/>
    <w:rsid w:val="004B048E"/>
    <w:rsid w:val="004B0974"/>
    <w:rsid w:val="004B0D38"/>
    <w:rsid w:val="004B1C62"/>
    <w:rsid w:val="004B39D8"/>
    <w:rsid w:val="004B4185"/>
    <w:rsid w:val="004B4574"/>
    <w:rsid w:val="004B5A32"/>
    <w:rsid w:val="004B5A49"/>
    <w:rsid w:val="004B6B23"/>
    <w:rsid w:val="004C0DBB"/>
    <w:rsid w:val="004C1CCD"/>
    <w:rsid w:val="004C1ECC"/>
    <w:rsid w:val="004C1FBD"/>
    <w:rsid w:val="004C2745"/>
    <w:rsid w:val="004C2A9B"/>
    <w:rsid w:val="004C2DAF"/>
    <w:rsid w:val="004C369F"/>
    <w:rsid w:val="004C3EF2"/>
    <w:rsid w:val="004C450E"/>
    <w:rsid w:val="004C47AA"/>
    <w:rsid w:val="004C4815"/>
    <w:rsid w:val="004C5541"/>
    <w:rsid w:val="004C59F0"/>
    <w:rsid w:val="004C6EEE"/>
    <w:rsid w:val="004C6F7E"/>
    <w:rsid w:val="004C702B"/>
    <w:rsid w:val="004C72FA"/>
    <w:rsid w:val="004C7504"/>
    <w:rsid w:val="004D0033"/>
    <w:rsid w:val="004D016B"/>
    <w:rsid w:val="004D0E68"/>
    <w:rsid w:val="004D1B22"/>
    <w:rsid w:val="004D20DE"/>
    <w:rsid w:val="004D23CC"/>
    <w:rsid w:val="004D299E"/>
    <w:rsid w:val="004D2FDB"/>
    <w:rsid w:val="004D36F2"/>
    <w:rsid w:val="004D5A59"/>
    <w:rsid w:val="004D5AE8"/>
    <w:rsid w:val="004D5FE9"/>
    <w:rsid w:val="004D61D1"/>
    <w:rsid w:val="004D73F0"/>
    <w:rsid w:val="004D7B1D"/>
    <w:rsid w:val="004E085F"/>
    <w:rsid w:val="004E0B32"/>
    <w:rsid w:val="004E0E73"/>
    <w:rsid w:val="004E0FBC"/>
    <w:rsid w:val="004E1106"/>
    <w:rsid w:val="004E138F"/>
    <w:rsid w:val="004E2DAD"/>
    <w:rsid w:val="004E3141"/>
    <w:rsid w:val="004E320B"/>
    <w:rsid w:val="004E32D6"/>
    <w:rsid w:val="004E32DB"/>
    <w:rsid w:val="004E4649"/>
    <w:rsid w:val="004E48B8"/>
    <w:rsid w:val="004E4B00"/>
    <w:rsid w:val="004E4B53"/>
    <w:rsid w:val="004E5612"/>
    <w:rsid w:val="004E5814"/>
    <w:rsid w:val="004E59FE"/>
    <w:rsid w:val="004E5C2B"/>
    <w:rsid w:val="004E68E9"/>
    <w:rsid w:val="004E7070"/>
    <w:rsid w:val="004E79C9"/>
    <w:rsid w:val="004F00DD"/>
    <w:rsid w:val="004F01DE"/>
    <w:rsid w:val="004F0509"/>
    <w:rsid w:val="004F15C4"/>
    <w:rsid w:val="004F175D"/>
    <w:rsid w:val="004F1F05"/>
    <w:rsid w:val="004F20E0"/>
    <w:rsid w:val="004F2133"/>
    <w:rsid w:val="004F2C5F"/>
    <w:rsid w:val="004F40E3"/>
    <w:rsid w:val="004F5398"/>
    <w:rsid w:val="004F55F1"/>
    <w:rsid w:val="004F61B7"/>
    <w:rsid w:val="004F6936"/>
    <w:rsid w:val="004F7B2D"/>
    <w:rsid w:val="004F7E48"/>
    <w:rsid w:val="005005A9"/>
    <w:rsid w:val="0050069D"/>
    <w:rsid w:val="00500915"/>
    <w:rsid w:val="00502B59"/>
    <w:rsid w:val="0050372B"/>
    <w:rsid w:val="00503DC6"/>
    <w:rsid w:val="00506982"/>
    <w:rsid w:val="00506F5D"/>
    <w:rsid w:val="00507426"/>
    <w:rsid w:val="00507B8C"/>
    <w:rsid w:val="00507D22"/>
    <w:rsid w:val="00507EB3"/>
    <w:rsid w:val="00510592"/>
    <w:rsid w:val="005106FB"/>
    <w:rsid w:val="00510C37"/>
    <w:rsid w:val="005126D0"/>
    <w:rsid w:val="00512EF3"/>
    <w:rsid w:val="00513809"/>
    <w:rsid w:val="00514667"/>
    <w:rsid w:val="005148D9"/>
    <w:rsid w:val="00514974"/>
    <w:rsid w:val="00514F94"/>
    <w:rsid w:val="0051548E"/>
    <w:rsid w:val="0051568D"/>
    <w:rsid w:val="00515E02"/>
    <w:rsid w:val="005162FB"/>
    <w:rsid w:val="00516744"/>
    <w:rsid w:val="005174C4"/>
    <w:rsid w:val="0051788D"/>
    <w:rsid w:val="00517C77"/>
    <w:rsid w:val="005210C4"/>
    <w:rsid w:val="005211F8"/>
    <w:rsid w:val="00521620"/>
    <w:rsid w:val="00521D94"/>
    <w:rsid w:val="00522ADB"/>
    <w:rsid w:val="00524158"/>
    <w:rsid w:val="00524169"/>
    <w:rsid w:val="005242C8"/>
    <w:rsid w:val="00524B7E"/>
    <w:rsid w:val="00525B7C"/>
    <w:rsid w:val="00525CC5"/>
    <w:rsid w:val="00525E08"/>
    <w:rsid w:val="00525FFB"/>
    <w:rsid w:val="005267A1"/>
    <w:rsid w:val="00526AC7"/>
    <w:rsid w:val="00526C15"/>
    <w:rsid w:val="00530AEC"/>
    <w:rsid w:val="00530C40"/>
    <w:rsid w:val="00530E5A"/>
    <w:rsid w:val="005320BA"/>
    <w:rsid w:val="0053241D"/>
    <w:rsid w:val="00533561"/>
    <w:rsid w:val="00534610"/>
    <w:rsid w:val="00536499"/>
    <w:rsid w:val="00536C45"/>
    <w:rsid w:val="00536CBF"/>
    <w:rsid w:val="00536DA5"/>
    <w:rsid w:val="00540712"/>
    <w:rsid w:val="0054073F"/>
    <w:rsid w:val="00540F02"/>
    <w:rsid w:val="00541FEC"/>
    <w:rsid w:val="0054207F"/>
    <w:rsid w:val="0054215C"/>
    <w:rsid w:val="0054238B"/>
    <w:rsid w:val="005429B8"/>
    <w:rsid w:val="00542A03"/>
    <w:rsid w:val="005437B2"/>
    <w:rsid w:val="00543903"/>
    <w:rsid w:val="00543BCC"/>
    <w:rsid w:val="00543F11"/>
    <w:rsid w:val="00544135"/>
    <w:rsid w:val="00544BC0"/>
    <w:rsid w:val="00545E7F"/>
    <w:rsid w:val="00545E9C"/>
    <w:rsid w:val="00546305"/>
    <w:rsid w:val="00546477"/>
    <w:rsid w:val="0054687E"/>
    <w:rsid w:val="005468A0"/>
    <w:rsid w:val="00546F58"/>
    <w:rsid w:val="00547A95"/>
    <w:rsid w:val="00547C55"/>
    <w:rsid w:val="005504A8"/>
    <w:rsid w:val="00550FDC"/>
    <w:rsid w:val="0055119B"/>
    <w:rsid w:val="005513A2"/>
    <w:rsid w:val="00551DDF"/>
    <w:rsid w:val="0055227D"/>
    <w:rsid w:val="00553264"/>
    <w:rsid w:val="00554ABA"/>
    <w:rsid w:val="0055597F"/>
    <w:rsid w:val="005567F3"/>
    <w:rsid w:val="00560026"/>
    <w:rsid w:val="00561202"/>
    <w:rsid w:val="00561E71"/>
    <w:rsid w:val="00561E74"/>
    <w:rsid w:val="00562121"/>
    <w:rsid w:val="0056235D"/>
    <w:rsid w:val="00562507"/>
    <w:rsid w:val="00562811"/>
    <w:rsid w:val="00562D7F"/>
    <w:rsid w:val="00564D18"/>
    <w:rsid w:val="00565E6C"/>
    <w:rsid w:val="00565F45"/>
    <w:rsid w:val="00566390"/>
    <w:rsid w:val="0056739E"/>
    <w:rsid w:val="00570E95"/>
    <w:rsid w:val="0057176E"/>
    <w:rsid w:val="00572031"/>
    <w:rsid w:val="00572282"/>
    <w:rsid w:val="005736BE"/>
    <w:rsid w:val="00573A49"/>
    <w:rsid w:val="00573CE3"/>
    <w:rsid w:val="00574A4B"/>
    <w:rsid w:val="005751D1"/>
    <w:rsid w:val="0057523A"/>
    <w:rsid w:val="00575522"/>
    <w:rsid w:val="00575C59"/>
    <w:rsid w:val="00576159"/>
    <w:rsid w:val="00576E84"/>
    <w:rsid w:val="00580394"/>
    <w:rsid w:val="005806D1"/>
    <w:rsid w:val="005809CD"/>
    <w:rsid w:val="00581735"/>
    <w:rsid w:val="00581936"/>
    <w:rsid w:val="00582B8C"/>
    <w:rsid w:val="00585691"/>
    <w:rsid w:val="00586DB2"/>
    <w:rsid w:val="005870E8"/>
    <w:rsid w:val="0058757E"/>
    <w:rsid w:val="00587E14"/>
    <w:rsid w:val="00587E4C"/>
    <w:rsid w:val="005903CE"/>
    <w:rsid w:val="00590583"/>
    <w:rsid w:val="00591A7B"/>
    <w:rsid w:val="0059386B"/>
    <w:rsid w:val="00594BD8"/>
    <w:rsid w:val="0059551B"/>
    <w:rsid w:val="00595A91"/>
    <w:rsid w:val="0059623C"/>
    <w:rsid w:val="00596A4B"/>
    <w:rsid w:val="00596BBE"/>
    <w:rsid w:val="00596FC7"/>
    <w:rsid w:val="00597059"/>
    <w:rsid w:val="00597507"/>
    <w:rsid w:val="005975BE"/>
    <w:rsid w:val="00597CE3"/>
    <w:rsid w:val="005A0C0F"/>
    <w:rsid w:val="005A0E9F"/>
    <w:rsid w:val="005A1C94"/>
    <w:rsid w:val="005A2509"/>
    <w:rsid w:val="005A2AC3"/>
    <w:rsid w:val="005A3167"/>
    <w:rsid w:val="005A45C9"/>
    <w:rsid w:val="005A479D"/>
    <w:rsid w:val="005A6066"/>
    <w:rsid w:val="005A67BF"/>
    <w:rsid w:val="005A7218"/>
    <w:rsid w:val="005A7784"/>
    <w:rsid w:val="005A78F0"/>
    <w:rsid w:val="005B0795"/>
    <w:rsid w:val="005B0D32"/>
    <w:rsid w:val="005B116D"/>
    <w:rsid w:val="005B1A33"/>
    <w:rsid w:val="005B1C6D"/>
    <w:rsid w:val="005B1DE1"/>
    <w:rsid w:val="005B21B6"/>
    <w:rsid w:val="005B2FE2"/>
    <w:rsid w:val="005B376C"/>
    <w:rsid w:val="005B3804"/>
    <w:rsid w:val="005B3A08"/>
    <w:rsid w:val="005B3FC3"/>
    <w:rsid w:val="005B4F19"/>
    <w:rsid w:val="005B53D5"/>
    <w:rsid w:val="005B6234"/>
    <w:rsid w:val="005B6E99"/>
    <w:rsid w:val="005B789A"/>
    <w:rsid w:val="005B796D"/>
    <w:rsid w:val="005B7A63"/>
    <w:rsid w:val="005C0955"/>
    <w:rsid w:val="005C0B26"/>
    <w:rsid w:val="005C1092"/>
    <w:rsid w:val="005C12EA"/>
    <w:rsid w:val="005C1AB8"/>
    <w:rsid w:val="005C3017"/>
    <w:rsid w:val="005C3A9F"/>
    <w:rsid w:val="005C49DA"/>
    <w:rsid w:val="005C50F3"/>
    <w:rsid w:val="005C54B5"/>
    <w:rsid w:val="005C5CFE"/>
    <w:rsid w:val="005C5D80"/>
    <w:rsid w:val="005C5D91"/>
    <w:rsid w:val="005C60A9"/>
    <w:rsid w:val="005C632E"/>
    <w:rsid w:val="005C6DC4"/>
    <w:rsid w:val="005C77B0"/>
    <w:rsid w:val="005C7A52"/>
    <w:rsid w:val="005D0179"/>
    <w:rsid w:val="005D01B3"/>
    <w:rsid w:val="005D07B8"/>
    <w:rsid w:val="005D0E9E"/>
    <w:rsid w:val="005D209D"/>
    <w:rsid w:val="005D2E63"/>
    <w:rsid w:val="005D3861"/>
    <w:rsid w:val="005D428B"/>
    <w:rsid w:val="005D62D9"/>
    <w:rsid w:val="005D6597"/>
    <w:rsid w:val="005D6621"/>
    <w:rsid w:val="005D66E1"/>
    <w:rsid w:val="005D6AE7"/>
    <w:rsid w:val="005D6D4F"/>
    <w:rsid w:val="005E14E7"/>
    <w:rsid w:val="005E18CE"/>
    <w:rsid w:val="005E25C3"/>
    <w:rsid w:val="005E26A3"/>
    <w:rsid w:val="005E291C"/>
    <w:rsid w:val="005E2ECB"/>
    <w:rsid w:val="005E312C"/>
    <w:rsid w:val="005E36D3"/>
    <w:rsid w:val="005E3A78"/>
    <w:rsid w:val="005E447E"/>
    <w:rsid w:val="005E4D37"/>
    <w:rsid w:val="005E4FD1"/>
    <w:rsid w:val="005E59C0"/>
    <w:rsid w:val="005E5B14"/>
    <w:rsid w:val="005E6387"/>
    <w:rsid w:val="005E6439"/>
    <w:rsid w:val="005E6558"/>
    <w:rsid w:val="005E65FA"/>
    <w:rsid w:val="005E767F"/>
    <w:rsid w:val="005E7AC7"/>
    <w:rsid w:val="005F0048"/>
    <w:rsid w:val="005F0775"/>
    <w:rsid w:val="005F0B75"/>
    <w:rsid w:val="005F0CF5"/>
    <w:rsid w:val="005F0EAD"/>
    <w:rsid w:val="005F1C4D"/>
    <w:rsid w:val="005F21EB"/>
    <w:rsid w:val="005F241B"/>
    <w:rsid w:val="005F3655"/>
    <w:rsid w:val="005F424B"/>
    <w:rsid w:val="005F4538"/>
    <w:rsid w:val="005F491F"/>
    <w:rsid w:val="005F56E6"/>
    <w:rsid w:val="005F56EF"/>
    <w:rsid w:val="005F64CF"/>
    <w:rsid w:val="005F6850"/>
    <w:rsid w:val="005F783E"/>
    <w:rsid w:val="005F7920"/>
    <w:rsid w:val="005F7C99"/>
    <w:rsid w:val="005F7E7B"/>
    <w:rsid w:val="006011E6"/>
    <w:rsid w:val="006018F5"/>
    <w:rsid w:val="0060201A"/>
    <w:rsid w:val="006037B0"/>
    <w:rsid w:val="00603F9C"/>
    <w:rsid w:val="00603FDD"/>
    <w:rsid w:val="00604151"/>
    <w:rsid w:val="006041AD"/>
    <w:rsid w:val="006044D3"/>
    <w:rsid w:val="00605908"/>
    <w:rsid w:val="0060651A"/>
    <w:rsid w:val="0060755A"/>
    <w:rsid w:val="006076AB"/>
    <w:rsid w:val="00607850"/>
    <w:rsid w:val="00607C78"/>
    <w:rsid w:val="00607EF7"/>
    <w:rsid w:val="00610D7C"/>
    <w:rsid w:val="006111A0"/>
    <w:rsid w:val="006118B5"/>
    <w:rsid w:val="00611A29"/>
    <w:rsid w:val="00611D4A"/>
    <w:rsid w:val="00613414"/>
    <w:rsid w:val="006139CD"/>
    <w:rsid w:val="00613A76"/>
    <w:rsid w:val="00613ED8"/>
    <w:rsid w:val="00614890"/>
    <w:rsid w:val="006158A5"/>
    <w:rsid w:val="00616434"/>
    <w:rsid w:val="006171BD"/>
    <w:rsid w:val="00620154"/>
    <w:rsid w:val="00620202"/>
    <w:rsid w:val="00620F8F"/>
    <w:rsid w:val="00621966"/>
    <w:rsid w:val="00621BD9"/>
    <w:rsid w:val="00621F48"/>
    <w:rsid w:val="00622DC2"/>
    <w:rsid w:val="0062408D"/>
    <w:rsid w:val="006240CC"/>
    <w:rsid w:val="00624940"/>
    <w:rsid w:val="00624A7B"/>
    <w:rsid w:val="00624CD4"/>
    <w:rsid w:val="0062546D"/>
    <w:rsid w:val="006254F8"/>
    <w:rsid w:val="006259E2"/>
    <w:rsid w:val="00625C95"/>
    <w:rsid w:val="00625FD0"/>
    <w:rsid w:val="00626284"/>
    <w:rsid w:val="00626DC7"/>
    <w:rsid w:val="00627DA7"/>
    <w:rsid w:val="00627EEB"/>
    <w:rsid w:val="0063066D"/>
    <w:rsid w:val="00630DA4"/>
    <w:rsid w:val="006310BB"/>
    <w:rsid w:val="00631756"/>
    <w:rsid w:val="00631CD4"/>
    <w:rsid w:val="00631E09"/>
    <w:rsid w:val="00632597"/>
    <w:rsid w:val="00633C37"/>
    <w:rsid w:val="00634D13"/>
    <w:rsid w:val="00635169"/>
    <w:rsid w:val="006353BC"/>
    <w:rsid w:val="006358B4"/>
    <w:rsid w:val="006363BE"/>
    <w:rsid w:val="006365A0"/>
    <w:rsid w:val="0063672F"/>
    <w:rsid w:val="00637891"/>
    <w:rsid w:val="00640BBB"/>
    <w:rsid w:val="00640F4B"/>
    <w:rsid w:val="006410C3"/>
    <w:rsid w:val="00641724"/>
    <w:rsid w:val="006419AA"/>
    <w:rsid w:val="00641A77"/>
    <w:rsid w:val="00642AE7"/>
    <w:rsid w:val="00643EDA"/>
    <w:rsid w:val="00644B11"/>
    <w:rsid w:val="00644B1F"/>
    <w:rsid w:val="00644B7E"/>
    <w:rsid w:val="006453AF"/>
    <w:rsid w:val="006454E6"/>
    <w:rsid w:val="006456A2"/>
    <w:rsid w:val="006458C8"/>
    <w:rsid w:val="00646235"/>
    <w:rsid w:val="00646A68"/>
    <w:rsid w:val="00647F8F"/>
    <w:rsid w:val="0065027D"/>
    <w:rsid w:val="006503F8"/>
    <w:rsid w:val="006504B2"/>
    <w:rsid w:val="006504E4"/>
    <w:rsid w:val="006505BD"/>
    <w:rsid w:val="006508EA"/>
    <w:rsid w:val="0065092E"/>
    <w:rsid w:val="006511C4"/>
    <w:rsid w:val="00651443"/>
    <w:rsid w:val="006514B7"/>
    <w:rsid w:val="00651823"/>
    <w:rsid w:val="0065184F"/>
    <w:rsid w:val="00651BB3"/>
    <w:rsid w:val="00651EE2"/>
    <w:rsid w:val="006533D1"/>
    <w:rsid w:val="00653DF9"/>
    <w:rsid w:val="0065466F"/>
    <w:rsid w:val="00654C6A"/>
    <w:rsid w:val="006554CC"/>
    <w:rsid w:val="006557A7"/>
    <w:rsid w:val="006559A1"/>
    <w:rsid w:val="00656066"/>
    <w:rsid w:val="00656211"/>
    <w:rsid w:val="00656290"/>
    <w:rsid w:val="00656384"/>
    <w:rsid w:val="00656F30"/>
    <w:rsid w:val="00657267"/>
    <w:rsid w:val="00657EB6"/>
    <w:rsid w:val="00657FF0"/>
    <w:rsid w:val="006601C9"/>
    <w:rsid w:val="006608D8"/>
    <w:rsid w:val="00661944"/>
    <w:rsid w:val="006621D7"/>
    <w:rsid w:val="00662330"/>
    <w:rsid w:val="00662DB7"/>
    <w:rsid w:val="0066302A"/>
    <w:rsid w:val="00663680"/>
    <w:rsid w:val="006637A2"/>
    <w:rsid w:val="0066413E"/>
    <w:rsid w:val="00666D79"/>
    <w:rsid w:val="006671DA"/>
    <w:rsid w:val="00667770"/>
    <w:rsid w:val="006703A6"/>
    <w:rsid w:val="006704A7"/>
    <w:rsid w:val="00670597"/>
    <w:rsid w:val="006706D0"/>
    <w:rsid w:val="00670C3F"/>
    <w:rsid w:val="006716BF"/>
    <w:rsid w:val="006727CF"/>
    <w:rsid w:val="00672ADA"/>
    <w:rsid w:val="0067322F"/>
    <w:rsid w:val="00673909"/>
    <w:rsid w:val="00673FD0"/>
    <w:rsid w:val="006755FC"/>
    <w:rsid w:val="0067656E"/>
    <w:rsid w:val="00677574"/>
    <w:rsid w:val="00680519"/>
    <w:rsid w:val="00680670"/>
    <w:rsid w:val="006812ED"/>
    <w:rsid w:val="00681409"/>
    <w:rsid w:val="006820C5"/>
    <w:rsid w:val="006824AC"/>
    <w:rsid w:val="006825FC"/>
    <w:rsid w:val="006831F6"/>
    <w:rsid w:val="00683206"/>
    <w:rsid w:val="006832B1"/>
    <w:rsid w:val="00683878"/>
    <w:rsid w:val="00683DE7"/>
    <w:rsid w:val="00683FFD"/>
    <w:rsid w:val="0068407B"/>
    <w:rsid w:val="00684173"/>
    <w:rsid w:val="00684380"/>
    <w:rsid w:val="0068454C"/>
    <w:rsid w:val="00686B59"/>
    <w:rsid w:val="00690D7E"/>
    <w:rsid w:val="0069151B"/>
    <w:rsid w:val="00691B62"/>
    <w:rsid w:val="006933B5"/>
    <w:rsid w:val="00693D14"/>
    <w:rsid w:val="00693E31"/>
    <w:rsid w:val="00694DBE"/>
    <w:rsid w:val="00695C8A"/>
    <w:rsid w:val="00695E0C"/>
    <w:rsid w:val="00696F27"/>
    <w:rsid w:val="006A0AB3"/>
    <w:rsid w:val="006A18C2"/>
    <w:rsid w:val="006A2090"/>
    <w:rsid w:val="006A21F5"/>
    <w:rsid w:val="006A23C0"/>
    <w:rsid w:val="006A3383"/>
    <w:rsid w:val="006A36D3"/>
    <w:rsid w:val="006A3C39"/>
    <w:rsid w:val="006A453C"/>
    <w:rsid w:val="006A471A"/>
    <w:rsid w:val="006A4F06"/>
    <w:rsid w:val="006A7B2F"/>
    <w:rsid w:val="006A7C8B"/>
    <w:rsid w:val="006A7DFD"/>
    <w:rsid w:val="006B077C"/>
    <w:rsid w:val="006B082A"/>
    <w:rsid w:val="006B0904"/>
    <w:rsid w:val="006B1068"/>
    <w:rsid w:val="006B10D1"/>
    <w:rsid w:val="006B29E8"/>
    <w:rsid w:val="006B51E1"/>
    <w:rsid w:val="006B5748"/>
    <w:rsid w:val="006B5BA3"/>
    <w:rsid w:val="006B6803"/>
    <w:rsid w:val="006B6C58"/>
    <w:rsid w:val="006B71B0"/>
    <w:rsid w:val="006B7CB5"/>
    <w:rsid w:val="006B7D11"/>
    <w:rsid w:val="006C01B8"/>
    <w:rsid w:val="006C1260"/>
    <w:rsid w:val="006C1E50"/>
    <w:rsid w:val="006C3371"/>
    <w:rsid w:val="006C3FE7"/>
    <w:rsid w:val="006C442F"/>
    <w:rsid w:val="006C548B"/>
    <w:rsid w:val="006C5C2B"/>
    <w:rsid w:val="006C5F4D"/>
    <w:rsid w:val="006C68EB"/>
    <w:rsid w:val="006C6F3B"/>
    <w:rsid w:val="006D0265"/>
    <w:rsid w:val="006D05D5"/>
    <w:rsid w:val="006D098E"/>
    <w:rsid w:val="006D0E84"/>
    <w:rsid w:val="006D0F16"/>
    <w:rsid w:val="006D1A23"/>
    <w:rsid w:val="006D260F"/>
    <w:rsid w:val="006D2736"/>
    <w:rsid w:val="006D2A3F"/>
    <w:rsid w:val="006D2FBC"/>
    <w:rsid w:val="006D47B2"/>
    <w:rsid w:val="006D5A07"/>
    <w:rsid w:val="006D5A86"/>
    <w:rsid w:val="006D6165"/>
    <w:rsid w:val="006D6E34"/>
    <w:rsid w:val="006D6E8B"/>
    <w:rsid w:val="006D7AB1"/>
    <w:rsid w:val="006E138B"/>
    <w:rsid w:val="006E1867"/>
    <w:rsid w:val="006E1F06"/>
    <w:rsid w:val="006E2376"/>
    <w:rsid w:val="006E3934"/>
    <w:rsid w:val="006E399C"/>
    <w:rsid w:val="006E49C2"/>
    <w:rsid w:val="006E4AB6"/>
    <w:rsid w:val="006E608F"/>
    <w:rsid w:val="006E628C"/>
    <w:rsid w:val="006E63B3"/>
    <w:rsid w:val="006E7105"/>
    <w:rsid w:val="006E71D5"/>
    <w:rsid w:val="006E73DF"/>
    <w:rsid w:val="006E761B"/>
    <w:rsid w:val="006E76F7"/>
    <w:rsid w:val="006F002E"/>
    <w:rsid w:val="006F0330"/>
    <w:rsid w:val="006F037E"/>
    <w:rsid w:val="006F0642"/>
    <w:rsid w:val="006F0A0E"/>
    <w:rsid w:val="006F1FDC"/>
    <w:rsid w:val="006F2D26"/>
    <w:rsid w:val="006F3299"/>
    <w:rsid w:val="006F34E0"/>
    <w:rsid w:val="006F35DC"/>
    <w:rsid w:val="006F5683"/>
    <w:rsid w:val="006F5702"/>
    <w:rsid w:val="006F578C"/>
    <w:rsid w:val="006F60B1"/>
    <w:rsid w:val="006F6B8C"/>
    <w:rsid w:val="006F6CA8"/>
    <w:rsid w:val="007013EF"/>
    <w:rsid w:val="00702110"/>
    <w:rsid w:val="00702350"/>
    <w:rsid w:val="00703475"/>
    <w:rsid w:val="007043FD"/>
    <w:rsid w:val="00704466"/>
    <w:rsid w:val="007055BD"/>
    <w:rsid w:val="007060EE"/>
    <w:rsid w:val="0070634F"/>
    <w:rsid w:val="00706C90"/>
    <w:rsid w:val="00706ECC"/>
    <w:rsid w:val="007074BA"/>
    <w:rsid w:val="00710B42"/>
    <w:rsid w:val="0071113C"/>
    <w:rsid w:val="00711621"/>
    <w:rsid w:val="00711766"/>
    <w:rsid w:val="00713D11"/>
    <w:rsid w:val="0071401F"/>
    <w:rsid w:val="00714644"/>
    <w:rsid w:val="0071472E"/>
    <w:rsid w:val="00714E3B"/>
    <w:rsid w:val="00715332"/>
    <w:rsid w:val="00715555"/>
    <w:rsid w:val="00716DB3"/>
    <w:rsid w:val="007173CA"/>
    <w:rsid w:val="0071799A"/>
    <w:rsid w:val="007216AA"/>
    <w:rsid w:val="00721AB5"/>
    <w:rsid w:val="00721CFB"/>
    <w:rsid w:val="00721DEF"/>
    <w:rsid w:val="007220E4"/>
    <w:rsid w:val="007246B6"/>
    <w:rsid w:val="00724786"/>
    <w:rsid w:val="007249A2"/>
    <w:rsid w:val="00724A43"/>
    <w:rsid w:val="00724BA8"/>
    <w:rsid w:val="0072529A"/>
    <w:rsid w:val="00725975"/>
    <w:rsid w:val="00725D8D"/>
    <w:rsid w:val="0072656F"/>
    <w:rsid w:val="00726B56"/>
    <w:rsid w:val="007273AC"/>
    <w:rsid w:val="00727897"/>
    <w:rsid w:val="00727E95"/>
    <w:rsid w:val="00731AD4"/>
    <w:rsid w:val="00732524"/>
    <w:rsid w:val="00732ED1"/>
    <w:rsid w:val="007331A2"/>
    <w:rsid w:val="0073324E"/>
    <w:rsid w:val="007333B4"/>
    <w:rsid w:val="007346E4"/>
    <w:rsid w:val="007349A5"/>
    <w:rsid w:val="00734A85"/>
    <w:rsid w:val="00735564"/>
    <w:rsid w:val="007366C3"/>
    <w:rsid w:val="00736A3E"/>
    <w:rsid w:val="0073779C"/>
    <w:rsid w:val="007379B1"/>
    <w:rsid w:val="00740E8F"/>
    <w:rsid w:val="00740F22"/>
    <w:rsid w:val="007411BE"/>
    <w:rsid w:val="00741CF0"/>
    <w:rsid w:val="00741F1A"/>
    <w:rsid w:val="007421AE"/>
    <w:rsid w:val="0074278D"/>
    <w:rsid w:val="007429EE"/>
    <w:rsid w:val="00742BD7"/>
    <w:rsid w:val="00742E1A"/>
    <w:rsid w:val="007433B0"/>
    <w:rsid w:val="00743782"/>
    <w:rsid w:val="00743C1E"/>
    <w:rsid w:val="00743F3B"/>
    <w:rsid w:val="00744075"/>
    <w:rsid w:val="007441D3"/>
    <w:rsid w:val="007441FB"/>
    <w:rsid w:val="007447DA"/>
    <w:rsid w:val="00744DD3"/>
    <w:rsid w:val="00744EB8"/>
    <w:rsid w:val="007450F8"/>
    <w:rsid w:val="007459CE"/>
    <w:rsid w:val="0074696E"/>
    <w:rsid w:val="00750135"/>
    <w:rsid w:val="00750352"/>
    <w:rsid w:val="00750C41"/>
    <w:rsid w:val="00750EC2"/>
    <w:rsid w:val="00752B28"/>
    <w:rsid w:val="007536BC"/>
    <w:rsid w:val="00754137"/>
    <w:rsid w:val="007541A9"/>
    <w:rsid w:val="007548F7"/>
    <w:rsid w:val="00754E36"/>
    <w:rsid w:val="007554FE"/>
    <w:rsid w:val="007556A6"/>
    <w:rsid w:val="0075608B"/>
    <w:rsid w:val="0075624A"/>
    <w:rsid w:val="00757CD0"/>
    <w:rsid w:val="007600D0"/>
    <w:rsid w:val="00761424"/>
    <w:rsid w:val="00762E14"/>
    <w:rsid w:val="00763139"/>
    <w:rsid w:val="00763681"/>
    <w:rsid w:val="00763A7A"/>
    <w:rsid w:val="00763B2E"/>
    <w:rsid w:val="00763C0B"/>
    <w:rsid w:val="0076444E"/>
    <w:rsid w:val="00767186"/>
    <w:rsid w:val="007704AA"/>
    <w:rsid w:val="00770AE2"/>
    <w:rsid w:val="00770F37"/>
    <w:rsid w:val="007711A0"/>
    <w:rsid w:val="007717F5"/>
    <w:rsid w:val="00771EAB"/>
    <w:rsid w:val="00772D5E"/>
    <w:rsid w:val="007732E6"/>
    <w:rsid w:val="00773DE4"/>
    <w:rsid w:val="00774547"/>
    <w:rsid w:val="0077463E"/>
    <w:rsid w:val="007748DB"/>
    <w:rsid w:val="00774913"/>
    <w:rsid w:val="00774B26"/>
    <w:rsid w:val="00776928"/>
    <w:rsid w:val="00776D56"/>
    <w:rsid w:val="00776E0F"/>
    <w:rsid w:val="00777147"/>
    <w:rsid w:val="0077720F"/>
    <w:rsid w:val="007774B1"/>
    <w:rsid w:val="00777833"/>
    <w:rsid w:val="00777BE1"/>
    <w:rsid w:val="00777C63"/>
    <w:rsid w:val="00777E3B"/>
    <w:rsid w:val="00780B59"/>
    <w:rsid w:val="0078146E"/>
    <w:rsid w:val="007821CB"/>
    <w:rsid w:val="00782222"/>
    <w:rsid w:val="00782293"/>
    <w:rsid w:val="00782D19"/>
    <w:rsid w:val="007833D8"/>
    <w:rsid w:val="00784112"/>
    <w:rsid w:val="00784552"/>
    <w:rsid w:val="00784BB7"/>
    <w:rsid w:val="00784CF8"/>
    <w:rsid w:val="00784F16"/>
    <w:rsid w:val="00785677"/>
    <w:rsid w:val="00786575"/>
    <w:rsid w:val="00786F16"/>
    <w:rsid w:val="007877EA"/>
    <w:rsid w:val="007877F2"/>
    <w:rsid w:val="00790164"/>
    <w:rsid w:val="007918EF"/>
    <w:rsid w:val="00791BD7"/>
    <w:rsid w:val="00792447"/>
    <w:rsid w:val="00792E50"/>
    <w:rsid w:val="007933F7"/>
    <w:rsid w:val="00793A32"/>
    <w:rsid w:val="007940A3"/>
    <w:rsid w:val="00794387"/>
    <w:rsid w:val="007944B5"/>
    <w:rsid w:val="00794E09"/>
    <w:rsid w:val="00795EAB"/>
    <w:rsid w:val="00796E20"/>
    <w:rsid w:val="0079707E"/>
    <w:rsid w:val="00797C32"/>
    <w:rsid w:val="007A11E8"/>
    <w:rsid w:val="007A1B44"/>
    <w:rsid w:val="007A1D63"/>
    <w:rsid w:val="007A1FD3"/>
    <w:rsid w:val="007A254E"/>
    <w:rsid w:val="007A42DB"/>
    <w:rsid w:val="007A5550"/>
    <w:rsid w:val="007A6677"/>
    <w:rsid w:val="007A6CD7"/>
    <w:rsid w:val="007A6D59"/>
    <w:rsid w:val="007A7248"/>
    <w:rsid w:val="007B01CB"/>
    <w:rsid w:val="007B0850"/>
    <w:rsid w:val="007B0914"/>
    <w:rsid w:val="007B0A20"/>
    <w:rsid w:val="007B0A97"/>
    <w:rsid w:val="007B1374"/>
    <w:rsid w:val="007B1E8A"/>
    <w:rsid w:val="007B27AF"/>
    <w:rsid w:val="007B32E5"/>
    <w:rsid w:val="007B3A37"/>
    <w:rsid w:val="007B3DB9"/>
    <w:rsid w:val="007B41EE"/>
    <w:rsid w:val="007B547B"/>
    <w:rsid w:val="007B589F"/>
    <w:rsid w:val="007B6186"/>
    <w:rsid w:val="007B630B"/>
    <w:rsid w:val="007B6D52"/>
    <w:rsid w:val="007B6EE3"/>
    <w:rsid w:val="007B73BC"/>
    <w:rsid w:val="007B76D6"/>
    <w:rsid w:val="007C017A"/>
    <w:rsid w:val="007C0D5A"/>
    <w:rsid w:val="007C0F49"/>
    <w:rsid w:val="007C1838"/>
    <w:rsid w:val="007C20B9"/>
    <w:rsid w:val="007C2389"/>
    <w:rsid w:val="007C34F3"/>
    <w:rsid w:val="007C3781"/>
    <w:rsid w:val="007C3D17"/>
    <w:rsid w:val="007C3E2F"/>
    <w:rsid w:val="007C3F99"/>
    <w:rsid w:val="007C5B7A"/>
    <w:rsid w:val="007C701A"/>
    <w:rsid w:val="007C7301"/>
    <w:rsid w:val="007C7859"/>
    <w:rsid w:val="007C7ABE"/>
    <w:rsid w:val="007C7F28"/>
    <w:rsid w:val="007D094E"/>
    <w:rsid w:val="007D1423"/>
    <w:rsid w:val="007D1466"/>
    <w:rsid w:val="007D1566"/>
    <w:rsid w:val="007D1688"/>
    <w:rsid w:val="007D223E"/>
    <w:rsid w:val="007D2BDE"/>
    <w:rsid w:val="007D2FB6"/>
    <w:rsid w:val="007D38DD"/>
    <w:rsid w:val="007D43B7"/>
    <w:rsid w:val="007D49EB"/>
    <w:rsid w:val="007D4D9E"/>
    <w:rsid w:val="007D5A3E"/>
    <w:rsid w:val="007D5B5D"/>
    <w:rsid w:val="007D5E1C"/>
    <w:rsid w:val="007D77C4"/>
    <w:rsid w:val="007D7840"/>
    <w:rsid w:val="007E090C"/>
    <w:rsid w:val="007E0DE2"/>
    <w:rsid w:val="007E0F8D"/>
    <w:rsid w:val="007E10BF"/>
    <w:rsid w:val="007E1FB9"/>
    <w:rsid w:val="007E22D3"/>
    <w:rsid w:val="007E3138"/>
    <w:rsid w:val="007E3167"/>
    <w:rsid w:val="007E3213"/>
    <w:rsid w:val="007E33D5"/>
    <w:rsid w:val="007E3667"/>
    <w:rsid w:val="007E3B98"/>
    <w:rsid w:val="007E3D23"/>
    <w:rsid w:val="007E417A"/>
    <w:rsid w:val="007E4BE4"/>
    <w:rsid w:val="007E4CBC"/>
    <w:rsid w:val="007E4DB8"/>
    <w:rsid w:val="007E548D"/>
    <w:rsid w:val="007E5B14"/>
    <w:rsid w:val="007E7307"/>
    <w:rsid w:val="007E7658"/>
    <w:rsid w:val="007F02FD"/>
    <w:rsid w:val="007F0C06"/>
    <w:rsid w:val="007F1033"/>
    <w:rsid w:val="007F2235"/>
    <w:rsid w:val="007F31B6"/>
    <w:rsid w:val="007F39A8"/>
    <w:rsid w:val="007F3C5D"/>
    <w:rsid w:val="007F4243"/>
    <w:rsid w:val="007F4F29"/>
    <w:rsid w:val="007F5004"/>
    <w:rsid w:val="007F546C"/>
    <w:rsid w:val="007F54FA"/>
    <w:rsid w:val="007F625F"/>
    <w:rsid w:val="007F653C"/>
    <w:rsid w:val="007F665E"/>
    <w:rsid w:val="007F6DEB"/>
    <w:rsid w:val="00800412"/>
    <w:rsid w:val="00800C24"/>
    <w:rsid w:val="0080163A"/>
    <w:rsid w:val="00801D07"/>
    <w:rsid w:val="00802356"/>
    <w:rsid w:val="00802AB8"/>
    <w:rsid w:val="00803EE5"/>
    <w:rsid w:val="00804A4A"/>
    <w:rsid w:val="0080587B"/>
    <w:rsid w:val="00805B36"/>
    <w:rsid w:val="00806468"/>
    <w:rsid w:val="00806E71"/>
    <w:rsid w:val="00807CEF"/>
    <w:rsid w:val="0081011A"/>
    <w:rsid w:val="0081126C"/>
    <w:rsid w:val="008118A9"/>
    <w:rsid w:val="008119CA"/>
    <w:rsid w:val="00811C65"/>
    <w:rsid w:val="0081231E"/>
    <w:rsid w:val="00812324"/>
    <w:rsid w:val="008130C4"/>
    <w:rsid w:val="0081362E"/>
    <w:rsid w:val="00813648"/>
    <w:rsid w:val="00813E6C"/>
    <w:rsid w:val="008149A8"/>
    <w:rsid w:val="00814E57"/>
    <w:rsid w:val="008155F0"/>
    <w:rsid w:val="0081567F"/>
    <w:rsid w:val="008158AE"/>
    <w:rsid w:val="00815F1C"/>
    <w:rsid w:val="0081614E"/>
    <w:rsid w:val="00816735"/>
    <w:rsid w:val="00816742"/>
    <w:rsid w:val="00816BEE"/>
    <w:rsid w:val="00817BF1"/>
    <w:rsid w:val="00820141"/>
    <w:rsid w:val="00820E0C"/>
    <w:rsid w:val="00820ED0"/>
    <w:rsid w:val="00820F47"/>
    <w:rsid w:val="008219EC"/>
    <w:rsid w:val="00822083"/>
    <w:rsid w:val="00822B6A"/>
    <w:rsid w:val="00823275"/>
    <w:rsid w:val="0082366F"/>
    <w:rsid w:val="00823C64"/>
    <w:rsid w:val="00823C97"/>
    <w:rsid w:val="00825BEB"/>
    <w:rsid w:val="00825E85"/>
    <w:rsid w:val="00827A29"/>
    <w:rsid w:val="008304D3"/>
    <w:rsid w:val="008306FB"/>
    <w:rsid w:val="008312E9"/>
    <w:rsid w:val="00831FAC"/>
    <w:rsid w:val="00831FCA"/>
    <w:rsid w:val="00832476"/>
    <w:rsid w:val="00832814"/>
    <w:rsid w:val="008334CA"/>
    <w:rsid w:val="008338A2"/>
    <w:rsid w:val="008347DA"/>
    <w:rsid w:val="008349F0"/>
    <w:rsid w:val="008353C2"/>
    <w:rsid w:val="008355F2"/>
    <w:rsid w:val="00835CF9"/>
    <w:rsid w:val="008365D2"/>
    <w:rsid w:val="00836C89"/>
    <w:rsid w:val="00837101"/>
    <w:rsid w:val="00840814"/>
    <w:rsid w:val="0084088B"/>
    <w:rsid w:val="00841AA9"/>
    <w:rsid w:val="00841F7E"/>
    <w:rsid w:val="0084375C"/>
    <w:rsid w:val="0084391B"/>
    <w:rsid w:val="00843CD5"/>
    <w:rsid w:val="00844DDB"/>
    <w:rsid w:val="00845203"/>
    <w:rsid w:val="008459D7"/>
    <w:rsid w:val="0084604D"/>
    <w:rsid w:val="00846088"/>
    <w:rsid w:val="0084637A"/>
    <w:rsid w:val="00847147"/>
    <w:rsid w:val="00847404"/>
    <w:rsid w:val="0084745A"/>
    <w:rsid w:val="008474FE"/>
    <w:rsid w:val="0085032D"/>
    <w:rsid w:val="00850388"/>
    <w:rsid w:val="0085225A"/>
    <w:rsid w:val="00852458"/>
    <w:rsid w:val="00852CCD"/>
    <w:rsid w:val="00853138"/>
    <w:rsid w:val="00853779"/>
    <w:rsid w:val="00853EE4"/>
    <w:rsid w:val="008542CA"/>
    <w:rsid w:val="00855535"/>
    <w:rsid w:val="00855659"/>
    <w:rsid w:val="008567DD"/>
    <w:rsid w:val="00856BB5"/>
    <w:rsid w:val="00856BCB"/>
    <w:rsid w:val="00857A5C"/>
    <w:rsid w:val="00857C57"/>
    <w:rsid w:val="00857C5A"/>
    <w:rsid w:val="0086184B"/>
    <w:rsid w:val="008623DF"/>
    <w:rsid w:val="0086255E"/>
    <w:rsid w:val="008633F0"/>
    <w:rsid w:val="00863927"/>
    <w:rsid w:val="00864035"/>
    <w:rsid w:val="00864216"/>
    <w:rsid w:val="00864F85"/>
    <w:rsid w:val="008657E6"/>
    <w:rsid w:val="0086664E"/>
    <w:rsid w:val="00866F6C"/>
    <w:rsid w:val="0086730A"/>
    <w:rsid w:val="00867D9D"/>
    <w:rsid w:val="008709BC"/>
    <w:rsid w:val="0087131D"/>
    <w:rsid w:val="00871454"/>
    <w:rsid w:val="00871EC8"/>
    <w:rsid w:val="00872E0A"/>
    <w:rsid w:val="00873594"/>
    <w:rsid w:val="0087399A"/>
    <w:rsid w:val="00874EE1"/>
    <w:rsid w:val="00874EE9"/>
    <w:rsid w:val="00875285"/>
    <w:rsid w:val="00875CC2"/>
    <w:rsid w:val="00875FDB"/>
    <w:rsid w:val="00876546"/>
    <w:rsid w:val="00876F77"/>
    <w:rsid w:val="0087750B"/>
    <w:rsid w:val="00880156"/>
    <w:rsid w:val="0088021D"/>
    <w:rsid w:val="00880264"/>
    <w:rsid w:val="0088036F"/>
    <w:rsid w:val="00880F82"/>
    <w:rsid w:val="0088155A"/>
    <w:rsid w:val="00881E6C"/>
    <w:rsid w:val="00882B8C"/>
    <w:rsid w:val="00882C15"/>
    <w:rsid w:val="00882D2A"/>
    <w:rsid w:val="00884B62"/>
    <w:rsid w:val="0088529C"/>
    <w:rsid w:val="00885899"/>
    <w:rsid w:val="008866FC"/>
    <w:rsid w:val="00887903"/>
    <w:rsid w:val="00887DB7"/>
    <w:rsid w:val="00887FBA"/>
    <w:rsid w:val="008913C8"/>
    <w:rsid w:val="0089157B"/>
    <w:rsid w:val="00891D93"/>
    <w:rsid w:val="008923C4"/>
    <w:rsid w:val="00892472"/>
    <w:rsid w:val="0089270A"/>
    <w:rsid w:val="00892816"/>
    <w:rsid w:val="00892916"/>
    <w:rsid w:val="00893227"/>
    <w:rsid w:val="00893AF6"/>
    <w:rsid w:val="00893E3D"/>
    <w:rsid w:val="008942D0"/>
    <w:rsid w:val="0089445D"/>
    <w:rsid w:val="00894BC4"/>
    <w:rsid w:val="008950B6"/>
    <w:rsid w:val="0089593C"/>
    <w:rsid w:val="00896890"/>
    <w:rsid w:val="008973FE"/>
    <w:rsid w:val="008977D1"/>
    <w:rsid w:val="00897A47"/>
    <w:rsid w:val="00897E79"/>
    <w:rsid w:val="008A0084"/>
    <w:rsid w:val="008A0655"/>
    <w:rsid w:val="008A0CD3"/>
    <w:rsid w:val="008A2744"/>
    <w:rsid w:val="008A28A8"/>
    <w:rsid w:val="008A2B17"/>
    <w:rsid w:val="008A301D"/>
    <w:rsid w:val="008A408E"/>
    <w:rsid w:val="008A45CC"/>
    <w:rsid w:val="008A54AC"/>
    <w:rsid w:val="008A5B32"/>
    <w:rsid w:val="008B09E6"/>
    <w:rsid w:val="008B13D2"/>
    <w:rsid w:val="008B2029"/>
    <w:rsid w:val="008B20C4"/>
    <w:rsid w:val="008B2281"/>
    <w:rsid w:val="008B2EE4"/>
    <w:rsid w:val="008B3821"/>
    <w:rsid w:val="008B4D3D"/>
    <w:rsid w:val="008B5244"/>
    <w:rsid w:val="008B5314"/>
    <w:rsid w:val="008B57C7"/>
    <w:rsid w:val="008B5A10"/>
    <w:rsid w:val="008B5B98"/>
    <w:rsid w:val="008B60C5"/>
    <w:rsid w:val="008B7033"/>
    <w:rsid w:val="008B7597"/>
    <w:rsid w:val="008C017F"/>
    <w:rsid w:val="008C0C89"/>
    <w:rsid w:val="008C115E"/>
    <w:rsid w:val="008C2F92"/>
    <w:rsid w:val="008C3387"/>
    <w:rsid w:val="008C3546"/>
    <w:rsid w:val="008C4780"/>
    <w:rsid w:val="008C529B"/>
    <w:rsid w:val="008C589D"/>
    <w:rsid w:val="008C604C"/>
    <w:rsid w:val="008C62E8"/>
    <w:rsid w:val="008C6B12"/>
    <w:rsid w:val="008C6D36"/>
    <w:rsid w:val="008C6D51"/>
    <w:rsid w:val="008C6FFE"/>
    <w:rsid w:val="008C708D"/>
    <w:rsid w:val="008C7BFB"/>
    <w:rsid w:val="008D01FB"/>
    <w:rsid w:val="008D055F"/>
    <w:rsid w:val="008D21E3"/>
    <w:rsid w:val="008D2445"/>
    <w:rsid w:val="008D2846"/>
    <w:rsid w:val="008D2BB3"/>
    <w:rsid w:val="008D2EBF"/>
    <w:rsid w:val="008D34DC"/>
    <w:rsid w:val="008D4236"/>
    <w:rsid w:val="008D462F"/>
    <w:rsid w:val="008D4BD2"/>
    <w:rsid w:val="008D6DCF"/>
    <w:rsid w:val="008D721E"/>
    <w:rsid w:val="008D7419"/>
    <w:rsid w:val="008D7F8A"/>
    <w:rsid w:val="008E003A"/>
    <w:rsid w:val="008E1546"/>
    <w:rsid w:val="008E32CD"/>
    <w:rsid w:val="008E36B5"/>
    <w:rsid w:val="008E3B25"/>
    <w:rsid w:val="008E3F83"/>
    <w:rsid w:val="008E41C9"/>
    <w:rsid w:val="008E42FB"/>
    <w:rsid w:val="008E4376"/>
    <w:rsid w:val="008E4F5E"/>
    <w:rsid w:val="008E518E"/>
    <w:rsid w:val="008E5CBF"/>
    <w:rsid w:val="008E6128"/>
    <w:rsid w:val="008E61B0"/>
    <w:rsid w:val="008E6519"/>
    <w:rsid w:val="008E6939"/>
    <w:rsid w:val="008E7A0A"/>
    <w:rsid w:val="008E7AFF"/>
    <w:rsid w:val="008E7B49"/>
    <w:rsid w:val="008F10B4"/>
    <w:rsid w:val="008F10C6"/>
    <w:rsid w:val="008F1BD0"/>
    <w:rsid w:val="008F3159"/>
    <w:rsid w:val="008F372E"/>
    <w:rsid w:val="008F450C"/>
    <w:rsid w:val="008F48AC"/>
    <w:rsid w:val="008F59F6"/>
    <w:rsid w:val="008F70A6"/>
    <w:rsid w:val="008F765A"/>
    <w:rsid w:val="00900719"/>
    <w:rsid w:val="009015F6"/>
    <w:rsid w:val="00901606"/>
    <w:rsid w:val="009017AC"/>
    <w:rsid w:val="00901A9F"/>
    <w:rsid w:val="00901F2C"/>
    <w:rsid w:val="00902A9A"/>
    <w:rsid w:val="00903DDE"/>
    <w:rsid w:val="00904A1C"/>
    <w:rsid w:val="00904D50"/>
    <w:rsid w:val="00905030"/>
    <w:rsid w:val="009054D0"/>
    <w:rsid w:val="0090552F"/>
    <w:rsid w:val="009056B2"/>
    <w:rsid w:val="00906186"/>
    <w:rsid w:val="0090636D"/>
    <w:rsid w:val="00906490"/>
    <w:rsid w:val="009069A9"/>
    <w:rsid w:val="00907B1A"/>
    <w:rsid w:val="0091045F"/>
    <w:rsid w:val="0091104C"/>
    <w:rsid w:val="009111B2"/>
    <w:rsid w:val="00911EAF"/>
    <w:rsid w:val="00911F00"/>
    <w:rsid w:val="009121E6"/>
    <w:rsid w:val="00912483"/>
    <w:rsid w:val="00912B86"/>
    <w:rsid w:val="00912E25"/>
    <w:rsid w:val="00913D02"/>
    <w:rsid w:val="00914E6B"/>
    <w:rsid w:val="00914F94"/>
    <w:rsid w:val="009151F5"/>
    <w:rsid w:val="0091520E"/>
    <w:rsid w:val="00915241"/>
    <w:rsid w:val="009160CF"/>
    <w:rsid w:val="00916A48"/>
    <w:rsid w:val="0092096A"/>
    <w:rsid w:val="009217B6"/>
    <w:rsid w:val="00923D0C"/>
    <w:rsid w:val="00923F51"/>
    <w:rsid w:val="009241EA"/>
    <w:rsid w:val="00924AE1"/>
    <w:rsid w:val="009252A1"/>
    <w:rsid w:val="0092566F"/>
    <w:rsid w:val="00925B79"/>
    <w:rsid w:val="00925F19"/>
    <w:rsid w:val="00926689"/>
    <w:rsid w:val="009269B1"/>
    <w:rsid w:val="00926FB1"/>
    <w:rsid w:val="0092724D"/>
    <w:rsid w:val="009272B3"/>
    <w:rsid w:val="00927900"/>
    <w:rsid w:val="00927EC2"/>
    <w:rsid w:val="0093082E"/>
    <w:rsid w:val="00931398"/>
    <w:rsid w:val="009315BE"/>
    <w:rsid w:val="00931AEA"/>
    <w:rsid w:val="009326DD"/>
    <w:rsid w:val="00932BCB"/>
    <w:rsid w:val="00932E45"/>
    <w:rsid w:val="0093338F"/>
    <w:rsid w:val="00933855"/>
    <w:rsid w:val="00933B3E"/>
    <w:rsid w:val="009340C5"/>
    <w:rsid w:val="009342AE"/>
    <w:rsid w:val="00934357"/>
    <w:rsid w:val="00934743"/>
    <w:rsid w:val="00934A2E"/>
    <w:rsid w:val="009352C9"/>
    <w:rsid w:val="00935C8F"/>
    <w:rsid w:val="00935F91"/>
    <w:rsid w:val="009368FA"/>
    <w:rsid w:val="00937BD9"/>
    <w:rsid w:val="00937EEE"/>
    <w:rsid w:val="0094036E"/>
    <w:rsid w:val="009406FF"/>
    <w:rsid w:val="0094101B"/>
    <w:rsid w:val="00941F90"/>
    <w:rsid w:val="00942B00"/>
    <w:rsid w:val="0094349A"/>
    <w:rsid w:val="00943927"/>
    <w:rsid w:val="00945232"/>
    <w:rsid w:val="009459B8"/>
    <w:rsid w:val="00946D95"/>
    <w:rsid w:val="009507D0"/>
    <w:rsid w:val="00950E2C"/>
    <w:rsid w:val="00951D50"/>
    <w:rsid w:val="009525EB"/>
    <w:rsid w:val="00952D23"/>
    <w:rsid w:val="009531CE"/>
    <w:rsid w:val="00953282"/>
    <w:rsid w:val="00953B7B"/>
    <w:rsid w:val="0095470B"/>
    <w:rsid w:val="00954874"/>
    <w:rsid w:val="00954E4D"/>
    <w:rsid w:val="00954F04"/>
    <w:rsid w:val="0095524F"/>
    <w:rsid w:val="009553A5"/>
    <w:rsid w:val="0095615A"/>
    <w:rsid w:val="00957C19"/>
    <w:rsid w:val="00957D59"/>
    <w:rsid w:val="00957EF3"/>
    <w:rsid w:val="00961400"/>
    <w:rsid w:val="00961587"/>
    <w:rsid w:val="00961B87"/>
    <w:rsid w:val="009625B2"/>
    <w:rsid w:val="00962BA4"/>
    <w:rsid w:val="00963289"/>
    <w:rsid w:val="00963646"/>
    <w:rsid w:val="00965772"/>
    <w:rsid w:val="0096632D"/>
    <w:rsid w:val="00966BB9"/>
    <w:rsid w:val="00966F77"/>
    <w:rsid w:val="00967124"/>
    <w:rsid w:val="00967B96"/>
    <w:rsid w:val="0097032C"/>
    <w:rsid w:val="009708B4"/>
    <w:rsid w:val="00970BB6"/>
    <w:rsid w:val="00970C2E"/>
    <w:rsid w:val="0097166C"/>
    <w:rsid w:val="009718C7"/>
    <w:rsid w:val="00971DC8"/>
    <w:rsid w:val="00971EC5"/>
    <w:rsid w:val="00971FD7"/>
    <w:rsid w:val="009724DA"/>
    <w:rsid w:val="00972623"/>
    <w:rsid w:val="00972E2C"/>
    <w:rsid w:val="009744A7"/>
    <w:rsid w:val="0097559F"/>
    <w:rsid w:val="009759D4"/>
    <w:rsid w:val="009761EA"/>
    <w:rsid w:val="00976F05"/>
    <w:rsid w:val="0097761E"/>
    <w:rsid w:val="00977EE7"/>
    <w:rsid w:val="009809F6"/>
    <w:rsid w:val="00981C76"/>
    <w:rsid w:val="00981EFD"/>
    <w:rsid w:val="009821EF"/>
    <w:rsid w:val="00982454"/>
    <w:rsid w:val="00982CF0"/>
    <w:rsid w:val="00983646"/>
    <w:rsid w:val="00983702"/>
    <w:rsid w:val="009853E1"/>
    <w:rsid w:val="00985554"/>
    <w:rsid w:val="00986516"/>
    <w:rsid w:val="00986E6B"/>
    <w:rsid w:val="00987C90"/>
    <w:rsid w:val="00987F00"/>
    <w:rsid w:val="00987F2B"/>
    <w:rsid w:val="00990032"/>
    <w:rsid w:val="00990103"/>
    <w:rsid w:val="00990962"/>
    <w:rsid w:val="00990B19"/>
    <w:rsid w:val="0099153B"/>
    <w:rsid w:val="00991769"/>
    <w:rsid w:val="0099232C"/>
    <w:rsid w:val="00992362"/>
    <w:rsid w:val="00992A75"/>
    <w:rsid w:val="00993008"/>
    <w:rsid w:val="009931C2"/>
    <w:rsid w:val="009931EC"/>
    <w:rsid w:val="00993830"/>
    <w:rsid w:val="00994386"/>
    <w:rsid w:val="009945A3"/>
    <w:rsid w:val="00994A1B"/>
    <w:rsid w:val="00995D77"/>
    <w:rsid w:val="00996681"/>
    <w:rsid w:val="00996813"/>
    <w:rsid w:val="00997D4A"/>
    <w:rsid w:val="00997DD3"/>
    <w:rsid w:val="009A0186"/>
    <w:rsid w:val="009A13D8"/>
    <w:rsid w:val="009A16C4"/>
    <w:rsid w:val="009A218B"/>
    <w:rsid w:val="009A279E"/>
    <w:rsid w:val="009A2864"/>
    <w:rsid w:val="009A2C5B"/>
    <w:rsid w:val="009A2D01"/>
    <w:rsid w:val="009A3015"/>
    <w:rsid w:val="009A3490"/>
    <w:rsid w:val="009A388F"/>
    <w:rsid w:val="009A38A9"/>
    <w:rsid w:val="009A5437"/>
    <w:rsid w:val="009A7187"/>
    <w:rsid w:val="009A76C0"/>
    <w:rsid w:val="009A7AEB"/>
    <w:rsid w:val="009A7E6C"/>
    <w:rsid w:val="009B0A6F"/>
    <w:rsid w:val="009B0A94"/>
    <w:rsid w:val="009B0C62"/>
    <w:rsid w:val="009B0D77"/>
    <w:rsid w:val="009B1125"/>
    <w:rsid w:val="009B14F3"/>
    <w:rsid w:val="009B1CCD"/>
    <w:rsid w:val="009B2AE8"/>
    <w:rsid w:val="009B4399"/>
    <w:rsid w:val="009B4915"/>
    <w:rsid w:val="009B52C2"/>
    <w:rsid w:val="009B5622"/>
    <w:rsid w:val="009B59E9"/>
    <w:rsid w:val="009B60BA"/>
    <w:rsid w:val="009B6296"/>
    <w:rsid w:val="009B6F71"/>
    <w:rsid w:val="009B70AA"/>
    <w:rsid w:val="009B7EC1"/>
    <w:rsid w:val="009C0757"/>
    <w:rsid w:val="009C0CFA"/>
    <w:rsid w:val="009C1886"/>
    <w:rsid w:val="009C245E"/>
    <w:rsid w:val="009C2E7E"/>
    <w:rsid w:val="009C3ACC"/>
    <w:rsid w:val="009C48EA"/>
    <w:rsid w:val="009C5011"/>
    <w:rsid w:val="009C503E"/>
    <w:rsid w:val="009C54BA"/>
    <w:rsid w:val="009C579B"/>
    <w:rsid w:val="009C5E77"/>
    <w:rsid w:val="009C5F7C"/>
    <w:rsid w:val="009C695B"/>
    <w:rsid w:val="009C69A0"/>
    <w:rsid w:val="009C6BDB"/>
    <w:rsid w:val="009C76E0"/>
    <w:rsid w:val="009C7A7E"/>
    <w:rsid w:val="009D000C"/>
    <w:rsid w:val="009D02E8"/>
    <w:rsid w:val="009D0FF2"/>
    <w:rsid w:val="009D10CC"/>
    <w:rsid w:val="009D1682"/>
    <w:rsid w:val="009D2F30"/>
    <w:rsid w:val="009D2FF9"/>
    <w:rsid w:val="009D36EB"/>
    <w:rsid w:val="009D37A0"/>
    <w:rsid w:val="009D4CCC"/>
    <w:rsid w:val="009D51D0"/>
    <w:rsid w:val="009D70A4"/>
    <w:rsid w:val="009D7474"/>
    <w:rsid w:val="009D7727"/>
    <w:rsid w:val="009D7B14"/>
    <w:rsid w:val="009D7E1C"/>
    <w:rsid w:val="009E08D1"/>
    <w:rsid w:val="009E0D96"/>
    <w:rsid w:val="009E11C6"/>
    <w:rsid w:val="009E1B95"/>
    <w:rsid w:val="009E2755"/>
    <w:rsid w:val="009E322C"/>
    <w:rsid w:val="009E496F"/>
    <w:rsid w:val="009E4B0D"/>
    <w:rsid w:val="009E5250"/>
    <w:rsid w:val="009E5AE3"/>
    <w:rsid w:val="009E6B95"/>
    <w:rsid w:val="009E6C79"/>
    <w:rsid w:val="009E6FCC"/>
    <w:rsid w:val="009E7A69"/>
    <w:rsid w:val="009E7F27"/>
    <w:rsid w:val="009E7F92"/>
    <w:rsid w:val="009F02A3"/>
    <w:rsid w:val="009F070A"/>
    <w:rsid w:val="009F20AD"/>
    <w:rsid w:val="009F2182"/>
    <w:rsid w:val="009F2BE7"/>
    <w:rsid w:val="009F2DB7"/>
    <w:rsid w:val="009F2F27"/>
    <w:rsid w:val="009F34AA"/>
    <w:rsid w:val="009F379B"/>
    <w:rsid w:val="009F511E"/>
    <w:rsid w:val="009F6BCB"/>
    <w:rsid w:val="009F6BED"/>
    <w:rsid w:val="009F70AC"/>
    <w:rsid w:val="009F7B78"/>
    <w:rsid w:val="00A0057A"/>
    <w:rsid w:val="00A0096D"/>
    <w:rsid w:val="00A009A2"/>
    <w:rsid w:val="00A00FA4"/>
    <w:rsid w:val="00A01805"/>
    <w:rsid w:val="00A02FA1"/>
    <w:rsid w:val="00A0438A"/>
    <w:rsid w:val="00A04CCE"/>
    <w:rsid w:val="00A05256"/>
    <w:rsid w:val="00A0529C"/>
    <w:rsid w:val="00A05667"/>
    <w:rsid w:val="00A0665A"/>
    <w:rsid w:val="00A0739E"/>
    <w:rsid w:val="00A07421"/>
    <w:rsid w:val="00A0776B"/>
    <w:rsid w:val="00A109E6"/>
    <w:rsid w:val="00A10C1C"/>
    <w:rsid w:val="00A10FB9"/>
    <w:rsid w:val="00A11421"/>
    <w:rsid w:val="00A120CB"/>
    <w:rsid w:val="00A12D35"/>
    <w:rsid w:val="00A1389F"/>
    <w:rsid w:val="00A13B7A"/>
    <w:rsid w:val="00A140A8"/>
    <w:rsid w:val="00A14379"/>
    <w:rsid w:val="00A1439D"/>
    <w:rsid w:val="00A149A4"/>
    <w:rsid w:val="00A151EE"/>
    <w:rsid w:val="00A1562C"/>
    <w:rsid w:val="00A157B1"/>
    <w:rsid w:val="00A161DE"/>
    <w:rsid w:val="00A17683"/>
    <w:rsid w:val="00A21402"/>
    <w:rsid w:val="00A22229"/>
    <w:rsid w:val="00A22E05"/>
    <w:rsid w:val="00A233B4"/>
    <w:rsid w:val="00A23633"/>
    <w:rsid w:val="00A23CD8"/>
    <w:rsid w:val="00A23CF5"/>
    <w:rsid w:val="00A24442"/>
    <w:rsid w:val="00A24ADA"/>
    <w:rsid w:val="00A25686"/>
    <w:rsid w:val="00A25EAC"/>
    <w:rsid w:val="00A26297"/>
    <w:rsid w:val="00A26347"/>
    <w:rsid w:val="00A2695F"/>
    <w:rsid w:val="00A30A07"/>
    <w:rsid w:val="00A314E7"/>
    <w:rsid w:val="00A31586"/>
    <w:rsid w:val="00A32577"/>
    <w:rsid w:val="00A330BB"/>
    <w:rsid w:val="00A34CD0"/>
    <w:rsid w:val="00A359F9"/>
    <w:rsid w:val="00A36497"/>
    <w:rsid w:val="00A37312"/>
    <w:rsid w:val="00A40014"/>
    <w:rsid w:val="00A40238"/>
    <w:rsid w:val="00A4119F"/>
    <w:rsid w:val="00A42EDF"/>
    <w:rsid w:val="00A42F82"/>
    <w:rsid w:val="00A43D3E"/>
    <w:rsid w:val="00A43F2F"/>
    <w:rsid w:val="00A446F5"/>
    <w:rsid w:val="00A44882"/>
    <w:rsid w:val="00A45125"/>
    <w:rsid w:val="00A4575A"/>
    <w:rsid w:val="00A4601F"/>
    <w:rsid w:val="00A46396"/>
    <w:rsid w:val="00A47345"/>
    <w:rsid w:val="00A47940"/>
    <w:rsid w:val="00A51024"/>
    <w:rsid w:val="00A52E1C"/>
    <w:rsid w:val="00A531A6"/>
    <w:rsid w:val="00A54715"/>
    <w:rsid w:val="00A547AE"/>
    <w:rsid w:val="00A54A0B"/>
    <w:rsid w:val="00A54AD6"/>
    <w:rsid w:val="00A553C3"/>
    <w:rsid w:val="00A5541A"/>
    <w:rsid w:val="00A55782"/>
    <w:rsid w:val="00A55C2F"/>
    <w:rsid w:val="00A56D44"/>
    <w:rsid w:val="00A57F51"/>
    <w:rsid w:val="00A6061C"/>
    <w:rsid w:val="00A60699"/>
    <w:rsid w:val="00A60FC0"/>
    <w:rsid w:val="00A61049"/>
    <w:rsid w:val="00A61420"/>
    <w:rsid w:val="00A62D44"/>
    <w:rsid w:val="00A63FDD"/>
    <w:rsid w:val="00A64641"/>
    <w:rsid w:val="00A652D9"/>
    <w:rsid w:val="00A66AE2"/>
    <w:rsid w:val="00A67263"/>
    <w:rsid w:val="00A6772B"/>
    <w:rsid w:val="00A67772"/>
    <w:rsid w:val="00A67B5E"/>
    <w:rsid w:val="00A705B8"/>
    <w:rsid w:val="00A707C5"/>
    <w:rsid w:val="00A70B5F"/>
    <w:rsid w:val="00A711CA"/>
    <w:rsid w:val="00A7161C"/>
    <w:rsid w:val="00A71789"/>
    <w:rsid w:val="00A71CE4"/>
    <w:rsid w:val="00A71E9E"/>
    <w:rsid w:val="00A724F5"/>
    <w:rsid w:val="00A72C15"/>
    <w:rsid w:val="00A732BD"/>
    <w:rsid w:val="00A73E97"/>
    <w:rsid w:val="00A73F2E"/>
    <w:rsid w:val="00A75817"/>
    <w:rsid w:val="00A75C76"/>
    <w:rsid w:val="00A77AA3"/>
    <w:rsid w:val="00A8000D"/>
    <w:rsid w:val="00A804AD"/>
    <w:rsid w:val="00A80676"/>
    <w:rsid w:val="00A8236D"/>
    <w:rsid w:val="00A8320A"/>
    <w:rsid w:val="00A8322E"/>
    <w:rsid w:val="00A833D2"/>
    <w:rsid w:val="00A837D9"/>
    <w:rsid w:val="00A83C70"/>
    <w:rsid w:val="00A83E9B"/>
    <w:rsid w:val="00A840BD"/>
    <w:rsid w:val="00A84A80"/>
    <w:rsid w:val="00A84C35"/>
    <w:rsid w:val="00A8502B"/>
    <w:rsid w:val="00A85352"/>
    <w:rsid w:val="00A854EB"/>
    <w:rsid w:val="00A85774"/>
    <w:rsid w:val="00A86630"/>
    <w:rsid w:val="00A86980"/>
    <w:rsid w:val="00A86B5E"/>
    <w:rsid w:val="00A872E5"/>
    <w:rsid w:val="00A87354"/>
    <w:rsid w:val="00A87940"/>
    <w:rsid w:val="00A87DC2"/>
    <w:rsid w:val="00A900FF"/>
    <w:rsid w:val="00A90D34"/>
    <w:rsid w:val="00A913F6"/>
    <w:rsid w:val="00A91406"/>
    <w:rsid w:val="00A91798"/>
    <w:rsid w:val="00A91E15"/>
    <w:rsid w:val="00A94480"/>
    <w:rsid w:val="00A9580B"/>
    <w:rsid w:val="00A96E65"/>
    <w:rsid w:val="00A96ECE"/>
    <w:rsid w:val="00A9716B"/>
    <w:rsid w:val="00A9764B"/>
    <w:rsid w:val="00A978A7"/>
    <w:rsid w:val="00A97C0D"/>
    <w:rsid w:val="00A97C72"/>
    <w:rsid w:val="00A97EBE"/>
    <w:rsid w:val="00AA0447"/>
    <w:rsid w:val="00AA29D5"/>
    <w:rsid w:val="00AA2A00"/>
    <w:rsid w:val="00AA310B"/>
    <w:rsid w:val="00AA3227"/>
    <w:rsid w:val="00AA3E1C"/>
    <w:rsid w:val="00AA4BDC"/>
    <w:rsid w:val="00AA53CC"/>
    <w:rsid w:val="00AA58DE"/>
    <w:rsid w:val="00AA63D4"/>
    <w:rsid w:val="00AA7226"/>
    <w:rsid w:val="00AA76B6"/>
    <w:rsid w:val="00AA7CA3"/>
    <w:rsid w:val="00AB0632"/>
    <w:rsid w:val="00AB06E8"/>
    <w:rsid w:val="00AB07C0"/>
    <w:rsid w:val="00AB0A31"/>
    <w:rsid w:val="00AB1CD3"/>
    <w:rsid w:val="00AB1DE0"/>
    <w:rsid w:val="00AB24AF"/>
    <w:rsid w:val="00AB269B"/>
    <w:rsid w:val="00AB352F"/>
    <w:rsid w:val="00AB3B86"/>
    <w:rsid w:val="00AB3F89"/>
    <w:rsid w:val="00AB4F9A"/>
    <w:rsid w:val="00AB53E4"/>
    <w:rsid w:val="00AB53FB"/>
    <w:rsid w:val="00AB70EA"/>
    <w:rsid w:val="00AB7A2B"/>
    <w:rsid w:val="00AC09D1"/>
    <w:rsid w:val="00AC0CF5"/>
    <w:rsid w:val="00AC0F57"/>
    <w:rsid w:val="00AC10FE"/>
    <w:rsid w:val="00AC2257"/>
    <w:rsid w:val="00AC274B"/>
    <w:rsid w:val="00AC3029"/>
    <w:rsid w:val="00AC311B"/>
    <w:rsid w:val="00AC44A9"/>
    <w:rsid w:val="00AC44CE"/>
    <w:rsid w:val="00AC4764"/>
    <w:rsid w:val="00AC4D83"/>
    <w:rsid w:val="00AC6D36"/>
    <w:rsid w:val="00AC7C88"/>
    <w:rsid w:val="00AD0CBA"/>
    <w:rsid w:val="00AD1B94"/>
    <w:rsid w:val="00AD26AA"/>
    <w:rsid w:val="00AD26E2"/>
    <w:rsid w:val="00AD2FFF"/>
    <w:rsid w:val="00AD3921"/>
    <w:rsid w:val="00AD3DFC"/>
    <w:rsid w:val="00AD4179"/>
    <w:rsid w:val="00AD4305"/>
    <w:rsid w:val="00AD6648"/>
    <w:rsid w:val="00AD6A24"/>
    <w:rsid w:val="00AD6DD2"/>
    <w:rsid w:val="00AD7084"/>
    <w:rsid w:val="00AD7435"/>
    <w:rsid w:val="00AD784C"/>
    <w:rsid w:val="00AE0B11"/>
    <w:rsid w:val="00AE0BFB"/>
    <w:rsid w:val="00AE126A"/>
    <w:rsid w:val="00AE1BAE"/>
    <w:rsid w:val="00AE1EF2"/>
    <w:rsid w:val="00AE3005"/>
    <w:rsid w:val="00AE3BD5"/>
    <w:rsid w:val="00AE3FEA"/>
    <w:rsid w:val="00AE435F"/>
    <w:rsid w:val="00AE59A0"/>
    <w:rsid w:val="00AE5EBD"/>
    <w:rsid w:val="00AE62B1"/>
    <w:rsid w:val="00AE71BB"/>
    <w:rsid w:val="00AE7582"/>
    <w:rsid w:val="00AE7EBD"/>
    <w:rsid w:val="00AF09AB"/>
    <w:rsid w:val="00AF0C57"/>
    <w:rsid w:val="00AF1CF5"/>
    <w:rsid w:val="00AF2175"/>
    <w:rsid w:val="00AF26F3"/>
    <w:rsid w:val="00AF32F2"/>
    <w:rsid w:val="00AF3A95"/>
    <w:rsid w:val="00AF48BB"/>
    <w:rsid w:val="00AF4A0C"/>
    <w:rsid w:val="00AF4E09"/>
    <w:rsid w:val="00AF5163"/>
    <w:rsid w:val="00AF59F1"/>
    <w:rsid w:val="00AF5CCA"/>
    <w:rsid w:val="00AF5F04"/>
    <w:rsid w:val="00AF6105"/>
    <w:rsid w:val="00AF6B66"/>
    <w:rsid w:val="00AF78AF"/>
    <w:rsid w:val="00B00109"/>
    <w:rsid w:val="00B004E8"/>
    <w:rsid w:val="00B00504"/>
    <w:rsid w:val="00B00672"/>
    <w:rsid w:val="00B01693"/>
    <w:rsid w:val="00B01AFA"/>
    <w:rsid w:val="00B01B4D"/>
    <w:rsid w:val="00B02111"/>
    <w:rsid w:val="00B024B0"/>
    <w:rsid w:val="00B02DB6"/>
    <w:rsid w:val="00B03470"/>
    <w:rsid w:val="00B04162"/>
    <w:rsid w:val="00B04489"/>
    <w:rsid w:val="00B05E6A"/>
    <w:rsid w:val="00B06571"/>
    <w:rsid w:val="00B068BA"/>
    <w:rsid w:val="00B0708C"/>
    <w:rsid w:val="00B07217"/>
    <w:rsid w:val="00B07490"/>
    <w:rsid w:val="00B10803"/>
    <w:rsid w:val="00B10C56"/>
    <w:rsid w:val="00B10FB3"/>
    <w:rsid w:val="00B11BF2"/>
    <w:rsid w:val="00B11E38"/>
    <w:rsid w:val="00B1242B"/>
    <w:rsid w:val="00B126EF"/>
    <w:rsid w:val="00B12747"/>
    <w:rsid w:val="00B12818"/>
    <w:rsid w:val="00B13851"/>
    <w:rsid w:val="00B13B1C"/>
    <w:rsid w:val="00B14B5F"/>
    <w:rsid w:val="00B15224"/>
    <w:rsid w:val="00B15358"/>
    <w:rsid w:val="00B1648C"/>
    <w:rsid w:val="00B16DFD"/>
    <w:rsid w:val="00B17CC9"/>
    <w:rsid w:val="00B20291"/>
    <w:rsid w:val="00B20FBE"/>
    <w:rsid w:val="00B21F90"/>
    <w:rsid w:val="00B22168"/>
    <w:rsid w:val="00B22291"/>
    <w:rsid w:val="00B23325"/>
    <w:rsid w:val="00B2384A"/>
    <w:rsid w:val="00B23F9A"/>
    <w:rsid w:val="00B2406B"/>
    <w:rsid w:val="00B2417B"/>
    <w:rsid w:val="00B244F6"/>
    <w:rsid w:val="00B24AC0"/>
    <w:rsid w:val="00B24B71"/>
    <w:rsid w:val="00B24E6F"/>
    <w:rsid w:val="00B25715"/>
    <w:rsid w:val="00B25CEE"/>
    <w:rsid w:val="00B25DCF"/>
    <w:rsid w:val="00B2608B"/>
    <w:rsid w:val="00B26CB5"/>
    <w:rsid w:val="00B2752E"/>
    <w:rsid w:val="00B278D4"/>
    <w:rsid w:val="00B279F9"/>
    <w:rsid w:val="00B307CC"/>
    <w:rsid w:val="00B31518"/>
    <w:rsid w:val="00B31D4A"/>
    <w:rsid w:val="00B31EF6"/>
    <w:rsid w:val="00B326B7"/>
    <w:rsid w:val="00B326BE"/>
    <w:rsid w:val="00B330B0"/>
    <w:rsid w:val="00B331DD"/>
    <w:rsid w:val="00B346D2"/>
    <w:rsid w:val="00B3588E"/>
    <w:rsid w:val="00B35934"/>
    <w:rsid w:val="00B364D2"/>
    <w:rsid w:val="00B3663B"/>
    <w:rsid w:val="00B37D07"/>
    <w:rsid w:val="00B41817"/>
    <w:rsid w:val="00B4198F"/>
    <w:rsid w:val="00B41B25"/>
    <w:rsid w:val="00B41F3D"/>
    <w:rsid w:val="00B42BB6"/>
    <w:rsid w:val="00B42F93"/>
    <w:rsid w:val="00B431E8"/>
    <w:rsid w:val="00B436FF"/>
    <w:rsid w:val="00B43709"/>
    <w:rsid w:val="00B43814"/>
    <w:rsid w:val="00B43EB2"/>
    <w:rsid w:val="00B43F59"/>
    <w:rsid w:val="00B44F66"/>
    <w:rsid w:val="00B4500E"/>
    <w:rsid w:val="00B45141"/>
    <w:rsid w:val="00B45343"/>
    <w:rsid w:val="00B4570C"/>
    <w:rsid w:val="00B473CA"/>
    <w:rsid w:val="00B47483"/>
    <w:rsid w:val="00B47E4A"/>
    <w:rsid w:val="00B50553"/>
    <w:rsid w:val="00B509CC"/>
    <w:rsid w:val="00B50A7D"/>
    <w:rsid w:val="00B50B95"/>
    <w:rsid w:val="00B510E7"/>
    <w:rsid w:val="00B51157"/>
    <w:rsid w:val="00B519CD"/>
    <w:rsid w:val="00B52348"/>
    <w:rsid w:val="00B5273A"/>
    <w:rsid w:val="00B531B2"/>
    <w:rsid w:val="00B53C2B"/>
    <w:rsid w:val="00B55390"/>
    <w:rsid w:val="00B55CC8"/>
    <w:rsid w:val="00B56038"/>
    <w:rsid w:val="00B56A4A"/>
    <w:rsid w:val="00B56D2E"/>
    <w:rsid w:val="00B57329"/>
    <w:rsid w:val="00B60CEA"/>
    <w:rsid w:val="00B60E61"/>
    <w:rsid w:val="00B6119F"/>
    <w:rsid w:val="00B61A88"/>
    <w:rsid w:val="00B62473"/>
    <w:rsid w:val="00B62A60"/>
    <w:rsid w:val="00B62B18"/>
    <w:rsid w:val="00B62B50"/>
    <w:rsid w:val="00B635B7"/>
    <w:rsid w:val="00B6381C"/>
    <w:rsid w:val="00B63AE8"/>
    <w:rsid w:val="00B64CD3"/>
    <w:rsid w:val="00B65950"/>
    <w:rsid w:val="00B65D96"/>
    <w:rsid w:val="00B6603F"/>
    <w:rsid w:val="00B66D83"/>
    <w:rsid w:val="00B672C0"/>
    <w:rsid w:val="00B676FD"/>
    <w:rsid w:val="00B678B6"/>
    <w:rsid w:val="00B71860"/>
    <w:rsid w:val="00B71A12"/>
    <w:rsid w:val="00B71A37"/>
    <w:rsid w:val="00B7232A"/>
    <w:rsid w:val="00B72494"/>
    <w:rsid w:val="00B72AEF"/>
    <w:rsid w:val="00B72B80"/>
    <w:rsid w:val="00B72ECF"/>
    <w:rsid w:val="00B72F53"/>
    <w:rsid w:val="00B72F59"/>
    <w:rsid w:val="00B73544"/>
    <w:rsid w:val="00B73DA1"/>
    <w:rsid w:val="00B73FB6"/>
    <w:rsid w:val="00B746DC"/>
    <w:rsid w:val="00B746ED"/>
    <w:rsid w:val="00B74D81"/>
    <w:rsid w:val="00B75168"/>
    <w:rsid w:val="00B75646"/>
    <w:rsid w:val="00B75829"/>
    <w:rsid w:val="00B7629E"/>
    <w:rsid w:val="00B7638B"/>
    <w:rsid w:val="00B76ACF"/>
    <w:rsid w:val="00B7787F"/>
    <w:rsid w:val="00B77944"/>
    <w:rsid w:val="00B77C00"/>
    <w:rsid w:val="00B77F9A"/>
    <w:rsid w:val="00B8069C"/>
    <w:rsid w:val="00B808BA"/>
    <w:rsid w:val="00B81098"/>
    <w:rsid w:val="00B81EEB"/>
    <w:rsid w:val="00B82571"/>
    <w:rsid w:val="00B82A95"/>
    <w:rsid w:val="00B831ED"/>
    <w:rsid w:val="00B83B62"/>
    <w:rsid w:val="00B83EE0"/>
    <w:rsid w:val="00B84D38"/>
    <w:rsid w:val="00B85326"/>
    <w:rsid w:val="00B858F4"/>
    <w:rsid w:val="00B8666D"/>
    <w:rsid w:val="00B86A19"/>
    <w:rsid w:val="00B86CF9"/>
    <w:rsid w:val="00B8726D"/>
    <w:rsid w:val="00B872F2"/>
    <w:rsid w:val="00B903A7"/>
    <w:rsid w:val="00B90729"/>
    <w:rsid w:val="00B907D4"/>
    <w:rsid w:val="00B907DA"/>
    <w:rsid w:val="00B90B09"/>
    <w:rsid w:val="00B912F0"/>
    <w:rsid w:val="00B91723"/>
    <w:rsid w:val="00B919C1"/>
    <w:rsid w:val="00B91C0C"/>
    <w:rsid w:val="00B92A25"/>
    <w:rsid w:val="00B92A62"/>
    <w:rsid w:val="00B93A01"/>
    <w:rsid w:val="00B946AE"/>
    <w:rsid w:val="00B94C5E"/>
    <w:rsid w:val="00B950BC"/>
    <w:rsid w:val="00B9714C"/>
    <w:rsid w:val="00B97E3C"/>
    <w:rsid w:val="00BA0A86"/>
    <w:rsid w:val="00BA11A5"/>
    <w:rsid w:val="00BA1251"/>
    <w:rsid w:val="00BA132F"/>
    <w:rsid w:val="00BA26F6"/>
    <w:rsid w:val="00BA29AD"/>
    <w:rsid w:val="00BA33CF"/>
    <w:rsid w:val="00BA3693"/>
    <w:rsid w:val="00BA398D"/>
    <w:rsid w:val="00BA3ADC"/>
    <w:rsid w:val="00BA3CAF"/>
    <w:rsid w:val="00BA3F8D"/>
    <w:rsid w:val="00BA63CF"/>
    <w:rsid w:val="00BA6D4C"/>
    <w:rsid w:val="00BA6EE2"/>
    <w:rsid w:val="00BA7E1C"/>
    <w:rsid w:val="00BB0BC9"/>
    <w:rsid w:val="00BB1240"/>
    <w:rsid w:val="00BB151E"/>
    <w:rsid w:val="00BB17F8"/>
    <w:rsid w:val="00BB19B7"/>
    <w:rsid w:val="00BB1EE3"/>
    <w:rsid w:val="00BB28F6"/>
    <w:rsid w:val="00BB329B"/>
    <w:rsid w:val="00BB46B8"/>
    <w:rsid w:val="00BB4BE8"/>
    <w:rsid w:val="00BB4C34"/>
    <w:rsid w:val="00BB51D2"/>
    <w:rsid w:val="00BB54C2"/>
    <w:rsid w:val="00BB74AC"/>
    <w:rsid w:val="00BB7A10"/>
    <w:rsid w:val="00BC0CFA"/>
    <w:rsid w:val="00BC1CC5"/>
    <w:rsid w:val="00BC39A8"/>
    <w:rsid w:val="00BC3A27"/>
    <w:rsid w:val="00BC3F74"/>
    <w:rsid w:val="00BC4AD3"/>
    <w:rsid w:val="00BC4CF4"/>
    <w:rsid w:val="00BC4FCA"/>
    <w:rsid w:val="00BC60BE"/>
    <w:rsid w:val="00BC7468"/>
    <w:rsid w:val="00BC7D4F"/>
    <w:rsid w:val="00BC7DE1"/>
    <w:rsid w:val="00BC7ED7"/>
    <w:rsid w:val="00BC7FC2"/>
    <w:rsid w:val="00BD15BA"/>
    <w:rsid w:val="00BD2850"/>
    <w:rsid w:val="00BD38C0"/>
    <w:rsid w:val="00BD3A1A"/>
    <w:rsid w:val="00BD4168"/>
    <w:rsid w:val="00BD4497"/>
    <w:rsid w:val="00BD48B5"/>
    <w:rsid w:val="00BD5E0D"/>
    <w:rsid w:val="00BD6962"/>
    <w:rsid w:val="00BD6B9D"/>
    <w:rsid w:val="00BD7469"/>
    <w:rsid w:val="00BD774D"/>
    <w:rsid w:val="00BE16FB"/>
    <w:rsid w:val="00BE250D"/>
    <w:rsid w:val="00BE28D2"/>
    <w:rsid w:val="00BE45FB"/>
    <w:rsid w:val="00BE4A64"/>
    <w:rsid w:val="00BE5168"/>
    <w:rsid w:val="00BE52E2"/>
    <w:rsid w:val="00BE5743"/>
    <w:rsid w:val="00BE5DCA"/>
    <w:rsid w:val="00BE5E43"/>
    <w:rsid w:val="00BE7288"/>
    <w:rsid w:val="00BE73AD"/>
    <w:rsid w:val="00BE7710"/>
    <w:rsid w:val="00BE788A"/>
    <w:rsid w:val="00BF0279"/>
    <w:rsid w:val="00BF0605"/>
    <w:rsid w:val="00BF07B4"/>
    <w:rsid w:val="00BF08B7"/>
    <w:rsid w:val="00BF1313"/>
    <w:rsid w:val="00BF14D7"/>
    <w:rsid w:val="00BF1680"/>
    <w:rsid w:val="00BF18F1"/>
    <w:rsid w:val="00BF1E01"/>
    <w:rsid w:val="00BF22CF"/>
    <w:rsid w:val="00BF2649"/>
    <w:rsid w:val="00BF27DF"/>
    <w:rsid w:val="00BF2E97"/>
    <w:rsid w:val="00BF3ACD"/>
    <w:rsid w:val="00BF3AD8"/>
    <w:rsid w:val="00BF3EAE"/>
    <w:rsid w:val="00BF557D"/>
    <w:rsid w:val="00BF55FB"/>
    <w:rsid w:val="00BF658D"/>
    <w:rsid w:val="00BF6657"/>
    <w:rsid w:val="00BF7E52"/>
    <w:rsid w:val="00BF7F58"/>
    <w:rsid w:val="00C00FA9"/>
    <w:rsid w:val="00C01381"/>
    <w:rsid w:val="00C01AB1"/>
    <w:rsid w:val="00C022BE"/>
    <w:rsid w:val="00C026A0"/>
    <w:rsid w:val="00C02A71"/>
    <w:rsid w:val="00C02DEF"/>
    <w:rsid w:val="00C03D9C"/>
    <w:rsid w:val="00C03DED"/>
    <w:rsid w:val="00C04D8A"/>
    <w:rsid w:val="00C06137"/>
    <w:rsid w:val="00C06929"/>
    <w:rsid w:val="00C07352"/>
    <w:rsid w:val="00C079B8"/>
    <w:rsid w:val="00C07A7A"/>
    <w:rsid w:val="00C10037"/>
    <w:rsid w:val="00C101E2"/>
    <w:rsid w:val="00C1029C"/>
    <w:rsid w:val="00C11265"/>
    <w:rsid w:val="00C115E1"/>
    <w:rsid w:val="00C12199"/>
    <w:rsid w:val="00C123EA"/>
    <w:rsid w:val="00C12511"/>
    <w:rsid w:val="00C12A49"/>
    <w:rsid w:val="00C130F3"/>
    <w:rsid w:val="00C133EE"/>
    <w:rsid w:val="00C1410D"/>
    <w:rsid w:val="00C149D0"/>
    <w:rsid w:val="00C15968"/>
    <w:rsid w:val="00C15B37"/>
    <w:rsid w:val="00C15E35"/>
    <w:rsid w:val="00C166AB"/>
    <w:rsid w:val="00C16E50"/>
    <w:rsid w:val="00C16F12"/>
    <w:rsid w:val="00C2091B"/>
    <w:rsid w:val="00C215BF"/>
    <w:rsid w:val="00C2291C"/>
    <w:rsid w:val="00C2298C"/>
    <w:rsid w:val="00C23273"/>
    <w:rsid w:val="00C234A8"/>
    <w:rsid w:val="00C235A4"/>
    <w:rsid w:val="00C2545E"/>
    <w:rsid w:val="00C25A40"/>
    <w:rsid w:val="00C25B52"/>
    <w:rsid w:val="00C26166"/>
    <w:rsid w:val="00C26588"/>
    <w:rsid w:val="00C266BE"/>
    <w:rsid w:val="00C26C42"/>
    <w:rsid w:val="00C27513"/>
    <w:rsid w:val="00C27DE9"/>
    <w:rsid w:val="00C30FE6"/>
    <w:rsid w:val="00C31609"/>
    <w:rsid w:val="00C31CE2"/>
    <w:rsid w:val="00C31E31"/>
    <w:rsid w:val="00C326DF"/>
    <w:rsid w:val="00C32989"/>
    <w:rsid w:val="00C32BB6"/>
    <w:rsid w:val="00C32CD9"/>
    <w:rsid w:val="00C32D99"/>
    <w:rsid w:val="00C32F32"/>
    <w:rsid w:val="00C33388"/>
    <w:rsid w:val="00C33AD3"/>
    <w:rsid w:val="00C34468"/>
    <w:rsid w:val="00C34988"/>
    <w:rsid w:val="00C349DB"/>
    <w:rsid w:val="00C34DC9"/>
    <w:rsid w:val="00C35484"/>
    <w:rsid w:val="00C3622B"/>
    <w:rsid w:val="00C3662D"/>
    <w:rsid w:val="00C3700C"/>
    <w:rsid w:val="00C37668"/>
    <w:rsid w:val="00C379E7"/>
    <w:rsid w:val="00C37C20"/>
    <w:rsid w:val="00C37D0C"/>
    <w:rsid w:val="00C40D98"/>
    <w:rsid w:val="00C4173A"/>
    <w:rsid w:val="00C42188"/>
    <w:rsid w:val="00C4245B"/>
    <w:rsid w:val="00C435FA"/>
    <w:rsid w:val="00C43EA3"/>
    <w:rsid w:val="00C44649"/>
    <w:rsid w:val="00C44920"/>
    <w:rsid w:val="00C4610A"/>
    <w:rsid w:val="00C473CA"/>
    <w:rsid w:val="00C47B15"/>
    <w:rsid w:val="00C50304"/>
    <w:rsid w:val="00C5057E"/>
    <w:rsid w:val="00C50DED"/>
    <w:rsid w:val="00C52217"/>
    <w:rsid w:val="00C522A0"/>
    <w:rsid w:val="00C53B58"/>
    <w:rsid w:val="00C54309"/>
    <w:rsid w:val="00C54653"/>
    <w:rsid w:val="00C549C1"/>
    <w:rsid w:val="00C55174"/>
    <w:rsid w:val="00C553C6"/>
    <w:rsid w:val="00C565DB"/>
    <w:rsid w:val="00C575A9"/>
    <w:rsid w:val="00C579CB"/>
    <w:rsid w:val="00C57F21"/>
    <w:rsid w:val="00C602FF"/>
    <w:rsid w:val="00C60411"/>
    <w:rsid w:val="00C605C3"/>
    <w:rsid w:val="00C61174"/>
    <w:rsid w:val="00C6148F"/>
    <w:rsid w:val="00C620D4"/>
    <w:rsid w:val="00C621B1"/>
    <w:rsid w:val="00C62203"/>
    <w:rsid w:val="00C62F7A"/>
    <w:rsid w:val="00C6321C"/>
    <w:rsid w:val="00C63B9C"/>
    <w:rsid w:val="00C64197"/>
    <w:rsid w:val="00C64205"/>
    <w:rsid w:val="00C649AF"/>
    <w:rsid w:val="00C64D2A"/>
    <w:rsid w:val="00C658D6"/>
    <w:rsid w:val="00C66439"/>
    <w:rsid w:val="00C665DE"/>
    <w:rsid w:val="00C6682F"/>
    <w:rsid w:val="00C668A8"/>
    <w:rsid w:val="00C66A04"/>
    <w:rsid w:val="00C6735D"/>
    <w:rsid w:val="00C67BF4"/>
    <w:rsid w:val="00C70B15"/>
    <w:rsid w:val="00C710AF"/>
    <w:rsid w:val="00C71ED4"/>
    <w:rsid w:val="00C7275E"/>
    <w:rsid w:val="00C731AF"/>
    <w:rsid w:val="00C7378B"/>
    <w:rsid w:val="00C74250"/>
    <w:rsid w:val="00C744D9"/>
    <w:rsid w:val="00C747F7"/>
    <w:rsid w:val="00C74C5D"/>
    <w:rsid w:val="00C7610E"/>
    <w:rsid w:val="00C768B1"/>
    <w:rsid w:val="00C77034"/>
    <w:rsid w:val="00C777E9"/>
    <w:rsid w:val="00C77D70"/>
    <w:rsid w:val="00C80712"/>
    <w:rsid w:val="00C810E9"/>
    <w:rsid w:val="00C8244F"/>
    <w:rsid w:val="00C82773"/>
    <w:rsid w:val="00C82CB5"/>
    <w:rsid w:val="00C82EE6"/>
    <w:rsid w:val="00C85ED3"/>
    <w:rsid w:val="00C86251"/>
    <w:rsid w:val="00C863C4"/>
    <w:rsid w:val="00C86662"/>
    <w:rsid w:val="00C86C36"/>
    <w:rsid w:val="00C90DAB"/>
    <w:rsid w:val="00C910C8"/>
    <w:rsid w:val="00C920EA"/>
    <w:rsid w:val="00C926E0"/>
    <w:rsid w:val="00C92D6F"/>
    <w:rsid w:val="00C93654"/>
    <w:rsid w:val="00C93C30"/>
    <w:rsid w:val="00C93C3E"/>
    <w:rsid w:val="00C941D1"/>
    <w:rsid w:val="00C941E8"/>
    <w:rsid w:val="00C956BE"/>
    <w:rsid w:val="00C95B72"/>
    <w:rsid w:val="00C9603F"/>
    <w:rsid w:val="00C97B89"/>
    <w:rsid w:val="00CA0506"/>
    <w:rsid w:val="00CA12E3"/>
    <w:rsid w:val="00CA1476"/>
    <w:rsid w:val="00CA1CEE"/>
    <w:rsid w:val="00CA1D5C"/>
    <w:rsid w:val="00CA2CBE"/>
    <w:rsid w:val="00CA320D"/>
    <w:rsid w:val="00CA5207"/>
    <w:rsid w:val="00CA536F"/>
    <w:rsid w:val="00CA5C0D"/>
    <w:rsid w:val="00CA6611"/>
    <w:rsid w:val="00CA6644"/>
    <w:rsid w:val="00CA6AE6"/>
    <w:rsid w:val="00CA782F"/>
    <w:rsid w:val="00CB0B16"/>
    <w:rsid w:val="00CB187B"/>
    <w:rsid w:val="00CB2835"/>
    <w:rsid w:val="00CB2E00"/>
    <w:rsid w:val="00CB327C"/>
    <w:rsid w:val="00CB3285"/>
    <w:rsid w:val="00CB4500"/>
    <w:rsid w:val="00CB5BAF"/>
    <w:rsid w:val="00CB5FF2"/>
    <w:rsid w:val="00CB6031"/>
    <w:rsid w:val="00CB6306"/>
    <w:rsid w:val="00CB70EC"/>
    <w:rsid w:val="00CB735B"/>
    <w:rsid w:val="00CC09E2"/>
    <w:rsid w:val="00CC0C72"/>
    <w:rsid w:val="00CC1A52"/>
    <w:rsid w:val="00CC1F85"/>
    <w:rsid w:val="00CC29A6"/>
    <w:rsid w:val="00CC2BFD"/>
    <w:rsid w:val="00CC2C94"/>
    <w:rsid w:val="00CC3BB0"/>
    <w:rsid w:val="00CC3D87"/>
    <w:rsid w:val="00CC447F"/>
    <w:rsid w:val="00CC44BF"/>
    <w:rsid w:val="00CC4566"/>
    <w:rsid w:val="00CC4914"/>
    <w:rsid w:val="00CC60C7"/>
    <w:rsid w:val="00CC6F40"/>
    <w:rsid w:val="00CC7887"/>
    <w:rsid w:val="00CD042D"/>
    <w:rsid w:val="00CD06A1"/>
    <w:rsid w:val="00CD0855"/>
    <w:rsid w:val="00CD0B02"/>
    <w:rsid w:val="00CD19F8"/>
    <w:rsid w:val="00CD1E96"/>
    <w:rsid w:val="00CD1F92"/>
    <w:rsid w:val="00CD27A1"/>
    <w:rsid w:val="00CD3476"/>
    <w:rsid w:val="00CD36C2"/>
    <w:rsid w:val="00CD3709"/>
    <w:rsid w:val="00CD381E"/>
    <w:rsid w:val="00CD45EF"/>
    <w:rsid w:val="00CD5744"/>
    <w:rsid w:val="00CD577F"/>
    <w:rsid w:val="00CD5B0F"/>
    <w:rsid w:val="00CD5FA4"/>
    <w:rsid w:val="00CD639A"/>
    <w:rsid w:val="00CD64DF"/>
    <w:rsid w:val="00CD66DA"/>
    <w:rsid w:val="00CD6A07"/>
    <w:rsid w:val="00CD6BC2"/>
    <w:rsid w:val="00CD6F12"/>
    <w:rsid w:val="00CD72E8"/>
    <w:rsid w:val="00CD759E"/>
    <w:rsid w:val="00CD761A"/>
    <w:rsid w:val="00CE0077"/>
    <w:rsid w:val="00CE0368"/>
    <w:rsid w:val="00CE0875"/>
    <w:rsid w:val="00CE096A"/>
    <w:rsid w:val="00CE0BFA"/>
    <w:rsid w:val="00CE225F"/>
    <w:rsid w:val="00CE320E"/>
    <w:rsid w:val="00CE451F"/>
    <w:rsid w:val="00CE4E09"/>
    <w:rsid w:val="00CE4F14"/>
    <w:rsid w:val="00CE5A7A"/>
    <w:rsid w:val="00CE5D94"/>
    <w:rsid w:val="00CE625C"/>
    <w:rsid w:val="00CE6BE7"/>
    <w:rsid w:val="00CE73FF"/>
    <w:rsid w:val="00CF0085"/>
    <w:rsid w:val="00CF052E"/>
    <w:rsid w:val="00CF06CD"/>
    <w:rsid w:val="00CF0D9B"/>
    <w:rsid w:val="00CF1217"/>
    <w:rsid w:val="00CF1E98"/>
    <w:rsid w:val="00CF26F3"/>
    <w:rsid w:val="00CF285F"/>
    <w:rsid w:val="00CF2F50"/>
    <w:rsid w:val="00CF3FD3"/>
    <w:rsid w:val="00CF41B3"/>
    <w:rsid w:val="00CF5772"/>
    <w:rsid w:val="00CF5FA9"/>
    <w:rsid w:val="00CF6198"/>
    <w:rsid w:val="00CF78B4"/>
    <w:rsid w:val="00D01C2E"/>
    <w:rsid w:val="00D02162"/>
    <w:rsid w:val="00D02919"/>
    <w:rsid w:val="00D02B34"/>
    <w:rsid w:val="00D03895"/>
    <w:rsid w:val="00D03C8C"/>
    <w:rsid w:val="00D04C61"/>
    <w:rsid w:val="00D05A1D"/>
    <w:rsid w:val="00D05B8D"/>
    <w:rsid w:val="00D05B9B"/>
    <w:rsid w:val="00D05DCC"/>
    <w:rsid w:val="00D0641E"/>
    <w:rsid w:val="00D065A2"/>
    <w:rsid w:val="00D079AA"/>
    <w:rsid w:val="00D07F00"/>
    <w:rsid w:val="00D1130F"/>
    <w:rsid w:val="00D1260B"/>
    <w:rsid w:val="00D15254"/>
    <w:rsid w:val="00D15791"/>
    <w:rsid w:val="00D157C5"/>
    <w:rsid w:val="00D164E6"/>
    <w:rsid w:val="00D165B4"/>
    <w:rsid w:val="00D17B72"/>
    <w:rsid w:val="00D20D1D"/>
    <w:rsid w:val="00D21294"/>
    <w:rsid w:val="00D21759"/>
    <w:rsid w:val="00D21D7F"/>
    <w:rsid w:val="00D21F3F"/>
    <w:rsid w:val="00D225A8"/>
    <w:rsid w:val="00D22988"/>
    <w:rsid w:val="00D22F8F"/>
    <w:rsid w:val="00D23D3D"/>
    <w:rsid w:val="00D2422B"/>
    <w:rsid w:val="00D24A1A"/>
    <w:rsid w:val="00D24AAA"/>
    <w:rsid w:val="00D2503B"/>
    <w:rsid w:val="00D250D2"/>
    <w:rsid w:val="00D26E1D"/>
    <w:rsid w:val="00D27273"/>
    <w:rsid w:val="00D27303"/>
    <w:rsid w:val="00D27B4F"/>
    <w:rsid w:val="00D314A3"/>
    <w:rsid w:val="00D3185C"/>
    <w:rsid w:val="00D32000"/>
    <w:rsid w:val="00D3205F"/>
    <w:rsid w:val="00D322EB"/>
    <w:rsid w:val="00D32747"/>
    <w:rsid w:val="00D3318E"/>
    <w:rsid w:val="00D333F1"/>
    <w:rsid w:val="00D338C8"/>
    <w:rsid w:val="00D338D7"/>
    <w:rsid w:val="00D33E72"/>
    <w:rsid w:val="00D34198"/>
    <w:rsid w:val="00D34447"/>
    <w:rsid w:val="00D3463E"/>
    <w:rsid w:val="00D349B7"/>
    <w:rsid w:val="00D34BEC"/>
    <w:rsid w:val="00D34FB3"/>
    <w:rsid w:val="00D35732"/>
    <w:rsid w:val="00D35BD6"/>
    <w:rsid w:val="00D361B5"/>
    <w:rsid w:val="00D3649B"/>
    <w:rsid w:val="00D36521"/>
    <w:rsid w:val="00D36574"/>
    <w:rsid w:val="00D36AF6"/>
    <w:rsid w:val="00D36BE4"/>
    <w:rsid w:val="00D36D9B"/>
    <w:rsid w:val="00D3788B"/>
    <w:rsid w:val="00D37BEF"/>
    <w:rsid w:val="00D411A2"/>
    <w:rsid w:val="00D41464"/>
    <w:rsid w:val="00D42286"/>
    <w:rsid w:val="00D432D7"/>
    <w:rsid w:val="00D44574"/>
    <w:rsid w:val="00D44763"/>
    <w:rsid w:val="00D44D50"/>
    <w:rsid w:val="00D457F6"/>
    <w:rsid w:val="00D4598D"/>
    <w:rsid w:val="00D45FC2"/>
    <w:rsid w:val="00D4606D"/>
    <w:rsid w:val="00D47080"/>
    <w:rsid w:val="00D479AD"/>
    <w:rsid w:val="00D47ABB"/>
    <w:rsid w:val="00D5090D"/>
    <w:rsid w:val="00D50B9C"/>
    <w:rsid w:val="00D513AF"/>
    <w:rsid w:val="00D51697"/>
    <w:rsid w:val="00D51D78"/>
    <w:rsid w:val="00D52952"/>
    <w:rsid w:val="00D52D73"/>
    <w:rsid w:val="00D52E58"/>
    <w:rsid w:val="00D5329E"/>
    <w:rsid w:val="00D5383F"/>
    <w:rsid w:val="00D540BA"/>
    <w:rsid w:val="00D54C43"/>
    <w:rsid w:val="00D55EEC"/>
    <w:rsid w:val="00D5607A"/>
    <w:rsid w:val="00D561DE"/>
    <w:rsid w:val="00D56B20"/>
    <w:rsid w:val="00D56BC0"/>
    <w:rsid w:val="00D578B3"/>
    <w:rsid w:val="00D57FF4"/>
    <w:rsid w:val="00D6040D"/>
    <w:rsid w:val="00D6081A"/>
    <w:rsid w:val="00D60AF1"/>
    <w:rsid w:val="00D61106"/>
    <w:rsid w:val="00D618F4"/>
    <w:rsid w:val="00D61A19"/>
    <w:rsid w:val="00D632A4"/>
    <w:rsid w:val="00D63593"/>
    <w:rsid w:val="00D63636"/>
    <w:rsid w:val="00D63BB5"/>
    <w:rsid w:val="00D63F0E"/>
    <w:rsid w:val="00D63FDB"/>
    <w:rsid w:val="00D64ABA"/>
    <w:rsid w:val="00D64BE1"/>
    <w:rsid w:val="00D64F12"/>
    <w:rsid w:val="00D6573F"/>
    <w:rsid w:val="00D664A5"/>
    <w:rsid w:val="00D667E8"/>
    <w:rsid w:val="00D675C3"/>
    <w:rsid w:val="00D701C3"/>
    <w:rsid w:val="00D70A61"/>
    <w:rsid w:val="00D714CC"/>
    <w:rsid w:val="00D720CE"/>
    <w:rsid w:val="00D722D0"/>
    <w:rsid w:val="00D73781"/>
    <w:rsid w:val="00D74502"/>
    <w:rsid w:val="00D75EA7"/>
    <w:rsid w:val="00D76848"/>
    <w:rsid w:val="00D76B8F"/>
    <w:rsid w:val="00D76ECC"/>
    <w:rsid w:val="00D76F11"/>
    <w:rsid w:val="00D7794B"/>
    <w:rsid w:val="00D77E64"/>
    <w:rsid w:val="00D80072"/>
    <w:rsid w:val="00D8038B"/>
    <w:rsid w:val="00D80919"/>
    <w:rsid w:val="00D80F42"/>
    <w:rsid w:val="00D811D9"/>
    <w:rsid w:val="00D81411"/>
    <w:rsid w:val="00D817EE"/>
    <w:rsid w:val="00D81A46"/>
    <w:rsid w:val="00D81ADF"/>
    <w:rsid w:val="00D81F21"/>
    <w:rsid w:val="00D825CB"/>
    <w:rsid w:val="00D827C0"/>
    <w:rsid w:val="00D82811"/>
    <w:rsid w:val="00D82FAC"/>
    <w:rsid w:val="00D83920"/>
    <w:rsid w:val="00D83A43"/>
    <w:rsid w:val="00D83AF7"/>
    <w:rsid w:val="00D844A0"/>
    <w:rsid w:val="00D848E2"/>
    <w:rsid w:val="00D864F2"/>
    <w:rsid w:val="00D8689B"/>
    <w:rsid w:val="00D869C9"/>
    <w:rsid w:val="00D87A20"/>
    <w:rsid w:val="00D87D1C"/>
    <w:rsid w:val="00D90750"/>
    <w:rsid w:val="00D90761"/>
    <w:rsid w:val="00D90928"/>
    <w:rsid w:val="00D93804"/>
    <w:rsid w:val="00D93B73"/>
    <w:rsid w:val="00D9436E"/>
    <w:rsid w:val="00D943F8"/>
    <w:rsid w:val="00D94951"/>
    <w:rsid w:val="00D95423"/>
    <w:rsid w:val="00D95470"/>
    <w:rsid w:val="00D95691"/>
    <w:rsid w:val="00D957BD"/>
    <w:rsid w:val="00D96B55"/>
    <w:rsid w:val="00D97157"/>
    <w:rsid w:val="00DA0E22"/>
    <w:rsid w:val="00DA1050"/>
    <w:rsid w:val="00DA24CB"/>
    <w:rsid w:val="00DA2619"/>
    <w:rsid w:val="00DA3BA4"/>
    <w:rsid w:val="00DA4239"/>
    <w:rsid w:val="00DA4844"/>
    <w:rsid w:val="00DA49CF"/>
    <w:rsid w:val="00DA4AB7"/>
    <w:rsid w:val="00DA588C"/>
    <w:rsid w:val="00DA5B96"/>
    <w:rsid w:val="00DA6178"/>
    <w:rsid w:val="00DA65DE"/>
    <w:rsid w:val="00DA7123"/>
    <w:rsid w:val="00DB0B61"/>
    <w:rsid w:val="00DB10FB"/>
    <w:rsid w:val="00DB136C"/>
    <w:rsid w:val="00DB1474"/>
    <w:rsid w:val="00DB1CA8"/>
    <w:rsid w:val="00DB240F"/>
    <w:rsid w:val="00DB2962"/>
    <w:rsid w:val="00DB2D26"/>
    <w:rsid w:val="00DB332E"/>
    <w:rsid w:val="00DB3AB9"/>
    <w:rsid w:val="00DB4377"/>
    <w:rsid w:val="00DB52A9"/>
    <w:rsid w:val="00DB52FB"/>
    <w:rsid w:val="00DB5CB6"/>
    <w:rsid w:val="00DB6581"/>
    <w:rsid w:val="00DB734C"/>
    <w:rsid w:val="00DB7712"/>
    <w:rsid w:val="00DB7B1F"/>
    <w:rsid w:val="00DC00AB"/>
    <w:rsid w:val="00DC013B"/>
    <w:rsid w:val="00DC090B"/>
    <w:rsid w:val="00DC0F99"/>
    <w:rsid w:val="00DC1510"/>
    <w:rsid w:val="00DC1679"/>
    <w:rsid w:val="00DC16CB"/>
    <w:rsid w:val="00DC1BB1"/>
    <w:rsid w:val="00DC219B"/>
    <w:rsid w:val="00DC277F"/>
    <w:rsid w:val="00DC2CF1"/>
    <w:rsid w:val="00DC2DC7"/>
    <w:rsid w:val="00DC2EA0"/>
    <w:rsid w:val="00DC316C"/>
    <w:rsid w:val="00DC342F"/>
    <w:rsid w:val="00DC3A7C"/>
    <w:rsid w:val="00DC3B8B"/>
    <w:rsid w:val="00DC4C1F"/>
    <w:rsid w:val="00DC4FCF"/>
    <w:rsid w:val="00DC50A2"/>
    <w:rsid w:val="00DC50E0"/>
    <w:rsid w:val="00DC5DB6"/>
    <w:rsid w:val="00DC5ECE"/>
    <w:rsid w:val="00DC613C"/>
    <w:rsid w:val="00DC633E"/>
    <w:rsid w:val="00DC6386"/>
    <w:rsid w:val="00DC7856"/>
    <w:rsid w:val="00DD01A0"/>
    <w:rsid w:val="00DD1130"/>
    <w:rsid w:val="00DD119C"/>
    <w:rsid w:val="00DD129C"/>
    <w:rsid w:val="00DD1951"/>
    <w:rsid w:val="00DD1B11"/>
    <w:rsid w:val="00DD2826"/>
    <w:rsid w:val="00DD3571"/>
    <w:rsid w:val="00DD3A76"/>
    <w:rsid w:val="00DD4226"/>
    <w:rsid w:val="00DD43B2"/>
    <w:rsid w:val="00DD487D"/>
    <w:rsid w:val="00DD4E83"/>
    <w:rsid w:val="00DD6628"/>
    <w:rsid w:val="00DD6945"/>
    <w:rsid w:val="00DD8483"/>
    <w:rsid w:val="00DE0B56"/>
    <w:rsid w:val="00DE0CD2"/>
    <w:rsid w:val="00DE1022"/>
    <w:rsid w:val="00DE12A2"/>
    <w:rsid w:val="00DE141A"/>
    <w:rsid w:val="00DE24DD"/>
    <w:rsid w:val="00DE2A2E"/>
    <w:rsid w:val="00DE2C09"/>
    <w:rsid w:val="00DE2D04"/>
    <w:rsid w:val="00DE3250"/>
    <w:rsid w:val="00DE57A3"/>
    <w:rsid w:val="00DE6028"/>
    <w:rsid w:val="00DE65A6"/>
    <w:rsid w:val="00DE6B9E"/>
    <w:rsid w:val="00DE6C7B"/>
    <w:rsid w:val="00DE6C85"/>
    <w:rsid w:val="00DE701B"/>
    <w:rsid w:val="00DE78A3"/>
    <w:rsid w:val="00DE7BFC"/>
    <w:rsid w:val="00DF0174"/>
    <w:rsid w:val="00DF0A6E"/>
    <w:rsid w:val="00DF18FE"/>
    <w:rsid w:val="00DF1A71"/>
    <w:rsid w:val="00DF21B8"/>
    <w:rsid w:val="00DF25F2"/>
    <w:rsid w:val="00DF290A"/>
    <w:rsid w:val="00DF2A15"/>
    <w:rsid w:val="00DF2CBA"/>
    <w:rsid w:val="00DF348E"/>
    <w:rsid w:val="00DF3DC0"/>
    <w:rsid w:val="00DF442E"/>
    <w:rsid w:val="00DF4CFE"/>
    <w:rsid w:val="00DF4EB3"/>
    <w:rsid w:val="00DF503C"/>
    <w:rsid w:val="00DF50FC"/>
    <w:rsid w:val="00DF5116"/>
    <w:rsid w:val="00DF52B9"/>
    <w:rsid w:val="00DF58A7"/>
    <w:rsid w:val="00DF5DD5"/>
    <w:rsid w:val="00DF6198"/>
    <w:rsid w:val="00DF6716"/>
    <w:rsid w:val="00DF67CC"/>
    <w:rsid w:val="00DF68C7"/>
    <w:rsid w:val="00DF731A"/>
    <w:rsid w:val="00E01A01"/>
    <w:rsid w:val="00E01E6F"/>
    <w:rsid w:val="00E0246E"/>
    <w:rsid w:val="00E029FD"/>
    <w:rsid w:val="00E02C44"/>
    <w:rsid w:val="00E0342D"/>
    <w:rsid w:val="00E03491"/>
    <w:rsid w:val="00E03971"/>
    <w:rsid w:val="00E03AE3"/>
    <w:rsid w:val="00E03F09"/>
    <w:rsid w:val="00E04468"/>
    <w:rsid w:val="00E04E41"/>
    <w:rsid w:val="00E0546A"/>
    <w:rsid w:val="00E05C3E"/>
    <w:rsid w:val="00E0686F"/>
    <w:rsid w:val="00E06B75"/>
    <w:rsid w:val="00E11094"/>
    <w:rsid w:val="00E11332"/>
    <w:rsid w:val="00E11352"/>
    <w:rsid w:val="00E11445"/>
    <w:rsid w:val="00E119DE"/>
    <w:rsid w:val="00E11BF1"/>
    <w:rsid w:val="00E12094"/>
    <w:rsid w:val="00E12637"/>
    <w:rsid w:val="00E13EE5"/>
    <w:rsid w:val="00E14B70"/>
    <w:rsid w:val="00E14D8F"/>
    <w:rsid w:val="00E14FD7"/>
    <w:rsid w:val="00E1542D"/>
    <w:rsid w:val="00E159CA"/>
    <w:rsid w:val="00E15FE4"/>
    <w:rsid w:val="00E170BE"/>
    <w:rsid w:val="00E170DC"/>
    <w:rsid w:val="00E17546"/>
    <w:rsid w:val="00E17713"/>
    <w:rsid w:val="00E2045B"/>
    <w:rsid w:val="00E20719"/>
    <w:rsid w:val="00E209FC"/>
    <w:rsid w:val="00E210B5"/>
    <w:rsid w:val="00E23645"/>
    <w:rsid w:val="00E237AB"/>
    <w:rsid w:val="00E24354"/>
    <w:rsid w:val="00E24F6D"/>
    <w:rsid w:val="00E25172"/>
    <w:rsid w:val="00E25266"/>
    <w:rsid w:val="00E25368"/>
    <w:rsid w:val="00E25A56"/>
    <w:rsid w:val="00E261B3"/>
    <w:rsid w:val="00E26818"/>
    <w:rsid w:val="00E26843"/>
    <w:rsid w:val="00E26AA4"/>
    <w:rsid w:val="00E27D35"/>
    <w:rsid w:val="00E27FFC"/>
    <w:rsid w:val="00E307DA"/>
    <w:rsid w:val="00E30B15"/>
    <w:rsid w:val="00E33237"/>
    <w:rsid w:val="00E33413"/>
    <w:rsid w:val="00E34E4D"/>
    <w:rsid w:val="00E3590A"/>
    <w:rsid w:val="00E3765C"/>
    <w:rsid w:val="00E37D20"/>
    <w:rsid w:val="00E37F86"/>
    <w:rsid w:val="00E3C284"/>
    <w:rsid w:val="00E40181"/>
    <w:rsid w:val="00E401CA"/>
    <w:rsid w:val="00E4046E"/>
    <w:rsid w:val="00E4091E"/>
    <w:rsid w:val="00E41332"/>
    <w:rsid w:val="00E424C6"/>
    <w:rsid w:val="00E42962"/>
    <w:rsid w:val="00E42ED9"/>
    <w:rsid w:val="00E431E0"/>
    <w:rsid w:val="00E44AF7"/>
    <w:rsid w:val="00E476AB"/>
    <w:rsid w:val="00E47CF8"/>
    <w:rsid w:val="00E47FD9"/>
    <w:rsid w:val="00E50884"/>
    <w:rsid w:val="00E50D55"/>
    <w:rsid w:val="00E51192"/>
    <w:rsid w:val="00E51658"/>
    <w:rsid w:val="00E52460"/>
    <w:rsid w:val="00E52713"/>
    <w:rsid w:val="00E5287E"/>
    <w:rsid w:val="00E52B10"/>
    <w:rsid w:val="00E52F04"/>
    <w:rsid w:val="00E531CA"/>
    <w:rsid w:val="00E5384B"/>
    <w:rsid w:val="00E54666"/>
    <w:rsid w:val="00E54692"/>
    <w:rsid w:val="00E5469F"/>
    <w:rsid w:val="00E54950"/>
    <w:rsid w:val="00E54F64"/>
    <w:rsid w:val="00E55FB3"/>
    <w:rsid w:val="00E56A01"/>
    <w:rsid w:val="00E56B9D"/>
    <w:rsid w:val="00E603F4"/>
    <w:rsid w:val="00E60D68"/>
    <w:rsid w:val="00E61E8D"/>
    <w:rsid w:val="00E624DF"/>
    <w:rsid w:val="00E629A1"/>
    <w:rsid w:val="00E62F66"/>
    <w:rsid w:val="00E6313C"/>
    <w:rsid w:val="00E63FC6"/>
    <w:rsid w:val="00E6542F"/>
    <w:rsid w:val="00E6579E"/>
    <w:rsid w:val="00E659F2"/>
    <w:rsid w:val="00E66159"/>
    <w:rsid w:val="00E668D1"/>
    <w:rsid w:val="00E66C0D"/>
    <w:rsid w:val="00E66CA2"/>
    <w:rsid w:val="00E67467"/>
    <w:rsid w:val="00E674C7"/>
    <w:rsid w:val="00E6794C"/>
    <w:rsid w:val="00E67AC8"/>
    <w:rsid w:val="00E71591"/>
    <w:rsid w:val="00E71CEB"/>
    <w:rsid w:val="00E7391E"/>
    <w:rsid w:val="00E73AC6"/>
    <w:rsid w:val="00E7474F"/>
    <w:rsid w:val="00E74C73"/>
    <w:rsid w:val="00E75296"/>
    <w:rsid w:val="00E758E6"/>
    <w:rsid w:val="00E75BFF"/>
    <w:rsid w:val="00E7657B"/>
    <w:rsid w:val="00E7695B"/>
    <w:rsid w:val="00E80574"/>
    <w:rsid w:val="00E806AF"/>
    <w:rsid w:val="00E80DE3"/>
    <w:rsid w:val="00E825BC"/>
    <w:rsid w:val="00E82651"/>
    <w:rsid w:val="00E82C55"/>
    <w:rsid w:val="00E8419E"/>
    <w:rsid w:val="00E8453A"/>
    <w:rsid w:val="00E851B5"/>
    <w:rsid w:val="00E858C9"/>
    <w:rsid w:val="00E859F3"/>
    <w:rsid w:val="00E86691"/>
    <w:rsid w:val="00E86866"/>
    <w:rsid w:val="00E86DF2"/>
    <w:rsid w:val="00E86E09"/>
    <w:rsid w:val="00E86EB0"/>
    <w:rsid w:val="00E8755E"/>
    <w:rsid w:val="00E8787E"/>
    <w:rsid w:val="00E8789F"/>
    <w:rsid w:val="00E9034E"/>
    <w:rsid w:val="00E9042A"/>
    <w:rsid w:val="00E912AD"/>
    <w:rsid w:val="00E921DF"/>
    <w:rsid w:val="00E92370"/>
    <w:rsid w:val="00E927B6"/>
    <w:rsid w:val="00E92AC3"/>
    <w:rsid w:val="00E9384B"/>
    <w:rsid w:val="00E939F0"/>
    <w:rsid w:val="00E93DB4"/>
    <w:rsid w:val="00E94B07"/>
    <w:rsid w:val="00E94C13"/>
    <w:rsid w:val="00E95146"/>
    <w:rsid w:val="00E952F4"/>
    <w:rsid w:val="00E96060"/>
    <w:rsid w:val="00E961B6"/>
    <w:rsid w:val="00E961F3"/>
    <w:rsid w:val="00E96FF4"/>
    <w:rsid w:val="00E9746B"/>
    <w:rsid w:val="00E97BDC"/>
    <w:rsid w:val="00EA0033"/>
    <w:rsid w:val="00EA1407"/>
    <w:rsid w:val="00EA195E"/>
    <w:rsid w:val="00EA1FBD"/>
    <w:rsid w:val="00EA2F6A"/>
    <w:rsid w:val="00EA338A"/>
    <w:rsid w:val="00EA3647"/>
    <w:rsid w:val="00EA38E9"/>
    <w:rsid w:val="00EA391E"/>
    <w:rsid w:val="00EA4659"/>
    <w:rsid w:val="00EA4682"/>
    <w:rsid w:val="00EA7085"/>
    <w:rsid w:val="00EB00E0"/>
    <w:rsid w:val="00EB05D5"/>
    <w:rsid w:val="00EB0AF0"/>
    <w:rsid w:val="00EB28CD"/>
    <w:rsid w:val="00EB3B55"/>
    <w:rsid w:val="00EB3B5E"/>
    <w:rsid w:val="00EB45BC"/>
    <w:rsid w:val="00EB4BC7"/>
    <w:rsid w:val="00EB4E90"/>
    <w:rsid w:val="00EB5300"/>
    <w:rsid w:val="00EB56B9"/>
    <w:rsid w:val="00EB5D16"/>
    <w:rsid w:val="00EB5E6E"/>
    <w:rsid w:val="00EB60FE"/>
    <w:rsid w:val="00EB667D"/>
    <w:rsid w:val="00EB6BB7"/>
    <w:rsid w:val="00EB6ECE"/>
    <w:rsid w:val="00EB7453"/>
    <w:rsid w:val="00EB77B1"/>
    <w:rsid w:val="00EB7D41"/>
    <w:rsid w:val="00EB7DC0"/>
    <w:rsid w:val="00EC02CD"/>
    <w:rsid w:val="00EC059F"/>
    <w:rsid w:val="00EC06FC"/>
    <w:rsid w:val="00EC0FDA"/>
    <w:rsid w:val="00EC1049"/>
    <w:rsid w:val="00EC1409"/>
    <w:rsid w:val="00EC1611"/>
    <w:rsid w:val="00EC1A85"/>
    <w:rsid w:val="00EC1E84"/>
    <w:rsid w:val="00EC1F24"/>
    <w:rsid w:val="00EC22F6"/>
    <w:rsid w:val="00EC34E7"/>
    <w:rsid w:val="00EC3DB9"/>
    <w:rsid w:val="00EC4CB4"/>
    <w:rsid w:val="00EC4DB1"/>
    <w:rsid w:val="00EC4DC3"/>
    <w:rsid w:val="00EC553F"/>
    <w:rsid w:val="00EC591C"/>
    <w:rsid w:val="00EC6067"/>
    <w:rsid w:val="00EC6735"/>
    <w:rsid w:val="00EC6CFB"/>
    <w:rsid w:val="00EC7B49"/>
    <w:rsid w:val="00EC7BE1"/>
    <w:rsid w:val="00ED0447"/>
    <w:rsid w:val="00ED15DC"/>
    <w:rsid w:val="00ED2055"/>
    <w:rsid w:val="00ED2BFB"/>
    <w:rsid w:val="00ED3075"/>
    <w:rsid w:val="00ED371D"/>
    <w:rsid w:val="00ED4EEB"/>
    <w:rsid w:val="00ED5B9B"/>
    <w:rsid w:val="00ED6285"/>
    <w:rsid w:val="00ED6590"/>
    <w:rsid w:val="00ED6BAD"/>
    <w:rsid w:val="00ED7447"/>
    <w:rsid w:val="00ED7762"/>
    <w:rsid w:val="00EE00D6"/>
    <w:rsid w:val="00EE06CA"/>
    <w:rsid w:val="00EE08E2"/>
    <w:rsid w:val="00EE11E7"/>
    <w:rsid w:val="00EE1488"/>
    <w:rsid w:val="00EE1DD8"/>
    <w:rsid w:val="00EE20CF"/>
    <w:rsid w:val="00EE20FD"/>
    <w:rsid w:val="00EE25B5"/>
    <w:rsid w:val="00EE29AD"/>
    <w:rsid w:val="00EE38EC"/>
    <w:rsid w:val="00EE3C91"/>
    <w:rsid w:val="00EE3E24"/>
    <w:rsid w:val="00EE4B72"/>
    <w:rsid w:val="00EE4B84"/>
    <w:rsid w:val="00EE4D5D"/>
    <w:rsid w:val="00EE5085"/>
    <w:rsid w:val="00EE5131"/>
    <w:rsid w:val="00EE579E"/>
    <w:rsid w:val="00EE6247"/>
    <w:rsid w:val="00EE6B23"/>
    <w:rsid w:val="00EF0431"/>
    <w:rsid w:val="00EF109B"/>
    <w:rsid w:val="00EF201C"/>
    <w:rsid w:val="00EF24DF"/>
    <w:rsid w:val="00EF2C72"/>
    <w:rsid w:val="00EF3389"/>
    <w:rsid w:val="00EF36AF"/>
    <w:rsid w:val="00EF3E05"/>
    <w:rsid w:val="00EF40B3"/>
    <w:rsid w:val="00EF4DBC"/>
    <w:rsid w:val="00EF55C7"/>
    <w:rsid w:val="00EF57F9"/>
    <w:rsid w:val="00EF59A3"/>
    <w:rsid w:val="00EF5AD8"/>
    <w:rsid w:val="00EF6675"/>
    <w:rsid w:val="00EF6D8B"/>
    <w:rsid w:val="00EF709C"/>
    <w:rsid w:val="00EF7884"/>
    <w:rsid w:val="00F0063D"/>
    <w:rsid w:val="00F00BE5"/>
    <w:rsid w:val="00F00D0A"/>
    <w:rsid w:val="00F00F9C"/>
    <w:rsid w:val="00F0131B"/>
    <w:rsid w:val="00F01514"/>
    <w:rsid w:val="00F01D3F"/>
    <w:rsid w:val="00F01E5F"/>
    <w:rsid w:val="00F01F6C"/>
    <w:rsid w:val="00F022AF"/>
    <w:rsid w:val="00F0233C"/>
    <w:rsid w:val="00F024F3"/>
    <w:rsid w:val="00F02ABA"/>
    <w:rsid w:val="00F02B3C"/>
    <w:rsid w:val="00F02FC7"/>
    <w:rsid w:val="00F036A0"/>
    <w:rsid w:val="00F03D9D"/>
    <w:rsid w:val="00F0437A"/>
    <w:rsid w:val="00F04412"/>
    <w:rsid w:val="00F0449C"/>
    <w:rsid w:val="00F04589"/>
    <w:rsid w:val="00F04606"/>
    <w:rsid w:val="00F04BE1"/>
    <w:rsid w:val="00F059B9"/>
    <w:rsid w:val="00F05AD9"/>
    <w:rsid w:val="00F05BE6"/>
    <w:rsid w:val="00F06086"/>
    <w:rsid w:val="00F060F0"/>
    <w:rsid w:val="00F06752"/>
    <w:rsid w:val="00F06769"/>
    <w:rsid w:val="00F067F5"/>
    <w:rsid w:val="00F06855"/>
    <w:rsid w:val="00F07055"/>
    <w:rsid w:val="00F101B8"/>
    <w:rsid w:val="00F10762"/>
    <w:rsid w:val="00F11037"/>
    <w:rsid w:val="00F12719"/>
    <w:rsid w:val="00F14606"/>
    <w:rsid w:val="00F14B76"/>
    <w:rsid w:val="00F155A8"/>
    <w:rsid w:val="00F15B2F"/>
    <w:rsid w:val="00F15E55"/>
    <w:rsid w:val="00F16F19"/>
    <w:rsid w:val="00F16F1B"/>
    <w:rsid w:val="00F2048B"/>
    <w:rsid w:val="00F205F3"/>
    <w:rsid w:val="00F20E1C"/>
    <w:rsid w:val="00F21423"/>
    <w:rsid w:val="00F2190C"/>
    <w:rsid w:val="00F21B39"/>
    <w:rsid w:val="00F223EB"/>
    <w:rsid w:val="00F2313C"/>
    <w:rsid w:val="00F23DD7"/>
    <w:rsid w:val="00F23EA4"/>
    <w:rsid w:val="00F24485"/>
    <w:rsid w:val="00F245C9"/>
    <w:rsid w:val="00F250A9"/>
    <w:rsid w:val="00F25B47"/>
    <w:rsid w:val="00F2673A"/>
    <w:rsid w:val="00F267AF"/>
    <w:rsid w:val="00F267FC"/>
    <w:rsid w:val="00F26909"/>
    <w:rsid w:val="00F26B49"/>
    <w:rsid w:val="00F272A1"/>
    <w:rsid w:val="00F27605"/>
    <w:rsid w:val="00F30FF4"/>
    <w:rsid w:val="00F3122E"/>
    <w:rsid w:val="00F31366"/>
    <w:rsid w:val="00F31550"/>
    <w:rsid w:val="00F32181"/>
    <w:rsid w:val="00F32368"/>
    <w:rsid w:val="00F3299D"/>
    <w:rsid w:val="00F331AD"/>
    <w:rsid w:val="00F3329D"/>
    <w:rsid w:val="00F333FD"/>
    <w:rsid w:val="00F33E1D"/>
    <w:rsid w:val="00F34339"/>
    <w:rsid w:val="00F34F86"/>
    <w:rsid w:val="00F35287"/>
    <w:rsid w:val="00F36663"/>
    <w:rsid w:val="00F40A70"/>
    <w:rsid w:val="00F40FF8"/>
    <w:rsid w:val="00F410CA"/>
    <w:rsid w:val="00F41856"/>
    <w:rsid w:val="00F41AC6"/>
    <w:rsid w:val="00F42F76"/>
    <w:rsid w:val="00F43103"/>
    <w:rsid w:val="00F43113"/>
    <w:rsid w:val="00F43A37"/>
    <w:rsid w:val="00F43D5B"/>
    <w:rsid w:val="00F44187"/>
    <w:rsid w:val="00F453CF"/>
    <w:rsid w:val="00F45552"/>
    <w:rsid w:val="00F45668"/>
    <w:rsid w:val="00F4641B"/>
    <w:rsid w:val="00F46EB8"/>
    <w:rsid w:val="00F47476"/>
    <w:rsid w:val="00F475F6"/>
    <w:rsid w:val="00F47B96"/>
    <w:rsid w:val="00F5072B"/>
    <w:rsid w:val="00F50CD1"/>
    <w:rsid w:val="00F511E4"/>
    <w:rsid w:val="00F5138D"/>
    <w:rsid w:val="00F525AB"/>
    <w:rsid w:val="00F529E8"/>
    <w:rsid w:val="00F52D09"/>
    <w:rsid w:val="00F52E08"/>
    <w:rsid w:val="00F531B3"/>
    <w:rsid w:val="00F53A66"/>
    <w:rsid w:val="00F5462D"/>
    <w:rsid w:val="00F54B1F"/>
    <w:rsid w:val="00F54B5A"/>
    <w:rsid w:val="00F55B21"/>
    <w:rsid w:val="00F55ED4"/>
    <w:rsid w:val="00F5620C"/>
    <w:rsid w:val="00F56540"/>
    <w:rsid w:val="00F56EF6"/>
    <w:rsid w:val="00F570D4"/>
    <w:rsid w:val="00F60082"/>
    <w:rsid w:val="00F613D0"/>
    <w:rsid w:val="00F61540"/>
    <w:rsid w:val="00F6188F"/>
    <w:rsid w:val="00F61A9F"/>
    <w:rsid w:val="00F61B5F"/>
    <w:rsid w:val="00F623FB"/>
    <w:rsid w:val="00F6252A"/>
    <w:rsid w:val="00F62535"/>
    <w:rsid w:val="00F6271C"/>
    <w:rsid w:val="00F62A07"/>
    <w:rsid w:val="00F64696"/>
    <w:rsid w:val="00F653F1"/>
    <w:rsid w:val="00F65AA9"/>
    <w:rsid w:val="00F66902"/>
    <w:rsid w:val="00F6727E"/>
    <w:rsid w:val="00F6768F"/>
    <w:rsid w:val="00F700B3"/>
    <w:rsid w:val="00F70191"/>
    <w:rsid w:val="00F72C2C"/>
    <w:rsid w:val="00F73285"/>
    <w:rsid w:val="00F73386"/>
    <w:rsid w:val="00F74055"/>
    <w:rsid w:val="00F741F2"/>
    <w:rsid w:val="00F75C55"/>
    <w:rsid w:val="00F75DD6"/>
    <w:rsid w:val="00F762A4"/>
    <w:rsid w:val="00F76CAB"/>
    <w:rsid w:val="00F770DA"/>
    <w:rsid w:val="00F772C6"/>
    <w:rsid w:val="00F77776"/>
    <w:rsid w:val="00F77C60"/>
    <w:rsid w:val="00F814C0"/>
    <w:rsid w:val="00F815B5"/>
    <w:rsid w:val="00F8186B"/>
    <w:rsid w:val="00F81BB6"/>
    <w:rsid w:val="00F81C05"/>
    <w:rsid w:val="00F81C5A"/>
    <w:rsid w:val="00F840F7"/>
    <w:rsid w:val="00F85070"/>
    <w:rsid w:val="00F85195"/>
    <w:rsid w:val="00F85283"/>
    <w:rsid w:val="00F855F7"/>
    <w:rsid w:val="00F85E34"/>
    <w:rsid w:val="00F868E3"/>
    <w:rsid w:val="00F87239"/>
    <w:rsid w:val="00F87CA4"/>
    <w:rsid w:val="00F8E539"/>
    <w:rsid w:val="00F90E3D"/>
    <w:rsid w:val="00F91624"/>
    <w:rsid w:val="00F91CA7"/>
    <w:rsid w:val="00F920A0"/>
    <w:rsid w:val="00F92F6D"/>
    <w:rsid w:val="00F933E4"/>
    <w:rsid w:val="00F938BA"/>
    <w:rsid w:val="00F93B95"/>
    <w:rsid w:val="00F96ADC"/>
    <w:rsid w:val="00F96CEE"/>
    <w:rsid w:val="00F96FB2"/>
    <w:rsid w:val="00F97919"/>
    <w:rsid w:val="00FA020F"/>
    <w:rsid w:val="00FA1DD5"/>
    <w:rsid w:val="00FA2087"/>
    <w:rsid w:val="00FA2B80"/>
    <w:rsid w:val="00FA2C46"/>
    <w:rsid w:val="00FA2C7F"/>
    <w:rsid w:val="00FA34DC"/>
    <w:rsid w:val="00FA3525"/>
    <w:rsid w:val="00FA4181"/>
    <w:rsid w:val="00FA452C"/>
    <w:rsid w:val="00FA58B0"/>
    <w:rsid w:val="00FA5A53"/>
    <w:rsid w:val="00FA5E77"/>
    <w:rsid w:val="00FA7253"/>
    <w:rsid w:val="00FA7255"/>
    <w:rsid w:val="00FB038C"/>
    <w:rsid w:val="00FB03FE"/>
    <w:rsid w:val="00FB0786"/>
    <w:rsid w:val="00FB09B6"/>
    <w:rsid w:val="00FB0D72"/>
    <w:rsid w:val="00FB1A9E"/>
    <w:rsid w:val="00FB1EE8"/>
    <w:rsid w:val="00FB1F6E"/>
    <w:rsid w:val="00FB2B9C"/>
    <w:rsid w:val="00FB2F9F"/>
    <w:rsid w:val="00FB4769"/>
    <w:rsid w:val="00FB48F5"/>
    <w:rsid w:val="00FB4CDA"/>
    <w:rsid w:val="00FB4F4B"/>
    <w:rsid w:val="00FB5DA1"/>
    <w:rsid w:val="00FB6183"/>
    <w:rsid w:val="00FB63B2"/>
    <w:rsid w:val="00FB6481"/>
    <w:rsid w:val="00FB6D36"/>
    <w:rsid w:val="00FC0965"/>
    <w:rsid w:val="00FC0F81"/>
    <w:rsid w:val="00FC252F"/>
    <w:rsid w:val="00FC2756"/>
    <w:rsid w:val="00FC2E3A"/>
    <w:rsid w:val="00FC395C"/>
    <w:rsid w:val="00FC3B8E"/>
    <w:rsid w:val="00FC3DA3"/>
    <w:rsid w:val="00FC4125"/>
    <w:rsid w:val="00FC4403"/>
    <w:rsid w:val="00FC5248"/>
    <w:rsid w:val="00FC5614"/>
    <w:rsid w:val="00FC59B4"/>
    <w:rsid w:val="00FC5E8E"/>
    <w:rsid w:val="00FC5EE9"/>
    <w:rsid w:val="00FC63AE"/>
    <w:rsid w:val="00FC68F3"/>
    <w:rsid w:val="00FC76F9"/>
    <w:rsid w:val="00FC7A77"/>
    <w:rsid w:val="00FC7C03"/>
    <w:rsid w:val="00FD08C3"/>
    <w:rsid w:val="00FD160B"/>
    <w:rsid w:val="00FD1CD3"/>
    <w:rsid w:val="00FD299B"/>
    <w:rsid w:val="00FD2D6B"/>
    <w:rsid w:val="00FD3122"/>
    <w:rsid w:val="00FD3766"/>
    <w:rsid w:val="00FD3D05"/>
    <w:rsid w:val="00FD47C4"/>
    <w:rsid w:val="00FD4D9C"/>
    <w:rsid w:val="00FD4EEC"/>
    <w:rsid w:val="00FD517A"/>
    <w:rsid w:val="00FD54EC"/>
    <w:rsid w:val="00FD5EA1"/>
    <w:rsid w:val="00FD6029"/>
    <w:rsid w:val="00FD6F98"/>
    <w:rsid w:val="00FD704A"/>
    <w:rsid w:val="00FD787C"/>
    <w:rsid w:val="00FE0790"/>
    <w:rsid w:val="00FE07DE"/>
    <w:rsid w:val="00FE0A70"/>
    <w:rsid w:val="00FE0E10"/>
    <w:rsid w:val="00FE17AF"/>
    <w:rsid w:val="00FE2346"/>
    <w:rsid w:val="00FE2DCF"/>
    <w:rsid w:val="00FE35A0"/>
    <w:rsid w:val="00FE3FA7"/>
    <w:rsid w:val="00FE4081"/>
    <w:rsid w:val="00FE4151"/>
    <w:rsid w:val="00FE4698"/>
    <w:rsid w:val="00FE4FAF"/>
    <w:rsid w:val="00FE5050"/>
    <w:rsid w:val="00FE54F1"/>
    <w:rsid w:val="00FE62AE"/>
    <w:rsid w:val="00FE7B39"/>
    <w:rsid w:val="00FF24A3"/>
    <w:rsid w:val="00FF2A4E"/>
    <w:rsid w:val="00FF2FCE"/>
    <w:rsid w:val="00FF330A"/>
    <w:rsid w:val="00FF3653"/>
    <w:rsid w:val="00FF4015"/>
    <w:rsid w:val="00FF4264"/>
    <w:rsid w:val="00FF4F7D"/>
    <w:rsid w:val="00FF559D"/>
    <w:rsid w:val="00FF5774"/>
    <w:rsid w:val="00FF6608"/>
    <w:rsid w:val="00FF6D9D"/>
    <w:rsid w:val="00FF7588"/>
    <w:rsid w:val="00FF7620"/>
    <w:rsid w:val="00FF7DD5"/>
    <w:rsid w:val="0130D0FD"/>
    <w:rsid w:val="017BCBB5"/>
    <w:rsid w:val="018D0AF3"/>
    <w:rsid w:val="01B4420E"/>
    <w:rsid w:val="01C2725A"/>
    <w:rsid w:val="02076EA3"/>
    <w:rsid w:val="020D3A4B"/>
    <w:rsid w:val="0215DE8C"/>
    <w:rsid w:val="023DF21A"/>
    <w:rsid w:val="027C14BC"/>
    <w:rsid w:val="02AE9D41"/>
    <w:rsid w:val="02CCA15E"/>
    <w:rsid w:val="02D82309"/>
    <w:rsid w:val="02EDF35E"/>
    <w:rsid w:val="02FCA330"/>
    <w:rsid w:val="037BB109"/>
    <w:rsid w:val="0396410D"/>
    <w:rsid w:val="03AD4547"/>
    <w:rsid w:val="03FF56E7"/>
    <w:rsid w:val="044697E9"/>
    <w:rsid w:val="045B58E0"/>
    <w:rsid w:val="04924F25"/>
    <w:rsid w:val="04EC42DB"/>
    <w:rsid w:val="051D10AA"/>
    <w:rsid w:val="055D4290"/>
    <w:rsid w:val="05AE3417"/>
    <w:rsid w:val="05DB6C34"/>
    <w:rsid w:val="05E39B63"/>
    <w:rsid w:val="06044FC5"/>
    <w:rsid w:val="0610B9A6"/>
    <w:rsid w:val="0618D07B"/>
    <w:rsid w:val="06B1142E"/>
    <w:rsid w:val="0773B1D9"/>
    <w:rsid w:val="08151DEA"/>
    <w:rsid w:val="081F53BE"/>
    <w:rsid w:val="08512752"/>
    <w:rsid w:val="0857F584"/>
    <w:rsid w:val="085A4F8C"/>
    <w:rsid w:val="0869EBC0"/>
    <w:rsid w:val="087AD0DE"/>
    <w:rsid w:val="08B919C7"/>
    <w:rsid w:val="08CBB6C1"/>
    <w:rsid w:val="08E60572"/>
    <w:rsid w:val="09489E15"/>
    <w:rsid w:val="099C8823"/>
    <w:rsid w:val="099D72CE"/>
    <w:rsid w:val="09C3F0AF"/>
    <w:rsid w:val="09E24098"/>
    <w:rsid w:val="09EBF4B4"/>
    <w:rsid w:val="0A56100B"/>
    <w:rsid w:val="0A90E41C"/>
    <w:rsid w:val="0AA61E37"/>
    <w:rsid w:val="0AB9712A"/>
    <w:rsid w:val="0AEED356"/>
    <w:rsid w:val="0B2763DC"/>
    <w:rsid w:val="0C1C465F"/>
    <w:rsid w:val="0C4AA0F2"/>
    <w:rsid w:val="0C7003C5"/>
    <w:rsid w:val="0C92708E"/>
    <w:rsid w:val="0D40EF7B"/>
    <w:rsid w:val="0D57D1C4"/>
    <w:rsid w:val="0DE0E5B1"/>
    <w:rsid w:val="0DECDE57"/>
    <w:rsid w:val="0E274DAA"/>
    <w:rsid w:val="0E5F049E"/>
    <w:rsid w:val="0E9A9398"/>
    <w:rsid w:val="0EE44FE4"/>
    <w:rsid w:val="0F1D86DE"/>
    <w:rsid w:val="0F2946D3"/>
    <w:rsid w:val="0F455A47"/>
    <w:rsid w:val="0F567524"/>
    <w:rsid w:val="0F63AA15"/>
    <w:rsid w:val="0F9032A6"/>
    <w:rsid w:val="0FACF1F1"/>
    <w:rsid w:val="0FDFED3A"/>
    <w:rsid w:val="0FE33AB3"/>
    <w:rsid w:val="0FE6CBB4"/>
    <w:rsid w:val="0FFCE44A"/>
    <w:rsid w:val="0FFCE9B6"/>
    <w:rsid w:val="104338D5"/>
    <w:rsid w:val="106CF9F9"/>
    <w:rsid w:val="1097EE54"/>
    <w:rsid w:val="10E76EFC"/>
    <w:rsid w:val="10EB1723"/>
    <w:rsid w:val="111AC5AB"/>
    <w:rsid w:val="1127E168"/>
    <w:rsid w:val="112DEBB1"/>
    <w:rsid w:val="1132DDC0"/>
    <w:rsid w:val="116B5602"/>
    <w:rsid w:val="11B67F9D"/>
    <w:rsid w:val="11C8DD48"/>
    <w:rsid w:val="11F8DAEE"/>
    <w:rsid w:val="120F480E"/>
    <w:rsid w:val="12455937"/>
    <w:rsid w:val="126945F0"/>
    <w:rsid w:val="135C5560"/>
    <w:rsid w:val="136A143C"/>
    <w:rsid w:val="1396ACEC"/>
    <w:rsid w:val="13CECE08"/>
    <w:rsid w:val="13FE3F07"/>
    <w:rsid w:val="145B1C35"/>
    <w:rsid w:val="14626CBD"/>
    <w:rsid w:val="1490942E"/>
    <w:rsid w:val="14924F70"/>
    <w:rsid w:val="14AD4044"/>
    <w:rsid w:val="14B2D992"/>
    <w:rsid w:val="14C26099"/>
    <w:rsid w:val="14ECA7F8"/>
    <w:rsid w:val="150054FA"/>
    <w:rsid w:val="156C35CA"/>
    <w:rsid w:val="157CF2E9"/>
    <w:rsid w:val="159111FB"/>
    <w:rsid w:val="15B65B9C"/>
    <w:rsid w:val="15DC734A"/>
    <w:rsid w:val="15EC879F"/>
    <w:rsid w:val="15F067EC"/>
    <w:rsid w:val="1624DF17"/>
    <w:rsid w:val="1627E8EC"/>
    <w:rsid w:val="16A552F8"/>
    <w:rsid w:val="16B83DB6"/>
    <w:rsid w:val="16C269F5"/>
    <w:rsid w:val="16F00738"/>
    <w:rsid w:val="17395F43"/>
    <w:rsid w:val="173B0311"/>
    <w:rsid w:val="175A5ED1"/>
    <w:rsid w:val="175D5F6D"/>
    <w:rsid w:val="1790B19C"/>
    <w:rsid w:val="17C9A600"/>
    <w:rsid w:val="17D111B0"/>
    <w:rsid w:val="1845B3CF"/>
    <w:rsid w:val="1847DDD4"/>
    <w:rsid w:val="184B157B"/>
    <w:rsid w:val="185AFE92"/>
    <w:rsid w:val="188FEC5C"/>
    <w:rsid w:val="18CFE4E1"/>
    <w:rsid w:val="18E8457A"/>
    <w:rsid w:val="1923B3D6"/>
    <w:rsid w:val="192B05C7"/>
    <w:rsid w:val="19700172"/>
    <w:rsid w:val="19908FCA"/>
    <w:rsid w:val="19975331"/>
    <w:rsid w:val="19A9A4CB"/>
    <w:rsid w:val="19E5712B"/>
    <w:rsid w:val="19FA1E58"/>
    <w:rsid w:val="1A55F946"/>
    <w:rsid w:val="1A946242"/>
    <w:rsid w:val="1AA22F7F"/>
    <w:rsid w:val="1AA61740"/>
    <w:rsid w:val="1B225FB7"/>
    <w:rsid w:val="1B45752C"/>
    <w:rsid w:val="1BB06A1D"/>
    <w:rsid w:val="1BB47445"/>
    <w:rsid w:val="1BE2EBB5"/>
    <w:rsid w:val="1BF0BDAB"/>
    <w:rsid w:val="1C1C7346"/>
    <w:rsid w:val="1C2FA7EE"/>
    <w:rsid w:val="1CB37D97"/>
    <w:rsid w:val="1CFC9D00"/>
    <w:rsid w:val="1D55C000"/>
    <w:rsid w:val="1DBCC299"/>
    <w:rsid w:val="1E067EE5"/>
    <w:rsid w:val="1E230099"/>
    <w:rsid w:val="1E2BF3D0"/>
    <w:rsid w:val="1E2FEEF3"/>
    <w:rsid w:val="1E37A384"/>
    <w:rsid w:val="1E46C7D8"/>
    <w:rsid w:val="1E65C8D2"/>
    <w:rsid w:val="1EB9ED31"/>
    <w:rsid w:val="1EF6C514"/>
    <w:rsid w:val="1F0D7A2F"/>
    <w:rsid w:val="1F212DE5"/>
    <w:rsid w:val="1F40E7A4"/>
    <w:rsid w:val="1FBD9394"/>
    <w:rsid w:val="1FE09656"/>
    <w:rsid w:val="205BF365"/>
    <w:rsid w:val="20A8D90A"/>
    <w:rsid w:val="20B7C634"/>
    <w:rsid w:val="20B9CE62"/>
    <w:rsid w:val="20C5AA06"/>
    <w:rsid w:val="20ED1335"/>
    <w:rsid w:val="20FF3ADA"/>
    <w:rsid w:val="213EFC12"/>
    <w:rsid w:val="21419660"/>
    <w:rsid w:val="2156F57F"/>
    <w:rsid w:val="215ADC6F"/>
    <w:rsid w:val="21B188B5"/>
    <w:rsid w:val="21B4B6B0"/>
    <w:rsid w:val="21E9C180"/>
    <w:rsid w:val="21FBC753"/>
    <w:rsid w:val="222BEE4D"/>
    <w:rsid w:val="22C5989B"/>
    <w:rsid w:val="22CC0A78"/>
    <w:rsid w:val="2348DBBD"/>
    <w:rsid w:val="234B328C"/>
    <w:rsid w:val="23ECE36F"/>
    <w:rsid w:val="248E19D0"/>
    <w:rsid w:val="24A86BF8"/>
    <w:rsid w:val="24B79C21"/>
    <w:rsid w:val="24E2D44C"/>
    <w:rsid w:val="25250D37"/>
    <w:rsid w:val="25830F3B"/>
    <w:rsid w:val="25C340F7"/>
    <w:rsid w:val="25C73D03"/>
    <w:rsid w:val="2602DB5A"/>
    <w:rsid w:val="260FFD30"/>
    <w:rsid w:val="261F7E0F"/>
    <w:rsid w:val="263CB60A"/>
    <w:rsid w:val="264D692C"/>
    <w:rsid w:val="265C1733"/>
    <w:rsid w:val="2672B7A1"/>
    <w:rsid w:val="26A1FADE"/>
    <w:rsid w:val="26C7E4B2"/>
    <w:rsid w:val="26E53E4B"/>
    <w:rsid w:val="26EEB673"/>
    <w:rsid w:val="26F6CFD7"/>
    <w:rsid w:val="27C8E261"/>
    <w:rsid w:val="27E19E2A"/>
    <w:rsid w:val="2845ACE4"/>
    <w:rsid w:val="285F6CF7"/>
    <w:rsid w:val="28F298A7"/>
    <w:rsid w:val="2914BC28"/>
    <w:rsid w:val="292BC0E9"/>
    <w:rsid w:val="296A27CC"/>
    <w:rsid w:val="29744E39"/>
    <w:rsid w:val="299A30EA"/>
    <w:rsid w:val="29A8A1C1"/>
    <w:rsid w:val="29FF798D"/>
    <w:rsid w:val="2A0B7F14"/>
    <w:rsid w:val="2A3BFB6E"/>
    <w:rsid w:val="2A425EBE"/>
    <w:rsid w:val="2A595C71"/>
    <w:rsid w:val="2A74AA5C"/>
    <w:rsid w:val="2AE64EE6"/>
    <w:rsid w:val="2AF738E3"/>
    <w:rsid w:val="2BABEE9C"/>
    <w:rsid w:val="2BB13B94"/>
    <w:rsid w:val="2BB5F112"/>
    <w:rsid w:val="2BBEE2FA"/>
    <w:rsid w:val="2BD8A53D"/>
    <w:rsid w:val="2BE29B9A"/>
    <w:rsid w:val="2BED9422"/>
    <w:rsid w:val="2C1FC53E"/>
    <w:rsid w:val="2C31F0D0"/>
    <w:rsid w:val="2C44BDDC"/>
    <w:rsid w:val="2C6C1AB3"/>
    <w:rsid w:val="2CD53CF4"/>
    <w:rsid w:val="2CDBAEFC"/>
    <w:rsid w:val="2CF35758"/>
    <w:rsid w:val="2D32DE1A"/>
    <w:rsid w:val="2D704CFB"/>
    <w:rsid w:val="2D9A6F86"/>
    <w:rsid w:val="2DAAE4A0"/>
    <w:rsid w:val="2E17D178"/>
    <w:rsid w:val="2E3A5F4B"/>
    <w:rsid w:val="2E4635CD"/>
    <w:rsid w:val="2E8014FE"/>
    <w:rsid w:val="2E9CF79C"/>
    <w:rsid w:val="2EEA1C3A"/>
    <w:rsid w:val="2F633BCD"/>
    <w:rsid w:val="2F66A961"/>
    <w:rsid w:val="2F77F290"/>
    <w:rsid w:val="2F81C38D"/>
    <w:rsid w:val="2F9F8FA6"/>
    <w:rsid w:val="2FA5818F"/>
    <w:rsid w:val="2FBC43D8"/>
    <w:rsid w:val="2FEDDBEB"/>
    <w:rsid w:val="2FF0F485"/>
    <w:rsid w:val="3011D82C"/>
    <w:rsid w:val="306FB09B"/>
    <w:rsid w:val="309A9587"/>
    <w:rsid w:val="30A48516"/>
    <w:rsid w:val="3109A4AF"/>
    <w:rsid w:val="312091DD"/>
    <w:rsid w:val="3135D5A0"/>
    <w:rsid w:val="313CA2C4"/>
    <w:rsid w:val="315D7870"/>
    <w:rsid w:val="31D4985E"/>
    <w:rsid w:val="321EE2EB"/>
    <w:rsid w:val="3220780A"/>
    <w:rsid w:val="3241D70F"/>
    <w:rsid w:val="3242AA76"/>
    <w:rsid w:val="3248FB5B"/>
    <w:rsid w:val="325CDD98"/>
    <w:rsid w:val="32C49F63"/>
    <w:rsid w:val="33066C67"/>
    <w:rsid w:val="33A44FD9"/>
    <w:rsid w:val="33B6B166"/>
    <w:rsid w:val="33D575D6"/>
    <w:rsid w:val="34006292"/>
    <w:rsid w:val="3451F005"/>
    <w:rsid w:val="3483F468"/>
    <w:rsid w:val="348ACCA4"/>
    <w:rsid w:val="348D6B7D"/>
    <w:rsid w:val="34B446F3"/>
    <w:rsid w:val="34C271E1"/>
    <w:rsid w:val="34D40250"/>
    <w:rsid w:val="34EBFBBD"/>
    <w:rsid w:val="35191193"/>
    <w:rsid w:val="35210F5D"/>
    <w:rsid w:val="356A048B"/>
    <w:rsid w:val="3596DEE0"/>
    <w:rsid w:val="35BC1FA2"/>
    <w:rsid w:val="3622B912"/>
    <w:rsid w:val="3635C003"/>
    <w:rsid w:val="363C5402"/>
    <w:rsid w:val="366AC567"/>
    <w:rsid w:val="366CDC9F"/>
    <w:rsid w:val="368B8DDE"/>
    <w:rsid w:val="36936233"/>
    <w:rsid w:val="37451908"/>
    <w:rsid w:val="3754D78E"/>
    <w:rsid w:val="37C0685C"/>
    <w:rsid w:val="38C75E72"/>
    <w:rsid w:val="3908F0BF"/>
    <w:rsid w:val="391ED898"/>
    <w:rsid w:val="39500C63"/>
    <w:rsid w:val="39578D87"/>
    <w:rsid w:val="39707395"/>
    <w:rsid w:val="397C14F8"/>
    <w:rsid w:val="397C4511"/>
    <w:rsid w:val="3981D28A"/>
    <w:rsid w:val="398B68DB"/>
    <w:rsid w:val="398B6C1F"/>
    <w:rsid w:val="399A5B72"/>
    <w:rsid w:val="39E60807"/>
    <w:rsid w:val="3A68FE08"/>
    <w:rsid w:val="3A6CAFE2"/>
    <w:rsid w:val="3A996117"/>
    <w:rsid w:val="3AC9A98E"/>
    <w:rsid w:val="3AF3A58F"/>
    <w:rsid w:val="3B003B9A"/>
    <w:rsid w:val="3B25BB23"/>
    <w:rsid w:val="3B35D238"/>
    <w:rsid w:val="3B45015D"/>
    <w:rsid w:val="3BA86A12"/>
    <w:rsid w:val="3C470354"/>
    <w:rsid w:val="3D0252DD"/>
    <w:rsid w:val="3DA80F4D"/>
    <w:rsid w:val="3E153A12"/>
    <w:rsid w:val="3E5C1C73"/>
    <w:rsid w:val="3E764043"/>
    <w:rsid w:val="3E9DDCA0"/>
    <w:rsid w:val="3EAB7980"/>
    <w:rsid w:val="3F3B834C"/>
    <w:rsid w:val="3F99E93B"/>
    <w:rsid w:val="3FDCD927"/>
    <w:rsid w:val="403B681F"/>
    <w:rsid w:val="40756E66"/>
    <w:rsid w:val="407F1B0F"/>
    <w:rsid w:val="408445B5"/>
    <w:rsid w:val="4088902C"/>
    <w:rsid w:val="40AD843A"/>
    <w:rsid w:val="411680D5"/>
    <w:rsid w:val="415894EC"/>
    <w:rsid w:val="419823B6"/>
    <w:rsid w:val="4231C1DF"/>
    <w:rsid w:val="425B4D32"/>
    <w:rsid w:val="4265EC7E"/>
    <w:rsid w:val="42802E25"/>
    <w:rsid w:val="429E6245"/>
    <w:rsid w:val="4311B98D"/>
    <w:rsid w:val="43238717"/>
    <w:rsid w:val="43F88501"/>
    <w:rsid w:val="44590479"/>
    <w:rsid w:val="4478DC4F"/>
    <w:rsid w:val="449BF1B0"/>
    <w:rsid w:val="44A0AFCD"/>
    <w:rsid w:val="44C091AD"/>
    <w:rsid w:val="44C24346"/>
    <w:rsid w:val="4513EE9E"/>
    <w:rsid w:val="4525D10D"/>
    <w:rsid w:val="45729941"/>
    <w:rsid w:val="457D1A57"/>
    <w:rsid w:val="459B879B"/>
    <w:rsid w:val="4603CF38"/>
    <w:rsid w:val="464485B5"/>
    <w:rsid w:val="466D7E1C"/>
    <w:rsid w:val="4691A8F0"/>
    <w:rsid w:val="46BAFA63"/>
    <w:rsid w:val="46BE9C15"/>
    <w:rsid w:val="46CDD432"/>
    <w:rsid w:val="46D97AFF"/>
    <w:rsid w:val="47176B4C"/>
    <w:rsid w:val="4727E85E"/>
    <w:rsid w:val="47549991"/>
    <w:rsid w:val="476CDF4D"/>
    <w:rsid w:val="476E18D2"/>
    <w:rsid w:val="47721B50"/>
    <w:rsid w:val="4786A75D"/>
    <w:rsid w:val="47C244EC"/>
    <w:rsid w:val="47C81B15"/>
    <w:rsid w:val="48313701"/>
    <w:rsid w:val="483F0FE2"/>
    <w:rsid w:val="48737890"/>
    <w:rsid w:val="487EE6FF"/>
    <w:rsid w:val="489DF7B6"/>
    <w:rsid w:val="48B285FA"/>
    <w:rsid w:val="48BB0E71"/>
    <w:rsid w:val="490FEC77"/>
    <w:rsid w:val="49422E35"/>
    <w:rsid w:val="495B8775"/>
    <w:rsid w:val="4983BB4B"/>
    <w:rsid w:val="4A197AA2"/>
    <w:rsid w:val="4A5FF700"/>
    <w:rsid w:val="4A75C1B5"/>
    <w:rsid w:val="4AC4794A"/>
    <w:rsid w:val="4B06E305"/>
    <w:rsid w:val="4B1E3C82"/>
    <w:rsid w:val="4B263BF3"/>
    <w:rsid w:val="4B355E59"/>
    <w:rsid w:val="4B3F8F56"/>
    <w:rsid w:val="4BB9DE8A"/>
    <w:rsid w:val="4BB9E12B"/>
    <w:rsid w:val="4BBC045A"/>
    <w:rsid w:val="4BD65E70"/>
    <w:rsid w:val="4C3DD7D0"/>
    <w:rsid w:val="4D130A26"/>
    <w:rsid w:val="4D2B0B1A"/>
    <w:rsid w:val="4DB2FAEB"/>
    <w:rsid w:val="4DD3E4DB"/>
    <w:rsid w:val="4E5C28EB"/>
    <w:rsid w:val="4E8207FD"/>
    <w:rsid w:val="4E84D39A"/>
    <w:rsid w:val="4E85A31F"/>
    <w:rsid w:val="4ECEC03B"/>
    <w:rsid w:val="4ED91331"/>
    <w:rsid w:val="4EF2C909"/>
    <w:rsid w:val="4F0E17CE"/>
    <w:rsid w:val="4F585365"/>
    <w:rsid w:val="4F58DE11"/>
    <w:rsid w:val="4F8629CE"/>
    <w:rsid w:val="4FAF7A06"/>
    <w:rsid w:val="4FD4F218"/>
    <w:rsid w:val="4FD9A89D"/>
    <w:rsid w:val="4FDC593C"/>
    <w:rsid w:val="4FE9D8C1"/>
    <w:rsid w:val="503CCB84"/>
    <w:rsid w:val="50620F29"/>
    <w:rsid w:val="509151A9"/>
    <w:rsid w:val="50D95A7A"/>
    <w:rsid w:val="50EB0E13"/>
    <w:rsid w:val="511E93B9"/>
    <w:rsid w:val="512CE5A1"/>
    <w:rsid w:val="513C788A"/>
    <w:rsid w:val="514CD26C"/>
    <w:rsid w:val="51BD5A3F"/>
    <w:rsid w:val="51FA4A2B"/>
    <w:rsid w:val="526C45FD"/>
    <w:rsid w:val="5364E1B3"/>
    <w:rsid w:val="538259A8"/>
    <w:rsid w:val="53914CD7"/>
    <w:rsid w:val="53A0D093"/>
    <w:rsid w:val="53B1CD37"/>
    <w:rsid w:val="53BDFA5A"/>
    <w:rsid w:val="53D1FB28"/>
    <w:rsid w:val="5418FA2C"/>
    <w:rsid w:val="541C4CF2"/>
    <w:rsid w:val="541EF7FC"/>
    <w:rsid w:val="542749A6"/>
    <w:rsid w:val="54954D1D"/>
    <w:rsid w:val="549EBCF3"/>
    <w:rsid w:val="54DC091E"/>
    <w:rsid w:val="550BAF2F"/>
    <w:rsid w:val="5544B77F"/>
    <w:rsid w:val="554A5AFA"/>
    <w:rsid w:val="55558CDF"/>
    <w:rsid w:val="555B11A2"/>
    <w:rsid w:val="557E748C"/>
    <w:rsid w:val="55887BF2"/>
    <w:rsid w:val="55BD957C"/>
    <w:rsid w:val="55C72F04"/>
    <w:rsid w:val="56362E43"/>
    <w:rsid w:val="5636A2CD"/>
    <w:rsid w:val="564569AB"/>
    <w:rsid w:val="56935318"/>
    <w:rsid w:val="56E8D681"/>
    <w:rsid w:val="570D4FFD"/>
    <w:rsid w:val="57325FFC"/>
    <w:rsid w:val="575CAE3D"/>
    <w:rsid w:val="5774E2FE"/>
    <w:rsid w:val="57B304C2"/>
    <w:rsid w:val="57BEAF62"/>
    <w:rsid w:val="58A09111"/>
    <w:rsid w:val="58D9E222"/>
    <w:rsid w:val="5924B003"/>
    <w:rsid w:val="593C29BA"/>
    <w:rsid w:val="593E53CE"/>
    <w:rsid w:val="595D8D59"/>
    <w:rsid w:val="59C50389"/>
    <w:rsid w:val="59DCE186"/>
    <w:rsid w:val="5A0EF16E"/>
    <w:rsid w:val="5A12558D"/>
    <w:rsid w:val="5A28DB92"/>
    <w:rsid w:val="5AD59FC5"/>
    <w:rsid w:val="5ADB5596"/>
    <w:rsid w:val="5B5D1D81"/>
    <w:rsid w:val="5B7F6099"/>
    <w:rsid w:val="5B991E54"/>
    <w:rsid w:val="5BC30C7B"/>
    <w:rsid w:val="5BCB7044"/>
    <w:rsid w:val="5BD8DC33"/>
    <w:rsid w:val="5C2E3C15"/>
    <w:rsid w:val="5C463582"/>
    <w:rsid w:val="5C60852D"/>
    <w:rsid w:val="5C772796"/>
    <w:rsid w:val="5C869B04"/>
    <w:rsid w:val="5C8D2E07"/>
    <w:rsid w:val="5CBC0133"/>
    <w:rsid w:val="5CE49201"/>
    <w:rsid w:val="5CE6BAC5"/>
    <w:rsid w:val="5D0B3488"/>
    <w:rsid w:val="5D6A3138"/>
    <w:rsid w:val="5D9430DF"/>
    <w:rsid w:val="5DB074DA"/>
    <w:rsid w:val="5E085CB6"/>
    <w:rsid w:val="5E391736"/>
    <w:rsid w:val="5E43912E"/>
    <w:rsid w:val="5E59A10D"/>
    <w:rsid w:val="5E5F9172"/>
    <w:rsid w:val="5E9EFACA"/>
    <w:rsid w:val="5EA1FBFC"/>
    <w:rsid w:val="5F6AE8E6"/>
    <w:rsid w:val="5FC688C9"/>
    <w:rsid w:val="5FD4039B"/>
    <w:rsid w:val="5FE41C99"/>
    <w:rsid w:val="5FE58AB3"/>
    <w:rsid w:val="601BB0A8"/>
    <w:rsid w:val="606145B7"/>
    <w:rsid w:val="609A1A93"/>
    <w:rsid w:val="60A46A57"/>
    <w:rsid w:val="60D79F20"/>
    <w:rsid w:val="60EE6812"/>
    <w:rsid w:val="61262EEF"/>
    <w:rsid w:val="61425921"/>
    <w:rsid w:val="6174606C"/>
    <w:rsid w:val="618C3A2B"/>
    <w:rsid w:val="61A979FB"/>
    <w:rsid w:val="62182932"/>
    <w:rsid w:val="623298C6"/>
    <w:rsid w:val="62479A6C"/>
    <w:rsid w:val="62ABFB25"/>
    <w:rsid w:val="62D92CB4"/>
    <w:rsid w:val="63225A71"/>
    <w:rsid w:val="637BB7BF"/>
    <w:rsid w:val="63879385"/>
    <w:rsid w:val="63949990"/>
    <w:rsid w:val="642AA642"/>
    <w:rsid w:val="646812D8"/>
    <w:rsid w:val="646E195C"/>
    <w:rsid w:val="65497F17"/>
    <w:rsid w:val="6563F08D"/>
    <w:rsid w:val="656638EB"/>
    <w:rsid w:val="66379D62"/>
    <w:rsid w:val="663DD106"/>
    <w:rsid w:val="664175ED"/>
    <w:rsid w:val="66448C62"/>
    <w:rsid w:val="6680F783"/>
    <w:rsid w:val="66C4565D"/>
    <w:rsid w:val="66C52B2A"/>
    <w:rsid w:val="66D44C19"/>
    <w:rsid w:val="66E0350F"/>
    <w:rsid w:val="67157782"/>
    <w:rsid w:val="674D37E9"/>
    <w:rsid w:val="679CBD4E"/>
    <w:rsid w:val="67FA49BA"/>
    <w:rsid w:val="684290F5"/>
    <w:rsid w:val="6875ADBC"/>
    <w:rsid w:val="6884B150"/>
    <w:rsid w:val="6884CC7F"/>
    <w:rsid w:val="68CE3423"/>
    <w:rsid w:val="68D9406B"/>
    <w:rsid w:val="68DE09E2"/>
    <w:rsid w:val="68F386E3"/>
    <w:rsid w:val="68F7836A"/>
    <w:rsid w:val="695306F5"/>
    <w:rsid w:val="6A5320F3"/>
    <w:rsid w:val="6A6EB4DE"/>
    <w:rsid w:val="6AD889F3"/>
    <w:rsid w:val="6AEF7AEA"/>
    <w:rsid w:val="6AFC9192"/>
    <w:rsid w:val="6B092869"/>
    <w:rsid w:val="6B0B99B4"/>
    <w:rsid w:val="6B3FFAB7"/>
    <w:rsid w:val="6B6654F0"/>
    <w:rsid w:val="6B7D2C41"/>
    <w:rsid w:val="6B90F536"/>
    <w:rsid w:val="6BAA3349"/>
    <w:rsid w:val="6BC0F32B"/>
    <w:rsid w:val="6BC22CB6"/>
    <w:rsid w:val="6BD730CB"/>
    <w:rsid w:val="6C0A853F"/>
    <w:rsid w:val="6C11086E"/>
    <w:rsid w:val="6C277F84"/>
    <w:rsid w:val="6C5C5EDE"/>
    <w:rsid w:val="6C6A2756"/>
    <w:rsid w:val="6C8F16FB"/>
    <w:rsid w:val="6CB27030"/>
    <w:rsid w:val="6CBB7F4C"/>
    <w:rsid w:val="6CD5D152"/>
    <w:rsid w:val="6CE70528"/>
    <w:rsid w:val="6CF02D6F"/>
    <w:rsid w:val="6D407F94"/>
    <w:rsid w:val="6D5D4185"/>
    <w:rsid w:val="6D637521"/>
    <w:rsid w:val="6D6C10C0"/>
    <w:rsid w:val="6D93D191"/>
    <w:rsid w:val="6E13F6EE"/>
    <w:rsid w:val="6E1C0BB1"/>
    <w:rsid w:val="6E74ADD3"/>
    <w:rsid w:val="6EA37E43"/>
    <w:rsid w:val="6EB43F11"/>
    <w:rsid w:val="6EEB83E3"/>
    <w:rsid w:val="6EEC3E6C"/>
    <w:rsid w:val="6F195DE2"/>
    <w:rsid w:val="6F23F5B2"/>
    <w:rsid w:val="6F2E8E45"/>
    <w:rsid w:val="6F498F1A"/>
    <w:rsid w:val="6F9F3A29"/>
    <w:rsid w:val="6FD08382"/>
    <w:rsid w:val="6FEFFF64"/>
    <w:rsid w:val="6FF99AFE"/>
    <w:rsid w:val="7011CB86"/>
    <w:rsid w:val="7016E949"/>
    <w:rsid w:val="7022B5AE"/>
    <w:rsid w:val="7037EAA7"/>
    <w:rsid w:val="70421A8C"/>
    <w:rsid w:val="70641A33"/>
    <w:rsid w:val="70680A21"/>
    <w:rsid w:val="7078E0DD"/>
    <w:rsid w:val="70E46055"/>
    <w:rsid w:val="70F0525A"/>
    <w:rsid w:val="70F40EB5"/>
    <w:rsid w:val="70FAAF0D"/>
    <w:rsid w:val="712DE241"/>
    <w:rsid w:val="7161BAA6"/>
    <w:rsid w:val="71E0C086"/>
    <w:rsid w:val="721D7F94"/>
    <w:rsid w:val="7260F649"/>
    <w:rsid w:val="72B57404"/>
    <w:rsid w:val="72C6501D"/>
    <w:rsid w:val="72CC49A9"/>
    <w:rsid w:val="72D68183"/>
    <w:rsid w:val="72D9F324"/>
    <w:rsid w:val="730F036E"/>
    <w:rsid w:val="7365B573"/>
    <w:rsid w:val="73685621"/>
    <w:rsid w:val="736A4E0B"/>
    <w:rsid w:val="73805B21"/>
    <w:rsid w:val="73943043"/>
    <w:rsid w:val="7398DF24"/>
    <w:rsid w:val="73DACE2C"/>
    <w:rsid w:val="73F50DDA"/>
    <w:rsid w:val="740EA8BA"/>
    <w:rsid w:val="74370299"/>
    <w:rsid w:val="74553F43"/>
    <w:rsid w:val="74792F49"/>
    <w:rsid w:val="74873D5C"/>
    <w:rsid w:val="74B2F437"/>
    <w:rsid w:val="7580B782"/>
    <w:rsid w:val="75D540CC"/>
    <w:rsid w:val="75F12D9C"/>
    <w:rsid w:val="75F34954"/>
    <w:rsid w:val="76266981"/>
    <w:rsid w:val="77298FFE"/>
    <w:rsid w:val="77AB9E27"/>
    <w:rsid w:val="78074D71"/>
    <w:rsid w:val="7813A21A"/>
    <w:rsid w:val="782278A4"/>
    <w:rsid w:val="7873FC6E"/>
    <w:rsid w:val="78A4DB0A"/>
    <w:rsid w:val="78AE2008"/>
    <w:rsid w:val="78B20412"/>
    <w:rsid w:val="78F0CA95"/>
    <w:rsid w:val="7925891A"/>
    <w:rsid w:val="7999053D"/>
    <w:rsid w:val="79B94239"/>
    <w:rsid w:val="79C268B4"/>
    <w:rsid w:val="79D8783D"/>
    <w:rsid w:val="79D97435"/>
    <w:rsid w:val="79F5F599"/>
    <w:rsid w:val="7A2F1C86"/>
    <w:rsid w:val="7A64FD37"/>
    <w:rsid w:val="7A860EDE"/>
    <w:rsid w:val="7A9679DE"/>
    <w:rsid w:val="7A972C44"/>
    <w:rsid w:val="7AAA4E46"/>
    <w:rsid w:val="7B1850C9"/>
    <w:rsid w:val="7B327468"/>
    <w:rsid w:val="7BA4BB1D"/>
    <w:rsid w:val="7BA5693F"/>
    <w:rsid w:val="7BE9EFFE"/>
    <w:rsid w:val="7C0045F7"/>
    <w:rsid w:val="7C0B8742"/>
    <w:rsid w:val="7C23FCB5"/>
    <w:rsid w:val="7C2F1E24"/>
    <w:rsid w:val="7C34F087"/>
    <w:rsid w:val="7C64B8D8"/>
    <w:rsid w:val="7C805B1D"/>
    <w:rsid w:val="7CC638CF"/>
    <w:rsid w:val="7D01ACAF"/>
    <w:rsid w:val="7D18A574"/>
    <w:rsid w:val="7DA67B38"/>
    <w:rsid w:val="7DC51398"/>
    <w:rsid w:val="7DCB6FC9"/>
    <w:rsid w:val="7DCD12C3"/>
    <w:rsid w:val="7DF32241"/>
    <w:rsid w:val="7E3ADAFF"/>
    <w:rsid w:val="7E64A3E8"/>
    <w:rsid w:val="7E9BE79F"/>
    <w:rsid w:val="7EB475D5"/>
    <w:rsid w:val="7EB8D413"/>
    <w:rsid w:val="7EC4E652"/>
    <w:rsid w:val="7F02B248"/>
    <w:rsid w:val="7F535D30"/>
    <w:rsid w:val="7F80521C"/>
    <w:rsid w:val="7F832C04"/>
    <w:rsid w:val="7FD3DBFF"/>
    <w:rsid w:val="7FF40C4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A7A82D"/>
  <w15:docId w15:val="{3870CF91-BAA1-46EB-8B46-F60DED5C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numPr>
        <w:ilvl w:val="1"/>
        <w:numId w:val="11"/>
      </w:numPr>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uiPriority w:val="9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TOCHeading">
    <w:name w:val="TOC Heading"/>
    <w:basedOn w:val="Heading1"/>
    <w:next w:val="Normal"/>
    <w:uiPriority w:val="39"/>
    <w:unhideWhenUsed/>
    <w:qFormat/>
    <w:rsid w:val="002205D2"/>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HHStabletext6pt">
    <w:name w:val="DHHS table text + 6pt"/>
    <w:basedOn w:val="DHHStabletext"/>
    <w:rsid w:val="002205D2"/>
    <w:pPr>
      <w:spacing w:after="120"/>
    </w:pPr>
  </w:style>
  <w:style w:type="paragraph" w:customStyle="1" w:styleId="DHHSreportsubtitle">
    <w:name w:val="DHHS report subtitle"/>
    <w:basedOn w:val="Normal"/>
    <w:uiPriority w:val="4"/>
    <w:rsid w:val="002205D2"/>
    <w:pPr>
      <w:spacing w:line="380" w:lineRule="atLeast"/>
    </w:pPr>
    <w:rPr>
      <w:color w:val="000000"/>
      <w:sz w:val="30"/>
      <w:szCs w:val="30"/>
    </w:rPr>
  </w:style>
  <w:style w:type="paragraph" w:customStyle="1" w:styleId="DHHSreportmaintitle">
    <w:name w:val="DHHS report main title"/>
    <w:uiPriority w:val="4"/>
    <w:rsid w:val="002205D2"/>
    <w:pPr>
      <w:keepLines/>
      <w:spacing w:after="240" w:line="580" w:lineRule="atLeast"/>
    </w:pPr>
    <w:rPr>
      <w:rFonts w:ascii="Arial" w:hAnsi="Arial"/>
      <w:color w:val="87189D"/>
      <w:sz w:val="50"/>
      <w:szCs w:val="24"/>
      <w:lang w:eastAsia="en-US"/>
    </w:rPr>
  </w:style>
  <w:style w:type="paragraph" w:customStyle="1" w:styleId="DHHSreportmaintitlewhite">
    <w:name w:val="DHHS report main title white"/>
    <w:uiPriority w:val="4"/>
    <w:rsid w:val="002205D2"/>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2205D2"/>
    <w:pPr>
      <w:spacing w:after="120" w:line="380" w:lineRule="atLeast"/>
    </w:pPr>
    <w:rPr>
      <w:rFonts w:ascii="Arial" w:hAnsi="Arial"/>
      <w:bCs/>
      <w:color w:val="FFFFFF"/>
      <w:sz w:val="30"/>
      <w:szCs w:val="30"/>
      <w:lang w:eastAsia="en-US"/>
    </w:rPr>
  </w:style>
  <w:style w:type="paragraph" w:customStyle="1" w:styleId="Coverinstructions">
    <w:name w:val="Cover instructions"/>
    <w:rsid w:val="002205D2"/>
    <w:pPr>
      <w:spacing w:after="200" w:line="320" w:lineRule="atLeast"/>
    </w:pPr>
    <w:rPr>
      <w:rFonts w:ascii="Arial" w:hAnsi="Arial"/>
      <w:color w:val="FFFFFF"/>
      <w:sz w:val="24"/>
      <w:lang w:eastAsia="en-US"/>
    </w:rPr>
  </w:style>
  <w:style w:type="paragraph" w:customStyle="1" w:styleId="DHHSbody">
    <w:name w:val="DHHS body"/>
    <w:link w:val="DHHSbodyChar"/>
    <w:qFormat/>
    <w:rsid w:val="002205D2"/>
    <w:pPr>
      <w:spacing w:after="120" w:line="270" w:lineRule="atLeast"/>
    </w:pPr>
    <w:rPr>
      <w:rFonts w:ascii="Arial" w:eastAsia="Times" w:hAnsi="Arial"/>
      <w:lang w:eastAsia="en-US"/>
    </w:rPr>
  </w:style>
  <w:style w:type="paragraph" w:customStyle="1" w:styleId="DHHSbullet1">
    <w:name w:val="DHHS bullet 1"/>
    <w:basedOn w:val="DHHSbody"/>
    <w:qFormat/>
    <w:rsid w:val="002205D2"/>
    <w:pPr>
      <w:spacing w:after="40"/>
      <w:ind w:left="284" w:hanging="284"/>
    </w:pPr>
  </w:style>
  <w:style w:type="paragraph" w:customStyle="1" w:styleId="DHHSnumberloweralpha">
    <w:name w:val="DHHS number lower alpha"/>
    <w:basedOn w:val="DHHSbody"/>
    <w:uiPriority w:val="3"/>
    <w:rsid w:val="002205D2"/>
    <w:pPr>
      <w:ind w:left="284" w:hanging="284"/>
    </w:pPr>
  </w:style>
  <w:style w:type="paragraph" w:customStyle="1" w:styleId="DHHSnumberloweralphaindent">
    <w:name w:val="DHHS number lower alpha indent"/>
    <w:basedOn w:val="DHHSbody"/>
    <w:uiPriority w:val="3"/>
    <w:rsid w:val="002205D2"/>
    <w:pPr>
      <w:ind w:left="567" w:hanging="283"/>
    </w:pPr>
  </w:style>
  <w:style w:type="paragraph" w:customStyle="1" w:styleId="DHHStablefigurenote">
    <w:name w:val="DHHS table/figure note"/>
    <w:uiPriority w:val="4"/>
    <w:rsid w:val="002205D2"/>
    <w:pPr>
      <w:spacing w:before="60" w:after="60" w:line="240" w:lineRule="exact"/>
    </w:pPr>
    <w:rPr>
      <w:rFonts w:ascii="Arial" w:hAnsi="Arial"/>
      <w:sz w:val="18"/>
      <w:lang w:eastAsia="en-US"/>
    </w:rPr>
  </w:style>
  <w:style w:type="paragraph" w:customStyle="1" w:styleId="DHHStabletext">
    <w:name w:val="DHHS table text"/>
    <w:uiPriority w:val="3"/>
    <w:qFormat/>
    <w:rsid w:val="002205D2"/>
    <w:pPr>
      <w:spacing w:before="80" w:after="60"/>
    </w:pPr>
    <w:rPr>
      <w:rFonts w:ascii="Arial" w:hAnsi="Arial"/>
      <w:lang w:eastAsia="en-US"/>
    </w:rPr>
  </w:style>
  <w:style w:type="paragraph" w:customStyle="1" w:styleId="DHHStablecaption">
    <w:name w:val="DHHS table caption"/>
    <w:next w:val="DHHSbody"/>
    <w:uiPriority w:val="3"/>
    <w:qFormat/>
    <w:rsid w:val="002205D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2205D2"/>
    <w:pPr>
      <w:keepNext/>
      <w:keepLines/>
      <w:spacing w:before="240" w:after="120"/>
    </w:pPr>
    <w:rPr>
      <w:rFonts w:ascii="Arial" w:hAnsi="Arial"/>
      <w:b/>
      <w:lang w:eastAsia="en-US"/>
    </w:rPr>
  </w:style>
  <w:style w:type="paragraph" w:customStyle="1" w:styleId="DHHSfooter">
    <w:name w:val="DHHS footer"/>
    <w:uiPriority w:val="11"/>
    <w:rsid w:val="002205D2"/>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2205D2"/>
    <w:pPr>
      <w:spacing w:after="40"/>
      <w:ind w:left="284" w:hanging="284"/>
    </w:pPr>
  </w:style>
  <w:style w:type="paragraph" w:customStyle="1" w:styleId="DHHSheader">
    <w:name w:val="DHHS header"/>
    <w:basedOn w:val="DHHSfooter"/>
    <w:uiPriority w:val="11"/>
    <w:rsid w:val="002205D2"/>
  </w:style>
  <w:style w:type="paragraph" w:customStyle="1" w:styleId="DHHSnumberdigit">
    <w:name w:val="DHHS number digit"/>
    <w:basedOn w:val="DHHSbody"/>
    <w:uiPriority w:val="2"/>
    <w:rsid w:val="002205D2"/>
    <w:pPr>
      <w:tabs>
        <w:tab w:val="num" w:pos="397"/>
      </w:tabs>
      <w:ind w:left="397" w:hanging="397"/>
    </w:pPr>
  </w:style>
  <w:style w:type="paragraph" w:customStyle="1" w:styleId="DHHStablecolhead">
    <w:name w:val="DHHS table col head"/>
    <w:uiPriority w:val="3"/>
    <w:qFormat/>
    <w:rsid w:val="002205D2"/>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2205D2"/>
    <w:pPr>
      <w:spacing w:before="240"/>
    </w:pPr>
  </w:style>
  <w:style w:type="paragraph" w:customStyle="1" w:styleId="DHHSTOCheadingreport">
    <w:name w:val="DHHS TOC heading report"/>
    <w:basedOn w:val="Heading1"/>
    <w:link w:val="DHHSTOCheadingreportChar"/>
    <w:uiPriority w:val="5"/>
    <w:rsid w:val="002205D2"/>
    <w:pPr>
      <w:spacing w:before="0" w:after="440" w:line="440" w:lineRule="atLeast"/>
      <w:outlineLvl w:val="9"/>
    </w:pPr>
    <w:rPr>
      <w:rFonts w:eastAsia="Times New Roman" w:cs="Times New Roman"/>
      <w:color w:val="87189D"/>
      <w:kern w:val="0"/>
    </w:rPr>
  </w:style>
  <w:style w:type="character" w:customStyle="1" w:styleId="DHHSTOCheadingreportChar">
    <w:name w:val="DHHS TOC heading report Char"/>
    <w:link w:val="DHHSTOCheadingreport"/>
    <w:uiPriority w:val="5"/>
    <w:rsid w:val="002205D2"/>
    <w:rPr>
      <w:rFonts w:ascii="Arial" w:hAnsi="Arial"/>
      <w:bCs/>
      <w:color w:val="87189D"/>
      <w:sz w:val="44"/>
      <w:szCs w:val="44"/>
      <w:lang w:eastAsia="en-US"/>
    </w:rPr>
  </w:style>
  <w:style w:type="paragraph" w:customStyle="1" w:styleId="DHHSaccessibilitypara">
    <w:name w:val="DHHS accessibility para"/>
    <w:uiPriority w:val="8"/>
    <w:rsid w:val="002205D2"/>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2205D2"/>
    <w:pPr>
      <w:spacing w:after="0"/>
    </w:pPr>
  </w:style>
  <w:style w:type="paragraph" w:customStyle="1" w:styleId="DHHSquote">
    <w:name w:val="DHHS quote"/>
    <w:basedOn w:val="DHHSbody"/>
    <w:uiPriority w:val="4"/>
    <w:rsid w:val="002205D2"/>
    <w:pPr>
      <w:ind w:left="397"/>
    </w:pPr>
    <w:rPr>
      <w:szCs w:val="18"/>
    </w:rPr>
  </w:style>
  <w:style w:type="paragraph" w:customStyle="1" w:styleId="DHHSnumberlowerroman">
    <w:name w:val="DHHS number lower roman"/>
    <w:basedOn w:val="DHHSbody"/>
    <w:uiPriority w:val="3"/>
    <w:rsid w:val="002205D2"/>
    <w:pPr>
      <w:ind w:left="227" w:hanging="227"/>
    </w:pPr>
  </w:style>
  <w:style w:type="paragraph" w:customStyle="1" w:styleId="DHHSnumberlowerromanindent">
    <w:name w:val="DHHS number lower roman indent"/>
    <w:basedOn w:val="DHHSbody"/>
    <w:uiPriority w:val="3"/>
    <w:rsid w:val="002205D2"/>
    <w:pPr>
      <w:tabs>
        <w:tab w:val="num" w:pos="227"/>
      </w:tabs>
      <w:ind w:left="454" w:hanging="227"/>
    </w:pPr>
  </w:style>
  <w:style w:type="paragraph" w:customStyle="1" w:styleId="DHHSnumberdigitindent">
    <w:name w:val="DHHS number digit indent"/>
    <w:basedOn w:val="DHHSnumberloweralphaindent"/>
    <w:uiPriority w:val="3"/>
    <w:rsid w:val="002205D2"/>
    <w:pPr>
      <w:tabs>
        <w:tab w:val="num" w:pos="794"/>
      </w:tabs>
      <w:ind w:left="794" w:hanging="397"/>
    </w:pPr>
  </w:style>
  <w:style w:type="paragraph" w:customStyle="1" w:styleId="DHHSbodyafterbullets">
    <w:name w:val="DHHS body after bullets"/>
    <w:basedOn w:val="DHHSbody"/>
    <w:uiPriority w:val="11"/>
    <w:rsid w:val="002205D2"/>
    <w:pPr>
      <w:spacing w:before="120"/>
    </w:pPr>
  </w:style>
  <w:style w:type="paragraph" w:customStyle="1" w:styleId="DHHSbulletafternumbers1">
    <w:name w:val="DHHS bullet after numbers 1"/>
    <w:basedOn w:val="DHHSbody"/>
    <w:uiPriority w:val="4"/>
    <w:rsid w:val="002205D2"/>
    <w:pPr>
      <w:ind w:left="794" w:hanging="397"/>
    </w:pPr>
  </w:style>
  <w:style w:type="paragraph" w:customStyle="1" w:styleId="DHHSbulletafternumbers2">
    <w:name w:val="DHHS bullet after numbers 2"/>
    <w:basedOn w:val="DHHSbody"/>
    <w:rsid w:val="002205D2"/>
    <w:pPr>
      <w:ind w:left="1191" w:hanging="397"/>
    </w:pPr>
  </w:style>
  <w:style w:type="paragraph" w:customStyle="1" w:styleId="DHHSquotebullet1">
    <w:name w:val="DHHS quote bullet 1"/>
    <w:basedOn w:val="DHHSquote"/>
    <w:rsid w:val="002205D2"/>
    <w:pPr>
      <w:tabs>
        <w:tab w:val="num" w:pos="397"/>
      </w:tabs>
      <w:ind w:hanging="397"/>
    </w:pPr>
  </w:style>
  <w:style w:type="paragraph" w:customStyle="1" w:styleId="DHHSquotebullet2">
    <w:name w:val="DHHS quote bullet 2"/>
    <w:basedOn w:val="DHHSquote"/>
    <w:rsid w:val="002205D2"/>
    <w:pPr>
      <w:tabs>
        <w:tab w:val="num" w:pos="794"/>
      </w:tabs>
      <w:ind w:left="794" w:hanging="397"/>
    </w:pPr>
  </w:style>
  <w:style w:type="paragraph" w:customStyle="1" w:styleId="DHHStablebullet1">
    <w:name w:val="DHHS table bullet 1"/>
    <w:basedOn w:val="DHHStabletext"/>
    <w:uiPriority w:val="3"/>
    <w:qFormat/>
    <w:rsid w:val="002205D2"/>
    <w:pPr>
      <w:ind w:left="227" w:hanging="227"/>
    </w:pPr>
  </w:style>
  <w:style w:type="paragraph" w:customStyle="1" w:styleId="DHHStablebullet2">
    <w:name w:val="DHHS table bullet 2"/>
    <w:basedOn w:val="DHHStabletext"/>
    <w:uiPriority w:val="11"/>
    <w:rsid w:val="002205D2"/>
    <w:pPr>
      <w:tabs>
        <w:tab w:val="num" w:pos="227"/>
      </w:tabs>
      <w:ind w:left="454" w:hanging="227"/>
    </w:pPr>
  </w:style>
  <w:style w:type="paragraph" w:customStyle="1" w:styleId="DHHSbullet1lastline">
    <w:name w:val="DHHS bullet 1 last line"/>
    <w:basedOn w:val="DHHSbullet1"/>
    <w:qFormat/>
    <w:rsid w:val="002205D2"/>
    <w:pPr>
      <w:spacing w:after="120"/>
    </w:pPr>
  </w:style>
  <w:style w:type="paragraph" w:customStyle="1" w:styleId="DHHSbullet2lastline">
    <w:name w:val="DHHS bullet 2 last line"/>
    <w:basedOn w:val="DHHSbullet2"/>
    <w:uiPriority w:val="2"/>
    <w:qFormat/>
    <w:rsid w:val="002205D2"/>
    <w:pPr>
      <w:spacing w:after="120"/>
      <w:ind w:left="567" w:hanging="283"/>
    </w:pPr>
  </w:style>
  <w:style w:type="paragraph" w:customStyle="1" w:styleId="DHHStablebullet">
    <w:name w:val="DHHS table bullet"/>
    <w:basedOn w:val="DHHStabletext"/>
    <w:uiPriority w:val="3"/>
    <w:qFormat/>
    <w:rsid w:val="002205D2"/>
    <w:pPr>
      <w:ind w:left="227" w:hanging="227"/>
    </w:pPr>
  </w:style>
  <w:style w:type="paragraph" w:customStyle="1" w:styleId="DHHSbulletindent">
    <w:name w:val="DHHS bullet indent"/>
    <w:basedOn w:val="DHHSbody"/>
    <w:uiPriority w:val="4"/>
    <w:rsid w:val="002205D2"/>
    <w:pPr>
      <w:spacing w:after="40"/>
      <w:ind w:left="680" w:hanging="283"/>
    </w:pPr>
  </w:style>
  <w:style w:type="paragraph" w:customStyle="1" w:styleId="DHHSbulletindentlastline">
    <w:name w:val="DHHS bullet indent last line"/>
    <w:basedOn w:val="DHHSbody"/>
    <w:uiPriority w:val="4"/>
    <w:rsid w:val="002205D2"/>
    <w:pPr>
      <w:ind w:left="680" w:hanging="283"/>
    </w:pPr>
  </w:style>
  <w:style w:type="paragraph" w:styleId="ListParagraph">
    <w:name w:val="List Paragraph"/>
    <w:basedOn w:val="Normal"/>
    <w:uiPriority w:val="34"/>
    <w:qFormat/>
    <w:rsid w:val="002205D2"/>
    <w:pPr>
      <w:overflowPunct w:val="0"/>
      <w:autoSpaceDE w:val="0"/>
      <w:autoSpaceDN w:val="0"/>
      <w:adjustRightInd w:val="0"/>
      <w:spacing w:after="0" w:line="240" w:lineRule="auto"/>
      <w:ind w:left="720"/>
      <w:contextualSpacing/>
      <w:textAlignment w:val="baseline"/>
    </w:pPr>
    <w:rPr>
      <w:rFonts w:ascii="Times New Roman" w:hAnsi="Times New Roman"/>
      <w:sz w:val="20"/>
    </w:rPr>
  </w:style>
  <w:style w:type="paragraph" w:styleId="BodyText">
    <w:name w:val="Body Text"/>
    <w:basedOn w:val="Normal"/>
    <w:link w:val="BodyTextChar"/>
    <w:uiPriority w:val="1"/>
    <w:qFormat/>
    <w:rsid w:val="002205D2"/>
    <w:pPr>
      <w:widowControl w:val="0"/>
      <w:autoSpaceDE w:val="0"/>
      <w:autoSpaceDN w:val="0"/>
      <w:adjustRightInd w:val="0"/>
      <w:spacing w:before="160" w:after="0" w:line="240" w:lineRule="auto"/>
      <w:ind w:left="104" w:hanging="397"/>
    </w:pPr>
    <w:rPr>
      <w:rFonts w:eastAsiaTheme="minorEastAsia" w:cs="Arial"/>
      <w:sz w:val="20"/>
      <w:lang w:eastAsia="zh-CN"/>
    </w:rPr>
  </w:style>
  <w:style w:type="character" w:customStyle="1" w:styleId="BodyTextChar">
    <w:name w:val="Body Text Char"/>
    <w:basedOn w:val="DefaultParagraphFont"/>
    <w:link w:val="BodyText"/>
    <w:uiPriority w:val="1"/>
    <w:rsid w:val="002205D2"/>
    <w:rPr>
      <w:rFonts w:ascii="Arial" w:eastAsiaTheme="minorEastAsia" w:hAnsi="Arial" w:cs="Arial"/>
      <w:lang w:eastAsia="zh-CN"/>
    </w:rPr>
  </w:style>
  <w:style w:type="paragraph" w:customStyle="1" w:styleId="paragraph">
    <w:name w:val="paragraph"/>
    <w:basedOn w:val="Normal"/>
    <w:rsid w:val="002205D2"/>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2205D2"/>
  </w:style>
  <w:style w:type="character" w:customStyle="1" w:styleId="eop">
    <w:name w:val="eop"/>
    <w:basedOn w:val="DefaultParagraphFont"/>
    <w:rsid w:val="002205D2"/>
  </w:style>
  <w:style w:type="paragraph" w:customStyle="1" w:styleId="xmsonormal">
    <w:name w:val="x_msonormal"/>
    <w:basedOn w:val="Normal"/>
    <w:rsid w:val="002205D2"/>
    <w:pPr>
      <w:spacing w:after="0" w:line="240" w:lineRule="auto"/>
    </w:pPr>
    <w:rPr>
      <w:rFonts w:ascii="Calibri" w:eastAsiaTheme="minorHAnsi" w:hAnsi="Calibri" w:cs="Calibri"/>
      <w:sz w:val="22"/>
      <w:szCs w:val="22"/>
      <w:lang w:eastAsia="en-AU"/>
    </w:rPr>
  </w:style>
  <w:style w:type="character" w:customStyle="1" w:styleId="DHHSbodyChar">
    <w:name w:val="DHHS body Char"/>
    <w:link w:val="DHHSbody"/>
    <w:rsid w:val="002205D2"/>
    <w:rPr>
      <w:rFonts w:ascii="Arial" w:eastAsia="Times" w:hAnsi="Arial"/>
      <w:lang w:eastAsia="en-US"/>
    </w:rPr>
  </w:style>
  <w:style w:type="character" w:customStyle="1" w:styleId="HeaderChar">
    <w:name w:val="Header Char"/>
    <w:basedOn w:val="DefaultParagraphFont"/>
    <w:link w:val="Header"/>
    <w:uiPriority w:val="99"/>
    <w:rsid w:val="00B872F2"/>
    <w:rPr>
      <w:rFonts w:ascii="Arial" w:hAnsi="Arial" w:cs="Arial"/>
      <w:b/>
      <w:color w:val="53565A"/>
      <w:sz w:val="18"/>
      <w:szCs w:val="18"/>
      <w:lang w:eastAsia="en-US"/>
    </w:rPr>
  </w:style>
  <w:style w:type="character" w:styleId="Mention">
    <w:name w:val="Mention"/>
    <w:basedOn w:val="DefaultParagraphFont"/>
    <w:uiPriority w:val="99"/>
    <w:unhideWhenUsed/>
    <w:rsid w:val="00961587"/>
    <w:rPr>
      <w:color w:val="2B579A"/>
      <w:shd w:val="clear" w:color="auto" w:fill="E1DFDD"/>
    </w:rPr>
  </w:style>
  <w:style w:type="paragraph" w:customStyle="1" w:styleId="Heading-clause">
    <w:name w:val="Heading - clause"/>
    <w:next w:val="Normal"/>
    <w:qFormat/>
    <w:rsid w:val="00893E3D"/>
    <w:pPr>
      <w:numPr>
        <w:numId w:val="8"/>
      </w:numPr>
      <w:spacing w:before="360" w:after="120" w:line="280" w:lineRule="exact"/>
      <w:jc w:val="both"/>
    </w:pPr>
    <w:rPr>
      <w:rFonts w:eastAsiaTheme="minorHAnsi"/>
      <w:b/>
      <w:bCs/>
      <w:sz w:val="24"/>
      <w:szCs w:val="24"/>
      <w:lang w:eastAsia="en-US"/>
    </w:rPr>
  </w:style>
  <w:style w:type="numbering" w:customStyle="1" w:styleId="Orderclausesnumberingliststyle">
    <w:name w:val="Order clauses numbering list style"/>
    <w:uiPriority w:val="99"/>
    <w:rsid w:val="00893E3D"/>
    <w:pPr>
      <w:numPr>
        <w:numId w:val="7"/>
      </w:numPr>
    </w:pPr>
  </w:style>
  <w:style w:type="paragraph" w:customStyle="1" w:styleId="Text3subparagraph">
    <w:name w:val="Text – 3 subparagraph"/>
    <w:qFormat/>
    <w:rsid w:val="00893E3D"/>
    <w:pPr>
      <w:numPr>
        <w:ilvl w:val="5"/>
        <w:numId w:val="8"/>
      </w:numPr>
      <w:spacing w:before="240" w:after="120" w:line="280" w:lineRule="exact"/>
      <w:jc w:val="both"/>
    </w:pPr>
    <w:rPr>
      <w:rFonts w:eastAsiaTheme="minorHAnsi"/>
      <w:sz w:val="24"/>
      <w:szCs w:val="24"/>
      <w:lang w:eastAsia="en-US"/>
    </w:rPr>
  </w:style>
  <w:style w:type="paragraph" w:customStyle="1" w:styleId="Text4subparagraph">
    <w:name w:val="Text – 4 subparagraph"/>
    <w:qFormat/>
    <w:rsid w:val="00893E3D"/>
    <w:pPr>
      <w:numPr>
        <w:ilvl w:val="6"/>
        <w:numId w:val="8"/>
      </w:numPr>
      <w:spacing w:before="240" w:after="120" w:line="280" w:lineRule="exact"/>
      <w:jc w:val="both"/>
    </w:pPr>
    <w:rPr>
      <w:rFonts w:eastAsiaTheme="minorHAnsi"/>
      <w:sz w:val="24"/>
      <w:szCs w:val="24"/>
      <w:lang w:eastAsia="en-US"/>
    </w:rPr>
  </w:style>
  <w:style w:type="paragraph" w:customStyle="1" w:styleId="Text5subparagraph">
    <w:name w:val="Text – 5 subparagraph"/>
    <w:qFormat/>
    <w:rsid w:val="00893E3D"/>
    <w:pPr>
      <w:numPr>
        <w:ilvl w:val="7"/>
        <w:numId w:val="8"/>
      </w:numPr>
      <w:spacing w:before="240" w:after="120" w:line="280" w:lineRule="exact"/>
      <w:jc w:val="both"/>
    </w:pPr>
    <w:rPr>
      <w:rFonts w:eastAsiaTheme="minorHAnsi"/>
      <w:sz w:val="24"/>
      <w:szCs w:val="24"/>
      <w:lang w:eastAsia="en-US"/>
    </w:rPr>
  </w:style>
  <w:style w:type="paragraph" w:customStyle="1" w:styleId="Text-paragraph">
    <w:name w:val="Text - paragraph"/>
    <w:link w:val="Text-paragraphChar"/>
    <w:qFormat/>
    <w:rsid w:val="00893E3D"/>
    <w:pPr>
      <w:numPr>
        <w:ilvl w:val="2"/>
        <w:numId w:val="8"/>
      </w:numPr>
      <w:spacing w:before="240" w:after="120" w:line="280" w:lineRule="exact"/>
      <w:jc w:val="both"/>
    </w:pPr>
    <w:rPr>
      <w:rFonts w:eastAsiaTheme="minorHAnsi"/>
      <w:sz w:val="24"/>
      <w:szCs w:val="24"/>
      <w:lang w:eastAsia="en-US"/>
    </w:rPr>
  </w:style>
  <w:style w:type="character" w:customStyle="1" w:styleId="Text-paragraphChar">
    <w:name w:val="Text - paragraph Char"/>
    <w:basedOn w:val="DefaultParagraphFont"/>
    <w:link w:val="Text-paragraph"/>
    <w:rsid w:val="00893E3D"/>
    <w:rPr>
      <w:rFonts w:eastAsiaTheme="minorHAnsi"/>
      <w:sz w:val="24"/>
      <w:szCs w:val="24"/>
      <w:lang w:eastAsia="en-US"/>
    </w:rPr>
  </w:style>
  <w:style w:type="paragraph" w:customStyle="1" w:styleId="Text-subclause">
    <w:name w:val="Text - subclause"/>
    <w:qFormat/>
    <w:rsid w:val="00893E3D"/>
    <w:pPr>
      <w:numPr>
        <w:ilvl w:val="1"/>
        <w:numId w:val="8"/>
      </w:numPr>
      <w:spacing w:before="240" w:after="120" w:line="280" w:lineRule="exact"/>
      <w:jc w:val="both"/>
    </w:pPr>
    <w:rPr>
      <w:rFonts w:eastAsiaTheme="minorHAnsi"/>
      <w:sz w:val="24"/>
      <w:szCs w:val="24"/>
      <w:lang w:eastAsia="en-US"/>
    </w:rPr>
  </w:style>
  <w:style w:type="paragraph" w:customStyle="1" w:styleId="Text-subparagraph">
    <w:name w:val="Text - subparagraph"/>
    <w:qFormat/>
    <w:rsid w:val="00893E3D"/>
    <w:pPr>
      <w:numPr>
        <w:ilvl w:val="3"/>
        <w:numId w:val="8"/>
      </w:numPr>
      <w:spacing w:before="240" w:after="120" w:line="280" w:lineRule="exact"/>
      <w:jc w:val="both"/>
    </w:pPr>
    <w:rPr>
      <w:rFonts w:eastAsiaTheme="minorHAnsi"/>
      <w:sz w:val="24"/>
      <w:szCs w:val="24"/>
      <w:lang w:eastAsia="en-US"/>
    </w:rPr>
  </w:style>
  <w:style w:type="paragraph" w:customStyle="1" w:styleId="Text-sub-subparagraph">
    <w:name w:val="Text - sub-subparagraph"/>
    <w:qFormat/>
    <w:rsid w:val="00893E3D"/>
    <w:pPr>
      <w:numPr>
        <w:ilvl w:val="4"/>
        <w:numId w:val="8"/>
      </w:numPr>
      <w:spacing w:before="240" w:after="120" w:line="280" w:lineRule="exact"/>
      <w:jc w:val="both"/>
    </w:pPr>
    <w:rPr>
      <w:rFonts w:eastAsiaTheme="minorHAnsi"/>
      <w:sz w:val="24"/>
      <w:szCs w:val="24"/>
      <w:lang w:eastAsia="en-US"/>
    </w:rPr>
  </w:style>
  <w:style w:type="paragraph" w:customStyle="1" w:styleId="Text6-subparagraph">
    <w:name w:val="Text 6 - subparagraph"/>
    <w:qFormat/>
    <w:rsid w:val="00893E3D"/>
    <w:pPr>
      <w:numPr>
        <w:ilvl w:val="8"/>
        <w:numId w:val="8"/>
      </w:numPr>
      <w:spacing w:before="240" w:after="120" w:line="280" w:lineRule="exact"/>
      <w:jc w:val="both"/>
    </w:pPr>
    <w:rPr>
      <w:rFonts w:eastAsiaTheme="minorHAnsi"/>
      <w:sz w:val="24"/>
      <w:szCs w:val="24"/>
      <w:lang w:eastAsia="en-US"/>
    </w:rPr>
  </w:style>
  <w:style w:type="paragraph" w:styleId="NormalWeb">
    <w:name w:val="Normal (Web)"/>
    <w:basedOn w:val="Normal"/>
    <w:uiPriority w:val="99"/>
    <w:semiHidden/>
    <w:unhideWhenUsed/>
    <w:rsid w:val="00E37D20"/>
    <w:rPr>
      <w:rFonts w:ascii="Times New Roman" w:hAnsi="Times New Roman"/>
      <w:sz w:val="24"/>
      <w:szCs w:val="24"/>
    </w:rPr>
  </w:style>
  <w:style w:type="character" w:customStyle="1" w:styleId="ui-provider">
    <w:name w:val="ui-provider"/>
    <w:basedOn w:val="DefaultParagraphFont"/>
    <w:rsid w:val="006E2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5507">
      <w:bodyDiv w:val="1"/>
      <w:marLeft w:val="0"/>
      <w:marRight w:val="0"/>
      <w:marTop w:val="0"/>
      <w:marBottom w:val="0"/>
      <w:divBdr>
        <w:top w:val="none" w:sz="0" w:space="0" w:color="auto"/>
        <w:left w:val="none" w:sz="0" w:space="0" w:color="auto"/>
        <w:bottom w:val="none" w:sz="0" w:space="0" w:color="auto"/>
        <w:right w:val="none" w:sz="0" w:space="0" w:color="auto"/>
      </w:divBdr>
      <w:divsChild>
        <w:div w:id="453062349">
          <w:marLeft w:val="0"/>
          <w:marRight w:val="0"/>
          <w:marTop w:val="0"/>
          <w:marBottom w:val="0"/>
          <w:divBdr>
            <w:top w:val="none" w:sz="0" w:space="0" w:color="auto"/>
            <w:left w:val="none" w:sz="0" w:space="0" w:color="auto"/>
            <w:bottom w:val="none" w:sz="0" w:space="0" w:color="auto"/>
            <w:right w:val="none" w:sz="0" w:space="0" w:color="auto"/>
          </w:divBdr>
        </w:div>
        <w:div w:id="807630713">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22496236">
      <w:bodyDiv w:val="1"/>
      <w:marLeft w:val="0"/>
      <w:marRight w:val="0"/>
      <w:marTop w:val="0"/>
      <w:marBottom w:val="0"/>
      <w:divBdr>
        <w:top w:val="none" w:sz="0" w:space="0" w:color="auto"/>
        <w:left w:val="none" w:sz="0" w:space="0" w:color="auto"/>
        <w:bottom w:val="none" w:sz="0" w:space="0" w:color="auto"/>
        <w:right w:val="none" w:sz="0" w:space="0" w:color="auto"/>
      </w:divBdr>
      <w:divsChild>
        <w:div w:id="51930923">
          <w:marLeft w:val="0"/>
          <w:marRight w:val="0"/>
          <w:marTop w:val="0"/>
          <w:marBottom w:val="0"/>
          <w:divBdr>
            <w:top w:val="none" w:sz="0" w:space="0" w:color="auto"/>
            <w:left w:val="none" w:sz="0" w:space="0" w:color="auto"/>
            <w:bottom w:val="none" w:sz="0" w:space="0" w:color="auto"/>
            <w:right w:val="none" w:sz="0" w:space="0" w:color="auto"/>
          </w:divBdr>
          <w:divsChild>
            <w:div w:id="313921634">
              <w:marLeft w:val="0"/>
              <w:marRight w:val="0"/>
              <w:marTop w:val="0"/>
              <w:marBottom w:val="0"/>
              <w:divBdr>
                <w:top w:val="none" w:sz="0" w:space="0" w:color="auto"/>
                <w:left w:val="none" w:sz="0" w:space="0" w:color="auto"/>
                <w:bottom w:val="none" w:sz="0" w:space="0" w:color="auto"/>
                <w:right w:val="none" w:sz="0" w:space="0" w:color="auto"/>
              </w:divBdr>
            </w:div>
            <w:div w:id="2116246725">
              <w:marLeft w:val="0"/>
              <w:marRight w:val="0"/>
              <w:marTop w:val="0"/>
              <w:marBottom w:val="0"/>
              <w:divBdr>
                <w:top w:val="none" w:sz="0" w:space="0" w:color="auto"/>
                <w:left w:val="none" w:sz="0" w:space="0" w:color="auto"/>
                <w:bottom w:val="none" w:sz="0" w:space="0" w:color="auto"/>
                <w:right w:val="none" w:sz="0" w:space="0" w:color="auto"/>
              </w:divBdr>
            </w:div>
          </w:divsChild>
        </w:div>
        <w:div w:id="233051113">
          <w:marLeft w:val="0"/>
          <w:marRight w:val="0"/>
          <w:marTop w:val="0"/>
          <w:marBottom w:val="0"/>
          <w:divBdr>
            <w:top w:val="none" w:sz="0" w:space="0" w:color="auto"/>
            <w:left w:val="none" w:sz="0" w:space="0" w:color="auto"/>
            <w:bottom w:val="none" w:sz="0" w:space="0" w:color="auto"/>
            <w:right w:val="none" w:sz="0" w:space="0" w:color="auto"/>
          </w:divBdr>
          <w:divsChild>
            <w:div w:id="374617666">
              <w:marLeft w:val="0"/>
              <w:marRight w:val="0"/>
              <w:marTop w:val="0"/>
              <w:marBottom w:val="0"/>
              <w:divBdr>
                <w:top w:val="none" w:sz="0" w:space="0" w:color="auto"/>
                <w:left w:val="none" w:sz="0" w:space="0" w:color="auto"/>
                <w:bottom w:val="none" w:sz="0" w:space="0" w:color="auto"/>
                <w:right w:val="none" w:sz="0" w:space="0" w:color="auto"/>
              </w:divBdr>
            </w:div>
            <w:div w:id="20165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0409174">
      <w:bodyDiv w:val="1"/>
      <w:marLeft w:val="0"/>
      <w:marRight w:val="0"/>
      <w:marTop w:val="0"/>
      <w:marBottom w:val="0"/>
      <w:divBdr>
        <w:top w:val="none" w:sz="0" w:space="0" w:color="auto"/>
        <w:left w:val="none" w:sz="0" w:space="0" w:color="auto"/>
        <w:bottom w:val="none" w:sz="0" w:space="0" w:color="auto"/>
        <w:right w:val="none" w:sz="0" w:space="0" w:color="auto"/>
      </w:divBdr>
    </w:div>
    <w:div w:id="727342855">
      <w:bodyDiv w:val="1"/>
      <w:marLeft w:val="0"/>
      <w:marRight w:val="0"/>
      <w:marTop w:val="0"/>
      <w:marBottom w:val="0"/>
      <w:divBdr>
        <w:top w:val="none" w:sz="0" w:space="0" w:color="auto"/>
        <w:left w:val="none" w:sz="0" w:space="0" w:color="auto"/>
        <w:bottom w:val="none" w:sz="0" w:space="0" w:color="auto"/>
        <w:right w:val="none" w:sz="0" w:space="0" w:color="auto"/>
      </w:divBdr>
      <w:divsChild>
        <w:div w:id="963001790">
          <w:marLeft w:val="0"/>
          <w:marRight w:val="0"/>
          <w:marTop w:val="0"/>
          <w:marBottom w:val="0"/>
          <w:divBdr>
            <w:top w:val="none" w:sz="0" w:space="0" w:color="auto"/>
            <w:left w:val="none" w:sz="0" w:space="0" w:color="auto"/>
            <w:bottom w:val="none" w:sz="0" w:space="0" w:color="auto"/>
            <w:right w:val="none" w:sz="0" w:space="0" w:color="auto"/>
          </w:divBdr>
        </w:div>
        <w:div w:id="1414283508">
          <w:marLeft w:val="0"/>
          <w:marRight w:val="0"/>
          <w:marTop w:val="0"/>
          <w:marBottom w:val="0"/>
          <w:divBdr>
            <w:top w:val="none" w:sz="0" w:space="0" w:color="auto"/>
            <w:left w:val="none" w:sz="0" w:space="0" w:color="auto"/>
            <w:bottom w:val="none" w:sz="0" w:space="0" w:color="auto"/>
            <w:right w:val="none" w:sz="0" w:space="0" w:color="auto"/>
          </w:divBdr>
        </w:div>
      </w:divsChild>
    </w:div>
    <w:div w:id="84837680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8783975">
      <w:bodyDiv w:val="1"/>
      <w:marLeft w:val="0"/>
      <w:marRight w:val="0"/>
      <w:marTop w:val="0"/>
      <w:marBottom w:val="0"/>
      <w:divBdr>
        <w:top w:val="none" w:sz="0" w:space="0" w:color="auto"/>
        <w:left w:val="none" w:sz="0" w:space="0" w:color="auto"/>
        <w:bottom w:val="none" w:sz="0" w:space="0" w:color="auto"/>
        <w:right w:val="none" w:sz="0" w:space="0" w:color="auto"/>
      </w:divBdr>
      <w:divsChild>
        <w:div w:id="720860920">
          <w:marLeft w:val="0"/>
          <w:marRight w:val="0"/>
          <w:marTop w:val="0"/>
          <w:marBottom w:val="0"/>
          <w:divBdr>
            <w:top w:val="none" w:sz="0" w:space="0" w:color="auto"/>
            <w:left w:val="none" w:sz="0" w:space="0" w:color="auto"/>
            <w:bottom w:val="none" w:sz="0" w:space="0" w:color="auto"/>
            <w:right w:val="none" w:sz="0" w:space="0" w:color="auto"/>
          </w:divBdr>
        </w:div>
        <w:div w:id="919563333">
          <w:marLeft w:val="0"/>
          <w:marRight w:val="0"/>
          <w:marTop w:val="0"/>
          <w:marBottom w:val="0"/>
          <w:divBdr>
            <w:top w:val="none" w:sz="0" w:space="0" w:color="auto"/>
            <w:left w:val="none" w:sz="0" w:space="0" w:color="auto"/>
            <w:bottom w:val="none" w:sz="0" w:space="0" w:color="auto"/>
            <w:right w:val="none" w:sz="0" w:space="0" w:color="auto"/>
          </w:divBdr>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4994013">
      <w:bodyDiv w:val="1"/>
      <w:marLeft w:val="0"/>
      <w:marRight w:val="0"/>
      <w:marTop w:val="0"/>
      <w:marBottom w:val="0"/>
      <w:divBdr>
        <w:top w:val="none" w:sz="0" w:space="0" w:color="auto"/>
        <w:left w:val="none" w:sz="0" w:space="0" w:color="auto"/>
        <w:bottom w:val="none" w:sz="0" w:space="0" w:color="auto"/>
        <w:right w:val="none" w:sz="0" w:space="0" w:color="auto"/>
      </w:divBdr>
    </w:div>
    <w:div w:id="1172334981">
      <w:bodyDiv w:val="1"/>
      <w:marLeft w:val="0"/>
      <w:marRight w:val="0"/>
      <w:marTop w:val="0"/>
      <w:marBottom w:val="0"/>
      <w:divBdr>
        <w:top w:val="none" w:sz="0" w:space="0" w:color="auto"/>
        <w:left w:val="none" w:sz="0" w:space="0" w:color="auto"/>
        <w:bottom w:val="none" w:sz="0" w:space="0" w:color="auto"/>
        <w:right w:val="none" w:sz="0" w:space="0" w:color="auto"/>
      </w:divBdr>
    </w:div>
    <w:div w:id="1222597317">
      <w:bodyDiv w:val="1"/>
      <w:marLeft w:val="0"/>
      <w:marRight w:val="0"/>
      <w:marTop w:val="0"/>
      <w:marBottom w:val="0"/>
      <w:divBdr>
        <w:top w:val="none" w:sz="0" w:space="0" w:color="auto"/>
        <w:left w:val="none" w:sz="0" w:space="0" w:color="auto"/>
        <w:bottom w:val="none" w:sz="0" w:space="0" w:color="auto"/>
        <w:right w:val="none" w:sz="0" w:space="0" w:color="auto"/>
      </w:divBdr>
      <w:divsChild>
        <w:div w:id="155918360">
          <w:marLeft w:val="0"/>
          <w:marRight w:val="0"/>
          <w:marTop w:val="0"/>
          <w:marBottom w:val="0"/>
          <w:divBdr>
            <w:top w:val="none" w:sz="0" w:space="0" w:color="auto"/>
            <w:left w:val="none" w:sz="0" w:space="0" w:color="auto"/>
            <w:bottom w:val="none" w:sz="0" w:space="0" w:color="auto"/>
            <w:right w:val="none" w:sz="0" w:space="0" w:color="auto"/>
          </w:divBdr>
        </w:div>
        <w:div w:id="1115438890">
          <w:marLeft w:val="0"/>
          <w:marRight w:val="0"/>
          <w:marTop w:val="0"/>
          <w:marBottom w:val="0"/>
          <w:divBdr>
            <w:top w:val="none" w:sz="0" w:space="0" w:color="auto"/>
            <w:left w:val="none" w:sz="0" w:space="0" w:color="auto"/>
            <w:bottom w:val="none" w:sz="0" w:space="0" w:color="auto"/>
            <w:right w:val="none" w:sz="0" w:space="0" w:color="auto"/>
          </w:divBdr>
        </w:div>
        <w:div w:id="1215191857">
          <w:marLeft w:val="0"/>
          <w:marRight w:val="0"/>
          <w:marTop w:val="0"/>
          <w:marBottom w:val="0"/>
          <w:divBdr>
            <w:top w:val="none" w:sz="0" w:space="0" w:color="auto"/>
            <w:left w:val="none" w:sz="0" w:space="0" w:color="auto"/>
            <w:bottom w:val="none" w:sz="0" w:space="0" w:color="auto"/>
            <w:right w:val="none" w:sz="0" w:space="0" w:color="auto"/>
          </w:divBdr>
        </w:div>
      </w:divsChild>
    </w:div>
    <w:div w:id="1268387607">
      <w:bodyDiv w:val="1"/>
      <w:marLeft w:val="0"/>
      <w:marRight w:val="0"/>
      <w:marTop w:val="0"/>
      <w:marBottom w:val="0"/>
      <w:divBdr>
        <w:top w:val="none" w:sz="0" w:space="0" w:color="auto"/>
        <w:left w:val="none" w:sz="0" w:space="0" w:color="auto"/>
        <w:bottom w:val="none" w:sz="0" w:space="0" w:color="auto"/>
        <w:right w:val="none" w:sz="0" w:space="0" w:color="auto"/>
      </w:divBdr>
    </w:div>
    <w:div w:id="130157178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4789663">
      <w:bodyDiv w:val="1"/>
      <w:marLeft w:val="0"/>
      <w:marRight w:val="0"/>
      <w:marTop w:val="0"/>
      <w:marBottom w:val="0"/>
      <w:divBdr>
        <w:top w:val="none" w:sz="0" w:space="0" w:color="auto"/>
        <w:left w:val="none" w:sz="0" w:space="0" w:color="auto"/>
        <w:bottom w:val="none" w:sz="0" w:space="0" w:color="auto"/>
        <w:right w:val="none" w:sz="0" w:space="0" w:color="auto"/>
      </w:divBdr>
      <w:divsChild>
        <w:div w:id="863904259">
          <w:marLeft w:val="0"/>
          <w:marRight w:val="0"/>
          <w:marTop w:val="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3450651">
      <w:bodyDiv w:val="1"/>
      <w:marLeft w:val="0"/>
      <w:marRight w:val="0"/>
      <w:marTop w:val="0"/>
      <w:marBottom w:val="0"/>
      <w:divBdr>
        <w:top w:val="none" w:sz="0" w:space="0" w:color="auto"/>
        <w:left w:val="none" w:sz="0" w:space="0" w:color="auto"/>
        <w:bottom w:val="none" w:sz="0" w:space="0" w:color="auto"/>
        <w:right w:val="none" w:sz="0" w:space="0" w:color="auto"/>
      </w:divBdr>
      <w:divsChild>
        <w:div w:id="709497707">
          <w:marLeft w:val="0"/>
          <w:marRight w:val="0"/>
          <w:marTop w:val="0"/>
          <w:marBottom w:val="0"/>
          <w:divBdr>
            <w:top w:val="none" w:sz="0" w:space="0" w:color="auto"/>
            <w:left w:val="none" w:sz="0" w:space="0" w:color="auto"/>
            <w:bottom w:val="none" w:sz="0" w:space="0" w:color="auto"/>
            <w:right w:val="none" w:sz="0" w:space="0" w:color="auto"/>
          </w:divBdr>
        </w:div>
        <w:div w:id="2001233882">
          <w:marLeft w:val="0"/>
          <w:marRight w:val="0"/>
          <w:marTop w:val="0"/>
          <w:marBottom w:val="0"/>
          <w:divBdr>
            <w:top w:val="none" w:sz="0" w:space="0" w:color="auto"/>
            <w:left w:val="none" w:sz="0" w:space="0" w:color="auto"/>
            <w:bottom w:val="none" w:sz="0" w:space="0" w:color="auto"/>
            <w:right w:val="none" w:sz="0" w:space="0" w:color="auto"/>
          </w:divBdr>
        </w:div>
        <w:div w:id="2133747111">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0981922">
      <w:bodyDiv w:val="1"/>
      <w:marLeft w:val="0"/>
      <w:marRight w:val="0"/>
      <w:marTop w:val="0"/>
      <w:marBottom w:val="0"/>
      <w:divBdr>
        <w:top w:val="none" w:sz="0" w:space="0" w:color="auto"/>
        <w:left w:val="none" w:sz="0" w:space="0" w:color="auto"/>
        <w:bottom w:val="none" w:sz="0" w:space="0" w:color="auto"/>
        <w:right w:val="none" w:sz="0" w:space="0" w:color="auto"/>
      </w:divBdr>
      <w:divsChild>
        <w:div w:id="601452311">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immunisationhandbook.health.gov.au/contents/vaccine-preventable-diseases/covid-19"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immunisationhandbook.health.gov.au/contents/vaccine-preventable-diseases/covid-19" TargetMode="Externa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vicniss.org.au/healthcare-workers/modules/acute-modules/influenza-vaccination-healthcare-worker-hc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ealth.vic.gov.au/immunisation/vaccination-for-healthcare-workers" TargetMode="External"/><Relationship Id="rId32" Type="http://schemas.openxmlformats.org/officeDocument/2006/relationships/header" Target="header7.xml"/><Relationship Id="rId37"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immunisationhandbook.health.gov.au/contents/vaccine-preventable-diseases/influenza-flu"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health.vic.gov.au/immunisation/vaccination-for-healthcare-work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immunisationhandbook.health.gov.au/contents/vaccine-preventable-diseases/influenza-flu" TargetMode="External"/><Relationship Id="rId30" Type="http://schemas.openxmlformats.org/officeDocument/2006/relationships/hyperlink" Target="mailto:immunisation@health.vic.gov.au" TargetMode="Externa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Christabelle Adjoyan (Health)</DisplayName>
        <AccountId>938</AccountId>
        <AccountType/>
      </UserInfo>
      <UserInfo>
        <DisplayName>Kate Gilbert (Health)</DisplayName>
        <AccountId>422</AccountId>
        <AccountType/>
      </UserInfo>
    </SharedWithUsers>
    <NumericalOrder xmlns="56f13c3b-1a5e-4b20-8813-0ef8710fa369" xsi:nil="true"/>
    <TRIMNumber xmlns="56f13c3b-1a5e-4b20-8813-0ef8710fa369" xsi:nil="true"/>
    <ReconciledwithInvoice xmlns="56f13c3b-1a5e-4b20-8813-0ef8710fa369" xsi:nil="true"/>
  </documentManagement>
</p:properties>
</file>

<file path=customXml/itemProps1.xml><?xml version="1.0" encoding="utf-8"?>
<ds:datastoreItem xmlns:ds="http://schemas.openxmlformats.org/officeDocument/2006/customXml" ds:itemID="{1362A50B-651E-4BB2-B607-AA75C0CF3DF8}">
  <ds:schemaRefs>
    <ds:schemaRef ds:uri="http://schemas.microsoft.com/sharepoint/v3/contenttype/forms"/>
  </ds:schemaRefs>
</ds:datastoreItem>
</file>

<file path=customXml/itemProps2.xml><?xml version="1.0" encoding="utf-8"?>
<ds:datastoreItem xmlns:ds="http://schemas.openxmlformats.org/officeDocument/2006/customXml" ds:itemID="{7F950A7B-EACC-47FE-BCCE-1C5784545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D5E8B10C-8926-49C3-8A79-1492DDAF59EA}">
  <ds:schemaRefs>
    <ds:schemaRef ds:uri="http://schemas.microsoft.com/office/2006/metadata/properties"/>
    <ds:schemaRef ds:uri="http://schemas.microsoft.com/office/infopath/2007/PartnerControls"/>
    <ds:schemaRef ds:uri="56f13c3b-1a5e-4b20-8813-0ef8710fa369"/>
    <ds:schemaRef ds:uri="5ce0f2b5-5be5-4508-bce9-d7011ece0659"/>
    <ds:schemaRef ds:uri="bef801f1-2872-443b-a104-0f84f9fd089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4703</Words>
  <Characters>26813</Characters>
  <Application>Microsoft Office Word</Application>
  <DocSecurity>0</DocSecurity>
  <Lines>223</Lines>
  <Paragraphs>62</Paragraphs>
  <ScaleCrop>false</ScaleCrop>
  <Manager/>
  <Company/>
  <LinksUpToDate>false</LinksUpToDate>
  <CharactersWithSpaces>31454</CharactersWithSpaces>
  <SharedDoc>false</SharedDoc>
  <HyperlinkBase/>
  <HLinks>
    <vt:vector size="120" baseType="variant">
      <vt:variant>
        <vt:i4>5046352</vt:i4>
      </vt:variant>
      <vt:variant>
        <vt:i4>99</vt:i4>
      </vt:variant>
      <vt:variant>
        <vt:i4>0</vt:i4>
      </vt:variant>
      <vt:variant>
        <vt:i4>5</vt:i4>
      </vt:variant>
      <vt:variant>
        <vt:lpwstr>https://www.health.vic.gov.au/immunisation/vaccination-for-healthcare-workers</vt:lpwstr>
      </vt:variant>
      <vt:variant>
        <vt:lpwstr/>
      </vt:variant>
      <vt:variant>
        <vt:i4>2359304</vt:i4>
      </vt:variant>
      <vt:variant>
        <vt:i4>96</vt:i4>
      </vt:variant>
      <vt:variant>
        <vt:i4>0</vt:i4>
      </vt:variant>
      <vt:variant>
        <vt:i4>5</vt:i4>
      </vt:variant>
      <vt:variant>
        <vt:lpwstr>mailto:immunisation@health.vic.gov.au</vt:lpwstr>
      </vt:variant>
      <vt:variant>
        <vt:lpwstr/>
      </vt:variant>
      <vt:variant>
        <vt:i4>1507401</vt:i4>
      </vt:variant>
      <vt:variant>
        <vt:i4>93</vt:i4>
      </vt:variant>
      <vt:variant>
        <vt:i4>0</vt:i4>
      </vt:variant>
      <vt:variant>
        <vt:i4>5</vt:i4>
      </vt:variant>
      <vt:variant>
        <vt:lpwstr>https://www.vicniss.org.au/healthcare-workers/modules/acute-modules/influenza-vaccination-healthcare-worker-hcw/</vt:lpwstr>
      </vt:variant>
      <vt:variant>
        <vt:lpwstr/>
      </vt:variant>
      <vt:variant>
        <vt:i4>458784</vt:i4>
      </vt:variant>
      <vt:variant>
        <vt:i4>87</vt:i4>
      </vt:variant>
      <vt:variant>
        <vt:i4>0</vt:i4>
      </vt:variant>
      <vt:variant>
        <vt:i4>5</vt:i4>
      </vt:variant>
      <vt:variant>
        <vt:lpwstr/>
      </vt:variant>
      <vt:variant>
        <vt:lpwstr>_Table_4._Potential</vt:lpwstr>
      </vt:variant>
      <vt:variant>
        <vt:i4>3276837</vt:i4>
      </vt:variant>
      <vt:variant>
        <vt:i4>84</vt:i4>
      </vt:variant>
      <vt:variant>
        <vt:i4>0</vt:i4>
      </vt:variant>
      <vt:variant>
        <vt:i4>5</vt:i4>
      </vt:variant>
      <vt:variant>
        <vt:lpwstr>https://immunisationhandbook.health.gov.au/contents/vaccine-preventable-diseases/influenza-flu</vt:lpwstr>
      </vt:variant>
      <vt:variant>
        <vt:lpwstr/>
      </vt:variant>
      <vt:variant>
        <vt:i4>1441895</vt:i4>
      </vt:variant>
      <vt:variant>
        <vt:i4>78</vt:i4>
      </vt:variant>
      <vt:variant>
        <vt:i4>0</vt:i4>
      </vt:variant>
      <vt:variant>
        <vt:i4>5</vt:i4>
      </vt:variant>
      <vt:variant>
        <vt:lpwstr/>
      </vt:variant>
      <vt:variant>
        <vt:lpwstr>_Appendix_1_1</vt:lpwstr>
      </vt:variant>
      <vt:variant>
        <vt:i4>3276837</vt:i4>
      </vt:variant>
      <vt:variant>
        <vt:i4>75</vt:i4>
      </vt:variant>
      <vt:variant>
        <vt:i4>0</vt:i4>
      </vt:variant>
      <vt:variant>
        <vt:i4>5</vt:i4>
      </vt:variant>
      <vt:variant>
        <vt:lpwstr>https://immunisationhandbook.health.gov.au/contents/vaccine-preventable-diseases/influenza-flu</vt:lpwstr>
      </vt:variant>
      <vt:variant>
        <vt:lpwstr/>
      </vt:variant>
      <vt:variant>
        <vt:i4>5046352</vt:i4>
      </vt:variant>
      <vt:variant>
        <vt:i4>72</vt:i4>
      </vt:variant>
      <vt:variant>
        <vt:i4>0</vt:i4>
      </vt:variant>
      <vt:variant>
        <vt:i4>5</vt:i4>
      </vt:variant>
      <vt:variant>
        <vt:lpwstr>https://www.health.vic.gov.au/immunisation/vaccination-for-healthcare-workers</vt:lpwstr>
      </vt:variant>
      <vt:variant>
        <vt:lpwstr/>
      </vt:variant>
      <vt:variant>
        <vt:i4>1048629</vt:i4>
      </vt:variant>
      <vt:variant>
        <vt:i4>65</vt:i4>
      </vt:variant>
      <vt:variant>
        <vt:i4>0</vt:i4>
      </vt:variant>
      <vt:variant>
        <vt:i4>5</vt:i4>
      </vt:variant>
      <vt:variant>
        <vt:lpwstr/>
      </vt:variant>
      <vt:variant>
        <vt:lpwstr>_Toc176360432</vt:lpwstr>
      </vt:variant>
      <vt:variant>
        <vt:i4>1048629</vt:i4>
      </vt:variant>
      <vt:variant>
        <vt:i4>59</vt:i4>
      </vt:variant>
      <vt:variant>
        <vt:i4>0</vt:i4>
      </vt:variant>
      <vt:variant>
        <vt:i4>5</vt:i4>
      </vt:variant>
      <vt:variant>
        <vt:lpwstr/>
      </vt:variant>
      <vt:variant>
        <vt:lpwstr>_Toc176360431</vt:lpwstr>
      </vt:variant>
      <vt:variant>
        <vt:i4>1048629</vt:i4>
      </vt:variant>
      <vt:variant>
        <vt:i4>53</vt:i4>
      </vt:variant>
      <vt:variant>
        <vt:i4>0</vt:i4>
      </vt:variant>
      <vt:variant>
        <vt:i4>5</vt:i4>
      </vt:variant>
      <vt:variant>
        <vt:lpwstr/>
      </vt:variant>
      <vt:variant>
        <vt:lpwstr>_Toc176360430</vt:lpwstr>
      </vt:variant>
      <vt:variant>
        <vt:i4>1179701</vt:i4>
      </vt:variant>
      <vt:variant>
        <vt:i4>47</vt:i4>
      </vt:variant>
      <vt:variant>
        <vt:i4>0</vt:i4>
      </vt:variant>
      <vt:variant>
        <vt:i4>5</vt:i4>
      </vt:variant>
      <vt:variant>
        <vt:lpwstr/>
      </vt:variant>
      <vt:variant>
        <vt:lpwstr>_Toc176360414</vt:lpwstr>
      </vt:variant>
      <vt:variant>
        <vt:i4>1245237</vt:i4>
      </vt:variant>
      <vt:variant>
        <vt:i4>41</vt:i4>
      </vt:variant>
      <vt:variant>
        <vt:i4>0</vt:i4>
      </vt:variant>
      <vt:variant>
        <vt:i4>5</vt:i4>
      </vt:variant>
      <vt:variant>
        <vt:lpwstr/>
      </vt:variant>
      <vt:variant>
        <vt:lpwstr>_Toc176360407</vt:lpwstr>
      </vt:variant>
      <vt:variant>
        <vt:i4>1769522</vt:i4>
      </vt:variant>
      <vt:variant>
        <vt:i4>35</vt:i4>
      </vt:variant>
      <vt:variant>
        <vt:i4>0</vt:i4>
      </vt:variant>
      <vt:variant>
        <vt:i4>5</vt:i4>
      </vt:variant>
      <vt:variant>
        <vt:lpwstr/>
      </vt:variant>
      <vt:variant>
        <vt:lpwstr>_Toc176360389</vt:lpwstr>
      </vt:variant>
      <vt:variant>
        <vt:i4>1769522</vt:i4>
      </vt:variant>
      <vt:variant>
        <vt:i4>29</vt:i4>
      </vt:variant>
      <vt:variant>
        <vt:i4>0</vt:i4>
      </vt:variant>
      <vt:variant>
        <vt:i4>5</vt:i4>
      </vt:variant>
      <vt:variant>
        <vt:lpwstr/>
      </vt:variant>
      <vt:variant>
        <vt:lpwstr>_Toc176360384</vt:lpwstr>
      </vt:variant>
      <vt:variant>
        <vt:i4>1441842</vt:i4>
      </vt:variant>
      <vt:variant>
        <vt:i4>23</vt:i4>
      </vt:variant>
      <vt:variant>
        <vt:i4>0</vt:i4>
      </vt:variant>
      <vt:variant>
        <vt:i4>5</vt:i4>
      </vt:variant>
      <vt:variant>
        <vt:lpwstr/>
      </vt:variant>
      <vt:variant>
        <vt:lpwstr>_Toc176360354</vt:lpwstr>
      </vt:variant>
      <vt:variant>
        <vt:i4>1441842</vt:i4>
      </vt:variant>
      <vt:variant>
        <vt:i4>17</vt:i4>
      </vt:variant>
      <vt:variant>
        <vt:i4>0</vt:i4>
      </vt:variant>
      <vt:variant>
        <vt:i4>5</vt:i4>
      </vt:variant>
      <vt:variant>
        <vt:lpwstr/>
      </vt:variant>
      <vt:variant>
        <vt:lpwstr>_Toc176360353</vt:lpwstr>
      </vt:variant>
      <vt:variant>
        <vt:i4>1507378</vt:i4>
      </vt:variant>
      <vt:variant>
        <vt:i4>11</vt:i4>
      </vt:variant>
      <vt:variant>
        <vt:i4>0</vt:i4>
      </vt:variant>
      <vt:variant>
        <vt:i4>5</vt:i4>
      </vt:variant>
      <vt:variant>
        <vt:lpwstr/>
      </vt:variant>
      <vt:variant>
        <vt:lpwstr>_Toc176360349</vt:lpwstr>
      </vt:variant>
      <vt:variant>
        <vt:i4>1507378</vt:i4>
      </vt:variant>
      <vt:variant>
        <vt:i4>5</vt:i4>
      </vt:variant>
      <vt:variant>
        <vt:i4>0</vt:i4>
      </vt:variant>
      <vt:variant>
        <vt:i4>5</vt:i4>
      </vt:variant>
      <vt:variant>
        <vt:lpwstr/>
      </vt:variant>
      <vt:variant>
        <vt:lpwstr>_Toc176360348</vt:lpwstr>
      </vt:variant>
      <vt:variant>
        <vt:i4>1310802</vt:i4>
      </vt:variant>
      <vt:variant>
        <vt:i4>0</vt:i4>
      </vt:variant>
      <vt:variant>
        <vt:i4>0</vt:i4>
      </vt:variant>
      <vt:variant>
        <vt:i4>5</vt:i4>
      </vt:variant>
      <vt:variant>
        <vt:lpwstr>https://immunisationhandbook.health.gov.au/contents/vaccine-preventable-diseases/covid-19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Vaccination of Healthcare Workers Policy Guidance 2022</dc:title>
  <dc:subject>Mandatory vaccination guidelines</dc:subject>
  <dc:creator>Claire East (Health)</dc:creator>
  <cp:keywords>COVID, influenza, flu, vaccination, healthcare workers, mandatory vacciantion, immunisation</cp:keywords>
  <dc:description/>
  <cp:lastModifiedBy>Claire East (Health)</cp:lastModifiedBy>
  <cp:revision>2</cp:revision>
  <dcterms:created xsi:type="dcterms:W3CDTF">2024-10-03T22:50:00Z</dcterms:created>
  <dcterms:modified xsi:type="dcterms:W3CDTF">2024-10-03T22:50:00Z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2023-04-11T05:50:19Z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fa6909be-3dc5-4247-b812-b93c0f0b4108</vt:lpwstr>
  </property>
  <property fmtid="{D5CDD505-2E9C-101B-9397-08002B2CF9AE}" pid="10" name="MSIP_Label_43e64453-338c-4f93-8a4d-0039a0a41f2a_ContentBits">
    <vt:lpwstr>2</vt:lpwstr>
  </property>
</Properties>
</file>