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FC190" w14:textId="31A5545D" w:rsidR="00A62D44" w:rsidRPr="004C6EEE" w:rsidRDefault="0001677A" w:rsidP="00EC40D5">
      <w:pPr>
        <w:pStyle w:val="Sectionbreakfirstpage"/>
        <w:sectPr w:rsidR="00A62D44" w:rsidRPr="004C6EEE" w:rsidSect="00E62622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1" wp14:anchorId="3337B95D" wp14:editId="7BCEF5C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737D3006" w14:textId="77777777" w:rsidTr="003053FB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217472" w14:textId="4A1C42E3" w:rsidR="003B5733" w:rsidRPr="003B5733" w:rsidRDefault="00202E12" w:rsidP="003B5733">
            <w:pPr>
              <w:pStyle w:val="Documenttitle"/>
            </w:pPr>
            <w:bookmarkStart w:id="0" w:name="_Hlk170225552"/>
            <w:r>
              <w:t>T</w:t>
            </w:r>
            <w:r w:rsidR="00143B4A">
              <w:t>ravel</w:t>
            </w:r>
            <w:r>
              <w:t>ling overseas</w:t>
            </w:r>
            <w:r w:rsidR="00143B4A">
              <w:t xml:space="preserve"> with subcutaneous immunoglobulin (SCIg)</w:t>
            </w:r>
            <w:bookmarkEnd w:id="0"/>
          </w:p>
        </w:tc>
      </w:tr>
      <w:tr w:rsidR="003B5733" w14:paraId="665D7E12" w14:textId="77777777" w:rsidTr="003053FB">
        <w:tc>
          <w:tcPr>
            <w:tcW w:w="10348" w:type="dxa"/>
          </w:tcPr>
          <w:p w14:paraId="24A844A0" w14:textId="0BD0D6DD" w:rsidR="003B5733" w:rsidRPr="00A1389F" w:rsidRDefault="00452C8F" w:rsidP="005F44C0">
            <w:pPr>
              <w:pStyle w:val="Documentsubtitle"/>
            </w:pPr>
            <w:r>
              <w:t>Medical/nurse coordinator considerations</w:t>
            </w:r>
          </w:p>
        </w:tc>
      </w:tr>
      <w:tr w:rsidR="003B5733" w14:paraId="2AA00F3E" w14:textId="77777777" w:rsidTr="003053FB">
        <w:tc>
          <w:tcPr>
            <w:tcW w:w="10348" w:type="dxa"/>
          </w:tcPr>
          <w:p w14:paraId="2BBA717A" w14:textId="77777777" w:rsidR="003B5733" w:rsidRPr="001E5058" w:rsidRDefault="00000000" w:rsidP="001E5058">
            <w:pPr>
              <w:pStyle w:val="Bannermarking"/>
            </w:pPr>
            <w:fldSimple w:instr=" FILLIN  &quot;Type the protective marking&quot; \d OFFICIAL \o  \* MERGEFORMAT ">
              <w:r w:rsidR="00641AE2">
                <w:t>OFFICIAL</w:t>
              </w:r>
            </w:fldSimple>
          </w:p>
        </w:tc>
      </w:tr>
    </w:tbl>
    <w:p w14:paraId="28AD5A0A" w14:textId="64B5395A" w:rsidR="00D14792" w:rsidRPr="00D368C3" w:rsidRDefault="00D14792" w:rsidP="002365B4">
      <w:pPr>
        <w:pStyle w:val="TOCheadingfactsheet"/>
        <w:rPr>
          <w:b w:val="0"/>
          <w:bCs/>
          <w:color w:val="auto"/>
          <w:sz w:val="22"/>
          <w:szCs w:val="22"/>
        </w:rPr>
      </w:pPr>
      <w:r w:rsidRPr="00D368C3">
        <w:rPr>
          <w:b w:val="0"/>
          <w:bCs/>
          <w:color w:val="auto"/>
          <w:sz w:val="22"/>
          <w:szCs w:val="22"/>
        </w:rPr>
        <w:t xml:space="preserve">More detailed information regarding </w:t>
      </w:r>
      <w:hyperlink r:id="rId13" w:history="1">
        <w:r w:rsidRPr="00D368C3">
          <w:rPr>
            <w:rStyle w:val="Hyperlink"/>
            <w:b w:val="0"/>
            <w:bCs/>
            <w:sz w:val="22"/>
            <w:szCs w:val="22"/>
          </w:rPr>
          <w:t>travelling with blood products in or outside Australia</w:t>
        </w:r>
      </w:hyperlink>
      <w:r w:rsidR="00397508">
        <w:rPr>
          <w:rStyle w:val="Hyperlink"/>
          <w:b w:val="0"/>
          <w:bCs/>
          <w:sz w:val="22"/>
          <w:szCs w:val="22"/>
        </w:rPr>
        <w:t xml:space="preserve"> </w:t>
      </w:r>
      <w:r w:rsidR="00397508" w:rsidRPr="00D368C3">
        <w:rPr>
          <w:b w:val="0"/>
          <w:bCs/>
          <w:color w:val="auto"/>
          <w:sz w:val="22"/>
          <w:szCs w:val="22"/>
        </w:rPr>
        <w:t>is available at the National Blood Authority (NBA) website</w:t>
      </w:r>
      <w:r w:rsidR="00BA2A3A">
        <w:rPr>
          <w:b w:val="0"/>
          <w:bCs/>
          <w:color w:val="auto"/>
          <w:sz w:val="22"/>
          <w:szCs w:val="22"/>
        </w:rPr>
        <w:t xml:space="preserve"> </w:t>
      </w:r>
      <w:r w:rsidR="00397508">
        <w:rPr>
          <w:rStyle w:val="Hyperlink"/>
          <w:b w:val="0"/>
          <w:bCs/>
          <w:sz w:val="22"/>
          <w:szCs w:val="22"/>
        </w:rPr>
        <w:t>&lt;</w:t>
      </w:r>
      <w:r w:rsidR="00397508" w:rsidRPr="00397508">
        <w:rPr>
          <w:rStyle w:val="Hyperlink"/>
          <w:b w:val="0"/>
          <w:bCs/>
          <w:sz w:val="22"/>
          <w:szCs w:val="22"/>
        </w:rPr>
        <w:t>https://www.blood.gov.au/patient-information/travelling-blood-products-or-outside-australia</w:t>
      </w:r>
      <w:r w:rsidR="00397508">
        <w:rPr>
          <w:rStyle w:val="Hyperlink"/>
          <w:b w:val="0"/>
          <w:bCs/>
          <w:sz w:val="22"/>
          <w:szCs w:val="22"/>
        </w:rPr>
        <w:t>&gt;</w:t>
      </w:r>
      <w:r w:rsidRPr="00D368C3">
        <w:rPr>
          <w:b w:val="0"/>
          <w:bCs/>
          <w:color w:val="auto"/>
          <w:sz w:val="22"/>
          <w:szCs w:val="22"/>
        </w:rPr>
        <w:t xml:space="preserve"> </w:t>
      </w:r>
    </w:p>
    <w:p w14:paraId="067D6870" w14:textId="5F92DFD1" w:rsidR="00D14792" w:rsidRPr="00D368C3" w:rsidRDefault="00D14792" w:rsidP="00D14792">
      <w:pPr>
        <w:pStyle w:val="Body"/>
        <w:rPr>
          <w:sz w:val="22"/>
          <w:szCs w:val="22"/>
        </w:rPr>
      </w:pPr>
      <w:r w:rsidRPr="00D368C3">
        <w:rPr>
          <w:sz w:val="22"/>
          <w:szCs w:val="22"/>
        </w:rPr>
        <w:t xml:space="preserve">For assistance, if required, contact Australian Red Cross Lifeblood (Lifeblood) </w:t>
      </w:r>
      <w:r w:rsidR="00080D4D">
        <w:rPr>
          <w:sz w:val="22"/>
          <w:szCs w:val="22"/>
        </w:rPr>
        <w:t>Transfusion Support</w:t>
      </w:r>
      <w:r w:rsidRPr="00D368C3">
        <w:rPr>
          <w:sz w:val="22"/>
          <w:szCs w:val="22"/>
        </w:rPr>
        <w:t xml:space="preserve"> </w:t>
      </w:r>
      <w:r w:rsidR="00080D4D">
        <w:rPr>
          <w:sz w:val="22"/>
          <w:szCs w:val="22"/>
        </w:rPr>
        <w:t>&lt;</w:t>
      </w:r>
      <w:hyperlink r:id="rId14" w:history="1">
        <w:r w:rsidR="00080D4D" w:rsidRPr="00684056">
          <w:rPr>
            <w:rStyle w:val="Hyperlink"/>
            <w:sz w:val="22"/>
            <w:szCs w:val="22"/>
          </w:rPr>
          <w:t>csradmintransfusionsupportaus@redcrossblood.org.au</w:t>
        </w:r>
      </w:hyperlink>
      <w:r w:rsidR="00080D4D">
        <w:rPr>
          <w:rStyle w:val="Hyperlink"/>
          <w:sz w:val="22"/>
          <w:szCs w:val="22"/>
        </w:rPr>
        <w:t>&gt;</w:t>
      </w:r>
      <w:r w:rsidRPr="00D368C3">
        <w:rPr>
          <w:sz w:val="22"/>
          <w:szCs w:val="22"/>
        </w:rPr>
        <w:t xml:space="preserve"> </w:t>
      </w:r>
    </w:p>
    <w:p w14:paraId="0EA252BA" w14:textId="77777777" w:rsidR="00D14792" w:rsidRPr="00D14792" w:rsidRDefault="00D14792" w:rsidP="00D14792">
      <w:pPr>
        <w:pStyle w:val="Body"/>
        <w:rPr>
          <w:sz w:val="24"/>
          <w:szCs w:val="24"/>
        </w:rPr>
      </w:pPr>
    </w:p>
    <w:p w14:paraId="3A9EB1D0" w14:textId="019DF818" w:rsidR="00D14792" w:rsidRDefault="00C95A14" w:rsidP="00833ADE">
      <w:pPr>
        <w:pStyle w:val="Numberdigit"/>
      </w:pPr>
      <w:r>
        <w:t>Current authorisation for SCIg in BloodSTAR</w:t>
      </w:r>
    </w:p>
    <w:p w14:paraId="75184403" w14:textId="1B73C7BE" w:rsidR="00D14792" w:rsidRDefault="00C95A14" w:rsidP="00D14792">
      <w:pPr>
        <w:pStyle w:val="Bulletafternumbers1"/>
      </w:pPr>
      <w:r>
        <w:t>Consider an infusion of intravenous immunoglobulin (</w:t>
      </w:r>
      <w:r>
        <w:tab/>
        <w:t>IVIg) prior to travel and upon return to avoid the need to take any product overseas – depending on duration of travel and clinical condition. This would need to be requested and authorised through BloodSTAR.</w:t>
      </w:r>
    </w:p>
    <w:p w14:paraId="1B13D5B3" w14:textId="711663EA" w:rsidR="00C95A14" w:rsidRDefault="00C95A14" w:rsidP="00C95A14">
      <w:pPr>
        <w:pStyle w:val="Bulletafternumbers1"/>
      </w:pPr>
      <w:r>
        <w:t>The patient must have a current SCIg authorisation in BloodSTAR which must be valid for the full duration of travel. The treating doctor may need to complete a patient review to extend the authorisation period to cover the duration of travel.</w:t>
      </w:r>
    </w:p>
    <w:p w14:paraId="4AAAE929" w14:textId="4A87479A" w:rsidR="00C95A14" w:rsidRDefault="00C95A14" w:rsidP="00FC7B78">
      <w:pPr>
        <w:pStyle w:val="Bulletafternumbers1"/>
      </w:pPr>
      <w:r>
        <w:t xml:space="preserve">Lifeblood will confirm that the BloodSTAR authorisation is valid for the full duration of travel. </w:t>
      </w:r>
    </w:p>
    <w:p w14:paraId="3FBD2FA5" w14:textId="2E5DD660" w:rsidR="00876310" w:rsidRDefault="00876310" w:rsidP="00D14792">
      <w:pPr>
        <w:pStyle w:val="Numberdigit"/>
      </w:pPr>
      <w:r>
        <w:t>Product storage and transport conditions</w:t>
      </w:r>
    </w:p>
    <w:p w14:paraId="290712C0" w14:textId="5095C8BC" w:rsidR="00876310" w:rsidRDefault="00876310" w:rsidP="00876310">
      <w:pPr>
        <w:pStyle w:val="Bulletafternumbers1"/>
      </w:pPr>
      <w:r>
        <w:t>Patients are required to supply and pack the SCIg product in a suitable cooler bag which will maintain the relevant temperature</w:t>
      </w:r>
      <w:r w:rsidR="00270FC7">
        <w:t xml:space="preserve"> for the product</w:t>
      </w:r>
      <w:r>
        <w:t>.</w:t>
      </w:r>
    </w:p>
    <w:p w14:paraId="20E6A21C" w14:textId="60566234" w:rsidR="00876310" w:rsidRDefault="00876310" w:rsidP="00876310">
      <w:pPr>
        <w:pStyle w:val="Bulletafternumbers1"/>
      </w:pPr>
      <w:r>
        <w:t>Hizentra</w:t>
      </w:r>
      <w:r>
        <w:rPr>
          <w:rFonts w:cs="Arial"/>
        </w:rPr>
        <w:t>®</w:t>
      </w:r>
      <w:r>
        <w:t xml:space="preserve"> and Hizentra</w:t>
      </w:r>
      <w:r>
        <w:rPr>
          <w:rFonts w:cs="Arial"/>
        </w:rPr>
        <w:t>®</w:t>
      </w:r>
      <w:r>
        <w:t xml:space="preserve"> AU must be stored and transported below 25</w:t>
      </w:r>
      <w:r>
        <w:rPr>
          <w:rFonts w:cs="Arial"/>
        </w:rPr>
        <w:t>°</w:t>
      </w:r>
      <w:r>
        <w:t>C (room temperature).</w:t>
      </w:r>
    </w:p>
    <w:p w14:paraId="0C2A26B8" w14:textId="77777777" w:rsidR="00876310" w:rsidRDefault="00876310" w:rsidP="00876310">
      <w:pPr>
        <w:pStyle w:val="Bulletafternumbers1"/>
      </w:pPr>
      <w:r>
        <w:t xml:space="preserve"> </w:t>
      </w:r>
      <w:r w:rsidRPr="00620A0C">
        <w:t>Cuvitru</w:t>
      </w:r>
      <w:r>
        <w:rPr>
          <w:rFonts w:cs="Arial"/>
        </w:rPr>
        <w:t>®</w:t>
      </w:r>
      <w:r w:rsidRPr="00620A0C">
        <w:t xml:space="preserve"> must be stored</w:t>
      </w:r>
      <w:r>
        <w:t xml:space="preserve"> and transported</w:t>
      </w:r>
      <w:r w:rsidRPr="00620A0C">
        <w:t xml:space="preserve"> at</w:t>
      </w:r>
      <w:bookmarkStart w:id="1" w:name="_Hlk139466495"/>
      <w:r w:rsidRPr="00620A0C">
        <w:t xml:space="preserve"> </w:t>
      </w:r>
      <w:r>
        <w:t>2</w:t>
      </w:r>
      <w:r>
        <w:rPr>
          <w:rFonts w:cs="Arial"/>
        </w:rPr>
        <w:t>°</w:t>
      </w:r>
      <w:r>
        <w:t xml:space="preserve">C to </w:t>
      </w:r>
      <w:r w:rsidRPr="00620A0C">
        <w:t>8</w:t>
      </w:r>
      <w:r>
        <w:rPr>
          <w:rFonts w:cs="Arial"/>
        </w:rPr>
        <w:t>°</w:t>
      </w:r>
      <w:r w:rsidRPr="00620A0C">
        <w:t>C</w:t>
      </w:r>
      <w:r>
        <w:t xml:space="preserve"> (refrigerated)</w:t>
      </w:r>
      <w:bookmarkEnd w:id="1"/>
      <w:r>
        <w:t xml:space="preserve">. </w:t>
      </w:r>
    </w:p>
    <w:p w14:paraId="642CEBCF" w14:textId="2076DF6F" w:rsidR="00876310" w:rsidRDefault="00876310" w:rsidP="00FC7B78">
      <w:pPr>
        <w:pStyle w:val="Bulletafternumbers2"/>
      </w:pPr>
      <w:bookmarkStart w:id="2" w:name="_Hlk170209728"/>
      <w:r w:rsidRPr="007270EB">
        <w:t xml:space="preserve">Patients who administer Cuvitru® have the option to change to Hizentra® prior to travel if they wish. They can then choose to remain on Hizentra® on their return or revert to Cuvitru®. </w:t>
      </w:r>
    </w:p>
    <w:bookmarkEnd w:id="2"/>
    <w:p w14:paraId="74ADD0FF" w14:textId="063A522C" w:rsidR="00876310" w:rsidRPr="00876310" w:rsidRDefault="00876310" w:rsidP="00876310">
      <w:pPr>
        <w:pStyle w:val="Bulletafternumbers2"/>
        <w:rPr>
          <w:rStyle w:val="Hyperlink"/>
          <w:color w:val="auto"/>
          <w:u w:val="none"/>
        </w:rPr>
      </w:pPr>
      <w:r w:rsidRPr="00620A0C">
        <w:t>The treating doctor will need to request a change of product</w:t>
      </w:r>
      <w:r w:rsidRPr="00296EC2">
        <w:t xml:space="preserve"> </w:t>
      </w:r>
      <w:r w:rsidRPr="00620A0C">
        <w:t>in BloodSTAR, for travel purposes. The NBA has a tipsheet to help with this</w:t>
      </w:r>
      <w:r>
        <w:t xml:space="preserve"> </w:t>
      </w:r>
      <w:hyperlink r:id="rId15" w:history="1">
        <w:r w:rsidRPr="00EE200E">
          <w:rPr>
            <w:rStyle w:val="Hyperlink"/>
          </w:rPr>
          <w:t>BloodSTAR Requesting a dose/product change or an additional dose</w:t>
        </w:r>
      </w:hyperlink>
      <w:r>
        <w:rPr>
          <w:rStyle w:val="Hyperlink"/>
        </w:rPr>
        <w:t>.</w:t>
      </w:r>
      <w:r w:rsidR="00080D4D">
        <w:rPr>
          <w:rStyle w:val="Hyperlink"/>
        </w:rPr>
        <w:t xml:space="preserve"> &lt;</w:t>
      </w:r>
      <w:r w:rsidR="00080D4D" w:rsidRPr="00080D4D">
        <w:rPr>
          <w:rStyle w:val="Hyperlink"/>
        </w:rPr>
        <w:t>https://view.officeapps.live.com/op/view.aspx?src=https%3A%2F%2Fwww.blood.gov.au%2Fsites%2Fdefault%2Ffiles%2Fdownloaded_files%2FBloodSTAR%252520-%252520Requesting%252520a%252520Product%252520and%2525</w:t>
      </w:r>
      <w:r w:rsidR="00080D4D">
        <w:rPr>
          <w:rStyle w:val="Hyperlink"/>
        </w:rPr>
        <w:t>&gt;</w:t>
      </w:r>
    </w:p>
    <w:p w14:paraId="50802CD0" w14:textId="3B612AAB" w:rsidR="00AA228E" w:rsidRDefault="00876310" w:rsidP="0061565A">
      <w:pPr>
        <w:pStyle w:val="Bulletafternumbers1"/>
      </w:pPr>
      <w:bookmarkStart w:id="3" w:name="_Hlk139467319"/>
      <w:r>
        <w:t>Xembify</w:t>
      </w:r>
      <w:r>
        <w:rPr>
          <w:rFonts w:cs="Arial"/>
        </w:rPr>
        <w:t>®</w:t>
      </w:r>
      <w:r>
        <w:t xml:space="preserve"> must be stored and transported at 2</w:t>
      </w:r>
      <w:r>
        <w:rPr>
          <w:rFonts w:cs="Arial"/>
        </w:rPr>
        <w:t>°C to 8°C (refrigerated), however it may be stored at temperatures below 25°C (room temperature) for up to 6 months any time prior to the expiry date. If not used within 6 months of removal from refrigeration, or reaches the expiry date, it should then be discarded.</w:t>
      </w:r>
    </w:p>
    <w:p w14:paraId="20E41496" w14:textId="3944A058" w:rsidR="00AA228E" w:rsidRDefault="00AA228E" w:rsidP="00AA228E">
      <w:pPr>
        <w:pStyle w:val="Numberdigit"/>
      </w:pPr>
      <w:r>
        <w:lastRenderedPageBreak/>
        <w:t>Documentation</w:t>
      </w:r>
    </w:p>
    <w:p w14:paraId="68F68D17" w14:textId="2A4D11B5" w:rsidR="00AA228E" w:rsidRDefault="00AA228E" w:rsidP="00AA228E">
      <w:pPr>
        <w:pStyle w:val="Bulletafternumbers1"/>
      </w:pPr>
      <w:r>
        <w:t xml:space="preserve">Request and complete the form “Approval to Supply Blood Products to Australian Residents for Use Overseas” from </w:t>
      </w:r>
      <w:r w:rsidR="00397508">
        <w:t>Lifeblood Transfusion Support</w:t>
      </w:r>
      <w:r w:rsidR="00080D4D">
        <w:t>.</w:t>
      </w:r>
      <w:r w:rsidR="00397508">
        <w:t xml:space="preserve"> &lt;</w:t>
      </w:r>
      <w:hyperlink r:id="rId16" w:history="1">
        <w:r w:rsidR="00397508" w:rsidRPr="00684056">
          <w:rPr>
            <w:rStyle w:val="Hyperlink"/>
          </w:rPr>
          <w:t>csradmintransfusionsupportaus@redcrossblood.org.au</w:t>
        </w:r>
      </w:hyperlink>
      <w:r w:rsidR="00397508">
        <w:rPr>
          <w:rStyle w:val="Hyperlink"/>
        </w:rPr>
        <w:t>&gt;</w:t>
      </w:r>
      <w:r w:rsidR="00831BB3">
        <w:rPr>
          <w:rStyle w:val="Hyperlink"/>
        </w:rPr>
        <w:t xml:space="preserve"> </w:t>
      </w:r>
    </w:p>
    <w:p w14:paraId="4BC27611" w14:textId="77777777" w:rsidR="00AA228E" w:rsidRDefault="00AA228E" w:rsidP="00AA228E">
      <w:pPr>
        <w:pStyle w:val="Bulletafternumbers1"/>
      </w:pPr>
      <w:r>
        <w:t>Ensure the patient’s passport number is noted on the form – a photocopy of the passport is not required by Lifeblood.</w:t>
      </w:r>
    </w:p>
    <w:p w14:paraId="458D7100" w14:textId="66739C21" w:rsidR="00AA228E" w:rsidRDefault="00AA228E" w:rsidP="00AA228E">
      <w:pPr>
        <w:pStyle w:val="Bulletafternumbers1"/>
      </w:pPr>
      <w:r>
        <w:t xml:space="preserve">Include a copy of the patient’s flight itinerary – </w:t>
      </w:r>
      <w:r w:rsidRPr="00620A0C">
        <w:t>(details for all flights are required)</w:t>
      </w:r>
      <w:r w:rsidR="00831BB3">
        <w:t>.</w:t>
      </w:r>
    </w:p>
    <w:p w14:paraId="31C6FADE" w14:textId="2FCE7A3D" w:rsidR="00AA228E" w:rsidRDefault="00AA228E" w:rsidP="00AA228E">
      <w:pPr>
        <w:pStyle w:val="Bulletafternumbers1"/>
      </w:pPr>
      <w:r>
        <w:t>Email the documentation as early as possible</w:t>
      </w:r>
      <w:r w:rsidR="00831BB3">
        <w:t>,</w:t>
      </w:r>
      <w:r>
        <w:t xml:space="preserve"> and at least four weeks </w:t>
      </w:r>
      <w:r w:rsidR="00831BB3">
        <w:t>prior to</w:t>
      </w:r>
      <w:r>
        <w:t xml:space="preserve"> travel</w:t>
      </w:r>
      <w:r w:rsidR="00831BB3">
        <w:t>,</w:t>
      </w:r>
      <w:r>
        <w:t xml:space="preserve"> to Lifeblood </w:t>
      </w:r>
      <w:r w:rsidR="00046A68">
        <w:t>T</w:t>
      </w:r>
      <w:r w:rsidR="00080D4D">
        <w:t>ransfusion Support. &lt;</w:t>
      </w:r>
      <w:hyperlink r:id="rId17" w:history="1">
        <w:r w:rsidR="00080D4D" w:rsidRPr="000C2AE8">
          <w:rPr>
            <w:rStyle w:val="Hyperlink"/>
          </w:rPr>
          <w:t>csradmintransfusionsupportaus@redcrossblood.org.au</w:t>
        </w:r>
      </w:hyperlink>
      <w:r w:rsidR="00080D4D">
        <w:rPr>
          <w:rStyle w:val="Hyperlink"/>
        </w:rPr>
        <w:t>&gt;</w:t>
      </w:r>
    </w:p>
    <w:p w14:paraId="0BE08438" w14:textId="77777777" w:rsidR="00AA228E" w:rsidRPr="000D0403" w:rsidRDefault="00AA228E" w:rsidP="00AA228E">
      <w:pPr>
        <w:pStyle w:val="Numberdigit"/>
      </w:pPr>
      <w:bookmarkStart w:id="4" w:name="_Hlk170219076"/>
      <w:r w:rsidRPr="000D0403">
        <w:t xml:space="preserve">Therapeutic Goods Administration (TGA) </w:t>
      </w:r>
      <w:r>
        <w:t>e</w:t>
      </w:r>
      <w:r w:rsidRPr="000D0403">
        <w:t xml:space="preserve">xport permit </w:t>
      </w:r>
    </w:p>
    <w:bookmarkEnd w:id="4"/>
    <w:p w14:paraId="277F3CC4" w14:textId="0809CFC6" w:rsidR="00AA228E" w:rsidRDefault="00AA228E" w:rsidP="00AA228E">
      <w:pPr>
        <w:pStyle w:val="Bulletafternumbers1"/>
      </w:pPr>
      <w:r w:rsidRPr="00CD5C7D">
        <w:t>The documentation provided to L</w:t>
      </w:r>
      <w:r>
        <w:t>ifeblood</w:t>
      </w:r>
      <w:r w:rsidRPr="00CD5C7D">
        <w:t xml:space="preserve"> will be forwarded to the TGA</w:t>
      </w:r>
      <w:r w:rsidR="00831BB3">
        <w:t>, by Lifeblood,</w:t>
      </w:r>
      <w:r w:rsidRPr="00CD5C7D">
        <w:t xml:space="preserve"> to obtain </w:t>
      </w:r>
      <w:bookmarkStart w:id="5" w:name="_Hlk170219494"/>
      <w:r w:rsidRPr="00CD5C7D">
        <w:t xml:space="preserve">an </w:t>
      </w:r>
      <w:r>
        <w:t>e</w:t>
      </w:r>
      <w:r w:rsidRPr="00CD5C7D">
        <w:t xml:space="preserve">xport permit for the product – this permit is required </w:t>
      </w:r>
      <w:r>
        <w:t>for</w:t>
      </w:r>
      <w:r w:rsidRPr="00CD5C7D">
        <w:t xml:space="preserve"> </w:t>
      </w:r>
      <w:r>
        <w:t xml:space="preserve">international travel </w:t>
      </w:r>
      <w:r w:rsidRPr="00CD5C7D">
        <w:t>with SCIg.</w:t>
      </w:r>
      <w:bookmarkEnd w:id="5"/>
    </w:p>
    <w:p w14:paraId="6A4062E0" w14:textId="627CB626" w:rsidR="00AA228E" w:rsidRDefault="00AA228E" w:rsidP="00AA228E">
      <w:pPr>
        <w:pStyle w:val="Bulletafternumbers1"/>
      </w:pPr>
      <w:bookmarkStart w:id="6" w:name="_Hlk170219738"/>
      <w:r>
        <w:t xml:space="preserve">Export permits are granted within 3-7 business days prior to travel and will be emailed to the patient or requesting clinician (as per contact details on </w:t>
      </w:r>
      <w:r w:rsidR="00831BB3">
        <w:t>the “Approval to Supply Blood Products to Australian Residents for Use Overseas”</w:t>
      </w:r>
      <w:r>
        <w:t xml:space="preserve"> form).</w:t>
      </w:r>
    </w:p>
    <w:bookmarkEnd w:id="6"/>
    <w:p w14:paraId="1C3DEDAA" w14:textId="77777777" w:rsidR="00AA228E" w:rsidRPr="000D0403" w:rsidRDefault="00AA228E" w:rsidP="00AA228E">
      <w:pPr>
        <w:pStyle w:val="Numberdigit"/>
      </w:pPr>
      <w:r w:rsidRPr="000D0403">
        <w:t xml:space="preserve">Patient letter - </w:t>
      </w:r>
      <w:r>
        <w:t xml:space="preserve">(not required to be sent to Lifeblood) </w:t>
      </w:r>
    </w:p>
    <w:p w14:paraId="4C35E849" w14:textId="53EDFBC3" w:rsidR="007175C5" w:rsidRDefault="007175C5" w:rsidP="007175C5">
      <w:pPr>
        <w:pStyle w:val="Bulletafternumbers1"/>
      </w:pPr>
      <w:r>
        <w:t>Prepare a letter for the patient to carry with the SCIg. This may be required by the airline or if the patient becomes unwell while travelling.</w:t>
      </w:r>
    </w:p>
    <w:p w14:paraId="13E5D1AA" w14:textId="6C131D04" w:rsidR="007175C5" w:rsidRDefault="007175C5" w:rsidP="007175C5">
      <w:pPr>
        <w:pStyle w:val="Bulletafternumbers1"/>
      </w:pPr>
      <w:r>
        <w:t>The patient letter should include the treating doctor details, diagnosis, reason SCIg is required and the product and dose.</w:t>
      </w:r>
    </w:p>
    <w:p w14:paraId="2EEAB86C" w14:textId="77777777" w:rsidR="007175C5" w:rsidRPr="00CD5C7D" w:rsidRDefault="007175C5" w:rsidP="007175C5">
      <w:pPr>
        <w:pStyle w:val="Bulletafternumbers1"/>
      </w:pPr>
      <w:r>
        <w:t>The product and dose on the patient letter must match what is stated on the export permit.</w:t>
      </w:r>
    </w:p>
    <w:p w14:paraId="1BB573A4" w14:textId="77777777" w:rsidR="007175C5" w:rsidRPr="000D0403" w:rsidRDefault="007175C5" w:rsidP="007175C5">
      <w:pPr>
        <w:pStyle w:val="Numberdigit"/>
      </w:pPr>
      <w:r w:rsidRPr="000D0403">
        <w:t>Ordering the product</w:t>
      </w:r>
    </w:p>
    <w:p w14:paraId="461A6973" w14:textId="5DB850FE" w:rsidR="007175C5" w:rsidRDefault="007175C5" w:rsidP="007175C5">
      <w:pPr>
        <w:pStyle w:val="Bulletafternumbers1"/>
      </w:pPr>
      <w:r>
        <w:t xml:space="preserve">The dispenser must be notified that a special order is required if more than 2 months’ supply is needed. </w:t>
      </w:r>
    </w:p>
    <w:p w14:paraId="689C47F5" w14:textId="77777777" w:rsidR="007175C5" w:rsidRDefault="007175C5" w:rsidP="007175C5">
      <w:pPr>
        <w:pStyle w:val="Bulletafternumbers1"/>
      </w:pPr>
      <w:r>
        <w:t>If the patient is travelling for an extended length of time, the product must not expire prior to or during the travel period.</w:t>
      </w:r>
    </w:p>
    <w:p w14:paraId="33ED2897" w14:textId="77777777" w:rsidR="007175C5" w:rsidRDefault="007175C5" w:rsidP="007175C5">
      <w:pPr>
        <w:pStyle w:val="Bulletafternumbers1"/>
      </w:pPr>
      <w:r>
        <w:t>Order the correct divisions (vial sizes) per dose for the number of infusions required while travelling.</w:t>
      </w:r>
    </w:p>
    <w:p w14:paraId="3F6E821A" w14:textId="77777777" w:rsidR="007175C5" w:rsidRDefault="007175C5" w:rsidP="007175C5">
      <w:pPr>
        <w:pStyle w:val="Numberdigit"/>
      </w:pPr>
      <w:r>
        <w:t>Collecting the product</w:t>
      </w:r>
    </w:p>
    <w:p w14:paraId="78586569" w14:textId="7771B1AD" w:rsidR="007175C5" w:rsidRDefault="007175C5" w:rsidP="007175C5">
      <w:pPr>
        <w:pStyle w:val="Bulletafternumbers1"/>
      </w:pPr>
      <w:r>
        <w:t>Patient should be advised to collect the product as close to the departure date as feasible.</w:t>
      </w:r>
    </w:p>
    <w:p w14:paraId="244764C8" w14:textId="561E295A" w:rsidR="007175C5" w:rsidRDefault="007175C5" w:rsidP="007175C5">
      <w:pPr>
        <w:pStyle w:val="Bulletafternumbers1"/>
      </w:pPr>
      <w:r>
        <w:t>On collection of the product, store at the required temperature. Immediately prior to travel the patient should pack the product in a suitable cooler bag which will maintain the required temperature of the product.</w:t>
      </w:r>
    </w:p>
    <w:p w14:paraId="54D72F09" w14:textId="6AF6B283" w:rsidR="007175C5" w:rsidRDefault="007175C5" w:rsidP="00FC7B78">
      <w:pPr>
        <w:pStyle w:val="Bulletafternumbers1"/>
      </w:pPr>
      <w:r>
        <w:t>The cooler bag containing the product must be packed with hand luggage along with the export permit and letter from the treating doctor.</w:t>
      </w:r>
    </w:p>
    <w:p w14:paraId="5D21143B" w14:textId="3C0FF932" w:rsidR="007175C5" w:rsidRDefault="007175C5" w:rsidP="007175C5">
      <w:pPr>
        <w:pStyle w:val="Bulletafternumbers1"/>
        <w:numPr>
          <w:ilvl w:val="0"/>
          <w:numId w:val="0"/>
        </w:numPr>
        <w:ind w:left="794"/>
      </w:pPr>
    </w:p>
    <w:p w14:paraId="6BCB78A6" w14:textId="77777777" w:rsidR="00AA228E" w:rsidRDefault="00AA228E" w:rsidP="0061565A">
      <w:pPr>
        <w:pStyle w:val="Bulletafternumbers1"/>
        <w:numPr>
          <w:ilvl w:val="0"/>
          <w:numId w:val="0"/>
        </w:numPr>
      </w:pPr>
    </w:p>
    <w:p w14:paraId="1F6EB8CB" w14:textId="77777777" w:rsidR="00000903" w:rsidRPr="00342A4A" w:rsidRDefault="00000903" w:rsidP="0061565A">
      <w:pPr>
        <w:pStyle w:val="Bulletafternumbers1"/>
        <w:numPr>
          <w:ilvl w:val="0"/>
          <w:numId w:val="0"/>
        </w:numPr>
      </w:pPr>
    </w:p>
    <w:p w14:paraId="447DB7D2" w14:textId="66DAE13C" w:rsidR="00560FB2" w:rsidRDefault="00041F48" w:rsidP="00560FB2">
      <w:pPr>
        <w:pStyle w:val="Bulletafternumbers1"/>
        <w:numPr>
          <w:ilvl w:val="0"/>
          <w:numId w:val="0"/>
        </w:numPr>
        <w:rPr>
          <w:b/>
          <w:bCs/>
          <w:color w:val="C00000"/>
          <w:sz w:val="48"/>
          <w:szCs w:val="48"/>
        </w:rPr>
      </w:pPr>
      <w:bookmarkStart w:id="7" w:name="_Hlk175657334"/>
      <w:bookmarkEnd w:id="3"/>
      <w:r>
        <w:rPr>
          <w:b/>
          <w:bCs/>
          <w:color w:val="C00000"/>
          <w:sz w:val="48"/>
          <w:szCs w:val="48"/>
        </w:rPr>
        <w:lastRenderedPageBreak/>
        <w:t>T</w:t>
      </w:r>
      <w:r w:rsidR="007175C5" w:rsidRPr="007175C5">
        <w:rPr>
          <w:b/>
          <w:bCs/>
          <w:color w:val="C00000"/>
          <w:sz w:val="48"/>
          <w:szCs w:val="48"/>
        </w:rPr>
        <w:t>ravel</w:t>
      </w:r>
      <w:r>
        <w:rPr>
          <w:b/>
          <w:bCs/>
          <w:color w:val="C00000"/>
          <w:sz w:val="48"/>
          <w:szCs w:val="48"/>
        </w:rPr>
        <w:t>ling overseas</w:t>
      </w:r>
      <w:r w:rsidR="007175C5" w:rsidRPr="007175C5">
        <w:rPr>
          <w:b/>
          <w:bCs/>
          <w:color w:val="C00000"/>
          <w:sz w:val="48"/>
          <w:szCs w:val="48"/>
        </w:rPr>
        <w:t xml:space="preserve"> with subcutaneous immunoglobulin (SCIg)</w:t>
      </w:r>
    </w:p>
    <w:bookmarkEnd w:id="7"/>
    <w:p w14:paraId="0C5B2100" w14:textId="617191F8" w:rsidR="00560FB2" w:rsidRPr="00000903" w:rsidRDefault="00452C8F" w:rsidP="00560FB2">
      <w:pPr>
        <w:pStyle w:val="Bulletafternumbers1"/>
        <w:numPr>
          <w:ilvl w:val="0"/>
          <w:numId w:val="0"/>
        </w:numPr>
        <w:rPr>
          <w:color w:val="595959" w:themeColor="text1" w:themeTint="A6"/>
          <w:sz w:val="28"/>
          <w:szCs w:val="28"/>
        </w:rPr>
      </w:pPr>
      <w:r w:rsidRPr="00452C8F">
        <w:rPr>
          <w:color w:val="595959" w:themeColor="text1" w:themeTint="A6"/>
          <w:sz w:val="28"/>
          <w:szCs w:val="28"/>
        </w:rPr>
        <w:t>Patient considerations</w:t>
      </w:r>
    </w:p>
    <w:p w14:paraId="782E11B5" w14:textId="4985436D" w:rsidR="00560FB2" w:rsidRDefault="00560FB2" w:rsidP="00FC7B78">
      <w:pPr>
        <w:pStyle w:val="Numberdigit"/>
        <w:numPr>
          <w:ilvl w:val="0"/>
          <w:numId w:val="2"/>
        </w:numPr>
      </w:pPr>
      <w:r w:rsidRPr="000D0403">
        <w:t>Confirm travel details</w:t>
      </w:r>
      <w:r>
        <w:t xml:space="preserve"> with SCIg coordinator/nurse</w:t>
      </w:r>
    </w:p>
    <w:p w14:paraId="22C710A0" w14:textId="30E778F2" w:rsidR="00560FB2" w:rsidRDefault="00560FB2" w:rsidP="00560FB2">
      <w:pPr>
        <w:pStyle w:val="Bulletafternumbers1"/>
      </w:pPr>
      <w:r>
        <w:t>Duration of travel</w:t>
      </w:r>
      <w:r w:rsidR="00D368C3">
        <w:t>.</w:t>
      </w:r>
    </w:p>
    <w:p w14:paraId="4D9399B8" w14:textId="77777777" w:rsidR="00560FB2" w:rsidRDefault="00560FB2" w:rsidP="00560FB2">
      <w:pPr>
        <w:pStyle w:val="Bulletafternumbers1"/>
      </w:pPr>
      <w:r>
        <w:t xml:space="preserve">Number of infusions required while travelling. </w:t>
      </w:r>
    </w:p>
    <w:p w14:paraId="6A383580" w14:textId="77777777" w:rsidR="00560FB2" w:rsidRDefault="00560FB2" w:rsidP="00560FB2">
      <w:pPr>
        <w:pStyle w:val="Numberdigit"/>
      </w:pPr>
      <w:r>
        <w:t>Product storage and transport conditions</w:t>
      </w:r>
    </w:p>
    <w:p w14:paraId="3F6BFEF7" w14:textId="79A17E39" w:rsidR="00560FB2" w:rsidRDefault="00560FB2" w:rsidP="00FC7B78">
      <w:pPr>
        <w:pStyle w:val="Bulletafternumbers1"/>
      </w:pPr>
      <w:r>
        <w:t xml:space="preserve">Patients are required to supply and pack the SCIg product in a suitable cooler bag which will maintain the </w:t>
      </w:r>
      <w:r w:rsidR="00270FC7">
        <w:t>relevant</w:t>
      </w:r>
      <w:r>
        <w:t xml:space="preserve"> temperature</w:t>
      </w:r>
      <w:r w:rsidR="00270FC7">
        <w:t xml:space="preserve"> for the product</w:t>
      </w:r>
      <w:r>
        <w:t>.</w:t>
      </w:r>
    </w:p>
    <w:p w14:paraId="558B26E0" w14:textId="77777777" w:rsidR="00560FB2" w:rsidRDefault="00560FB2" w:rsidP="00560FB2">
      <w:pPr>
        <w:pStyle w:val="Bulletafternumbers1"/>
      </w:pPr>
      <w:r>
        <w:t>Hizentra</w:t>
      </w:r>
      <w:r>
        <w:rPr>
          <w:rFonts w:cs="Arial"/>
        </w:rPr>
        <w:t>®</w:t>
      </w:r>
      <w:r>
        <w:t xml:space="preserve"> and Hizentra</w:t>
      </w:r>
      <w:r>
        <w:rPr>
          <w:rFonts w:cs="Arial"/>
        </w:rPr>
        <w:t>®</w:t>
      </w:r>
      <w:r>
        <w:t xml:space="preserve"> AU should be stored and transported below 25</w:t>
      </w:r>
      <w:r>
        <w:rPr>
          <w:rFonts w:cs="Arial"/>
        </w:rPr>
        <w:t>°</w:t>
      </w:r>
      <w:r>
        <w:t>C (room temperature).</w:t>
      </w:r>
    </w:p>
    <w:p w14:paraId="6DBF01DE" w14:textId="2760DDF2" w:rsidR="00560FB2" w:rsidRDefault="00560FB2" w:rsidP="00FC7B78">
      <w:pPr>
        <w:pStyle w:val="Bulletafternumbers1"/>
      </w:pPr>
      <w:r w:rsidRPr="00620A0C">
        <w:t>Cuvitru</w:t>
      </w:r>
      <w:r>
        <w:rPr>
          <w:rFonts w:cs="Arial"/>
        </w:rPr>
        <w:t>®</w:t>
      </w:r>
      <w:r w:rsidRPr="00620A0C">
        <w:t xml:space="preserve"> must be stored</w:t>
      </w:r>
      <w:r>
        <w:t xml:space="preserve"> and transported</w:t>
      </w:r>
      <w:r w:rsidRPr="00620A0C">
        <w:t xml:space="preserve"> at </w:t>
      </w:r>
      <w:r>
        <w:t>2</w:t>
      </w:r>
      <w:r>
        <w:rPr>
          <w:rFonts w:cs="Arial"/>
        </w:rPr>
        <w:t>°</w:t>
      </w:r>
      <w:r>
        <w:t xml:space="preserve">C to </w:t>
      </w:r>
      <w:r w:rsidRPr="00620A0C">
        <w:t>8</w:t>
      </w:r>
      <w:r>
        <w:rPr>
          <w:rFonts w:cs="Arial"/>
        </w:rPr>
        <w:t>°</w:t>
      </w:r>
      <w:r w:rsidRPr="00620A0C">
        <w:t>C</w:t>
      </w:r>
      <w:r>
        <w:t xml:space="preserve"> (refrigerated). </w:t>
      </w:r>
    </w:p>
    <w:p w14:paraId="53F9F172" w14:textId="3CB81237" w:rsidR="00560FB2" w:rsidRDefault="00560FB2" w:rsidP="00FC7B78">
      <w:pPr>
        <w:pStyle w:val="Bulletafternumbers2"/>
      </w:pPr>
      <w:r w:rsidRPr="007270EB">
        <w:t xml:space="preserve">Patients who administer Cuvitru® have the option to change to Hizentra® prior to travel if they wish. They can then choose to remain on Hizentra® on their return or revert to Cuvitru®. </w:t>
      </w:r>
    </w:p>
    <w:p w14:paraId="13DEBDA7" w14:textId="3B17BBF9" w:rsidR="00560FB2" w:rsidRPr="00560FB2" w:rsidRDefault="00581993" w:rsidP="00560FB2">
      <w:pPr>
        <w:pStyle w:val="Bulletafternumbers2"/>
        <w:rPr>
          <w:rStyle w:val="Hyperlink"/>
          <w:color w:val="auto"/>
          <w:u w:val="none"/>
        </w:rPr>
      </w:pPr>
      <w:r>
        <w:t>Your</w:t>
      </w:r>
      <w:r w:rsidR="00560FB2" w:rsidRPr="00620A0C">
        <w:t xml:space="preserve"> treating doctor request</w:t>
      </w:r>
      <w:r w:rsidR="00D368C3">
        <w:t>s</w:t>
      </w:r>
      <w:r w:rsidR="00560FB2" w:rsidRPr="00620A0C">
        <w:t xml:space="preserve"> a change of product for travel purposes</w:t>
      </w:r>
      <w:r>
        <w:t>.</w:t>
      </w:r>
      <w:r w:rsidR="00560FB2" w:rsidRPr="00620A0C">
        <w:t xml:space="preserve"> </w:t>
      </w:r>
    </w:p>
    <w:p w14:paraId="583A6CC6" w14:textId="23D89CC7" w:rsidR="00560FB2" w:rsidRDefault="00560FB2" w:rsidP="00FC7B78">
      <w:pPr>
        <w:pStyle w:val="Bulletafternumbers1"/>
      </w:pPr>
      <w:r>
        <w:t>Xembify</w:t>
      </w:r>
      <w:r>
        <w:rPr>
          <w:rFonts w:cs="Arial"/>
        </w:rPr>
        <w:t>®</w:t>
      </w:r>
      <w:r>
        <w:t xml:space="preserve"> should be stored and transported at 2</w:t>
      </w:r>
      <w:r>
        <w:rPr>
          <w:rFonts w:cs="Arial"/>
        </w:rPr>
        <w:t>°C to 8°C (refrigerated), however it may be stored at temperatures below 25°C (room temperature) for up to 6 months any time prior to the expiry date. If not used within 6 months of removal from refrigeration, or reaches the expiry date, it should then be discarded.</w:t>
      </w:r>
    </w:p>
    <w:p w14:paraId="70C5277E" w14:textId="77777777" w:rsidR="00560FB2" w:rsidRDefault="00560FB2" w:rsidP="00560FB2">
      <w:pPr>
        <w:pStyle w:val="Numberdigit"/>
      </w:pPr>
      <w:r>
        <w:t>E</w:t>
      </w:r>
      <w:r w:rsidRPr="003D5254">
        <w:t xml:space="preserve">nsure </w:t>
      </w:r>
      <w:r>
        <w:t>you have a sufficient supply of</w:t>
      </w:r>
      <w:r w:rsidRPr="003D5254">
        <w:t xml:space="preserve"> </w:t>
      </w:r>
      <w:r>
        <w:t>c</w:t>
      </w:r>
      <w:r w:rsidRPr="003D5254">
        <w:t xml:space="preserve">onsumables for </w:t>
      </w:r>
      <w:r>
        <w:t xml:space="preserve">the </w:t>
      </w:r>
      <w:r w:rsidRPr="003D5254">
        <w:t>duration of travel</w:t>
      </w:r>
      <w:r>
        <w:t>.</w:t>
      </w:r>
    </w:p>
    <w:p w14:paraId="6E048D58" w14:textId="5B40CF69" w:rsidR="00560FB2" w:rsidRDefault="00560FB2" w:rsidP="00FC7B78">
      <w:pPr>
        <w:pStyle w:val="Numberdigit"/>
      </w:pPr>
      <w:r w:rsidRPr="000D0403">
        <w:t xml:space="preserve">Therapeutic Goods Administration (TGA) </w:t>
      </w:r>
      <w:r>
        <w:t>e</w:t>
      </w:r>
      <w:r w:rsidRPr="000D0403">
        <w:t xml:space="preserve">xport permit </w:t>
      </w:r>
    </w:p>
    <w:p w14:paraId="57DA83BB" w14:textId="2EE5E962" w:rsidR="00FC7B78" w:rsidRDefault="00FC7B78" w:rsidP="00FC7B78">
      <w:pPr>
        <w:pStyle w:val="Bulletafternumbers1"/>
      </w:pPr>
      <w:r>
        <w:t>An export permit</w:t>
      </w:r>
      <w:r w:rsidRPr="00CD5C7D">
        <w:t xml:space="preserve"> is required </w:t>
      </w:r>
      <w:r>
        <w:t>for</w:t>
      </w:r>
      <w:r w:rsidRPr="00CD5C7D">
        <w:t xml:space="preserve"> </w:t>
      </w:r>
      <w:r>
        <w:t xml:space="preserve">international travel </w:t>
      </w:r>
      <w:r w:rsidRPr="00CD5C7D">
        <w:t>with SCIg.</w:t>
      </w:r>
    </w:p>
    <w:p w14:paraId="7C6A4F48" w14:textId="20523D4D" w:rsidR="00FC7B78" w:rsidRDefault="00FC7B78" w:rsidP="00FC7B78">
      <w:pPr>
        <w:pStyle w:val="Bulletafternumbers1"/>
      </w:pPr>
      <w:r>
        <w:t>The SCIg coordinator/nurse will arrange for this with Australian Red Cross Lifeblood (Lifeblood).</w:t>
      </w:r>
    </w:p>
    <w:p w14:paraId="23D17A4A" w14:textId="4EAED278" w:rsidR="00FC7B78" w:rsidRDefault="00FC7B78" w:rsidP="00FC7B78">
      <w:pPr>
        <w:pStyle w:val="Bulletafternumbers1"/>
      </w:pPr>
      <w:r>
        <w:t>The export permit will be emailed to the patient or requesting clinician (as per contact details provided to Lifeblood).</w:t>
      </w:r>
    </w:p>
    <w:p w14:paraId="6E73C6BF" w14:textId="1D47A428" w:rsidR="00FC7B78" w:rsidRDefault="00FC7B78" w:rsidP="00FC7B78">
      <w:pPr>
        <w:pStyle w:val="Numberdigit"/>
      </w:pPr>
      <w:r>
        <w:t>Letter from your treating doctor</w:t>
      </w:r>
    </w:p>
    <w:p w14:paraId="7DF7FE55" w14:textId="3D4E4DF6" w:rsidR="00FC7B78" w:rsidRDefault="00FC7B78" w:rsidP="00FC7B78">
      <w:pPr>
        <w:pStyle w:val="Bulletafternumbers1"/>
      </w:pPr>
      <w:r>
        <w:t>Your treating doctor will provide you with a letter which should include the treating doctor details, your diagnosis, reason SCIg is required and the SCIg product and dose.</w:t>
      </w:r>
    </w:p>
    <w:p w14:paraId="48D547BA" w14:textId="29E5F325" w:rsidR="00FC7B78" w:rsidRDefault="00FC7B78" w:rsidP="00FC7B78">
      <w:pPr>
        <w:pStyle w:val="Bulletafternumbers1"/>
      </w:pPr>
      <w:r>
        <w:t>The product and dose on the letter must match what is stated on the export permit.</w:t>
      </w:r>
    </w:p>
    <w:p w14:paraId="48D1E931" w14:textId="598F9B70" w:rsidR="00FC7B78" w:rsidRDefault="00FC7B78" w:rsidP="00FC7B78">
      <w:pPr>
        <w:pStyle w:val="Bulletafternumbers1"/>
      </w:pPr>
      <w:r>
        <w:t>The letter may be required by the airline or if you become unwell while travelling.</w:t>
      </w:r>
    </w:p>
    <w:p w14:paraId="24E56EE5" w14:textId="77777777" w:rsidR="00FC7B78" w:rsidRPr="000D0403" w:rsidRDefault="00FC7B78" w:rsidP="00FC7B78">
      <w:pPr>
        <w:pStyle w:val="Numberdigit"/>
      </w:pPr>
      <w:r w:rsidRPr="000D0403">
        <w:t xml:space="preserve">Contact the airline to ensure the </w:t>
      </w:r>
      <w:r>
        <w:t>cooler bag and SCIg product</w:t>
      </w:r>
      <w:r w:rsidRPr="000D0403">
        <w:t xml:space="preserve"> can be taken as carry-on luggage and if there are any other conditions. </w:t>
      </w:r>
    </w:p>
    <w:p w14:paraId="0187B1C2" w14:textId="60153A00" w:rsidR="0061565A" w:rsidRPr="000D0403" w:rsidRDefault="00FC7B78" w:rsidP="00000903">
      <w:pPr>
        <w:pStyle w:val="Numberdigit"/>
      </w:pPr>
      <w:r w:rsidRPr="000D0403">
        <w:t>Check with Customs/Embassy of your destination (and all countries travell</w:t>
      </w:r>
      <w:r>
        <w:t>ing</w:t>
      </w:r>
      <w:r w:rsidRPr="000D0403">
        <w:t xml:space="preserve"> through) to </w:t>
      </w:r>
      <w:r>
        <w:t>find out</w:t>
      </w:r>
      <w:r w:rsidRPr="000D0403">
        <w:t xml:space="preserve"> if an </w:t>
      </w:r>
      <w:r>
        <w:t>i</w:t>
      </w:r>
      <w:r w:rsidRPr="000D0403">
        <w:t xml:space="preserve">mport </w:t>
      </w:r>
      <w:r>
        <w:t>p</w:t>
      </w:r>
      <w:r w:rsidRPr="000D0403">
        <w:t xml:space="preserve">ermit is required – Lifeblood is not able to assist with the acquisition of </w:t>
      </w:r>
      <w:r>
        <w:t>i</w:t>
      </w:r>
      <w:r w:rsidRPr="000D0403">
        <w:t xml:space="preserve">mport </w:t>
      </w:r>
      <w:r>
        <w:t>p</w:t>
      </w:r>
      <w:r w:rsidRPr="000D0403">
        <w:t>ermits.</w:t>
      </w:r>
    </w:p>
    <w:p w14:paraId="641812DF" w14:textId="27FE99A8" w:rsidR="00FC7B78" w:rsidRPr="00AB691C" w:rsidRDefault="00FC7B78" w:rsidP="00FC7B78">
      <w:pPr>
        <w:pStyle w:val="Numberdigit"/>
      </w:pPr>
      <w:r w:rsidRPr="000D0403">
        <w:rPr>
          <w:rFonts w:eastAsia="MS Mincho"/>
        </w:rPr>
        <w:t xml:space="preserve">Make a plan with your treating </w:t>
      </w:r>
      <w:r>
        <w:rPr>
          <w:rFonts w:eastAsia="MS Mincho"/>
        </w:rPr>
        <w:t>doctor</w:t>
      </w:r>
      <w:r w:rsidRPr="000D0403">
        <w:rPr>
          <w:rFonts w:eastAsia="MS Mincho"/>
        </w:rPr>
        <w:t xml:space="preserve"> in case you become unwell </w:t>
      </w:r>
      <w:r>
        <w:rPr>
          <w:rFonts w:eastAsia="MS Mincho"/>
        </w:rPr>
        <w:t xml:space="preserve">while travelling. </w:t>
      </w:r>
      <w:r>
        <w:rPr>
          <w:color w:val="000000"/>
        </w:rPr>
        <w:t xml:space="preserve">The </w:t>
      </w:r>
      <w:r w:rsidRPr="003D5254">
        <w:t>Department of Foreign Affairs and Trade (DFAT)</w:t>
      </w:r>
      <w:r>
        <w:t xml:space="preserve"> encourage travellers to subscribe,</w:t>
      </w:r>
      <w:r w:rsidRPr="003D5254">
        <w:t xml:space="preserve"> via</w:t>
      </w:r>
      <w:r>
        <w:t xml:space="preserve"> the</w:t>
      </w:r>
      <w:r w:rsidRPr="003D5254">
        <w:t xml:space="preserve"> </w:t>
      </w:r>
      <w:hyperlink r:id="rId18" w:history="1">
        <w:r>
          <w:rPr>
            <w:rStyle w:val="Hyperlink"/>
          </w:rPr>
          <w:t>S</w:t>
        </w:r>
        <w:r w:rsidRPr="00BB73D2">
          <w:rPr>
            <w:rStyle w:val="Hyperlink"/>
          </w:rPr>
          <w:t>martraveller</w:t>
        </w:r>
      </w:hyperlink>
      <w:r w:rsidRPr="003D5254">
        <w:t xml:space="preserve"> tab on</w:t>
      </w:r>
      <w:r>
        <w:t xml:space="preserve"> their</w:t>
      </w:r>
      <w:r w:rsidRPr="003D5254">
        <w:t xml:space="preserve"> website</w:t>
      </w:r>
      <w:r>
        <w:t>,</w:t>
      </w:r>
      <w:r w:rsidR="00886C32" w:rsidRPr="00886C32">
        <w:t xml:space="preserve"> &lt;</w:t>
      </w:r>
      <w:hyperlink r:id="rId19" w:history="1">
        <w:r w:rsidR="00886C32" w:rsidRPr="00000903">
          <w:rPr>
            <w:rStyle w:val="Hyperlink"/>
          </w:rPr>
          <w:t>https://www.smartraveller.gov.au</w:t>
        </w:r>
      </w:hyperlink>
      <w:r w:rsidR="00886C32" w:rsidRPr="00886C32">
        <w:t>&gt;</w:t>
      </w:r>
      <w:r w:rsidR="00886C32">
        <w:t xml:space="preserve"> </w:t>
      </w:r>
      <w:r>
        <w:t>to</w:t>
      </w:r>
      <w:r w:rsidRPr="00362AA1">
        <w:rPr>
          <w:color w:val="000000"/>
        </w:rPr>
        <w:t xml:space="preserve"> receive travel advice a</w:t>
      </w:r>
      <w:r>
        <w:rPr>
          <w:color w:val="000000"/>
        </w:rPr>
        <w:t>bout</w:t>
      </w:r>
      <w:r w:rsidRPr="00362AA1">
        <w:rPr>
          <w:color w:val="000000"/>
        </w:rPr>
        <w:t xml:space="preserve"> the destinations you are travelling to and through. </w:t>
      </w:r>
    </w:p>
    <w:p w14:paraId="2EAD86F0" w14:textId="77777777" w:rsidR="00FC7B78" w:rsidRDefault="00FC7B78" w:rsidP="00FC7B78">
      <w:pPr>
        <w:pStyle w:val="Numberdigit"/>
      </w:pPr>
      <w:r w:rsidRPr="003D5254">
        <w:lastRenderedPageBreak/>
        <w:t xml:space="preserve">Arrange collection of SCIg prior to travel. </w:t>
      </w:r>
      <w:r w:rsidRPr="00E118B0">
        <w:t xml:space="preserve"> </w:t>
      </w:r>
      <w:r>
        <w:t xml:space="preserve">It is advised to collect the product as close to the departure date as feasible. </w:t>
      </w:r>
    </w:p>
    <w:p w14:paraId="304AB0AD" w14:textId="77777777" w:rsidR="00FC7B78" w:rsidRDefault="00FC7B78" w:rsidP="00FC7B78">
      <w:pPr>
        <w:pStyle w:val="Numberdigit"/>
      </w:pPr>
      <w:r>
        <w:t xml:space="preserve">On collection of the SCIg product store at the required temperature and then prior to travel pack in a suitable cooler bag which will maintain the required temperature of the product throughout the journey. </w:t>
      </w:r>
    </w:p>
    <w:p w14:paraId="52428C04" w14:textId="77777777" w:rsidR="00FC7B78" w:rsidRDefault="00FC7B78" w:rsidP="00FC7B78">
      <w:pPr>
        <w:pStyle w:val="Numberdigit"/>
      </w:pPr>
      <w:r>
        <w:t>The cooler bag containing the product must be packed with hand luggage along with the export permit and the letter from your treating doctor.</w:t>
      </w:r>
    </w:p>
    <w:p w14:paraId="050BF19B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20"/>
          <w:footerReference w:type="even" r:id="rId21"/>
          <w:footerReference w:type="default" r:id="rId22"/>
          <w:footerReference w:type="first" r:id="rId23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7D5B496" w14:textId="4DBB0BAF" w:rsidR="00200176" w:rsidRPr="00200176" w:rsidRDefault="00143B4A" w:rsidP="0061565A">
      <w:pPr>
        <w:pStyle w:val="Body"/>
        <w:tabs>
          <w:tab w:val="left" w:pos="5820"/>
        </w:tabs>
      </w:pPr>
      <w:bookmarkStart w:id="8" w:name="_Hlk41913885"/>
      <w:r>
        <w:tab/>
      </w:r>
      <w:bookmarkEnd w:id="8"/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14:paraId="588DADA3" w14:textId="77777777" w:rsidTr="003053FB">
        <w:tc>
          <w:tcPr>
            <w:tcW w:w="10194" w:type="dxa"/>
          </w:tcPr>
          <w:p w14:paraId="2C7D9DA9" w14:textId="59A94CE9" w:rsidR="0055119B" w:rsidRPr="0055119B" w:rsidRDefault="0055119B" w:rsidP="0055119B">
            <w:pPr>
              <w:pStyle w:val="Accessibilitypara"/>
            </w:pPr>
            <w:bookmarkStart w:id="9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9B79CE">
              <w:t>03 9694 0102</w:t>
            </w:r>
            <w:r w:rsidRPr="0055119B">
              <w:t xml:space="preserve">, using the National Relay Service 13 36 77 if required, or </w:t>
            </w:r>
            <w:hyperlink r:id="rId24" w:history="1">
              <w:r w:rsidR="009B79CE" w:rsidRPr="00BF080A">
                <w:rPr>
                  <w:rStyle w:val="Hyperlink"/>
                </w:rPr>
                <w:t>email Blood Matters</w:t>
              </w:r>
            </w:hyperlink>
            <w:r w:rsidR="009B79CE" w:rsidRPr="0055119B">
              <w:rPr>
                <w:color w:val="004C97"/>
              </w:rPr>
              <w:t xml:space="preserve"> </w:t>
            </w:r>
            <w:r w:rsidR="009B79CE" w:rsidRPr="0055119B">
              <w:t>&lt;</w:t>
            </w:r>
            <w:r w:rsidR="009B79CE">
              <w:t>bloodmatters@redcrossblood.org.au</w:t>
            </w:r>
            <w:r w:rsidR="009B79CE" w:rsidRPr="0055119B">
              <w:t>&gt;.</w:t>
            </w:r>
            <w:r w:rsidR="009B79CE">
              <w:t xml:space="preserve">  </w:t>
            </w:r>
          </w:p>
          <w:p w14:paraId="6A161497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C20C789" w14:textId="435DF58C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9B79CE">
              <w:t>July 2024</w:t>
            </w:r>
            <w:r w:rsidRPr="0055119B">
              <w:t>.</w:t>
            </w:r>
          </w:p>
          <w:p w14:paraId="11AEFD02" w14:textId="1D421AA0" w:rsidR="0055119B" w:rsidRPr="0055119B" w:rsidRDefault="00745760" w:rsidP="00E33237">
            <w:pPr>
              <w:pStyle w:val="Imprint"/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978-1-76131-610-4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</w:p>
          <w:p w14:paraId="31DBCE7F" w14:textId="0E8F08AD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25" w:history="1">
              <w:r w:rsidR="009B79CE" w:rsidRPr="00D97A00">
                <w:rPr>
                  <w:rStyle w:val="Hyperlink"/>
                </w:rPr>
                <w:t>Blood Matters Program</w:t>
              </w:r>
            </w:hyperlink>
            <w:r w:rsidR="009B79CE" w:rsidRPr="0055119B">
              <w:t xml:space="preserve"> &lt;</w:t>
            </w:r>
            <w:r w:rsidR="009B79CE" w:rsidRPr="00D97A00">
              <w:t>https://www.health.vic.gov.au/patient-care/blood-matters-program</w:t>
            </w:r>
            <w:r w:rsidR="009B79CE" w:rsidRPr="0055119B">
              <w:t>&gt;</w:t>
            </w:r>
            <w:r w:rsidR="0061565A">
              <w:t xml:space="preserve"> </w:t>
            </w:r>
          </w:p>
        </w:tc>
      </w:tr>
      <w:bookmarkEnd w:id="9"/>
    </w:tbl>
    <w:p w14:paraId="4E4B20D7" w14:textId="77777777" w:rsidR="00162CA9" w:rsidRDefault="00162CA9" w:rsidP="00162CA9">
      <w:pPr>
        <w:pStyle w:val="Body"/>
      </w:pPr>
    </w:p>
    <w:sectPr w:rsidR="00162CA9" w:rsidSect="0001677A">
      <w:footerReference w:type="even" r:id="rId26"/>
      <w:footerReference w:type="default" r:id="rId27"/>
      <w:footerReference w:type="first" r:id="rId28"/>
      <w:type w:val="continuous"/>
      <w:pgSz w:w="11906" w:h="16838" w:code="9"/>
      <w:pgMar w:top="1418" w:right="851" w:bottom="1985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C6970" w14:textId="77777777" w:rsidR="00E50DC0" w:rsidRDefault="00E50DC0">
      <w:r>
        <w:separator/>
      </w:r>
    </w:p>
  </w:endnote>
  <w:endnote w:type="continuationSeparator" w:id="0">
    <w:p w14:paraId="42418CA6" w14:textId="77777777" w:rsidR="00E50DC0" w:rsidRDefault="00E5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70B10" w14:textId="5C189A4B" w:rsidR="00A22700" w:rsidRDefault="00A22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0256" behindDoc="0" locked="0" layoutInCell="1" allowOverlap="1" wp14:anchorId="36E416F3" wp14:editId="6524AF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013298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172EC" w14:textId="77028E8A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416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1.7pt;height:29.1pt;z-index:25168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2FE172EC" w14:textId="77028E8A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D2646" w14:textId="7C9C8478" w:rsidR="00E261B3" w:rsidRPr="00F65AA9" w:rsidRDefault="00A22700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81280" behindDoc="0" locked="0" layoutInCell="1" allowOverlap="1" wp14:anchorId="1B92DD37" wp14:editId="479DBB5C">
              <wp:simplePos x="542925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0003240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CBB09" w14:textId="1CE00257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2DD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8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083CBB09" w14:textId="1CE00257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677A">
      <w:rPr>
        <w:noProof/>
        <w:lang w:eastAsia="en-AU"/>
      </w:rPr>
      <w:drawing>
        <wp:anchor distT="0" distB="0" distL="114300" distR="114300" simplePos="0" relativeHeight="251676160" behindDoc="1" locked="1" layoutInCell="1" allowOverlap="1" wp14:anchorId="38B95F9A" wp14:editId="3A956EE9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DD28" w14:textId="1F145E3B" w:rsidR="00E261B3" w:rsidRDefault="00A22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232" behindDoc="0" locked="0" layoutInCell="1" allowOverlap="1" wp14:anchorId="6B6FB301" wp14:editId="209EDC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04044138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D0DE7" w14:textId="49FB3D92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FB3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29.1pt;z-index:25167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0AD0DE7" w14:textId="49FB3D92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7D21" w14:textId="7FE91E52" w:rsidR="00A22700" w:rsidRDefault="00A22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3328" behindDoc="0" locked="0" layoutInCell="1" allowOverlap="1" wp14:anchorId="2D3D3696" wp14:editId="2D9C79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1673283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9974C" w14:textId="46EE07BD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D369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left:0;text-align:left;margin-left:0;margin-top:0;width:51.7pt;height:29.1pt;z-index:25168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CB9974C" w14:textId="46EE07BD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7FFD6" w14:textId="090DF2A3" w:rsidR="00A22700" w:rsidRDefault="00A22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4352" behindDoc="0" locked="0" layoutInCell="1" allowOverlap="1" wp14:anchorId="77221F5E" wp14:editId="39C9A476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92590936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0F0D6" w14:textId="5E0425B2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21F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51.7pt;height:29.1pt;z-index:2516843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C60F0D6" w14:textId="5E0425B2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8DF6" w14:textId="14ECB4A0" w:rsidR="00A22700" w:rsidRDefault="00A22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57DA2707" wp14:editId="389720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166413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5F7D99" w14:textId="6E623EF4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A27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51.7pt;height:29.1pt;z-index:25168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45F7D99" w14:textId="6E623EF4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E79B" w14:textId="2E0450F4" w:rsidR="00A22700" w:rsidRDefault="00A22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6400" behindDoc="0" locked="0" layoutInCell="1" allowOverlap="1" wp14:anchorId="76A26E91" wp14:editId="351B5B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04733680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BA3F1" w14:textId="224D087A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26E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" style="position:absolute;left:0;text-align:left;margin-left:0;margin-top:0;width:51.7pt;height:29.1pt;z-index:2516864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yN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WCQYfotFUcsZenEtzNyVaP1Wjj/JCwIxrQQ&#10;rX/EUTbU5ZzOFmcV2V9v+UM+cEeUsw6CybmGojlrfmjwEbQ1GHYwttEYz9JJirjet3cEGY7xIoyM&#10;JrzWN4NZWmpfIOdlaISQ0BLtcr4dzDt/Ui6eg1TLZUyCjIzwa70xMpQOcAUsn/sXYc0ZcA+mHmhQ&#10;k8he4X7KDTedWe490I+kBGhPQJ4RhwQjV+fnEjT+53/Muj7qxW8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CdT+yN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07BA3F1" w14:textId="224D087A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7C428" w14:textId="77216E7B" w:rsidR="00373890" w:rsidRPr="00F65AA9" w:rsidRDefault="00A22700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87424" behindDoc="0" locked="0" layoutInCell="1" allowOverlap="1" wp14:anchorId="58986F60" wp14:editId="1D6772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894583060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3D277" w14:textId="3E7DD8B3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986F6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" style="position:absolute;left:0;text-align:left;margin-left:0;margin-top:0;width:51.7pt;height:29.1pt;z-index:2516874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w8F6w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713D277" w14:textId="3E7DD8B3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677A"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782D524B" wp14:editId="7DBB01E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155600"/>
          <wp:effectExtent l="0" t="0" r="0" b="0"/>
          <wp:wrapNone/>
          <wp:docPr id="9" name="Picture 9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60000" cy="11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F5DB0" w14:textId="29C492BB" w:rsidR="00A22700" w:rsidRDefault="00A227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5376" behindDoc="0" locked="0" layoutInCell="1" allowOverlap="1" wp14:anchorId="753DE2BA" wp14:editId="1C372A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22772744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20968" w14:textId="7D9FBEA8" w:rsidR="00A22700" w:rsidRPr="00A22700" w:rsidRDefault="00A22700" w:rsidP="00A2270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22700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DE2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left:0;text-align:left;margin-left:0;margin-top:0;width:51.7pt;height:29.1pt;z-index:2516853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aMac2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F320968" w14:textId="7D9FBEA8" w:rsidR="00A22700" w:rsidRPr="00A22700" w:rsidRDefault="00A22700" w:rsidP="00A2270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22700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04652" w14:textId="77777777" w:rsidR="00E50DC0" w:rsidRDefault="00E50DC0" w:rsidP="002862F1">
      <w:pPr>
        <w:spacing w:before="120"/>
      </w:pPr>
      <w:r>
        <w:separator/>
      </w:r>
    </w:p>
  </w:footnote>
  <w:footnote w:type="continuationSeparator" w:id="0">
    <w:p w14:paraId="3071A973" w14:textId="77777777" w:rsidR="00E50DC0" w:rsidRDefault="00E5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E4EDF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61AC2" w14:textId="3B5B925E" w:rsidR="00E261B3" w:rsidRPr="0051568D" w:rsidRDefault="008C3697" w:rsidP="0011701A">
    <w:pPr>
      <w:pStyle w:val="Header"/>
    </w:pP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469830364">
    <w:abstractNumId w:val="2"/>
  </w:num>
  <w:num w:numId="2" w16cid:durableId="1863977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623056">
    <w:abstractNumId w:val="5"/>
  </w:num>
  <w:num w:numId="4" w16cid:durableId="1948076203">
    <w:abstractNumId w:val="4"/>
  </w:num>
  <w:num w:numId="5" w16cid:durableId="566846569">
    <w:abstractNumId w:val="6"/>
  </w:num>
  <w:num w:numId="6" w16cid:durableId="639923496">
    <w:abstractNumId w:val="3"/>
  </w:num>
  <w:num w:numId="7" w16cid:durableId="646709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66302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9581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4865026">
    <w:abstractNumId w:val="1"/>
  </w:num>
  <w:num w:numId="11" w16cid:durableId="1572352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1103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E2"/>
    <w:rsid w:val="00000719"/>
    <w:rsid w:val="00000903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33D81"/>
    <w:rsid w:val="00037366"/>
    <w:rsid w:val="00041BF0"/>
    <w:rsid w:val="00041F48"/>
    <w:rsid w:val="00042C8A"/>
    <w:rsid w:val="0004536B"/>
    <w:rsid w:val="00046A68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4D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34C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3B4A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5DD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2E12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F31"/>
    <w:rsid w:val="002432E1"/>
    <w:rsid w:val="00246207"/>
    <w:rsid w:val="00246C5E"/>
    <w:rsid w:val="00250960"/>
    <w:rsid w:val="00251343"/>
    <w:rsid w:val="002536A4"/>
    <w:rsid w:val="00253FA3"/>
    <w:rsid w:val="00254F58"/>
    <w:rsid w:val="002620BC"/>
    <w:rsid w:val="00262802"/>
    <w:rsid w:val="00263A90"/>
    <w:rsid w:val="00263C1F"/>
    <w:rsid w:val="0026408B"/>
    <w:rsid w:val="00267C3E"/>
    <w:rsid w:val="002709BB"/>
    <w:rsid w:val="00270FC7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A1B"/>
    <w:rsid w:val="00303E53"/>
    <w:rsid w:val="003053FB"/>
    <w:rsid w:val="00305CC1"/>
    <w:rsid w:val="00306E5F"/>
    <w:rsid w:val="00307E14"/>
    <w:rsid w:val="00314054"/>
    <w:rsid w:val="003153FC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97508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38E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2C8F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60FB2"/>
    <w:rsid w:val="00566333"/>
    <w:rsid w:val="00572031"/>
    <w:rsid w:val="00572282"/>
    <w:rsid w:val="00573CE3"/>
    <w:rsid w:val="00576E84"/>
    <w:rsid w:val="00580394"/>
    <w:rsid w:val="005809CD"/>
    <w:rsid w:val="00581993"/>
    <w:rsid w:val="00582B8C"/>
    <w:rsid w:val="0058757E"/>
    <w:rsid w:val="00596A4B"/>
    <w:rsid w:val="00597507"/>
    <w:rsid w:val="005A479D"/>
    <w:rsid w:val="005B1C6D"/>
    <w:rsid w:val="005B21B6"/>
    <w:rsid w:val="005B2F38"/>
    <w:rsid w:val="005B3A08"/>
    <w:rsid w:val="005B7A63"/>
    <w:rsid w:val="005C0955"/>
    <w:rsid w:val="005C2DCF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19F"/>
    <w:rsid w:val="00605908"/>
    <w:rsid w:val="00610D7C"/>
    <w:rsid w:val="00613414"/>
    <w:rsid w:val="0061565A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1AE2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0746"/>
    <w:rsid w:val="00677574"/>
    <w:rsid w:val="0068454C"/>
    <w:rsid w:val="00691B62"/>
    <w:rsid w:val="006933B5"/>
    <w:rsid w:val="00693D14"/>
    <w:rsid w:val="00694D17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319A"/>
    <w:rsid w:val="007173CA"/>
    <w:rsid w:val="007175C5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4875"/>
    <w:rsid w:val="007450F8"/>
    <w:rsid w:val="00745760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1BB3"/>
    <w:rsid w:val="008338A2"/>
    <w:rsid w:val="00833ADE"/>
    <w:rsid w:val="00835FAF"/>
    <w:rsid w:val="00841AA9"/>
    <w:rsid w:val="0084470C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310"/>
    <w:rsid w:val="00884B62"/>
    <w:rsid w:val="0088529C"/>
    <w:rsid w:val="00886C32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2D6E"/>
    <w:rsid w:val="0093338F"/>
    <w:rsid w:val="00937BD9"/>
    <w:rsid w:val="00950730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B79CE"/>
    <w:rsid w:val="009C5E77"/>
    <w:rsid w:val="009C7A7E"/>
    <w:rsid w:val="009D02E8"/>
    <w:rsid w:val="009D2DE3"/>
    <w:rsid w:val="009D51D0"/>
    <w:rsid w:val="009D70A4"/>
    <w:rsid w:val="009D76F1"/>
    <w:rsid w:val="009D7B14"/>
    <w:rsid w:val="009D7DE5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2700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0ECF"/>
    <w:rsid w:val="00AA228E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7765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5724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2A3A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376A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0"/>
    <w:rsid w:val="00C920EA"/>
    <w:rsid w:val="00C93C3E"/>
    <w:rsid w:val="00C95A14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4792"/>
    <w:rsid w:val="00D17B72"/>
    <w:rsid w:val="00D3185C"/>
    <w:rsid w:val="00D3205F"/>
    <w:rsid w:val="00D3318E"/>
    <w:rsid w:val="00D33E72"/>
    <w:rsid w:val="00D35BD6"/>
    <w:rsid w:val="00D361B5"/>
    <w:rsid w:val="00D368C3"/>
    <w:rsid w:val="00D405AC"/>
    <w:rsid w:val="00D411A2"/>
    <w:rsid w:val="00D4606D"/>
    <w:rsid w:val="00D46C92"/>
    <w:rsid w:val="00D50B9C"/>
    <w:rsid w:val="00D51B5F"/>
    <w:rsid w:val="00D52D73"/>
    <w:rsid w:val="00D52E58"/>
    <w:rsid w:val="00D56B20"/>
    <w:rsid w:val="00D578B3"/>
    <w:rsid w:val="00D618F4"/>
    <w:rsid w:val="00D6261F"/>
    <w:rsid w:val="00D714CC"/>
    <w:rsid w:val="00D75EA7"/>
    <w:rsid w:val="00D76586"/>
    <w:rsid w:val="00D77DFF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6BB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0DC0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551C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A70A2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7B78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366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1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1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10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lood.gov.au/patient-information/travelling-blood-products-or-outside-australia" TargetMode="External"/><Relationship Id="rId18" Type="http://schemas.openxmlformats.org/officeDocument/2006/relationships/hyperlink" Target="https://www.smartraveller.gov.au/" TargetMode="Externa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csradmintransfusionsupportaus@redcrossblood.org.au" TargetMode="External"/><Relationship Id="rId25" Type="http://schemas.openxmlformats.org/officeDocument/2006/relationships/hyperlink" Target="https://www.health.vic.gov.au/patient-care/blood-matters-progra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sradmintransfusionsupportaus@redcrossblood.org.au" TargetMode="External"/><Relationship Id="rId20" Type="http://schemas.openxmlformats.org/officeDocument/2006/relationships/header" Target="head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mailto:bloodmatters@redcrossblood.org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ew.officeapps.live.com/op/view.aspx?src=https%3A%2F%2Fwww.blood.gov.au%2Fsites%2Fdefault%2Ffiles%2Fdownloaded_files%2FBloodSTAR%252520-%252520Requesting%252520a%252520Product%252520and%252520Dose%252520Change%252520or%252520an%252520Additional%252520Dose.docx&amp;wdOrigin=BROWSELINK" TargetMode="Externa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yperlink" Target="https://www.smartraveller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csradmintransfusionsupportaus@redcrossblood.org.au" TargetMode="External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Travelling overseas with subcutaneous immunoglobulin (SCIg)</vt:lpstr>
    </vt:vector>
  </TitlesOfParts>
  <Manager/>
  <Company/>
  <LinksUpToDate>false</LinksUpToDate>
  <CharactersWithSpaces>9195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Travelling overseas with subcutaneous immunoglobulin (SCIg)</dc:title>
  <dc:subject/>
  <dc:creator/>
  <cp:keywords/>
  <dc:description/>
  <cp:lastModifiedBy/>
  <cp:revision>1</cp:revision>
  <dcterms:created xsi:type="dcterms:W3CDTF">2024-09-03T02:03:00Z</dcterms:created>
  <dcterms:modified xsi:type="dcterms:W3CDTF">2024-09-03T02:04:00Z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799eaa28,2fc35297,bec4092,3145508,1eccb7a5,72cb0b78,54cdca08,7a07e163,70ed0b14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2024-09-03T02:04:10Z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8acf9d21-780f-446f-af13-36ebc8855c8b</vt:lpwstr>
  </property>
  <property fmtid="{D5CDD505-2E9C-101B-9397-08002B2CF9AE}" pid="11" name="MSIP_Label_43e64453-338c-4f93-8a4d-0039a0a41f2a_ContentBits">
    <vt:lpwstr>2</vt:lpwstr>
  </property>
</Properties>
</file>