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EB7B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CB2799" w14:textId="6D05CCF2" w:rsidR="003B5733" w:rsidRPr="003B5733" w:rsidRDefault="008F0D1A" w:rsidP="003B5733">
            <w:pPr>
              <w:pStyle w:val="Documenttitle"/>
            </w:pPr>
            <w:r>
              <w:t>Health Services (Health Service Establishments) Regulation</w:t>
            </w:r>
            <w:r w:rsidR="00876F71">
              <w:t>s</w:t>
            </w:r>
            <w:r>
              <w:t xml:space="preserve"> 2024</w:t>
            </w:r>
          </w:p>
        </w:tc>
      </w:tr>
      <w:tr w:rsidR="003B5733" w14:paraId="765A1D8F" w14:textId="77777777" w:rsidTr="00B07FF7">
        <w:tc>
          <w:tcPr>
            <w:tcW w:w="10348" w:type="dxa"/>
          </w:tcPr>
          <w:p w14:paraId="28E50E16" w14:textId="524EAA1B" w:rsidR="003B5733" w:rsidRPr="00A1389F" w:rsidRDefault="008F0D1A">
            <w:pPr>
              <w:pStyle w:val="Documentsubtitle"/>
            </w:pPr>
            <w:r>
              <w:t xml:space="preserve">Fact sheet for </w:t>
            </w:r>
            <w:r w:rsidR="00070143">
              <w:t xml:space="preserve">health service establishments </w:t>
            </w:r>
          </w:p>
        </w:tc>
      </w:tr>
      <w:tr w:rsidR="003B5733" w14:paraId="26A5AC70" w14:textId="77777777" w:rsidTr="00B07FF7">
        <w:tc>
          <w:tcPr>
            <w:tcW w:w="10348" w:type="dxa"/>
          </w:tcPr>
          <w:p w14:paraId="7A2CE04C" w14:textId="77777777" w:rsidR="003B5733" w:rsidRPr="001E5058" w:rsidRDefault="002375FF" w:rsidP="001E5058">
            <w:pPr>
              <w:pStyle w:val="Bannermarking"/>
            </w:pPr>
            <w:r>
              <w:fldChar w:fldCharType="begin"/>
            </w:r>
            <w:r>
              <w:instrText xml:space="preserve">FILLIN  "Type the protective marking" \d OFFICIAL \o  \* </w:instrText>
            </w:r>
            <w:r>
              <w:instrText>MERGEFORMAT</w:instrText>
            </w:r>
            <w:r>
              <w:fldChar w:fldCharType="separate"/>
            </w:r>
            <w:r w:rsidR="003F30C3">
              <w:t>OFFICIAL</w:t>
            </w:r>
            <w:r>
              <w:fldChar w:fldCharType="end"/>
            </w:r>
          </w:p>
        </w:tc>
      </w:tr>
    </w:tbl>
    <w:p w14:paraId="3CD4FCA9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846ECCD" w14:textId="615F22C6" w:rsidR="00AE62EB" w:rsidRDefault="00AE62E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174547539" w:history="1">
        <w:r w:rsidRPr="00682B43">
          <w:rPr>
            <w:rStyle w:val="Hyperlink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_Toc174547539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3F77426" w14:textId="1D8997A6" w:rsidR="00AE62EB" w:rsidRDefault="002375F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4547540" w:history="1">
        <w:r w:rsidR="00AE62EB" w:rsidRPr="00682B43">
          <w:rPr>
            <w:rStyle w:val="Hyperlink"/>
          </w:rPr>
          <w:t>What’s new in the 2024 Regulations?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_Toc174547540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1</w:t>
        </w:r>
        <w:r w:rsidR="00AE62EB">
          <w:rPr>
            <w:webHidden/>
          </w:rPr>
          <w:fldChar w:fldCharType="end"/>
        </w:r>
      </w:hyperlink>
    </w:p>
    <w:p w14:paraId="572FC36C" w14:textId="61CC176D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1" w:history="1">
        <w:r w:rsidR="00AE62EB" w:rsidRPr="00682B43">
          <w:rPr>
            <w:rStyle w:val="Hyperlink"/>
          </w:rPr>
          <w:t>Objectives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_Toc174547541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2</w:t>
        </w:r>
        <w:r w:rsidR="00AE62EB">
          <w:rPr>
            <w:webHidden/>
          </w:rPr>
          <w:fldChar w:fldCharType="end"/>
        </w:r>
      </w:hyperlink>
    </w:p>
    <w:p w14:paraId="5E68FC78" w14:textId="19CB6349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2" w:history="1">
        <w:r w:rsidR="00AE62EB" w:rsidRPr="00682B43">
          <w:rPr>
            <w:rStyle w:val="Hyperlink"/>
          </w:rPr>
          <w:t>Clinical Governance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_Toc174547542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2</w:t>
        </w:r>
        <w:r w:rsidR="00AE62EB">
          <w:rPr>
            <w:webHidden/>
          </w:rPr>
          <w:fldChar w:fldCharType="end"/>
        </w:r>
      </w:hyperlink>
    </w:p>
    <w:p w14:paraId="7CAA798E" w14:textId="43BB7426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3" w:history="1">
        <w:r w:rsidR="00AE62EB" w:rsidRPr="00682B43">
          <w:rPr>
            <w:rStyle w:val="Hyperlink"/>
          </w:rPr>
          <w:t>Reporting and review of sentinel events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_Toc174547543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3</w:t>
        </w:r>
        <w:r w:rsidR="00AE62EB">
          <w:rPr>
            <w:webHidden/>
          </w:rPr>
          <w:fldChar w:fldCharType="end"/>
        </w:r>
      </w:hyperlink>
    </w:p>
    <w:p w14:paraId="3306475B" w14:textId="348CABB0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4" w:history="1">
        <w:r w:rsidR="00AE62EB" w:rsidRPr="00682B43">
          <w:rPr>
            <w:rStyle w:val="Hyperlink"/>
          </w:rPr>
          <w:t>Admissions information and assessment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_Toc174547544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3</w:t>
        </w:r>
        <w:r w:rsidR="00AE62EB">
          <w:rPr>
            <w:webHidden/>
          </w:rPr>
          <w:fldChar w:fldCharType="end"/>
        </w:r>
      </w:hyperlink>
    </w:p>
    <w:p w14:paraId="12EC30D3" w14:textId="69A3D165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5" w:history="1">
        <w:r w:rsidR="00AE62EB" w:rsidRPr="00682B43">
          <w:rPr>
            <w:rStyle w:val="Hyperlink"/>
          </w:rPr>
          <w:t>Requirements to record, review or provide information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_Toc174547545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3</w:t>
        </w:r>
        <w:r w:rsidR="00AE62EB">
          <w:rPr>
            <w:webHidden/>
          </w:rPr>
          <w:fldChar w:fldCharType="end"/>
        </w:r>
      </w:hyperlink>
    </w:p>
    <w:p w14:paraId="0A19BC10" w14:textId="1E3267E9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6" w:history="1">
        <w:r w:rsidR="00AE62EB" w:rsidRPr="00682B43">
          <w:rPr>
            <w:rStyle w:val="Hyperlink"/>
          </w:rPr>
          <w:t>Fees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_Toc174547546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4</w:t>
        </w:r>
        <w:r w:rsidR="00AE62EB">
          <w:rPr>
            <w:webHidden/>
          </w:rPr>
          <w:fldChar w:fldCharType="end"/>
        </w:r>
      </w:hyperlink>
    </w:p>
    <w:p w14:paraId="18506823" w14:textId="3E335A51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7" w:history="1">
        <w:r w:rsidR="00AE62EB" w:rsidRPr="00682B43">
          <w:rPr>
            <w:rStyle w:val="Hyperlink"/>
          </w:rPr>
          <w:t>Infringements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_Toc174547547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4</w:t>
        </w:r>
        <w:r w:rsidR="00AE62EB">
          <w:rPr>
            <w:webHidden/>
          </w:rPr>
          <w:fldChar w:fldCharType="end"/>
        </w:r>
      </w:hyperlink>
    </w:p>
    <w:p w14:paraId="5FB7D4A3" w14:textId="548275B0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8" w:history="1">
        <w:r w:rsidR="00AE62EB" w:rsidRPr="00682B43">
          <w:rPr>
            <w:rStyle w:val="Hyperlink"/>
          </w:rPr>
          <w:t>Gender identity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_Toc174547548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4</w:t>
        </w:r>
        <w:r w:rsidR="00AE62EB">
          <w:rPr>
            <w:webHidden/>
          </w:rPr>
          <w:fldChar w:fldCharType="end"/>
        </w:r>
      </w:hyperlink>
    </w:p>
    <w:p w14:paraId="2A656DD2" w14:textId="30377B30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49" w:history="1">
        <w:r w:rsidR="00AE62EB" w:rsidRPr="00682B43">
          <w:rPr>
            <w:rStyle w:val="Hyperlink"/>
          </w:rPr>
          <w:t>Changes to terminology and to remove duplication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_Toc174547549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4</w:t>
        </w:r>
        <w:r w:rsidR="00AE62EB">
          <w:rPr>
            <w:webHidden/>
          </w:rPr>
          <w:fldChar w:fldCharType="end"/>
        </w:r>
      </w:hyperlink>
    </w:p>
    <w:p w14:paraId="1032EDC1" w14:textId="6C1C25E0" w:rsidR="00AE62EB" w:rsidRDefault="002375F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4547550" w:history="1">
        <w:r w:rsidR="00AE62EB" w:rsidRPr="00682B43">
          <w:rPr>
            <w:rStyle w:val="Hyperlink"/>
          </w:rPr>
          <w:t xml:space="preserve">Achieving compliance with the 2024 Regulations 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_Toc174547550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4</w:t>
        </w:r>
        <w:r w:rsidR="00AE62EB">
          <w:rPr>
            <w:webHidden/>
          </w:rPr>
          <w:fldChar w:fldCharType="end"/>
        </w:r>
      </w:hyperlink>
    </w:p>
    <w:p w14:paraId="0CD7BE23" w14:textId="2AA99B03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51" w:history="1">
        <w:r w:rsidR="00AE62EB" w:rsidRPr="00682B43">
          <w:rPr>
            <w:rStyle w:val="Hyperlink"/>
          </w:rPr>
          <w:t>What HSEs should do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_Toc174547551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4</w:t>
        </w:r>
        <w:r w:rsidR="00AE62EB">
          <w:rPr>
            <w:webHidden/>
          </w:rPr>
          <w:fldChar w:fldCharType="end"/>
        </w:r>
      </w:hyperlink>
    </w:p>
    <w:p w14:paraId="4BA600F5" w14:textId="1BCB4806" w:rsidR="00AE62EB" w:rsidRDefault="002375FF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74547552" w:history="1">
        <w:r w:rsidR="00AE62EB" w:rsidRPr="00682B43">
          <w:rPr>
            <w:rStyle w:val="Hyperlink"/>
          </w:rPr>
          <w:t>What the Health Regulator and Safer Care Victoria will do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_Toc174547552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5</w:t>
        </w:r>
        <w:r w:rsidR="00AE62EB">
          <w:rPr>
            <w:webHidden/>
          </w:rPr>
          <w:fldChar w:fldCharType="end"/>
        </w:r>
      </w:hyperlink>
    </w:p>
    <w:p w14:paraId="3A7F9258" w14:textId="68734125" w:rsidR="00AE62EB" w:rsidRDefault="002375FF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4547553" w:history="1">
        <w:r w:rsidR="00AE62EB" w:rsidRPr="00682B43">
          <w:rPr>
            <w:rStyle w:val="Hyperlink"/>
          </w:rPr>
          <w:t>Appendix 1</w:t>
        </w:r>
        <w:r w:rsidR="00AE62EB">
          <w:rPr>
            <w:webHidden/>
          </w:rPr>
          <w:tab/>
        </w:r>
        <w:r w:rsidR="00AE62EB">
          <w:rPr>
            <w:webHidden/>
          </w:rPr>
          <w:fldChar w:fldCharType="begin"/>
        </w:r>
        <w:r w:rsidR="00AE62EB">
          <w:rPr>
            <w:webHidden/>
          </w:rPr>
          <w:instrText xml:space="preserve"> PAGEREF _Toc174547553 \h </w:instrText>
        </w:r>
        <w:r w:rsidR="00AE62EB">
          <w:rPr>
            <w:webHidden/>
          </w:rPr>
        </w:r>
        <w:r w:rsidR="00AE62EB">
          <w:rPr>
            <w:webHidden/>
          </w:rPr>
          <w:fldChar w:fldCharType="separate"/>
        </w:r>
        <w:r w:rsidR="00AE62EB">
          <w:rPr>
            <w:webHidden/>
          </w:rPr>
          <w:t>6</w:t>
        </w:r>
        <w:r w:rsidR="00AE62EB">
          <w:rPr>
            <w:webHidden/>
          </w:rPr>
          <w:fldChar w:fldCharType="end"/>
        </w:r>
      </w:hyperlink>
    </w:p>
    <w:p w14:paraId="76AA063C" w14:textId="6F0E96E9" w:rsidR="00580394" w:rsidRPr="00B519CD" w:rsidRDefault="00AE62EB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rPr>
          <w:rFonts w:eastAsia="Times New Roman"/>
          <w:b/>
          <w:noProof/>
        </w:rPr>
        <w:fldChar w:fldCharType="end"/>
      </w:r>
    </w:p>
    <w:p w14:paraId="38C3CC4B" w14:textId="5A1ED675" w:rsidR="00C51F0A" w:rsidRPr="00A71CE4" w:rsidRDefault="008F0D1A" w:rsidP="00C51F0A">
      <w:pPr>
        <w:pStyle w:val="Heading1"/>
        <w:spacing w:before="0"/>
      </w:pPr>
      <w:bookmarkStart w:id="0" w:name="_Toc174547539"/>
      <w:r>
        <w:t>Overview</w:t>
      </w:r>
      <w:bookmarkEnd w:id="0"/>
    </w:p>
    <w:p w14:paraId="16AC542F" w14:textId="59DDF05E" w:rsidR="008F0D1A" w:rsidRPr="008F0D1A" w:rsidRDefault="008F0D1A" w:rsidP="00C00791">
      <w:pPr>
        <w:pStyle w:val="Body"/>
      </w:pPr>
      <w:bookmarkStart w:id="1" w:name="_Toc66711981"/>
      <w:r w:rsidRPr="008F0D1A">
        <w:t xml:space="preserve">The </w:t>
      </w:r>
      <w:r w:rsidRPr="009C3454">
        <w:t>Health Services (Health Service Establishments) Regulations 2024</w:t>
      </w:r>
      <w:r w:rsidRPr="008F0D1A">
        <w:t xml:space="preserve"> (the 2024 </w:t>
      </w:r>
      <w:r w:rsidR="003A3C47">
        <w:t>Regulation</w:t>
      </w:r>
      <w:r w:rsidRPr="008F0D1A">
        <w:t xml:space="preserve">s) </w:t>
      </w:r>
      <w:r w:rsidR="00D85869">
        <w:t>will com</w:t>
      </w:r>
      <w:r w:rsidR="00322FF6">
        <w:t>mence on 31 August 2024</w:t>
      </w:r>
      <w:r w:rsidR="00683CDE">
        <w:t>.</w:t>
      </w:r>
      <w:r w:rsidRPr="008F0D1A">
        <w:t xml:space="preserve">  </w:t>
      </w:r>
    </w:p>
    <w:p w14:paraId="6C265521" w14:textId="048AA84C" w:rsidR="008F0D1A" w:rsidRPr="0011425E" w:rsidRDefault="008F0D1A" w:rsidP="00C00791">
      <w:pPr>
        <w:pStyle w:val="Body"/>
      </w:pPr>
      <w:r w:rsidRPr="7F789488">
        <w:rPr>
          <w:rFonts w:cs="Arial"/>
          <w:szCs w:val="21"/>
        </w:rPr>
        <w:t xml:space="preserve">The 2024 </w:t>
      </w:r>
      <w:r w:rsidR="003A3C47">
        <w:rPr>
          <w:rFonts w:cs="Arial"/>
          <w:szCs w:val="21"/>
        </w:rPr>
        <w:t>Regulation</w:t>
      </w:r>
      <w:r w:rsidRPr="7F789488">
        <w:rPr>
          <w:rFonts w:cs="Arial"/>
          <w:szCs w:val="21"/>
        </w:rPr>
        <w:t xml:space="preserve">s largely maintain the regulatory controls of the </w:t>
      </w:r>
      <w:r w:rsidRPr="009C3454">
        <w:rPr>
          <w:rFonts w:cs="Arial"/>
          <w:szCs w:val="21"/>
        </w:rPr>
        <w:t>Health Services (Health Service Establishments) Regulations 2013</w:t>
      </w:r>
      <w:r w:rsidRPr="7F789488">
        <w:rPr>
          <w:rFonts w:cs="Arial"/>
          <w:szCs w:val="21"/>
        </w:rPr>
        <w:t xml:space="preserve"> (the 2013 </w:t>
      </w:r>
      <w:r w:rsidR="003A3C47">
        <w:rPr>
          <w:rFonts w:cs="Arial"/>
          <w:szCs w:val="21"/>
        </w:rPr>
        <w:t>Regulation</w:t>
      </w:r>
      <w:r w:rsidRPr="7F789488">
        <w:rPr>
          <w:rFonts w:cs="Arial"/>
          <w:szCs w:val="21"/>
        </w:rPr>
        <w:t xml:space="preserve">s) and include new </w:t>
      </w:r>
      <w:r w:rsidRPr="002C1F6A">
        <w:rPr>
          <w:rFonts w:cs="Arial"/>
          <w:szCs w:val="21"/>
        </w:rPr>
        <w:t>requirements</w:t>
      </w:r>
      <w:r w:rsidRPr="7F789488">
        <w:rPr>
          <w:rFonts w:cs="Arial"/>
          <w:szCs w:val="21"/>
        </w:rPr>
        <w:t>. A</w:t>
      </w:r>
      <w:r w:rsidR="1FFC52EE" w:rsidRPr="7F789488">
        <w:rPr>
          <w:rFonts w:cs="Arial"/>
          <w:szCs w:val="21"/>
        </w:rPr>
        <w:t xml:space="preserve">dditionally, </w:t>
      </w:r>
      <w:proofErr w:type="gramStart"/>
      <w:r w:rsidR="1FFC52EE" w:rsidRPr="7F789488">
        <w:rPr>
          <w:rFonts w:cs="Arial"/>
          <w:szCs w:val="21"/>
        </w:rPr>
        <w:t>a</w:t>
      </w:r>
      <w:r w:rsidRPr="7F789488">
        <w:rPr>
          <w:rFonts w:cs="Arial"/>
          <w:szCs w:val="21"/>
        </w:rPr>
        <w:t xml:space="preserve"> number of</w:t>
      </w:r>
      <w:proofErr w:type="gramEnd"/>
      <w:r w:rsidRPr="7F789488">
        <w:rPr>
          <w:rFonts w:cs="Arial"/>
          <w:szCs w:val="21"/>
        </w:rPr>
        <w:t xml:space="preserve"> amendments </w:t>
      </w:r>
      <w:r w:rsidR="00653D83" w:rsidRPr="7F789488">
        <w:rPr>
          <w:rFonts w:cs="Arial"/>
          <w:szCs w:val="21"/>
        </w:rPr>
        <w:t xml:space="preserve">have been made </w:t>
      </w:r>
      <w:r w:rsidRPr="7F789488">
        <w:rPr>
          <w:rFonts w:cs="Arial"/>
          <w:szCs w:val="21"/>
        </w:rPr>
        <w:t>for clarification or to modernise terminology.</w:t>
      </w:r>
      <w:r w:rsidR="0011425E">
        <w:rPr>
          <w:rFonts w:cs="Arial"/>
          <w:szCs w:val="21"/>
        </w:rPr>
        <w:t xml:space="preserve"> </w:t>
      </w:r>
      <w:r w:rsidR="00653D83">
        <w:t>To</w:t>
      </w:r>
      <w:r w:rsidR="0011425E">
        <w:t xml:space="preserve"> download the current version of the </w:t>
      </w:r>
      <w:r w:rsidR="003A3C47">
        <w:t>Regulation</w:t>
      </w:r>
      <w:r w:rsidR="0011425E">
        <w:t>s</w:t>
      </w:r>
      <w:r w:rsidR="7BC6BB56">
        <w:t>,</w:t>
      </w:r>
      <w:r w:rsidR="0011425E">
        <w:t xml:space="preserve"> visit: </w:t>
      </w:r>
      <w:hyperlink r:id="rId16">
        <w:r w:rsidR="0011425E" w:rsidRPr="35552DFE">
          <w:rPr>
            <w:rStyle w:val="Hyperlink"/>
          </w:rPr>
          <w:t>www.legislation.vic.gov.au</w:t>
        </w:r>
      </w:hyperlink>
      <w:r w:rsidR="003C0FBA">
        <w:rPr>
          <w:rStyle w:val="Hyperlink"/>
        </w:rPr>
        <w:t xml:space="preserve"> </w:t>
      </w:r>
      <w:r w:rsidR="003C0FBA" w:rsidRPr="00C57E55">
        <w:rPr>
          <w:rFonts w:cs="Arial"/>
          <w:szCs w:val="21"/>
        </w:rPr>
        <w:t>&lt;https://www.legislation.vic.gov.au/</w:t>
      </w:r>
      <w:r w:rsidR="009C73B7" w:rsidRPr="00C57E55">
        <w:rPr>
          <w:rFonts w:cs="Arial"/>
          <w:szCs w:val="21"/>
        </w:rPr>
        <w:t>&gt;</w:t>
      </w:r>
      <w:r w:rsidR="00C57E55" w:rsidRPr="00C57E55">
        <w:rPr>
          <w:rFonts w:cs="Arial"/>
          <w:szCs w:val="21"/>
        </w:rPr>
        <w:t>.</w:t>
      </w:r>
    </w:p>
    <w:p w14:paraId="453C9122" w14:textId="4E1CD34A" w:rsidR="00C51F0A" w:rsidRPr="00B57329" w:rsidRDefault="001C6F77" w:rsidP="00C51F0A">
      <w:pPr>
        <w:pStyle w:val="Heading1"/>
      </w:pPr>
      <w:bookmarkStart w:id="2" w:name="_Toc174547540"/>
      <w:bookmarkStart w:id="3" w:name="_Hlk63948051"/>
      <w:bookmarkEnd w:id="1"/>
      <w:r>
        <w:t>What</w:t>
      </w:r>
      <w:r w:rsidR="007A157F">
        <w:t xml:space="preserve">’s </w:t>
      </w:r>
      <w:r>
        <w:t>new in the 2024 Regulations</w:t>
      </w:r>
      <w:r w:rsidR="007A157F">
        <w:t>?</w:t>
      </w:r>
      <w:bookmarkEnd w:id="2"/>
      <w:r w:rsidR="007A157F">
        <w:t xml:space="preserve"> </w:t>
      </w:r>
    </w:p>
    <w:p w14:paraId="310AEEC8" w14:textId="742575F0" w:rsidR="008F0D1A" w:rsidRPr="00C33480" w:rsidRDefault="008F0D1A" w:rsidP="00C00791">
      <w:pPr>
        <w:pStyle w:val="Body"/>
      </w:pPr>
      <w:bookmarkStart w:id="4" w:name="_Toc66711982"/>
      <w:bookmarkEnd w:id="3"/>
      <w:r w:rsidRPr="00C33480">
        <w:t xml:space="preserve">The structure and content of the </w:t>
      </w:r>
      <w:r w:rsidR="00AF28B1">
        <w:t>2024</w:t>
      </w:r>
      <w:r w:rsidRPr="00C33480">
        <w:t xml:space="preserve"> </w:t>
      </w:r>
      <w:r w:rsidR="003A3C47">
        <w:t>Regulation</w:t>
      </w:r>
      <w:r w:rsidRPr="00C33480">
        <w:t xml:space="preserve">s is largely consistent with the 2013 </w:t>
      </w:r>
      <w:r w:rsidR="003A3C47">
        <w:t>Regulation</w:t>
      </w:r>
      <w:r w:rsidRPr="00C33480">
        <w:t xml:space="preserve">s. However, </w:t>
      </w:r>
      <w:r w:rsidR="003A3C71">
        <w:t xml:space="preserve">targeted </w:t>
      </w:r>
      <w:r w:rsidRPr="00C33480">
        <w:t xml:space="preserve">changes have been made to improve the operation of the </w:t>
      </w:r>
      <w:r w:rsidR="003A3C47">
        <w:t>Regulation</w:t>
      </w:r>
      <w:r w:rsidRPr="00C33480">
        <w:t xml:space="preserve">s and address issues that have </w:t>
      </w:r>
      <w:r w:rsidRPr="00C33480">
        <w:lastRenderedPageBreak/>
        <w:t xml:space="preserve">been identified by stakeholders. </w:t>
      </w:r>
      <w:r w:rsidR="002A6914">
        <w:t>The substantive</w:t>
      </w:r>
      <w:r w:rsidRPr="00C33480">
        <w:t xml:space="preserve"> changes suggested by stakeholders and </w:t>
      </w:r>
      <w:r w:rsidR="009516DA">
        <w:t xml:space="preserve">other administrative </w:t>
      </w:r>
      <w:r w:rsidR="00620BC0">
        <w:t xml:space="preserve">changes </w:t>
      </w:r>
      <w:r w:rsidRPr="00C33480">
        <w:t xml:space="preserve">adopted in the 2024 </w:t>
      </w:r>
      <w:r w:rsidR="003A3C47">
        <w:t>Regulation</w:t>
      </w:r>
      <w:r w:rsidRPr="00C33480">
        <w:t xml:space="preserve">s are summarised below and </w:t>
      </w:r>
      <w:r w:rsidR="00AD13FF">
        <w:t>detailed</w:t>
      </w:r>
      <w:r w:rsidR="00AD13FF" w:rsidRPr="00C33480">
        <w:t xml:space="preserve"> </w:t>
      </w:r>
      <w:r w:rsidRPr="00C33480">
        <w:t xml:space="preserve">in </w:t>
      </w:r>
      <w:hyperlink w:anchor="_Appendix_1" w:history="1">
        <w:r w:rsidR="00327BB6" w:rsidRPr="005752CC">
          <w:rPr>
            <w:rStyle w:val="Hyperlink"/>
          </w:rPr>
          <w:t>Appendix</w:t>
        </w:r>
        <w:r w:rsidRPr="005752CC">
          <w:rPr>
            <w:rStyle w:val="Hyperlink"/>
          </w:rPr>
          <w:t xml:space="preserve"> 1</w:t>
        </w:r>
      </w:hyperlink>
      <w:r w:rsidRPr="00C33480">
        <w:t xml:space="preserve">. </w:t>
      </w:r>
    </w:p>
    <w:p w14:paraId="3E012BF2" w14:textId="5C2A7145" w:rsidR="00AF28B1" w:rsidRDefault="00AF28B1" w:rsidP="00C00791">
      <w:pPr>
        <w:pStyle w:val="Body"/>
      </w:pPr>
      <w:r>
        <w:t>T</w:t>
      </w:r>
      <w:r w:rsidRPr="6EA8A178">
        <w:t xml:space="preserve">o allow time for further consultation </w:t>
      </w:r>
      <w:r>
        <w:t xml:space="preserve">and </w:t>
      </w:r>
      <w:r w:rsidRPr="6EA8A178">
        <w:t xml:space="preserve">the development of supporting </w:t>
      </w:r>
      <w:r>
        <w:t>guidelines,</w:t>
      </w:r>
      <w:r w:rsidRPr="6EA8A178">
        <w:t xml:space="preserve"> </w:t>
      </w:r>
      <w:r>
        <w:t>several</w:t>
      </w:r>
      <w:r w:rsidRPr="6EA8A178">
        <w:t xml:space="preserve"> amendments will have a delayed commencement. See </w:t>
      </w:r>
      <w:hyperlink w:anchor="_Appendix_1" w:history="1">
        <w:r w:rsidR="009230D4" w:rsidRPr="005752CC">
          <w:rPr>
            <w:rStyle w:val="Hyperlink"/>
            <w:rFonts w:cs="Arial"/>
            <w:szCs w:val="21"/>
          </w:rPr>
          <w:t>Appendix</w:t>
        </w:r>
        <w:r w:rsidRPr="005752CC">
          <w:rPr>
            <w:rStyle w:val="Hyperlink"/>
            <w:rFonts w:cs="Arial"/>
            <w:szCs w:val="21"/>
          </w:rPr>
          <w:t xml:space="preserve"> 1</w:t>
        </w:r>
      </w:hyperlink>
      <w:r w:rsidRPr="6EA8A178">
        <w:t xml:space="preserve"> for details.</w:t>
      </w:r>
    </w:p>
    <w:p w14:paraId="308B3EF8" w14:textId="5B6F3232" w:rsidR="009F66E4" w:rsidRPr="001B060B" w:rsidRDefault="008F0D1A" w:rsidP="001B060B">
      <w:pPr>
        <w:pStyle w:val="Body"/>
      </w:pPr>
      <w:r w:rsidRPr="00C33480">
        <w:t xml:space="preserve">Please note that </w:t>
      </w:r>
      <w:r w:rsidR="003A3C47">
        <w:t>Regulation</w:t>
      </w:r>
      <w:r w:rsidRPr="00C33480">
        <w:t>s relating to workforce, senior appointments</w:t>
      </w:r>
      <w:r w:rsidR="00081957">
        <w:t>, reporting of infection surveillance data,</w:t>
      </w:r>
      <w:r w:rsidRPr="00C33480">
        <w:t xml:space="preserve"> and scope </w:t>
      </w:r>
      <w:r w:rsidR="00932A44">
        <w:t>of services that require registration as a health service establishment</w:t>
      </w:r>
      <w:r w:rsidR="00016DD9">
        <w:t xml:space="preserve"> (HSE)</w:t>
      </w:r>
      <w:r w:rsidR="00932A44">
        <w:t xml:space="preserve"> </w:t>
      </w:r>
      <w:r w:rsidRPr="00C33480">
        <w:t xml:space="preserve">are generally being remade unchanged. </w:t>
      </w:r>
      <w:r w:rsidR="00932A44">
        <w:t xml:space="preserve">However, </w:t>
      </w:r>
      <w:r w:rsidR="003A3C47">
        <w:t>Regulation</w:t>
      </w:r>
      <w:r w:rsidRPr="00C33480">
        <w:t>s</w:t>
      </w:r>
      <w:r w:rsidR="00932A44">
        <w:t xml:space="preserve"> relating to these areas</w:t>
      </w:r>
      <w:r w:rsidRPr="00C33480">
        <w:t xml:space="preserve"> </w:t>
      </w:r>
      <w:r w:rsidR="006D637F">
        <w:t>are</w:t>
      </w:r>
      <w:r w:rsidRPr="00C33480">
        <w:t xml:space="preserve"> </w:t>
      </w:r>
      <w:r w:rsidR="00203C28">
        <w:t xml:space="preserve">currently </w:t>
      </w:r>
      <w:r w:rsidR="006D637F">
        <w:t>under</w:t>
      </w:r>
      <w:r w:rsidRPr="00C33480">
        <w:t xml:space="preserve"> review in a second phase of reforms</w:t>
      </w:r>
      <w:r w:rsidR="00203C28">
        <w:t xml:space="preserve"> that will continue in 2025</w:t>
      </w:r>
      <w:r w:rsidRPr="00C33480">
        <w:t>.</w:t>
      </w:r>
      <w:r w:rsidR="00A8172A">
        <w:t xml:space="preserve"> </w:t>
      </w:r>
      <w:r w:rsidR="000B5C58">
        <w:t>Information about upcoming consultation will be</w:t>
      </w:r>
      <w:r w:rsidR="00710420">
        <w:t xml:space="preserve"> </w:t>
      </w:r>
      <w:r w:rsidR="00A8172A">
        <w:t>available</w:t>
      </w:r>
      <w:r w:rsidR="00694EBC">
        <w:t xml:space="preserve"> </w:t>
      </w:r>
      <w:hyperlink r:id="rId17" w:history="1">
        <w:r w:rsidR="00C66559">
          <w:rPr>
            <w:rStyle w:val="Hyperlink"/>
          </w:rPr>
          <w:t>on the department's website</w:t>
        </w:r>
      </w:hyperlink>
      <w:r w:rsidR="00820ACF">
        <w:t xml:space="preserve"> </w:t>
      </w:r>
      <w:r w:rsidR="00820ACF" w:rsidRPr="00A63DEA">
        <w:t>&lt;</w:t>
      </w:r>
      <w:r w:rsidR="00DE21C2" w:rsidRPr="00A63DEA">
        <w:t>https://www.health.vic.gov.au/private-health-service-establishments/legislation-updates-for-private-health-service-establishments</w:t>
      </w:r>
      <w:r w:rsidR="0053694D" w:rsidRPr="00A63DEA">
        <w:t>&gt;.</w:t>
      </w:r>
      <w:bookmarkEnd w:id="4"/>
    </w:p>
    <w:p w14:paraId="6B030E7F" w14:textId="5DF7CE0E" w:rsidR="002352CF" w:rsidRPr="002352CF" w:rsidRDefault="002352CF" w:rsidP="00DC442A">
      <w:pPr>
        <w:pStyle w:val="Heading2"/>
        <w:rPr>
          <w:sz w:val="21"/>
          <w:szCs w:val="21"/>
        </w:rPr>
      </w:pPr>
      <w:bookmarkStart w:id="5" w:name="_Toc174547541"/>
      <w:r w:rsidRPr="00182FDD">
        <w:t>Objectives</w:t>
      </w:r>
      <w:bookmarkEnd w:id="5"/>
      <w:r w:rsidRPr="00182FDD">
        <w:t xml:space="preserve"> </w:t>
      </w:r>
    </w:p>
    <w:p w14:paraId="7CEBF185" w14:textId="520D78A1" w:rsidR="002352CF" w:rsidRPr="00DC206E" w:rsidRDefault="002352CF" w:rsidP="00E70E7B">
      <w:pPr>
        <w:pStyle w:val="Body"/>
        <w:rPr>
          <w:rStyle w:val="eop"/>
          <w:rFonts w:eastAsiaTheme="majorEastAsia" w:cs="Arial"/>
          <w:szCs w:val="21"/>
        </w:rPr>
      </w:pPr>
      <w:r w:rsidRPr="007E16BF">
        <w:rPr>
          <w:rStyle w:val="eop"/>
          <w:rFonts w:eastAsiaTheme="majorEastAsia" w:cs="Arial"/>
          <w:szCs w:val="21"/>
        </w:rPr>
        <w:t xml:space="preserve">The primary objective of the Regulations </w:t>
      </w:r>
      <w:r w:rsidRPr="007E16BF" w:rsidDel="00636C90">
        <w:rPr>
          <w:rStyle w:val="eop"/>
          <w:rFonts w:eastAsiaTheme="majorEastAsia" w:cs="Arial"/>
          <w:szCs w:val="21"/>
        </w:rPr>
        <w:t xml:space="preserve">is </w:t>
      </w:r>
      <w:r w:rsidR="00636C90" w:rsidRPr="007E16BF">
        <w:rPr>
          <w:rStyle w:val="eop"/>
          <w:rFonts w:eastAsiaTheme="majorEastAsia" w:cs="Arial"/>
          <w:szCs w:val="21"/>
        </w:rPr>
        <w:t xml:space="preserve">unchanged: </w:t>
      </w:r>
      <w:r w:rsidRPr="007E16BF">
        <w:rPr>
          <w:rStyle w:val="eop"/>
          <w:rFonts w:eastAsiaTheme="majorEastAsia" w:cs="Arial"/>
          <w:szCs w:val="21"/>
        </w:rPr>
        <w:t xml:space="preserve">to provide for the safety and quality of care of patients by prescribing certain requirements. </w:t>
      </w:r>
      <w:r w:rsidR="00636C90" w:rsidRPr="007E16BF">
        <w:rPr>
          <w:rStyle w:val="eop"/>
          <w:rFonts w:eastAsiaTheme="majorEastAsia" w:cs="Arial"/>
          <w:szCs w:val="21"/>
        </w:rPr>
        <w:t>As examples of such requirements, the objectives provision now also refers to r</w:t>
      </w:r>
      <w:r w:rsidRPr="007E16BF">
        <w:rPr>
          <w:rStyle w:val="eop"/>
          <w:rFonts w:eastAsiaTheme="majorEastAsia" w:cs="Arial"/>
          <w:szCs w:val="21"/>
        </w:rPr>
        <w:t>equirements for reporting, and</w:t>
      </w:r>
      <w:r w:rsidR="00636C90" w:rsidRPr="007E16BF">
        <w:rPr>
          <w:rStyle w:val="eop"/>
          <w:rFonts w:eastAsiaTheme="majorEastAsia" w:cs="Arial"/>
          <w:szCs w:val="21"/>
        </w:rPr>
        <w:t xml:space="preserve"> </w:t>
      </w:r>
      <w:r w:rsidR="00636C90" w:rsidRPr="00DC206E">
        <w:rPr>
          <w:rStyle w:val="eop"/>
          <w:rFonts w:eastAsiaTheme="majorEastAsia" w:cs="Arial"/>
          <w:szCs w:val="21"/>
        </w:rPr>
        <w:t>r</w:t>
      </w:r>
      <w:r w:rsidRPr="00DC206E">
        <w:rPr>
          <w:rStyle w:val="eop"/>
          <w:rFonts w:eastAsiaTheme="majorEastAsia" w:cs="Arial"/>
          <w:szCs w:val="21"/>
        </w:rPr>
        <w:t>equirements for protocols for quality and safet</w:t>
      </w:r>
      <w:r w:rsidR="00636C90" w:rsidRPr="00DC206E">
        <w:rPr>
          <w:rStyle w:val="eop"/>
          <w:rFonts w:eastAsiaTheme="majorEastAsia" w:cs="Arial"/>
          <w:szCs w:val="21"/>
        </w:rPr>
        <w:t>y. This reflect</w:t>
      </w:r>
      <w:r w:rsidR="00F956ED" w:rsidRPr="00DC206E">
        <w:rPr>
          <w:rStyle w:val="eop"/>
          <w:rFonts w:eastAsiaTheme="majorEastAsia" w:cs="Arial"/>
          <w:szCs w:val="21"/>
        </w:rPr>
        <w:t>s</w:t>
      </w:r>
      <w:r w:rsidR="00636C90" w:rsidRPr="00DC206E">
        <w:rPr>
          <w:rStyle w:val="eop"/>
          <w:rFonts w:eastAsiaTheme="majorEastAsia" w:cs="Arial"/>
          <w:szCs w:val="21"/>
        </w:rPr>
        <w:t xml:space="preserve"> the importance of </w:t>
      </w:r>
      <w:r w:rsidR="00985B6E" w:rsidRPr="00DC206E">
        <w:rPr>
          <w:rStyle w:val="eop"/>
          <w:rFonts w:eastAsiaTheme="majorEastAsia" w:cs="Arial"/>
          <w:szCs w:val="21"/>
        </w:rPr>
        <w:t>those</w:t>
      </w:r>
      <w:r w:rsidR="00636C90" w:rsidRPr="00DC206E">
        <w:rPr>
          <w:rStyle w:val="eop"/>
          <w:rFonts w:eastAsiaTheme="majorEastAsia" w:cs="Arial"/>
          <w:szCs w:val="21"/>
        </w:rPr>
        <w:t xml:space="preserve"> matters in supporting quality and safety. </w:t>
      </w:r>
    </w:p>
    <w:p w14:paraId="4F9281F8" w14:textId="213FEADC" w:rsidR="008F0D1A" w:rsidRPr="00182FDD" w:rsidRDefault="008F0D1A" w:rsidP="00DC442A">
      <w:pPr>
        <w:pStyle w:val="Heading2"/>
        <w:rPr>
          <w:rStyle w:val="eop"/>
          <w:rFonts w:eastAsiaTheme="majorEastAsia" w:cs="Arial"/>
          <w:b w:val="0"/>
          <w:sz w:val="21"/>
          <w:szCs w:val="21"/>
        </w:rPr>
      </w:pPr>
      <w:bookmarkStart w:id="6" w:name="_Toc174547542"/>
      <w:r w:rsidRPr="007E16BF">
        <w:t>Clinical Governance</w:t>
      </w:r>
      <w:bookmarkEnd w:id="6"/>
      <w:r w:rsidRPr="00182FDD">
        <w:rPr>
          <w:rStyle w:val="eop"/>
          <w:rFonts w:eastAsiaTheme="majorEastAsia" w:cs="Arial"/>
          <w:b w:val="0"/>
          <w:sz w:val="21"/>
          <w:szCs w:val="21"/>
        </w:rPr>
        <w:t xml:space="preserve">  </w:t>
      </w:r>
    </w:p>
    <w:p w14:paraId="725EFA9A" w14:textId="208CC285" w:rsidR="00C536EC" w:rsidRPr="00306C67" w:rsidRDefault="00C536EC" w:rsidP="00C2298B">
      <w:pPr>
        <w:pStyle w:val="Bullet1"/>
      </w:pPr>
      <w:r w:rsidRPr="00306C67">
        <w:t xml:space="preserve">Existing requirements </w:t>
      </w:r>
      <w:r w:rsidR="000333D5" w:rsidRPr="00306C67">
        <w:t xml:space="preserve">have been continued </w:t>
      </w:r>
      <w:r w:rsidR="00B47595" w:rsidRPr="00306C67">
        <w:t>that e</w:t>
      </w:r>
      <w:r w:rsidRPr="00306C67">
        <w:t xml:space="preserve">ach HSE </w:t>
      </w:r>
      <w:r w:rsidR="00B47595" w:rsidRPr="00306C67">
        <w:t>must</w:t>
      </w:r>
      <w:r w:rsidRPr="00306C67">
        <w:t xml:space="preserve"> have quality and safety protocols</w:t>
      </w:r>
      <w:r w:rsidR="000333D5" w:rsidRPr="00306C67">
        <w:t xml:space="preserve"> dealing </w:t>
      </w:r>
      <w:r w:rsidRPr="00306C67">
        <w:t xml:space="preserve">with matters such as credentialling, scope of practice and continuous assessment of quality and safety </w:t>
      </w:r>
      <w:proofErr w:type="gramStart"/>
      <w:r w:rsidRPr="00306C67">
        <w:t>indicators</w:t>
      </w:r>
      <w:r w:rsidR="008E52BF" w:rsidRPr="00306C67">
        <w:t>, and</w:t>
      </w:r>
      <w:proofErr w:type="gramEnd"/>
      <w:r w:rsidR="008E52BF" w:rsidRPr="00306C67">
        <w:t xml:space="preserve"> must maintain and implement the protocols</w:t>
      </w:r>
      <w:r w:rsidR="000333D5" w:rsidRPr="00306C67">
        <w:t xml:space="preserve">. These are the </w:t>
      </w:r>
      <w:r w:rsidRPr="00306C67">
        <w:t xml:space="preserve">same as in the 2013 Regulations.  </w:t>
      </w:r>
    </w:p>
    <w:p w14:paraId="10F18117" w14:textId="1F4D487F" w:rsidR="006D0AAB" w:rsidRPr="00306C67" w:rsidRDefault="006D0AAB" w:rsidP="00E70E7B">
      <w:pPr>
        <w:pStyle w:val="Bullet1"/>
      </w:pPr>
      <w:r w:rsidRPr="00306C67">
        <w:t xml:space="preserve">The </w:t>
      </w:r>
      <w:r w:rsidR="00BF71AD" w:rsidRPr="00306C67">
        <w:t>R</w:t>
      </w:r>
      <w:r w:rsidR="00F12212" w:rsidRPr="00306C67">
        <w:t>egulations</w:t>
      </w:r>
      <w:r w:rsidRPr="00306C67">
        <w:t xml:space="preserve"> </w:t>
      </w:r>
      <w:r w:rsidR="00953859" w:rsidRPr="00306C67">
        <w:t xml:space="preserve">now </w:t>
      </w:r>
      <w:r w:rsidR="00582D13" w:rsidRPr="00306C67">
        <w:t>list</w:t>
      </w:r>
      <w:r w:rsidRPr="00306C67">
        <w:t xml:space="preserve"> additional</w:t>
      </w:r>
      <w:r w:rsidR="008F0D1A" w:rsidRPr="00306C67">
        <w:t xml:space="preserve"> matters to be addressed in </w:t>
      </w:r>
      <w:r w:rsidR="00953859" w:rsidRPr="00306C67">
        <w:t>an HSE’s quality and safety</w:t>
      </w:r>
      <w:r w:rsidR="008F0D1A" w:rsidRPr="00306C67">
        <w:t xml:space="preserve"> protocols</w:t>
      </w:r>
      <w:r w:rsidR="00443D94" w:rsidRPr="00306C67">
        <w:t>. These will be required from 31 August 2025 to allow time for protocols to be updated</w:t>
      </w:r>
      <w:r w:rsidR="00AC7581" w:rsidRPr="00306C67">
        <w:t xml:space="preserve"> and include:</w:t>
      </w:r>
    </w:p>
    <w:p w14:paraId="3778E4CA" w14:textId="0EA2A50E" w:rsidR="006D0AAB" w:rsidRPr="00306C67" w:rsidRDefault="00A924E7" w:rsidP="00E70E7B">
      <w:pPr>
        <w:pStyle w:val="Bullet2"/>
      </w:pPr>
      <w:r w:rsidRPr="00306C67">
        <w:t>the</w:t>
      </w:r>
      <w:r w:rsidR="006D0AAB" w:rsidRPr="00306C67">
        <w:t xml:space="preserve"> </w:t>
      </w:r>
      <w:r w:rsidR="008F0D1A" w:rsidRPr="00306C67">
        <w:t xml:space="preserve">description and allocation of </w:t>
      </w:r>
      <w:r w:rsidR="0026395E" w:rsidRPr="00306C67">
        <w:t xml:space="preserve">quality </w:t>
      </w:r>
      <w:r w:rsidR="0026395E">
        <w:t xml:space="preserve">and </w:t>
      </w:r>
      <w:r w:rsidR="008F0D1A" w:rsidRPr="00306C67">
        <w:t>safety roles</w:t>
      </w:r>
      <w:r w:rsidR="00953859" w:rsidRPr="00306C67">
        <w:t xml:space="preserve"> for the HSE</w:t>
      </w:r>
      <w:r w:rsidR="008F0D1A" w:rsidRPr="00306C67">
        <w:t xml:space="preserve"> </w:t>
      </w:r>
    </w:p>
    <w:p w14:paraId="7CD5AE6A" w14:textId="10A2B82C" w:rsidR="006D0AAB" w:rsidRPr="00306C67" w:rsidRDefault="006D0AAB" w:rsidP="00BC5D6D">
      <w:pPr>
        <w:pStyle w:val="Bullet2"/>
      </w:pPr>
      <w:r w:rsidRPr="00306C67">
        <w:t xml:space="preserve">processes </w:t>
      </w:r>
      <w:r w:rsidR="003C07DE" w:rsidRPr="00306C67">
        <w:t xml:space="preserve">and procedures </w:t>
      </w:r>
      <w:r w:rsidRPr="00306C67">
        <w:t>for</w:t>
      </w:r>
      <w:r w:rsidR="00152C2F" w:rsidRPr="00306C67">
        <w:t>:</w:t>
      </w:r>
      <w:r w:rsidRPr="00306C67">
        <w:t xml:space="preserve"> </w:t>
      </w:r>
    </w:p>
    <w:p w14:paraId="33A3A817" w14:textId="23B68030" w:rsidR="006D0AAB" w:rsidRPr="00306C67" w:rsidRDefault="008F0D1A" w:rsidP="003B0B1A">
      <w:pPr>
        <w:pStyle w:val="Bullet3"/>
      </w:pPr>
      <w:r w:rsidRPr="00306C67">
        <w:t xml:space="preserve">availability of </w:t>
      </w:r>
      <w:r w:rsidR="00EC0C7F" w:rsidRPr="00306C67">
        <w:t xml:space="preserve">appropriate </w:t>
      </w:r>
      <w:r w:rsidRPr="00306C67">
        <w:t xml:space="preserve">adjunct diagnostic services </w:t>
      </w:r>
    </w:p>
    <w:p w14:paraId="41DC6CA2" w14:textId="3144DA8B" w:rsidR="006D0AAB" w:rsidRPr="00306C67" w:rsidRDefault="008F0D1A" w:rsidP="00A42BE3">
      <w:pPr>
        <w:pStyle w:val="Bullet3"/>
      </w:pPr>
      <w:r w:rsidRPr="00306C67">
        <w:t>review of adverse patient safety events</w:t>
      </w:r>
      <w:r w:rsidR="00004074" w:rsidRPr="00306C67">
        <w:t xml:space="preserve">, including participation </w:t>
      </w:r>
      <w:r w:rsidR="0004484C" w:rsidRPr="00306C67">
        <w:t>of all relevant personnel</w:t>
      </w:r>
      <w:r w:rsidR="000A398C" w:rsidRPr="00306C67">
        <w:t xml:space="preserve"> (whether employees or not)</w:t>
      </w:r>
    </w:p>
    <w:p w14:paraId="077023FC" w14:textId="3980E1C2" w:rsidR="006D0AAB" w:rsidRPr="00306C67" w:rsidRDefault="008F0D1A" w:rsidP="00A42BE3">
      <w:pPr>
        <w:pStyle w:val="Bullet3"/>
      </w:pPr>
      <w:r w:rsidRPr="00306C67">
        <w:t>addressing the specific needs of Aboriginal persons</w:t>
      </w:r>
    </w:p>
    <w:p w14:paraId="4290F65D" w14:textId="39D39D3F" w:rsidR="008F0D1A" w:rsidRPr="00306C67" w:rsidRDefault="008F0D1A" w:rsidP="00A42BE3">
      <w:pPr>
        <w:pStyle w:val="Bullet3"/>
      </w:pPr>
      <w:r w:rsidRPr="00306C67">
        <w:t>recognising an</w:t>
      </w:r>
      <w:r w:rsidR="008C4159" w:rsidRPr="00306C67">
        <w:t>d</w:t>
      </w:r>
      <w:r w:rsidRPr="00306C67">
        <w:t xml:space="preserve"> responding to deteriorations in the condition of patients. </w:t>
      </w:r>
    </w:p>
    <w:p w14:paraId="4E481D82" w14:textId="43E194CE" w:rsidR="008F0D1A" w:rsidRPr="00D354B5" w:rsidRDefault="00666D75" w:rsidP="000334AA">
      <w:pPr>
        <w:pStyle w:val="Bullet1"/>
        <w:rPr>
          <w:rStyle w:val="normaltextrun"/>
          <w:rFonts w:cs="Arial"/>
          <w:szCs w:val="21"/>
        </w:rPr>
      </w:pPr>
      <w:r>
        <w:rPr>
          <w:rStyle w:val="eop"/>
          <w:rFonts w:eastAsiaTheme="majorEastAsia" w:cs="Arial"/>
          <w:szCs w:val="21"/>
        </w:rPr>
        <w:t xml:space="preserve">The </w:t>
      </w:r>
      <w:r w:rsidR="003A3C47">
        <w:rPr>
          <w:rStyle w:val="eop"/>
          <w:rFonts w:eastAsiaTheme="majorEastAsia" w:cs="Arial"/>
          <w:szCs w:val="21"/>
        </w:rPr>
        <w:t>Regulation</w:t>
      </w:r>
      <w:r w:rsidR="00885B9C">
        <w:rPr>
          <w:rStyle w:val="eop"/>
          <w:rFonts w:eastAsiaTheme="majorEastAsia" w:cs="Arial"/>
          <w:szCs w:val="21"/>
        </w:rPr>
        <w:t>s</w:t>
      </w:r>
      <w:r>
        <w:rPr>
          <w:rStyle w:val="eop"/>
          <w:rFonts w:eastAsiaTheme="majorEastAsia" w:cs="Arial"/>
          <w:szCs w:val="21"/>
        </w:rPr>
        <w:t xml:space="preserve"> now allow</w:t>
      </w:r>
      <w:r w:rsidRPr="008F0D1A">
        <w:rPr>
          <w:rStyle w:val="eop"/>
          <w:rFonts w:eastAsiaTheme="majorEastAsia" w:cs="Arial"/>
          <w:szCs w:val="21"/>
        </w:rPr>
        <w:t xml:space="preserve"> </w:t>
      </w:r>
      <w:r w:rsidR="008F0D1A" w:rsidRPr="008F0D1A">
        <w:rPr>
          <w:rStyle w:val="normaltextrun"/>
          <w:rFonts w:eastAsiaTheme="majorEastAsia" w:cs="Arial"/>
          <w:color w:val="000000"/>
          <w:szCs w:val="21"/>
          <w:shd w:val="clear" w:color="auto" w:fill="FFFFFF"/>
        </w:rPr>
        <w:t>the Secretary to:</w:t>
      </w:r>
    </w:p>
    <w:p w14:paraId="1C6E6359" w14:textId="2061B276" w:rsidR="008C4159" w:rsidRPr="00216EB3" w:rsidRDefault="008C4159" w:rsidP="000334AA">
      <w:pPr>
        <w:pStyle w:val="Bullet2"/>
      </w:pPr>
      <w:r w:rsidRPr="00216EB3">
        <w:t xml:space="preserve">determine best practice guidelines in relation to quality and safety protocols </w:t>
      </w:r>
    </w:p>
    <w:p w14:paraId="1AFAF243" w14:textId="5F080A51" w:rsidR="008F0D1A" w:rsidRPr="00216EB3" w:rsidRDefault="008F0D1A" w:rsidP="000334AA">
      <w:pPr>
        <w:pStyle w:val="Bullet2"/>
      </w:pPr>
      <w:r w:rsidRPr="00216EB3">
        <w:t xml:space="preserve">review HSEs’ quality and safety protocols, having regard to the best practice guidelines </w:t>
      </w:r>
    </w:p>
    <w:p w14:paraId="565C7582" w14:textId="27959279" w:rsidR="008F0D1A" w:rsidRPr="00216EB3" w:rsidRDefault="0092049E" w:rsidP="000334AA">
      <w:pPr>
        <w:pStyle w:val="Bullet2"/>
      </w:pPr>
      <w:r w:rsidRPr="00216EB3">
        <w:t xml:space="preserve">following a review, </w:t>
      </w:r>
      <w:r w:rsidR="008F0D1A" w:rsidRPr="00216EB3">
        <w:t xml:space="preserve">issue a direction </w:t>
      </w:r>
      <w:r w:rsidR="004A6295" w:rsidRPr="00216EB3">
        <w:t>for an HSE</w:t>
      </w:r>
      <w:r w:rsidR="008F0D1A" w:rsidRPr="00216EB3">
        <w:t xml:space="preserve"> to update </w:t>
      </w:r>
      <w:r w:rsidR="004A6295" w:rsidRPr="00216EB3">
        <w:t>its</w:t>
      </w:r>
      <w:r w:rsidR="008F0D1A" w:rsidRPr="00216EB3">
        <w:t xml:space="preserve"> protocols</w:t>
      </w:r>
      <w:r w:rsidR="007D0A81" w:rsidRPr="00216EB3">
        <w:t>,</w:t>
      </w:r>
      <w:r w:rsidR="008F0D1A" w:rsidRPr="00216EB3">
        <w:t xml:space="preserve"> </w:t>
      </w:r>
      <w:r w:rsidR="007D0A81" w:rsidRPr="00216EB3">
        <w:t xml:space="preserve">with which the HSE must comply.  </w:t>
      </w:r>
    </w:p>
    <w:p w14:paraId="5343B26E" w14:textId="5280C122" w:rsidR="005E3089" w:rsidRPr="00216EB3" w:rsidRDefault="0026692E" w:rsidP="000334AA">
      <w:pPr>
        <w:pStyle w:val="Bullet1"/>
      </w:pPr>
      <w:r w:rsidRPr="00216EB3">
        <w:t xml:space="preserve">The new power for </w:t>
      </w:r>
      <w:r w:rsidR="005E3089" w:rsidRPr="00216EB3">
        <w:t>the Secretary to review</w:t>
      </w:r>
      <w:r w:rsidR="00880998" w:rsidRPr="00216EB3">
        <w:t xml:space="preserve"> protocols</w:t>
      </w:r>
      <w:r w:rsidR="005E3089" w:rsidRPr="00216EB3">
        <w:t xml:space="preserve"> will commence on </w:t>
      </w:r>
      <w:r w:rsidR="00CB2EAF" w:rsidRPr="00216EB3">
        <w:t xml:space="preserve">28 February 2026 to allow time for best practice guidelines to be developed and communicated to HSEs and other stakeholders. </w:t>
      </w:r>
    </w:p>
    <w:p w14:paraId="2E698AFF" w14:textId="176EF398" w:rsidR="00F6654B" w:rsidRPr="00216EB3" w:rsidRDefault="006F3D70" w:rsidP="000334AA">
      <w:pPr>
        <w:pStyle w:val="Bullet1"/>
      </w:pPr>
      <w:r w:rsidRPr="00216EB3">
        <w:t xml:space="preserve">Where the 2013 Regulations required </w:t>
      </w:r>
      <w:r w:rsidR="0026692E" w:rsidRPr="00216EB3">
        <w:t xml:space="preserve">HSEs to publish </w:t>
      </w:r>
      <w:r w:rsidR="00C65FA3" w:rsidRPr="00216EB3">
        <w:t>their quality and safety protocols on their website</w:t>
      </w:r>
      <w:r w:rsidR="00664971" w:rsidRPr="00216EB3">
        <w:t xml:space="preserve">, </w:t>
      </w:r>
      <w:r w:rsidR="00C65FA3" w:rsidRPr="00216EB3">
        <w:t>the 2024 Regulations also allow the Secretary to determine a</w:t>
      </w:r>
      <w:r w:rsidR="00664971" w:rsidRPr="00216EB3">
        <w:t xml:space="preserve">n alternative means of making the protocols available to the </w:t>
      </w:r>
      <w:proofErr w:type="gramStart"/>
      <w:r w:rsidR="00664971" w:rsidRPr="00216EB3">
        <w:t>general public</w:t>
      </w:r>
      <w:proofErr w:type="gramEnd"/>
      <w:r w:rsidR="00664971" w:rsidRPr="00216EB3">
        <w:t xml:space="preserve">. At this time, no determination has been made in relation to this. </w:t>
      </w:r>
    </w:p>
    <w:p w14:paraId="587D8157" w14:textId="6C34D7DB" w:rsidR="008F0D1A" w:rsidRPr="00182FDD" w:rsidRDefault="008F0D1A" w:rsidP="00DC442A">
      <w:pPr>
        <w:pStyle w:val="Heading2"/>
        <w:rPr>
          <w:rStyle w:val="eop"/>
          <w:rFonts w:eastAsiaTheme="majorEastAsia" w:cs="Arial"/>
          <w:b w:val="0"/>
          <w:sz w:val="21"/>
          <w:szCs w:val="21"/>
        </w:rPr>
      </w:pPr>
      <w:bookmarkStart w:id="7" w:name="_Toc174547543"/>
      <w:r w:rsidRPr="007E16BF">
        <w:lastRenderedPageBreak/>
        <w:t>Reporting and review of sentinel events</w:t>
      </w:r>
      <w:bookmarkEnd w:id="7"/>
      <w:r w:rsidRPr="007E16BF">
        <w:t> </w:t>
      </w:r>
    </w:p>
    <w:p w14:paraId="700D7E4B" w14:textId="36E71394" w:rsidR="007106B9" w:rsidRPr="008F0D1A" w:rsidRDefault="007106B9" w:rsidP="00DC442A">
      <w:pPr>
        <w:pStyle w:val="Bullet1"/>
      </w:pPr>
      <w:r w:rsidRPr="00216EB3">
        <w:t xml:space="preserve">There is no change to the definition of sentinel event in the </w:t>
      </w:r>
      <w:r w:rsidR="003A3C47" w:rsidRPr="00216EB3">
        <w:t>Regulation</w:t>
      </w:r>
      <w:r w:rsidRPr="00216EB3">
        <w:t xml:space="preserve">s, and no change to the </w:t>
      </w:r>
      <w:r w:rsidR="00FA7D15" w:rsidRPr="001B067F">
        <w:t xml:space="preserve">11 </w:t>
      </w:r>
      <w:r w:rsidRPr="00216EB3">
        <w:t xml:space="preserve">categories of sentinel </w:t>
      </w:r>
      <w:r w:rsidRPr="001E7A79">
        <w:t>event</w:t>
      </w:r>
      <w:r w:rsidR="001C6637" w:rsidRPr="001B067F">
        <w:t>s</w:t>
      </w:r>
      <w:r w:rsidRPr="00216EB3">
        <w:t xml:space="preserve"> </w:t>
      </w:r>
      <w:r w:rsidR="001C6637" w:rsidRPr="001B067F">
        <w:t>under</w:t>
      </w:r>
      <w:r w:rsidRPr="00216EB3">
        <w:t xml:space="preserve"> the </w:t>
      </w:r>
      <w:hyperlink r:id="rId18" w:history="1">
        <w:r w:rsidRPr="001E7A79">
          <w:rPr>
            <w:rStyle w:val="Hyperlink"/>
          </w:rPr>
          <w:t>Statewide sentinel event</w:t>
        </w:r>
        <w:r w:rsidR="00842A28" w:rsidRPr="001B067F">
          <w:rPr>
            <w:rStyle w:val="Hyperlink"/>
          </w:rPr>
          <w:t>s</w:t>
        </w:r>
        <w:r w:rsidRPr="001E7A79">
          <w:rPr>
            <w:rStyle w:val="Hyperlink"/>
          </w:rPr>
          <w:t xml:space="preserve"> program</w:t>
        </w:r>
      </w:hyperlink>
      <w:r w:rsidR="0039479F" w:rsidRPr="001B067F">
        <w:t xml:space="preserve"> &lt;https://www.safercare.vic.gov.au/report-manage-issues/sentinel-events&gt;</w:t>
      </w:r>
      <w:r w:rsidRPr="001E7A79">
        <w:t>.</w:t>
      </w:r>
      <w:r w:rsidRPr="00216EB3">
        <w:t xml:space="preserve"> </w:t>
      </w:r>
    </w:p>
    <w:p w14:paraId="2AECB024" w14:textId="59E6F400" w:rsidR="0017306D" w:rsidRPr="00216EB3" w:rsidRDefault="0017306D" w:rsidP="00DC442A">
      <w:pPr>
        <w:pStyle w:val="Bullet1"/>
      </w:pPr>
      <w:r w:rsidRPr="00216EB3">
        <w:t>The</w:t>
      </w:r>
      <w:r w:rsidR="008F0D1A" w:rsidRPr="00216EB3">
        <w:t xml:space="preserve"> requirement to report sentinel events</w:t>
      </w:r>
      <w:r w:rsidRPr="00216EB3">
        <w:t xml:space="preserve"> </w:t>
      </w:r>
      <w:r w:rsidR="00E8278D" w:rsidRPr="00216EB3">
        <w:t>now</w:t>
      </w:r>
      <w:r w:rsidR="008F0D1A" w:rsidRPr="00216EB3" w:rsidDel="00E8278D">
        <w:t xml:space="preserve"> </w:t>
      </w:r>
      <w:r w:rsidR="008F0D1A" w:rsidRPr="00216EB3">
        <w:t>specif</w:t>
      </w:r>
      <w:r w:rsidR="00E8278D" w:rsidRPr="00216EB3">
        <w:t>ies</w:t>
      </w:r>
      <w:r w:rsidR="008F0D1A" w:rsidRPr="00216EB3">
        <w:t xml:space="preserve"> that</w:t>
      </w:r>
      <w:r w:rsidR="008F0D1A" w:rsidRPr="00216EB3" w:rsidDel="00664A22">
        <w:t xml:space="preserve"> </w:t>
      </w:r>
      <w:r w:rsidR="00664A22" w:rsidRPr="00216EB3">
        <w:t xml:space="preserve">events </w:t>
      </w:r>
      <w:r w:rsidR="008F0D1A" w:rsidRPr="00216EB3">
        <w:t>must be reported in the time and manner determined by the Secretary.</w:t>
      </w:r>
    </w:p>
    <w:p w14:paraId="4DCB9256" w14:textId="351D273F" w:rsidR="0017306D" w:rsidRPr="0055580D" w:rsidRDefault="00C70771" w:rsidP="00DC442A">
      <w:pPr>
        <w:pStyle w:val="Bullet1"/>
      </w:pPr>
      <w:r w:rsidRPr="00216EB3">
        <w:t>T</w:t>
      </w:r>
      <w:r w:rsidRPr="0055580D">
        <w:t xml:space="preserve">he Secretary has issued a </w:t>
      </w:r>
      <w:hyperlink r:id="rId19">
        <w:r w:rsidR="00A63DEA" w:rsidRPr="69578284">
          <w:rPr>
            <w:rStyle w:val="Hyperlink"/>
          </w:rPr>
          <w:t>determination</w:t>
        </w:r>
      </w:hyperlink>
      <w:r w:rsidR="00D53CAA">
        <w:t xml:space="preserve"> </w:t>
      </w:r>
      <w:r w:rsidR="00D53CAA" w:rsidRPr="003E5FDF">
        <w:t>&lt;https://www.health.vic.gov.au/private-health-service-establishments/legislation-updates-for-private-health-service-establishments</w:t>
      </w:r>
      <w:r w:rsidR="00D53CAA">
        <w:t>&gt;</w:t>
      </w:r>
      <w:r w:rsidR="3C0E99DD">
        <w:t xml:space="preserve"> </w:t>
      </w:r>
      <w:r w:rsidR="006955CB" w:rsidRPr="0055580D">
        <w:t>that stipulates:</w:t>
      </w:r>
    </w:p>
    <w:p w14:paraId="40983D84" w14:textId="1E8EB1E4" w:rsidR="0017306D" w:rsidRPr="0055580D" w:rsidRDefault="00C536EC" w:rsidP="00DC442A">
      <w:pPr>
        <w:pStyle w:val="Bullet2"/>
      </w:pPr>
      <w:r w:rsidRPr="0055580D">
        <w:t>Manner</w:t>
      </w:r>
      <w:r w:rsidR="0017306D" w:rsidRPr="0055580D">
        <w:t xml:space="preserve"> of reporting: submit </w:t>
      </w:r>
      <w:r w:rsidR="00541FD9">
        <w:t>a notification</w:t>
      </w:r>
      <w:r w:rsidR="00541FD9">
        <w:rPr>
          <w:rStyle w:val="FootnoteReference"/>
        </w:rPr>
        <w:footnoteReference w:id="2"/>
      </w:r>
      <w:r w:rsidR="00541FD9">
        <w:t xml:space="preserve"> </w:t>
      </w:r>
      <w:r w:rsidR="0017306D" w:rsidRPr="0055580D">
        <w:t xml:space="preserve">through </w:t>
      </w:r>
      <w:r w:rsidR="0017306D">
        <w:t xml:space="preserve">the </w:t>
      </w:r>
      <w:r w:rsidR="00B63A39">
        <w:t>Safer Care Victori</w:t>
      </w:r>
      <w:r w:rsidR="0074526F">
        <w:t>a (SCV)</w:t>
      </w:r>
      <w:r w:rsidR="00B63A39" w:rsidRPr="0055580D">
        <w:t xml:space="preserve"> </w:t>
      </w:r>
      <w:hyperlink r:id="rId20">
        <w:r w:rsidR="008F0D1A" w:rsidRPr="69578284">
          <w:rPr>
            <w:rStyle w:val="Hyperlink"/>
          </w:rPr>
          <w:t>Sentinel Events Portal</w:t>
        </w:r>
      </w:hyperlink>
      <w:r w:rsidR="009F7E3D">
        <w:rPr>
          <w:rStyle w:val="Hyperlink"/>
        </w:rPr>
        <w:t xml:space="preserve"> </w:t>
      </w:r>
      <w:r w:rsidR="009F7E3D" w:rsidRPr="009F7E3D">
        <w:rPr>
          <w:rStyle w:val="Hyperlink"/>
          <w:color w:val="auto"/>
        </w:rPr>
        <w:t>&lt;https://www.safercare.vic.gov.au/report-manage-issues/sentinel-events/about-the-sentinel-events-portal&gt;</w:t>
      </w:r>
      <w:r w:rsidR="0017306D" w:rsidRPr="009F7E3D">
        <w:t xml:space="preserve">, </w:t>
      </w:r>
      <w:r w:rsidR="0017306D" w:rsidRPr="0055580D">
        <w:t xml:space="preserve">or if the portal is not available, </w:t>
      </w:r>
      <w:r w:rsidR="0090494B" w:rsidRPr="0055580D">
        <w:t>email</w:t>
      </w:r>
      <w:r w:rsidR="000E110F" w:rsidRPr="000E110F">
        <w:t xml:space="preserve"> </w:t>
      </w:r>
      <w:hyperlink r:id="rId21">
        <w:r w:rsidR="000E110F" w:rsidRPr="69578284">
          <w:rPr>
            <w:rStyle w:val="Hyperlink"/>
          </w:rPr>
          <w:t>SCV</w:t>
        </w:r>
      </w:hyperlink>
      <w:r w:rsidR="0090494B" w:rsidRPr="0055580D">
        <w:t xml:space="preserve"> </w:t>
      </w:r>
      <w:r w:rsidR="00CE61C8" w:rsidRPr="0055580D">
        <w:t>&lt;sentinel.events@safercare.vic.gov.au&gt;.</w:t>
      </w:r>
      <w:r w:rsidR="0017306D" w:rsidRPr="0055580D">
        <w:t xml:space="preserve"> </w:t>
      </w:r>
    </w:p>
    <w:p w14:paraId="7087309C" w14:textId="634B3724" w:rsidR="00C5202B" w:rsidRPr="0055580D" w:rsidRDefault="00C536EC" w:rsidP="00DC442A">
      <w:pPr>
        <w:pStyle w:val="Bullet2"/>
      </w:pPr>
      <w:r w:rsidRPr="0055580D">
        <w:t>Time</w:t>
      </w:r>
      <w:r w:rsidR="0017306D" w:rsidRPr="0055580D">
        <w:t xml:space="preserve"> for reporting: </w:t>
      </w:r>
      <w:r w:rsidR="005E5B6B">
        <w:t xml:space="preserve">notify </w:t>
      </w:r>
      <w:r w:rsidR="0017306D" w:rsidRPr="0055580D">
        <w:t>within three days of</w:t>
      </w:r>
      <w:r w:rsidRPr="0055580D">
        <w:t xml:space="preserve"> becoming</w:t>
      </w:r>
      <w:r w:rsidR="0017306D" w:rsidRPr="0055580D">
        <w:t xml:space="preserve"> aware of the sentinel event</w:t>
      </w:r>
      <w:r w:rsidR="008F0D1A" w:rsidRPr="0055580D" w:rsidDel="0017306D">
        <w:t>.</w:t>
      </w:r>
      <w:r w:rsidR="00D5422D" w:rsidRPr="0055580D">
        <w:t xml:space="preserve"> </w:t>
      </w:r>
    </w:p>
    <w:p w14:paraId="7B909B14" w14:textId="04201A9E" w:rsidR="004E1594" w:rsidRPr="0055580D" w:rsidRDefault="00ED2639" w:rsidP="00DC442A">
      <w:pPr>
        <w:pStyle w:val="Bullet1"/>
      </w:pPr>
      <w:r w:rsidRPr="0055580D">
        <w:t>The Regulations now include a new</w:t>
      </w:r>
      <w:r w:rsidR="008F0D1A" w:rsidRPr="0055580D">
        <w:t xml:space="preserve"> requirement to review sentinel events and report on those reviews in the time and manner determined by the Secretary. </w:t>
      </w:r>
    </w:p>
    <w:p w14:paraId="4FB6326A" w14:textId="13570313" w:rsidR="007106B9" w:rsidRPr="00216EB3" w:rsidRDefault="008F0D1A" w:rsidP="00DC442A">
      <w:pPr>
        <w:pStyle w:val="Bullet1"/>
      </w:pPr>
      <w:r w:rsidRPr="00216EB3">
        <w:t xml:space="preserve">The </w:t>
      </w:r>
      <w:r w:rsidR="00FF4D02" w:rsidRPr="00216EB3">
        <w:t>Secretary has issued a</w:t>
      </w:r>
      <w:r w:rsidR="009F7E3D">
        <w:t xml:space="preserve"> determination</w:t>
      </w:r>
      <w:r w:rsidR="009512D6" w:rsidRPr="00216EB3">
        <w:t xml:space="preserve"> </w:t>
      </w:r>
      <w:r w:rsidR="00FF4D02" w:rsidRPr="00216EB3">
        <w:t xml:space="preserve">that specifies </w:t>
      </w:r>
      <w:r w:rsidR="001F15AC" w:rsidRPr="00216EB3">
        <w:t>review</w:t>
      </w:r>
      <w:r w:rsidRPr="00216EB3">
        <w:t xml:space="preserve"> </w:t>
      </w:r>
      <w:r w:rsidR="00ED2639" w:rsidRPr="00216EB3">
        <w:t xml:space="preserve">and reporting </w:t>
      </w:r>
      <w:r w:rsidRPr="00216EB3">
        <w:t>requirements</w:t>
      </w:r>
      <w:r w:rsidR="007106B9" w:rsidRPr="00216EB3">
        <w:t>, which</w:t>
      </w:r>
      <w:r w:rsidRPr="00216EB3" w:rsidDel="00FF4D02">
        <w:t xml:space="preserve"> </w:t>
      </w:r>
      <w:r w:rsidRPr="00216EB3">
        <w:t xml:space="preserve">align </w:t>
      </w:r>
      <w:r w:rsidR="007106B9" w:rsidRPr="00216EB3">
        <w:t>with the</w:t>
      </w:r>
      <w:r w:rsidR="001F15AC" w:rsidRPr="00216EB3">
        <w:t xml:space="preserve"> </w:t>
      </w:r>
      <w:r w:rsidR="008776EA" w:rsidRPr="0055580D">
        <w:t>Statewide sentinel events program</w:t>
      </w:r>
      <w:r w:rsidR="001F15AC" w:rsidRPr="00216EB3">
        <w:t xml:space="preserve"> and with</w:t>
      </w:r>
      <w:r w:rsidR="007106B9" w:rsidRPr="00216EB3">
        <w:t xml:space="preserve"> established practice for HSEs reporting sentinel events. </w:t>
      </w:r>
    </w:p>
    <w:p w14:paraId="68FB358F" w14:textId="2F797DD8" w:rsidR="006A0DFE" w:rsidRPr="001A56E2" w:rsidRDefault="00275D2C" w:rsidP="00DC442A">
      <w:pPr>
        <w:pStyle w:val="Bullet1"/>
      </w:pPr>
      <w:r w:rsidRPr="002C7E53">
        <w:t>Noting that these requirements will formalise what is generally current practice for facilities who report a sentinel event</w:t>
      </w:r>
      <w:r w:rsidR="00707B8B">
        <w:t>,</w:t>
      </w:r>
      <w:r w:rsidRPr="002C7E53">
        <w:t xml:space="preserve"> there is not a formally deferred commencement date for these provisions in the Regulations. However, acknowledging that these are new requirements, and that there are known challenges for constituting review panels, </w:t>
      </w:r>
      <w:r w:rsidR="0083165F">
        <w:t>SCV</w:t>
      </w:r>
      <w:r w:rsidR="00075A8F" w:rsidRPr="001B067F">
        <w:t xml:space="preserve"> may grant a time extension </w:t>
      </w:r>
      <w:r w:rsidR="00340C53" w:rsidRPr="001B067F">
        <w:t>on</w:t>
      </w:r>
      <w:r w:rsidR="00075A8F" w:rsidRPr="001B067F">
        <w:t xml:space="preserve"> request. </w:t>
      </w:r>
      <w:r w:rsidR="00075A8F" w:rsidRPr="001A56E2">
        <w:t>T</w:t>
      </w:r>
      <w:r w:rsidRPr="001A56E2">
        <w:t xml:space="preserve">he initial focus of the </w:t>
      </w:r>
      <w:r w:rsidR="003E4AAF" w:rsidRPr="001A56E2">
        <w:t>d</w:t>
      </w:r>
      <w:r w:rsidRPr="001A56E2">
        <w:t xml:space="preserve">epartment and SCV will be </w:t>
      </w:r>
      <w:r w:rsidR="003D4DBA" w:rsidRPr="001A56E2">
        <w:t xml:space="preserve">to </w:t>
      </w:r>
      <w:r w:rsidRPr="001A56E2">
        <w:t>provid</w:t>
      </w:r>
      <w:r w:rsidR="003D4DBA" w:rsidRPr="001A56E2">
        <w:t>e</w:t>
      </w:r>
      <w:r w:rsidRPr="001A56E2">
        <w:t xml:space="preserve"> education and support for </w:t>
      </w:r>
      <w:r w:rsidR="002C7E53" w:rsidRPr="001A56E2">
        <w:t>HSEs</w:t>
      </w:r>
      <w:r w:rsidRPr="001A56E2">
        <w:t xml:space="preserve"> to conduct reviews.</w:t>
      </w:r>
    </w:p>
    <w:p w14:paraId="7A40F5BF" w14:textId="43074F53" w:rsidR="008F0D1A" w:rsidRPr="00182FDD" w:rsidRDefault="008F0D1A" w:rsidP="00DC442A">
      <w:pPr>
        <w:pStyle w:val="Heading2"/>
        <w:rPr>
          <w:rStyle w:val="eop"/>
          <w:rFonts w:eastAsiaTheme="majorEastAsia" w:cs="Arial"/>
          <w:b w:val="0"/>
          <w:sz w:val="21"/>
          <w:szCs w:val="21"/>
        </w:rPr>
      </w:pPr>
      <w:bookmarkStart w:id="8" w:name="_Toc174547544"/>
      <w:r w:rsidRPr="007E16BF">
        <w:t>Admissions information and assessment</w:t>
      </w:r>
      <w:bookmarkEnd w:id="8"/>
      <w:r w:rsidRPr="00182FDD">
        <w:rPr>
          <w:rStyle w:val="eop"/>
          <w:rFonts w:eastAsiaTheme="majorEastAsia" w:cs="Arial"/>
          <w:b w:val="0"/>
          <w:sz w:val="21"/>
          <w:szCs w:val="21"/>
        </w:rPr>
        <w:t> </w:t>
      </w:r>
    </w:p>
    <w:p w14:paraId="7413EE27" w14:textId="36130254" w:rsidR="005B51AC" w:rsidRPr="00FC5CA5" w:rsidRDefault="005B51AC" w:rsidP="0055580D">
      <w:pPr>
        <w:pStyle w:val="Body"/>
        <w:rPr>
          <w:rStyle w:val="normaltextrun"/>
          <w:rFonts w:cs="Arial"/>
          <w:szCs w:val="21"/>
        </w:rPr>
      </w:pPr>
      <w:r w:rsidRPr="0055580D">
        <w:t>The Regulations now</w:t>
      </w:r>
      <w:r w:rsidR="00F47CE6">
        <w:rPr>
          <w:rStyle w:val="normaltextrun"/>
          <w:rFonts w:cs="Arial"/>
          <w:szCs w:val="21"/>
        </w:rPr>
        <w:t xml:space="preserve"> require</w:t>
      </w:r>
      <w:r w:rsidR="00D26775">
        <w:rPr>
          <w:rStyle w:val="normaltextrun"/>
          <w:rFonts w:cs="Arial"/>
          <w:szCs w:val="21"/>
        </w:rPr>
        <w:t xml:space="preserve"> that</w:t>
      </w:r>
      <w:r>
        <w:rPr>
          <w:rStyle w:val="normaltextrun"/>
          <w:rFonts w:cs="Arial"/>
          <w:szCs w:val="21"/>
        </w:rPr>
        <w:t xml:space="preserve">: </w:t>
      </w:r>
    </w:p>
    <w:p w14:paraId="64B7A76D" w14:textId="5C2CDDFE" w:rsidR="008F0D1A" w:rsidRPr="008C305D" w:rsidRDefault="00361E6B" w:rsidP="008C305D">
      <w:pPr>
        <w:pStyle w:val="Bullet1"/>
      </w:pPr>
      <w:r>
        <w:t>p</w:t>
      </w:r>
      <w:r w:rsidR="008F0D1A" w:rsidRPr="0055580D">
        <w:t>re-admission clinical risk assessment</w:t>
      </w:r>
      <w:r w:rsidR="005B51AC" w:rsidRPr="0055580D">
        <w:t xml:space="preserve">s </w:t>
      </w:r>
      <w:r w:rsidR="008F0D1A" w:rsidRPr="0055580D">
        <w:t>must be completed by a registered health practitioner</w:t>
      </w:r>
    </w:p>
    <w:p w14:paraId="749EDAA9" w14:textId="6CA051DA" w:rsidR="008F0D1A" w:rsidRPr="008F0D1A" w:rsidRDefault="00361E6B" w:rsidP="008C305D">
      <w:pPr>
        <w:pStyle w:val="Bullet1"/>
        <w:rPr>
          <w:rFonts w:cs="Arial"/>
          <w:szCs w:val="21"/>
        </w:rPr>
      </w:pPr>
      <w:r>
        <w:t>t</w:t>
      </w:r>
      <w:r w:rsidR="008F0D1A" w:rsidRPr="0055580D">
        <w:t xml:space="preserve">he matters considered and assessed in the pre-admission clinical risk assessment </w:t>
      </w:r>
      <w:r w:rsidR="00411768" w:rsidRPr="0055580D">
        <w:t xml:space="preserve">must </w:t>
      </w:r>
      <w:r w:rsidR="008F0D1A" w:rsidRPr="0055580D">
        <w:t>be recorded in the patient’s clinical record (not just the results) </w:t>
      </w:r>
    </w:p>
    <w:p w14:paraId="5B401785" w14:textId="54075227" w:rsidR="00081957" w:rsidRDefault="00361E6B" w:rsidP="008C305D">
      <w:pPr>
        <w:pStyle w:val="Bullet1"/>
        <w:rPr>
          <w:rStyle w:val="normaltextrun"/>
          <w:rFonts w:eastAsiaTheme="majorEastAsia" w:cs="Arial"/>
          <w:b/>
          <w:bCs/>
          <w:szCs w:val="21"/>
        </w:rPr>
      </w:pPr>
      <w:r>
        <w:t>f</w:t>
      </w:r>
      <w:r w:rsidR="00F47CE6" w:rsidRPr="0055580D">
        <w:t>o</w:t>
      </w:r>
      <w:r w:rsidR="008F0D1A" w:rsidRPr="0055580D">
        <w:t xml:space="preserve">r an HSE that provides prescribed services but does not </w:t>
      </w:r>
      <w:r w:rsidR="008F0D1A" w:rsidRPr="008F0D1A">
        <w:rPr>
          <w:rStyle w:val="normaltextrun"/>
          <w:rFonts w:eastAsiaTheme="majorEastAsia" w:cs="Arial"/>
          <w:szCs w:val="21"/>
        </w:rPr>
        <w:t>admit patients</w:t>
      </w:r>
      <w:r w:rsidR="00861F8E">
        <w:rPr>
          <w:rStyle w:val="normaltextrun"/>
          <w:rFonts w:eastAsiaTheme="majorEastAsia" w:cs="Arial"/>
          <w:szCs w:val="21"/>
        </w:rPr>
        <w:t xml:space="preserve"> (for example, a mobile anaesthetic service)</w:t>
      </w:r>
      <w:r w:rsidR="008F0D1A" w:rsidRPr="008F0D1A">
        <w:rPr>
          <w:rStyle w:val="normaltextrun"/>
          <w:rFonts w:eastAsiaTheme="majorEastAsia" w:cs="Arial"/>
          <w:szCs w:val="21"/>
        </w:rPr>
        <w:t>, a pre-presentation clinical risk assessment must be completed and recorded at least 24 hours prior.</w:t>
      </w:r>
      <w:r w:rsidR="008F0D1A" w:rsidRPr="008F0D1A">
        <w:rPr>
          <w:rStyle w:val="eop"/>
          <w:rFonts w:eastAsiaTheme="majorEastAsia" w:cs="Arial"/>
          <w:szCs w:val="21"/>
        </w:rPr>
        <w:t> </w:t>
      </w:r>
    </w:p>
    <w:p w14:paraId="41F5F245" w14:textId="1A8F0055" w:rsidR="008F0D1A" w:rsidRPr="007E16BF" w:rsidRDefault="004A0C4D" w:rsidP="00DC442A">
      <w:pPr>
        <w:pStyle w:val="Heading2"/>
      </w:pPr>
      <w:bookmarkStart w:id="9" w:name="_Toc174547545"/>
      <w:r>
        <w:t xml:space="preserve">Requirements to </w:t>
      </w:r>
      <w:r w:rsidR="002D2AE8">
        <w:t xml:space="preserve">record, review or </w:t>
      </w:r>
      <w:r>
        <w:t>provide information</w:t>
      </w:r>
      <w:bookmarkEnd w:id="9"/>
      <w:r>
        <w:t xml:space="preserve"> </w:t>
      </w:r>
    </w:p>
    <w:p w14:paraId="39368691" w14:textId="49C12FEB" w:rsidR="006070EE" w:rsidRPr="0055580D" w:rsidRDefault="006070EE" w:rsidP="00216EB3">
      <w:pPr>
        <w:pStyle w:val="Body"/>
      </w:pPr>
      <w:r w:rsidRPr="0055580D">
        <w:t xml:space="preserve">The Regulations now </w:t>
      </w:r>
      <w:r w:rsidR="004A0C4D" w:rsidRPr="0055580D">
        <w:t>include updated requirements</w:t>
      </w:r>
      <w:r w:rsidR="00F97197" w:rsidRPr="0055580D">
        <w:t xml:space="preserve"> so that HSEs must:</w:t>
      </w:r>
    </w:p>
    <w:p w14:paraId="4ED48FB6" w14:textId="37E77F88" w:rsidR="008F0D1A" w:rsidRPr="008C305D" w:rsidRDefault="00361E6B" w:rsidP="00216EB3">
      <w:pPr>
        <w:pStyle w:val="Bullet1"/>
      </w:pPr>
      <w:r>
        <w:t>p</w:t>
      </w:r>
      <w:r w:rsidR="00F97197" w:rsidRPr="008C305D">
        <w:t>rovide</w:t>
      </w:r>
      <w:r w:rsidR="006070EE">
        <w:rPr>
          <w:rStyle w:val="normaltextrun"/>
          <w:rFonts w:eastAsiaTheme="majorEastAsia" w:cs="Arial"/>
          <w:szCs w:val="21"/>
        </w:rPr>
        <w:t xml:space="preserve"> patients with information </w:t>
      </w:r>
      <w:r w:rsidR="006070EE" w:rsidRPr="00DC206E">
        <w:rPr>
          <w:rStyle w:val="normaltextrun"/>
          <w:rFonts w:eastAsiaTheme="majorEastAsia" w:cs="Arial"/>
          <w:szCs w:val="21"/>
        </w:rPr>
        <w:t>about</w:t>
      </w:r>
      <w:r w:rsidR="008F0D1A" w:rsidRPr="008F0D1A">
        <w:rPr>
          <w:rStyle w:val="normaltextrun"/>
          <w:rFonts w:eastAsiaTheme="majorEastAsia" w:cs="Arial"/>
          <w:szCs w:val="21"/>
        </w:rPr>
        <w:t xml:space="preserve"> any likely third</w:t>
      </w:r>
      <w:r w:rsidR="00FF2812">
        <w:rPr>
          <w:rStyle w:val="normaltextrun"/>
          <w:rFonts w:eastAsiaTheme="majorEastAsia" w:cs="Arial"/>
          <w:szCs w:val="21"/>
        </w:rPr>
        <w:t>-</w:t>
      </w:r>
      <w:r w:rsidR="008F0D1A" w:rsidRPr="008F0D1A">
        <w:rPr>
          <w:rStyle w:val="normaltextrun"/>
          <w:rFonts w:eastAsiaTheme="majorEastAsia" w:cs="Arial"/>
          <w:szCs w:val="21"/>
        </w:rPr>
        <w:t>party fees and out of pocket expenses</w:t>
      </w:r>
      <w:r w:rsidR="00822411">
        <w:rPr>
          <w:rStyle w:val="normaltextrun"/>
          <w:rFonts w:eastAsiaTheme="majorEastAsia" w:cs="Arial"/>
          <w:szCs w:val="21"/>
        </w:rPr>
        <w:t xml:space="preserve"> (an update to the existing requirement to provide information </w:t>
      </w:r>
      <w:r w:rsidR="005F03A0">
        <w:rPr>
          <w:rStyle w:val="normaltextrun"/>
          <w:rFonts w:eastAsiaTheme="majorEastAsia" w:cs="Arial"/>
          <w:szCs w:val="21"/>
        </w:rPr>
        <w:t>about fees on admission</w:t>
      </w:r>
      <w:r w:rsidR="005F03A0" w:rsidRPr="00DC206E">
        <w:rPr>
          <w:rStyle w:val="normaltextrun"/>
          <w:rFonts w:eastAsiaTheme="majorEastAsia" w:cs="Arial"/>
          <w:szCs w:val="21"/>
        </w:rPr>
        <w:t>)</w:t>
      </w:r>
    </w:p>
    <w:p w14:paraId="7D3523C9" w14:textId="6F8DD54D" w:rsidR="002D2AE8" w:rsidRPr="00DC206E" w:rsidRDefault="00361E6B" w:rsidP="00216EB3">
      <w:pPr>
        <w:pStyle w:val="Bullet1"/>
        <w:rPr>
          <w:rStyle w:val="normaltextrun"/>
          <w:rFonts w:cs="Arial"/>
          <w:szCs w:val="21"/>
        </w:rPr>
      </w:pPr>
      <w:r>
        <w:t>r</w:t>
      </w:r>
      <w:r w:rsidR="002D2AE8" w:rsidRPr="008C305D">
        <w:t>ecord</w:t>
      </w:r>
      <w:r w:rsidR="006070EE" w:rsidRPr="008F0D1A">
        <w:rPr>
          <w:rStyle w:val="normaltextrun"/>
          <w:rFonts w:eastAsiaTheme="majorEastAsia" w:cs="Arial"/>
          <w:szCs w:val="21"/>
        </w:rPr>
        <w:t xml:space="preserve"> and review</w:t>
      </w:r>
      <w:r w:rsidR="002D2AE8">
        <w:rPr>
          <w:rStyle w:val="normaltextrun"/>
          <w:rFonts w:eastAsiaTheme="majorEastAsia" w:cs="Arial"/>
          <w:szCs w:val="21"/>
        </w:rPr>
        <w:t xml:space="preserve"> </w:t>
      </w:r>
      <w:r w:rsidR="006070EE" w:rsidRPr="008F0D1A">
        <w:rPr>
          <w:rStyle w:val="normaltextrun"/>
          <w:rFonts w:eastAsiaTheme="majorEastAsia" w:cs="Arial"/>
          <w:szCs w:val="21"/>
        </w:rPr>
        <w:t xml:space="preserve">information </w:t>
      </w:r>
      <w:r w:rsidR="006C272F" w:rsidRPr="00DC206E">
        <w:rPr>
          <w:rStyle w:val="normaltextrun"/>
          <w:rFonts w:eastAsiaTheme="majorEastAsia" w:cs="Arial"/>
          <w:szCs w:val="21"/>
        </w:rPr>
        <w:t>about</w:t>
      </w:r>
      <w:r w:rsidR="006070EE" w:rsidRPr="00DC206E">
        <w:rPr>
          <w:rStyle w:val="normaltextrun"/>
          <w:rFonts w:eastAsiaTheme="majorEastAsia" w:cs="Arial"/>
          <w:szCs w:val="21"/>
        </w:rPr>
        <w:t xml:space="preserve"> </w:t>
      </w:r>
      <w:r w:rsidR="006070EE" w:rsidRPr="008F0D1A">
        <w:rPr>
          <w:rStyle w:val="normaltextrun"/>
          <w:rFonts w:eastAsiaTheme="majorEastAsia" w:cs="Arial"/>
          <w:szCs w:val="21"/>
        </w:rPr>
        <w:t>transfers out for escalation of care</w:t>
      </w:r>
      <w:r w:rsidR="002D2AE8">
        <w:rPr>
          <w:rStyle w:val="normaltextrun"/>
          <w:rFonts w:eastAsiaTheme="majorEastAsia" w:cs="Arial"/>
          <w:szCs w:val="21"/>
        </w:rPr>
        <w:t xml:space="preserve"> (an addition to the existing requirement to record and review information about key </w:t>
      </w:r>
      <w:r w:rsidR="00622962" w:rsidRPr="008C305D">
        <w:t xml:space="preserve">quality </w:t>
      </w:r>
      <w:r w:rsidR="00622962">
        <w:t xml:space="preserve">and </w:t>
      </w:r>
      <w:r w:rsidR="002D2AE8">
        <w:rPr>
          <w:rStyle w:val="normaltextrun"/>
          <w:rFonts w:eastAsiaTheme="majorEastAsia" w:cs="Arial"/>
          <w:szCs w:val="21"/>
        </w:rPr>
        <w:t xml:space="preserve">safety indicators) </w:t>
      </w:r>
    </w:p>
    <w:p w14:paraId="65183AFA" w14:textId="7D5F0728" w:rsidR="006070EE" w:rsidRPr="008C305D" w:rsidRDefault="00361E6B" w:rsidP="00216EB3">
      <w:pPr>
        <w:pStyle w:val="Bullet1"/>
      </w:pPr>
      <w:r>
        <w:t>m</w:t>
      </w:r>
      <w:r w:rsidR="00D76234" w:rsidRPr="008C305D">
        <w:t>ake</w:t>
      </w:r>
      <w:r w:rsidR="00D76234">
        <w:rPr>
          <w:rStyle w:val="normaltextrun"/>
          <w:rFonts w:eastAsiaTheme="majorEastAsia" w:cs="Arial"/>
          <w:szCs w:val="21"/>
        </w:rPr>
        <w:t xml:space="preserve"> </w:t>
      </w:r>
      <w:r w:rsidR="003E1450">
        <w:rPr>
          <w:rStyle w:val="normaltextrun"/>
          <w:rFonts w:eastAsiaTheme="majorEastAsia" w:cs="Arial"/>
          <w:szCs w:val="21"/>
        </w:rPr>
        <w:t xml:space="preserve">quality and safety </w:t>
      </w:r>
      <w:r w:rsidR="001E7CB2">
        <w:rPr>
          <w:rStyle w:val="normaltextrun"/>
          <w:rFonts w:eastAsiaTheme="majorEastAsia" w:cs="Arial"/>
          <w:szCs w:val="21"/>
        </w:rPr>
        <w:t xml:space="preserve">review data </w:t>
      </w:r>
      <w:r w:rsidR="00D76234">
        <w:rPr>
          <w:rStyle w:val="normaltextrun"/>
          <w:rFonts w:eastAsiaTheme="majorEastAsia" w:cs="Arial"/>
          <w:szCs w:val="21"/>
        </w:rPr>
        <w:t xml:space="preserve">available to the Secretary, </w:t>
      </w:r>
      <w:r w:rsidR="006070EE" w:rsidRPr="008F0D1A">
        <w:rPr>
          <w:rStyle w:val="normaltextrun"/>
          <w:rFonts w:eastAsiaTheme="majorEastAsia" w:cs="Arial"/>
          <w:szCs w:val="21"/>
        </w:rPr>
        <w:t>on request</w:t>
      </w:r>
      <w:r w:rsidR="006070EE" w:rsidRPr="008F0D1A">
        <w:rPr>
          <w:rStyle w:val="eop"/>
          <w:rFonts w:eastAsiaTheme="majorEastAsia" w:cs="Arial"/>
          <w:szCs w:val="21"/>
        </w:rPr>
        <w:t> </w:t>
      </w:r>
    </w:p>
    <w:p w14:paraId="7436016B" w14:textId="111DDEFB" w:rsidR="006C272F" w:rsidRPr="008C305D" w:rsidRDefault="00361E6B" w:rsidP="00216EB3">
      <w:pPr>
        <w:pStyle w:val="Bullet1"/>
      </w:pPr>
      <w:r>
        <w:lastRenderedPageBreak/>
        <w:t>i</w:t>
      </w:r>
      <w:r w:rsidR="006C272F" w:rsidRPr="008C305D">
        <w:t>n</w:t>
      </w:r>
      <w:r w:rsidR="006C272F" w:rsidRPr="00216EB3">
        <w:t xml:space="preserve"> each discharge summary, include </w:t>
      </w:r>
      <w:r w:rsidR="006C272F" w:rsidRPr="008F0D1A">
        <w:rPr>
          <w:rStyle w:val="normaltextrun"/>
          <w:rFonts w:eastAsiaTheme="majorEastAsia" w:cs="Arial"/>
          <w:szCs w:val="21"/>
        </w:rPr>
        <w:t>a detailed list of ceased, varied or new medications for all patients, plus a summary or statement about any other regular medications for overnight patients</w:t>
      </w:r>
      <w:r w:rsidR="006C272F">
        <w:rPr>
          <w:rStyle w:val="normaltextrun"/>
          <w:rFonts w:eastAsiaTheme="majorEastAsia" w:cs="Arial"/>
          <w:szCs w:val="21"/>
        </w:rPr>
        <w:t xml:space="preserve"> (streamlining the requirements in the previous </w:t>
      </w:r>
      <w:r w:rsidR="003A3C47">
        <w:rPr>
          <w:rStyle w:val="normaltextrun"/>
          <w:rFonts w:eastAsiaTheme="majorEastAsia" w:cs="Arial"/>
          <w:szCs w:val="21"/>
        </w:rPr>
        <w:t>Regulation</w:t>
      </w:r>
      <w:r w:rsidR="006C272F">
        <w:rPr>
          <w:rStyle w:val="normaltextrun"/>
          <w:rFonts w:eastAsiaTheme="majorEastAsia" w:cs="Arial"/>
          <w:szCs w:val="21"/>
        </w:rPr>
        <w:t>s)</w:t>
      </w:r>
      <w:r w:rsidR="006C272F" w:rsidRPr="008F0D1A">
        <w:rPr>
          <w:rStyle w:val="eop"/>
          <w:rFonts w:eastAsiaTheme="majorEastAsia" w:cs="Arial"/>
          <w:szCs w:val="21"/>
        </w:rPr>
        <w:t> </w:t>
      </w:r>
    </w:p>
    <w:p w14:paraId="7FD133CC" w14:textId="15CB8A5E" w:rsidR="00D76234" w:rsidRPr="008C305D" w:rsidRDefault="00361E6B" w:rsidP="00216EB3">
      <w:pPr>
        <w:pStyle w:val="Bullet1"/>
      </w:pPr>
      <w:r>
        <w:t>p</w:t>
      </w:r>
      <w:r w:rsidR="00F97197" w:rsidRPr="008C305D">
        <w:t>rominently</w:t>
      </w:r>
      <w:r w:rsidR="00F97197" w:rsidRPr="00216EB3">
        <w:t xml:space="preserve"> display </w:t>
      </w:r>
      <w:r w:rsidR="00611300">
        <w:rPr>
          <w:rStyle w:val="normaltextrun"/>
          <w:rFonts w:eastAsiaTheme="majorEastAsia" w:cs="Arial"/>
          <w:szCs w:val="21"/>
        </w:rPr>
        <w:t>their</w:t>
      </w:r>
      <w:r w:rsidR="00F97197" w:rsidRPr="00DC206E">
        <w:rPr>
          <w:rStyle w:val="normaltextrun"/>
          <w:rFonts w:eastAsiaTheme="majorEastAsia" w:cs="Arial"/>
          <w:szCs w:val="21"/>
        </w:rPr>
        <w:t xml:space="preserve"> certificate of</w:t>
      </w:r>
      <w:r w:rsidR="00D76234" w:rsidRPr="00DC206E">
        <w:rPr>
          <w:rStyle w:val="normaltextrun"/>
          <w:rFonts w:eastAsiaTheme="majorEastAsia" w:cs="Arial"/>
          <w:szCs w:val="21"/>
        </w:rPr>
        <w:t xml:space="preserve"> accreditation</w:t>
      </w:r>
      <w:r w:rsidR="00D76234" w:rsidRPr="00DC206E">
        <w:rPr>
          <w:rStyle w:val="eop"/>
          <w:rFonts w:eastAsiaTheme="majorEastAsia" w:cs="Arial"/>
          <w:szCs w:val="21"/>
        </w:rPr>
        <w:t> </w:t>
      </w:r>
    </w:p>
    <w:p w14:paraId="0D4ADF8E" w14:textId="3894A398" w:rsidR="00F24A61" w:rsidRPr="008C305D" w:rsidRDefault="00361E6B" w:rsidP="00216EB3">
      <w:pPr>
        <w:pStyle w:val="Bullet1"/>
      </w:pPr>
      <w:r>
        <w:t>f</w:t>
      </w:r>
      <w:r w:rsidR="00CC2971" w:rsidRPr="001B5C7B">
        <w:t>or</w:t>
      </w:r>
      <w:r w:rsidR="00CC2971" w:rsidRPr="00216EB3">
        <w:t xml:space="preserve"> mobile services, submit </w:t>
      </w:r>
      <w:r w:rsidR="00F24A61">
        <w:rPr>
          <w:rStyle w:val="normaltextrun"/>
          <w:rFonts w:eastAsiaTheme="majorEastAsia" w:cs="Arial"/>
          <w:szCs w:val="21"/>
        </w:rPr>
        <w:t>specified data to the</w:t>
      </w:r>
      <w:r w:rsidR="00CC2971">
        <w:rPr>
          <w:rStyle w:val="normaltextrun"/>
          <w:rFonts w:eastAsiaTheme="majorEastAsia" w:cs="Arial"/>
          <w:szCs w:val="21"/>
        </w:rPr>
        <w:t xml:space="preserve"> Secretary </w:t>
      </w:r>
      <w:r w:rsidR="00F24A61">
        <w:rPr>
          <w:rStyle w:val="normaltextrun"/>
          <w:rFonts w:eastAsiaTheme="majorEastAsia" w:cs="Arial"/>
          <w:szCs w:val="21"/>
        </w:rPr>
        <w:t xml:space="preserve">periodically </w:t>
      </w:r>
      <w:r w:rsidR="00CC2971">
        <w:rPr>
          <w:rStyle w:val="normaltextrun"/>
          <w:rFonts w:eastAsiaTheme="majorEastAsia" w:cs="Arial"/>
          <w:szCs w:val="21"/>
        </w:rPr>
        <w:t>(formalising previous informal practice</w:t>
      </w:r>
      <w:r w:rsidR="00F24A61" w:rsidRPr="0055580D">
        <w:t xml:space="preserve"> – details set out in a</w:t>
      </w:r>
      <w:r w:rsidR="009F7E3D">
        <w:t xml:space="preserve"> </w:t>
      </w:r>
      <w:proofErr w:type="gramStart"/>
      <w:r w:rsidR="009F7E3D">
        <w:t>Secretary</w:t>
      </w:r>
      <w:proofErr w:type="gramEnd"/>
      <w:r w:rsidR="009F7E3D">
        <w:t xml:space="preserve"> determination</w:t>
      </w:r>
      <w:r w:rsidR="00F97197" w:rsidRPr="0055580D">
        <w:t>. </w:t>
      </w:r>
    </w:p>
    <w:p w14:paraId="77A96B3D" w14:textId="77777777" w:rsidR="008F0D1A" w:rsidRPr="00411768" w:rsidRDefault="008F0D1A" w:rsidP="00DC442A">
      <w:pPr>
        <w:pStyle w:val="Heading2"/>
        <w:rPr>
          <w:rFonts w:cs="Arial"/>
          <w:sz w:val="21"/>
          <w:szCs w:val="21"/>
        </w:rPr>
      </w:pPr>
      <w:bookmarkStart w:id="10" w:name="_Toc174547546"/>
      <w:r w:rsidRPr="007E16BF">
        <w:t>Fees</w:t>
      </w:r>
      <w:bookmarkEnd w:id="10"/>
      <w:r w:rsidRPr="00411768">
        <w:rPr>
          <w:rStyle w:val="eop"/>
          <w:rFonts w:eastAsiaTheme="majorEastAsia" w:cs="Arial"/>
          <w:b w:val="0"/>
          <w:sz w:val="21"/>
          <w:szCs w:val="21"/>
        </w:rPr>
        <w:t> </w:t>
      </w:r>
    </w:p>
    <w:p w14:paraId="3984066F" w14:textId="09D68A9B" w:rsidR="008F0D1A" w:rsidRPr="00DC206E" w:rsidRDefault="009C2941" w:rsidP="00216EB3">
      <w:pPr>
        <w:pStyle w:val="Body"/>
        <w:rPr>
          <w:rStyle w:val="eop"/>
          <w:rFonts w:eastAsiaTheme="majorEastAsia" w:cs="Arial"/>
          <w:szCs w:val="24"/>
          <w:lang w:eastAsia="en-AU"/>
        </w:rPr>
      </w:pPr>
      <w:r w:rsidRPr="00DC206E">
        <w:rPr>
          <w:rStyle w:val="eop"/>
          <w:rFonts w:eastAsiaTheme="majorEastAsia"/>
          <w:szCs w:val="24"/>
          <w:lang w:eastAsia="en-AU"/>
        </w:rPr>
        <w:t xml:space="preserve">The </w:t>
      </w:r>
      <w:r w:rsidR="003A3C47">
        <w:rPr>
          <w:rStyle w:val="eop"/>
          <w:rFonts w:eastAsiaTheme="majorEastAsia"/>
          <w:szCs w:val="24"/>
          <w:lang w:eastAsia="en-AU"/>
        </w:rPr>
        <w:t>Regulation</w:t>
      </w:r>
      <w:r w:rsidRPr="00DC206E">
        <w:rPr>
          <w:rStyle w:val="eop"/>
          <w:rFonts w:eastAsiaTheme="majorEastAsia"/>
          <w:szCs w:val="24"/>
          <w:lang w:eastAsia="en-AU"/>
        </w:rPr>
        <w:t>s list the fees that must be paid when an application is made under the Act. These have not changed, but there is a now a</w:t>
      </w:r>
      <w:r w:rsidR="008F0D1A" w:rsidRPr="00DC206E" w:rsidDel="009C2941">
        <w:rPr>
          <w:rStyle w:val="eop"/>
          <w:rFonts w:eastAsiaTheme="majorEastAsia"/>
          <w:szCs w:val="24"/>
          <w:lang w:eastAsia="en-AU"/>
        </w:rPr>
        <w:t xml:space="preserve"> </w:t>
      </w:r>
      <w:r w:rsidR="008F0D1A" w:rsidRPr="00DC206E">
        <w:rPr>
          <w:rStyle w:val="eop"/>
          <w:rFonts w:eastAsiaTheme="majorEastAsia"/>
          <w:szCs w:val="24"/>
          <w:lang w:eastAsia="en-AU"/>
        </w:rPr>
        <w:t xml:space="preserve">fee for </w:t>
      </w:r>
      <w:r w:rsidR="00881C25">
        <w:rPr>
          <w:rStyle w:val="eop"/>
          <w:rFonts w:eastAsiaTheme="majorEastAsia"/>
          <w:szCs w:val="24"/>
          <w:lang w:eastAsia="en-AU"/>
        </w:rPr>
        <w:t xml:space="preserve">an </w:t>
      </w:r>
      <w:r w:rsidR="008F0D1A" w:rsidRPr="00DC206E">
        <w:rPr>
          <w:rStyle w:val="eop"/>
          <w:rFonts w:eastAsiaTheme="majorEastAsia"/>
          <w:szCs w:val="24"/>
          <w:lang w:eastAsia="en-AU"/>
        </w:rPr>
        <w:t xml:space="preserve">application to use </w:t>
      </w:r>
      <w:proofErr w:type="gramStart"/>
      <w:r w:rsidR="008F0D1A" w:rsidRPr="00DC206E">
        <w:rPr>
          <w:rStyle w:val="eop"/>
          <w:rFonts w:eastAsiaTheme="majorEastAsia"/>
          <w:szCs w:val="24"/>
          <w:lang w:eastAsia="en-AU"/>
        </w:rPr>
        <w:t>particular land</w:t>
      </w:r>
      <w:proofErr w:type="gramEnd"/>
      <w:r w:rsidR="008F0D1A" w:rsidRPr="00DC206E">
        <w:rPr>
          <w:rStyle w:val="eop"/>
          <w:rFonts w:eastAsiaTheme="majorEastAsia"/>
          <w:szCs w:val="24"/>
          <w:lang w:eastAsia="en-AU"/>
        </w:rPr>
        <w:t xml:space="preserve"> or premises as a private hospital or day procedure centre</w:t>
      </w:r>
      <w:r w:rsidRPr="00DC206E">
        <w:rPr>
          <w:rStyle w:val="eop"/>
          <w:rFonts w:eastAsiaTheme="majorEastAsia"/>
          <w:szCs w:val="24"/>
          <w:lang w:eastAsia="en-AU"/>
        </w:rPr>
        <w:t xml:space="preserve"> (not previously prescribed as no such applications had been made under the Act)</w:t>
      </w:r>
      <w:r w:rsidR="008F0D1A" w:rsidRPr="00DC206E">
        <w:rPr>
          <w:rStyle w:val="eop"/>
          <w:rFonts w:eastAsiaTheme="majorEastAsia"/>
          <w:szCs w:val="24"/>
          <w:lang w:eastAsia="en-AU"/>
        </w:rPr>
        <w:t>.</w:t>
      </w:r>
      <w:r w:rsidR="008F0D1A" w:rsidRPr="00DC206E">
        <w:rPr>
          <w:rStyle w:val="eop"/>
          <w:rFonts w:eastAsiaTheme="majorEastAsia" w:cs="Arial"/>
          <w:szCs w:val="24"/>
          <w:lang w:eastAsia="en-AU"/>
        </w:rPr>
        <w:t> </w:t>
      </w:r>
    </w:p>
    <w:p w14:paraId="2236AA3E" w14:textId="0515992D" w:rsidR="00411768" w:rsidRPr="00F706A6" w:rsidRDefault="00411768" w:rsidP="00DC442A">
      <w:pPr>
        <w:pStyle w:val="Heading2"/>
      </w:pPr>
      <w:bookmarkStart w:id="11" w:name="_Toc174547547"/>
      <w:r w:rsidRPr="00F706A6">
        <w:t>Infringements</w:t>
      </w:r>
      <w:bookmarkEnd w:id="11"/>
      <w:r w:rsidRPr="00F706A6">
        <w:t> </w:t>
      </w:r>
    </w:p>
    <w:p w14:paraId="04BD6BEA" w14:textId="722B5D25" w:rsidR="00411768" w:rsidRDefault="00411768" w:rsidP="00216EB3">
      <w:pPr>
        <w:pStyle w:val="Bullet1"/>
        <w:rPr>
          <w:rStyle w:val="normaltextrun"/>
          <w:rFonts w:eastAsiaTheme="majorEastAsia" w:cs="Arial"/>
          <w:szCs w:val="21"/>
        </w:rPr>
      </w:pPr>
      <w:r w:rsidRPr="00F706A6">
        <w:rPr>
          <w:rStyle w:val="normaltextrun"/>
          <w:rFonts w:eastAsiaTheme="majorEastAsia" w:cs="Arial"/>
          <w:szCs w:val="21"/>
        </w:rPr>
        <w:t xml:space="preserve">The </w:t>
      </w:r>
      <w:r w:rsidR="003A3C47">
        <w:rPr>
          <w:rStyle w:val="normaltextrun"/>
          <w:rFonts w:eastAsiaTheme="majorEastAsia" w:cs="Arial"/>
          <w:szCs w:val="21"/>
        </w:rPr>
        <w:t>Regulation</w:t>
      </w:r>
      <w:r w:rsidRPr="00F706A6">
        <w:rPr>
          <w:rStyle w:val="normaltextrun"/>
          <w:rFonts w:eastAsiaTheme="majorEastAsia" w:cs="Arial"/>
          <w:szCs w:val="21"/>
        </w:rPr>
        <w:t xml:space="preserve">s now prescribe infringement offences and penalties for existing penalty offences in the </w:t>
      </w:r>
      <w:r w:rsidR="003A3C47">
        <w:rPr>
          <w:rStyle w:val="normaltextrun"/>
          <w:rFonts w:eastAsiaTheme="majorEastAsia" w:cs="Arial"/>
          <w:szCs w:val="21"/>
        </w:rPr>
        <w:t>Regulation</w:t>
      </w:r>
      <w:r w:rsidRPr="00F706A6">
        <w:rPr>
          <w:rStyle w:val="normaltextrun"/>
          <w:rFonts w:eastAsiaTheme="majorEastAsia" w:cs="Arial"/>
          <w:szCs w:val="21"/>
        </w:rPr>
        <w:t xml:space="preserve">s. This allows authorised officers to issue fines if those offences are committed. </w:t>
      </w:r>
    </w:p>
    <w:p w14:paraId="49501671" w14:textId="08A4D7BB" w:rsidR="00411768" w:rsidRDefault="00411768" w:rsidP="00216EB3">
      <w:pPr>
        <w:pStyle w:val="Bullet1"/>
        <w:rPr>
          <w:rStyle w:val="normaltextrun"/>
          <w:rFonts w:eastAsiaTheme="majorEastAsia" w:cs="Arial"/>
          <w:szCs w:val="21"/>
        </w:rPr>
      </w:pPr>
      <w:r w:rsidRPr="00411768">
        <w:rPr>
          <w:rStyle w:val="normaltextrun"/>
          <w:rFonts w:eastAsiaTheme="majorEastAsia" w:cs="Arial"/>
          <w:szCs w:val="21"/>
        </w:rPr>
        <w:t>Implementation of this new power will be coordinated with the roll</w:t>
      </w:r>
      <w:r w:rsidR="003150D1">
        <w:rPr>
          <w:rStyle w:val="normaltextrun"/>
          <w:rFonts w:eastAsiaTheme="majorEastAsia" w:cs="Arial"/>
          <w:szCs w:val="21"/>
        </w:rPr>
        <w:t>-</w:t>
      </w:r>
      <w:r w:rsidRPr="00411768">
        <w:rPr>
          <w:rStyle w:val="normaltextrun"/>
          <w:rFonts w:eastAsiaTheme="majorEastAsia" w:cs="Arial"/>
          <w:szCs w:val="21"/>
        </w:rPr>
        <w:t xml:space="preserve">out of other proposed reforms, pending passage of a Bill that is currently before the Victorian Parliament that will establish consistent powers for issuing infringement notices across </w:t>
      </w:r>
      <w:proofErr w:type="gramStart"/>
      <w:r w:rsidRPr="00411768">
        <w:rPr>
          <w:rStyle w:val="normaltextrun"/>
          <w:rFonts w:eastAsiaTheme="majorEastAsia" w:cs="Arial"/>
          <w:szCs w:val="21"/>
        </w:rPr>
        <w:t>a number of</w:t>
      </w:r>
      <w:proofErr w:type="gramEnd"/>
      <w:r w:rsidRPr="00411768">
        <w:rPr>
          <w:rStyle w:val="normaltextrun"/>
          <w:rFonts w:eastAsiaTheme="majorEastAsia" w:cs="Arial"/>
          <w:szCs w:val="21"/>
        </w:rPr>
        <w:t xml:space="preserve"> schemes administered by the Health Regulator.</w:t>
      </w:r>
      <w:r w:rsidR="00500663">
        <w:rPr>
          <w:rStyle w:val="normaltextrun"/>
          <w:rFonts w:eastAsiaTheme="majorEastAsia" w:cs="Arial"/>
          <w:szCs w:val="21"/>
        </w:rPr>
        <w:t xml:space="preserve"> </w:t>
      </w:r>
      <w:r w:rsidR="00760E84">
        <w:rPr>
          <w:rStyle w:val="normaltextrun"/>
          <w:rFonts w:eastAsiaTheme="majorEastAsia" w:cs="Arial"/>
          <w:szCs w:val="21"/>
        </w:rPr>
        <w:t>M</w:t>
      </w:r>
      <w:r w:rsidR="00500663">
        <w:rPr>
          <w:rStyle w:val="normaltextrun"/>
          <w:rFonts w:eastAsiaTheme="majorEastAsia" w:cs="Arial"/>
          <w:szCs w:val="21"/>
        </w:rPr>
        <w:t xml:space="preserve">ore information on those reforms can be found </w:t>
      </w:r>
      <w:r w:rsidR="00DF4949" w:rsidRPr="00DF4949">
        <w:rPr>
          <w:rFonts w:eastAsiaTheme="majorEastAsia" w:cs="Arial"/>
          <w:szCs w:val="21"/>
        </w:rPr>
        <w:t xml:space="preserve">on </w:t>
      </w:r>
      <w:hyperlink r:id="rId22" w:history="1">
        <w:r w:rsidR="00DF4949" w:rsidRPr="00DF4949">
          <w:rPr>
            <w:rStyle w:val="Hyperlink"/>
            <w:rFonts w:eastAsiaTheme="majorEastAsia" w:cs="Arial"/>
            <w:szCs w:val="21"/>
          </w:rPr>
          <w:t>the department's website</w:t>
        </w:r>
      </w:hyperlink>
      <w:r w:rsidR="00DF4949">
        <w:rPr>
          <w:rFonts w:eastAsiaTheme="majorEastAsia" w:cs="Arial"/>
          <w:szCs w:val="21"/>
        </w:rPr>
        <w:t xml:space="preserve"> </w:t>
      </w:r>
      <w:r w:rsidR="00760E84">
        <w:rPr>
          <w:rStyle w:val="normaltextrun"/>
          <w:rFonts w:eastAsiaTheme="majorEastAsia" w:cs="Arial"/>
          <w:szCs w:val="21"/>
        </w:rPr>
        <w:t>&lt;</w:t>
      </w:r>
      <w:r w:rsidR="00DF4949" w:rsidRPr="00DF4949">
        <w:rPr>
          <w:rFonts w:eastAsiaTheme="majorEastAsia" w:cs="Arial"/>
          <w:szCs w:val="21"/>
        </w:rPr>
        <w:t>https://www.health.vic.gov.au/legislation/reforms-to-health-regulation-in-victoria</w:t>
      </w:r>
      <w:r w:rsidR="00760E84">
        <w:rPr>
          <w:rStyle w:val="normaltextrun"/>
          <w:rFonts w:eastAsiaTheme="majorEastAsia" w:cs="Arial"/>
          <w:szCs w:val="21"/>
        </w:rPr>
        <w:t>&gt;</w:t>
      </w:r>
      <w:r w:rsidR="00971551">
        <w:rPr>
          <w:rStyle w:val="normaltextrun"/>
          <w:rFonts w:eastAsiaTheme="majorEastAsia" w:cs="Arial"/>
          <w:szCs w:val="21"/>
        </w:rPr>
        <w:t>.</w:t>
      </w:r>
      <w:r w:rsidR="00760E84" w:rsidRPr="00DC206E">
        <w:rPr>
          <w:rStyle w:val="normaltextrun"/>
          <w:rFonts w:eastAsiaTheme="majorEastAsia" w:cs="Arial"/>
          <w:szCs w:val="21"/>
        </w:rPr>
        <w:t xml:space="preserve"> </w:t>
      </w:r>
    </w:p>
    <w:p w14:paraId="01F24D59" w14:textId="18E2C1E3" w:rsidR="00881C25" w:rsidRPr="00F706A6" w:rsidRDefault="007D13A2" w:rsidP="00DC442A">
      <w:pPr>
        <w:pStyle w:val="Heading2"/>
      </w:pPr>
      <w:bookmarkStart w:id="12" w:name="_Toc174547548"/>
      <w:r>
        <w:t xml:space="preserve">Gender </w:t>
      </w:r>
      <w:r w:rsidR="006400A2">
        <w:t>identity</w:t>
      </w:r>
      <w:bookmarkEnd w:id="12"/>
      <w:r w:rsidR="006400A2">
        <w:t xml:space="preserve"> </w:t>
      </w:r>
    </w:p>
    <w:p w14:paraId="6400D0C5" w14:textId="2FB6FD9B" w:rsidR="00881C25" w:rsidRPr="00C94844" w:rsidRDefault="00FB566E" w:rsidP="00216EB3">
      <w:pPr>
        <w:pStyle w:val="Body"/>
        <w:rPr>
          <w:rStyle w:val="normaltextrun"/>
          <w:rFonts w:eastAsiaTheme="majorEastAsia"/>
        </w:rPr>
      </w:pPr>
      <w:r>
        <w:rPr>
          <w:rStyle w:val="normaltextrun"/>
          <w:rFonts w:eastAsiaTheme="majorEastAsia" w:cs="Arial"/>
          <w:szCs w:val="21"/>
        </w:rPr>
        <w:t>In the updated Regulations</w:t>
      </w:r>
      <w:r w:rsidR="00971551">
        <w:rPr>
          <w:rStyle w:val="normaltextrun"/>
          <w:rFonts w:eastAsiaTheme="majorEastAsia" w:cs="Arial"/>
          <w:szCs w:val="21"/>
        </w:rPr>
        <w:t>,</w:t>
      </w:r>
      <w:r>
        <w:rPr>
          <w:rStyle w:val="normaltextrun"/>
          <w:rFonts w:eastAsiaTheme="majorEastAsia" w:cs="Arial"/>
          <w:szCs w:val="21"/>
        </w:rPr>
        <w:t xml:space="preserve"> </w:t>
      </w:r>
      <w:r w:rsidR="0085281E">
        <w:rPr>
          <w:rStyle w:val="normaltextrun"/>
          <w:rFonts w:eastAsiaTheme="majorEastAsia" w:cs="Arial"/>
          <w:szCs w:val="21"/>
        </w:rPr>
        <w:t xml:space="preserve">the </w:t>
      </w:r>
      <w:r w:rsidR="0067273C">
        <w:rPr>
          <w:rStyle w:val="normaltextrun"/>
          <w:rFonts w:eastAsiaTheme="majorEastAsia" w:cs="Arial"/>
          <w:szCs w:val="21"/>
        </w:rPr>
        <w:t>continuing</w:t>
      </w:r>
      <w:r w:rsidR="0085281E">
        <w:rPr>
          <w:rStyle w:val="normaltextrun"/>
          <w:rFonts w:eastAsiaTheme="majorEastAsia" w:cs="Arial"/>
          <w:szCs w:val="21"/>
        </w:rPr>
        <w:t xml:space="preserve"> requirement for </w:t>
      </w:r>
      <w:r w:rsidR="00C94844">
        <w:rPr>
          <w:rStyle w:val="normaltextrun"/>
          <w:rFonts w:eastAsiaTheme="majorEastAsia" w:cs="Arial"/>
          <w:szCs w:val="21"/>
        </w:rPr>
        <w:t xml:space="preserve">treating patients with dignity and respect </w:t>
      </w:r>
      <w:r w:rsidR="003150D1">
        <w:rPr>
          <w:rStyle w:val="normaltextrun"/>
          <w:rFonts w:eastAsiaTheme="majorEastAsia" w:cs="Arial"/>
          <w:szCs w:val="21"/>
        </w:rPr>
        <w:t xml:space="preserve">now </w:t>
      </w:r>
      <w:r w:rsidR="00C94844">
        <w:rPr>
          <w:rStyle w:val="normaltextrun"/>
          <w:rFonts w:eastAsiaTheme="majorEastAsia" w:cs="Arial"/>
          <w:szCs w:val="21"/>
        </w:rPr>
        <w:t>specifically refer</w:t>
      </w:r>
      <w:r w:rsidR="0067273C">
        <w:rPr>
          <w:rStyle w:val="normaltextrun"/>
          <w:rFonts w:eastAsiaTheme="majorEastAsia" w:cs="Arial"/>
          <w:szCs w:val="21"/>
        </w:rPr>
        <w:t>s</w:t>
      </w:r>
      <w:r w:rsidR="00C94844">
        <w:rPr>
          <w:rStyle w:val="normaltextrun"/>
          <w:rFonts w:eastAsiaTheme="majorEastAsia" w:cs="Arial"/>
          <w:szCs w:val="21"/>
        </w:rPr>
        <w:t xml:space="preserve"> to gender identity</w:t>
      </w:r>
      <w:r w:rsidR="003222EF">
        <w:rPr>
          <w:rStyle w:val="normaltextrun"/>
          <w:rFonts w:eastAsiaTheme="majorEastAsia" w:cs="Arial"/>
          <w:szCs w:val="21"/>
        </w:rPr>
        <w:t xml:space="preserve">. In addition, </w:t>
      </w:r>
      <w:r w:rsidR="00D471D4">
        <w:rPr>
          <w:rStyle w:val="normaltextrun"/>
          <w:rFonts w:eastAsiaTheme="majorEastAsia" w:cs="Arial"/>
          <w:szCs w:val="21"/>
        </w:rPr>
        <w:t>pronouns are</w:t>
      </w:r>
      <w:r w:rsidR="00D83B4D">
        <w:rPr>
          <w:rStyle w:val="normaltextrun"/>
          <w:rFonts w:eastAsiaTheme="majorEastAsia" w:cs="Arial"/>
          <w:szCs w:val="21"/>
        </w:rPr>
        <w:t xml:space="preserve"> </w:t>
      </w:r>
      <w:r w:rsidR="00C61451">
        <w:rPr>
          <w:rStyle w:val="normaltextrun"/>
          <w:rFonts w:eastAsiaTheme="majorEastAsia" w:cs="Arial"/>
          <w:szCs w:val="21"/>
        </w:rPr>
        <w:t xml:space="preserve">now </w:t>
      </w:r>
      <w:r w:rsidR="00D83B4D">
        <w:rPr>
          <w:rStyle w:val="normaltextrun"/>
          <w:rFonts w:eastAsiaTheme="majorEastAsia" w:cs="Arial"/>
          <w:szCs w:val="21"/>
        </w:rPr>
        <w:t>gender n</w:t>
      </w:r>
      <w:r w:rsidR="007B1592">
        <w:rPr>
          <w:rStyle w:val="normaltextrun"/>
          <w:rFonts w:eastAsiaTheme="majorEastAsia" w:cs="Arial"/>
          <w:szCs w:val="21"/>
        </w:rPr>
        <w:t>eutral</w:t>
      </w:r>
      <w:r w:rsidR="006400A2">
        <w:rPr>
          <w:rStyle w:val="normaltextrun"/>
          <w:rFonts w:eastAsiaTheme="majorEastAsia" w:cs="Arial"/>
          <w:szCs w:val="21"/>
        </w:rPr>
        <w:t xml:space="preserve">. </w:t>
      </w:r>
    </w:p>
    <w:p w14:paraId="2396876B" w14:textId="5CB753A1" w:rsidR="00C94844" w:rsidRPr="00C94844" w:rsidRDefault="00293C83" w:rsidP="00DC442A">
      <w:pPr>
        <w:pStyle w:val="Heading2"/>
        <w:rPr>
          <w:rStyle w:val="normaltextrun"/>
          <w:b w:val="0"/>
          <w:bCs/>
          <w:color w:val="000000" w:themeColor="text1"/>
          <w:sz w:val="28"/>
        </w:rPr>
      </w:pPr>
      <w:bookmarkStart w:id="13" w:name="_Toc174547549"/>
      <w:r>
        <w:t xml:space="preserve">Changes to terminology and </w:t>
      </w:r>
      <w:r w:rsidR="006B2D3A">
        <w:t xml:space="preserve">to remove </w:t>
      </w:r>
      <w:r w:rsidR="000545C4">
        <w:t>duplication</w:t>
      </w:r>
      <w:bookmarkEnd w:id="13"/>
      <w:r w:rsidR="006B2D3A">
        <w:t xml:space="preserve"> </w:t>
      </w:r>
    </w:p>
    <w:p w14:paraId="0E5603DD" w14:textId="2B25C722" w:rsidR="00881C25" w:rsidRPr="00216EB3" w:rsidRDefault="006B2D3A" w:rsidP="00216EB3">
      <w:pPr>
        <w:pStyle w:val="Bullet1"/>
      </w:pPr>
      <w:r w:rsidRPr="00216EB3">
        <w:t xml:space="preserve">The term </w:t>
      </w:r>
      <w:r w:rsidR="00881C25" w:rsidRPr="008F0D1A">
        <w:rPr>
          <w:rStyle w:val="normaltextrun"/>
          <w:rFonts w:eastAsiaTheme="majorEastAsia" w:cs="Arial"/>
          <w:szCs w:val="21"/>
        </w:rPr>
        <w:t xml:space="preserve">‘reversible agents’ </w:t>
      </w:r>
      <w:r>
        <w:rPr>
          <w:rStyle w:val="normaltextrun"/>
          <w:rFonts w:eastAsiaTheme="majorEastAsia" w:cs="Arial"/>
          <w:szCs w:val="21"/>
        </w:rPr>
        <w:t>has been replaced with</w:t>
      </w:r>
      <w:r w:rsidR="00881C25" w:rsidRPr="008F0D1A">
        <w:rPr>
          <w:rStyle w:val="normaltextrun"/>
          <w:rFonts w:eastAsiaTheme="majorEastAsia" w:cs="Arial"/>
          <w:szCs w:val="21"/>
        </w:rPr>
        <w:t xml:space="preserve"> ‘reversal agents’ in line with current industry practice.</w:t>
      </w:r>
    </w:p>
    <w:p w14:paraId="629C01D5" w14:textId="6F0A20B1" w:rsidR="00C73462" w:rsidRPr="00C73462" w:rsidRDefault="006B2D3A" w:rsidP="0055580D">
      <w:pPr>
        <w:pStyle w:val="Bullet1"/>
      </w:pPr>
      <w:r w:rsidRPr="00216EB3">
        <w:t xml:space="preserve">The term </w:t>
      </w:r>
      <w:r w:rsidR="00881C25" w:rsidRPr="008F0D1A">
        <w:rPr>
          <w:rStyle w:val="normaltextrun"/>
          <w:rFonts w:eastAsiaTheme="majorEastAsia" w:cs="Arial"/>
          <w:szCs w:val="21"/>
        </w:rPr>
        <w:t xml:space="preserve">‘Operation Theatre Register’ </w:t>
      </w:r>
      <w:r>
        <w:rPr>
          <w:rStyle w:val="normaltextrun"/>
          <w:rFonts w:eastAsiaTheme="majorEastAsia" w:cs="Arial"/>
          <w:szCs w:val="21"/>
        </w:rPr>
        <w:t>has been replaced with</w:t>
      </w:r>
      <w:r w:rsidR="00881C25" w:rsidRPr="008F0D1A">
        <w:rPr>
          <w:rStyle w:val="normaltextrun"/>
          <w:rFonts w:eastAsiaTheme="majorEastAsia" w:cs="Arial"/>
          <w:szCs w:val="21"/>
        </w:rPr>
        <w:t xml:space="preserve"> ‘Surgical Procedure Register’</w:t>
      </w:r>
      <w:r>
        <w:rPr>
          <w:rStyle w:val="normaltextrun"/>
          <w:rFonts w:eastAsiaTheme="majorEastAsia" w:cs="Arial"/>
          <w:szCs w:val="21"/>
        </w:rPr>
        <w:t xml:space="preserve"> to reflect the </w:t>
      </w:r>
      <w:r w:rsidR="003222EF">
        <w:rPr>
          <w:rStyle w:val="normaltextrun"/>
          <w:rFonts w:eastAsiaTheme="majorEastAsia" w:cs="Arial"/>
          <w:szCs w:val="21"/>
        </w:rPr>
        <w:t xml:space="preserve">continuing </w:t>
      </w:r>
      <w:r>
        <w:rPr>
          <w:rStyle w:val="normaltextrun"/>
          <w:rFonts w:eastAsiaTheme="majorEastAsia" w:cs="Arial"/>
          <w:szCs w:val="21"/>
        </w:rPr>
        <w:t xml:space="preserve">requirements </w:t>
      </w:r>
      <w:r w:rsidR="003222EF">
        <w:rPr>
          <w:rStyle w:val="normaltextrun"/>
          <w:rFonts w:eastAsiaTheme="majorEastAsia" w:cs="Arial"/>
          <w:szCs w:val="21"/>
        </w:rPr>
        <w:t xml:space="preserve">in the </w:t>
      </w:r>
      <w:r w:rsidR="003A3C47">
        <w:rPr>
          <w:rStyle w:val="normaltextrun"/>
          <w:rFonts w:eastAsiaTheme="majorEastAsia" w:cs="Arial"/>
          <w:szCs w:val="21"/>
        </w:rPr>
        <w:t>Regulation</w:t>
      </w:r>
      <w:r w:rsidR="003222EF">
        <w:rPr>
          <w:rStyle w:val="normaltextrun"/>
          <w:rFonts w:eastAsiaTheme="majorEastAsia" w:cs="Arial"/>
          <w:szCs w:val="21"/>
        </w:rPr>
        <w:t xml:space="preserve">s </w:t>
      </w:r>
      <w:r>
        <w:rPr>
          <w:rStyle w:val="normaltextrun"/>
          <w:rFonts w:eastAsiaTheme="majorEastAsia" w:cs="Arial"/>
          <w:szCs w:val="21"/>
        </w:rPr>
        <w:t>for keeping a register of surgical services.</w:t>
      </w:r>
    </w:p>
    <w:p w14:paraId="538B1CC7" w14:textId="470ACB9D" w:rsidR="002A6914" w:rsidRPr="00216EB3" w:rsidRDefault="006B2D3A" w:rsidP="00216EB3">
      <w:pPr>
        <w:pStyle w:val="Bullet1"/>
      </w:pPr>
      <w:r w:rsidRPr="00216EB3">
        <w:t xml:space="preserve">A requirement relating to the prevention of scalding has been removed as it </w:t>
      </w:r>
      <w:r>
        <w:rPr>
          <w:rStyle w:val="normaltextrun"/>
          <w:rFonts w:eastAsiaTheme="majorEastAsia" w:cs="Arial"/>
          <w:szCs w:val="21"/>
        </w:rPr>
        <w:t>duplicates an Australian Standard</w:t>
      </w:r>
      <w:r w:rsidR="003222EF">
        <w:rPr>
          <w:rStyle w:val="normaltextrun"/>
          <w:rFonts w:eastAsiaTheme="majorEastAsia" w:cs="Arial"/>
          <w:szCs w:val="21"/>
        </w:rPr>
        <w:t>.</w:t>
      </w:r>
    </w:p>
    <w:p w14:paraId="017FD100" w14:textId="4F22615A" w:rsidR="002A6914" w:rsidRDefault="00A45974" w:rsidP="00A505AF">
      <w:pPr>
        <w:pStyle w:val="Heading1"/>
      </w:pPr>
      <w:bookmarkStart w:id="14" w:name="_Toc174547550"/>
      <w:r>
        <w:t xml:space="preserve">Achieving </w:t>
      </w:r>
      <w:r w:rsidR="001C6F77">
        <w:t xml:space="preserve">compliance </w:t>
      </w:r>
      <w:r w:rsidR="002A6914">
        <w:t xml:space="preserve">with the 2024 Regulations </w:t>
      </w:r>
      <w:bookmarkEnd w:id="14"/>
    </w:p>
    <w:p w14:paraId="0CE9B4B8" w14:textId="72952347" w:rsidR="002E3697" w:rsidRDefault="002E3697" w:rsidP="00DC442A">
      <w:pPr>
        <w:pStyle w:val="Heading2"/>
      </w:pPr>
      <w:bookmarkStart w:id="15" w:name="_Toc174547551"/>
      <w:r>
        <w:t xml:space="preserve">What HSEs should </w:t>
      </w:r>
      <w:r w:rsidR="00362E46">
        <w:t>d</w:t>
      </w:r>
      <w:r>
        <w:t>o</w:t>
      </w:r>
      <w:bookmarkEnd w:id="15"/>
      <w:r>
        <w:t xml:space="preserve">  </w:t>
      </w:r>
    </w:p>
    <w:p w14:paraId="5DF5AD31" w14:textId="72FACDB8" w:rsidR="002E3697" w:rsidRPr="00216EB3" w:rsidRDefault="002E3697" w:rsidP="00216EB3">
      <w:pPr>
        <w:pStyle w:val="Bullet1"/>
      </w:pPr>
      <w:r w:rsidRPr="00216EB3">
        <w:t xml:space="preserve">Continue to comply with </w:t>
      </w:r>
      <w:r w:rsidR="00235138">
        <w:rPr>
          <w:rStyle w:val="normaltextrun"/>
          <w:rFonts w:eastAsiaTheme="majorEastAsia" w:cs="Arial"/>
          <w:szCs w:val="21"/>
        </w:rPr>
        <w:t>all elements of the R</w:t>
      </w:r>
      <w:r w:rsidR="005E13C6">
        <w:rPr>
          <w:rStyle w:val="normaltextrun"/>
          <w:rFonts w:eastAsiaTheme="majorEastAsia" w:cs="Arial"/>
          <w:szCs w:val="21"/>
        </w:rPr>
        <w:t xml:space="preserve">egulations that have been remade in the same form (most provisions). </w:t>
      </w:r>
    </w:p>
    <w:p w14:paraId="231050D9" w14:textId="515D0646" w:rsidR="00CD0F59" w:rsidRDefault="00EA400A" w:rsidP="00216EB3">
      <w:pPr>
        <w:pStyle w:val="Bullet1"/>
      </w:pPr>
      <w:r w:rsidRPr="00216EB3">
        <w:t xml:space="preserve">Continue to </w:t>
      </w:r>
      <w:r>
        <w:rPr>
          <w:rStyle w:val="normaltextrun"/>
          <w:rFonts w:cs="Arial"/>
          <w:szCs w:val="21"/>
        </w:rPr>
        <w:t>report sentinel events</w:t>
      </w:r>
      <w:r w:rsidR="00DA5E84">
        <w:rPr>
          <w:rStyle w:val="normaltextrun"/>
          <w:rFonts w:cs="Arial"/>
          <w:szCs w:val="21"/>
        </w:rPr>
        <w:t xml:space="preserve"> and review them and report from those reviews, noting the formal requirements in the Regulations and Secretary </w:t>
      </w:r>
      <w:r w:rsidR="009F7E3D">
        <w:t>determination</w:t>
      </w:r>
      <w:r w:rsidR="00DA5E84">
        <w:rPr>
          <w:rStyle w:val="normaltextrun"/>
          <w:rFonts w:eastAsiaTheme="majorEastAsia" w:cs="Arial"/>
          <w:szCs w:val="21"/>
        </w:rPr>
        <w:t xml:space="preserve">. </w:t>
      </w:r>
    </w:p>
    <w:p w14:paraId="085F8E6E" w14:textId="174CE402" w:rsidR="00EA400A" w:rsidRDefault="004F69CF" w:rsidP="00216EB3">
      <w:pPr>
        <w:pStyle w:val="Bullet1"/>
        <w:rPr>
          <w:rStyle w:val="normaltextrun"/>
          <w:rFonts w:cs="Arial"/>
        </w:rPr>
      </w:pPr>
      <w:r w:rsidRPr="599BD017">
        <w:rPr>
          <w:rStyle w:val="normaltextrun"/>
          <w:rFonts w:eastAsiaTheme="majorEastAsia" w:cs="Arial"/>
        </w:rPr>
        <w:t>Continue reporting on your Statutory Duty of Candor compliance activities</w:t>
      </w:r>
      <w:r w:rsidR="003516EB" w:rsidRPr="599BD017">
        <w:rPr>
          <w:rStyle w:val="normaltextrun"/>
          <w:rFonts w:eastAsiaTheme="majorEastAsia" w:cs="Arial"/>
        </w:rPr>
        <w:t xml:space="preserve">. </w:t>
      </w:r>
      <w:r w:rsidR="00DA5E84">
        <w:t xml:space="preserve">If you need more information or support in relation to these requirements </w:t>
      </w:r>
      <w:hyperlink r:id="rId23">
        <w:r w:rsidR="00857E1B" w:rsidRPr="599BD017">
          <w:rPr>
            <w:rStyle w:val="Hyperlink"/>
          </w:rPr>
          <w:t>email</w:t>
        </w:r>
        <w:r w:rsidR="00DA5E84" w:rsidRPr="599BD017">
          <w:rPr>
            <w:rStyle w:val="Hyperlink"/>
          </w:rPr>
          <w:t xml:space="preserve"> Safer Care Victoria</w:t>
        </w:r>
      </w:hyperlink>
      <w:r w:rsidR="00857E1B">
        <w:t xml:space="preserve"> at</w:t>
      </w:r>
      <w:r w:rsidR="00DA5E84">
        <w:t xml:space="preserve"> </w:t>
      </w:r>
      <w:r>
        <w:t>&lt;</w:t>
      </w:r>
      <w:r w:rsidR="00857E1B">
        <w:t xml:space="preserve">dutyofcandour@safercare.vic.gov.au&gt;. </w:t>
      </w:r>
      <w:r w:rsidR="00DA5E84">
        <w:t xml:space="preserve"> </w:t>
      </w:r>
      <w:r w:rsidR="00EA400A">
        <w:t xml:space="preserve"> </w:t>
      </w:r>
    </w:p>
    <w:p w14:paraId="2E812E1C" w14:textId="3342E07D" w:rsidR="006849A8" w:rsidRDefault="002B75D0" w:rsidP="00216EB3">
      <w:pPr>
        <w:pStyle w:val="Bullet1"/>
        <w:rPr>
          <w:rStyle w:val="normaltextrun"/>
          <w:rFonts w:cs="Arial"/>
          <w:szCs w:val="21"/>
        </w:rPr>
      </w:pPr>
      <w:r w:rsidRPr="00216EB3">
        <w:lastRenderedPageBreak/>
        <w:t xml:space="preserve">Continue to conduct </w:t>
      </w:r>
      <w:r w:rsidR="007858D6">
        <w:t>pre-</w:t>
      </w:r>
      <w:r w:rsidR="00633561">
        <w:t xml:space="preserve">admission </w:t>
      </w:r>
      <w:r w:rsidRPr="00216EB3">
        <w:t>clinical assessments and keep relevant records</w:t>
      </w:r>
      <w:r w:rsidR="00440040">
        <w:rPr>
          <w:rStyle w:val="normaltextrun"/>
          <w:rFonts w:cs="Arial"/>
          <w:szCs w:val="21"/>
        </w:rPr>
        <w:t>,</w:t>
      </w:r>
      <w:r>
        <w:rPr>
          <w:rStyle w:val="normaltextrun"/>
          <w:rFonts w:cs="Arial"/>
          <w:szCs w:val="21"/>
        </w:rPr>
        <w:t xml:space="preserve"> </w:t>
      </w:r>
      <w:r w:rsidR="001E382D">
        <w:rPr>
          <w:rStyle w:val="normaltextrun"/>
          <w:rFonts w:cs="Arial"/>
          <w:szCs w:val="21"/>
        </w:rPr>
        <w:t>r</w:t>
      </w:r>
      <w:r w:rsidR="00040B69">
        <w:rPr>
          <w:rStyle w:val="normaltextrun"/>
          <w:rFonts w:cs="Arial"/>
          <w:szCs w:val="21"/>
        </w:rPr>
        <w:t>eview</w:t>
      </w:r>
      <w:r w:rsidR="00440040">
        <w:rPr>
          <w:rStyle w:val="normaltextrun"/>
          <w:rFonts w:cs="Arial"/>
          <w:szCs w:val="21"/>
        </w:rPr>
        <w:t>,</w:t>
      </w:r>
      <w:r w:rsidR="00040B69">
        <w:rPr>
          <w:rStyle w:val="normaltextrun"/>
          <w:rFonts w:cs="Arial"/>
          <w:szCs w:val="21"/>
        </w:rPr>
        <w:t xml:space="preserve"> and if </w:t>
      </w:r>
      <w:proofErr w:type="gramStart"/>
      <w:r w:rsidR="00040B69">
        <w:rPr>
          <w:rStyle w:val="normaltextrun"/>
          <w:rFonts w:cs="Arial"/>
          <w:szCs w:val="21"/>
        </w:rPr>
        <w:t>necessary</w:t>
      </w:r>
      <w:proofErr w:type="gramEnd"/>
      <w:r>
        <w:rPr>
          <w:rStyle w:val="normaltextrun"/>
          <w:rFonts w:cs="Arial"/>
          <w:szCs w:val="21"/>
        </w:rPr>
        <w:t xml:space="preserve"> update</w:t>
      </w:r>
      <w:r w:rsidR="00440040">
        <w:rPr>
          <w:rStyle w:val="normaltextrun"/>
          <w:rFonts w:cs="Arial"/>
          <w:szCs w:val="21"/>
        </w:rPr>
        <w:t>,</w:t>
      </w:r>
      <w:r>
        <w:rPr>
          <w:rStyle w:val="normaltextrun"/>
          <w:rFonts w:cs="Arial"/>
          <w:szCs w:val="21"/>
        </w:rPr>
        <w:t xml:space="preserve"> your processes to</w:t>
      </w:r>
      <w:r w:rsidR="00F615FF">
        <w:rPr>
          <w:rStyle w:val="normaltextrun"/>
          <w:rFonts w:cs="Arial"/>
          <w:szCs w:val="21"/>
        </w:rPr>
        <w:t xml:space="preserve"> </w:t>
      </w:r>
      <w:r>
        <w:rPr>
          <w:rStyle w:val="normaltextrun"/>
          <w:rFonts w:cs="Arial"/>
          <w:szCs w:val="21"/>
        </w:rPr>
        <w:t xml:space="preserve">reflect </w:t>
      </w:r>
      <w:r w:rsidR="00040B69">
        <w:rPr>
          <w:rStyle w:val="normaltextrun"/>
          <w:rFonts w:cs="Arial"/>
          <w:szCs w:val="21"/>
        </w:rPr>
        <w:t>the new requirements</w:t>
      </w:r>
      <w:r w:rsidR="007E47C3">
        <w:rPr>
          <w:rStyle w:val="normaltextrun"/>
          <w:rFonts w:cs="Arial"/>
          <w:szCs w:val="21"/>
        </w:rPr>
        <w:t xml:space="preserve"> in </w:t>
      </w:r>
      <w:r w:rsidR="003A3C47">
        <w:rPr>
          <w:rStyle w:val="normaltextrun"/>
          <w:rFonts w:cs="Arial"/>
          <w:szCs w:val="21"/>
        </w:rPr>
        <w:t>Regulation</w:t>
      </w:r>
      <w:r w:rsidR="007E47C3">
        <w:rPr>
          <w:rStyle w:val="normaltextrun"/>
          <w:rFonts w:cs="Arial"/>
          <w:szCs w:val="21"/>
        </w:rPr>
        <w:t xml:space="preserve">s </w:t>
      </w:r>
      <w:r w:rsidR="001513FD" w:rsidRPr="000419E2">
        <w:rPr>
          <w:rStyle w:val="normaltextrun"/>
          <w:rFonts w:cs="Arial"/>
          <w:szCs w:val="21"/>
        </w:rPr>
        <w:t>25, 26 and 28</w:t>
      </w:r>
      <w:r w:rsidR="00040B69">
        <w:rPr>
          <w:rStyle w:val="normaltextrun"/>
          <w:rFonts w:cs="Arial"/>
          <w:szCs w:val="21"/>
        </w:rPr>
        <w:t xml:space="preserve">. </w:t>
      </w:r>
      <w:r w:rsidR="003A09D1">
        <w:rPr>
          <w:rStyle w:val="normaltextrun"/>
          <w:rFonts w:cs="Arial"/>
          <w:szCs w:val="21"/>
        </w:rPr>
        <w:t xml:space="preserve"> </w:t>
      </w:r>
    </w:p>
    <w:p w14:paraId="59717507" w14:textId="3C15F5F2" w:rsidR="005E4B8B" w:rsidRPr="00C15716" w:rsidRDefault="005E4B8B" w:rsidP="00216EB3">
      <w:pPr>
        <w:pStyle w:val="Bullet1"/>
        <w:rPr>
          <w:rStyle w:val="normaltextrun"/>
          <w:rFonts w:cs="Arial"/>
          <w:szCs w:val="21"/>
        </w:rPr>
      </w:pPr>
      <w:r w:rsidRPr="00C15716">
        <w:rPr>
          <w:rStyle w:val="normaltextrun"/>
          <w:rFonts w:cs="Arial"/>
          <w:szCs w:val="21"/>
        </w:rPr>
        <w:t>Review</w:t>
      </w:r>
      <w:r w:rsidR="007E47C3" w:rsidRPr="00C15716">
        <w:rPr>
          <w:rStyle w:val="normaltextrun"/>
          <w:rFonts w:cs="Arial"/>
          <w:szCs w:val="21"/>
        </w:rPr>
        <w:t xml:space="preserve">, </w:t>
      </w:r>
      <w:r w:rsidRPr="00C15716">
        <w:rPr>
          <w:rStyle w:val="normaltextrun"/>
          <w:rFonts w:cs="Arial"/>
          <w:szCs w:val="21"/>
        </w:rPr>
        <w:t xml:space="preserve">and if </w:t>
      </w:r>
      <w:proofErr w:type="gramStart"/>
      <w:r w:rsidRPr="00C15716">
        <w:rPr>
          <w:rStyle w:val="normaltextrun"/>
          <w:rFonts w:cs="Arial"/>
          <w:szCs w:val="21"/>
        </w:rPr>
        <w:t>necessary</w:t>
      </w:r>
      <w:proofErr w:type="gramEnd"/>
      <w:r w:rsidRPr="00C15716">
        <w:rPr>
          <w:rStyle w:val="normaltextrun"/>
          <w:rFonts w:cs="Arial"/>
          <w:szCs w:val="21"/>
        </w:rPr>
        <w:t xml:space="preserve"> update</w:t>
      </w:r>
      <w:r w:rsidR="007E47C3" w:rsidRPr="00C15716">
        <w:rPr>
          <w:rStyle w:val="normaltextrun"/>
          <w:rFonts w:cs="Arial"/>
          <w:szCs w:val="21"/>
        </w:rPr>
        <w:t>,</w:t>
      </w:r>
      <w:r w:rsidRPr="00C15716">
        <w:rPr>
          <w:rStyle w:val="normaltextrun"/>
          <w:rFonts w:cs="Arial"/>
          <w:szCs w:val="21"/>
        </w:rPr>
        <w:t xml:space="preserve"> your discharge documentation for patients</w:t>
      </w:r>
      <w:r w:rsidR="00605BCA" w:rsidRPr="00C15716">
        <w:rPr>
          <w:rStyle w:val="normaltextrun"/>
          <w:rFonts w:cs="Arial"/>
          <w:szCs w:val="21"/>
        </w:rPr>
        <w:t>,</w:t>
      </w:r>
      <w:r w:rsidRPr="00C15716">
        <w:rPr>
          <w:rStyle w:val="normaltextrun"/>
          <w:rFonts w:cs="Arial"/>
          <w:szCs w:val="21"/>
        </w:rPr>
        <w:t xml:space="preserve"> to reflect the updated streamlined requirements</w:t>
      </w:r>
      <w:r w:rsidR="007E47C3" w:rsidRPr="00C15716">
        <w:rPr>
          <w:rStyle w:val="normaltextrun"/>
          <w:rFonts w:cs="Arial"/>
          <w:szCs w:val="21"/>
        </w:rPr>
        <w:t>.</w:t>
      </w:r>
      <w:r w:rsidRPr="00C15716">
        <w:rPr>
          <w:rStyle w:val="normaltextrun"/>
          <w:rFonts w:cs="Arial"/>
          <w:szCs w:val="21"/>
        </w:rPr>
        <w:t xml:space="preserve"> </w:t>
      </w:r>
    </w:p>
    <w:p w14:paraId="5F8D763E" w14:textId="7FD98977" w:rsidR="37F17CDB" w:rsidRPr="009C3454" w:rsidRDefault="2081B6D6" w:rsidP="00216EB3">
      <w:pPr>
        <w:pStyle w:val="Bullet1"/>
      </w:pPr>
      <w:r w:rsidRPr="009C3454">
        <w:t>Review</w:t>
      </w:r>
      <w:r w:rsidR="00746A9F" w:rsidRPr="009C3454">
        <w:t>,</w:t>
      </w:r>
      <w:r w:rsidRPr="009C3454">
        <w:t xml:space="preserve"> </w:t>
      </w:r>
      <w:r w:rsidR="00595075" w:rsidRPr="009C3454">
        <w:t xml:space="preserve">and if </w:t>
      </w:r>
      <w:proofErr w:type="gramStart"/>
      <w:r w:rsidR="00595075" w:rsidRPr="009C3454">
        <w:t>necessary</w:t>
      </w:r>
      <w:proofErr w:type="gramEnd"/>
      <w:r w:rsidR="00595075" w:rsidRPr="009C3454">
        <w:t xml:space="preserve"> update</w:t>
      </w:r>
      <w:r w:rsidR="00746A9F" w:rsidRPr="009C3454">
        <w:t>,</w:t>
      </w:r>
      <w:r w:rsidR="00595075" w:rsidRPr="009C3454">
        <w:t xml:space="preserve"> </w:t>
      </w:r>
      <w:r w:rsidRPr="009C3454">
        <w:t>documentation provided to patients to ensure it includes information regarding likely out of pocket expenses, including from third parties</w:t>
      </w:r>
      <w:r w:rsidR="00A64E38">
        <w:t>.</w:t>
      </w:r>
    </w:p>
    <w:p w14:paraId="5E36F6C2" w14:textId="4F97AE72" w:rsidR="37F17CDB" w:rsidRPr="009C3454" w:rsidRDefault="2081B6D6" w:rsidP="00216EB3">
      <w:pPr>
        <w:pStyle w:val="Bullet1"/>
        <w:rPr>
          <w:rFonts w:eastAsia="Arial" w:cs="Arial"/>
          <w:szCs w:val="21"/>
        </w:rPr>
      </w:pPr>
      <w:r w:rsidRPr="009C3454">
        <w:rPr>
          <w:rFonts w:eastAsia="Arial" w:cs="Arial"/>
          <w:szCs w:val="21"/>
        </w:rPr>
        <w:t>Display your certificate of accreditation in a prominent location</w:t>
      </w:r>
      <w:r w:rsidR="00A64E38">
        <w:rPr>
          <w:rFonts w:eastAsia="Arial" w:cs="Arial"/>
          <w:szCs w:val="21"/>
        </w:rPr>
        <w:t>.</w:t>
      </w:r>
    </w:p>
    <w:p w14:paraId="5B9BAB36" w14:textId="573575A0" w:rsidR="007E47C3" w:rsidRPr="003B0B1A" w:rsidRDefault="007E47C3" w:rsidP="00216EB3">
      <w:pPr>
        <w:pStyle w:val="Bullet1"/>
        <w:rPr>
          <w:rStyle w:val="normaltextrun"/>
          <w:rFonts w:eastAsia="Times New Roman" w:cs="Arial"/>
          <w:szCs w:val="21"/>
          <w:lang w:eastAsia="en-AU"/>
        </w:rPr>
      </w:pPr>
      <w:r w:rsidRPr="00216EB3">
        <w:t xml:space="preserve">If you are a mobile service, </w:t>
      </w:r>
      <w:r w:rsidR="00304870">
        <w:rPr>
          <w:rStyle w:val="normaltextrun"/>
          <w:rFonts w:eastAsiaTheme="majorEastAsia" w:cs="Arial"/>
          <w:szCs w:val="21"/>
        </w:rPr>
        <w:t>ensure you continue reporting data</w:t>
      </w:r>
      <w:r w:rsidR="00746A9F">
        <w:rPr>
          <w:rStyle w:val="normaltextrun"/>
          <w:rFonts w:eastAsiaTheme="majorEastAsia" w:cs="Arial"/>
          <w:szCs w:val="21"/>
        </w:rPr>
        <w:t>,</w:t>
      </w:r>
      <w:r w:rsidR="00304870">
        <w:rPr>
          <w:rStyle w:val="normaltextrun"/>
          <w:rFonts w:eastAsiaTheme="majorEastAsia" w:cs="Arial"/>
          <w:szCs w:val="21"/>
        </w:rPr>
        <w:t xml:space="preserve"> as </w:t>
      </w:r>
      <w:r w:rsidR="00746A9F">
        <w:rPr>
          <w:rStyle w:val="normaltextrun"/>
          <w:rFonts w:eastAsiaTheme="majorEastAsia" w:cs="Arial"/>
          <w:szCs w:val="21"/>
        </w:rPr>
        <w:t>no</w:t>
      </w:r>
      <w:r w:rsidR="00432CAD">
        <w:rPr>
          <w:rStyle w:val="normaltextrun"/>
          <w:rFonts w:eastAsiaTheme="majorEastAsia" w:cs="Arial"/>
          <w:szCs w:val="21"/>
        </w:rPr>
        <w:t>w</w:t>
      </w:r>
      <w:r w:rsidR="00746A9F">
        <w:rPr>
          <w:rStyle w:val="normaltextrun"/>
          <w:rFonts w:eastAsiaTheme="majorEastAsia" w:cs="Arial"/>
          <w:szCs w:val="21"/>
        </w:rPr>
        <w:t xml:space="preserve"> formally required in the Regulations and </w:t>
      </w:r>
      <w:r w:rsidR="00304870">
        <w:rPr>
          <w:rStyle w:val="normaltextrun"/>
          <w:rFonts w:eastAsiaTheme="majorEastAsia" w:cs="Arial"/>
          <w:szCs w:val="21"/>
        </w:rPr>
        <w:t xml:space="preserve">set out in the Secretary </w:t>
      </w:r>
      <w:r w:rsidR="009F7E3D" w:rsidRPr="009F7E3D">
        <w:t>determination.</w:t>
      </w:r>
    </w:p>
    <w:p w14:paraId="0C06960A" w14:textId="1B29A162" w:rsidR="00CA3065" w:rsidRPr="003B0B1A" w:rsidRDefault="00CA3065" w:rsidP="00216EB3">
      <w:pPr>
        <w:pStyle w:val="Bullet1"/>
        <w:rPr>
          <w:rStyle w:val="normaltextrun"/>
          <w:rFonts w:eastAsia="Times New Roman" w:cs="Arial"/>
          <w:szCs w:val="21"/>
        </w:rPr>
      </w:pPr>
      <w:r w:rsidRPr="00216EB3">
        <w:t>Ensure that your proces</w:t>
      </w:r>
      <w:r>
        <w:rPr>
          <w:rStyle w:val="normaltextrun"/>
          <w:rFonts w:eastAsiaTheme="majorEastAsia" w:cs="Arial"/>
          <w:szCs w:val="21"/>
        </w:rPr>
        <w:t xml:space="preserve">ses for recording and reviewing information about </w:t>
      </w:r>
      <w:r w:rsidR="002F0662">
        <w:rPr>
          <w:rStyle w:val="normaltextrun"/>
          <w:rFonts w:eastAsiaTheme="majorEastAsia" w:cs="Arial"/>
          <w:szCs w:val="21"/>
        </w:rPr>
        <w:t xml:space="preserve">key quality and safety </w:t>
      </w:r>
      <w:r w:rsidR="003B2906">
        <w:rPr>
          <w:rStyle w:val="normaltextrun"/>
          <w:rFonts w:eastAsiaTheme="majorEastAsia" w:cs="Arial"/>
          <w:szCs w:val="21"/>
        </w:rPr>
        <w:t xml:space="preserve">indicators </w:t>
      </w:r>
      <w:r w:rsidR="00731E97">
        <w:rPr>
          <w:rStyle w:val="normaltextrun"/>
          <w:rFonts w:eastAsiaTheme="majorEastAsia" w:cs="Arial"/>
          <w:szCs w:val="21"/>
        </w:rPr>
        <w:t xml:space="preserve">includes </w:t>
      </w:r>
      <w:r w:rsidR="00C325EA">
        <w:rPr>
          <w:rStyle w:val="normaltextrun"/>
          <w:rFonts w:eastAsiaTheme="majorEastAsia" w:cs="Arial"/>
          <w:szCs w:val="21"/>
        </w:rPr>
        <w:t xml:space="preserve">information about patients transferred out of your facility for escalation of care. </w:t>
      </w:r>
    </w:p>
    <w:p w14:paraId="1A4FF7B0" w14:textId="74E09E9C" w:rsidR="00C15716" w:rsidRPr="003B0B1A" w:rsidRDefault="00C15716" w:rsidP="00216EB3">
      <w:pPr>
        <w:pStyle w:val="Bullet1"/>
        <w:rPr>
          <w:rStyle w:val="normaltextrun"/>
          <w:rFonts w:eastAsia="Times New Roman" w:cs="Arial"/>
          <w:szCs w:val="21"/>
        </w:rPr>
      </w:pPr>
      <w:r w:rsidRPr="00216EB3">
        <w:t xml:space="preserve">Be aware that </w:t>
      </w:r>
      <w:r w:rsidR="00D26E68">
        <w:t>quality and safety</w:t>
      </w:r>
      <w:r w:rsidRPr="00216EB3">
        <w:t xml:space="preserve"> information recorded and reviewed </w:t>
      </w:r>
      <w:r w:rsidR="003A7E9B">
        <w:rPr>
          <w:rStyle w:val="normaltextrun"/>
          <w:rFonts w:eastAsiaTheme="majorEastAsia" w:cs="Arial"/>
          <w:szCs w:val="21"/>
        </w:rPr>
        <w:t xml:space="preserve">must be made available to the Secretary on request. </w:t>
      </w:r>
    </w:p>
    <w:p w14:paraId="0948FB39" w14:textId="4F5580E4" w:rsidR="005E13C6" w:rsidRPr="006559FB" w:rsidRDefault="005E13C6" w:rsidP="00216EB3">
      <w:pPr>
        <w:pStyle w:val="Bullet1"/>
        <w:rPr>
          <w:rStyle w:val="normaltextrun"/>
          <w:rFonts w:cs="Arial"/>
          <w:szCs w:val="21"/>
        </w:rPr>
      </w:pPr>
      <w:r w:rsidRPr="00216EB3">
        <w:t xml:space="preserve">Update your quality and safety protocols before 31 August 2025 to include the </w:t>
      </w:r>
      <w:r w:rsidR="00BA5F34">
        <w:t xml:space="preserve">new </w:t>
      </w:r>
      <w:r w:rsidRPr="00216EB3">
        <w:t xml:space="preserve">matters required under Regulation </w:t>
      </w:r>
      <w:r w:rsidR="006A0596" w:rsidRPr="003B0B1A">
        <w:rPr>
          <w:rStyle w:val="normaltextrun"/>
          <w:rFonts w:eastAsiaTheme="majorEastAsia" w:cs="Arial"/>
          <w:szCs w:val="21"/>
        </w:rPr>
        <w:t>8</w:t>
      </w:r>
      <w:r w:rsidR="0080009D">
        <w:rPr>
          <w:rStyle w:val="normaltextrun"/>
          <w:rFonts w:eastAsiaTheme="majorEastAsia" w:cs="Arial"/>
          <w:szCs w:val="21"/>
        </w:rPr>
        <w:t>(3)</w:t>
      </w:r>
      <w:r w:rsidR="00A85722" w:rsidRPr="003B0B1A">
        <w:rPr>
          <w:rStyle w:val="normaltextrun"/>
          <w:rFonts w:eastAsiaTheme="majorEastAsia" w:cs="Arial"/>
          <w:szCs w:val="21"/>
        </w:rPr>
        <w:t>.</w:t>
      </w:r>
    </w:p>
    <w:p w14:paraId="4FDA713A" w14:textId="6831BB09" w:rsidR="005E13C6" w:rsidRPr="006559FB" w:rsidRDefault="005E13C6" w:rsidP="00216EB3">
      <w:pPr>
        <w:pStyle w:val="Bullet1"/>
        <w:rPr>
          <w:rStyle w:val="normaltextrun"/>
          <w:rFonts w:cs="Arial"/>
          <w:szCs w:val="21"/>
        </w:rPr>
      </w:pPr>
      <w:r w:rsidRPr="00216EB3">
        <w:t>Be a</w:t>
      </w:r>
      <w:r>
        <w:rPr>
          <w:rStyle w:val="normaltextrun"/>
          <w:rFonts w:eastAsiaTheme="majorEastAsia" w:cs="Arial"/>
          <w:szCs w:val="21"/>
        </w:rPr>
        <w:t>ware that from 28 February 2026 the Secretary may review your quality and safety protocols</w:t>
      </w:r>
      <w:r w:rsidR="001A7EED">
        <w:rPr>
          <w:rStyle w:val="normaltextrun"/>
          <w:rFonts w:eastAsiaTheme="majorEastAsia" w:cs="Arial"/>
          <w:szCs w:val="21"/>
        </w:rPr>
        <w:t xml:space="preserve"> and issue </w:t>
      </w:r>
      <w:r w:rsidR="00375BD2">
        <w:rPr>
          <w:rStyle w:val="normaltextrun"/>
          <w:rFonts w:eastAsiaTheme="majorEastAsia" w:cs="Arial"/>
          <w:szCs w:val="21"/>
        </w:rPr>
        <w:t xml:space="preserve">a direction to </w:t>
      </w:r>
      <w:r w:rsidR="006667EE">
        <w:rPr>
          <w:rStyle w:val="normaltextrun"/>
          <w:rFonts w:eastAsiaTheme="majorEastAsia" w:cs="Arial"/>
          <w:szCs w:val="21"/>
        </w:rPr>
        <w:t>update your protocols.</w:t>
      </w:r>
      <w:r>
        <w:rPr>
          <w:rStyle w:val="normaltextrun"/>
          <w:rFonts w:eastAsiaTheme="majorEastAsia" w:cs="Arial"/>
          <w:szCs w:val="21"/>
        </w:rPr>
        <w:t xml:space="preserve"> </w:t>
      </w:r>
    </w:p>
    <w:p w14:paraId="6E4354F1" w14:textId="68F49372" w:rsidR="002E3697" w:rsidRDefault="002E3697" w:rsidP="00DC442A">
      <w:pPr>
        <w:pStyle w:val="Heading2"/>
      </w:pPr>
      <w:bookmarkStart w:id="16" w:name="_Toc174547552"/>
      <w:r>
        <w:t>What the Health Regulator</w:t>
      </w:r>
      <w:r w:rsidR="003516EB">
        <w:t xml:space="preserve"> and Safer Care Victoria</w:t>
      </w:r>
      <w:r>
        <w:t xml:space="preserve"> will do</w:t>
      </w:r>
      <w:bookmarkEnd w:id="16"/>
      <w:r>
        <w:t xml:space="preserve"> </w:t>
      </w:r>
    </w:p>
    <w:p w14:paraId="41D61E24" w14:textId="417C2D0D" w:rsidR="003516EB" w:rsidRPr="006559FB" w:rsidRDefault="003516EB" w:rsidP="00216EB3">
      <w:pPr>
        <w:pStyle w:val="Bullet1"/>
        <w:rPr>
          <w:rStyle w:val="normaltextrun"/>
          <w:rFonts w:cs="Arial"/>
          <w:szCs w:val="21"/>
        </w:rPr>
      </w:pPr>
      <w:r w:rsidRPr="00216EB3">
        <w:t>The H</w:t>
      </w:r>
      <w:r w:rsidR="00BE2382">
        <w:rPr>
          <w:rStyle w:val="normaltextrun"/>
          <w:rFonts w:eastAsiaTheme="majorEastAsia" w:cs="Arial"/>
          <w:szCs w:val="21"/>
        </w:rPr>
        <w:t xml:space="preserve">ealth Regulator and Safer Care Victoria will continue to provide information to HSEs as needed about their obligations under the Regulations and how HSEs can comply. </w:t>
      </w:r>
    </w:p>
    <w:p w14:paraId="3A07A48D" w14:textId="39CF83F5" w:rsidR="0048476E" w:rsidRPr="00232B31" w:rsidRDefault="00BE2382" w:rsidP="00232B31">
      <w:pPr>
        <w:pStyle w:val="Bullet1"/>
        <w:rPr>
          <w:rFonts w:cs="Arial"/>
          <w:szCs w:val="21"/>
        </w:rPr>
      </w:pPr>
      <w:r w:rsidRPr="00216EB3">
        <w:t>The Health Regulator will continue to monito</w:t>
      </w:r>
      <w:r w:rsidR="00B500D1">
        <w:rPr>
          <w:rStyle w:val="normaltextrun"/>
          <w:rFonts w:eastAsiaTheme="majorEastAsia" w:cs="Arial"/>
          <w:szCs w:val="21"/>
        </w:rPr>
        <w:t xml:space="preserve">r compliance with the Regulations and the Act, </w:t>
      </w:r>
      <w:r w:rsidR="00031483">
        <w:rPr>
          <w:rStyle w:val="normaltextrun"/>
          <w:rFonts w:eastAsiaTheme="majorEastAsia" w:cs="Arial"/>
          <w:szCs w:val="21"/>
        </w:rPr>
        <w:t xml:space="preserve">including </w:t>
      </w:r>
      <w:r w:rsidR="00B500D1">
        <w:rPr>
          <w:rStyle w:val="normaltextrun"/>
          <w:rFonts w:eastAsiaTheme="majorEastAsia" w:cs="Arial"/>
          <w:szCs w:val="21"/>
        </w:rPr>
        <w:t>through</w:t>
      </w:r>
      <w:r w:rsidR="002D1A11">
        <w:rPr>
          <w:rStyle w:val="normaltextrun"/>
          <w:rFonts w:eastAsiaTheme="majorEastAsia" w:cs="Arial"/>
          <w:szCs w:val="21"/>
        </w:rPr>
        <w:t xml:space="preserve"> data reported</w:t>
      </w:r>
      <w:r w:rsidR="009B6D1B">
        <w:rPr>
          <w:rStyle w:val="normaltextrun"/>
          <w:rFonts w:eastAsiaTheme="majorEastAsia" w:cs="Arial"/>
          <w:szCs w:val="21"/>
        </w:rPr>
        <w:t xml:space="preserve"> by HSEs and </w:t>
      </w:r>
      <w:r w:rsidR="002D1A11">
        <w:rPr>
          <w:rStyle w:val="normaltextrun"/>
          <w:rFonts w:eastAsiaTheme="majorEastAsia" w:cs="Arial"/>
          <w:szCs w:val="21"/>
        </w:rPr>
        <w:t>other intelligence</w:t>
      </w:r>
      <w:r w:rsidR="009B6D1B">
        <w:rPr>
          <w:rStyle w:val="normaltextrun"/>
          <w:rFonts w:eastAsiaTheme="majorEastAsia" w:cs="Arial"/>
          <w:szCs w:val="21"/>
        </w:rPr>
        <w:t>,</w:t>
      </w:r>
      <w:r w:rsidR="002D1A11">
        <w:rPr>
          <w:rStyle w:val="normaltextrun"/>
          <w:rFonts w:eastAsiaTheme="majorEastAsia" w:cs="Arial"/>
          <w:szCs w:val="21"/>
        </w:rPr>
        <w:t xml:space="preserve"> and through risk-based and periodic inspections of HSEs. </w:t>
      </w:r>
      <w:r w:rsidR="00BB58DA">
        <w:rPr>
          <w:rStyle w:val="normaltextrun"/>
          <w:rFonts w:eastAsiaTheme="majorEastAsia" w:cs="Arial"/>
          <w:szCs w:val="21"/>
        </w:rPr>
        <w:t xml:space="preserve">Where risk or non-compliance is identified, the Health Regulator seeks to </w:t>
      </w:r>
      <w:r w:rsidR="00C14281">
        <w:rPr>
          <w:rStyle w:val="normaltextrun"/>
          <w:rFonts w:eastAsiaTheme="majorEastAsia" w:cs="Arial"/>
          <w:szCs w:val="21"/>
        </w:rPr>
        <w:t xml:space="preserve">respond in a timely and </w:t>
      </w:r>
      <w:r w:rsidR="00BB58DA">
        <w:rPr>
          <w:rStyle w:val="normaltextrun"/>
          <w:rFonts w:eastAsiaTheme="majorEastAsia" w:cs="Arial"/>
          <w:szCs w:val="21"/>
        </w:rPr>
        <w:t xml:space="preserve">proportionate </w:t>
      </w:r>
      <w:r w:rsidR="00C14281">
        <w:rPr>
          <w:rStyle w:val="normaltextrun"/>
          <w:rFonts w:eastAsiaTheme="majorEastAsia" w:cs="Arial"/>
          <w:szCs w:val="21"/>
        </w:rPr>
        <w:t>manner</w:t>
      </w:r>
      <w:r w:rsidR="006652D3">
        <w:rPr>
          <w:rStyle w:val="normaltextrun"/>
          <w:rFonts w:eastAsiaTheme="majorEastAsia" w:cs="Arial"/>
          <w:szCs w:val="21"/>
        </w:rPr>
        <w:t xml:space="preserve">. A common first step is </w:t>
      </w:r>
      <w:r w:rsidR="00031483">
        <w:rPr>
          <w:rStyle w:val="normaltextrun"/>
          <w:rFonts w:eastAsiaTheme="majorEastAsia" w:cs="Arial"/>
          <w:szCs w:val="21"/>
        </w:rPr>
        <w:t xml:space="preserve">seeking further information or documentation from the HSE. </w:t>
      </w:r>
      <w:r w:rsidR="00BB58DA">
        <w:rPr>
          <w:rStyle w:val="normaltextrun"/>
          <w:rFonts w:eastAsiaTheme="majorEastAsia" w:cs="Arial"/>
          <w:szCs w:val="21"/>
        </w:rPr>
        <w:t xml:space="preserve"> </w:t>
      </w:r>
      <w:r w:rsidR="002D1A11">
        <w:rPr>
          <w:rStyle w:val="normaltextrun"/>
          <w:rFonts w:eastAsiaTheme="majorEastAsia" w:cs="Arial"/>
          <w:szCs w:val="21"/>
        </w:rPr>
        <w:t xml:space="preserve"> </w:t>
      </w:r>
    </w:p>
    <w:p w14:paraId="2C092619" w14:textId="77777777" w:rsidR="000B4C2D" w:rsidRDefault="000B4C2D">
      <w:pPr>
        <w:spacing w:after="0" w:line="240" w:lineRule="auto"/>
        <w:rPr>
          <w:rFonts w:eastAsia="MS Gothic" w:cs="Arial"/>
          <w:bCs/>
          <w:color w:val="C5511A"/>
          <w:kern w:val="32"/>
          <w:sz w:val="40"/>
          <w:szCs w:val="40"/>
        </w:rPr>
      </w:pPr>
      <w:r>
        <w:br w:type="page"/>
      </w:r>
    </w:p>
    <w:p w14:paraId="1CD01F13" w14:textId="7ACEC941" w:rsidR="002A6914" w:rsidRPr="00CD132D" w:rsidRDefault="00CD132D" w:rsidP="0055580D">
      <w:pPr>
        <w:pStyle w:val="Heading1"/>
        <w:rPr>
          <w:rStyle w:val="eop"/>
          <w:rFonts w:eastAsia="Times" w:cs="Times New Roman"/>
          <w:color w:val="auto"/>
          <w:kern w:val="0"/>
          <w:sz w:val="21"/>
          <w:szCs w:val="20"/>
        </w:rPr>
      </w:pPr>
      <w:bookmarkStart w:id="17" w:name="_Appendix_1"/>
      <w:bookmarkStart w:id="18" w:name="_Toc174547553"/>
      <w:bookmarkEnd w:id="17"/>
      <w:r>
        <w:lastRenderedPageBreak/>
        <w:t>Appendix 1</w:t>
      </w:r>
      <w:bookmarkEnd w:id="18"/>
    </w:p>
    <w:p w14:paraId="7744EA0D" w14:textId="4046F6A9" w:rsidR="002A6914" w:rsidRDefault="004E5E31" w:rsidP="002A6914">
      <w:pPr>
        <w:pStyle w:val="Tablecaption"/>
      </w:pPr>
      <w:r>
        <w:t xml:space="preserve">Table 1: </w:t>
      </w:r>
      <w:r w:rsidR="00CD132D">
        <w:t>Summary of changes from the 2013 Regulations</w:t>
      </w: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128"/>
        <w:gridCol w:w="3899"/>
        <w:gridCol w:w="3899"/>
        <w:gridCol w:w="1559"/>
      </w:tblGrid>
      <w:tr w:rsidR="002A6914" w14:paraId="1A16D8FB" w14:textId="77777777" w:rsidTr="003B0B1A">
        <w:trPr>
          <w:tblHeader/>
        </w:trPr>
        <w:tc>
          <w:tcPr>
            <w:tcW w:w="1128" w:type="dxa"/>
          </w:tcPr>
          <w:p w14:paraId="29D3DFDF" w14:textId="2DFF9075" w:rsidR="002A6914" w:rsidRPr="00CB3285" w:rsidRDefault="00CD132D">
            <w:pPr>
              <w:pStyle w:val="Tablecolhead"/>
            </w:pPr>
            <w:r>
              <w:t>F</w:t>
            </w:r>
            <w:r w:rsidR="002A6914">
              <w:t>ormer</w:t>
            </w:r>
            <w:r>
              <w:t xml:space="preserve"> </w:t>
            </w:r>
            <w:r w:rsidR="00FB5322">
              <w:t>reg</w:t>
            </w:r>
            <w:r w:rsidR="002A6914">
              <w:t xml:space="preserve"> no. </w:t>
            </w:r>
            <w:r w:rsidR="0046067F">
              <w:rPr>
                <w:color w:val="FF0000"/>
              </w:rPr>
              <w:t xml:space="preserve">New reg </w:t>
            </w:r>
            <w:r w:rsidR="002A6914" w:rsidRPr="00CD132D">
              <w:rPr>
                <w:color w:val="FF0000"/>
              </w:rPr>
              <w:t>no</w:t>
            </w:r>
            <w:r>
              <w:rPr>
                <w:color w:val="FF0000"/>
              </w:rPr>
              <w:t>.</w:t>
            </w:r>
          </w:p>
        </w:tc>
        <w:tc>
          <w:tcPr>
            <w:tcW w:w="3899" w:type="dxa"/>
          </w:tcPr>
          <w:p w14:paraId="40403E43" w14:textId="2397EEF4" w:rsidR="002A6914" w:rsidRDefault="00CD132D">
            <w:pPr>
              <w:pStyle w:val="Tablecolhead"/>
            </w:pPr>
            <w:r>
              <w:t>Amendment</w:t>
            </w:r>
          </w:p>
        </w:tc>
        <w:tc>
          <w:tcPr>
            <w:tcW w:w="3899" w:type="dxa"/>
          </w:tcPr>
          <w:p w14:paraId="7BA1586B" w14:textId="0689735F" w:rsidR="002A6914" w:rsidRDefault="002A6914">
            <w:pPr>
              <w:pStyle w:val="Tablecolhead"/>
            </w:pPr>
            <w:r>
              <w:t>Rationale</w:t>
            </w:r>
          </w:p>
        </w:tc>
        <w:tc>
          <w:tcPr>
            <w:tcW w:w="1559" w:type="dxa"/>
          </w:tcPr>
          <w:p w14:paraId="77C9F708" w14:textId="77777777" w:rsidR="002A6914" w:rsidRDefault="002A6914">
            <w:pPr>
              <w:pStyle w:val="Tablecolhead"/>
            </w:pPr>
            <w:r>
              <w:t>Date commencing</w:t>
            </w:r>
          </w:p>
        </w:tc>
      </w:tr>
      <w:tr w:rsidR="002A6914" w:rsidRPr="0015730E" w14:paraId="3D9E7C8A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  <w:hideMark/>
          </w:tcPr>
          <w:p w14:paraId="2541244D" w14:textId="77777777" w:rsidR="002A6914" w:rsidRPr="002B3C70" w:rsidRDefault="002A6914" w:rsidP="00913406">
            <w:pPr>
              <w:pStyle w:val="Tabletext"/>
            </w:pPr>
            <w:r w:rsidRPr="002B3C70">
              <w:t>1(a)</w:t>
            </w:r>
          </w:p>
          <w:p w14:paraId="4F1A68D3" w14:textId="77777777" w:rsidR="002A6914" w:rsidRPr="002B3C70" w:rsidRDefault="002A6914" w:rsidP="00913406">
            <w:pPr>
              <w:pStyle w:val="Tabletext"/>
            </w:pPr>
          </w:p>
        </w:tc>
        <w:tc>
          <w:tcPr>
            <w:tcW w:w="3899" w:type="dxa"/>
            <w:hideMark/>
          </w:tcPr>
          <w:p w14:paraId="4334521A" w14:textId="77777777" w:rsidR="002A6914" w:rsidRPr="000B6473" w:rsidRDefault="002A6914" w:rsidP="00913406">
            <w:pPr>
              <w:pStyle w:val="Tabletext"/>
              <w:rPr>
                <w:b/>
              </w:rPr>
            </w:pPr>
            <w:r w:rsidRPr="000B6473">
              <w:rPr>
                <w:b/>
              </w:rPr>
              <w:t xml:space="preserve">Objectives </w:t>
            </w:r>
          </w:p>
          <w:p w14:paraId="493E750E" w14:textId="79B8A957" w:rsidR="002A6914" w:rsidRPr="002B3C70" w:rsidRDefault="002A6914" w:rsidP="00913406">
            <w:pPr>
              <w:pStyle w:val="Tabletext"/>
              <w:rPr>
                <w:rFonts w:cs="Arial"/>
                <w:lang w:eastAsia="en-AU"/>
              </w:rPr>
            </w:pPr>
            <w:r w:rsidRPr="002B3C70">
              <w:rPr>
                <w:rFonts w:cs="Arial"/>
              </w:rPr>
              <w:t xml:space="preserve">Addition of </w:t>
            </w:r>
            <w:r w:rsidR="009F515C" w:rsidRPr="002B3C70">
              <w:rPr>
                <w:rFonts w:cs="Arial"/>
              </w:rPr>
              <w:t>‘</w:t>
            </w:r>
            <w:r w:rsidRPr="002B3C70">
              <w:rPr>
                <w:rFonts w:cs="Arial"/>
                <w:lang w:eastAsia="en-AU"/>
              </w:rPr>
              <w:t>reporting requirements</w:t>
            </w:r>
            <w:r w:rsidR="009F515C">
              <w:rPr>
                <w:rFonts w:cs="Arial"/>
                <w:lang w:eastAsia="en-AU"/>
              </w:rPr>
              <w:t>’</w:t>
            </w:r>
            <w:r w:rsidRPr="002B3C70">
              <w:rPr>
                <w:rFonts w:cs="Arial"/>
                <w:lang w:eastAsia="en-AU"/>
              </w:rPr>
              <w:t xml:space="preserve"> and</w:t>
            </w:r>
            <w:r w:rsidRPr="002B3C70">
              <w:rPr>
                <w:rFonts w:cs="Arial"/>
              </w:rPr>
              <w:t xml:space="preserve"> </w:t>
            </w:r>
            <w:r w:rsidR="00D85C15" w:rsidRPr="002B3C70">
              <w:rPr>
                <w:rFonts w:cs="Arial"/>
              </w:rPr>
              <w:t>‘</w:t>
            </w:r>
            <w:r w:rsidRPr="002B3C70">
              <w:rPr>
                <w:lang w:eastAsia="en-AU"/>
              </w:rPr>
              <w:t>requirements for health service establishment protocols for quality and safety</w:t>
            </w:r>
            <w:r w:rsidR="00D85C15" w:rsidRPr="002B3C70">
              <w:rPr>
                <w:lang w:eastAsia="en-AU"/>
              </w:rPr>
              <w:t>’</w:t>
            </w:r>
            <w:r w:rsidRPr="002B3C70">
              <w:t>.</w:t>
            </w:r>
          </w:p>
          <w:p w14:paraId="7C1D6A1B" w14:textId="77777777" w:rsidR="002A6914" w:rsidRPr="002B3C70" w:rsidRDefault="002A6914" w:rsidP="00913406">
            <w:pPr>
              <w:pStyle w:val="Tabletext"/>
            </w:pPr>
          </w:p>
        </w:tc>
        <w:tc>
          <w:tcPr>
            <w:tcW w:w="3899" w:type="dxa"/>
            <w:hideMark/>
          </w:tcPr>
          <w:p w14:paraId="0F7C8DB7" w14:textId="77777777" w:rsidR="002A6914" w:rsidRPr="00913406" w:rsidRDefault="002A6914" w:rsidP="00913406">
            <w:pPr>
              <w:pStyle w:val="Tabletext"/>
            </w:pPr>
            <w:r w:rsidRPr="00913406">
              <w:t xml:space="preserve">Acknowledges the range of reporting requirements </w:t>
            </w:r>
            <w:r w:rsidRPr="00913406">
              <w:rPr>
                <w:rStyle w:val="normaltextrun"/>
              </w:rPr>
              <w:t xml:space="preserve">for oversight of risk and safety performance at a facility and system level and </w:t>
            </w:r>
            <w:r w:rsidRPr="00913406">
              <w:t>reflects the foundational role of clinical governance in safety and quality at a health service.</w:t>
            </w:r>
          </w:p>
        </w:tc>
        <w:tc>
          <w:tcPr>
            <w:tcW w:w="1559" w:type="dxa"/>
          </w:tcPr>
          <w:p w14:paraId="38555B5B" w14:textId="01127C8C" w:rsidR="002A6914" w:rsidRPr="002B3C70" w:rsidRDefault="002A6914" w:rsidP="00913406">
            <w:pPr>
              <w:pStyle w:val="Tabletext"/>
            </w:pPr>
            <w:r w:rsidRPr="002B3C70">
              <w:t>31</w:t>
            </w:r>
            <w:r w:rsidR="004377C3" w:rsidRPr="002B3C70">
              <w:t xml:space="preserve"> </w:t>
            </w:r>
            <w:r w:rsidRPr="002B3C70">
              <w:t xml:space="preserve">August 2024 </w:t>
            </w:r>
          </w:p>
        </w:tc>
      </w:tr>
      <w:tr w:rsidR="002A6914" w:rsidRPr="0015730E" w14:paraId="0290280A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</w:tcPr>
          <w:p w14:paraId="041C82BE" w14:textId="77777777" w:rsidR="002A6914" w:rsidRPr="002B3C70" w:rsidRDefault="002A6914" w:rsidP="00913406">
            <w:pPr>
              <w:pStyle w:val="Tabletext"/>
            </w:pPr>
            <w:r w:rsidRPr="002B3C70">
              <w:t>7</w:t>
            </w:r>
            <w:proofErr w:type="gramStart"/>
            <w:r w:rsidRPr="002B3C70">
              <w:t>A(</w:t>
            </w:r>
            <w:proofErr w:type="gramEnd"/>
            <w:r w:rsidRPr="002B3C70">
              <w:t>2)</w:t>
            </w:r>
          </w:p>
          <w:p w14:paraId="54D066DF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8(2)</w:t>
            </w:r>
          </w:p>
        </w:tc>
        <w:tc>
          <w:tcPr>
            <w:tcW w:w="3899" w:type="dxa"/>
          </w:tcPr>
          <w:p w14:paraId="5A076D86" w14:textId="77777777" w:rsidR="002A6914" w:rsidRPr="000B6473" w:rsidRDefault="002A6914" w:rsidP="00913406">
            <w:pPr>
              <w:pStyle w:val="Tabletext"/>
              <w:rPr>
                <w:b/>
              </w:rPr>
            </w:pPr>
            <w:r w:rsidRPr="000B6473">
              <w:rPr>
                <w:b/>
              </w:rPr>
              <w:t>Health service establishment protocols for quality and safety</w:t>
            </w:r>
          </w:p>
          <w:p w14:paraId="6A0198D3" w14:textId="15FF217D" w:rsidR="002A6914" w:rsidRPr="002B3C70" w:rsidRDefault="002A6914" w:rsidP="00913406">
            <w:pPr>
              <w:pStyle w:val="Tabletext"/>
            </w:pPr>
            <w:r w:rsidRPr="002B3C70">
              <w:t xml:space="preserve">Added an alternative option to </w:t>
            </w:r>
            <w:r w:rsidR="007F3A2F" w:rsidRPr="002B3C70">
              <w:t xml:space="preserve">the </w:t>
            </w:r>
            <w:r w:rsidRPr="002B3C70">
              <w:t>status quo of publishing protocols on the health service establishment’s website.</w:t>
            </w:r>
          </w:p>
        </w:tc>
        <w:tc>
          <w:tcPr>
            <w:tcW w:w="3899" w:type="dxa"/>
          </w:tcPr>
          <w:p w14:paraId="5A50CD1D" w14:textId="26EFEE8E" w:rsidR="002A6914" w:rsidRPr="002B3C70" w:rsidRDefault="002A6914" w:rsidP="00913406">
            <w:pPr>
              <w:pStyle w:val="Tabletext"/>
              <w:rPr>
                <w:rFonts w:cs="Arial"/>
                <w:lang w:eastAsia="en-AU"/>
              </w:rPr>
            </w:pPr>
            <w:r w:rsidRPr="002B3C70">
              <w:t>To ensure continuing transparency for consumers, while allowing the Secretary to determine a form and manner for making information available</w:t>
            </w:r>
            <w:r>
              <w:t xml:space="preserve"> </w:t>
            </w:r>
            <w:r w:rsidR="00964D1E">
              <w:t>that</w:t>
            </w:r>
            <w:r w:rsidRPr="002B3C70">
              <w:t xml:space="preserve"> </w:t>
            </w:r>
            <w:r w:rsidR="00BD363C" w:rsidRPr="002B3C70">
              <w:t>will</w:t>
            </w:r>
            <w:r w:rsidRPr="002B3C70">
              <w:t xml:space="preserve"> align with the proposed guidelines for quality and safety protocols (under new r</w:t>
            </w:r>
            <w:r w:rsidR="00D3762E">
              <w:t xml:space="preserve">eg </w:t>
            </w:r>
            <w:r w:rsidRPr="002B3C70">
              <w:t xml:space="preserve">9). </w:t>
            </w:r>
          </w:p>
        </w:tc>
        <w:tc>
          <w:tcPr>
            <w:tcW w:w="1559" w:type="dxa"/>
          </w:tcPr>
          <w:p w14:paraId="0A5B1E5F" w14:textId="77777777" w:rsidR="00544FAB" w:rsidRPr="002B3C70" w:rsidRDefault="002A6914" w:rsidP="00913406">
            <w:pPr>
              <w:pStyle w:val="Tabletext"/>
            </w:pPr>
            <w:r w:rsidRPr="002B3C70">
              <w:t xml:space="preserve">31 August 2024 </w:t>
            </w:r>
          </w:p>
          <w:p w14:paraId="68D9B20A" w14:textId="00A16131" w:rsidR="002A6914" w:rsidRPr="002B3C70" w:rsidRDefault="00A83BD8" w:rsidP="00913406">
            <w:pPr>
              <w:pStyle w:val="Tabletext"/>
            </w:pPr>
            <w:r w:rsidRPr="002B3C70">
              <w:t>N</w:t>
            </w:r>
            <w:r w:rsidR="002A6914" w:rsidRPr="002B3C70">
              <w:t xml:space="preserve">oting that consultation will occur </w:t>
            </w:r>
            <w:r w:rsidR="007423BD">
              <w:t>before</w:t>
            </w:r>
            <w:r w:rsidR="002A6914" w:rsidRPr="002B3C70">
              <w:t xml:space="preserve"> a determination</w:t>
            </w:r>
            <w:r w:rsidR="007423BD">
              <w:t xml:space="preserve"> is made</w:t>
            </w:r>
          </w:p>
        </w:tc>
      </w:tr>
      <w:tr w:rsidR="002A6914" w:rsidRPr="0015730E" w14:paraId="61ACB8D4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</w:tcPr>
          <w:p w14:paraId="6F5CCB84" w14:textId="77777777" w:rsidR="002A6914" w:rsidRPr="002B3C70" w:rsidRDefault="002A6914" w:rsidP="00913406">
            <w:pPr>
              <w:pStyle w:val="Tabletext"/>
            </w:pPr>
            <w:r w:rsidRPr="002B3C70">
              <w:t>7</w:t>
            </w:r>
            <w:proofErr w:type="gramStart"/>
            <w:r w:rsidRPr="002B3C70">
              <w:t>A(</w:t>
            </w:r>
            <w:proofErr w:type="gramEnd"/>
            <w:r w:rsidRPr="002B3C70">
              <w:t>3)</w:t>
            </w:r>
          </w:p>
          <w:p w14:paraId="55F87686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8(3)</w:t>
            </w:r>
          </w:p>
        </w:tc>
        <w:tc>
          <w:tcPr>
            <w:tcW w:w="3899" w:type="dxa"/>
          </w:tcPr>
          <w:p w14:paraId="37E7CEEB" w14:textId="77777777" w:rsidR="002A6914" w:rsidRPr="000B6473" w:rsidRDefault="002A6914" w:rsidP="00913406">
            <w:pPr>
              <w:pStyle w:val="Tabletext"/>
              <w:rPr>
                <w:b/>
              </w:rPr>
            </w:pPr>
            <w:r w:rsidRPr="000B6473">
              <w:rPr>
                <w:b/>
              </w:rPr>
              <w:t>Health service establishment protocols for quality and safety</w:t>
            </w:r>
          </w:p>
          <w:p w14:paraId="52F9D7D9" w14:textId="77777777" w:rsidR="002A6914" w:rsidRPr="002B3C70" w:rsidRDefault="002A6914" w:rsidP="00913406">
            <w:pPr>
              <w:pStyle w:val="Tabletext"/>
              <w:rPr>
                <w:rStyle w:val="eop"/>
                <w:rFonts w:cs="Arial"/>
              </w:rPr>
            </w:pPr>
            <w:r w:rsidRPr="002B3C70">
              <w:t>Expanding matters t</w:t>
            </w:r>
            <w:r>
              <w:t>hat the</w:t>
            </w:r>
            <w:r w:rsidRPr="002B3C70">
              <w:rPr>
                <w:lang w:eastAsia="en-AU"/>
              </w:rPr>
              <w:t xml:space="preserve"> health service establishment protocols </w:t>
            </w:r>
            <w:r>
              <w:rPr>
                <w:rStyle w:val="eop"/>
                <w:rFonts w:eastAsiaTheme="majorEastAsia"/>
              </w:rPr>
              <w:t>must</w:t>
            </w:r>
            <w:r w:rsidRPr="002B3C70">
              <w:rPr>
                <w:rStyle w:val="eop"/>
                <w:rFonts w:eastAsiaTheme="majorEastAsia" w:cs="Arial"/>
              </w:rPr>
              <w:t xml:space="preserve"> address to include: </w:t>
            </w:r>
          </w:p>
          <w:p w14:paraId="3DC30BBC" w14:textId="77777777" w:rsidR="00602E58" w:rsidRDefault="002A6914" w:rsidP="00913406">
            <w:pPr>
              <w:pStyle w:val="Tablebullet1"/>
              <w:rPr>
                <w:rStyle w:val="eop"/>
                <w:rFonts w:eastAsiaTheme="majorEastAsia" w:cs="Arial"/>
              </w:rPr>
            </w:pPr>
            <w:r w:rsidRPr="00122F19">
              <w:rPr>
                <w:rFonts w:eastAsiaTheme="majorEastAsia"/>
              </w:rPr>
              <w:t xml:space="preserve">description and allocation of safety and quality </w:t>
            </w:r>
            <w:proofErr w:type="gramStart"/>
            <w:r w:rsidRPr="00122F19">
              <w:rPr>
                <w:rFonts w:eastAsiaTheme="majorEastAsia"/>
              </w:rPr>
              <w:t>roles;</w:t>
            </w:r>
            <w:proofErr w:type="gramEnd"/>
            <w:r w:rsidRPr="00122F19">
              <w:rPr>
                <w:rFonts w:eastAsiaTheme="majorEastAsia"/>
              </w:rPr>
              <w:t xml:space="preserve"> </w:t>
            </w:r>
          </w:p>
          <w:p w14:paraId="55DA8ECD" w14:textId="53B4F4B7" w:rsidR="002A6914" w:rsidRPr="0015730E" w:rsidRDefault="002A6914" w:rsidP="00913406">
            <w:pPr>
              <w:pStyle w:val="Tablebullet1"/>
              <w:rPr>
                <w:rStyle w:val="eop"/>
                <w:rFonts w:eastAsiaTheme="majorEastAsia" w:cs="Arial"/>
              </w:rPr>
            </w:pPr>
            <w:r w:rsidRPr="00122F19">
              <w:rPr>
                <w:rFonts w:eastAsiaTheme="majorEastAsia"/>
              </w:rPr>
              <w:t xml:space="preserve">availability of </w:t>
            </w:r>
            <w:r w:rsidR="00661D65">
              <w:rPr>
                <w:rFonts w:eastAsiaTheme="majorEastAsia"/>
              </w:rPr>
              <w:t xml:space="preserve">appropriate </w:t>
            </w:r>
            <w:r w:rsidRPr="00122F19">
              <w:rPr>
                <w:rFonts w:eastAsiaTheme="majorEastAsia"/>
              </w:rPr>
              <w:t xml:space="preserve">adjunct diagnostic </w:t>
            </w:r>
            <w:proofErr w:type="gramStart"/>
            <w:r w:rsidRPr="00122F19">
              <w:rPr>
                <w:rFonts w:eastAsiaTheme="majorEastAsia"/>
              </w:rPr>
              <w:t>services;</w:t>
            </w:r>
            <w:proofErr w:type="gramEnd"/>
            <w:r w:rsidRPr="00122F19">
              <w:rPr>
                <w:rFonts w:eastAsiaTheme="majorEastAsia"/>
              </w:rPr>
              <w:t xml:space="preserve"> </w:t>
            </w:r>
          </w:p>
          <w:p w14:paraId="3CA528B0" w14:textId="77777777" w:rsidR="002A6914" w:rsidRPr="0015730E" w:rsidRDefault="002A6914" w:rsidP="00913406">
            <w:pPr>
              <w:pStyle w:val="Tablebullet1"/>
              <w:rPr>
                <w:rStyle w:val="eop"/>
                <w:rFonts w:eastAsiaTheme="majorEastAsia" w:cs="Arial"/>
              </w:rPr>
            </w:pPr>
            <w:r w:rsidRPr="00122F19">
              <w:rPr>
                <w:rFonts w:eastAsiaTheme="majorEastAsia"/>
              </w:rPr>
              <w:t xml:space="preserve">review of adverse patient safety </w:t>
            </w:r>
            <w:proofErr w:type="gramStart"/>
            <w:r w:rsidRPr="00122F19">
              <w:rPr>
                <w:rFonts w:eastAsiaTheme="majorEastAsia"/>
              </w:rPr>
              <w:t>events;</w:t>
            </w:r>
            <w:proofErr w:type="gramEnd"/>
            <w:r w:rsidRPr="00122F19">
              <w:rPr>
                <w:rFonts w:eastAsiaTheme="majorEastAsia"/>
              </w:rPr>
              <w:t xml:space="preserve"> </w:t>
            </w:r>
          </w:p>
          <w:p w14:paraId="2716B617" w14:textId="77777777" w:rsidR="002A6914" w:rsidRPr="0015730E" w:rsidRDefault="002A6914" w:rsidP="00913406">
            <w:pPr>
              <w:pStyle w:val="Tablebullet1"/>
              <w:rPr>
                <w:rStyle w:val="eop"/>
                <w:rFonts w:eastAsiaTheme="majorEastAsia" w:cs="Arial"/>
              </w:rPr>
            </w:pPr>
            <w:r w:rsidRPr="00122F19">
              <w:rPr>
                <w:rFonts w:eastAsiaTheme="majorEastAsia"/>
              </w:rPr>
              <w:t>addressing the specific needs of Aboriginal persons; and</w:t>
            </w:r>
          </w:p>
          <w:p w14:paraId="1753162E" w14:textId="2BDAF3EF" w:rsidR="002A6914" w:rsidRPr="002B3C70" w:rsidRDefault="002A6914" w:rsidP="0055580D">
            <w:pPr>
              <w:pStyle w:val="Tablebullet1"/>
              <w:rPr>
                <w:rFonts w:eastAsiaTheme="majorEastAsia"/>
              </w:rPr>
            </w:pPr>
            <w:r w:rsidRPr="00122F19">
              <w:rPr>
                <w:rFonts w:eastAsiaTheme="majorEastAsia"/>
              </w:rPr>
              <w:t>recognising an</w:t>
            </w:r>
            <w:r>
              <w:rPr>
                <w:rStyle w:val="eop"/>
                <w:rFonts w:eastAsiaTheme="majorEastAsia" w:cs="Arial"/>
              </w:rPr>
              <w:t>d</w:t>
            </w:r>
            <w:r w:rsidRPr="0015730E">
              <w:rPr>
                <w:rStyle w:val="eop"/>
                <w:rFonts w:eastAsiaTheme="majorEastAsia" w:cs="Arial"/>
              </w:rPr>
              <w:t xml:space="preserve"> responding to deteriorations in the condition of patients. </w:t>
            </w:r>
          </w:p>
        </w:tc>
        <w:tc>
          <w:tcPr>
            <w:tcW w:w="3899" w:type="dxa"/>
          </w:tcPr>
          <w:p w14:paraId="69869CDA" w14:textId="294E4A49" w:rsidR="002A6914" w:rsidRPr="00913406" w:rsidRDefault="002A6914" w:rsidP="00913406">
            <w:pPr>
              <w:pStyle w:val="Tabletext"/>
            </w:pPr>
            <w:r w:rsidRPr="00913406">
              <w:rPr>
                <w:rFonts w:eastAsia="MS Gothic"/>
              </w:rPr>
              <w:t xml:space="preserve">This ensures additional key elements of clinical governance are included so that the </w:t>
            </w:r>
            <w:r w:rsidR="00651D5C">
              <w:rPr>
                <w:rFonts w:eastAsia="MS Gothic"/>
              </w:rPr>
              <w:t>d</w:t>
            </w:r>
            <w:r w:rsidRPr="00913406">
              <w:rPr>
                <w:rFonts w:eastAsia="MS Gothic"/>
              </w:rPr>
              <w:t>epartment can monitor and enforce compliance through the State-based registration scheme.</w:t>
            </w:r>
          </w:p>
        </w:tc>
        <w:tc>
          <w:tcPr>
            <w:tcW w:w="1559" w:type="dxa"/>
          </w:tcPr>
          <w:p w14:paraId="6C3C5599" w14:textId="77777777" w:rsidR="002A6914" w:rsidRPr="002B3C70" w:rsidRDefault="002A6914" w:rsidP="00913406">
            <w:pPr>
              <w:pStyle w:val="Tabletext"/>
              <w:rPr>
                <w:lang w:eastAsia="en-AU"/>
              </w:rPr>
            </w:pPr>
            <w:r w:rsidRPr="002B3C70">
              <w:t>31 August 2025</w:t>
            </w:r>
          </w:p>
        </w:tc>
      </w:tr>
      <w:tr w:rsidR="002A6914" w:rsidRPr="00F8010D" w14:paraId="660F8CB2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  <w:hideMark/>
          </w:tcPr>
          <w:p w14:paraId="3A3B8CBC" w14:textId="77777777" w:rsidR="002A6914" w:rsidRPr="00442346" w:rsidRDefault="002A6914" w:rsidP="00913406">
            <w:pPr>
              <w:pStyle w:val="Tabletext"/>
              <w:rPr>
                <w:b/>
                <w:color w:val="FF0000"/>
              </w:rPr>
            </w:pPr>
            <w:r w:rsidRPr="00442346">
              <w:rPr>
                <w:b/>
                <w:color w:val="FF0000"/>
              </w:rPr>
              <w:t>NEW</w:t>
            </w:r>
          </w:p>
          <w:p w14:paraId="1992DB78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9 and 10</w:t>
            </w:r>
          </w:p>
        </w:tc>
        <w:tc>
          <w:tcPr>
            <w:tcW w:w="3899" w:type="dxa"/>
            <w:hideMark/>
          </w:tcPr>
          <w:p w14:paraId="31FA55E6" w14:textId="77777777" w:rsidR="002A6914" w:rsidRPr="000B6473" w:rsidRDefault="002A6914" w:rsidP="008B0C4F">
            <w:pPr>
              <w:pStyle w:val="Tabletext"/>
              <w:rPr>
                <w:b/>
              </w:rPr>
            </w:pPr>
            <w:r w:rsidRPr="000B6473">
              <w:rPr>
                <w:b/>
              </w:rPr>
              <w:t>Determination of quality and safety guidelines</w:t>
            </w:r>
            <w:r w:rsidRPr="000B6473" w:rsidDel="0003113E">
              <w:rPr>
                <w:b/>
              </w:rPr>
              <w:t xml:space="preserve"> </w:t>
            </w:r>
          </w:p>
          <w:p w14:paraId="6BBE2115" w14:textId="77777777" w:rsidR="002A6914" w:rsidRPr="00F8010D" w:rsidRDefault="002A6914" w:rsidP="008B0C4F">
            <w:pPr>
              <w:pStyle w:val="Tabletext"/>
              <w:rPr>
                <w:rStyle w:val="normaltextrun"/>
                <w:rFonts w:cs="Arial"/>
              </w:rPr>
            </w:pPr>
            <w:r w:rsidRPr="008B0C4F">
              <w:rPr>
                <w:rFonts w:eastAsiaTheme="majorEastAsia"/>
              </w:rPr>
              <w:t xml:space="preserve">Allowing </w:t>
            </w:r>
            <w:r w:rsidRPr="00F8010D">
              <w:rPr>
                <w:rStyle w:val="normaltextrun"/>
                <w:rFonts w:eastAsiaTheme="majorEastAsia" w:cs="Arial"/>
                <w:color w:val="000000"/>
                <w:shd w:val="clear" w:color="auto" w:fill="FFFFFF"/>
              </w:rPr>
              <w:t>the Secretary to:</w:t>
            </w:r>
          </w:p>
          <w:p w14:paraId="78081C3C" w14:textId="77777777" w:rsidR="002A6914" w:rsidRPr="00F8010D" w:rsidRDefault="002A6914" w:rsidP="008B0C4F">
            <w:pPr>
              <w:pStyle w:val="Tablebullet1"/>
              <w:rPr>
                <w:rStyle w:val="normaltextrun"/>
                <w:rFonts w:cs="Arial"/>
              </w:rPr>
            </w:pPr>
            <w:r w:rsidRPr="008B0C4F">
              <w:rPr>
                <w:rFonts w:eastAsiaTheme="majorEastAsia"/>
              </w:rPr>
              <w:t xml:space="preserve">determine best practice guidelines in relation to </w:t>
            </w:r>
            <w:r w:rsidRPr="00F8010D">
              <w:rPr>
                <w:rStyle w:val="normaltextrun"/>
                <w:rFonts w:eastAsiaTheme="majorEastAsia" w:cs="Arial"/>
                <w:color w:val="000000"/>
                <w:shd w:val="clear" w:color="auto" w:fill="FFFFFF"/>
              </w:rPr>
              <w:t>quality and safety protocols</w:t>
            </w:r>
          </w:p>
          <w:p w14:paraId="53A8A0AE" w14:textId="12256E2D" w:rsidR="002A6914" w:rsidRPr="00F8010D" w:rsidRDefault="002A6914">
            <w:pPr>
              <w:pStyle w:val="Tablebullet1"/>
              <w:rPr>
                <w:rStyle w:val="eop"/>
                <w:rFonts w:cs="Arial"/>
              </w:rPr>
            </w:pPr>
            <w:r w:rsidRPr="008B0C4F">
              <w:rPr>
                <w:rFonts w:eastAsiaTheme="majorEastAsia"/>
              </w:rPr>
              <w:t>review HSEs’ quality and safety protocols, having regard to the best practice guidelines</w:t>
            </w:r>
            <w:r w:rsidR="008B0C4F" w:rsidRPr="008B0C4F">
              <w:rPr>
                <w:rFonts w:eastAsiaTheme="majorEastAsia"/>
              </w:rPr>
              <w:t>,</w:t>
            </w:r>
            <w:r w:rsidR="00661D65">
              <w:rPr>
                <w:rFonts w:eastAsiaTheme="majorEastAsia"/>
              </w:rPr>
              <w:t xml:space="preserve"> and</w:t>
            </w:r>
            <w:r w:rsidRPr="008B0C4F">
              <w:rPr>
                <w:rFonts w:eastAsiaTheme="majorEastAsia"/>
              </w:rPr>
              <w:t xml:space="preserve"> issue a direction to an HSE to update their quality and safety protocols following a review.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072909AF" w14:textId="77777777" w:rsidR="002A6914" w:rsidRPr="008B0C4F" w:rsidRDefault="002A6914" w:rsidP="008B0C4F">
            <w:pPr>
              <w:rPr>
                <w:lang w:eastAsia="en-AU"/>
              </w:rPr>
            </w:pPr>
          </w:p>
          <w:p w14:paraId="4C652337" w14:textId="77777777" w:rsidR="002A6914" w:rsidRPr="002B3C70" w:rsidRDefault="002A6914" w:rsidP="008B0C4F">
            <w:pPr>
              <w:pStyle w:val="Tabletext"/>
              <w:rPr>
                <w:lang w:eastAsia="en-AU"/>
              </w:rPr>
            </w:pPr>
          </w:p>
        </w:tc>
        <w:tc>
          <w:tcPr>
            <w:tcW w:w="3899" w:type="dxa"/>
            <w:hideMark/>
          </w:tcPr>
          <w:p w14:paraId="5F04C800" w14:textId="77777777" w:rsidR="002A6914" w:rsidRPr="00913406" w:rsidRDefault="002A6914" w:rsidP="00913406">
            <w:pPr>
              <w:pStyle w:val="Tabletext"/>
              <w:rPr>
                <w:rFonts w:eastAsiaTheme="majorEastAsia"/>
              </w:rPr>
            </w:pPr>
            <w:r w:rsidRPr="00913406">
              <w:rPr>
                <w:rFonts w:eastAsia="MS Gothic"/>
              </w:rPr>
              <w:t>Identifying the best practice guidance in this way allows transparency about the rationale for any updates to the protocols that the Secretary directs.</w:t>
            </w:r>
          </w:p>
          <w:p w14:paraId="55798BBB" w14:textId="451CB49B" w:rsidR="002A6914" w:rsidRPr="00913406" w:rsidRDefault="002A6914" w:rsidP="00913406">
            <w:pPr>
              <w:pStyle w:val="Tabletext"/>
            </w:pPr>
            <w:r w:rsidRPr="00913406">
              <w:rPr>
                <w:rFonts w:eastAsiaTheme="majorEastAsia"/>
              </w:rPr>
              <w:t>This will</w:t>
            </w:r>
            <w:r w:rsidRPr="00913406">
              <w:t xml:space="preserve"> improve oversight of </w:t>
            </w:r>
            <w:r w:rsidR="00420CBF">
              <w:t>HSEs</w:t>
            </w:r>
            <w:r w:rsidRPr="00913406">
              <w:t xml:space="preserve">’ systems for managing core safety issues, and to identify and address </w:t>
            </w:r>
            <w:r w:rsidRPr="00913406">
              <w:rPr>
                <w:rFonts w:eastAsiaTheme="majorEastAsia"/>
              </w:rPr>
              <w:t>issues</w:t>
            </w:r>
            <w:r w:rsidRPr="00913406">
              <w:t xml:space="preserve"> and associated risk, including non-compliance with the Act and Regulations. Allows</w:t>
            </w:r>
            <w:r w:rsidR="00B057B8" w:rsidRPr="00913406">
              <w:t xml:space="preserve"> for</w:t>
            </w:r>
            <w:r w:rsidRPr="00913406">
              <w:t xml:space="preserve"> a flexible, transparent and nuanced approach, as reviews are on a facility-by-facility basis. </w:t>
            </w:r>
            <w:r w:rsidRPr="00913406">
              <w:rPr>
                <w:rFonts w:eastAsia="MS Gothic"/>
              </w:rPr>
              <w:t> </w:t>
            </w:r>
          </w:p>
          <w:p w14:paraId="32F255B5" w14:textId="77777777" w:rsidR="002A6914" w:rsidRPr="00913406" w:rsidRDefault="002A6914" w:rsidP="00913406">
            <w:pPr>
              <w:pStyle w:val="Tabletext"/>
            </w:pPr>
            <w:r w:rsidRPr="00913406">
              <w:t xml:space="preserve"> </w:t>
            </w:r>
          </w:p>
          <w:p w14:paraId="15CED341" w14:textId="77777777" w:rsidR="002A6914" w:rsidRPr="00913406" w:rsidRDefault="002A6914" w:rsidP="00913406">
            <w:pPr>
              <w:pStyle w:val="Tabletext"/>
            </w:pPr>
          </w:p>
        </w:tc>
        <w:tc>
          <w:tcPr>
            <w:tcW w:w="1559" w:type="dxa"/>
          </w:tcPr>
          <w:p w14:paraId="0513DCF0" w14:textId="28B558C7" w:rsidR="004D0529" w:rsidRPr="002B3C70" w:rsidRDefault="004D0529" w:rsidP="00913406">
            <w:pPr>
              <w:pStyle w:val="Tabletext"/>
            </w:pPr>
            <w:r w:rsidRPr="002B3C70">
              <w:t xml:space="preserve">Following </w:t>
            </w:r>
            <w:r w:rsidR="002A6914" w:rsidRPr="002B3C70">
              <w:t>further consultation</w:t>
            </w:r>
            <w:r w:rsidR="008E093E">
              <w:t>,</w:t>
            </w:r>
            <w:r w:rsidRPr="002B3C70">
              <w:t xml:space="preserve"> guidelines will be determined and published before 28 February 2026, when </w:t>
            </w:r>
            <w:r w:rsidR="003939AF" w:rsidRPr="002B3C70">
              <w:t xml:space="preserve">the </w:t>
            </w:r>
            <w:r w:rsidRPr="002B3C70">
              <w:t>Secretary’s power to conduct reviews comes into effect</w:t>
            </w:r>
            <w:r w:rsidR="00A5156E">
              <w:t>.</w:t>
            </w:r>
          </w:p>
        </w:tc>
      </w:tr>
      <w:tr w:rsidR="002A6914" w:rsidRPr="00F8010D" w14:paraId="751DFC5B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</w:tcPr>
          <w:p w14:paraId="7D957AA0" w14:textId="77777777" w:rsidR="002A6914" w:rsidRPr="002B3C70" w:rsidRDefault="002A6914" w:rsidP="00913406">
            <w:pPr>
              <w:pStyle w:val="Tabletext"/>
            </w:pPr>
            <w:r w:rsidRPr="002B3C70">
              <w:lastRenderedPageBreak/>
              <w:t>8(2)</w:t>
            </w:r>
          </w:p>
          <w:p w14:paraId="6A8E56E4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11(2)</w:t>
            </w:r>
          </w:p>
        </w:tc>
        <w:tc>
          <w:tcPr>
            <w:tcW w:w="3899" w:type="dxa"/>
          </w:tcPr>
          <w:p w14:paraId="71A851F3" w14:textId="77777777" w:rsidR="002A6914" w:rsidRPr="000B6473" w:rsidRDefault="002A6914" w:rsidP="00913406">
            <w:pPr>
              <w:pStyle w:val="Tabletext"/>
              <w:rPr>
                <w:rFonts w:eastAsia="Calibri"/>
                <w:b/>
              </w:rPr>
            </w:pPr>
            <w:r w:rsidRPr="000B6473">
              <w:rPr>
                <w:rFonts w:eastAsia="Calibri"/>
                <w:b/>
              </w:rPr>
              <w:t>Application for approval in principle</w:t>
            </w:r>
          </w:p>
          <w:p w14:paraId="615CD169" w14:textId="1CEA47E0" w:rsidR="002A6914" w:rsidRPr="002B3C70" w:rsidRDefault="002A6914" w:rsidP="00913406">
            <w:pPr>
              <w:pStyle w:val="Tabletext"/>
              <w:rPr>
                <w:b/>
                <w:color w:val="FF0000"/>
                <w:lang w:eastAsia="en-AU"/>
              </w:rPr>
            </w:pPr>
            <w:r w:rsidRPr="002B3C70">
              <w:t xml:space="preserve">Addition of a prescribed fee for </w:t>
            </w:r>
            <w:r w:rsidRPr="002B3C70">
              <w:rPr>
                <w:lang w:eastAsia="en-AU"/>
              </w:rPr>
              <w:t xml:space="preserve">an application for approval in principle to use </w:t>
            </w:r>
            <w:proofErr w:type="gramStart"/>
            <w:r w:rsidRPr="002B3C70">
              <w:rPr>
                <w:lang w:eastAsia="en-AU"/>
              </w:rPr>
              <w:t>particular land</w:t>
            </w:r>
            <w:proofErr w:type="gramEnd"/>
            <w:r w:rsidRPr="002B3C70">
              <w:rPr>
                <w:lang w:eastAsia="en-AU"/>
              </w:rPr>
              <w:t xml:space="preserve"> or premises as a private hospital or day procedure centre</w:t>
            </w:r>
            <w:r w:rsidR="000848E9">
              <w:rPr>
                <w:lang w:eastAsia="en-AU"/>
              </w:rPr>
              <w:t>.</w:t>
            </w:r>
          </w:p>
        </w:tc>
        <w:tc>
          <w:tcPr>
            <w:tcW w:w="3899" w:type="dxa"/>
          </w:tcPr>
          <w:p w14:paraId="40DA85FB" w14:textId="063F109F" w:rsidR="002A6914" w:rsidRPr="002B3C70" w:rsidRDefault="002A6914" w:rsidP="00913406">
            <w:pPr>
              <w:pStyle w:val="Tabletext"/>
            </w:pPr>
            <w:r w:rsidRPr="002B3C70">
              <w:t>An administrative amendment to align with existing fees for AIP.</w:t>
            </w:r>
          </w:p>
        </w:tc>
        <w:tc>
          <w:tcPr>
            <w:tcW w:w="1559" w:type="dxa"/>
          </w:tcPr>
          <w:p w14:paraId="1A52CA0C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6A3E2097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  <w:hideMark/>
          </w:tcPr>
          <w:p w14:paraId="1A6732A3" w14:textId="77777777" w:rsidR="002A6914" w:rsidRPr="002B3C70" w:rsidRDefault="002A6914" w:rsidP="00913406">
            <w:pPr>
              <w:pStyle w:val="Tabletext"/>
            </w:pPr>
            <w:r w:rsidRPr="002B3C70">
              <w:t>20</w:t>
            </w:r>
          </w:p>
          <w:p w14:paraId="040E4932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24</w:t>
            </w:r>
          </w:p>
        </w:tc>
        <w:tc>
          <w:tcPr>
            <w:tcW w:w="3899" w:type="dxa"/>
            <w:hideMark/>
          </w:tcPr>
          <w:p w14:paraId="331ABC8F" w14:textId="77777777" w:rsidR="002A6914" w:rsidRPr="000B6473" w:rsidRDefault="002A6914" w:rsidP="00913406">
            <w:pPr>
              <w:pStyle w:val="Tabletext"/>
              <w:rPr>
                <w:b/>
              </w:rPr>
            </w:pPr>
            <w:r w:rsidRPr="000B6473">
              <w:rPr>
                <w:b/>
              </w:rPr>
              <w:t>Information about fees and services</w:t>
            </w:r>
          </w:p>
          <w:p w14:paraId="23C09909" w14:textId="290D6508" w:rsidR="002A6914" w:rsidRPr="002B3C70" w:rsidRDefault="002A6914" w:rsidP="00913406">
            <w:pPr>
              <w:pStyle w:val="Tabletext"/>
              <w:rPr>
                <w:lang w:eastAsia="en-AU"/>
              </w:rPr>
            </w:pPr>
            <w:r w:rsidRPr="002B3C70">
              <w:t>Amended the Regulation to</w:t>
            </w:r>
            <w:r w:rsidRPr="002B3C70">
              <w:rPr>
                <w:b/>
              </w:rPr>
              <w:t xml:space="preserve"> </w:t>
            </w:r>
            <w:r w:rsidRPr="002B3C70">
              <w:t xml:space="preserve">clarify that HSEs must provide information about </w:t>
            </w:r>
            <w:r w:rsidRPr="002B3C70">
              <w:rPr>
                <w:i/>
              </w:rPr>
              <w:t>likely</w:t>
            </w:r>
            <w:r w:rsidRPr="002B3C70">
              <w:t xml:space="preserve"> </w:t>
            </w:r>
            <w:proofErr w:type="gramStart"/>
            <w:r w:rsidRPr="002B3C70">
              <w:t>third party</w:t>
            </w:r>
            <w:proofErr w:type="gramEnd"/>
            <w:r w:rsidRPr="002B3C70">
              <w:t xml:space="preserve"> fees and out of pocket expenses</w:t>
            </w:r>
            <w:r w:rsidR="000848E9">
              <w:t>.</w:t>
            </w:r>
          </w:p>
        </w:tc>
        <w:tc>
          <w:tcPr>
            <w:tcW w:w="3899" w:type="dxa"/>
            <w:hideMark/>
          </w:tcPr>
          <w:p w14:paraId="2EBBB501" w14:textId="0B6DFD3D" w:rsidR="002A6914" w:rsidRPr="002B3C70" w:rsidRDefault="002A6914" w:rsidP="00913406">
            <w:pPr>
              <w:pStyle w:val="Tabletext"/>
              <w:rPr>
                <w:b/>
                <w:u w:val="single"/>
              </w:rPr>
            </w:pPr>
            <w:r w:rsidRPr="002B3C70">
              <w:t>Removes ambiguity and meets community expectations of transparency in fees and charges.</w:t>
            </w:r>
          </w:p>
        </w:tc>
        <w:tc>
          <w:tcPr>
            <w:tcW w:w="1559" w:type="dxa"/>
          </w:tcPr>
          <w:p w14:paraId="721BACD2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  <w:p w14:paraId="2AC1DCBE" w14:textId="77777777" w:rsidR="002A6914" w:rsidRPr="002B3C70" w:rsidRDefault="002A6914" w:rsidP="00913406">
            <w:pPr>
              <w:pStyle w:val="Tabletext"/>
            </w:pPr>
          </w:p>
        </w:tc>
      </w:tr>
      <w:tr w:rsidR="002A6914" w:rsidRPr="00F8010D" w14:paraId="130F2E72" w14:textId="77777777" w:rsidTr="003B0B1A">
        <w:tblPrEx>
          <w:tblLook w:val="04A0" w:firstRow="1" w:lastRow="0" w:firstColumn="1" w:lastColumn="0" w:noHBand="0" w:noVBand="1"/>
        </w:tblPrEx>
        <w:trPr>
          <w:trHeight w:val="2082"/>
        </w:trPr>
        <w:tc>
          <w:tcPr>
            <w:tcW w:w="1128" w:type="dxa"/>
            <w:hideMark/>
          </w:tcPr>
          <w:p w14:paraId="6C752A34" w14:textId="77777777" w:rsidR="002A6914" w:rsidRPr="002B3C70" w:rsidRDefault="002A6914" w:rsidP="00913406">
            <w:pPr>
              <w:pStyle w:val="Tabletext"/>
            </w:pPr>
            <w:r w:rsidRPr="002B3C70">
              <w:t>20A</w:t>
            </w:r>
          </w:p>
          <w:p w14:paraId="65E0F590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25</w:t>
            </w:r>
          </w:p>
        </w:tc>
        <w:tc>
          <w:tcPr>
            <w:tcW w:w="3899" w:type="dxa"/>
            <w:hideMark/>
          </w:tcPr>
          <w:p w14:paraId="02398C14" w14:textId="77777777" w:rsidR="002A6914" w:rsidRPr="00C43E7D" w:rsidRDefault="002A6914" w:rsidP="00913406">
            <w:pPr>
              <w:pStyle w:val="Tabletext"/>
              <w:rPr>
                <w:b/>
              </w:rPr>
            </w:pPr>
            <w:r w:rsidRPr="00C43E7D">
              <w:rPr>
                <w:b/>
              </w:rPr>
              <w:t>Pre-admission assessment</w:t>
            </w:r>
          </w:p>
          <w:p w14:paraId="74BF8AEB" w14:textId="77777777" w:rsidR="002A6914" w:rsidRPr="00F8010D" w:rsidRDefault="002A6914" w:rsidP="00342798">
            <w:pPr>
              <w:pStyle w:val="Tabletext"/>
              <w:rPr>
                <w:rStyle w:val="eop"/>
                <w:rFonts w:eastAsiaTheme="majorEastAsia" w:cs="Arial"/>
              </w:rPr>
            </w:pPr>
            <w:r w:rsidRPr="00342798">
              <w:rPr>
                <w:rFonts w:eastAsiaTheme="majorEastAsia"/>
              </w:rPr>
              <w:t>Amending the pre-admission clinical risk assessment requirement to specify that it must be completed by a registered health practitioner.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2F47F358" w14:textId="0C27F4F1" w:rsidR="002A6914" w:rsidRPr="002B3C70" w:rsidRDefault="002A6914" w:rsidP="00342798">
            <w:pPr>
              <w:pStyle w:val="Tabletext"/>
            </w:pPr>
            <w:r w:rsidRPr="00342798">
              <w:rPr>
                <w:rFonts w:eastAsiaTheme="majorEastAsia"/>
              </w:rPr>
              <w:t>Requiring the matters considered and assessed in the pre-admission clinical risk assessment to be recorded in the patient’s clinical record (not just the results).</w:t>
            </w:r>
            <w:r w:rsidRPr="002B3C70">
              <w:rPr>
                <w:rStyle w:val="eop"/>
                <w:rFonts w:eastAsiaTheme="majorEastAsia" w:cs="Arial"/>
              </w:rPr>
              <w:t> </w:t>
            </w:r>
          </w:p>
        </w:tc>
        <w:tc>
          <w:tcPr>
            <w:tcW w:w="3899" w:type="dxa"/>
            <w:hideMark/>
          </w:tcPr>
          <w:p w14:paraId="764F3E4C" w14:textId="77777777" w:rsidR="002A6914" w:rsidRPr="00C43E7D" w:rsidRDefault="002A6914" w:rsidP="00C43E7D">
            <w:pPr>
              <w:pStyle w:val="Tabletext"/>
            </w:pPr>
            <w:r w:rsidRPr="00C43E7D">
              <w:rPr>
                <w:rFonts w:eastAsia="MS Gothic"/>
              </w:rPr>
              <w:t xml:space="preserve">Amends the requirements for clinical assessments </w:t>
            </w:r>
            <w:r w:rsidRPr="00C43E7D">
              <w:rPr>
                <w:rFonts w:eastAsiaTheme="majorEastAsia"/>
              </w:rPr>
              <w:t>for clarity</w:t>
            </w:r>
            <w:r w:rsidRPr="00C43E7D">
              <w:rPr>
                <w:rFonts w:eastAsia="MS Gothic"/>
              </w:rPr>
              <w:t xml:space="preserve"> and </w:t>
            </w:r>
            <w:r w:rsidRPr="00C43E7D">
              <w:rPr>
                <w:rFonts w:eastAsiaTheme="majorEastAsia"/>
              </w:rPr>
              <w:t xml:space="preserve">to </w:t>
            </w:r>
            <w:r w:rsidRPr="00C43E7D">
              <w:rPr>
                <w:rFonts w:eastAsia="MS Gothic"/>
              </w:rPr>
              <w:t xml:space="preserve">ensure appropriately qualified health practitioners are conducting clinical assessments. </w:t>
            </w:r>
            <w:r w:rsidRPr="00C43E7D">
              <w:rPr>
                <w:rFonts w:eastAsiaTheme="majorEastAsia"/>
              </w:rPr>
              <w:t>This will</w:t>
            </w:r>
            <w:r w:rsidRPr="00C43E7D">
              <w:rPr>
                <w:rFonts w:eastAsia="MS Gothic"/>
              </w:rPr>
              <w:t xml:space="preserve"> ensure that those assessments </w:t>
            </w:r>
            <w:r w:rsidRPr="00C43E7D">
              <w:rPr>
                <w:rFonts w:eastAsiaTheme="majorEastAsia"/>
              </w:rPr>
              <w:t xml:space="preserve">can effectively inform </w:t>
            </w:r>
            <w:r w:rsidRPr="00C43E7D">
              <w:rPr>
                <w:rFonts w:eastAsia="MS Gothic"/>
              </w:rPr>
              <w:t>planning and delivery of care.</w:t>
            </w:r>
          </w:p>
          <w:p w14:paraId="5915E6D0" w14:textId="77777777" w:rsidR="002A6914" w:rsidRPr="00C43E7D" w:rsidRDefault="002A6914" w:rsidP="00C43E7D">
            <w:pPr>
              <w:pStyle w:val="Tabletext"/>
            </w:pPr>
          </w:p>
          <w:p w14:paraId="3844A77C" w14:textId="77777777" w:rsidR="002A6914" w:rsidRPr="00C43E7D" w:rsidRDefault="002A6914" w:rsidP="00C43E7D">
            <w:pPr>
              <w:pStyle w:val="Tabletext"/>
            </w:pPr>
          </w:p>
        </w:tc>
        <w:tc>
          <w:tcPr>
            <w:tcW w:w="1559" w:type="dxa"/>
          </w:tcPr>
          <w:p w14:paraId="3CDA056E" w14:textId="77777777" w:rsidR="002A6914" w:rsidRPr="002B3C70" w:rsidRDefault="002A6914" w:rsidP="00913406">
            <w:pPr>
              <w:pStyle w:val="Tabletext"/>
              <w:rPr>
                <w:lang w:eastAsia="en-AU"/>
              </w:rPr>
            </w:pPr>
            <w:r w:rsidRPr="002B3C70">
              <w:t>31 August 2024</w:t>
            </w:r>
          </w:p>
        </w:tc>
      </w:tr>
      <w:tr w:rsidR="002A6914" w:rsidRPr="00F8010D" w14:paraId="0B428574" w14:textId="77777777" w:rsidTr="003B0B1A">
        <w:tblPrEx>
          <w:tblLook w:val="04A0" w:firstRow="1" w:lastRow="0" w:firstColumn="1" w:lastColumn="0" w:noHBand="0" w:noVBand="1"/>
        </w:tblPrEx>
        <w:trPr>
          <w:trHeight w:val="2229"/>
        </w:trPr>
        <w:tc>
          <w:tcPr>
            <w:tcW w:w="1128" w:type="dxa"/>
            <w:hideMark/>
          </w:tcPr>
          <w:p w14:paraId="48758AF4" w14:textId="77777777" w:rsidR="002A6914" w:rsidRPr="00442346" w:rsidRDefault="002A6914" w:rsidP="00913406">
            <w:pPr>
              <w:pStyle w:val="Tabletext"/>
              <w:rPr>
                <w:b/>
                <w:color w:val="FF0000"/>
              </w:rPr>
            </w:pPr>
            <w:r w:rsidRPr="00442346">
              <w:rPr>
                <w:b/>
                <w:color w:val="FF0000"/>
              </w:rPr>
              <w:t>NEW</w:t>
            </w:r>
          </w:p>
          <w:p w14:paraId="60608DAD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26</w:t>
            </w:r>
          </w:p>
        </w:tc>
        <w:tc>
          <w:tcPr>
            <w:tcW w:w="3899" w:type="dxa"/>
            <w:hideMark/>
          </w:tcPr>
          <w:p w14:paraId="73281A49" w14:textId="77777777" w:rsidR="002A6914" w:rsidRPr="00342798" w:rsidRDefault="002A6914" w:rsidP="00342798">
            <w:pPr>
              <w:pStyle w:val="Tabletext6pt"/>
              <w:rPr>
                <w:b/>
              </w:rPr>
            </w:pPr>
            <w:r w:rsidRPr="00342798">
              <w:rPr>
                <w:b/>
              </w:rPr>
              <w:t>Pre-presentation assessment</w:t>
            </w:r>
          </w:p>
          <w:p w14:paraId="648546B2" w14:textId="09CCDDE3" w:rsidR="002A6914" w:rsidRPr="00F8010D" w:rsidRDefault="002A6914" w:rsidP="00342798">
            <w:pPr>
              <w:pStyle w:val="Tabletext6pt"/>
              <w:rPr>
                <w:rStyle w:val="eop"/>
                <w:rFonts w:eastAsiaTheme="majorEastAsia" w:cs="Arial"/>
              </w:rPr>
            </w:pPr>
            <w:r w:rsidRPr="00342798">
              <w:rPr>
                <w:rFonts w:eastAsiaTheme="majorEastAsia"/>
              </w:rPr>
              <w:t>Requiring that for an HSE that provides prescribed services but does not admit patients (for example, a mobile anaesthetic service), a pre-presentation clinical risk assessment must be completed and recorded at least 24 hours prior.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67F61552" w14:textId="77777777" w:rsidR="002A6914" w:rsidRPr="00342798" w:rsidRDefault="002A6914" w:rsidP="00342798">
            <w:pPr>
              <w:pStyle w:val="Tabletext6pt"/>
            </w:pPr>
          </w:p>
        </w:tc>
        <w:tc>
          <w:tcPr>
            <w:tcW w:w="3899" w:type="dxa"/>
            <w:hideMark/>
          </w:tcPr>
          <w:p w14:paraId="669CD1E3" w14:textId="1368FA93" w:rsidR="002A6914" w:rsidRPr="00342798" w:rsidRDefault="002A6914" w:rsidP="00342798">
            <w:pPr>
              <w:pStyle w:val="Tabletext"/>
            </w:pPr>
            <w:r w:rsidRPr="00342798">
              <w:rPr>
                <w:rFonts w:eastAsiaTheme="majorEastAsia"/>
              </w:rPr>
              <w:t xml:space="preserve">This is a </w:t>
            </w:r>
            <w:r w:rsidRPr="00342798">
              <w:rPr>
                <w:rFonts w:eastAsia="MS Gothic"/>
              </w:rPr>
              <w:t>new requirement for clinical assessments of patients before treatment</w:t>
            </w:r>
            <w:r w:rsidR="000603ED" w:rsidRPr="00342798">
              <w:rPr>
                <w:rFonts w:eastAsia="MS Gothic"/>
              </w:rPr>
              <w:t xml:space="preserve"> and</w:t>
            </w:r>
            <w:r w:rsidRPr="00342798">
              <w:rPr>
                <w:rFonts w:eastAsiaTheme="majorEastAsia"/>
              </w:rPr>
              <w:t xml:space="preserve"> will</w:t>
            </w:r>
            <w:r w:rsidRPr="00342798">
              <w:rPr>
                <w:rFonts w:eastAsia="MS Gothic"/>
              </w:rPr>
              <w:t xml:space="preserve"> formalise current practice for patients who are not admitted (for example, those receiving mobile </w:t>
            </w:r>
            <w:r w:rsidR="007C69A3">
              <w:rPr>
                <w:rFonts w:eastAsia="MS Gothic"/>
              </w:rPr>
              <w:t xml:space="preserve">anaesthetic </w:t>
            </w:r>
            <w:r w:rsidRPr="00342798">
              <w:rPr>
                <w:rFonts w:eastAsia="MS Gothic"/>
              </w:rPr>
              <w:t>services) and ensure appropriate assessment and management.</w:t>
            </w:r>
          </w:p>
          <w:p w14:paraId="292CEF45" w14:textId="77777777" w:rsidR="002A6914" w:rsidRPr="00342798" w:rsidRDefault="002A6914" w:rsidP="00342798">
            <w:pPr>
              <w:pStyle w:val="Tabletext"/>
            </w:pPr>
          </w:p>
          <w:p w14:paraId="3BE402EF" w14:textId="77777777" w:rsidR="002A6914" w:rsidRPr="00342798" w:rsidRDefault="002A6914" w:rsidP="00342798">
            <w:pPr>
              <w:pStyle w:val="Tabletext"/>
            </w:pPr>
          </w:p>
        </w:tc>
        <w:tc>
          <w:tcPr>
            <w:tcW w:w="1559" w:type="dxa"/>
          </w:tcPr>
          <w:p w14:paraId="35514EA3" w14:textId="77777777" w:rsidR="002A6914" w:rsidRPr="002B3C70" w:rsidRDefault="002A6914" w:rsidP="00913406">
            <w:pPr>
              <w:pStyle w:val="Tabletext"/>
              <w:rPr>
                <w:lang w:eastAsia="en-AU"/>
              </w:rPr>
            </w:pPr>
            <w:r w:rsidRPr="002B3C70">
              <w:t>31 August 2024</w:t>
            </w:r>
          </w:p>
        </w:tc>
      </w:tr>
      <w:tr w:rsidR="002A6914" w:rsidRPr="00F8010D" w14:paraId="3D977AB9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  <w:hideMark/>
          </w:tcPr>
          <w:p w14:paraId="12067C80" w14:textId="77777777" w:rsidR="002A6914" w:rsidRPr="002B3C70" w:rsidRDefault="002A6914" w:rsidP="00913406">
            <w:pPr>
              <w:pStyle w:val="Tabletext"/>
            </w:pPr>
            <w:r w:rsidRPr="002B3C70">
              <w:t>22(d)(vi)</w:t>
            </w:r>
          </w:p>
          <w:p w14:paraId="1DE2E74F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28(d)(vi)</w:t>
            </w:r>
          </w:p>
        </w:tc>
        <w:tc>
          <w:tcPr>
            <w:tcW w:w="3899" w:type="dxa"/>
            <w:hideMark/>
          </w:tcPr>
          <w:p w14:paraId="24D08D01" w14:textId="77777777" w:rsidR="002A6914" w:rsidRPr="00342798" w:rsidRDefault="002A6914" w:rsidP="00342798">
            <w:pPr>
              <w:pStyle w:val="Tabletext"/>
              <w:rPr>
                <w:b/>
              </w:rPr>
            </w:pPr>
            <w:r w:rsidRPr="00342798">
              <w:rPr>
                <w:b/>
              </w:rPr>
              <w:t>Information to be included in clinical record</w:t>
            </w:r>
          </w:p>
          <w:p w14:paraId="6FBE27E4" w14:textId="3D619A37" w:rsidR="002A6914" w:rsidRPr="00342798" w:rsidRDefault="002A6914" w:rsidP="00342798">
            <w:pPr>
              <w:pStyle w:val="Tabletext"/>
              <w:rPr>
                <w:lang w:eastAsia="en-AU"/>
              </w:rPr>
            </w:pPr>
            <w:r w:rsidRPr="00342798">
              <w:t>Redraft</w:t>
            </w:r>
            <w:r w:rsidR="002B364D" w:rsidRPr="00342798">
              <w:t>ed</w:t>
            </w:r>
            <w:r w:rsidRPr="00342798">
              <w:t xml:space="preserve"> to make clear that this includes </w:t>
            </w:r>
            <w:r w:rsidRPr="00342798">
              <w:rPr>
                <w:lang w:eastAsia="en-AU"/>
              </w:rPr>
              <w:t>clinical risk assessments a</w:t>
            </w:r>
            <w:r w:rsidRPr="00342798">
              <w:t>nd</w:t>
            </w:r>
            <w:r w:rsidRPr="00342798">
              <w:rPr>
                <w:lang w:eastAsia="en-AU"/>
              </w:rPr>
              <w:t xml:space="preserve"> pre-admission assessment</w:t>
            </w:r>
            <w:r w:rsidRPr="00342798">
              <w:t>s</w:t>
            </w:r>
            <w:r w:rsidR="00A1023C">
              <w:t xml:space="preserve"> </w:t>
            </w:r>
            <w:r w:rsidRPr="00342798">
              <w:rPr>
                <w:lang w:eastAsia="en-AU"/>
              </w:rPr>
              <w:t>conducted before a patient receives a health service</w:t>
            </w:r>
            <w:r w:rsidRPr="00342798">
              <w:t>.</w:t>
            </w:r>
          </w:p>
        </w:tc>
        <w:tc>
          <w:tcPr>
            <w:tcW w:w="3899" w:type="dxa"/>
            <w:hideMark/>
          </w:tcPr>
          <w:p w14:paraId="6D0D4F6F" w14:textId="64660E63" w:rsidR="002A6914" w:rsidRPr="002B3C70" w:rsidRDefault="002A6914" w:rsidP="00913406">
            <w:pPr>
              <w:pStyle w:val="Tabletext"/>
            </w:pPr>
            <w:r w:rsidRPr="002B3C70">
              <w:t xml:space="preserve">Reflects changes to amended </w:t>
            </w:r>
            <w:r w:rsidR="003A3C47" w:rsidRPr="002B3C70">
              <w:t>Regulation</w:t>
            </w:r>
            <w:r w:rsidRPr="002B3C70">
              <w:t>s regarding clinical assessments and ensures fulsome clinical records are kept.</w:t>
            </w:r>
          </w:p>
        </w:tc>
        <w:tc>
          <w:tcPr>
            <w:tcW w:w="1559" w:type="dxa"/>
          </w:tcPr>
          <w:p w14:paraId="32AD4E09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6F8D36D5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  <w:hideMark/>
          </w:tcPr>
          <w:p w14:paraId="774BE1AC" w14:textId="77777777" w:rsidR="002A6914" w:rsidRPr="002B3C70" w:rsidRDefault="002A6914" w:rsidP="00913406">
            <w:pPr>
              <w:pStyle w:val="Tabletext"/>
            </w:pPr>
            <w:r w:rsidRPr="002B3C70">
              <w:t>25(a)</w:t>
            </w:r>
          </w:p>
          <w:p w14:paraId="351D74DA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31(a)</w:t>
            </w:r>
          </w:p>
        </w:tc>
        <w:tc>
          <w:tcPr>
            <w:tcW w:w="3899" w:type="dxa"/>
            <w:hideMark/>
          </w:tcPr>
          <w:p w14:paraId="4618A24A" w14:textId="77777777" w:rsidR="002A6914" w:rsidRPr="00342798" w:rsidRDefault="002A6914" w:rsidP="00913406">
            <w:pPr>
              <w:pStyle w:val="Tabletext"/>
              <w:rPr>
                <w:b/>
              </w:rPr>
            </w:pPr>
            <w:r w:rsidRPr="00342798">
              <w:rPr>
                <w:b/>
              </w:rPr>
              <w:t>Respect, dignity and privacy</w:t>
            </w:r>
          </w:p>
          <w:p w14:paraId="3A16DB95" w14:textId="77777777" w:rsidR="002A6914" w:rsidRPr="002B3C70" w:rsidRDefault="002A6914" w:rsidP="00913406">
            <w:pPr>
              <w:pStyle w:val="Tabletext"/>
              <w:rPr>
                <w:lang w:eastAsia="en-AU"/>
              </w:rPr>
            </w:pPr>
            <w:r w:rsidRPr="002B3C70">
              <w:t>Addition of gender identity to other aspects that must be given due regard when treating a person with respect and dignity.</w:t>
            </w:r>
          </w:p>
        </w:tc>
        <w:tc>
          <w:tcPr>
            <w:tcW w:w="3899" w:type="dxa"/>
            <w:hideMark/>
          </w:tcPr>
          <w:p w14:paraId="19F2AFC8" w14:textId="77777777" w:rsidR="002A6914" w:rsidRPr="00342798" w:rsidRDefault="002A6914" w:rsidP="00342798">
            <w:pPr>
              <w:pStyle w:val="Tabletext"/>
            </w:pPr>
            <w:r w:rsidRPr="00342798">
              <w:rPr>
                <w:rFonts w:eastAsiaTheme="majorEastAsia"/>
              </w:rPr>
              <w:t>T</w:t>
            </w:r>
            <w:r w:rsidRPr="00342798">
              <w:rPr>
                <w:rFonts w:eastAsia="MS Gothic"/>
              </w:rPr>
              <w:t>o promote inclusivity and aligning with the accreditation standards.</w:t>
            </w:r>
          </w:p>
        </w:tc>
        <w:tc>
          <w:tcPr>
            <w:tcW w:w="1559" w:type="dxa"/>
          </w:tcPr>
          <w:p w14:paraId="0E4E5E88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6363462C" w14:textId="77777777" w:rsidTr="003B0B1A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1128" w:type="dxa"/>
            <w:hideMark/>
          </w:tcPr>
          <w:p w14:paraId="177D88C3" w14:textId="77777777" w:rsidR="002A6914" w:rsidRPr="002B3C70" w:rsidRDefault="002A6914" w:rsidP="00913406">
            <w:pPr>
              <w:pStyle w:val="Tabletext"/>
            </w:pPr>
            <w:r w:rsidRPr="002B3C70">
              <w:t>28A</w:t>
            </w:r>
          </w:p>
          <w:p w14:paraId="45F44C39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37</w:t>
            </w:r>
          </w:p>
        </w:tc>
        <w:tc>
          <w:tcPr>
            <w:tcW w:w="3899" w:type="dxa"/>
            <w:hideMark/>
          </w:tcPr>
          <w:p w14:paraId="481D0711" w14:textId="77777777" w:rsidR="002A6914" w:rsidRPr="00202CEF" w:rsidRDefault="002A6914" w:rsidP="00202CEF">
            <w:pPr>
              <w:pStyle w:val="Tabletext"/>
              <w:rPr>
                <w:b/>
              </w:rPr>
            </w:pPr>
            <w:r w:rsidRPr="00202CEF">
              <w:rPr>
                <w:b/>
              </w:rPr>
              <w:t>Revers</w:t>
            </w:r>
            <w:r w:rsidRPr="00202CEF">
              <w:rPr>
                <w:rFonts w:eastAsiaTheme="majorEastAsia"/>
                <w:b/>
              </w:rPr>
              <w:t>al</w:t>
            </w:r>
            <w:r w:rsidRPr="00202CEF">
              <w:rPr>
                <w:b/>
              </w:rPr>
              <w:t xml:space="preserve"> agents must be available</w:t>
            </w:r>
          </w:p>
          <w:p w14:paraId="1CA4E148" w14:textId="77777777" w:rsidR="002A6914" w:rsidRPr="00202CEF" w:rsidRDefault="002A6914" w:rsidP="00202CEF">
            <w:pPr>
              <w:pStyle w:val="Tabletext"/>
            </w:pPr>
            <w:r w:rsidRPr="00202CEF">
              <w:t>Rewording, now refers to ‘reversal agents’</w:t>
            </w:r>
          </w:p>
        </w:tc>
        <w:tc>
          <w:tcPr>
            <w:tcW w:w="3899" w:type="dxa"/>
            <w:hideMark/>
          </w:tcPr>
          <w:p w14:paraId="7C635348" w14:textId="77777777" w:rsidR="002A6914" w:rsidRPr="002B3C70" w:rsidRDefault="002A6914" w:rsidP="00913406">
            <w:pPr>
              <w:pStyle w:val="Tabletext"/>
            </w:pPr>
            <w:r w:rsidRPr="002B3C70">
              <w:t>In line with current industry accepted terminology.</w:t>
            </w:r>
          </w:p>
        </w:tc>
        <w:tc>
          <w:tcPr>
            <w:tcW w:w="1559" w:type="dxa"/>
          </w:tcPr>
          <w:p w14:paraId="097EDFFB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6BD680C6" w14:textId="77777777" w:rsidTr="003B0B1A">
        <w:tblPrEx>
          <w:tblLook w:val="04A0" w:firstRow="1" w:lastRow="0" w:firstColumn="1" w:lastColumn="0" w:noHBand="0" w:noVBand="1"/>
        </w:tblPrEx>
        <w:tc>
          <w:tcPr>
            <w:tcW w:w="1128" w:type="dxa"/>
            <w:hideMark/>
          </w:tcPr>
          <w:p w14:paraId="7287E358" w14:textId="77777777" w:rsidR="002A6914" w:rsidRPr="002B3C70" w:rsidRDefault="002A6914" w:rsidP="00913406">
            <w:pPr>
              <w:pStyle w:val="Tabletext"/>
            </w:pPr>
            <w:r w:rsidRPr="002B3C70">
              <w:lastRenderedPageBreak/>
              <w:t>34(3)(e)</w:t>
            </w:r>
          </w:p>
          <w:p w14:paraId="62298D3E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44(3)(e)(f) and 44(4)</w:t>
            </w:r>
          </w:p>
        </w:tc>
        <w:tc>
          <w:tcPr>
            <w:tcW w:w="3899" w:type="dxa"/>
            <w:hideMark/>
          </w:tcPr>
          <w:p w14:paraId="6F1C817A" w14:textId="77777777" w:rsidR="002A6914" w:rsidRPr="00202CEF" w:rsidRDefault="002A6914" w:rsidP="00202CEF">
            <w:pPr>
              <w:pStyle w:val="Tabletext"/>
              <w:rPr>
                <w:b/>
              </w:rPr>
            </w:pPr>
            <w:r w:rsidRPr="00202CEF">
              <w:rPr>
                <w:b/>
              </w:rPr>
              <w:t xml:space="preserve">Discharge information </w:t>
            </w:r>
          </w:p>
          <w:p w14:paraId="33A00C1F" w14:textId="77777777" w:rsidR="002A6914" w:rsidRPr="00F8010D" w:rsidRDefault="002A6914" w:rsidP="00202CEF">
            <w:pPr>
              <w:pStyle w:val="Tabletext"/>
              <w:rPr>
                <w:rFonts w:cs="Arial"/>
              </w:rPr>
            </w:pPr>
            <w:r w:rsidRPr="00202CEF">
              <w:rPr>
                <w:rFonts w:eastAsiaTheme="majorEastAsia"/>
              </w:rPr>
              <w:t>Streamlining the requirement for discharge summaries to require a detailed list of ceased, varied or new medications for all patients, plus a summary or statement about any other regular medications for overnight patients.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1DFDE332" w14:textId="77777777" w:rsidR="002A6914" w:rsidRPr="00202CEF" w:rsidRDefault="002A6914" w:rsidP="00202CEF">
            <w:pPr>
              <w:pStyle w:val="Tabletext"/>
              <w:rPr>
                <w:lang w:eastAsia="en-AU"/>
              </w:rPr>
            </w:pPr>
          </w:p>
        </w:tc>
        <w:tc>
          <w:tcPr>
            <w:tcW w:w="3899" w:type="dxa"/>
            <w:hideMark/>
          </w:tcPr>
          <w:p w14:paraId="3001B827" w14:textId="3A42E713" w:rsidR="002A6914" w:rsidRPr="002B3C70" w:rsidRDefault="002A6914" w:rsidP="00913406">
            <w:pPr>
              <w:pStyle w:val="Tabletext"/>
              <w:rPr>
                <w:lang w:eastAsia="en-AU"/>
              </w:rPr>
            </w:pPr>
            <w:r w:rsidRPr="002B3C70">
              <w:rPr>
                <w:lang w:eastAsia="en-AU"/>
              </w:rPr>
              <w:t>This allow</w:t>
            </w:r>
            <w:r w:rsidRPr="002B3C70">
              <w:t>s</w:t>
            </w:r>
            <w:r w:rsidRPr="002B3C70">
              <w:rPr>
                <w:lang w:eastAsia="en-AU"/>
              </w:rPr>
              <w:t xml:space="preserve"> </w:t>
            </w:r>
            <w:r w:rsidRPr="002B3C70">
              <w:t>services some</w:t>
            </w:r>
            <w:r w:rsidRPr="002B3C70">
              <w:rPr>
                <w:lang w:eastAsia="en-AU"/>
              </w:rPr>
              <w:t xml:space="preserve"> flexibility and discretion </w:t>
            </w:r>
            <w:r w:rsidRPr="002B3C70">
              <w:t>when providing information to patients regarding medications on discharge</w:t>
            </w:r>
            <w:r w:rsidR="00D52E48">
              <w:t>.</w:t>
            </w:r>
            <w:r w:rsidRPr="002B3C70">
              <w:t xml:space="preserve"> To align with accreditation requirements and lessen burden on the sector.</w:t>
            </w:r>
          </w:p>
          <w:p w14:paraId="4D02727B" w14:textId="77777777" w:rsidR="002A6914" w:rsidRPr="002B3C70" w:rsidRDefault="002A6914" w:rsidP="00913406">
            <w:pPr>
              <w:pStyle w:val="Tabletext"/>
              <w:rPr>
                <w:lang w:eastAsia="en-AU"/>
              </w:rPr>
            </w:pPr>
          </w:p>
        </w:tc>
        <w:tc>
          <w:tcPr>
            <w:tcW w:w="1559" w:type="dxa"/>
          </w:tcPr>
          <w:p w14:paraId="71EEA901" w14:textId="77777777" w:rsidR="002A6914" w:rsidRPr="002B3C70" w:rsidRDefault="002A6914" w:rsidP="00913406">
            <w:pPr>
              <w:pStyle w:val="Tabletext"/>
              <w:rPr>
                <w:lang w:eastAsia="en-AU"/>
              </w:rPr>
            </w:pPr>
            <w:r w:rsidRPr="002B3C70">
              <w:t>31 August 2024</w:t>
            </w:r>
          </w:p>
        </w:tc>
      </w:tr>
      <w:tr w:rsidR="002A6914" w:rsidRPr="00F8010D" w14:paraId="3AF210AE" w14:textId="77777777" w:rsidTr="003B0B1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28" w:type="dxa"/>
            <w:hideMark/>
          </w:tcPr>
          <w:p w14:paraId="1F171E0C" w14:textId="77777777" w:rsidR="002A6914" w:rsidRPr="002B3C70" w:rsidRDefault="002A6914" w:rsidP="00913406">
            <w:pPr>
              <w:pStyle w:val="Tabletext"/>
            </w:pPr>
            <w:r w:rsidRPr="002B3C70">
              <w:t>37</w:t>
            </w:r>
          </w:p>
          <w:p w14:paraId="54E87E69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47</w:t>
            </w:r>
          </w:p>
        </w:tc>
        <w:tc>
          <w:tcPr>
            <w:tcW w:w="3899" w:type="dxa"/>
            <w:hideMark/>
          </w:tcPr>
          <w:p w14:paraId="764669FE" w14:textId="77777777" w:rsidR="002A6914" w:rsidRPr="00202CEF" w:rsidRDefault="002A6914" w:rsidP="00202CEF">
            <w:pPr>
              <w:pStyle w:val="Tabletext"/>
              <w:rPr>
                <w:b/>
              </w:rPr>
            </w:pPr>
            <w:r w:rsidRPr="00202CEF">
              <w:rPr>
                <w:b/>
              </w:rPr>
              <w:t>Surgical Procedure Register</w:t>
            </w:r>
          </w:p>
          <w:p w14:paraId="065D2C0A" w14:textId="77777777" w:rsidR="002A6914" w:rsidRPr="003C5DA0" w:rsidRDefault="002A6914" w:rsidP="00202CEF">
            <w:pPr>
              <w:pStyle w:val="Tabletext"/>
              <w:rPr>
                <w:rStyle w:val="normaltextrun"/>
                <w:rFonts w:eastAsiaTheme="majorEastAsia" w:cs="Arial"/>
              </w:rPr>
            </w:pPr>
            <w:r w:rsidRPr="00202CEF">
              <w:rPr>
                <w:rFonts w:eastAsiaTheme="majorEastAsia"/>
              </w:rPr>
              <w:t>Replacing the term ‘Operation Theatre Register’ with ‘Surgical Procedure Register’.</w:t>
            </w:r>
          </w:p>
          <w:p w14:paraId="3F6F2B5D" w14:textId="77777777" w:rsidR="002A6914" w:rsidRPr="00202CEF" w:rsidRDefault="002A6914" w:rsidP="00202CEF">
            <w:pPr>
              <w:pStyle w:val="Tabletext"/>
              <w:rPr>
                <w:lang w:eastAsia="en-AU"/>
              </w:rPr>
            </w:pPr>
          </w:p>
        </w:tc>
        <w:tc>
          <w:tcPr>
            <w:tcW w:w="3899" w:type="dxa"/>
            <w:hideMark/>
          </w:tcPr>
          <w:p w14:paraId="26DF5D50" w14:textId="77777777" w:rsidR="002A6914" w:rsidRPr="003C5DA0" w:rsidRDefault="002A6914" w:rsidP="00202CEF">
            <w:pPr>
              <w:pStyle w:val="Tabletext"/>
              <w:rPr>
                <w:rStyle w:val="eop"/>
                <w:rFonts w:eastAsiaTheme="majorEastAsia" w:cs="Arial"/>
              </w:rPr>
            </w:pPr>
            <w:r w:rsidRPr="00202CEF">
              <w:rPr>
                <w:rFonts w:eastAsiaTheme="majorEastAsia"/>
              </w:rPr>
              <w:t xml:space="preserve">Administrative </w:t>
            </w:r>
            <w:r w:rsidRPr="00240DAB">
              <w:rPr>
                <w:rStyle w:val="normaltextrun"/>
                <w:rFonts w:eastAsiaTheme="majorEastAsia" w:cs="Arial"/>
              </w:rPr>
              <w:t>change t</w:t>
            </w:r>
            <w:r w:rsidRPr="00240DAB">
              <w:rPr>
                <w:rStyle w:val="normaltextrun"/>
                <w:rFonts w:eastAsiaTheme="majorEastAsia"/>
              </w:rPr>
              <w:t>o clarify and ensure a register is kept for all surgical and endoscopy services.</w:t>
            </w:r>
            <w:r>
              <w:rPr>
                <w:rStyle w:val="normaltextrun"/>
                <w:rFonts w:eastAsiaTheme="majorEastAsia"/>
              </w:rPr>
              <w:t xml:space="preserve"> </w:t>
            </w:r>
          </w:p>
          <w:p w14:paraId="620B8753" w14:textId="77777777" w:rsidR="002A6914" w:rsidRPr="00202CEF" w:rsidRDefault="002A6914" w:rsidP="00202CEF">
            <w:pPr>
              <w:pStyle w:val="Tabletext"/>
            </w:pPr>
          </w:p>
          <w:p w14:paraId="6F535D02" w14:textId="77777777" w:rsidR="002A6914" w:rsidRPr="00202CEF" w:rsidRDefault="002A6914" w:rsidP="00202CEF">
            <w:pPr>
              <w:pStyle w:val="Tabletext"/>
            </w:pPr>
          </w:p>
        </w:tc>
        <w:tc>
          <w:tcPr>
            <w:tcW w:w="1559" w:type="dxa"/>
          </w:tcPr>
          <w:p w14:paraId="6C23F81B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01C69799" w14:textId="77777777" w:rsidTr="003B0B1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28" w:type="dxa"/>
            <w:hideMark/>
          </w:tcPr>
          <w:p w14:paraId="7376BA33" w14:textId="77777777" w:rsidR="002A6914" w:rsidRPr="002B3C70" w:rsidRDefault="002A6914" w:rsidP="00913406">
            <w:pPr>
              <w:pStyle w:val="Tabletext"/>
            </w:pPr>
            <w:r w:rsidRPr="002B3C70">
              <w:t>41</w:t>
            </w:r>
          </w:p>
        </w:tc>
        <w:tc>
          <w:tcPr>
            <w:tcW w:w="3899" w:type="dxa"/>
            <w:hideMark/>
          </w:tcPr>
          <w:p w14:paraId="58FE834A" w14:textId="48387517" w:rsidR="00EA1FEC" w:rsidRPr="00202CEF" w:rsidRDefault="002A6914" w:rsidP="00913406">
            <w:pPr>
              <w:pStyle w:val="Tabletext"/>
              <w:rPr>
                <w:b/>
              </w:rPr>
            </w:pPr>
            <w:r w:rsidRPr="00202CEF">
              <w:rPr>
                <w:b/>
              </w:rPr>
              <w:t xml:space="preserve">Prevention of scalding regulation </w:t>
            </w:r>
          </w:p>
          <w:p w14:paraId="2CD2324F" w14:textId="0F15F902" w:rsidR="002A6914" w:rsidRPr="002B3C70" w:rsidRDefault="005C0033" w:rsidP="00913406">
            <w:pPr>
              <w:pStyle w:val="Tabletext"/>
              <w:rPr>
                <w:b/>
              </w:rPr>
            </w:pPr>
            <w:r w:rsidRPr="002B3C70">
              <w:t>R</w:t>
            </w:r>
            <w:r w:rsidR="002A6914" w:rsidRPr="002B3C70">
              <w:t xml:space="preserve">emoved </w:t>
            </w:r>
          </w:p>
          <w:p w14:paraId="16E0DD3D" w14:textId="77777777" w:rsidR="002A6914" w:rsidRPr="002B3C70" w:rsidRDefault="002A6914" w:rsidP="00913406">
            <w:pPr>
              <w:pStyle w:val="Tabletext"/>
            </w:pPr>
          </w:p>
        </w:tc>
        <w:tc>
          <w:tcPr>
            <w:tcW w:w="3899" w:type="dxa"/>
            <w:hideMark/>
          </w:tcPr>
          <w:p w14:paraId="4B942D26" w14:textId="2FF8BD31" w:rsidR="002A6914" w:rsidRPr="002B3C70" w:rsidRDefault="002A6914" w:rsidP="00913406">
            <w:pPr>
              <w:pStyle w:val="Tabletext"/>
            </w:pPr>
            <w:r w:rsidRPr="002B3C70">
              <w:t xml:space="preserve">Deletes a </w:t>
            </w:r>
            <w:r w:rsidR="003A3C47" w:rsidRPr="002B3C70">
              <w:t>Regulation</w:t>
            </w:r>
            <w:r w:rsidRPr="002B3C70">
              <w:t xml:space="preserve"> that is duplicative</w:t>
            </w:r>
            <w:r w:rsidR="00FE6310" w:rsidRPr="002B3C70">
              <w:t xml:space="preserve"> of existing building requirements</w:t>
            </w:r>
            <w:r w:rsidRPr="002B3C70">
              <w:t>.</w:t>
            </w:r>
          </w:p>
        </w:tc>
        <w:tc>
          <w:tcPr>
            <w:tcW w:w="1559" w:type="dxa"/>
          </w:tcPr>
          <w:p w14:paraId="0E94E94B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4248B2FF" w14:textId="77777777" w:rsidTr="003B0B1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28" w:type="dxa"/>
            <w:hideMark/>
          </w:tcPr>
          <w:p w14:paraId="3AB288A5" w14:textId="77777777" w:rsidR="002A6914" w:rsidRPr="002B3C70" w:rsidRDefault="002A6914" w:rsidP="00913406">
            <w:pPr>
              <w:pStyle w:val="Tabletext"/>
            </w:pPr>
            <w:r w:rsidRPr="002B3C70">
              <w:t>45</w:t>
            </w:r>
          </w:p>
          <w:p w14:paraId="6E310765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57</w:t>
            </w:r>
          </w:p>
        </w:tc>
        <w:tc>
          <w:tcPr>
            <w:tcW w:w="3899" w:type="dxa"/>
            <w:hideMark/>
          </w:tcPr>
          <w:p w14:paraId="69F59C49" w14:textId="77777777" w:rsidR="002A6914" w:rsidRPr="00E76FC0" w:rsidRDefault="002A6914" w:rsidP="006B6D8D">
            <w:pPr>
              <w:pStyle w:val="Tabletext"/>
              <w:rPr>
                <w:b/>
              </w:rPr>
            </w:pPr>
            <w:r w:rsidRPr="00E76FC0">
              <w:rPr>
                <w:b/>
              </w:rPr>
              <w:t>Information to be prominently displayed</w:t>
            </w:r>
          </w:p>
          <w:p w14:paraId="0E797A42" w14:textId="77777777" w:rsidR="002A6914" w:rsidRPr="00F8010D" w:rsidRDefault="002A6914" w:rsidP="006B6D8D">
            <w:pPr>
              <w:pStyle w:val="Tabletext"/>
              <w:rPr>
                <w:rFonts w:cs="Arial"/>
              </w:rPr>
            </w:pPr>
            <w:r w:rsidRPr="006B6D8D">
              <w:rPr>
                <w:rFonts w:eastAsiaTheme="majorEastAsia"/>
              </w:rPr>
              <w:t xml:space="preserve">Amending the requirement for information to be prominently </w:t>
            </w:r>
            <w:r w:rsidRPr="00F8010D">
              <w:rPr>
                <w:rStyle w:val="normaltextrun"/>
                <w:rFonts w:eastAsiaTheme="majorEastAsia" w:cs="Arial"/>
              </w:rPr>
              <w:t>displayed to include the certificate of accreditation.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6553F25E" w14:textId="77777777" w:rsidR="002A6914" w:rsidRPr="006B6D8D" w:rsidRDefault="002A6914" w:rsidP="006B6D8D">
            <w:pPr>
              <w:pStyle w:val="Tabletext"/>
              <w:rPr>
                <w:lang w:eastAsia="en-AU"/>
              </w:rPr>
            </w:pPr>
          </w:p>
        </w:tc>
        <w:tc>
          <w:tcPr>
            <w:tcW w:w="3899" w:type="dxa"/>
            <w:hideMark/>
          </w:tcPr>
          <w:p w14:paraId="6085E96C" w14:textId="4A587ECC" w:rsidR="002A6914" w:rsidRPr="002B3C70" w:rsidRDefault="002A6914" w:rsidP="00913406">
            <w:pPr>
              <w:pStyle w:val="Tabletext"/>
            </w:pPr>
            <w:r w:rsidRPr="002B3C70">
              <w:t>To promote transparency of safety and quality accreditation for consumers</w:t>
            </w:r>
            <w:r w:rsidR="0029705E">
              <w:t>.</w:t>
            </w:r>
            <w:r w:rsidRPr="002B3C70">
              <w:t xml:space="preserve"> </w:t>
            </w:r>
          </w:p>
        </w:tc>
        <w:tc>
          <w:tcPr>
            <w:tcW w:w="1559" w:type="dxa"/>
          </w:tcPr>
          <w:p w14:paraId="0C58B5F2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7637CF35" w14:textId="77777777" w:rsidTr="003B0B1A">
        <w:tblPrEx>
          <w:tblLook w:val="04A0" w:firstRow="1" w:lastRow="0" w:firstColumn="1" w:lastColumn="0" w:noHBand="0" w:noVBand="1"/>
        </w:tblPrEx>
        <w:trPr>
          <w:trHeight w:val="1253"/>
        </w:trPr>
        <w:tc>
          <w:tcPr>
            <w:tcW w:w="1128" w:type="dxa"/>
            <w:hideMark/>
          </w:tcPr>
          <w:p w14:paraId="7A07AF4F" w14:textId="77777777" w:rsidR="002A6914" w:rsidRPr="00442346" w:rsidRDefault="002A6914" w:rsidP="00913406">
            <w:pPr>
              <w:pStyle w:val="Tabletext"/>
              <w:rPr>
                <w:b/>
                <w:color w:val="FF0000"/>
              </w:rPr>
            </w:pPr>
            <w:r w:rsidRPr="00442346">
              <w:rPr>
                <w:b/>
                <w:color w:val="FF0000"/>
              </w:rPr>
              <w:t>NEW</w:t>
            </w:r>
          </w:p>
          <w:p w14:paraId="13DD5F44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59</w:t>
            </w:r>
          </w:p>
        </w:tc>
        <w:tc>
          <w:tcPr>
            <w:tcW w:w="3899" w:type="dxa"/>
            <w:hideMark/>
          </w:tcPr>
          <w:p w14:paraId="2E9C6708" w14:textId="77777777" w:rsidR="002A6914" w:rsidRPr="00E76FC0" w:rsidRDefault="002A6914" w:rsidP="00E76FC0">
            <w:pPr>
              <w:pStyle w:val="Tabletext"/>
              <w:rPr>
                <w:b/>
              </w:rPr>
            </w:pPr>
            <w:r w:rsidRPr="00E76FC0">
              <w:rPr>
                <w:b/>
              </w:rPr>
              <w:t>Infringement offences and infringement penalties</w:t>
            </w:r>
          </w:p>
          <w:p w14:paraId="412961A4" w14:textId="77777777" w:rsidR="002A6914" w:rsidRPr="00F8010D" w:rsidRDefault="002A6914" w:rsidP="00E76FC0">
            <w:pPr>
              <w:pStyle w:val="Tabletext"/>
              <w:rPr>
                <w:rStyle w:val="eop"/>
                <w:rFonts w:eastAsiaTheme="majorEastAsia" w:cs="Arial"/>
                <w:color w:val="000000"/>
                <w:shd w:val="clear" w:color="auto" w:fill="FFFFFF"/>
              </w:rPr>
            </w:pPr>
            <w:r w:rsidRPr="00E76FC0">
              <w:rPr>
                <w:rFonts w:eastAsiaTheme="majorEastAsia"/>
              </w:rPr>
              <w:t xml:space="preserve">Prescribing new infringement offences and </w:t>
            </w:r>
            <w:r w:rsidRPr="00F8010D">
              <w:rPr>
                <w:rStyle w:val="normaltextrun"/>
                <w:rFonts w:eastAsiaTheme="majorEastAsia" w:cs="Arial"/>
                <w:color w:val="000000"/>
                <w:shd w:val="clear" w:color="auto" w:fill="FFFFFF"/>
              </w:rPr>
              <w:t>penalties for 29 of the existing penalty offences in the Regulations.</w:t>
            </w:r>
            <w:r w:rsidRPr="00F8010D">
              <w:rPr>
                <w:rStyle w:val="eop"/>
                <w:rFonts w:eastAsiaTheme="majorEastAsia" w:cs="Arial"/>
                <w:color w:val="000000"/>
                <w:shd w:val="clear" w:color="auto" w:fill="FFFFFF"/>
              </w:rPr>
              <w:t> </w:t>
            </w:r>
          </w:p>
          <w:p w14:paraId="6B93B235" w14:textId="77777777" w:rsidR="002A6914" w:rsidRPr="00E76FC0" w:rsidRDefault="002A6914" w:rsidP="00E76FC0">
            <w:pPr>
              <w:pStyle w:val="Tabletext"/>
              <w:rPr>
                <w:lang w:eastAsia="en-AU"/>
              </w:rPr>
            </w:pPr>
          </w:p>
        </w:tc>
        <w:tc>
          <w:tcPr>
            <w:tcW w:w="3899" w:type="dxa"/>
            <w:hideMark/>
          </w:tcPr>
          <w:p w14:paraId="5B065EAA" w14:textId="3E5FEA6B" w:rsidR="002A6914" w:rsidRPr="002B3C70" w:rsidRDefault="002A6914" w:rsidP="001D08A2">
            <w:pPr>
              <w:pStyle w:val="Tabletext"/>
            </w:pPr>
            <w:r w:rsidRPr="002B3C70">
              <w:t xml:space="preserve">To </w:t>
            </w:r>
            <w:r w:rsidR="0016620F">
              <w:t>allow the Health Regulator to issue</w:t>
            </w:r>
            <w:r w:rsidRPr="002B3C70">
              <w:t xml:space="preserve"> </w:t>
            </w:r>
            <w:r w:rsidRPr="002B3C70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 xml:space="preserve">infringement notices (fines) </w:t>
            </w:r>
            <w:r w:rsidR="001D08A2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 xml:space="preserve">as a </w:t>
            </w:r>
            <w:r w:rsidR="001D08A2" w:rsidRPr="002B3C70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>proportionate and timely</w:t>
            </w:r>
            <w:r w:rsidR="001D08A2" w:rsidRPr="002B3C70" w:rsidDel="0016620F">
              <w:rPr>
                <w:rStyle w:val="normaltextrun"/>
                <w:rFonts w:eastAsiaTheme="majorEastAsia" w:cs="Arial"/>
                <w:color w:val="000000"/>
                <w:shd w:val="clear" w:color="auto" w:fill="FFFFFF"/>
              </w:rPr>
              <w:t xml:space="preserve"> </w:t>
            </w:r>
            <w:r w:rsidR="001D08A2">
              <w:rPr>
                <w:rStyle w:val="normaltextrun"/>
                <w:rFonts w:eastAsiaTheme="majorEastAsia" w:cs="Arial"/>
                <w:color w:val="000000"/>
                <w:shd w:val="clear" w:color="auto" w:fill="FFFFFF"/>
              </w:rPr>
              <w:t xml:space="preserve">response </w:t>
            </w:r>
            <w:r w:rsidR="001D08A2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>to</w:t>
            </w:r>
            <w:r w:rsidRPr="002B3C70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 xml:space="preserve"> non-compliance</w:t>
            </w:r>
            <w:r w:rsidR="0056791A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 xml:space="preserve"> without </w:t>
            </w:r>
            <w:r w:rsidR="008D5E0F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 xml:space="preserve">the need for court proceedings or </w:t>
            </w:r>
            <w:r w:rsidR="007512AF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>tougher sanctions.</w:t>
            </w:r>
            <w:r w:rsidR="0029705E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4C67A7EE" w14:textId="00B0DE58" w:rsidR="001D3E1C" w:rsidRDefault="002A6914" w:rsidP="00913406">
            <w:pPr>
              <w:pStyle w:val="Tabletext"/>
            </w:pPr>
            <w:r w:rsidRPr="002B3C70">
              <w:t xml:space="preserve">31 August 2024 </w:t>
            </w:r>
          </w:p>
          <w:p w14:paraId="1E6A7C85" w14:textId="3F73BDCD" w:rsidR="002A6914" w:rsidRPr="002B3C70" w:rsidRDefault="00751F7C" w:rsidP="00913406">
            <w:pPr>
              <w:pStyle w:val="Tabletext"/>
            </w:pPr>
            <w:r>
              <w:t xml:space="preserve">To </w:t>
            </w:r>
            <w:r w:rsidR="00994A72">
              <w:t xml:space="preserve">be </w:t>
            </w:r>
            <w:r w:rsidR="00BA68B6">
              <w:t>coordin</w:t>
            </w:r>
            <w:r>
              <w:t>ate</w:t>
            </w:r>
            <w:r w:rsidR="00994A72">
              <w:t xml:space="preserve">d </w:t>
            </w:r>
            <w:r w:rsidR="00AE2089" w:rsidRPr="009C3454">
              <w:t xml:space="preserve">with </w:t>
            </w:r>
            <w:r w:rsidR="009C71F5" w:rsidRPr="009C3454">
              <w:t xml:space="preserve">broader reforms </w:t>
            </w:r>
            <w:r w:rsidR="00360C21" w:rsidRPr="009C3454">
              <w:t xml:space="preserve">across the </w:t>
            </w:r>
            <w:r w:rsidR="00BA68B6">
              <w:t>H</w:t>
            </w:r>
            <w:r w:rsidR="00360C21" w:rsidRPr="009C3454">
              <w:t xml:space="preserve">ealth </w:t>
            </w:r>
            <w:r w:rsidR="00BA68B6">
              <w:t>R</w:t>
            </w:r>
            <w:r w:rsidR="00360C21" w:rsidRPr="009C3454">
              <w:t>egulator</w:t>
            </w:r>
            <w:r w:rsidR="006B0AF9">
              <w:t>.</w:t>
            </w:r>
            <w:r w:rsidR="002A6914" w:rsidRPr="002B3C70">
              <w:t xml:space="preserve"> </w:t>
            </w:r>
          </w:p>
        </w:tc>
      </w:tr>
      <w:tr w:rsidR="002A6914" w:rsidRPr="00F8010D" w14:paraId="41D7EEC4" w14:textId="77777777" w:rsidTr="003B0B1A">
        <w:tblPrEx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1128" w:type="dxa"/>
            <w:hideMark/>
          </w:tcPr>
          <w:p w14:paraId="56151CBD" w14:textId="77777777" w:rsidR="002A6914" w:rsidRPr="002B3C70" w:rsidRDefault="002A6914" w:rsidP="00913406">
            <w:pPr>
              <w:pStyle w:val="Tabletext"/>
            </w:pPr>
            <w:r w:rsidRPr="002B3C70">
              <w:t>46(3) and (4)</w:t>
            </w:r>
          </w:p>
          <w:p w14:paraId="02FC5B80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60(</w:t>
            </w:r>
            <w:proofErr w:type="gramStart"/>
            <w:r w:rsidRPr="00442346">
              <w:rPr>
                <w:b/>
                <w:color w:val="FF0000"/>
              </w:rPr>
              <w:t>5)&amp;</w:t>
            </w:r>
            <w:proofErr w:type="gramEnd"/>
            <w:r w:rsidRPr="00442346">
              <w:rPr>
                <w:b/>
                <w:color w:val="FF0000"/>
              </w:rPr>
              <w:t>(6)</w:t>
            </w:r>
          </w:p>
        </w:tc>
        <w:tc>
          <w:tcPr>
            <w:tcW w:w="3899" w:type="dxa"/>
            <w:hideMark/>
          </w:tcPr>
          <w:p w14:paraId="264EF300" w14:textId="77777777" w:rsidR="002A6914" w:rsidRPr="00E76FC0" w:rsidRDefault="002A6914" w:rsidP="00E76FC0">
            <w:pPr>
              <w:pStyle w:val="Tabletext"/>
              <w:rPr>
                <w:b/>
              </w:rPr>
            </w:pPr>
            <w:r w:rsidRPr="00E76FC0">
              <w:rPr>
                <w:b/>
              </w:rPr>
              <w:t>Returns and reports to be given to the Secretary</w:t>
            </w:r>
          </w:p>
          <w:p w14:paraId="3DCD1501" w14:textId="77777777" w:rsidR="002A6914" w:rsidRPr="00F8010D" w:rsidRDefault="002A6914" w:rsidP="00E76FC0">
            <w:pPr>
              <w:pStyle w:val="Tabletext"/>
              <w:rPr>
                <w:rFonts w:cs="Arial"/>
              </w:rPr>
            </w:pPr>
            <w:r w:rsidRPr="00E76FC0">
              <w:rPr>
                <w:rFonts w:eastAsiaTheme="majorEastAsia"/>
              </w:rPr>
              <w:t xml:space="preserve">Amending the requirements for returns and reports to </w:t>
            </w:r>
            <w:r w:rsidRPr="00F8010D">
              <w:rPr>
                <w:rStyle w:val="normaltextrun"/>
                <w:rFonts w:eastAsiaTheme="majorEastAsia" w:cs="Arial"/>
              </w:rPr>
              <w:t>be given to the Secretary to include mobile services.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7FAB9536" w14:textId="77777777" w:rsidR="002A6914" w:rsidRPr="00E76FC0" w:rsidRDefault="002A6914" w:rsidP="00E76FC0">
            <w:pPr>
              <w:pStyle w:val="Tabletext"/>
            </w:pPr>
          </w:p>
        </w:tc>
        <w:tc>
          <w:tcPr>
            <w:tcW w:w="3899" w:type="dxa"/>
            <w:hideMark/>
          </w:tcPr>
          <w:p w14:paraId="74882E40" w14:textId="6852726F" w:rsidR="002A6914" w:rsidRPr="002B3C70" w:rsidRDefault="002A6914" w:rsidP="00913406">
            <w:pPr>
              <w:pStyle w:val="Tabletext"/>
            </w:pPr>
            <w:r w:rsidRPr="002B3C70">
              <w:t xml:space="preserve">Formalising the current practice of </w:t>
            </w:r>
            <w:r w:rsidR="006C07BC">
              <w:t>annual reporting by</w:t>
            </w:r>
            <w:r w:rsidRPr="002B3C70">
              <w:t xml:space="preserve"> HSE</w:t>
            </w:r>
            <w:r w:rsidR="006C06AD">
              <w:t>s</w:t>
            </w:r>
            <w:r w:rsidR="006C07BC">
              <w:t xml:space="preserve"> that</w:t>
            </w:r>
            <w:r w:rsidRPr="002B3C70">
              <w:t xml:space="preserve"> provid</w:t>
            </w:r>
            <w:r w:rsidR="006C07BC">
              <w:t>e</w:t>
            </w:r>
            <w:r w:rsidRPr="002B3C70">
              <w:t xml:space="preserve"> mobile services. This will </w:t>
            </w:r>
            <w:r w:rsidRPr="002B3C70">
              <w:rPr>
                <w:rStyle w:val="normaltextrun"/>
                <w:rFonts w:eastAsia="MS Gothic" w:cs="Arial"/>
                <w:color w:val="000000"/>
                <w:shd w:val="clear" w:color="auto" w:fill="FFFFFF"/>
              </w:rPr>
              <w:t>allow regulatory oversight of relevant performance and safety indicators.</w:t>
            </w:r>
          </w:p>
          <w:p w14:paraId="27635459" w14:textId="77777777" w:rsidR="002A6914" w:rsidRPr="002B3C70" w:rsidRDefault="002A6914" w:rsidP="00913406">
            <w:pPr>
              <w:pStyle w:val="Tabletext"/>
            </w:pPr>
          </w:p>
        </w:tc>
        <w:tc>
          <w:tcPr>
            <w:tcW w:w="1559" w:type="dxa"/>
          </w:tcPr>
          <w:p w14:paraId="28A7A0FE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  <w:tr w:rsidR="002A6914" w:rsidRPr="00F8010D" w14:paraId="78856C3F" w14:textId="77777777" w:rsidTr="003B0B1A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128" w:type="dxa"/>
            <w:hideMark/>
          </w:tcPr>
          <w:p w14:paraId="13EF9B6A" w14:textId="77777777" w:rsidR="002A6914" w:rsidRPr="002B3C70" w:rsidRDefault="002A6914" w:rsidP="00913406">
            <w:pPr>
              <w:pStyle w:val="Tabletext"/>
            </w:pPr>
            <w:r w:rsidRPr="002B3C70">
              <w:t>48(1)(b)</w:t>
            </w:r>
          </w:p>
          <w:p w14:paraId="6A29EC8D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63(1)(</w:t>
            </w:r>
            <w:proofErr w:type="gramStart"/>
            <w:r w:rsidRPr="00442346">
              <w:rPr>
                <w:b/>
                <w:color w:val="FF0000"/>
              </w:rPr>
              <w:t>b)&amp;</w:t>
            </w:r>
            <w:proofErr w:type="gramEnd"/>
            <w:r w:rsidRPr="00442346">
              <w:rPr>
                <w:b/>
                <w:color w:val="FF0000"/>
              </w:rPr>
              <w:t xml:space="preserve"> (2)</w:t>
            </w:r>
          </w:p>
        </w:tc>
        <w:tc>
          <w:tcPr>
            <w:tcW w:w="3899" w:type="dxa"/>
            <w:hideMark/>
          </w:tcPr>
          <w:p w14:paraId="6564BC28" w14:textId="77777777" w:rsidR="002A6914" w:rsidRPr="00E76FC0" w:rsidRDefault="002A6914" w:rsidP="00E76FC0">
            <w:pPr>
              <w:pStyle w:val="Tabletext"/>
              <w:rPr>
                <w:b/>
              </w:rPr>
            </w:pPr>
            <w:r w:rsidRPr="00E76FC0">
              <w:rPr>
                <w:b/>
              </w:rPr>
              <w:t>Review of quality and safety of health services provided</w:t>
            </w:r>
          </w:p>
          <w:p w14:paraId="649329B0" w14:textId="77777777" w:rsidR="002A6914" w:rsidRPr="00F8010D" w:rsidRDefault="002A6914" w:rsidP="00E76FC0">
            <w:pPr>
              <w:pStyle w:val="Tabletext"/>
              <w:rPr>
                <w:rFonts w:cs="Arial"/>
              </w:rPr>
            </w:pPr>
            <w:r w:rsidRPr="00E76FC0">
              <w:rPr>
                <w:rFonts w:eastAsiaTheme="majorEastAsia"/>
              </w:rPr>
              <w:t xml:space="preserve">Amending the requirements to record and </w:t>
            </w:r>
            <w:r w:rsidRPr="00F8010D">
              <w:rPr>
                <w:rStyle w:val="normaltextrun"/>
                <w:rFonts w:eastAsiaTheme="majorEastAsia" w:cs="Arial"/>
              </w:rPr>
              <w:t>review information to include transfers out of patients for escalation of care, and to make information recorded under this Regulation available to the Secretary on request.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7CB338FF" w14:textId="77777777" w:rsidR="002A6914" w:rsidRPr="00E76FC0" w:rsidRDefault="002A6914" w:rsidP="00E76FC0">
            <w:pPr>
              <w:pStyle w:val="Tabletext"/>
              <w:rPr>
                <w:lang w:eastAsia="en-AU"/>
              </w:rPr>
            </w:pPr>
          </w:p>
        </w:tc>
        <w:tc>
          <w:tcPr>
            <w:tcW w:w="3899" w:type="dxa"/>
            <w:hideMark/>
          </w:tcPr>
          <w:p w14:paraId="029E9CB4" w14:textId="77777777" w:rsidR="002A6914" w:rsidRPr="00E5537B" w:rsidRDefault="002A6914" w:rsidP="00E76FC0">
            <w:pPr>
              <w:pStyle w:val="Tabletext"/>
              <w:rPr>
                <w:rFonts w:cs="Arial"/>
              </w:rPr>
            </w:pPr>
            <w:r w:rsidRPr="00E76FC0">
              <w:rPr>
                <w:rFonts w:eastAsiaTheme="majorEastAsia"/>
              </w:rPr>
              <w:t xml:space="preserve">This will </w:t>
            </w:r>
            <w:r w:rsidRPr="00E5537B">
              <w:rPr>
                <w:rStyle w:val="normaltextrun"/>
                <w:rFonts w:eastAsia="MS Gothic" w:cs="Arial"/>
              </w:rPr>
              <w:t>supplement</w:t>
            </w:r>
            <w:r w:rsidRPr="00E5537B">
              <w:rPr>
                <w:rStyle w:val="normaltextrun"/>
                <w:rFonts w:eastAsiaTheme="majorEastAsia" w:cs="Arial"/>
              </w:rPr>
              <w:t xml:space="preserve"> the</w:t>
            </w:r>
            <w:r w:rsidRPr="00E5537B">
              <w:rPr>
                <w:rStyle w:val="normaltextrun"/>
                <w:rFonts w:eastAsia="MS Gothic" w:cs="Arial"/>
              </w:rPr>
              <w:t xml:space="preserve"> existing requirement to record and review information about other key indicators such as morbidity and mortality and adverse events. </w:t>
            </w:r>
            <w:r w:rsidRPr="00E5537B">
              <w:rPr>
                <w:rStyle w:val="eop"/>
                <w:rFonts w:eastAsia="MS Mincho" w:cs="Arial"/>
              </w:rPr>
              <w:t> </w:t>
            </w:r>
          </w:p>
          <w:p w14:paraId="6A12F475" w14:textId="183C866C" w:rsidR="002A6914" w:rsidRPr="00E76FC0" w:rsidRDefault="002A6914" w:rsidP="00893079">
            <w:pPr>
              <w:pStyle w:val="Tabletext"/>
            </w:pPr>
            <w:r w:rsidRPr="00E76FC0">
              <w:rPr>
                <w:rFonts w:eastAsiaTheme="majorEastAsia"/>
              </w:rPr>
              <w:t xml:space="preserve">The provision of this </w:t>
            </w:r>
            <w:r w:rsidRPr="00E76FC0">
              <w:rPr>
                <w:rFonts w:eastAsia="MS Gothic"/>
              </w:rPr>
              <w:t>information</w:t>
            </w:r>
            <w:r w:rsidRPr="00E76FC0">
              <w:rPr>
                <w:rFonts w:eastAsiaTheme="majorEastAsia"/>
              </w:rPr>
              <w:t xml:space="preserve"> to</w:t>
            </w:r>
            <w:r w:rsidRPr="00E76FC0">
              <w:rPr>
                <w:rFonts w:eastAsia="MS Gothic"/>
              </w:rPr>
              <w:t xml:space="preserve"> the Secretary on request is intended to provide a streamlined and transparent mechanism for the Secretary to request any of the data collected under this </w:t>
            </w:r>
            <w:r w:rsidR="003A3C47" w:rsidRPr="00E76FC0">
              <w:rPr>
                <w:rFonts w:eastAsia="MS Gothic"/>
              </w:rPr>
              <w:t>Regulation</w:t>
            </w:r>
            <w:r w:rsidRPr="00E76FC0">
              <w:rPr>
                <w:rFonts w:eastAsia="MS Gothic"/>
              </w:rPr>
              <w:t xml:space="preserve"> to improve the department’s oversight</w:t>
            </w:r>
            <w:r w:rsidRPr="00E76FC0">
              <w:rPr>
                <w:rFonts w:eastAsiaTheme="majorEastAsia"/>
              </w:rPr>
              <w:t>.</w:t>
            </w:r>
          </w:p>
        </w:tc>
        <w:tc>
          <w:tcPr>
            <w:tcW w:w="1559" w:type="dxa"/>
          </w:tcPr>
          <w:p w14:paraId="74390A50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  <w:p w14:paraId="4B4D88C9" w14:textId="77777777" w:rsidR="002A6914" w:rsidRPr="002B3C70" w:rsidRDefault="002A6914" w:rsidP="00913406">
            <w:pPr>
              <w:pStyle w:val="Tabletext"/>
              <w:rPr>
                <w:lang w:eastAsia="en-AU"/>
              </w:rPr>
            </w:pPr>
          </w:p>
        </w:tc>
      </w:tr>
      <w:tr w:rsidR="002A6914" w:rsidRPr="00F8010D" w14:paraId="2BAA9769" w14:textId="77777777" w:rsidTr="6A00E69C">
        <w:tblPrEx>
          <w:tblLook w:val="04A0" w:firstRow="1" w:lastRow="0" w:firstColumn="1" w:lastColumn="0" w:noHBand="0" w:noVBand="1"/>
        </w:tblPrEx>
        <w:trPr>
          <w:trHeight w:val="6120"/>
        </w:trPr>
        <w:tc>
          <w:tcPr>
            <w:tcW w:w="1128" w:type="dxa"/>
            <w:hideMark/>
          </w:tcPr>
          <w:p w14:paraId="319695F0" w14:textId="77777777" w:rsidR="002A6914" w:rsidRPr="002B3C70" w:rsidRDefault="002A6914" w:rsidP="00913406">
            <w:pPr>
              <w:pStyle w:val="Tabletext"/>
            </w:pPr>
            <w:r w:rsidRPr="002B3C70">
              <w:lastRenderedPageBreak/>
              <w:t>46A</w:t>
            </w:r>
          </w:p>
          <w:p w14:paraId="7902E523" w14:textId="77777777" w:rsidR="002A6914" w:rsidRPr="002B3C70" w:rsidRDefault="002A6914" w:rsidP="00913406">
            <w:pPr>
              <w:pStyle w:val="Tabletext"/>
            </w:pPr>
            <w:r w:rsidRPr="00442346">
              <w:rPr>
                <w:b/>
                <w:color w:val="FF0000"/>
              </w:rPr>
              <w:t>66</w:t>
            </w:r>
          </w:p>
          <w:p w14:paraId="7F1D5E75" w14:textId="77777777" w:rsidR="002A6914" w:rsidRPr="00E76FC0" w:rsidRDefault="002A6914" w:rsidP="00913406">
            <w:pPr>
              <w:pStyle w:val="Tabletext"/>
              <w:rPr>
                <w:b/>
                <w:color w:val="FF0000"/>
              </w:rPr>
            </w:pPr>
            <w:r w:rsidRPr="00E76FC0">
              <w:rPr>
                <w:b/>
                <w:color w:val="FF0000"/>
              </w:rPr>
              <w:t xml:space="preserve">NEW </w:t>
            </w:r>
          </w:p>
          <w:p w14:paraId="24BD9A54" w14:textId="77777777" w:rsidR="002A6914" w:rsidRPr="002B3C70" w:rsidRDefault="002A6914" w:rsidP="00913406">
            <w:pPr>
              <w:pStyle w:val="Tabletext"/>
            </w:pPr>
            <w:r w:rsidRPr="00E76FC0">
              <w:rPr>
                <w:b/>
                <w:color w:val="FF0000"/>
              </w:rPr>
              <w:t>67</w:t>
            </w:r>
          </w:p>
        </w:tc>
        <w:tc>
          <w:tcPr>
            <w:tcW w:w="3899" w:type="dxa"/>
            <w:hideMark/>
          </w:tcPr>
          <w:p w14:paraId="18D64AAE" w14:textId="77777777" w:rsidR="002A6914" w:rsidRPr="00E76FC0" w:rsidRDefault="002A6914" w:rsidP="00E76FC0">
            <w:pPr>
              <w:pStyle w:val="Tabletext"/>
              <w:rPr>
                <w:b/>
              </w:rPr>
            </w:pPr>
            <w:r w:rsidRPr="00E76FC0">
              <w:rPr>
                <w:b/>
              </w:rPr>
              <w:t>Reporting of sentinel events</w:t>
            </w:r>
          </w:p>
          <w:p w14:paraId="6FFBB798" w14:textId="54BBF4F1" w:rsidR="002A6914" w:rsidRPr="00F8010D" w:rsidRDefault="002A6914" w:rsidP="00E76FC0">
            <w:pPr>
              <w:pStyle w:val="Tabletext"/>
              <w:rPr>
                <w:rFonts w:cs="Arial"/>
              </w:rPr>
            </w:pPr>
            <w:r w:rsidRPr="00E76FC0">
              <w:rPr>
                <w:rFonts w:eastAsiaTheme="majorEastAsia"/>
              </w:rPr>
              <w:t>Amending the requirement to report sentinel events to specify that it must be reported in the time and manner determined by the Secretary. The</w:t>
            </w:r>
            <w:r w:rsidR="009F7E3D">
              <w:rPr>
                <w:rFonts w:eastAsiaTheme="majorEastAsia"/>
              </w:rPr>
              <w:t xml:space="preserve"> determination</w:t>
            </w:r>
            <w:r w:rsidR="00A63DEA">
              <w:t xml:space="preserve"> </w:t>
            </w:r>
            <w:r w:rsidRPr="00E76FC0">
              <w:rPr>
                <w:rFonts w:eastAsiaTheme="majorEastAsia"/>
              </w:rPr>
              <w:t>specif</w:t>
            </w:r>
            <w:r w:rsidR="00A8307A">
              <w:rPr>
                <w:rFonts w:eastAsiaTheme="majorEastAsia"/>
              </w:rPr>
              <w:t>ies</w:t>
            </w:r>
            <w:r w:rsidRPr="00E76FC0">
              <w:rPr>
                <w:rFonts w:eastAsiaTheme="majorEastAsia"/>
              </w:rPr>
              <w:t xml:space="preserve"> SCV’s Sentinel Events Portal.</w:t>
            </w:r>
            <w:r w:rsidRPr="00F8010D">
              <w:rPr>
                <w:rStyle w:val="eop"/>
                <w:rFonts w:eastAsiaTheme="majorEastAsia" w:cs="Arial"/>
              </w:rPr>
              <w:t> </w:t>
            </w:r>
          </w:p>
          <w:p w14:paraId="7B463F41" w14:textId="261EC1AB" w:rsidR="002A6914" w:rsidRPr="00E76FC0" w:rsidRDefault="002A6914" w:rsidP="00E76FC0">
            <w:pPr>
              <w:pStyle w:val="Tabletext"/>
            </w:pPr>
            <w:r w:rsidRPr="00E76FC0">
              <w:rPr>
                <w:rFonts w:eastAsiaTheme="majorEastAsia"/>
              </w:rPr>
              <w:t xml:space="preserve">Adding a new requirement to review sentinel events and report on those reviews in the time and manner determined by the Secretary. </w:t>
            </w:r>
            <w:r w:rsidRPr="6A00E69C">
              <w:rPr>
                <w:rFonts w:eastAsiaTheme="majorEastAsia"/>
              </w:rPr>
              <w:t>The</w:t>
            </w:r>
            <w:r w:rsidR="002A07F9" w:rsidRPr="6A00E69C">
              <w:rPr>
                <w:rFonts w:eastAsiaTheme="majorEastAsia"/>
              </w:rPr>
              <w:t xml:space="preserve"> </w:t>
            </w:r>
            <w:r w:rsidR="00A63DEA" w:rsidRPr="009F7E3D">
              <w:t>determination</w:t>
            </w:r>
            <w:r w:rsidR="00A63DEA">
              <w:t xml:space="preserve"> </w:t>
            </w:r>
            <w:r w:rsidR="002A07F9" w:rsidRPr="6A00E69C">
              <w:rPr>
                <w:rFonts w:eastAsiaTheme="majorEastAsia"/>
              </w:rPr>
              <w:t>specifies th</w:t>
            </w:r>
            <w:r w:rsidR="0041599A" w:rsidRPr="6A00E69C">
              <w:rPr>
                <w:rFonts w:eastAsiaTheme="majorEastAsia"/>
              </w:rPr>
              <w:t>e</w:t>
            </w:r>
            <w:r w:rsidR="002A07F9" w:rsidRPr="6A00E69C">
              <w:rPr>
                <w:rFonts w:eastAsiaTheme="majorEastAsia"/>
              </w:rPr>
              <w:t xml:space="preserve"> requirements, which</w:t>
            </w:r>
            <w:r w:rsidRPr="6A00E69C">
              <w:rPr>
                <w:rFonts w:eastAsiaTheme="majorEastAsia"/>
              </w:rPr>
              <w:t xml:space="preserve"> align with SCV’s </w:t>
            </w:r>
            <w:hyperlink r:id="rId24">
              <w:r w:rsidRPr="6A00E69C">
                <w:rPr>
                  <w:rStyle w:val="Hyperlink"/>
                  <w:rFonts w:eastAsiaTheme="majorEastAsia"/>
                </w:rPr>
                <w:t>Sentinel Events Guide</w:t>
              </w:r>
            </w:hyperlink>
            <w:r w:rsidRPr="6A00E69C">
              <w:rPr>
                <w:rFonts w:eastAsiaTheme="majorEastAsia"/>
              </w:rPr>
              <w:t xml:space="preserve"> </w:t>
            </w:r>
            <w:r w:rsidR="16D752A0" w:rsidRPr="6A00E69C">
              <w:rPr>
                <w:rFonts w:eastAsia="Arial" w:cs="Arial"/>
                <w:color w:val="000000" w:themeColor="text1"/>
              </w:rPr>
              <w:t xml:space="preserve">&lt;https://www.safercare.vic.gov.au/best-practice-improvement/publications/sentinel-events-guide&gt; and </w:t>
            </w:r>
            <w:hyperlink r:id="rId25">
              <w:r w:rsidR="16D752A0" w:rsidRPr="6A00E69C">
                <w:rPr>
                  <w:rStyle w:val="Hyperlink"/>
                  <w:rFonts w:eastAsia="Arial" w:cs="Arial"/>
                </w:rPr>
                <w:t>Adverse Patient Safety Event Policy</w:t>
              </w:r>
            </w:hyperlink>
            <w:r w:rsidR="16D752A0" w:rsidRPr="6A00E69C">
              <w:rPr>
                <w:rFonts w:eastAsia="Arial" w:cs="Arial"/>
                <w:color w:val="000000" w:themeColor="text1"/>
              </w:rPr>
              <w:t xml:space="preserve"> &lt;https://www.safercare.vic.gov.au/best-practice-improvement/publications/policy-adverse-patient-safety-events&gt;. </w:t>
            </w:r>
          </w:p>
        </w:tc>
        <w:tc>
          <w:tcPr>
            <w:tcW w:w="3899" w:type="dxa"/>
            <w:hideMark/>
          </w:tcPr>
          <w:p w14:paraId="50F5AAB5" w14:textId="6EED2E3A" w:rsidR="002A6914" w:rsidRPr="00E76FC0" w:rsidRDefault="002A6914" w:rsidP="00E76FC0">
            <w:pPr>
              <w:pStyle w:val="Tabletext"/>
            </w:pPr>
            <w:r w:rsidRPr="00E76FC0">
              <w:t>Formalising reporting requirements to ensure robust review</w:t>
            </w:r>
            <w:r w:rsidR="00544ACE">
              <w:t>s</w:t>
            </w:r>
            <w:r w:rsidRPr="00E76FC0">
              <w:t xml:space="preserve">. A coordinated approach to review and reporting </w:t>
            </w:r>
            <w:r w:rsidRPr="00E76FC0">
              <w:rPr>
                <w:rFonts w:eastAsiaTheme="majorEastAsia"/>
              </w:rPr>
              <w:t>supports</w:t>
            </w:r>
            <w:r w:rsidRPr="00E76FC0">
              <w:rPr>
                <w:rFonts w:eastAsia="MS Gothic"/>
              </w:rPr>
              <w:t xml:space="preserve"> Safer Care Victoria’s State-wide sentinel event</w:t>
            </w:r>
            <w:r w:rsidR="008A084B">
              <w:rPr>
                <w:rFonts w:eastAsia="MS Gothic"/>
              </w:rPr>
              <w:t>s</w:t>
            </w:r>
            <w:r w:rsidRPr="00E76FC0">
              <w:rPr>
                <w:rFonts w:eastAsia="MS Gothic"/>
              </w:rPr>
              <w:t xml:space="preserve"> program, which provides system-wide oversight and consolidation of improvement insights. </w:t>
            </w:r>
          </w:p>
        </w:tc>
        <w:tc>
          <w:tcPr>
            <w:tcW w:w="1559" w:type="dxa"/>
          </w:tcPr>
          <w:p w14:paraId="7BA2B299" w14:textId="77777777" w:rsidR="002A6914" w:rsidRPr="002B3C70" w:rsidRDefault="002A6914" w:rsidP="00913406">
            <w:pPr>
              <w:pStyle w:val="Tabletext"/>
            </w:pPr>
            <w:r w:rsidRPr="002B3C70">
              <w:t>31 August 2024</w:t>
            </w:r>
          </w:p>
        </w:tc>
      </w:tr>
    </w:tbl>
    <w:p w14:paraId="5E2760CE" w14:textId="76EA5199" w:rsidR="00E92BA0" w:rsidRPr="00E92BA0" w:rsidRDefault="00E92BA0" w:rsidP="00E92BA0">
      <w:pPr>
        <w:pStyle w:val="Accessibilitypara"/>
        <w:rPr>
          <w:sz w:val="20"/>
          <w:szCs w:val="20"/>
        </w:rPr>
      </w:pPr>
      <w:r w:rsidRPr="00EB7756">
        <w:rPr>
          <w:sz w:val="20"/>
          <w:szCs w:val="20"/>
        </w:rPr>
        <w:t>T</w:t>
      </w:r>
      <w:r w:rsidRPr="00E92BA0">
        <w:rPr>
          <w:sz w:val="20"/>
          <w:szCs w:val="20"/>
        </w:rPr>
        <w:t xml:space="preserve">o receive this document in another format, </w:t>
      </w:r>
      <w:hyperlink r:id="rId26" w:tgtFrame="_blank" w:history="1">
        <w:r w:rsidRPr="00E92BA0">
          <w:rPr>
            <w:rStyle w:val="Hyperlink"/>
            <w:sz w:val="20"/>
            <w:szCs w:val="20"/>
          </w:rPr>
          <w:t>email the Department of Health’s Legislative and Regulatory Reform Team</w:t>
        </w:r>
      </w:hyperlink>
      <w:r w:rsidRPr="00E92BA0">
        <w:rPr>
          <w:sz w:val="20"/>
          <w:szCs w:val="20"/>
        </w:rPr>
        <w:t> at &lt;legandregreform@health.vic.gov.au&gt;.</w:t>
      </w:r>
    </w:p>
    <w:p w14:paraId="27B99874" w14:textId="77777777" w:rsidR="00E92BA0" w:rsidRPr="00E92BA0" w:rsidRDefault="00E92BA0" w:rsidP="00545CAA">
      <w:pPr>
        <w:pStyle w:val="Accessibilitypara"/>
        <w:widowControl w:val="0"/>
        <w:spacing w:after="0" w:line="240" w:lineRule="auto"/>
        <w:rPr>
          <w:sz w:val="20"/>
          <w:szCs w:val="20"/>
        </w:rPr>
      </w:pPr>
      <w:r w:rsidRPr="00E92BA0">
        <w:rPr>
          <w:sz w:val="20"/>
          <w:szCs w:val="20"/>
        </w:rPr>
        <w:t>Authorised and published by the Victorian Government, 1 Treasury Place, Melbourne. </w:t>
      </w:r>
    </w:p>
    <w:p w14:paraId="161A56E9" w14:textId="06261E91" w:rsidR="00E92BA0" w:rsidRPr="00CA4DB0" w:rsidRDefault="00E92BA0" w:rsidP="00545CAA">
      <w:pPr>
        <w:pStyle w:val="Accessibilitypara"/>
        <w:widowControl w:val="0"/>
        <w:spacing w:after="0" w:line="240" w:lineRule="auto"/>
        <w:rPr>
          <w:sz w:val="20"/>
          <w:szCs w:val="20"/>
        </w:rPr>
      </w:pPr>
      <w:r w:rsidRPr="00E92BA0">
        <w:rPr>
          <w:sz w:val="20"/>
          <w:szCs w:val="20"/>
        </w:rPr>
        <w:t xml:space="preserve">© State of Victoria, Australia, Department of Health, </w:t>
      </w:r>
      <w:r w:rsidR="00396AB0">
        <w:rPr>
          <w:sz w:val="20"/>
          <w:szCs w:val="20"/>
        </w:rPr>
        <w:t>August</w:t>
      </w:r>
      <w:r w:rsidRPr="00E92BA0">
        <w:rPr>
          <w:sz w:val="20"/>
          <w:szCs w:val="20"/>
        </w:rPr>
        <w:t xml:space="preserve"> 2024. </w:t>
      </w:r>
    </w:p>
    <w:p w14:paraId="4A6A96ED" w14:textId="3A6ECE21" w:rsidR="2E40F7CC" w:rsidRPr="00CA4DB0" w:rsidRDefault="2E40F7CC" w:rsidP="00545CAA">
      <w:pPr>
        <w:pStyle w:val="Imprint"/>
        <w:widowControl w:val="0"/>
        <w:spacing w:after="0" w:line="240" w:lineRule="auto"/>
      </w:pPr>
      <w:r w:rsidRPr="0055580D">
        <w:rPr>
          <w:color w:val="auto"/>
        </w:rPr>
        <w:t xml:space="preserve">In this document, ‘Aboriginal’ refers to both Aboriginal and Torres Strait Islander people. </w:t>
      </w:r>
    </w:p>
    <w:p w14:paraId="0B84E80A" w14:textId="1296A763" w:rsidR="00CA4DB0" w:rsidRDefault="00E92BA0" w:rsidP="00545CAA">
      <w:pPr>
        <w:pStyle w:val="Accessibilitypara"/>
        <w:widowControl w:val="0"/>
        <w:spacing w:after="0" w:line="240" w:lineRule="auto"/>
        <w:rPr>
          <w:sz w:val="20"/>
          <w:szCs w:val="20"/>
        </w:rPr>
      </w:pPr>
      <w:r w:rsidRPr="00E92BA0">
        <w:rPr>
          <w:sz w:val="20"/>
          <w:szCs w:val="20"/>
        </w:rPr>
        <w:t xml:space="preserve">ISBN </w:t>
      </w:r>
      <w:r w:rsidR="0091010D" w:rsidRPr="0091010D">
        <w:rPr>
          <w:sz w:val="20"/>
          <w:szCs w:val="20"/>
        </w:rPr>
        <w:t xml:space="preserve">978-1-76131-659-3 </w:t>
      </w:r>
      <w:r w:rsidRPr="00E92BA0">
        <w:rPr>
          <w:sz w:val="20"/>
          <w:szCs w:val="20"/>
        </w:rPr>
        <w:t>(Word) </w:t>
      </w:r>
    </w:p>
    <w:p w14:paraId="4B8508D4" w14:textId="53A07236" w:rsidR="00E92BA0" w:rsidRPr="00E92BA0" w:rsidRDefault="00E92BA0" w:rsidP="00545CAA">
      <w:pPr>
        <w:pStyle w:val="Accessibilitypara"/>
        <w:widowControl w:val="0"/>
        <w:spacing w:after="0" w:line="240" w:lineRule="auto"/>
        <w:rPr>
          <w:sz w:val="20"/>
          <w:szCs w:val="20"/>
        </w:rPr>
      </w:pPr>
      <w:r w:rsidRPr="00E92BA0">
        <w:rPr>
          <w:sz w:val="20"/>
          <w:szCs w:val="20"/>
        </w:rPr>
        <w:t xml:space="preserve">Available the Department of Health website </w:t>
      </w:r>
      <w:hyperlink r:id="rId27" w:tgtFrame="_blank" w:history="1">
        <w:r w:rsidRPr="00E92BA0">
          <w:rPr>
            <w:rStyle w:val="Hyperlink"/>
            <w:sz w:val="20"/>
            <w:szCs w:val="20"/>
          </w:rPr>
          <w:t>Private Health Service Establishments</w:t>
        </w:r>
      </w:hyperlink>
      <w:r w:rsidRPr="00E92BA0">
        <w:rPr>
          <w:sz w:val="20"/>
          <w:szCs w:val="20"/>
        </w:rPr>
        <w:t> </w:t>
      </w:r>
      <w:r w:rsidR="00CA4DB0">
        <w:rPr>
          <w:sz w:val="20"/>
          <w:szCs w:val="20"/>
        </w:rPr>
        <w:t xml:space="preserve"> </w:t>
      </w:r>
      <w:r w:rsidRPr="00E92BA0">
        <w:rPr>
          <w:sz w:val="20"/>
          <w:szCs w:val="20"/>
        </w:rPr>
        <w:t>&lt;https://www.health.vic.gov.au/hospitals-and-health-services/private-health-service-establishments&gt;</w:t>
      </w:r>
    </w:p>
    <w:p w14:paraId="60334E30" w14:textId="77777777" w:rsidR="001F1736" w:rsidRDefault="001F1736" w:rsidP="001F1736">
      <w:pPr>
        <w:pStyle w:val="Body"/>
      </w:pPr>
    </w:p>
    <w:p w14:paraId="63C3DBF6" w14:textId="79C8B398" w:rsidR="002A6914" w:rsidRDefault="002A6914" w:rsidP="00162CA9">
      <w:pPr>
        <w:pStyle w:val="Body"/>
      </w:pPr>
    </w:p>
    <w:sectPr w:rsidR="002A6914" w:rsidSect="003939AF">
      <w:footerReference w:type="default" r:id="rId28"/>
      <w:type w:val="continuous"/>
      <w:pgSz w:w="11906" w:h="16838" w:code="9"/>
      <w:pgMar w:top="1418" w:right="851" w:bottom="113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3D206" w14:textId="77777777" w:rsidR="00193F5E" w:rsidRDefault="00193F5E">
      <w:r>
        <w:separator/>
      </w:r>
    </w:p>
  </w:endnote>
  <w:endnote w:type="continuationSeparator" w:id="0">
    <w:p w14:paraId="74DBF33A" w14:textId="77777777" w:rsidR="00193F5E" w:rsidRDefault="00193F5E">
      <w:r>
        <w:continuationSeparator/>
      </w:r>
    </w:p>
  </w:endnote>
  <w:endnote w:type="continuationNotice" w:id="1">
    <w:p w14:paraId="190A0D1C" w14:textId="77777777" w:rsidR="00193F5E" w:rsidRDefault="00193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058470770" name="Picture 105847077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73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2DBF9" w14:textId="25B0AD0F" w:rsidR="00777440" w:rsidRDefault="0077744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E852A" w14:textId="3C69392A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6D65" w14:textId="77777777" w:rsidR="00193F5E" w:rsidRDefault="00193F5E" w:rsidP="002862F1">
      <w:pPr>
        <w:spacing w:before="120"/>
      </w:pPr>
      <w:r>
        <w:separator/>
      </w:r>
    </w:p>
  </w:footnote>
  <w:footnote w:type="continuationSeparator" w:id="0">
    <w:p w14:paraId="3A3D1C0A" w14:textId="77777777" w:rsidR="00193F5E" w:rsidRDefault="00193F5E">
      <w:r>
        <w:continuationSeparator/>
      </w:r>
    </w:p>
  </w:footnote>
  <w:footnote w:type="continuationNotice" w:id="1">
    <w:p w14:paraId="4D407879" w14:textId="77777777" w:rsidR="00193F5E" w:rsidRDefault="00193F5E">
      <w:pPr>
        <w:spacing w:after="0" w:line="240" w:lineRule="auto"/>
      </w:pPr>
    </w:p>
  </w:footnote>
  <w:footnote w:id="2">
    <w:p w14:paraId="4984F3C8" w14:textId="74667E9D" w:rsidR="00541FD9" w:rsidRDefault="0054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4534">
        <w:t xml:space="preserve">For the purposes of this </w:t>
      </w:r>
      <w:r w:rsidR="00DF6781">
        <w:t>document</w:t>
      </w:r>
      <w:r w:rsidR="00CE4534">
        <w:t>, the term ‘notification’ refers to the initial report that a sentinel event has occurred. This terminology aligns with SVC’s Victorian Sentinel Events Guide and Adverse Patient Safety Event Policy.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9D3E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4DFA" w14:textId="16388FFC" w:rsidR="00D60BE2" w:rsidRDefault="00953859" w:rsidP="0011701A">
    <w:pPr>
      <w:pStyle w:val="Header"/>
    </w:pPr>
    <w:r>
      <w:t>Health Services (Health Service Establishment Regulations)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67DAA"/>
    <w:multiLevelType w:val="hybridMultilevel"/>
    <w:tmpl w:val="657812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870F4"/>
    <w:multiLevelType w:val="multilevel"/>
    <w:tmpl w:val="B240D0C2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>
      <w:start w:val="11"/>
      <w:numFmt w:val="bullet"/>
      <w:pStyle w:val="Bullet3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3733412"/>
    <w:multiLevelType w:val="hybridMultilevel"/>
    <w:tmpl w:val="1B448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B2551B"/>
    <w:multiLevelType w:val="hybridMultilevel"/>
    <w:tmpl w:val="7256C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23D4E6E"/>
    <w:multiLevelType w:val="hybridMultilevel"/>
    <w:tmpl w:val="76CA7E4A"/>
    <w:lvl w:ilvl="0" w:tplc="4B429C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5AB7"/>
    <w:multiLevelType w:val="hybridMultilevel"/>
    <w:tmpl w:val="DB607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22A33"/>
    <w:multiLevelType w:val="hybridMultilevel"/>
    <w:tmpl w:val="E544E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73097D"/>
    <w:multiLevelType w:val="hybridMultilevel"/>
    <w:tmpl w:val="3F982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BA1E5A"/>
    <w:multiLevelType w:val="multilevel"/>
    <w:tmpl w:val="8FFADBB6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FF16227"/>
    <w:multiLevelType w:val="hybridMultilevel"/>
    <w:tmpl w:val="79309F8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562A3"/>
    <w:multiLevelType w:val="hybridMultilevel"/>
    <w:tmpl w:val="43A8F38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04A26B8"/>
    <w:multiLevelType w:val="hybridMultilevel"/>
    <w:tmpl w:val="D9763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9653FE"/>
    <w:multiLevelType w:val="hybridMultilevel"/>
    <w:tmpl w:val="1E588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2D120A"/>
    <w:multiLevelType w:val="hybridMultilevel"/>
    <w:tmpl w:val="994EB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38937">
    <w:abstractNumId w:val="21"/>
  </w:num>
  <w:num w:numId="2" w16cid:durableId="266691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017650">
    <w:abstractNumId w:val="29"/>
  </w:num>
  <w:num w:numId="4" w16cid:durableId="862792333">
    <w:abstractNumId w:val="27"/>
  </w:num>
  <w:num w:numId="5" w16cid:durableId="1677032175">
    <w:abstractNumId w:val="31"/>
  </w:num>
  <w:num w:numId="6" w16cid:durableId="1122504227">
    <w:abstractNumId w:val="22"/>
  </w:num>
  <w:num w:numId="7" w16cid:durableId="370688605">
    <w:abstractNumId w:val="14"/>
  </w:num>
  <w:num w:numId="8" w16cid:durableId="1297492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19605">
    <w:abstractNumId w:val="39"/>
  </w:num>
  <w:num w:numId="10" w16cid:durableId="416244288">
    <w:abstractNumId w:val="35"/>
  </w:num>
  <w:num w:numId="11" w16cid:durableId="1561211039">
    <w:abstractNumId w:val="38"/>
  </w:num>
  <w:num w:numId="12" w16cid:durableId="2053113146">
    <w:abstractNumId w:val="18"/>
  </w:num>
  <w:num w:numId="13" w16cid:durableId="2045590386">
    <w:abstractNumId w:val="28"/>
  </w:num>
  <w:num w:numId="14" w16cid:durableId="665480075">
    <w:abstractNumId w:val="26"/>
  </w:num>
  <w:num w:numId="15" w16cid:durableId="1204059191">
    <w:abstractNumId w:val="33"/>
  </w:num>
  <w:num w:numId="16" w16cid:durableId="408965002">
    <w:abstractNumId w:val="16"/>
  </w:num>
  <w:num w:numId="17" w16cid:durableId="1623146888">
    <w:abstractNumId w:val="10"/>
  </w:num>
  <w:num w:numId="18" w16cid:durableId="884416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2925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80254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28713">
    <w:abstractNumId w:val="20"/>
  </w:num>
  <w:num w:numId="22" w16cid:durableId="1534537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4450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8218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28354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63983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9555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0316531">
    <w:abstractNumId w:val="34"/>
  </w:num>
  <w:num w:numId="29" w16cid:durableId="998361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5690328">
    <w:abstractNumId w:val="12"/>
  </w:num>
  <w:num w:numId="31" w16cid:durableId="1212109178">
    <w:abstractNumId w:val="15"/>
  </w:num>
  <w:num w:numId="32" w16cid:durableId="107242587">
    <w:abstractNumId w:val="36"/>
  </w:num>
  <w:num w:numId="33" w16cid:durableId="509562783">
    <w:abstractNumId w:val="32"/>
  </w:num>
  <w:num w:numId="34" w16cid:durableId="585575320">
    <w:abstractNumId w:val="24"/>
  </w:num>
  <w:num w:numId="35" w16cid:durableId="2097632616">
    <w:abstractNumId w:val="11"/>
  </w:num>
  <w:num w:numId="36" w16cid:durableId="1448892705">
    <w:abstractNumId w:val="37"/>
  </w:num>
  <w:num w:numId="37" w16cid:durableId="1712462929">
    <w:abstractNumId w:val="9"/>
  </w:num>
  <w:num w:numId="38" w16cid:durableId="1227842587">
    <w:abstractNumId w:val="7"/>
  </w:num>
  <w:num w:numId="39" w16cid:durableId="258759667">
    <w:abstractNumId w:val="6"/>
  </w:num>
  <w:num w:numId="40" w16cid:durableId="1949386899">
    <w:abstractNumId w:val="5"/>
  </w:num>
  <w:num w:numId="41" w16cid:durableId="802579621">
    <w:abstractNumId w:val="4"/>
  </w:num>
  <w:num w:numId="42" w16cid:durableId="899243002">
    <w:abstractNumId w:val="8"/>
  </w:num>
  <w:num w:numId="43" w16cid:durableId="1015154724">
    <w:abstractNumId w:val="3"/>
  </w:num>
  <w:num w:numId="44" w16cid:durableId="1745685029">
    <w:abstractNumId w:val="2"/>
  </w:num>
  <w:num w:numId="45" w16cid:durableId="294261183">
    <w:abstractNumId w:val="1"/>
  </w:num>
  <w:num w:numId="46" w16cid:durableId="340665877">
    <w:abstractNumId w:val="0"/>
  </w:num>
  <w:num w:numId="47" w16cid:durableId="13567354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9149006">
    <w:abstractNumId w:val="30"/>
  </w:num>
  <w:num w:numId="49" w16cid:durableId="8920880">
    <w:abstractNumId w:val="19"/>
  </w:num>
  <w:num w:numId="50" w16cid:durableId="304091331">
    <w:abstractNumId w:val="23"/>
  </w:num>
  <w:num w:numId="51" w16cid:durableId="966280655">
    <w:abstractNumId w:val="25"/>
  </w:num>
  <w:num w:numId="52" w16cid:durableId="199668950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0C1E"/>
    <w:rsid w:val="0000251F"/>
    <w:rsid w:val="00003403"/>
    <w:rsid w:val="00003D42"/>
    <w:rsid w:val="00004074"/>
    <w:rsid w:val="000048E6"/>
    <w:rsid w:val="00005347"/>
    <w:rsid w:val="00005E90"/>
    <w:rsid w:val="00006F75"/>
    <w:rsid w:val="000072B6"/>
    <w:rsid w:val="000078C9"/>
    <w:rsid w:val="00007942"/>
    <w:rsid w:val="0001021B"/>
    <w:rsid w:val="000114AD"/>
    <w:rsid w:val="00011D89"/>
    <w:rsid w:val="00011D90"/>
    <w:rsid w:val="000135B0"/>
    <w:rsid w:val="000137F3"/>
    <w:rsid w:val="00013CB9"/>
    <w:rsid w:val="0001411C"/>
    <w:rsid w:val="000148A1"/>
    <w:rsid w:val="000154FD"/>
    <w:rsid w:val="00015E0F"/>
    <w:rsid w:val="00016DD9"/>
    <w:rsid w:val="00016FBF"/>
    <w:rsid w:val="00017083"/>
    <w:rsid w:val="00017956"/>
    <w:rsid w:val="00017DD5"/>
    <w:rsid w:val="00020821"/>
    <w:rsid w:val="00020C5A"/>
    <w:rsid w:val="00020E78"/>
    <w:rsid w:val="00022271"/>
    <w:rsid w:val="000235E8"/>
    <w:rsid w:val="00023AD0"/>
    <w:rsid w:val="00024435"/>
    <w:rsid w:val="00024D89"/>
    <w:rsid w:val="000250B6"/>
    <w:rsid w:val="0002660C"/>
    <w:rsid w:val="0002677E"/>
    <w:rsid w:val="00026830"/>
    <w:rsid w:val="00027826"/>
    <w:rsid w:val="00027D68"/>
    <w:rsid w:val="00027D7F"/>
    <w:rsid w:val="000310E6"/>
    <w:rsid w:val="00031439"/>
    <w:rsid w:val="00031483"/>
    <w:rsid w:val="0003234C"/>
    <w:rsid w:val="0003252F"/>
    <w:rsid w:val="000333D5"/>
    <w:rsid w:val="000334AA"/>
    <w:rsid w:val="0003367E"/>
    <w:rsid w:val="00033AE9"/>
    <w:rsid w:val="00033D81"/>
    <w:rsid w:val="00035C97"/>
    <w:rsid w:val="00036335"/>
    <w:rsid w:val="000367B5"/>
    <w:rsid w:val="00037366"/>
    <w:rsid w:val="00037D1C"/>
    <w:rsid w:val="0004039E"/>
    <w:rsid w:val="00040A9C"/>
    <w:rsid w:val="00040B69"/>
    <w:rsid w:val="000419E2"/>
    <w:rsid w:val="00041BF0"/>
    <w:rsid w:val="00041F54"/>
    <w:rsid w:val="0004288A"/>
    <w:rsid w:val="00042A4D"/>
    <w:rsid w:val="00042C8A"/>
    <w:rsid w:val="00042D26"/>
    <w:rsid w:val="00043505"/>
    <w:rsid w:val="00044254"/>
    <w:rsid w:val="0004445E"/>
    <w:rsid w:val="0004484C"/>
    <w:rsid w:val="00044E16"/>
    <w:rsid w:val="0004536B"/>
    <w:rsid w:val="000459C0"/>
    <w:rsid w:val="0004634D"/>
    <w:rsid w:val="00046B68"/>
    <w:rsid w:val="00047D91"/>
    <w:rsid w:val="00050EB0"/>
    <w:rsid w:val="0005170C"/>
    <w:rsid w:val="000517A4"/>
    <w:rsid w:val="00052411"/>
    <w:rsid w:val="000527DD"/>
    <w:rsid w:val="000529DB"/>
    <w:rsid w:val="00052B9F"/>
    <w:rsid w:val="00052E60"/>
    <w:rsid w:val="00054249"/>
    <w:rsid w:val="000545C4"/>
    <w:rsid w:val="00054934"/>
    <w:rsid w:val="000557DA"/>
    <w:rsid w:val="000560A1"/>
    <w:rsid w:val="00056C31"/>
    <w:rsid w:val="00057598"/>
    <w:rsid w:val="000578B2"/>
    <w:rsid w:val="00057F7B"/>
    <w:rsid w:val="000603ED"/>
    <w:rsid w:val="00060959"/>
    <w:rsid w:val="00060C8F"/>
    <w:rsid w:val="000612CF"/>
    <w:rsid w:val="0006200D"/>
    <w:rsid w:val="0006298A"/>
    <w:rsid w:val="000639E9"/>
    <w:rsid w:val="00065575"/>
    <w:rsid w:val="000663CD"/>
    <w:rsid w:val="0006776D"/>
    <w:rsid w:val="00067ADF"/>
    <w:rsid w:val="00070062"/>
    <w:rsid w:val="00070143"/>
    <w:rsid w:val="00070596"/>
    <w:rsid w:val="0007285C"/>
    <w:rsid w:val="00072A10"/>
    <w:rsid w:val="00072A5E"/>
    <w:rsid w:val="00072D0F"/>
    <w:rsid w:val="00072F7E"/>
    <w:rsid w:val="000733AF"/>
    <w:rsid w:val="000733FE"/>
    <w:rsid w:val="000738DA"/>
    <w:rsid w:val="00074219"/>
    <w:rsid w:val="00074ED5"/>
    <w:rsid w:val="00075A58"/>
    <w:rsid w:val="00075A8F"/>
    <w:rsid w:val="00075AFD"/>
    <w:rsid w:val="0007687F"/>
    <w:rsid w:val="000801BF"/>
    <w:rsid w:val="00081957"/>
    <w:rsid w:val="00082CF8"/>
    <w:rsid w:val="000835C6"/>
    <w:rsid w:val="000841A5"/>
    <w:rsid w:val="000848E9"/>
    <w:rsid w:val="00084B4C"/>
    <w:rsid w:val="0008508E"/>
    <w:rsid w:val="0008691F"/>
    <w:rsid w:val="00086DC7"/>
    <w:rsid w:val="00087810"/>
    <w:rsid w:val="00087934"/>
    <w:rsid w:val="00087951"/>
    <w:rsid w:val="00087CA9"/>
    <w:rsid w:val="00090B4C"/>
    <w:rsid w:val="0009113B"/>
    <w:rsid w:val="00091932"/>
    <w:rsid w:val="00091E87"/>
    <w:rsid w:val="00092242"/>
    <w:rsid w:val="00093402"/>
    <w:rsid w:val="00094856"/>
    <w:rsid w:val="00094DA3"/>
    <w:rsid w:val="00095836"/>
    <w:rsid w:val="00095950"/>
    <w:rsid w:val="000969DD"/>
    <w:rsid w:val="00096CD1"/>
    <w:rsid w:val="00097468"/>
    <w:rsid w:val="0009797E"/>
    <w:rsid w:val="000A012C"/>
    <w:rsid w:val="000A06BE"/>
    <w:rsid w:val="000A0EB9"/>
    <w:rsid w:val="000A127C"/>
    <w:rsid w:val="000A13FA"/>
    <w:rsid w:val="000A186C"/>
    <w:rsid w:val="000A18F5"/>
    <w:rsid w:val="000A1CE4"/>
    <w:rsid w:val="000A1EA4"/>
    <w:rsid w:val="000A2476"/>
    <w:rsid w:val="000A398C"/>
    <w:rsid w:val="000A4010"/>
    <w:rsid w:val="000A49D6"/>
    <w:rsid w:val="000A5DA8"/>
    <w:rsid w:val="000A641A"/>
    <w:rsid w:val="000A701B"/>
    <w:rsid w:val="000A7533"/>
    <w:rsid w:val="000B04FB"/>
    <w:rsid w:val="000B0A58"/>
    <w:rsid w:val="000B0E14"/>
    <w:rsid w:val="000B132E"/>
    <w:rsid w:val="000B1A55"/>
    <w:rsid w:val="000B2D5D"/>
    <w:rsid w:val="000B36F8"/>
    <w:rsid w:val="000B3EDB"/>
    <w:rsid w:val="000B465E"/>
    <w:rsid w:val="000B4C2D"/>
    <w:rsid w:val="000B52B4"/>
    <w:rsid w:val="000B543D"/>
    <w:rsid w:val="000B55F9"/>
    <w:rsid w:val="000B5BF7"/>
    <w:rsid w:val="000B5C58"/>
    <w:rsid w:val="000B5D9B"/>
    <w:rsid w:val="000B5E94"/>
    <w:rsid w:val="000B6473"/>
    <w:rsid w:val="000B6936"/>
    <w:rsid w:val="000B6BC8"/>
    <w:rsid w:val="000B6F36"/>
    <w:rsid w:val="000C0303"/>
    <w:rsid w:val="000C0B65"/>
    <w:rsid w:val="000C0D7C"/>
    <w:rsid w:val="000C0ECB"/>
    <w:rsid w:val="000C1AE9"/>
    <w:rsid w:val="000C2BD3"/>
    <w:rsid w:val="000C2EE3"/>
    <w:rsid w:val="000C3935"/>
    <w:rsid w:val="000C3B29"/>
    <w:rsid w:val="000C3D80"/>
    <w:rsid w:val="000C42EA"/>
    <w:rsid w:val="000C4546"/>
    <w:rsid w:val="000C7D9E"/>
    <w:rsid w:val="000C7EFF"/>
    <w:rsid w:val="000D0C94"/>
    <w:rsid w:val="000D1242"/>
    <w:rsid w:val="000D2845"/>
    <w:rsid w:val="000D2D18"/>
    <w:rsid w:val="000D2FAC"/>
    <w:rsid w:val="000D3D53"/>
    <w:rsid w:val="000D43CD"/>
    <w:rsid w:val="000D7A89"/>
    <w:rsid w:val="000E02F2"/>
    <w:rsid w:val="000E04D5"/>
    <w:rsid w:val="000E0970"/>
    <w:rsid w:val="000E110F"/>
    <w:rsid w:val="000E15AE"/>
    <w:rsid w:val="000E1910"/>
    <w:rsid w:val="000E1DEA"/>
    <w:rsid w:val="000E27C9"/>
    <w:rsid w:val="000E3319"/>
    <w:rsid w:val="000E35DE"/>
    <w:rsid w:val="000E3CC7"/>
    <w:rsid w:val="000E511D"/>
    <w:rsid w:val="000E632F"/>
    <w:rsid w:val="000E6AD2"/>
    <w:rsid w:val="000E6BD4"/>
    <w:rsid w:val="000E6C45"/>
    <w:rsid w:val="000E6D6D"/>
    <w:rsid w:val="000E70E1"/>
    <w:rsid w:val="000E7402"/>
    <w:rsid w:val="000F00F6"/>
    <w:rsid w:val="000F0F43"/>
    <w:rsid w:val="000F19C8"/>
    <w:rsid w:val="000F1F1E"/>
    <w:rsid w:val="000F2259"/>
    <w:rsid w:val="000F25BE"/>
    <w:rsid w:val="000F2D74"/>
    <w:rsid w:val="000F2DDA"/>
    <w:rsid w:val="000F3531"/>
    <w:rsid w:val="000F3856"/>
    <w:rsid w:val="000F3D5A"/>
    <w:rsid w:val="000F5213"/>
    <w:rsid w:val="000F76A5"/>
    <w:rsid w:val="00100760"/>
    <w:rsid w:val="00101001"/>
    <w:rsid w:val="001011BD"/>
    <w:rsid w:val="0010210A"/>
    <w:rsid w:val="00102751"/>
    <w:rsid w:val="0010285C"/>
    <w:rsid w:val="00102912"/>
    <w:rsid w:val="00103276"/>
    <w:rsid w:val="0010392D"/>
    <w:rsid w:val="001040AF"/>
    <w:rsid w:val="0010447F"/>
    <w:rsid w:val="00104BA5"/>
    <w:rsid w:val="00104FE3"/>
    <w:rsid w:val="001064DA"/>
    <w:rsid w:val="0010714F"/>
    <w:rsid w:val="00107966"/>
    <w:rsid w:val="00110031"/>
    <w:rsid w:val="001120C5"/>
    <w:rsid w:val="00113013"/>
    <w:rsid w:val="001138EF"/>
    <w:rsid w:val="00113E6A"/>
    <w:rsid w:val="0011425E"/>
    <w:rsid w:val="0011442C"/>
    <w:rsid w:val="001145B2"/>
    <w:rsid w:val="00115E14"/>
    <w:rsid w:val="001160FA"/>
    <w:rsid w:val="00116DAB"/>
    <w:rsid w:val="0011701A"/>
    <w:rsid w:val="001172AE"/>
    <w:rsid w:val="00120663"/>
    <w:rsid w:val="00120BCB"/>
    <w:rsid w:val="00120BD3"/>
    <w:rsid w:val="001214A4"/>
    <w:rsid w:val="00121F93"/>
    <w:rsid w:val="00122114"/>
    <w:rsid w:val="00122457"/>
    <w:rsid w:val="001229DD"/>
    <w:rsid w:val="00122B88"/>
    <w:rsid w:val="00122F19"/>
    <w:rsid w:val="00122FEA"/>
    <w:rsid w:val="001232BD"/>
    <w:rsid w:val="001237C7"/>
    <w:rsid w:val="0012472A"/>
    <w:rsid w:val="00124812"/>
    <w:rsid w:val="00124ED5"/>
    <w:rsid w:val="00127210"/>
    <w:rsid w:val="001276FA"/>
    <w:rsid w:val="001338B8"/>
    <w:rsid w:val="00133D85"/>
    <w:rsid w:val="00133E2F"/>
    <w:rsid w:val="00134B28"/>
    <w:rsid w:val="00135252"/>
    <w:rsid w:val="00135741"/>
    <w:rsid w:val="00135936"/>
    <w:rsid w:val="00136407"/>
    <w:rsid w:val="00136A94"/>
    <w:rsid w:val="00137540"/>
    <w:rsid w:val="0013793A"/>
    <w:rsid w:val="00140424"/>
    <w:rsid w:val="00140BC0"/>
    <w:rsid w:val="00141B2C"/>
    <w:rsid w:val="0014255B"/>
    <w:rsid w:val="00142D42"/>
    <w:rsid w:val="0014392F"/>
    <w:rsid w:val="00143973"/>
    <w:rsid w:val="00144052"/>
    <w:rsid w:val="001443BE"/>
    <w:rsid w:val="00144555"/>
    <w:rsid w:val="00144640"/>
    <w:rsid w:val="001447B3"/>
    <w:rsid w:val="0014557C"/>
    <w:rsid w:val="00145A1E"/>
    <w:rsid w:val="0014635F"/>
    <w:rsid w:val="00146D19"/>
    <w:rsid w:val="00147AF5"/>
    <w:rsid w:val="00147E5F"/>
    <w:rsid w:val="00150C8D"/>
    <w:rsid w:val="00150D67"/>
    <w:rsid w:val="001513AC"/>
    <w:rsid w:val="001513FD"/>
    <w:rsid w:val="0015155F"/>
    <w:rsid w:val="00152073"/>
    <w:rsid w:val="0015211C"/>
    <w:rsid w:val="00152C2F"/>
    <w:rsid w:val="00153EC3"/>
    <w:rsid w:val="00154E2D"/>
    <w:rsid w:val="00156034"/>
    <w:rsid w:val="00156598"/>
    <w:rsid w:val="00157035"/>
    <w:rsid w:val="001578D5"/>
    <w:rsid w:val="00157A4A"/>
    <w:rsid w:val="00161783"/>
    <w:rsid w:val="00161939"/>
    <w:rsid w:val="00161AA0"/>
    <w:rsid w:val="00161D2E"/>
    <w:rsid w:val="00161F3E"/>
    <w:rsid w:val="00162093"/>
    <w:rsid w:val="00162CA9"/>
    <w:rsid w:val="00163BFC"/>
    <w:rsid w:val="00163E41"/>
    <w:rsid w:val="00165459"/>
    <w:rsid w:val="00165A57"/>
    <w:rsid w:val="0016620F"/>
    <w:rsid w:val="0016652F"/>
    <w:rsid w:val="00166E98"/>
    <w:rsid w:val="00170430"/>
    <w:rsid w:val="001704C5"/>
    <w:rsid w:val="00170728"/>
    <w:rsid w:val="001712C2"/>
    <w:rsid w:val="00172950"/>
    <w:rsid w:val="00172BA7"/>
    <w:rsid w:val="00172BAF"/>
    <w:rsid w:val="0017306D"/>
    <w:rsid w:val="00173991"/>
    <w:rsid w:val="00173D64"/>
    <w:rsid w:val="00174A3A"/>
    <w:rsid w:val="001756A1"/>
    <w:rsid w:val="00175A0A"/>
    <w:rsid w:val="001763AC"/>
    <w:rsid w:val="001771DD"/>
    <w:rsid w:val="00177995"/>
    <w:rsid w:val="00177A8C"/>
    <w:rsid w:val="00180866"/>
    <w:rsid w:val="00180B91"/>
    <w:rsid w:val="00182FDD"/>
    <w:rsid w:val="00185286"/>
    <w:rsid w:val="00185D34"/>
    <w:rsid w:val="00185E67"/>
    <w:rsid w:val="00186B33"/>
    <w:rsid w:val="00187326"/>
    <w:rsid w:val="00187706"/>
    <w:rsid w:val="00187760"/>
    <w:rsid w:val="00187A66"/>
    <w:rsid w:val="00187FBD"/>
    <w:rsid w:val="0019008F"/>
    <w:rsid w:val="001917C3"/>
    <w:rsid w:val="0019196A"/>
    <w:rsid w:val="001923C6"/>
    <w:rsid w:val="00192F9D"/>
    <w:rsid w:val="001934D6"/>
    <w:rsid w:val="00193B8D"/>
    <w:rsid w:val="00193F5E"/>
    <w:rsid w:val="00194550"/>
    <w:rsid w:val="00194A22"/>
    <w:rsid w:val="00196CF9"/>
    <w:rsid w:val="00196E8E"/>
    <w:rsid w:val="00196EB8"/>
    <w:rsid w:val="00196EFB"/>
    <w:rsid w:val="001979FF"/>
    <w:rsid w:val="00197B17"/>
    <w:rsid w:val="001A1950"/>
    <w:rsid w:val="001A1C54"/>
    <w:rsid w:val="001A3ACE"/>
    <w:rsid w:val="001A4163"/>
    <w:rsid w:val="001A5060"/>
    <w:rsid w:val="001A56E2"/>
    <w:rsid w:val="001A5E3B"/>
    <w:rsid w:val="001A5E42"/>
    <w:rsid w:val="001A602B"/>
    <w:rsid w:val="001A7864"/>
    <w:rsid w:val="001A78DF"/>
    <w:rsid w:val="001A7A00"/>
    <w:rsid w:val="001A7E7A"/>
    <w:rsid w:val="001A7EED"/>
    <w:rsid w:val="001B058F"/>
    <w:rsid w:val="001B060B"/>
    <w:rsid w:val="001B067F"/>
    <w:rsid w:val="001B1EB6"/>
    <w:rsid w:val="001B1F81"/>
    <w:rsid w:val="001B2EE2"/>
    <w:rsid w:val="001B3A47"/>
    <w:rsid w:val="001B3F8E"/>
    <w:rsid w:val="001B5AF9"/>
    <w:rsid w:val="001B5C7B"/>
    <w:rsid w:val="001B7185"/>
    <w:rsid w:val="001B7286"/>
    <w:rsid w:val="001B738B"/>
    <w:rsid w:val="001B73D8"/>
    <w:rsid w:val="001C022D"/>
    <w:rsid w:val="001C09DB"/>
    <w:rsid w:val="001C1975"/>
    <w:rsid w:val="001C25A7"/>
    <w:rsid w:val="001C277E"/>
    <w:rsid w:val="001C2A72"/>
    <w:rsid w:val="001C2F7E"/>
    <w:rsid w:val="001C31B7"/>
    <w:rsid w:val="001C4968"/>
    <w:rsid w:val="001C6286"/>
    <w:rsid w:val="001C6637"/>
    <w:rsid w:val="001C6993"/>
    <w:rsid w:val="001C6F77"/>
    <w:rsid w:val="001C7BCC"/>
    <w:rsid w:val="001C7EC1"/>
    <w:rsid w:val="001D08A2"/>
    <w:rsid w:val="001D0B75"/>
    <w:rsid w:val="001D1CDF"/>
    <w:rsid w:val="001D24FA"/>
    <w:rsid w:val="001D25C1"/>
    <w:rsid w:val="001D3331"/>
    <w:rsid w:val="001D39A5"/>
    <w:rsid w:val="001D3C09"/>
    <w:rsid w:val="001D3E1C"/>
    <w:rsid w:val="001D4194"/>
    <w:rsid w:val="001D44E8"/>
    <w:rsid w:val="001D44FD"/>
    <w:rsid w:val="001D457B"/>
    <w:rsid w:val="001D47F9"/>
    <w:rsid w:val="001D5D56"/>
    <w:rsid w:val="001D60EC"/>
    <w:rsid w:val="001D6D0B"/>
    <w:rsid w:val="001D6F59"/>
    <w:rsid w:val="001E0471"/>
    <w:rsid w:val="001E0C5D"/>
    <w:rsid w:val="001E0D30"/>
    <w:rsid w:val="001E0E6C"/>
    <w:rsid w:val="001E18B9"/>
    <w:rsid w:val="001E268F"/>
    <w:rsid w:val="001E2A36"/>
    <w:rsid w:val="001E3496"/>
    <w:rsid w:val="001E382D"/>
    <w:rsid w:val="001E4174"/>
    <w:rsid w:val="001E44DF"/>
    <w:rsid w:val="001E462C"/>
    <w:rsid w:val="001E5058"/>
    <w:rsid w:val="001E6749"/>
    <w:rsid w:val="001E68A5"/>
    <w:rsid w:val="001E6BB0"/>
    <w:rsid w:val="001E7282"/>
    <w:rsid w:val="001E7A79"/>
    <w:rsid w:val="001E7C76"/>
    <w:rsid w:val="001E7CB2"/>
    <w:rsid w:val="001F00E7"/>
    <w:rsid w:val="001F02B6"/>
    <w:rsid w:val="001F0C4D"/>
    <w:rsid w:val="001F15AC"/>
    <w:rsid w:val="001F1736"/>
    <w:rsid w:val="001F17B6"/>
    <w:rsid w:val="001F23FC"/>
    <w:rsid w:val="001F2BCF"/>
    <w:rsid w:val="001F2F06"/>
    <w:rsid w:val="001F3826"/>
    <w:rsid w:val="001F3AA8"/>
    <w:rsid w:val="001F4066"/>
    <w:rsid w:val="001F45CE"/>
    <w:rsid w:val="001F4FF7"/>
    <w:rsid w:val="001F5408"/>
    <w:rsid w:val="001F5BF4"/>
    <w:rsid w:val="001F69DF"/>
    <w:rsid w:val="001F6E46"/>
    <w:rsid w:val="001F7186"/>
    <w:rsid w:val="001F7C91"/>
    <w:rsid w:val="001F7F10"/>
    <w:rsid w:val="00200176"/>
    <w:rsid w:val="00202CEF"/>
    <w:rsid w:val="002032CC"/>
    <w:rsid w:val="002033B7"/>
    <w:rsid w:val="00203A16"/>
    <w:rsid w:val="00203B17"/>
    <w:rsid w:val="00203C28"/>
    <w:rsid w:val="00204562"/>
    <w:rsid w:val="00206463"/>
    <w:rsid w:val="00206F2F"/>
    <w:rsid w:val="002076DC"/>
    <w:rsid w:val="00207E27"/>
    <w:rsid w:val="0021053D"/>
    <w:rsid w:val="00210A92"/>
    <w:rsid w:val="00212847"/>
    <w:rsid w:val="00213218"/>
    <w:rsid w:val="00214D2F"/>
    <w:rsid w:val="00215B33"/>
    <w:rsid w:val="00215CDA"/>
    <w:rsid w:val="00216C03"/>
    <w:rsid w:val="00216EB3"/>
    <w:rsid w:val="00217578"/>
    <w:rsid w:val="00217CD2"/>
    <w:rsid w:val="00217E05"/>
    <w:rsid w:val="00220C04"/>
    <w:rsid w:val="00221BB5"/>
    <w:rsid w:val="00221C9E"/>
    <w:rsid w:val="0022278D"/>
    <w:rsid w:val="0022280A"/>
    <w:rsid w:val="002232F7"/>
    <w:rsid w:val="00223560"/>
    <w:rsid w:val="00226A61"/>
    <w:rsid w:val="0022701F"/>
    <w:rsid w:val="00227473"/>
    <w:rsid w:val="00227C68"/>
    <w:rsid w:val="0023109F"/>
    <w:rsid w:val="002318A8"/>
    <w:rsid w:val="00232B31"/>
    <w:rsid w:val="002333F5"/>
    <w:rsid w:val="00233724"/>
    <w:rsid w:val="002338FC"/>
    <w:rsid w:val="00235138"/>
    <w:rsid w:val="002351EA"/>
    <w:rsid w:val="002352CF"/>
    <w:rsid w:val="002357FC"/>
    <w:rsid w:val="002365B4"/>
    <w:rsid w:val="002375FF"/>
    <w:rsid w:val="00237C3F"/>
    <w:rsid w:val="00237D15"/>
    <w:rsid w:val="0024062A"/>
    <w:rsid w:val="00240CB6"/>
    <w:rsid w:val="00240CD1"/>
    <w:rsid w:val="00242E08"/>
    <w:rsid w:val="002432E1"/>
    <w:rsid w:val="0024501E"/>
    <w:rsid w:val="00245F4A"/>
    <w:rsid w:val="00246207"/>
    <w:rsid w:val="00246AD7"/>
    <w:rsid w:val="00246C5E"/>
    <w:rsid w:val="002476C9"/>
    <w:rsid w:val="00247D8B"/>
    <w:rsid w:val="002504F8"/>
    <w:rsid w:val="00250960"/>
    <w:rsid w:val="00250CCA"/>
    <w:rsid w:val="00251343"/>
    <w:rsid w:val="00251687"/>
    <w:rsid w:val="002516E5"/>
    <w:rsid w:val="00251834"/>
    <w:rsid w:val="002521B5"/>
    <w:rsid w:val="002536A1"/>
    <w:rsid w:val="002536A4"/>
    <w:rsid w:val="00254F58"/>
    <w:rsid w:val="00255456"/>
    <w:rsid w:val="002570DB"/>
    <w:rsid w:val="00257E35"/>
    <w:rsid w:val="002604CD"/>
    <w:rsid w:val="002612CC"/>
    <w:rsid w:val="002620BC"/>
    <w:rsid w:val="00262802"/>
    <w:rsid w:val="0026395E"/>
    <w:rsid w:val="00263A90"/>
    <w:rsid w:val="00263C1F"/>
    <w:rsid w:val="0026408B"/>
    <w:rsid w:val="002645A8"/>
    <w:rsid w:val="002647CE"/>
    <w:rsid w:val="0026692E"/>
    <w:rsid w:val="00267116"/>
    <w:rsid w:val="0026718C"/>
    <w:rsid w:val="0026790E"/>
    <w:rsid w:val="00267C3E"/>
    <w:rsid w:val="002707F3"/>
    <w:rsid w:val="00270881"/>
    <w:rsid w:val="0027096D"/>
    <w:rsid w:val="002709BB"/>
    <w:rsid w:val="0027113F"/>
    <w:rsid w:val="002719EB"/>
    <w:rsid w:val="0027223F"/>
    <w:rsid w:val="0027246D"/>
    <w:rsid w:val="00272F32"/>
    <w:rsid w:val="0027367E"/>
    <w:rsid w:val="00273BAC"/>
    <w:rsid w:val="00274E99"/>
    <w:rsid w:val="00275D2C"/>
    <w:rsid w:val="002763B3"/>
    <w:rsid w:val="002767B6"/>
    <w:rsid w:val="002802E3"/>
    <w:rsid w:val="00280F3A"/>
    <w:rsid w:val="002812A7"/>
    <w:rsid w:val="0028213D"/>
    <w:rsid w:val="00282409"/>
    <w:rsid w:val="00282D76"/>
    <w:rsid w:val="002836F1"/>
    <w:rsid w:val="002843B3"/>
    <w:rsid w:val="0028454C"/>
    <w:rsid w:val="00285402"/>
    <w:rsid w:val="00285561"/>
    <w:rsid w:val="00285BA2"/>
    <w:rsid w:val="00285FD4"/>
    <w:rsid w:val="002862F1"/>
    <w:rsid w:val="0028694E"/>
    <w:rsid w:val="002869DE"/>
    <w:rsid w:val="00286A2D"/>
    <w:rsid w:val="00287812"/>
    <w:rsid w:val="00287BB7"/>
    <w:rsid w:val="00287FC8"/>
    <w:rsid w:val="00290832"/>
    <w:rsid w:val="00290EF0"/>
    <w:rsid w:val="00291373"/>
    <w:rsid w:val="00291819"/>
    <w:rsid w:val="00291ADB"/>
    <w:rsid w:val="002921B6"/>
    <w:rsid w:val="00293C83"/>
    <w:rsid w:val="00294E51"/>
    <w:rsid w:val="0029597D"/>
    <w:rsid w:val="002962C3"/>
    <w:rsid w:val="00296336"/>
    <w:rsid w:val="00296FC9"/>
    <w:rsid w:val="0029705E"/>
    <w:rsid w:val="0029752B"/>
    <w:rsid w:val="002976EB"/>
    <w:rsid w:val="002A0056"/>
    <w:rsid w:val="002A07F9"/>
    <w:rsid w:val="002A0A9C"/>
    <w:rsid w:val="002A10FD"/>
    <w:rsid w:val="002A1E34"/>
    <w:rsid w:val="002A1F44"/>
    <w:rsid w:val="002A3FF9"/>
    <w:rsid w:val="002A483C"/>
    <w:rsid w:val="002A6359"/>
    <w:rsid w:val="002A68B5"/>
    <w:rsid w:val="002A6914"/>
    <w:rsid w:val="002A72F0"/>
    <w:rsid w:val="002A772B"/>
    <w:rsid w:val="002A7F88"/>
    <w:rsid w:val="002B00B9"/>
    <w:rsid w:val="002B0C7C"/>
    <w:rsid w:val="002B1729"/>
    <w:rsid w:val="002B2551"/>
    <w:rsid w:val="002B3449"/>
    <w:rsid w:val="002B364D"/>
    <w:rsid w:val="002B36C7"/>
    <w:rsid w:val="002B3C70"/>
    <w:rsid w:val="002B3D44"/>
    <w:rsid w:val="002B4DD4"/>
    <w:rsid w:val="002B5027"/>
    <w:rsid w:val="002B5277"/>
    <w:rsid w:val="002B5375"/>
    <w:rsid w:val="002B644F"/>
    <w:rsid w:val="002B6FA9"/>
    <w:rsid w:val="002B75D0"/>
    <w:rsid w:val="002B77C1"/>
    <w:rsid w:val="002C03B1"/>
    <w:rsid w:val="002C0624"/>
    <w:rsid w:val="002C0844"/>
    <w:rsid w:val="002C0ED7"/>
    <w:rsid w:val="002C1BAD"/>
    <w:rsid w:val="002C1F6A"/>
    <w:rsid w:val="002C22DF"/>
    <w:rsid w:val="002C245F"/>
    <w:rsid w:val="002C2728"/>
    <w:rsid w:val="002C27D1"/>
    <w:rsid w:val="002C3826"/>
    <w:rsid w:val="002C3B43"/>
    <w:rsid w:val="002C3E61"/>
    <w:rsid w:val="002C633C"/>
    <w:rsid w:val="002C689E"/>
    <w:rsid w:val="002C7E53"/>
    <w:rsid w:val="002D0245"/>
    <w:rsid w:val="002D053B"/>
    <w:rsid w:val="002D064E"/>
    <w:rsid w:val="002D1160"/>
    <w:rsid w:val="002D1A11"/>
    <w:rsid w:val="002D1C5E"/>
    <w:rsid w:val="002D1E0D"/>
    <w:rsid w:val="002D2AE8"/>
    <w:rsid w:val="002D4331"/>
    <w:rsid w:val="002D433A"/>
    <w:rsid w:val="002D477F"/>
    <w:rsid w:val="002D4E37"/>
    <w:rsid w:val="002D4F26"/>
    <w:rsid w:val="002D5006"/>
    <w:rsid w:val="002D7EC4"/>
    <w:rsid w:val="002E01D0"/>
    <w:rsid w:val="002E0A48"/>
    <w:rsid w:val="002E0E38"/>
    <w:rsid w:val="002E11B7"/>
    <w:rsid w:val="002E161D"/>
    <w:rsid w:val="002E169E"/>
    <w:rsid w:val="002E183F"/>
    <w:rsid w:val="002E1923"/>
    <w:rsid w:val="002E2EEB"/>
    <w:rsid w:val="002E3100"/>
    <w:rsid w:val="002E33CA"/>
    <w:rsid w:val="002E344D"/>
    <w:rsid w:val="002E3697"/>
    <w:rsid w:val="002E3974"/>
    <w:rsid w:val="002E3BDD"/>
    <w:rsid w:val="002E4C41"/>
    <w:rsid w:val="002E6C95"/>
    <w:rsid w:val="002E7A50"/>
    <w:rsid w:val="002E7C36"/>
    <w:rsid w:val="002F0107"/>
    <w:rsid w:val="002F01A9"/>
    <w:rsid w:val="002F03C1"/>
    <w:rsid w:val="002F0662"/>
    <w:rsid w:val="002F0666"/>
    <w:rsid w:val="002F1ADF"/>
    <w:rsid w:val="002F1F0E"/>
    <w:rsid w:val="002F2AF6"/>
    <w:rsid w:val="002F3D32"/>
    <w:rsid w:val="002F3FEB"/>
    <w:rsid w:val="002F51E5"/>
    <w:rsid w:val="002F57E4"/>
    <w:rsid w:val="002F5F31"/>
    <w:rsid w:val="002F5F46"/>
    <w:rsid w:val="002F67F2"/>
    <w:rsid w:val="002F687F"/>
    <w:rsid w:val="002F79F0"/>
    <w:rsid w:val="002F7EC8"/>
    <w:rsid w:val="00302216"/>
    <w:rsid w:val="00302616"/>
    <w:rsid w:val="00302B95"/>
    <w:rsid w:val="00303E53"/>
    <w:rsid w:val="00304870"/>
    <w:rsid w:val="00305269"/>
    <w:rsid w:val="00305CC1"/>
    <w:rsid w:val="00306408"/>
    <w:rsid w:val="003066D6"/>
    <w:rsid w:val="00306C67"/>
    <w:rsid w:val="00306E5F"/>
    <w:rsid w:val="00307136"/>
    <w:rsid w:val="00307BC2"/>
    <w:rsid w:val="00307E14"/>
    <w:rsid w:val="00312E96"/>
    <w:rsid w:val="00312F74"/>
    <w:rsid w:val="003132EF"/>
    <w:rsid w:val="00313ADD"/>
    <w:rsid w:val="00314054"/>
    <w:rsid w:val="003150D1"/>
    <w:rsid w:val="00315BD8"/>
    <w:rsid w:val="00316093"/>
    <w:rsid w:val="00316F27"/>
    <w:rsid w:val="003213C2"/>
    <w:rsid w:val="003214F1"/>
    <w:rsid w:val="003222EF"/>
    <w:rsid w:val="00322E4B"/>
    <w:rsid w:val="00322FF6"/>
    <w:rsid w:val="00323233"/>
    <w:rsid w:val="003233D5"/>
    <w:rsid w:val="00324B21"/>
    <w:rsid w:val="003259A9"/>
    <w:rsid w:val="00325AAB"/>
    <w:rsid w:val="00325AC7"/>
    <w:rsid w:val="00325E0E"/>
    <w:rsid w:val="00326240"/>
    <w:rsid w:val="00327194"/>
    <w:rsid w:val="00327635"/>
    <w:rsid w:val="00327870"/>
    <w:rsid w:val="00327BB6"/>
    <w:rsid w:val="00330B2E"/>
    <w:rsid w:val="0033259D"/>
    <w:rsid w:val="003333D2"/>
    <w:rsid w:val="0033406B"/>
    <w:rsid w:val="0033484F"/>
    <w:rsid w:val="003358F0"/>
    <w:rsid w:val="00337CEF"/>
    <w:rsid w:val="00337D57"/>
    <w:rsid w:val="00340315"/>
    <w:rsid w:val="003406C6"/>
    <w:rsid w:val="00340C37"/>
    <w:rsid w:val="00340C53"/>
    <w:rsid w:val="003418CC"/>
    <w:rsid w:val="00342798"/>
    <w:rsid w:val="003428F6"/>
    <w:rsid w:val="0034489F"/>
    <w:rsid w:val="00344BE7"/>
    <w:rsid w:val="00345719"/>
    <w:rsid w:val="003459BD"/>
    <w:rsid w:val="00345AA8"/>
    <w:rsid w:val="003500CA"/>
    <w:rsid w:val="00350D38"/>
    <w:rsid w:val="003516EB"/>
    <w:rsid w:val="00351B36"/>
    <w:rsid w:val="00351B5C"/>
    <w:rsid w:val="00353755"/>
    <w:rsid w:val="00355593"/>
    <w:rsid w:val="00355755"/>
    <w:rsid w:val="003560E2"/>
    <w:rsid w:val="00356314"/>
    <w:rsid w:val="00356586"/>
    <w:rsid w:val="003566B8"/>
    <w:rsid w:val="003572CA"/>
    <w:rsid w:val="00357B4E"/>
    <w:rsid w:val="003604E0"/>
    <w:rsid w:val="0036059F"/>
    <w:rsid w:val="00360C21"/>
    <w:rsid w:val="00360C43"/>
    <w:rsid w:val="00360CBC"/>
    <w:rsid w:val="00361324"/>
    <w:rsid w:val="0036163D"/>
    <w:rsid w:val="00361E6B"/>
    <w:rsid w:val="00362AAA"/>
    <w:rsid w:val="00362E45"/>
    <w:rsid w:val="00362E46"/>
    <w:rsid w:val="00365C8D"/>
    <w:rsid w:val="0036690F"/>
    <w:rsid w:val="00366A87"/>
    <w:rsid w:val="0036759D"/>
    <w:rsid w:val="0037090A"/>
    <w:rsid w:val="00370E4F"/>
    <w:rsid w:val="003716FD"/>
    <w:rsid w:val="0037204B"/>
    <w:rsid w:val="0037287C"/>
    <w:rsid w:val="003731B6"/>
    <w:rsid w:val="003735F3"/>
    <w:rsid w:val="00373890"/>
    <w:rsid w:val="00374159"/>
    <w:rsid w:val="003744CF"/>
    <w:rsid w:val="00374717"/>
    <w:rsid w:val="00374AB1"/>
    <w:rsid w:val="00375A9F"/>
    <w:rsid w:val="00375BD2"/>
    <w:rsid w:val="0037676C"/>
    <w:rsid w:val="00377E43"/>
    <w:rsid w:val="00380292"/>
    <w:rsid w:val="003804D6"/>
    <w:rsid w:val="0038074A"/>
    <w:rsid w:val="00381043"/>
    <w:rsid w:val="003829E5"/>
    <w:rsid w:val="003832BC"/>
    <w:rsid w:val="003839BE"/>
    <w:rsid w:val="00384025"/>
    <w:rsid w:val="00384FAF"/>
    <w:rsid w:val="0038577A"/>
    <w:rsid w:val="00385F9E"/>
    <w:rsid w:val="00386109"/>
    <w:rsid w:val="00386944"/>
    <w:rsid w:val="00387225"/>
    <w:rsid w:val="00387F5B"/>
    <w:rsid w:val="0039023A"/>
    <w:rsid w:val="00390428"/>
    <w:rsid w:val="00390774"/>
    <w:rsid w:val="00390ED3"/>
    <w:rsid w:val="003910FB"/>
    <w:rsid w:val="00391CD2"/>
    <w:rsid w:val="00392559"/>
    <w:rsid w:val="00393912"/>
    <w:rsid w:val="003939AF"/>
    <w:rsid w:val="003943A4"/>
    <w:rsid w:val="0039479F"/>
    <w:rsid w:val="0039483A"/>
    <w:rsid w:val="003956CC"/>
    <w:rsid w:val="00395C9A"/>
    <w:rsid w:val="00395F03"/>
    <w:rsid w:val="00396AB0"/>
    <w:rsid w:val="00397157"/>
    <w:rsid w:val="003A037D"/>
    <w:rsid w:val="003A0853"/>
    <w:rsid w:val="003A09D1"/>
    <w:rsid w:val="003A1072"/>
    <w:rsid w:val="003A1307"/>
    <w:rsid w:val="003A342F"/>
    <w:rsid w:val="003A3C47"/>
    <w:rsid w:val="003A3C71"/>
    <w:rsid w:val="003A4919"/>
    <w:rsid w:val="003A4A05"/>
    <w:rsid w:val="003A6B67"/>
    <w:rsid w:val="003A7E9B"/>
    <w:rsid w:val="003B09B3"/>
    <w:rsid w:val="003B0B1A"/>
    <w:rsid w:val="003B0F83"/>
    <w:rsid w:val="003B13B6"/>
    <w:rsid w:val="003B147B"/>
    <w:rsid w:val="003B15E6"/>
    <w:rsid w:val="003B19A6"/>
    <w:rsid w:val="003B2906"/>
    <w:rsid w:val="003B31B4"/>
    <w:rsid w:val="003B408A"/>
    <w:rsid w:val="003B412C"/>
    <w:rsid w:val="003B4F2C"/>
    <w:rsid w:val="003B540E"/>
    <w:rsid w:val="003B5733"/>
    <w:rsid w:val="003B623A"/>
    <w:rsid w:val="003B6B53"/>
    <w:rsid w:val="003B753D"/>
    <w:rsid w:val="003C07DE"/>
    <w:rsid w:val="003C08A2"/>
    <w:rsid w:val="003C0FBA"/>
    <w:rsid w:val="003C128C"/>
    <w:rsid w:val="003C1FDA"/>
    <w:rsid w:val="003C2045"/>
    <w:rsid w:val="003C21D2"/>
    <w:rsid w:val="003C2912"/>
    <w:rsid w:val="003C3B11"/>
    <w:rsid w:val="003C43A1"/>
    <w:rsid w:val="003C4F9B"/>
    <w:rsid w:val="003C4FC0"/>
    <w:rsid w:val="003C55F4"/>
    <w:rsid w:val="003C5610"/>
    <w:rsid w:val="003C5885"/>
    <w:rsid w:val="003C6BEB"/>
    <w:rsid w:val="003C7059"/>
    <w:rsid w:val="003C7470"/>
    <w:rsid w:val="003C7897"/>
    <w:rsid w:val="003C7A3F"/>
    <w:rsid w:val="003D11E7"/>
    <w:rsid w:val="003D2766"/>
    <w:rsid w:val="003D2A74"/>
    <w:rsid w:val="003D2C86"/>
    <w:rsid w:val="003D3E8F"/>
    <w:rsid w:val="003D3EAC"/>
    <w:rsid w:val="003D418E"/>
    <w:rsid w:val="003D4DBA"/>
    <w:rsid w:val="003D554E"/>
    <w:rsid w:val="003D6475"/>
    <w:rsid w:val="003D6B36"/>
    <w:rsid w:val="003D7D91"/>
    <w:rsid w:val="003E0204"/>
    <w:rsid w:val="003E1450"/>
    <w:rsid w:val="003E2E39"/>
    <w:rsid w:val="003E375C"/>
    <w:rsid w:val="003E4086"/>
    <w:rsid w:val="003E40EC"/>
    <w:rsid w:val="003E4766"/>
    <w:rsid w:val="003E4AAF"/>
    <w:rsid w:val="003E539B"/>
    <w:rsid w:val="003E5537"/>
    <w:rsid w:val="003E5A23"/>
    <w:rsid w:val="003E5B1B"/>
    <w:rsid w:val="003E5BB5"/>
    <w:rsid w:val="003E639E"/>
    <w:rsid w:val="003E6A06"/>
    <w:rsid w:val="003E6F1C"/>
    <w:rsid w:val="003E71E5"/>
    <w:rsid w:val="003E73C2"/>
    <w:rsid w:val="003E7C69"/>
    <w:rsid w:val="003F0445"/>
    <w:rsid w:val="003F0CF0"/>
    <w:rsid w:val="003F14B1"/>
    <w:rsid w:val="003F2B20"/>
    <w:rsid w:val="003F2DA1"/>
    <w:rsid w:val="003F30C3"/>
    <w:rsid w:val="003F3289"/>
    <w:rsid w:val="003F3957"/>
    <w:rsid w:val="003F4D2F"/>
    <w:rsid w:val="003F5106"/>
    <w:rsid w:val="003F5CB9"/>
    <w:rsid w:val="003F6271"/>
    <w:rsid w:val="003F66A7"/>
    <w:rsid w:val="004013C7"/>
    <w:rsid w:val="004015F7"/>
    <w:rsid w:val="00401F8B"/>
    <w:rsid w:val="00401FCF"/>
    <w:rsid w:val="0040248F"/>
    <w:rsid w:val="004026E2"/>
    <w:rsid w:val="004027DE"/>
    <w:rsid w:val="00403720"/>
    <w:rsid w:val="00403BAA"/>
    <w:rsid w:val="004054F0"/>
    <w:rsid w:val="00406285"/>
    <w:rsid w:val="0040759D"/>
    <w:rsid w:val="004078EF"/>
    <w:rsid w:val="004101E9"/>
    <w:rsid w:val="004112A7"/>
    <w:rsid w:val="004112C6"/>
    <w:rsid w:val="00411671"/>
    <w:rsid w:val="004116A1"/>
    <w:rsid w:val="00411768"/>
    <w:rsid w:val="00411C72"/>
    <w:rsid w:val="00412062"/>
    <w:rsid w:val="004123E2"/>
    <w:rsid w:val="00412698"/>
    <w:rsid w:val="004148F9"/>
    <w:rsid w:val="00414D4A"/>
    <w:rsid w:val="0041599A"/>
    <w:rsid w:val="004166EA"/>
    <w:rsid w:val="00416C4C"/>
    <w:rsid w:val="00416EBE"/>
    <w:rsid w:val="00416ED9"/>
    <w:rsid w:val="00420757"/>
    <w:rsid w:val="0042084E"/>
    <w:rsid w:val="004209EE"/>
    <w:rsid w:val="00420CBF"/>
    <w:rsid w:val="00421392"/>
    <w:rsid w:val="00421CA1"/>
    <w:rsid w:val="00421EEF"/>
    <w:rsid w:val="0042211D"/>
    <w:rsid w:val="004226F8"/>
    <w:rsid w:val="00423DDB"/>
    <w:rsid w:val="00423F63"/>
    <w:rsid w:val="00424D65"/>
    <w:rsid w:val="00426268"/>
    <w:rsid w:val="00426F9B"/>
    <w:rsid w:val="0042715E"/>
    <w:rsid w:val="004307FC"/>
    <w:rsid w:val="00430821"/>
    <w:rsid w:val="00430FC9"/>
    <w:rsid w:val="0043149A"/>
    <w:rsid w:val="00432CAD"/>
    <w:rsid w:val="0043374C"/>
    <w:rsid w:val="0043376C"/>
    <w:rsid w:val="00434B97"/>
    <w:rsid w:val="00434BC5"/>
    <w:rsid w:val="00434D79"/>
    <w:rsid w:val="004354C4"/>
    <w:rsid w:val="004377C3"/>
    <w:rsid w:val="00437B5C"/>
    <w:rsid w:val="00440040"/>
    <w:rsid w:val="00442346"/>
    <w:rsid w:val="00442C6C"/>
    <w:rsid w:val="004434B8"/>
    <w:rsid w:val="00443CBE"/>
    <w:rsid w:val="00443D94"/>
    <w:rsid w:val="00443E8A"/>
    <w:rsid w:val="004441BC"/>
    <w:rsid w:val="00445BAC"/>
    <w:rsid w:val="004461D9"/>
    <w:rsid w:val="004468B4"/>
    <w:rsid w:val="00446F8B"/>
    <w:rsid w:val="00450285"/>
    <w:rsid w:val="00451B7F"/>
    <w:rsid w:val="0045230A"/>
    <w:rsid w:val="00452769"/>
    <w:rsid w:val="00453362"/>
    <w:rsid w:val="00453DD9"/>
    <w:rsid w:val="00453E88"/>
    <w:rsid w:val="00454072"/>
    <w:rsid w:val="00454AD0"/>
    <w:rsid w:val="00454E81"/>
    <w:rsid w:val="00455C3E"/>
    <w:rsid w:val="00455CDB"/>
    <w:rsid w:val="00455D94"/>
    <w:rsid w:val="004568CD"/>
    <w:rsid w:val="004571A8"/>
    <w:rsid w:val="00457208"/>
    <w:rsid w:val="00457337"/>
    <w:rsid w:val="0046067F"/>
    <w:rsid w:val="004610E8"/>
    <w:rsid w:val="0046112F"/>
    <w:rsid w:val="004624AE"/>
    <w:rsid w:val="0046289C"/>
    <w:rsid w:val="00462E3D"/>
    <w:rsid w:val="004630DC"/>
    <w:rsid w:val="004639C9"/>
    <w:rsid w:val="00465BFE"/>
    <w:rsid w:val="00466209"/>
    <w:rsid w:val="00466E79"/>
    <w:rsid w:val="00470CE3"/>
    <w:rsid w:val="00470D7D"/>
    <w:rsid w:val="004716C8"/>
    <w:rsid w:val="004721D7"/>
    <w:rsid w:val="0047284B"/>
    <w:rsid w:val="00472CFA"/>
    <w:rsid w:val="0047372D"/>
    <w:rsid w:val="00473BA3"/>
    <w:rsid w:val="00473D08"/>
    <w:rsid w:val="004743DD"/>
    <w:rsid w:val="00474CEA"/>
    <w:rsid w:val="00475BC4"/>
    <w:rsid w:val="00475BDE"/>
    <w:rsid w:val="00475E5C"/>
    <w:rsid w:val="00476581"/>
    <w:rsid w:val="0047678E"/>
    <w:rsid w:val="004772DE"/>
    <w:rsid w:val="004805D0"/>
    <w:rsid w:val="0048211D"/>
    <w:rsid w:val="00482D58"/>
    <w:rsid w:val="00483682"/>
    <w:rsid w:val="004837B0"/>
    <w:rsid w:val="004837DF"/>
    <w:rsid w:val="00483968"/>
    <w:rsid w:val="0048476E"/>
    <w:rsid w:val="0048478C"/>
    <w:rsid w:val="004847D1"/>
    <w:rsid w:val="00484F86"/>
    <w:rsid w:val="00485614"/>
    <w:rsid w:val="00487077"/>
    <w:rsid w:val="0048750B"/>
    <w:rsid w:val="0048789E"/>
    <w:rsid w:val="0048799B"/>
    <w:rsid w:val="00487CDD"/>
    <w:rsid w:val="0049062C"/>
    <w:rsid w:val="00490746"/>
    <w:rsid w:val="00490852"/>
    <w:rsid w:val="00490B98"/>
    <w:rsid w:val="00490CB2"/>
    <w:rsid w:val="004910CE"/>
    <w:rsid w:val="0049159C"/>
    <w:rsid w:val="00491C9C"/>
    <w:rsid w:val="004928BE"/>
    <w:rsid w:val="00492AD9"/>
    <w:rsid w:val="00492DF1"/>
    <w:rsid w:val="00492F30"/>
    <w:rsid w:val="004932A1"/>
    <w:rsid w:val="00494185"/>
    <w:rsid w:val="004946F4"/>
    <w:rsid w:val="0049487E"/>
    <w:rsid w:val="0049513F"/>
    <w:rsid w:val="00495348"/>
    <w:rsid w:val="0049603E"/>
    <w:rsid w:val="004966A1"/>
    <w:rsid w:val="00496701"/>
    <w:rsid w:val="00496911"/>
    <w:rsid w:val="00496DCD"/>
    <w:rsid w:val="00497625"/>
    <w:rsid w:val="00497F71"/>
    <w:rsid w:val="004A0C4D"/>
    <w:rsid w:val="004A160D"/>
    <w:rsid w:val="004A26BA"/>
    <w:rsid w:val="004A27A3"/>
    <w:rsid w:val="004A3966"/>
    <w:rsid w:val="004A3E81"/>
    <w:rsid w:val="004A4195"/>
    <w:rsid w:val="004A4FEC"/>
    <w:rsid w:val="004A5C62"/>
    <w:rsid w:val="004A5CE5"/>
    <w:rsid w:val="004A6295"/>
    <w:rsid w:val="004A707D"/>
    <w:rsid w:val="004A78C8"/>
    <w:rsid w:val="004B05CA"/>
    <w:rsid w:val="004B0C99"/>
    <w:rsid w:val="004B113F"/>
    <w:rsid w:val="004B142D"/>
    <w:rsid w:val="004B1610"/>
    <w:rsid w:val="004B2D96"/>
    <w:rsid w:val="004B456A"/>
    <w:rsid w:val="004B4929"/>
    <w:rsid w:val="004B4DFF"/>
    <w:rsid w:val="004B5F78"/>
    <w:rsid w:val="004C0BB5"/>
    <w:rsid w:val="004C0F43"/>
    <w:rsid w:val="004C2522"/>
    <w:rsid w:val="004C3485"/>
    <w:rsid w:val="004C383E"/>
    <w:rsid w:val="004C3E02"/>
    <w:rsid w:val="004C5541"/>
    <w:rsid w:val="004C55B7"/>
    <w:rsid w:val="004C6EEE"/>
    <w:rsid w:val="004C702B"/>
    <w:rsid w:val="004C7189"/>
    <w:rsid w:val="004C76DD"/>
    <w:rsid w:val="004C7ABD"/>
    <w:rsid w:val="004C7BF1"/>
    <w:rsid w:val="004D0033"/>
    <w:rsid w:val="004D016B"/>
    <w:rsid w:val="004D01B4"/>
    <w:rsid w:val="004D0529"/>
    <w:rsid w:val="004D1B22"/>
    <w:rsid w:val="004D22FD"/>
    <w:rsid w:val="004D23CC"/>
    <w:rsid w:val="004D36F2"/>
    <w:rsid w:val="004D3F38"/>
    <w:rsid w:val="004D5C90"/>
    <w:rsid w:val="004D6119"/>
    <w:rsid w:val="004D6176"/>
    <w:rsid w:val="004D6AD0"/>
    <w:rsid w:val="004D6AF7"/>
    <w:rsid w:val="004D6E48"/>
    <w:rsid w:val="004E0740"/>
    <w:rsid w:val="004E09C9"/>
    <w:rsid w:val="004E0A0B"/>
    <w:rsid w:val="004E0E79"/>
    <w:rsid w:val="004E1106"/>
    <w:rsid w:val="004E138F"/>
    <w:rsid w:val="004E1594"/>
    <w:rsid w:val="004E4649"/>
    <w:rsid w:val="004E582B"/>
    <w:rsid w:val="004E5A1D"/>
    <w:rsid w:val="004E5C2B"/>
    <w:rsid w:val="004E5D10"/>
    <w:rsid w:val="004E5E31"/>
    <w:rsid w:val="004E61D8"/>
    <w:rsid w:val="004E671D"/>
    <w:rsid w:val="004E6B0A"/>
    <w:rsid w:val="004E7743"/>
    <w:rsid w:val="004F00DD"/>
    <w:rsid w:val="004F16D8"/>
    <w:rsid w:val="004F1B25"/>
    <w:rsid w:val="004F2133"/>
    <w:rsid w:val="004F42B4"/>
    <w:rsid w:val="004F4503"/>
    <w:rsid w:val="004F5398"/>
    <w:rsid w:val="004F55F1"/>
    <w:rsid w:val="004F5933"/>
    <w:rsid w:val="004F6936"/>
    <w:rsid w:val="004F69CF"/>
    <w:rsid w:val="004F6F7B"/>
    <w:rsid w:val="0050032F"/>
    <w:rsid w:val="00500663"/>
    <w:rsid w:val="00500F11"/>
    <w:rsid w:val="00501E53"/>
    <w:rsid w:val="00502A71"/>
    <w:rsid w:val="005036D7"/>
    <w:rsid w:val="00503B61"/>
    <w:rsid w:val="00503DC6"/>
    <w:rsid w:val="00504CF6"/>
    <w:rsid w:val="005059B1"/>
    <w:rsid w:val="0050632A"/>
    <w:rsid w:val="00506F5D"/>
    <w:rsid w:val="00507AC6"/>
    <w:rsid w:val="00507AEA"/>
    <w:rsid w:val="00507EBB"/>
    <w:rsid w:val="00510C37"/>
    <w:rsid w:val="005126D0"/>
    <w:rsid w:val="00512E7E"/>
    <w:rsid w:val="00512F63"/>
    <w:rsid w:val="005138FF"/>
    <w:rsid w:val="0051392F"/>
    <w:rsid w:val="00513E1B"/>
    <w:rsid w:val="0051484A"/>
    <w:rsid w:val="005150E9"/>
    <w:rsid w:val="0051568D"/>
    <w:rsid w:val="00516F28"/>
    <w:rsid w:val="0051710B"/>
    <w:rsid w:val="00520C8C"/>
    <w:rsid w:val="00521434"/>
    <w:rsid w:val="00521C20"/>
    <w:rsid w:val="00523253"/>
    <w:rsid w:val="0052360A"/>
    <w:rsid w:val="0052437F"/>
    <w:rsid w:val="0052466D"/>
    <w:rsid w:val="0052509F"/>
    <w:rsid w:val="00526879"/>
    <w:rsid w:val="00526AC7"/>
    <w:rsid w:val="00526BE2"/>
    <w:rsid w:val="00526C15"/>
    <w:rsid w:val="005320AD"/>
    <w:rsid w:val="005338C3"/>
    <w:rsid w:val="005342FF"/>
    <w:rsid w:val="005350CB"/>
    <w:rsid w:val="005358C7"/>
    <w:rsid w:val="00536139"/>
    <w:rsid w:val="00536395"/>
    <w:rsid w:val="00536499"/>
    <w:rsid w:val="0053694D"/>
    <w:rsid w:val="005369B7"/>
    <w:rsid w:val="00536A5F"/>
    <w:rsid w:val="005376A9"/>
    <w:rsid w:val="00541FD9"/>
    <w:rsid w:val="00543093"/>
    <w:rsid w:val="00543903"/>
    <w:rsid w:val="00543B84"/>
    <w:rsid w:val="00543CE4"/>
    <w:rsid w:val="00543F11"/>
    <w:rsid w:val="005443FD"/>
    <w:rsid w:val="00544ACE"/>
    <w:rsid w:val="00544FAB"/>
    <w:rsid w:val="00545CAA"/>
    <w:rsid w:val="00545CBA"/>
    <w:rsid w:val="00546305"/>
    <w:rsid w:val="00546ACE"/>
    <w:rsid w:val="00547207"/>
    <w:rsid w:val="00547A95"/>
    <w:rsid w:val="005501B6"/>
    <w:rsid w:val="005501E5"/>
    <w:rsid w:val="00550C55"/>
    <w:rsid w:val="0055119B"/>
    <w:rsid w:val="00551EB7"/>
    <w:rsid w:val="00552283"/>
    <w:rsid w:val="0055230E"/>
    <w:rsid w:val="0055261B"/>
    <w:rsid w:val="00552C67"/>
    <w:rsid w:val="005533BB"/>
    <w:rsid w:val="00553DE7"/>
    <w:rsid w:val="005540D4"/>
    <w:rsid w:val="005548B5"/>
    <w:rsid w:val="005552E6"/>
    <w:rsid w:val="0055580D"/>
    <w:rsid w:val="00556912"/>
    <w:rsid w:val="00556CC9"/>
    <w:rsid w:val="00556D4F"/>
    <w:rsid w:val="005637E9"/>
    <w:rsid w:val="0056383A"/>
    <w:rsid w:val="005654BA"/>
    <w:rsid w:val="005659DF"/>
    <w:rsid w:val="00565F4B"/>
    <w:rsid w:val="0056791A"/>
    <w:rsid w:val="005706EF"/>
    <w:rsid w:val="00571029"/>
    <w:rsid w:val="005710DA"/>
    <w:rsid w:val="00571F67"/>
    <w:rsid w:val="00572031"/>
    <w:rsid w:val="00572282"/>
    <w:rsid w:val="00572389"/>
    <w:rsid w:val="00573CE3"/>
    <w:rsid w:val="00573D1F"/>
    <w:rsid w:val="00573DF9"/>
    <w:rsid w:val="0057491E"/>
    <w:rsid w:val="005752CC"/>
    <w:rsid w:val="00575F64"/>
    <w:rsid w:val="00576E84"/>
    <w:rsid w:val="005775EF"/>
    <w:rsid w:val="00577FF3"/>
    <w:rsid w:val="00580394"/>
    <w:rsid w:val="0058043B"/>
    <w:rsid w:val="00580569"/>
    <w:rsid w:val="005809CD"/>
    <w:rsid w:val="00581B42"/>
    <w:rsid w:val="005820B9"/>
    <w:rsid w:val="00582769"/>
    <w:rsid w:val="00582B8C"/>
    <w:rsid w:val="00582BE1"/>
    <w:rsid w:val="00582D13"/>
    <w:rsid w:val="00584444"/>
    <w:rsid w:val="00584DE6"/>
    <w:rsid w:val="005865DC"/>
    <w:rsid w:val="00586DD0"/>
    <w:rsid w:val="0058757E"/>
    <w:rsid w:val="0059028A"/>
    <w:rsid w:val="00590CCC"/>
    <w:rsid w:val="00590E15"/>
    <w:rsid w:val="005917B7"/>
    <w:rsid w:val="00591957"/>
    <w:rsid w:val="00593476"/>
    <w:rsid w:val="00593CCF"/>
    <w:rsid w:val="00593FB9"/>
    <w:rsid w:val="005944FC"/>
    <w:rsid w:val="0059461D"/>
    <w:rsid w:val="00595075"/>
    <w:rsid w:val="005952BB"/>
    <w:rsid w:val="00596A4B"/>
    <w:rsid w:val="00597507"/>
    <w:rsid w:val="00597910"/>
    <w:rsid w:val="005A158E"/>
    <w:rsid w:val="005A2633"/>
    <w:rsid w:val="005A343B"/>
    <w:rsid w:val="005A3823"/>
    <w:rsid w:val="005A3B04"/>
    <w:rsid w:val="005A476E"/>
    <w:rsid w:val="005A479D"/>
    <w:rsid w:val="005A4C0A"/>
    <w:rsid w:val="005A5D26"/>
    <w:rsid w:val="005A5EF3"/>
    <w:rsid w:val="005A60A9"/>
    <w:rsid w:val="005A6B89"/>
    <w:rsid w:val="005B032A"/>
    <w:rsid w:val="005B0D8F"/>
    <w:rsid w:val="005B1306"/>
    <w:rsid w:val="005B1C6D"/>
    <w:rsid w:val="005B21B6"/>
    <w:rsid w:val="005B3A08"/>
    <w:rsid w:val="005B4221"/>
    <w:rsid w:val="005B4550"/>
    <w:rsid w:val="005B4FAD"/>
    <w:rsid w:val="005B5081"/>
    <w:rsid w:val="005B51AC"/>
    <w:rsid w:val="005B77BD"/>
    <w:rsid w:val="005B7A63"/>
    <w:rsid w:val="005C0033"/>
    <w:rsid w:val="005C06EA"/>
    <w:rsid w:val="005C0955"/>
    <w:rsid w:val="005C4333"/>
    <w:rsid w:val="005C49DA"/>
    <w:rsid w:val="005C4A03"/>
    <w:rsid w:val="005C50F3"/>
    <w:rsid w:val="005C54B5"/>
    <w:rsid w:val="005C5D80"/>
    <w:rsid w:val="005C5D91"/>
    <w:rsid w:val="005C63AC"/>
    <w:rsid w:val="005C6503"/>
    <w:rsid w:val="005C7BC1"/>
    <w:rsid w:val="005D07B8"/>
    <w:rsid w:val="005D1126"/>
    <w:rsid w:val="005D20F3"/>
    <w:rsid w:val="005D2405"/>
    <w:rsid w:val="005D2D3B"/>
    <w:rsid w:val="005D2F72"/>
    <w:rsid w:val="005D3CDA"/>
    <w:rsid w:val="005D425B"/>
    <w:rsid w:val="005D4D5B"/>
    <w:rsid w:val="005D4DCE"/>
    <w:rsid w:val="005D50E7"/>
    <w:rsid w:val="005D5809"/>
    <w:rsid w:val="005D6597"/>
    <w:rsid w:val="005E0405"/>
    <w:rsid w:val="005E071F"/>
    <w:rsid w:val="005E13C6"/>
    <w:rsid w:val="005E14E7"/>
    <w:rsid w:val="005E21E7"/>
    <w:rsid w:val="005E26A3"/>
    <w:rsid w:val="005E27CA"/>
    <w:rsid w:val="005E29B8"/>
    <w:rsid w:val="005E2A48"/>
    <w:rsid w:val="005E2ECB"/>
    <w:rsid w:val="005E3089"/>
    <w:rsid w:val="005E38F0"/>
    <w:rsid w:val="005E4059"/>
    <w:rsid w:val="005E447E"/>
    <w:rsid w:val="005E4B8B"/>
    <w:rsid w:val="005E4FD1"/>
    <w:rsid w:val="005E50BB"/>
    <w:rsid w:val="005E5B6B"/>
    <w:rsid w:val="005F03A0"/>
    <w:rsid w:val="005F0775"/>
    <w:rsid w:val="005F0AC9"/>
    <w:rsid w:val="005F0CF5"/>
    <w:rsid w:val="005F0D40"/>
    <w:rsid w:val="005F1347"/>
    <w:rsid w:val="005F21EB"/>
    <w:rsid w:val="005F2A9A"/>
    <w:rsid w:val="005F49F0"/>
    <w:rsid w:val="005F4A17"/>
    <w:rsid w:val="005F4DEA"/>
    <w:rsid w:val="005F68A7"/>
    <w:rsid w:val="005F6C8D"/>
    <w:rsid w:val="005F779C"/>
    <w:rsid w:val="005F7967"/>
    <w:rsid w:val="00602E58"/>
    <w:rsid w:val="006053FF"/>
    <w:rsid w:val="00605908"/>
    <w:rsid w:val="00605BCA"/>
    <w:rsid w:val="00605F5D"/>
    <w:rsid w:val="006065B8"/>
    <w:rsid w:val="006070EE"/>
    <w:rsid w:val="00607102"/>
    <w:rsid w:val="0060772B"/>
    <w:rsid w:val="006103BD"/>
    <w:rsid w:val="00610C2C"/>
    <w:rsid w:val="00610D7C"/>
    <w:rsid w:val="00610EE2"/>
    <w:rsid w:val="00610FF8"/>
    <w:rsid w:val="00611300"/>
    <w:rsid w:val="00611D6A"/>
    <w:rsid w:val="00611DEF"/>
    <w:rsid w:val="00612415"/>
    <w:rsid w:val="006130A3"/>
    <w:rsid w:val="00613414"/>
    <w:rsid w:val="0061362C"/>
    <w:rsid w:val="006154D8"/>
    <w:rsid w:val="00615986"/>
    <w:rsid w:val="00615FF3"/>
    <w:rsid w:val="00616FA2"/>
    <w:rsid w:val="0061734E"/>
    <w:rsid w:val="00620154"/>
    <w:rsid w:val="00620BC0"/>
    <w:rsid w:val="006228A9"/>
    <w:rsid w:val="00622962"/>
    <w:rsid w:val="00622EC0"/>
    <w:rsid w:val="0062408D"/>
    <w:rsid w:val="006240CC"/>
    <w:rsid w:val="00624616"/>
    <w:rsid w:val="00624940"/>
    <w:rsid w:val="006254F8"/>
    <w:rsid w:val="006260D6"/>
    <w:rsid w:val="00626101"/>
    <w:rsid w:val="006270E6"/>
    <w:rsid w:val="00627DA7"/>
    <w:rsid w:val="00630DA4"/>
    <w:rsid w:val="006311FF"/>
    <w:rsid w:val="00631EF1"/>
    <w:rsid w:val="00632597"/>
    <w:rsid w:val="00632A3A"/>
    <w:rsid w:val="00633092"/>
    <w:rsid w:val="00633561"/>
    <w:rsid w:val="00633BD3"/>
    <w:rsid w:val="006349CE"/>
    <w:rsid w:val="006358B4"/>
    <w:rsid w:val="00636C90"/>
    <w:rsid w:val="00636DA8"/>
    <w:rsid w:val="00636DB4"/>
    <w:rsid w:val="00636EAC"/>
    <w:rsid w:val="00636EFB"/>
    <w:rsid w:val="006374B6"/>
    <w:rsid w:val="00637629"/>
    <w:rsid w:val="006400A2"/>
    <w:rsid w:val="00640DAA"/>
    <w:rsid w:val="006419AA"/>
    <w:rsid w:val="006423EC"/>
    <w:rsid w:val="006440DA"/>
    <w:rsid w:val="00644491"/>
    <w:rsid w:val="00644B1F"/>
    <w:rsid w:val="00644B7E"/>
    <w:rsid w:val="00644EF7"/>
    <w:rsid w:val="006454E6"/>
    <w:rsid w:val="00645D03"/>
    <w:rsid w:val="00645D5A"/>
    <w:rsid w:val="00646235"/>
    <w:rsid w:val="00646A68"/>
    <w:rsid w:val="006474F1"/>
    <w:rsid w:val="00647D75"/>
    <w:rsid w:val="006505BD"/>
    <w:rsid w:val="006508EA"/>
    <w:rsid w:val="0065092E"/>
    <w:rsid w:val="00650F9A"/>
    <w:rsid w:val="00651646"/>
    <w:rsid w:val="00651D5C"/>
    <w:rsid w:val="00651F56"/>
    <w:rsid w:val="006522A7"/>
    <w:rsid w:val="006526F2"/>
    <w:rsid w:val="0065275D"/>
    <w:rsid w:val="00652F28"/>
    <w:rsid w:val="00652FDA"/>
    <w:rsid w:val="0065316F"/>
    <w:rsid w:val="00653237"/>
    <w:rsid w:val="00653288"/>
    <w:rsid w:val="00653A36"/>
    <w:rsid w:val="00653D83"/>
    <w:rsid w:val="00654335"/>
    <w:rsid w:val="00654D3A"/>
    <w:rsid w:val="006557A7"/>
    <w:rsid w:val="00655A6C"/>
    <w:rsid w:val="00656290"/>
    <w:rsid w:val="006565F7"/>
    <w:rsid w:val="006608D8"/>
    <w:rsid w:val="0066100C"/>
    <w:rsid w:val="00661288"/>
    <w:rsid w:val="006615FA"/>
    <w:rsid w:val="00661C22"/>
    <w:rsid w:val="00661D65"/>
    <w:rsid w:val="006621D7"/>
    <w:rsid w:val="0066302A"/>
    <w:rsid w:val="006633BA"/>
    <w:rsid w:val="00664971"/>
    <w:rsid w:val="00664A22"/>
    <w:rsid w:val="00664C7D"/>
    <w:rsid w:val="006652D3"/>
    <w:rsid w:val="006659A1"/>
    <w:rsid w:val="00666727"/>
    <w:rsid w:val="006667CC"/>
    <w:rsid w:val="006667EE"/>
    <w:rsid w:val="00666B47"/>
    <w:rsid w:val="00666D75"/>
    <w:rsid w:val="00667770"/>
    <w:rsid w:val="00667D65"/>
    <w:rsid w:val="006703A6"/>
    <w:rsid w:val="00670597"/>
    <w:rsid w:val="006706D0"/>
    <w:rsid w:val="00671781"/>
    <w:rsid w:val="0067273C"/>
    <w:rsid w:val="00673572"/>
    <w:rsid w:val="00673F15"/>
    <w:rsid w:val="00674671"/>
    <w:rsid w:val="00674C2F"/>
    <w:rsid w:val="00674F3A"/>
    <w:rsid w:val="006750DA"/>
    <w:rsid w:val="00675766"/>
    <w:rsid w:val="006765F2"/>
    <w:rsid w:val="00677574"/>
    <w:rsid w:val="00680C12"/>
    <w:rsid w:val="00681054"/>
    <w:rsid w:val="006813DC"/>
    <w:rsid w:val="006828BA"/>
    <w:rsid w:val="00682A42"/>
    <w:rsid w:val="0068347D"/>
    <w:rsid w:val="00683CDE"/>
    <w:rsid w:val="00683CFA"/>
    <w:rsid w:val="0068454C"/>
    <w:rsid w:val="006849A8"/>
    <w:rsid w:val="00690C02"/>
    <w:rsid w:val="00690CE4"/>
    <w:rsid w:val="00691A0E"/>
    <w:rsid w:val="00691B62"/>
    <w:rsid w:val="0069213C"/>
    <w:rsid w:val="0069229A"/>
    <w:rsid w:val="006933B5"/>
    <w:rsid w:val="00693B33"/>
    <w:rsid w:val="00693D14"/>
    <w:rsid w:val="0069402E"/>
    <w:rsid w:val="0069473B"/>
    <w:rsid w:val="00694EBC"/>
    <w:rsid w:val="006955CB"/>
    <w:rsid w:val="00695BCB"/>
    <w:rsid w:val="00696BB0"/>
    <w:rsid w:val="00696F27"/>
    <w:rsid w:val="006973F2"/>
    <w:rsid w:val="006A0596"/>
    <w:rsid w:val="006A0AC4"/>
    <w:rsid w:val="006A0DFE"/>
    <w:rsid w:val="006A18C2"/>
    <w:rsid w:val="006A231E"/>
    <w:rsid w:val="006A2BCA"/>
    <w:rsid w:val="006A3383"/>
    <w:rsid w:val="006A3ED0"/>
    <w:rsid w:val="006A3EEC"/>
    <w:rsid w:val="006A43F8"/>
    <w:rsid w:val="006A5602"/>
    <w:rsid w:val="006A5CD8"/>
    <w:rsid w:val="006A711B"/>
    <w:rsid w:val="006B052C"/>
    <w:rsid w:val="006B077C"/>
    <w:rsid w:val="006B0AF9"/>
    <w:rsid w:val="006B2D3A"/>
    <w:rsid w:val="006B3D39"/>
    <w:rsid w:val="006B43A6"/>
    <w:rsid w:val="006B6286"/>
    <w:rsid w:val="006B6803"/>
    <w:rsid w:val="006B6D8D"/>
    <w:rsid w:val="006B7610"/>
    <w:rsid w:val="006C0123"/>
    <w:rsid w:val="006C040A"/>
    <w:rsid w:val="006C0473"/>
    <w:rsid w:val="006C06AD"/>
    <w:rsid w:val="006C07BC"/>
    <w:rsid w:val="006C0EBB"/>
    <w:rsid w:val="006C1797"/>
    <w:rsid w:val="006C272F"/>
    <w:rsid w:val="006C2C6C"/>
    <w:rsid w:val="006C3C03"/>
    <w:rsid w:val="006C598E"/>
    <w:rsid w:val="006C5C0E"/>
    <w:rsid w:val="006C6244"/>
    <w:rsid w:val="006C6B59"/>
    <w:rsid w:val="006C74DB"/>
    <w:rsid w:val="006C7D75"/>
    <w:rsid w:val="006D002F"/>
    <w:rsid w:val="006D04A3"/>
    <w:rsid w:val="006D05FA"/>
    <w:rsid w:val="006D0AAB"/>
    <w:rsid w:val="006D0F16"/>
    <w:rsid w:val="006D142C"/>
    <w:rsid w:val="006D2A3F"/>
    <w:rsid w:val="006D2FBC"/>
    <w:rsid w:val="006D3C79"/>
    <w:rsid w:val="006D4CB7"/>
    <w:rsid w:val="006D5509"/>
    <w:rsid w:val="006D5C89"/>
    <w:rsid w:val="006D6126"/>
    <w:rsid w:val="006D637F"/>
    <w:rsid w:val="006D794B"/>
    <w:rsid w:val="006D79D8"/>
    <w:rsid w:val="006D7C82"/>
    <w:rsid w:val="006E03E9"/>
    <w:rsid w:val="006E04C4"/>
    <w:rsid w:val="006E0541"/>
    <w:rsid w:val="006E0CE4"/>
    <w:rsid w:val="006E11C3"/>
    <w:rsid w:val="006E138B"/>
    <w:rsid w:val="006E138D"/>
    <w:rsid w:val="006E1BE1"/>
    <w:rsid w:val="006E2254"/>
    <w:rsid w:val="006E2678"/>
    <w:rsid w:val="006E2C70"/>
    <w:rsid w:val="006E49B9"/>
    <w:rsid w:val="006E58A4"/>
    <w:rsid w:val="006E5D44"/>
    <w:rsid w:val="006E7CE3"/>
    <w:rsid w:val="006F0330"/>
    <w:rsid w:val="006F13C5"/>
    <w:rsid w:val="006F1FDC"/>
    <w:rsid w:val="006F38B5"/>
    <w:rsid w:val="006F3D70"/>
    <w:rsid w:val="006F4566"/>
    <w:rsid w:val="006F5E73"/>
    <w:rsid w:val="006F6B8C"/>
    <w:rsid w:val="00700083"/>
    <w:rsid w:val="007013EF"/>
    <w:rsid w:val="0070403F"/>
    <w:rsid w:val="00704FC5"/>
    <w:rsid w:val="007055BD"/>
    <w:rsid w:val="007061BA"/>
    <w:rsid w:val="00706819"/>
    <w:rsid w:val="00707B8B"/>
    <w:rsid w:val="00707E36"/>
    <w:rsid w:val="0071023B"/>
    <w:rsid w:val="00710420"/>
    <w:rsid w:val="007106B9"/>
    <w:rsid w:val="00714419"/>
    <w:rsid w:val="007153A4"/>
    <w:rsid w:val="00715729"/>
    <w:rsid w:val="007161E3"/>
    <w:rsid w:val="00716B59"/>
    <w:rsid w:val="00716EE8"/>
    <w:rsid w:val="007173CA"/>
    <w:rsid w:val="007179D7"/>
    <w:rsid w:val="007203A9"/>
    <w:rsid w:val="00720BC3"/>
    <w:rsid w:val="007216AA"/>
    <w:rsid w:val="00721AB5"/>
    <w:rsid w:val="00721CFB"/>
    <w:rsid w:val="00721DEF"/>
    <w:rsid w:val="00721EE8"/>
    <w:rsid w:val="0072251A"/>
    <w:rsid w:val="00722D19"/>
    <w:rsid w:val="00723796"/>
    <w:rsid w:val="00723838"/>
    <w:rsid w:val="0072481F"/>
    <w:rsid w:val="00724A43"/>
    <w:rsid w:val="00724AB0"/>
    <w:rsid w:val="0072502C"/>
    <w:rsid w:val="00725C2D"/>
    <w:rsid w:val="00726CC7"/>
    <w:rsid w:val="007273AC"/>
    <w:rsid w:val="0072785B"/>
    <w:rsid w:val="0072792E"/>
    <w:rsid w:val="00730B15"/>
    <w:rsid w:val="00730CC5"/>
    <w:rsid w:val="00730E06"/>
    <w:rsid w:val="00731AD4"/>
    <w:rsid w:val="00731E97"/>
    <w:rsid w:val="00733055"/>
    <w:rsid w:val="00734238"/>
    <w:rsid w:val="00734587"/>
    <w:rsid w:val="007346E4"/>
    <w:rsid w:val="00734FCA"/>
    <w:rsid w:val="007352D5"/>
    <w:rsid w:val="0073582E"/>
    <w:rsid w:val="007373F0"/>
    <w:rsid w:val="007374DC"/>
    <w:rsid w:val="00737EB9"/>
    <w:rsid w:val="00740D51"/>
    <w:rsid w:val="00740F22"/>
    <w:rsid w:val="00741CF0"/>
    <w:rsid w:val="00741F1A"/>
    <w:rsid w:val="007423BD"/>
    <w:rsid w:val="007431E0"/>
    <w:rsid w:val="007447DA"/>
    <w:rsid w:val="007450F8"/>
    <w:rsid w:val="0074526F"/>
    <w:rsid w:val="0074696E"/>
    <w:rsid w:val="00746A9F"/>
    <w:rsid w:val="00747126"/>
    <w:rsid w:val="00747BE3"/>
    <w:rsid w:val="00747D11"/>
    <w:rsid w:val="00750135"/>
    <w:rsid w:val="007501E2"/>
    <w:rsid w:val="0075029C"/>
    <w:rsid w:val="00750601"/>
    <w:rsid w:val="00750CA3"/>
    <w:rsid w:val="00750EC2"/>
    <w:rsid w:val="0075104B"/>
    <w:rsid w:val="007512AF"/>
    <w:rsid w:val="00751F7C"/>
    <w:rsid w:val="00752637"/>
    <w:rsid w:val="007526C7"/>
    <w:rsid w:val="00752B28"/>
    <w:rsid w:val="00753AA7"/>
    <w:rsid w:val="007541A9"/>
    <w:rsid w:val="00754E36"/>
    <w:rsid w:val="00755BB5"/>
    <w:rsid w:val="00757E9A"/>
    <w:rsid w:val="0076009B"/>
    <w:rsid w:val="00760E84"/>
    <w:rsid w:val="00763139"/>
    <w:rsid w:val="0076355D"/>
    <w:rsid w:val="0076424B"/>
    <w:rsid w:val="00764AD7"/>
    <w:rsid w:val="00765ABA"/>
    <w:rsid w:val="00766D85"/>
    <w:rsid w:val="00766FAC"/>
    <w:rsid w:val="00770560"/>
    <w:rsid w:val="00770990"/>
    <w:rsid w:val="00770CE4"/>
    <w:rsid w:val="00770F37"/>
    <w:rsid w:val="007711A0"/>
    <w:rsid w:val="007713F8"/>
    <w:rsid w:val="00771536"/>
    <w:rsid w:val="00771726"/>
    <w:rsid w:val="00772D5E"/>
    <w:rsid w:val="00772F42"/>
    <w:rsid w:val="0077463E"/>
    <w:rsid w:val="00774642"/>
    <w:rsid w:val="00775E49"/>
    <w:rsid w:val="00776928"/>
    <w:rsid w:val="00776CF5"/>
    <w:rsid w:val="00776E0F"/>
    <w:rsid w:val="00777440"/>
    <w:rsid w:val="007774B1"/>
    <w:rsid w:val="0077753B"/>
    <w:rsid w:val="00777BE1"/>
    <w:rsid w:val="00777E4A"/>
    <w:rsid w:val="00780E85"/>
    <w:rsid w:val="00781BB7"/>
    <w:rsid w:val="0078207D"/>
    <w:rsid w:val="007833CB"/>
    <w:rsid w:val="007833D8"/>
    <w:rsid w:val="00784BE9"/>
    <w:rsid w:val="007854B4"/>
    <w:rsid w:val="00785677"/>
    <w:rsid w:val="007858D6"/>
    <w:rsid w:val="00786B45"/>
    <w:rsid w:val="00786F16"/>
    <w:rsid w:val="00787FFA"/>
    <w:rsid w:val="00790320"/>
    <w:rsid w:val="00791BD7"/>
    <w:rsid w:val="00792285"/>
    <w:rsid w:val="007929CA"/>
    <w:rsid w:val="007933F7"/>
    <w:rsid w:val="0079546A"/>
    <w:rsid w:val="0079559B"/>
    <w:rsid w:val="00795CED"/>
    <w:rsid w:val="007968F3"/>
    <w:rsid w:val="00796E20"/>
    <w:rsid w:val="00797C32"/>
    <w:rsid w:val="007A11E8"/>
    <w:rsid w:val="007A157F"/>
    <w:rsid w:val="007A21EE"/>
    <w:rsid w:val="007A300A"/>
    <w:rsid w:val="007A32BB"/>
    <w:rsid w:val="007A4069"/>
    <w:rsid w:val="007A550D"/>
    <w:rsid w:val="007A5844"/>
    <w:rsid w:val="007A5C5D"/>
    <w:rsid w:val="007A6100"/>
    <w:rsid w:val="007A66A7"/>
    <w:rsid w:val="007A7ED9"/>
    <w:rsid w:val="007B0914"/>
    <w:rsid w:val="007B0E1C"/>
    <w:rsid w:val="007B1374"/>
    <w:rsid w:val="007B1592"/>
    <w:rsid w:val="007B1A0D"/>
    <w:rsid w:val="007B32E5"/>
    <w:rsid w:val="007B3D13"/>
    <w:rsid w:val="007B3DB9"/>
    <w:rsid w:val="007B589F"/>
    <w:rsid w:val="007B6186"/>
    <w:rsid w:val="007B73BC"/>
    <w:rsid w:val="007B79CE"/>
    <w:rsid w:val="007B7D9D"/>
    <w:rsid w:val="007C0612"/>
    <w:rsid w:val="007C0BFF"/>
    <w:rsid w:val="007C1102"/>
    <w:rsid w:val="007C1525"/>
    <w:rsid w:val="007C1838"/>
    <w:rsid w:val="007C20B9"/>
    <w:rsid w:val="007C33AA"/>
    <w:rsid w:val="007C3E78"/>
    <w:rsid w:val="007C4241"/>
    <w:rsid w:val="007C4A92"/>
    <w:rsid w:val="007C69A3"/>
    <w:rsid w:val="007C6A38"/>
    <w:rsid w:val="007C6F8C"/>
    <w:rsid w:val="007C7301"/>
    <w:rsid w:val="007C7463"/>
    <w:rsid w:val="007C7859"/>
    <w:rsid w:val="007C7F28"/>
    <w:rsid w:val="007D01FA"/>
    <w:rsid w:val="007D03C1"/>
    <w:rsid w:val="007D0658"/>
    <w:rsid w:val="007D0A81"/>
    <w:rsid w:val="007D13A2"/>
    <w:rsid w:val="007D1466"/>
    <w:rsid w:val="007D14C1"/>
    <w:rsid w:val="007D1C7C"/>
    <w:rsid w:val="007D242A"/>
    <w:rsid w:val="007D2BDE"/>
    <w:rsid w:val="007D2F3F"/>
    <w:rsid w:val="007D2FB6"/>
    <w:rsid w:val="007D38B4"/>
    <w:rsid w:val="007D3AB5"/>
    <w:rsid w:val="007D49EB"/>
    <w:rsid w:val="007D580C"/>
    <w:rsid w:val="007D5D84"/>
    <w:rsid w:val="007D5E1C"/>
    <w:rsid w:val="007D608A"/>
    <w:rsid w:val="007D66AE"/>
    <w:rsid w:val="007D7463"/>
    <w:rsid w:val="007E08FD"/>
    <w:rsid w:val="007E0DE2"/>
    <w:rsid w:val="007E1227"/>
    <w:rsid w:val="007E16BF"/>
    <w:rsid w:val="007E3B98"/>
    <w:rsid w:val="007E417A"/>
    <w:rsid w:val="007E47C3"/>
    <w:rsid w:val="007E4A0E"/>
    <w:rsid w:val="007E5439"/>
    <w:rsid w:val="007E54F4"/>
    <w:rsid w:val="007E68BB"/>
    <w:rsid w:val="007E763A"/>
    <w:rsid w:val="007F02B8"/>
    <w:rsid w:val="007F12C7"/>
    <w:rsid w:val="007F2DAF"/>
    <w:rsid w:val="007F31B6"/>
    <w:rsid w:val="007F3A2F"/>
    <w:rsid w:val="007F4B11"/>
    <w:rsid w:val="007F546C"/>
    <w:rsid w:val="007F5A00"/>
    <w:rsid w:val="007F625F"/>
    <w:rsid w:val="007F665E"/>
    <w:rsid w:val="007F669C"/>
    <w:rsid w:val="007F67CE"/>
    <w:rsid w:val="007F6B3B"/>
    <w:rsid w:val="007FD46A"/>
    <w:rsid w:val="0080009D"/>
    <w:rsid w:val="00800412"/>
    <w:rsid w:val="00800528"/>
    <w:rsid w:val="00800FAD"/>
    <w:rsid w:val="0080223B"/>
    <w:rsid w:val="008027CE"/>
    <w:rsid w:val="0080358E"/>
    <w:rsid w:val="008052F4"/>
    <w:rsid w:val="0080587B"/>
    <w:rsid w:val="00806468"/>
    <w:rsid w:val="00807254"/>
    <w:rsid w:val="00807411"/>
    <w:rsid w:val="008114D5"/>
    <w:rsid w:val="008119CA"/>
    <w:rsid w:val="008130C4"/>
    <w:rsid w:val="00813FDB"/>
    <w:rsid w:val="008145BE"/>
    <w:rsid w:val="00815431"/>
    <w:rsid w:val="008155F0"/>
    <w:rsid w:val="008156C5"/>
    <w:rsid w:val="00815E0F"/>
    <w:rsid w:val="00815EBE"/>
    <w:rsid w:val="00816564"/>
    <w:rsid w:val="00816735"/>
    <w:rsid w:val="0081755E"/>
    <w:rsid w:val="0081794F"/>
    <w:rsid w:val="00820141"/>
    <w:rsid w:val="0082065A"/>
    <w:rsid w:val="00820ACF"/>
    <w:rsid w:val="00820E0C"/>
    <w:rsid w:val="008213F0"/>
    <w:rsid w:val="00821EC4"/>
    <w:rsid w:val="0082205A"/>
    <w:rsid w:val="00822411"/>
    <w:rsid w:val="00823095"/>
    <w:rsid w:val="00823275"/>
    <w:rsid w:val="0082335A"/>
    <w:rsid w:val="0082366F"/>
    <w:rsid w:val="0082416C"/>
    <w:rsid w:val="008241F9"/>
    <w:rsid w:val="008243A3"/>
    <w:rsid w:val="00824E09"/>
    <w:rsid w:val="00826747"/>
    <w:rsid w:val="00827E24"/>
    <w:rsid w:val="00827EC0"/>
    <w:rsid w:val="0083165F"/>
    <w:rsid w:val="008321D2"/>
    <w:rsid w:val="008338A2"/>
    <w:rsid w:val="00834227"/>
    <w:rsid w:val="00834F3C"/>
    <w:rsid w:val="00835FAF"/>
    <w:rsid w:val="008362E3"/>
    <w:rsid w:val="00836F24"/>
    <w:rsid w:val="008377D4"/>
    <w:rsid w:val="00837A29"/>
    <w:rsid w:val="00837D69"/>
    <w:rsid w:val="00841362"/>
    <w:rsid w:val="00841AA9"/>
    <w:rsid w:val="00841D61"/>
    <w:rsid w:val="00841E2F"/>
    <w:rsid w:val="00842A28"/>
    <w:rsid w:val="0084361C"/>
    <w:rsid w:val="008440CC"/>
    <w:rsid w:val="00844700"/>
    <w:rsid w:val="00845D6E"/>
    <w:rsid w:val="00846897"/>
    <w:rsid w:val="00846944"/>
    <w:rsid w:val="008474FE"/>
    <w:rsid w:val="00850949"/>
    <w:rsid w:val="00850C9C"/>
    <w:rsid w:val="00851613"/>
    <w:rsid w:val="008526AC"/>
    <w:rsid w:val="0085281E"/>
    <w:rsid w:val="008533F5"/>
    <w:rsid w:val="008537BF"/>
    <w:rsid w:val="00853EE4"/>
    <w:rsid w:val="00853F0D"/>
    <w:rsid w:val="00855535"/>
    <w:rsid w:val="00855920"/>
    <w:rsid w:val="008563AA"/>
    <w:rsid w:val="008572E6"/>
    <w:rsid w:val="00857C5A"/>
    <w:rsid w:val="00857E1B"/>
    <w:rsid w:val="00860278"/>
    <w:rsid w:val="00860A9F"/>
    <w:rsid w:val="00861007"/>
    <w:rsid w:val="008617F5"/>
    <w:rsid w:val="00861F47"/>
    <w:rsid w:val="00861F8E"/>
    <w:rsid w:val="008623C6"/>
    <w:rsid w:val="0086255E"/>
    <w:rsid w:val="00862F65"/>
    <w:rsid w:val="00863022"/>
    <w:rsid w:val="0086311A"/>
    <w:rsid w:val="008633F0"/>
    <w:rsid w:val="00863A7E"/>
    <w:rsid w:val="00864959"/>
    <w:rsid w:val="0086628E"/>
    <w:rsid w:val="008676ED"/>
    <w:rsid w:val="00867D9D"/>
    <w:rsid w:val="0087123D"/>
    <w:rsid w:val="00872E0A"/>
    <w:rsid w:val="00873594"/>
    <w:rsid w:val="00873A24"/>
    <w:rsid w:val="008740AC"/>
    <w:rsid w:val="00874A5B"/>
    <w:rsid w:val="00875285"/>
    <w:rsid w:val="00876F71"/>
    <w:rsid w:val="008770D7"/>
    <w:rsid w:val="008776EA"/>
    <w:rsid w:val="00877EFD"/>
    <w:rsid w:val="00880998"/>
    <w:rsid w:val="00881C25"/>
    <w:rsid w:val="00882512"/>
    <w:rsid w:val="008825BF"/>
    <w:rsid w:val="00883096"/>
    <w:rsid w:val="00884B62"/>
    <w:rsid w:val="0088529C"/>
    <w:rsid w:val="00885B9C"/>
    <w:rsid w:val="00887903"/>
    <w:rsid w:val="00887F82"/>
    <w:rsid w:val="00890960"/>
    <w:rsid w:val="008909A0"/>
    <w:rsid w:val="008925B8"/>
    <w:rsid w:val="0089270A"/>
    <w:rsid w:val="00893079"/>
    <w:rsid w:val="00893AF6"/>
    <w:rsid w:val="00894BC4"/>
    <w:rsid w:val="00895BF9"/>
    <w:rsid w:val="0089641F"/>
    <w:rsid w:val="008965C8"/>
    <w:rsid w:val="00897C23"/>
    <w:rsid w:val="008A084B"/>
    <w:rsid w:val="008A098B"/>
    <w:rsid w:val="008A0DCD"/>
    <w:rsid w:val="008A199E"/>
    <w:rsid w:val="008A1B98"/>
    <w:rsid w:val="008A28A8"/>
    <w:rsid w:val="008A2BBD"/>
    <w:rsid w:val="008A2F6F"/>
    <w:rsid w:val="008A36A2"/>
    <w:rsid w:val="008A42B3"/>
    <w:rsid w:val="008A5B32"/>
    <w:rsid w:val="008A6C4D"/>
    <w:rsid w:val="008A7597"/>
    <w:rsid w:val="008A7777"/>
    <w:rsid w:val="008B0C4F"/>
    <w:rsid w:val="008B0DDD"/>
    <w:rsid w:val="008B2EE4"/>
    <w:rsid w:val="008B34B2"/>
    <w:rsid w:val="008B34E6"/>
    <w:rsid w:val="008B3897"/>
    <w:rsid w:val="008B392A"/>
    <w:rsid w:val="008B3AAD"/>
    <w:rsid w:val="008B44B0"/>
    <w:rsid w:val="008B4BD1"/>
    <w:rsid w:val="008B4D3D"/>
    <w:rsid w:val="008B57C7"/>
    <w:rsid w:val="008B5B5E"/>
    <w:rsid w:val="008B6CFE"/>
    <w:rsid w:val="008B703B"/>
    <w:rsid w:val="008B764C"/>
    <w:rsid w:val="008B79A1"/>
    <w:rsid w:val="008C00DD"/>
    <w:rsid w:val="008C1AF2"/>
    <w:rsid w:val="008C2F92"/>
    <w:rsid w:val="008C305D"/>
    <w:rsid w:val="008C3697"/>
    <w:rsid w:val="008C3B20"/>
    <w:rsid w:val="008C4159"/>
    <w:rsid w:val="008C53DD"/>
    <w:rsid w:val="008C5557"/>
    <w:rsid w:val="008C589D"/>
    <w:rsid w:val="008C5FC1"/>
    <w:rsid w:val="008C645E"/>
    <w:rsid w:val="008C64F6"/>
    <w:rsid w:val="008C6614"/>
    <w:rsid w:val="008C6D51"/>
    <w:rsid w:val="008D0CB3"/>
    <w:rsid w:val="008D0D96"/>
    <w:rsid w:val="008D220E"/>
    <w:rsid w:val="008D2846"/>
    <w:rsid w:val="008D3149"/>
    <w:rsid w:val="008D32C2"/>
    <w:rsid w:val="008D4236"/>
    <w:rsid w:val="008D462F"/>
    <w:rsid w:val="008D5AB4"/>
    <w:rsid w:val="008D5E0F"/>
    <w:rsid w:val="008D6D0F"/>
    <w:rsid w:val="008D6DCF"/>
    <w:rsid w:val="008E093E"/>
    <w:rsid w:val="008E157F"/>
    <w:rsid w:val="008E32A0"/>
    <w:rsid w:val="008E3959"/>
    <w:rsid w:val="008E3DE9"/>
    <w:rsid w:val="008E4376"/>
    <w:rsid w:val="008E45F3"/>
    <w:rsid w:val="008E52BF"/>
    <w:rsid w:val="008E5F97"/>
    <w:rsid w:val="008E7A0A"/>
    <w:rsid w:val="008E7B49"/>
    <w:rsid w:val="008F03FA"/>
    <w:rsid w:val="008F0461"/>
    <w:rsid w:val="008F0D1A"/>
    <w:rsid w:val="008F15DC"/>
    <w:rsid w:val="008F1999"/>
    <w:rsid w:val="008F3143"/>
    <w:rsid w:val="008F399A"/>
    <w:rsid w:val="008F3C99"/>
    <w:rsid w:val="008F59F6"/>
    <w:rsid w:val="008F5B24"/>
    <w:rsid w:val="008F7ACD"/>
    <w:rsid w:val="00900719"/>
    <w:rsid w:val="00900C87"/>
    <w:rsid w:val="00901039"/>
    <w:rsid w:val="00901181"/>
    <w:rsid w:val="009017AC"/>
    <w:rsid w:val="00902A9A"/>
    <w:rsid w:val="009030D5"/>
    <w:rsid w:val="009041BB"/>
    <w:rsid w:val="00904782"/>
    <w:rsid w:val="0090494B"/>
    <w:rsid w:val="00904A1C"/>
    <w:rsid w:val="0090501C"/>
    <w:rsid w:val="00905030"/>
    <w:rsid w:val="009050DC"/>
    <w:rsid w:val="00905146"/>
    <w:rsid w:val="009057B9"/>
    <w:rsid w:val="00906490"/>
    <w:rsid w:val="009067B3"/>
    <w:rsid w:val="009071FA"/>
    <w:rsid w:val="0090772D"/>
    <w:rsid w:val="0091010D"/>
    <w:rsid w:val="009111B2"/>
    <w:rsid w:val="009119EB"/>
    <w:rsid w:val="00912CD4"/>
    <w:rsid w:val="00912F10"/>
    <w:rsid w:val="00913406"/>
    <w:rsid w:val="00914176"/>
    <w:rsid w:val="009145B7"/>
    <w:rsid w:val="009151F5"/>
    <w:rsid w:val="00915A6C"/>
    <w:rsid w:val="00915EC3"/>
    <w:rsid w:val="009173F1"/>
    <w:rsid w:val="00917822"/>
    <w:rsid w:val="009179FC"/>
    <w:rsid w:val="00920208"/>
    <w:rsid w:val="00920346"/>
    <w:rsid w:val="0092049E"/>
    <w:rsid w:val="009207AE"/>
    <w:rsid w:val="00920AB3"/>
    <w:rsid w:val="00921124"/>
    <w:rsid w:val="009220CA"/>
    <w:rsid w:val="009229EA"/>
    <w:rsid w:val="00922CE7"/>
    <w:rsid w:val="009230D4"/>
    <w:rsid w:val="0092343E"/>
    <w:rsid w:val="00924AE1"/>
    <w:rsid w:val="00924DF5"/>
    <w:rsid w:val="00924E03"/>
    <w:rsid w:val="00925487"/>
    <w:rsid w:val="009269B1"/>
    <w:rsid w:val="0092724D"/>
    <w:rsid w:val="009272B3"/>
    <w:rsid w:val="009277E9"/>
    <w:rsid w:val="00927B1D"/>
    <w:rsid w:val="00927D9E"/>
    <w:rsid w:val="00930D48"/>
    <w:rsid w:val="009315BE"/>
    <w:rsid w:val="00932A44"/>
    <w:rsid w:val="0093338F"/>
    <w:rsid w:val="009334DE"/>
    <w:rsid w:val="0093564B"/>
    <w:rsid w:val="00936A13"/>
    <w:rsid w:val="00937651"/>
    <w:rsid w:val="00937725"/>
    <w:rsid w:val="00937BD9"/>
    <w:rsid w:val="00937C67"/>
    <w:rsid w:val="00943291"/>
    <w:rsid w:val="0094440E"/>
    <w:rsid w:val="00944A29"/>
    <w:rsid w:val="00946FF1"/>
    <w:rsid w:val="00947FE8"/>
    <w:rsid w:val="00950E2C"/>
    <w:rsid w:val="009511BC"/>
    <w:rsid w:val="009512D6"/>
    <w:rsid w:val="009516DA"/>
    <w:rsid w:val="00951875"/>
    <w:rsid w:val="00951D50"/>
    <w:rsid w:val="009525EB"/>
    <w:rsid w:val="00953859"/>
    <w:rsid w:val="0095470B"/>
    <w:rsid w:val="00954874"/>
    <w:rsid w:val="009548AF"/>
    <w:rsid w:val="00954FAA"/>
    <w:rsid w:val="0095545B"/>
    <w:rsid w:val="00955C64"/>
    <w:rsid w:val="0095605D"/>
    <w:rsid w:val="0095615A"/>
    <w:rsid w:val="00956CFE"/>
    <w:rsid w:val="009611AA"/>
    <w:rsid w:val="00961400"/>
    <w:rsid w:val="00961B6F"/>
    <w:rsid w:val="00961E6C"/>
    <w:rsid w:val="00963646"/>
    <w:rsid w:val="00963FA9"/>
    <w:rsid w:val="009647DE"/>
    <w:rsid w:val="00964D1E"/>
    <w:rsid w:val="0096632D"/>
    <w:rsid w:val="00966598"/>
    <w:rsid w:val="009666CB"/>
    <w:rsid w:val="00967176"/>
    <w:rsid w:val="00967AA5"/>
    <w:rsid w:val="00971551"/>
    <w:rsid w:val="009718C7"/>
    <w:rsid w:val="009736C5"/>
    <w:rsid w:val="00973AD0"/>
    <w:rsid w:val="00973CA0"/>
    <w:rsid w:val="00974068"/>
    <w:rsid w:val="0097406A"/>
    <w:rsid w:val="0097442F"/>
    <w:rsid w:val="00974A55"/>
    <w:rsid w:val="009752D4"/>
    <w:rsid w:val="0097559F"/>
    <w:rsid w:val="00976150"/>
    <w:rsid w:val="0097626E"/>
    <w:rsid w:val="0097630F"/>
    <w:rsid w:val="00977153"/>
    <w:rsid w:val="009772B4"/>
    <w:rsid w:val="0097761E"/>
    <w:rsid w:val="00977A97"/>
    <w:rsid w:val="009803AC"/>
    <w:rsid w:val="009818E2"/>
    <w:rsid w:val="00982454"/>
    <w:rsid w:val="009826EC"/>
    <w:rsid w:val="00982CF0"/>
    <w:rsid w:val="00984E12"/>
    <w:rsid w:val="009853E1"/>
    <w:rsid w:val="00985B6E"/>
    <w:rsid w:val="00985BE0"/>
    <w:rsid w:val="00986E6B"/>
    <w:rsid w:val="00990032"/>
    <w:rsid w:val="00990B19"/>
    <w:rsid w:val="00990BDB"/>
    <w:rsid w:val="00991140"/>
    <w:rsid w:val="0099153B"/>
    <w:rsid w:val="00991769"/>
    <w:rsid w:val="00991952"/>
    <w:rsid w:val="00991BE4"/>
    <w:rsid w:val="00992263"/>
    <w:rsid w:val="0099232C"/>
    <w:rsid w:val="00992836"/>
    <w:rsid w:val="00992A21"/>
    <w:rsid w:val="00994386"/>
    <w:rsid w:val="00994589"/>
    <w:rsid w:val="00994A72"/>
    <w:rsid w:val="00994AC7"/>
    <w:rsid w:val="00995590"/>
    <w:rsid w:val="00996A09"/>
    <w:rsid w:val="00996A29"/>
    <w:rsid w:val="00996E1C"/>
    <w:rsid w:val="00996E7B"/>
    <w:rsid w:val="009A13D8"/>
    <w:rsid w:val="009A1832"/>
    <w:rsid w:val="009A279E"/>
    <w:rsid w:val="009A3015"/>
    <w:rsid w:val="009A3490"/>
    <w:rsid w:val="009A4010"/>
    <w:rsid w:val="009A5852"/>
    <w:rsid w:val="009A5BFF"/>
    <w:rsid w:val="009A6760"/>
    <w:rsid w:val="009B0482"/>
    <w:rsid w:val="009B0A6F"/>
    <w:rsid w:val="009B0A94"/>
    <w:rsid w:val="009B2AE8"/>
    <w:rsid w:val="009B2C0A"/>
    <w:rsid w:val="009B501F"/>
    <w:rsid w:val="009B59E9"/>
    <w:rsid w:val="009B6D1B"/>
    <w:rsid w:val="009B70AA"/>
    <w:rsid w:val="009B761D"/>
    <w:rsid w:val="009C0679"/>
    <w:rsid w:val="009C0731"/>
    <w:rsid w:val="009C07BB"/>
    <w:rsid w:val="009C0D68"/>
    <w:rsid w:val="009C1351"/>
    <w:rsid w:val="009C1F49"/>
    <w:rsid w:val="009C2941"/>
    <w:rsid w:val="009C30E5"/>
    <w:rsid w:val="009C3454"/>
    <w:rsid w:val="009C34E6"/>
    <w:rsid w:val="009C431A"/>
    <w:rsid w:val="009C43FA"/>
    <w:rsid w:val="009C51E9"/>
    <w:rsid w:val="009C533B"/>
    <w:rsid w:val="009C5B8A"/>
    <w:rsid w:val="009C5E77"/>
    <w:rsid w:val="009C6A8C"/>
    <w:rsid w:val="009C6BF9"/>
    <w:rsid w:val="009C71F5"/>
    <w:rsid w:val="009C73B7"/>
    <w:rsid w:val="009C7402"/>
    <w:rsid w:val="009C76AB"/>
    <w:rsid w:val="009C7920"/>
    <w:rsid w:val="009C7A7E"/>
    <w:rsid w:val="009D02E8"/>
    <w:rsid w:val="009D0AF7"/>
    <w:rsid w:val="009D1243"/>
    <w:rsid w:val="009D2724"/>
    <w:rsid w:val="009D2A05"/>
    <w:rsid w:val="009D2A42"/>
    <w:rsid w:val="009D31F0"/>
    <w:rsid w:val="009D43A1"/>
    <w:rsid w:val="009D4FD8"/>
    <w:rsid w:val="009D51D0"/>
    <w:rsid w:val="009D5A45"/>
    <w:rsid w:val="009D5B3B"/>
    <w:rsid w:val="009D633D"/>
    <w:rsid w:val="009D70A4"/>
    <w:rsid w:val="009D78A4"/>
    <w:rsid w:val="009D7B14"/>
    <w:rsid w:val="009D7C57"/>
    <w:rsid w:val="009D7F8A"/>
    <w:rsid w:val="009E08D1"/>
    <w:rsid w:val="009E1AAA"/>
    <w:rsid w:val="009E1B95"/>
    <w:rsid w:val="009E1BA8"/>
    <w:rsid w:val="009E28FF"/>
    <w:rsid w:val="009E350E"/>
    <w:rsid w:val="009E378D"/>
    <w:rsid w:val="009E496F"/>
    <w:rsid w:val="009E4B0D"/>
    <w:rsid w:val="009E4F70"/>
    <w:rsid w:val="009E5097"/>
    <w:rsid w:val="009E5250"/>
    <w:rsid w:val="009E5ADA"/>
    <w:rsid w:val="009E5EA9"/>
    <w:rsid w:val="009E6EB8"/>
    <w:rsid w:val="009E7917"/>
    <w:rsid w:val="009E7F92"/>
    <w:rsid w:val="009F02A3"/>
    <w:rsid w:val="009F1091"/>
    <w:rsid w:val="009F1A80"/>
    <w:rsid w:val="009F2036"/>
    <w:rsid w:val="009F2382"/>
    <w:rsid w:val="009F2F27"/>
    <w:rsid w:val="009F34AA"/>
    <w:rsid w:val="009F3810"/>
    <w:rsid w:val="009F3CF5"/>
    <w:rsid w:val="009F3DC9"/>
    <w:rsid w:val="009F4D2E"/>
    <w:rsid w:val="009F515C"/>
    <w:rsid w:val="009F6161"/>
    <w:rsid w:val="009F6620"/>
    <w:rsid w:val="009F66E4"/>
    <w:rsid w:val="009F6BCB"/>
    <w:rsid w:val="009F6C10"/>
    <w:rsid w:val="009F7731"/>
    <w:rsid w:val="009F7B78"/>
    <w:rsid w:val="009F7E3D"/>
    <w:rsid w:val="00A00306"/>
    <w:rsid w:val="00A0057A"/>
    <w:rsid w:val="00A0124F"/>
    <w:rsid w:val="00A01E74"/>
    <w:rsid w:val="00A02FA1"/>
    <w:rsid w:val="00A04CCE"/>
    <w:rsid w:val="00A07037"/>
    <w:rsid w:val="00A07421"/>
    <w:rsid w:val="00A074AC"/>
    <w:rsid w:val="00A0776B"/>
    <w:rsid w:val="00A1023C"/>
    <w:rsid w:val="00A10FB9"/>
    <w:rsid w:val="00A11421"/>
    <w:rsid w:val="00A1229D"/>
    <w:rsid w:val="00A12345"/>
    <w:rsid w:val="00A12A72"/>
    <w:rsid w:val="00A1389F"/>
    <w:rsid w:val="00A13909"/>
    <w:rsid w:val="00A1493E"/>
    <w:rsid w:val="00A14E7F"/>
    <w:rsid w:val="00A15095"/>
    <w:rsid w:val="00A157B1"/>
    <w:rsid w:val="00A16F42"/>
    <w:rsid w:val="00A176FA"/>
    <w:rsid w:val="00A17A91"/>
    <w:rsid w:val="00A22229"/>
    <w:rsid w:val="00A228E3"/>
    <w:rsid w:val="00A22973"/>
    <w:rsid w:val="00A22D0E"/>
    <w:rsid w:val="00A233AA"/>
    <w:rsid w:val="00A236BE"/>
    <w:rsid w:val="00A24442"/>
    <w:rsid w:val="00A244AE"/>
    <w:rsid w:val="00A24963"/>
    <w:rsid w:val="00A24C62"/>
    <w:rsid w:val="00A254D7"/>
    <w:rsid w:val="00A25939"/>
    <w:rsid w:val="00A25C0D"/>
    <w:rsid w:val="00A27247"/>
    <w:rsid w:val="00A274BC"/>
    <w:rsid w:val="00A30D9A"/>
    <w:rsid w:val="00A3214E"/>
    <w:rsid w:val="00A33011"/>
    <w:rsid w:val="00A330BB"/>
    <w:rsid w:val="00A332E6"/>
    <w:rsid w:val="00A337F1"/>
    <w:rsid w:val="00A341CD"/>
    <w:rsid w:val="00A34443"/>
    <w:rsid w:val="00A35142"/>
    <w:rsid w:val="00A36102"/>
    <w:rsid w:val="00A36DB5"/>
    <w:rsid w:val="00A37250"/>
    <w:rsid w:val="00A40B8C"/>
    <w:rsid w:val="00A40C08"/>
    <w:rsid w:val="00A41320"/>
    <w:rsid w:val="00A41CD9"/>
    <w:rsid w:val="00A41D82"/>
    <w:rsid w:val="00A4218A"/>
    <w:rsid w:val="00A42BE3"/>
    <w:rsid w:val="00A43752"/>
    <w:rsid w:val="00A437F3"/>
    <w:rsid w:val="00A43AB8"/>
    <w:rsid w:val="00A43CFE"/>
    <w:rsid w:val="00A44882"/>
    <w:rsid w:val="00A44C9B"/>
    <w:rsid w:val="00A45125"/>
    <w:rsid w:val="00A45181"/>
    <w:rsid w:val="00A45974"/>
    <w:rsid w:val="00A45A43"/>
    <w:rsid w:val="00A460A8"/>
    <w:rsid w:val="00A463B9"/>
    <w:rsid w:val="00A505AF"/>
    <w:rsid w:val="00A50E59"/>
    <w:rsid w:val="00A5156E"/>
    <w:rsid w:val="00A51774"/>
    <w:rsid w:val="00A51F76"/>
    <w:rsid w:val="00A5280C"/>
    <w:rsid w:val="00A54715"/>
    <w:rsid w:val="00A55888"/>
    <w:rsid w:val="00A56064"/>
    <w:rsid w:val="00A56C95"/>
    <w:rsid w:val="00A5797A"/>
    <w:rsid w:val="00A6017E"/>
    <w:rsid w:val="00A6026F"/>
    <w:rsid w:val="00A6061C"/>
    <w:rsid w:val="00A6061F"/>
    <w:rsid w:val="00A60AAC"/>
    <w:rsid w:val="00A60B98"/>
    <w:rsid w:val="00A61C1C"/>
    <w:rsid w:val="00A61D04"/>
    <w:rsid w:val="00A62837"/>
    <w:rsid w:val="00A62D44"/>
    <w:rsid w:val="00A63375"/>
    <w:rsid w:val="00A63BDD"/>
    <w:rsid w:val="00A63DEA"/>
    <w:rsid w:val="00A649C3"/>
    <w:rsid w:val="00A64B8C"/>
    <w:rsid w:val="00A64E38"/>
    <w:rsid w:val="00A65774"/>
    <w:rsid w:val="00A65925"/>
    <w:rsid w:val="00A66283"/>
    <w:rsid w:val="00A67263"/>
    <w:rsid w:val="00A70051"/>
    <w:rsid w:val="00A70B0D"/>
    <w:rsid w:val="00A7161C"/>
    <w:rsid w:val="00A718DE"/>
    <w:rsid w:val="00A73BF6"/>
    <w:rsid w:val="00A77AA3"/>
    <w:rsid w:val="00A81550"/>
    <w:rsid w:val="00A8164A"/>
    <w:rsid w:val="00A8172A"/>
    <w:rsid w:val="00A81E99"/>
    <w:rsid w:val="00A8203D"/>
    <w:rsid w:val="00A8236D"/>
    <w:rsid w:val="00A8272A"/>
    <w:rsid w:val="00A82934"/>
    <w:rsid w:val="00A8307A"/>
    <w:rsid w:val="00A83BD8"/>
    <w:rsid w:val="00A854EB"/>
    <w:rsid w:val="00A85722"/>
    <w:rsid w:val="00A862F9"/>
    <w:rsid w:val="00A863A7"/>
    <w:rsid w:val="00A86800"/>
    <w:rsid w:val="00A86E8D"/>
    <w:rsid w:val="00A86F7B"/>
    <w:rsid w:val="00A87160"/>
    <w:rsid w:val="00A872E5"/>
    <w:rsid w:val="00A87B35"/>
    <w:rsid w:val="00A902DA"/>
    <w:rsid w:val="00A90D67"/>
    <w:rsid w:val="00A91406"/>
    <w:rsid w:val="00A91AC0"/>
    <w:rsid w:val="00A92159"/>
    <w:rsid w:val="00A924E7"/>
    <w:rsid w:val="00A92E86"/>
    <w:rsid w:val="00A93923"/>
    <w:rsid w:val="00A948FC"/>
    <w:rsid w:val="00A95832"/>
    <w:rsid w:val="00A958E5"/>
    <w:rsid w:val="00A95E52"/>
    <w:rsid w:val="00A95EA1"/>
    <w:rsid w:val="00A95F42"/>
    <w:rsid w:val="00A96E65"/>
    <w:rsid w:val="00A97C72"/>
    <w:rsid w:val="00AA01BD"/>
    <w:rsid w:val="00AA027D"/>
    <w:rsid w:val="00AA1F8C"/>
    <w:rsid w:val="00AA268E"/>
    <w:rsid w:val="00AA310B"/>
    <w:rsid w:val="00AA3723"/>
    <w:rsid w:val="00AA5538"/>
    <w:rsid w:val="00AA6033"/>
    <w:rsid w:val="00AA63D4"/>
    <w:rsid w:val="00AA642F"/>
    <w:rsid w:val="00AA66A0"/>
    <w:rsid w:val="00AB00A0"/>
    <w:rsid w:val="00AB06E8"/>
    <w:rsid w:val="00AB091F"/>
    <w:rsid w:val="00AB1A3B"/>
    <w:rsid w:val="00AB1CD3"/>
    <w:rsid w:val="00AB1EA2"/>
    <w:rsid w:val="00AB23E7"/>
    <w:rsid w:val="00AB352F"/>
    <w:rsid w:val="00AB3885"/>
    <w:rsid w:val="00AB3F05"/>
    <w:rsid w:val="00AB4D82"/>
    <w:rsid w:val="00AB4E58"/>
    <w:rsid w:val="00AB4EDF"/>
    <w:rsid w:val="00AB5F4E"/>
    <w:rsid w:val="00AB62A7"/>
    <w:rsid w:val="00AB6B48"/>
    <w:rsid w:val="00AC1685"/>
    <w:rsid w:val="00AC1E86"/>
    <w:rsid w:val="00AC2317"/>
    <w:rsid w:val="00AC274B"/>
    <w:rsid w:val="00AC455C"/>
    <w:rsid w:val="00AC4764"/>
    <w:rsid w:val="00AC4A8C"/>
    <w:rsid w:val="00AC56BE"/>
    <w:rsid w:val="00AC64A6"/>
    <w:rsid w:val="00AC6D36"/>
    <w:rsid w:val="00AC707F"/>
    <w:rsid w:val="00AC7581"/>
    <w:rsid w:val="00AC77B3"/>
    <w:rsid w:val="00AD0C3C"/>
    <w:rsid w:val="00AD0CBA"/>
    <w:rsid w:val="00AD0D0D"/>
    <w:rsid w:val="00AD13FF"/>
    <w:rsid w:val="00AD177A"/>
    <w:rsid w:val="00AD1C5B"/>
    <w:rsid w:val="00AD26E2"/>
    <w:rsid w:val="00AD4D23"/>
    <w:rsid w:val="00AD4DB4"/>
    <w:rsid w:val="00AD5B7F"/>
    <w:rsid w:val="00AD6A9A"/>
    <w:rsid w:val="00AD6F4A"/>
    <w:rsid w:val="00AD7294"/>
    <w:rsid w:val="00AD730C"/>
    <w:rsid w:val="00AD784C"/>
    <w:rsid w:val="00AD787E"/>
    <w:rsid w:val="00AD7FF0"/>
    <w:rsid w:val="00AE126A"/>
    <w:rsid w:val="00AE1BAE"/>
    <w:rsid w:val="00AE2089"/>
    <w:rsid w:val="00AE20D1"/>
    <w:rsid w:val="00AE3005"/>
    <w:rsid w:val="00AE37F0"/>
    <w:rsid w:val="00AE3869"/>
    <w:rsid w:val="00AE38D1"/>
    <w:rsid w:val="00AE3BD5"/>
    <w:rsid w:val="00AE461F"/>
    <w:rsid w:val="00AE4663"/>
    <w:rsid w:val="00AE4723"/>
    <w:rsid w:val="00AE59A0"/>
    <w:rsid w:val="00AE62EB"/>
    <w:rsid w:val="00AE6C3B"/>
    <w:rsid w:val="00AF0662"/>
    <w:rsid w:val="00AF0ACF"/>
    <w:rsid w:val="00AF0C57"/>
    <w:rsid w:val="00AF1DE5"/>
    <w:rsid w:val="00AF2205"/>
    <w:rsid w:val="00AF26F3"/>
    <w:rsid w:val="00AF28B1"/>
    <w:rsid w:val="00AF5F04"/>
    <w:rsid w:val="00AF62CB"/>
    <w:rsid w:val="00AF6DB8"/>
    <w:rsid w:val="00AF748F"/>
    <w:rsid w:val="00B00672"/>
    <w:rsid w:val="00B007D8"/>
    <w:rsid w:val="00B00993"/>
    <w:rsid w:val="00B01B4D"/>
    <w:rsid w:val="00B021E8"/>
    <w:rsid w:val="00B029B3"/>
    <w:rsid w:val="00B0316B"/>
    <w:rsid w:val="00B0329C"/>
    <w:rsid w:val="00B04713"/>
    <w:rsid w:val="00B04875"/>
    <w:rsid w:val="00B0548F"/>
    <w:rsid w:val="00B057B8"/>
    <w:rsid w:val="00B05ACF"/>
    <w:rsid w:val="00B06571"/>
    <w:rsid w:val="00B068BA"/>
    <w:rsid w:val="00B073E1"/>
    <w:rsid w:val="00B07FF7"/>
    <w:rsid w:val="00B10533"/>
    <w:rsid w:val="00B11CC9"/>
    <w:rsid w:val="00B13624"/>
    <w:rsid w:val="00B13851"/>
    <w:rsid w:val="00B13B1C"/>
    <w:rsid w:val="00B14780"/>
    <w:rsid w:val="00B15425"/>
    <w:rsid w:val="00B154CF"/>
    <w:rsid w:val="00B158BD"/>
    <w:rsid w:val="00B159B8"/>
    <w:rsid w:val="00B16895"/>
    <w:rsid w:val="00B17432"/>
    <w:rsid w:val="00B17487"/>
    <w:rsid w:val="00B21F90"/>
    <w:rsid w:val="00B22291"/>
    <w:rsid w:val="00B23C22"/>
    <w:rsid w:val="00B23F9A"/>
    <w:rsid w:val="00B2417B"/>
    <w:rsid w:val="00B24E6F"/>
    <w:rsid w:val="00B26090"/>
    <w:rsid w:val="00B26CB5"/>
    <w:rsid w:val="00B26DAE"/>
    <w:rsid w:val="00B2752E"/>
    <w:rsid w:val="00B307CC"/>
    <w:rsid w:val="00B307FB"/>
    <w:rsid w:val="00B3111D"/>
    <w:rsid w:val="00B326B7"/>
    <w:rsid w:val="00B32D10"/>
    <w:rsid w:val="00B32E69"/>
    <w:rsid w:val="00B32EB9"/>
    <w:rsid w:val="00B33244"/>
    <w:rsid w:val="00B34184"/>
    <w:rsid w:val="00B342C6"/>
    <w:rsid w:val="00B34BA5"/>
    <w:rsid w:val="00B354DB"/>
    <w:rsid w:val="00B3588E"/>
    <w:rsid w:val="00B35ACE"/>
    <w:rsid w:val="00B35B05"/>
    <w:rsid w:val="00B36E07"/>
    <w:rsid w:val="00B37221"/>
    <w:rsid w:val="00B37298"/>
    <w:rsid w:val="00B37C2D"/>
    <w:rsid w:val="00B41F3D"/>
    <w:rsid w:val="00B4274C"/>
    <w:rsid w:val="00B427CC"/>
    <w:rsid w:val="00B429A4"/>
    <w:rsid w:val="00B431E8"/>
    <w:rsid w:val="00B437D8"/>
    <w:rsid w:val="00B45141"/>
    <w:rsid w:val="00B45388"/>
    <w:rsid w:val="00B4593A"/>
    <w:rsid w:val="00B45F46"/>
    <w:rsid w:val="00B46DE7"/>
    <w:rsid w:val="00B47595"/>
    <w:rsid w:val="00B500D1"/>
    <w:rsid w:val="00B50138"/>
    <w:rsid w:val="00B50755"/>
    <w:rsid w:val="00B50B9C"/>
    <w:rsid w:val="00B516C0"/>
    <w:rsid w:val="00B519CD"/>
    <w:rsid w:val="00B51CD9"/>
    <w:rsid w:val="00B5268B"/>
    <w:rsid w:val="00B5273A"/>
    <w:rsid w:val="00B5288F"/>
    <w:rsid w:val="00B52A2C"/>
    <w:rsid w:val="00B57329"/>
    <w:rsid w:val="00B60E61"/>
    <w:rsid w:val="00B61636"/>
    <w:rsid w:val="00B616BE"/>
    <w:rsid w:val="00B62B50"/>
    <w:rsid w:val="00B635B7"/>
    <w:rsid w:val="00B63A39"/>
    <w:rsid w:val="00B63AE8"/>
    <w:rsid w:val="00B65950"/>
    <w:rsid w:val="00B659F0"/>
    <w:rsid w:val="00B65A96"/>
    <w:rsid w:val="00B65D51"/>
    <w:rsid w:val="00B6633B"/>
    <w:rsid w:val="00B669AD"/>
    <w:rsid w:val="00B66D83"/>
    <w:rsid w:val="00B66EC8"/>
    <w:rsid w:val="00B672C0"/>
    <w:rsid w:val="00B6760D"/>
    <w:rsid w:val="00B676FD"/>
    <w:rsid w:val="00B67CE4"/>
    <w:rsid w:val="00B706F9"/>
    <w:rsid w:val="00B722BA"/>
    <w:rsid w:val="00B72621"/>
    <w:rsid w:val="00B72A17"/>
    <w:rsid w:val="00B72B2D"/>
    <w:rsid w:val="00B72EED"/>
    <w:rsid w:val="00B730A5"/>
    <w:rsid w:val="00B735A0"/>
    <w:rsid w:val="00B74146"/>
    <w:rsid w:val="00B75646"/>
    <w:rsid w:val="00B75906"/>
    <w:rsid w:val="00B767D0"/>
    <w:rsid w:val="00B80D60"/>
    <w:rsid w:val="00B8137B"/>
    <w:rsid w:val="00B81AF0"/>
    <w:rsid w:val="00B831BF"/>
    <w:rsid w:val="00B83854"/>
    <w:rsid w:val="00B853D6"/>
    <w:rsid w:val="00B8709A"/>
    <w:rsid w:val="00B905E8"/>
    <w:rsid w:val="00B90729"/>
    <w:rsid w:val="00B9076D"/>
    <w:rsid w:val="00B907DA"/>
    <w:rsid w:val="00B92CB5"/>
    <w:rsid w:val="00B92CFF"/>
    <w:rsid w:val="00B94CD5"/>
    <w:rsid w:val="00B950BC"/>
    <w:rsid w:val="00B9714C"/>
    <w:rsid w:val="00BA008C"/>
    <w:rsid w:val="00BA0649"/>
    <w:rsid w:val="00BA1320"/>
    <w:rsid w:val="00BA152D"/>
    <w:rsid w:val="00BA168D"/>
    <w:rsid w:val="00BA195E"/>
    <w:rsid w:val="00BA1D20"/>
    <w:rsid w:val="00BA235F"/>
    <w:rsid w:val="00BA2489"/>
    <w:rsid w:val="00BA29AD"/>
    <w:rsid w:val="00BA33CF"/>
    <w:rsid w:val="00BA3F8D"/>
    <w:rsid w:val="00BA4018"/>
    <w:rsid w:val="00BA4116"/>
    <w:rsid w:val="00BA4268"/>
    <w:rsid w:val="00BA5F34"/>
    <w:rsid w:val="00BA612D"/>
    <w:rsid w:val="00BA68B6"/>
    <w:rsid w:val="00BA6D10"/>
    <w:rsid w:val="00BA7C53"/>
    <w:rsid w:val="00BB020B"/>
    <w:rsid w:val="00BB023E"/>
    <w:rsid w:val="00BB13D0"/>
    <w:rsid w:val="00BB1B0A"/>
    <w:rsid w:val="00BB30C0"/>
    <w:rsid w:val="00BB31D2"/>
    <w:rsid w:val="00BB52C7"/>
    <w:rsid w:val="00BB5629"/>
    <w:rsid w:val="00BB58DA"/>
    <w:rsid w:val="00BB770D"/>
    <w:rsid w:val="00BB7A10"/>
    <w:rsid w:val="00BC077B"/>
    <w:rsid w:val="00BC0C67"/>
    <w:rsid w:val="00BC288A"/>
    <w:rsid w:val="00BC3E8F"/>
    <w:rsid w:val="00BC4C85"/>
    <w:rsid w:val="00BC5D6D"/>
    <w:rsid w:val="00BC60BE"/>
    <w:rsid w:val="00BC6F6B"/>
    <w:rsid w:val="00BC7468"/>
    <w:rsid w:val="00BC7586"/>
    <w:rsid w:val="00BC7D4F"/>
    <w:rsid w:val="00BC7ED7"/>
    <w:rsid w:val="00BD0680"/>
    <w:rsid w:val="00BD1E3C"/>
    <w:rsid w:val="00BD210C"/>
    <w:rsid w:val="00BD21E8"/>
    <w:rsid w:val="00BD2850"/>
    <w:rsid w:val="00BD2F5B"/>
    <w:rsid w:val="00BD3464"/>
    <w:rsid w:val="00BD3592"/>
    <w:rsid w:val="00BD363C"/>
    <w:rsid w:val="00BD4C0D"/>
    <w:rsid w:val="00BD57C7"/>
    <w:rsid w:val="00BD6047"/>
    <w:rsid w:val="00BE1ADD"/>
    <w:rsid w:val="00BE1F0A"/>
    <w:rsid w:val="00BE2277"/>
    <w:rsid w:val="00BE2382"/>
    <w:rsid w:val="00BE28D2"/>
    <w:rsid w:val="00BE35ED"/>
    <w:rsid w:val="00BE369C"/>
    <w:rsid w:val="00BE3DF2"/>
    <w:rsid w:val="00BE40ED"/>
    <w:rsid w:val="00BE4A64"/>
    <w:rsid w:val="00BE5B38"/>
    <w:rsid w:val="00BE5E43"/>
    <w:rsid w:val="00BE5F9E"/>
    <w:rsid w:val="00BE77F5"/>
    <w:rsid w:val="00BF056C"/>
    <w:rsid w:val="00BF2073"/>
    <w:rsid w:val="00BF215F"/>
    <w:rsid w:val="00BF30B2"/>
    <w:rsid w:val="00BF34B5"/>
    <w:rsid w:val="00BF557D"/>
    <w:rsid w:val="00BF69AC"/>
    <w:rsid w:val="00BF71AD"/>
    <w:rsid w:val="00BF773B"/>
    <w:rsid w:val="00BF7F58"/>
    <w:rsid w:val="00C003D8"/>
    <w:rsid w:val="00C00791"/>
    <w:rsid w:val="00C01381"/>
    <w:rsid w:val="00C01A00"/>
    <w:rsid w:val="00C01AB1"/>
    <w:rsid w:val="00C026A0"/>
    <w:rsid w:val="00C0485B"/>
    <w:rsid w:val="00C04ECB"/>
    <w:rsid w:val="00C05387"/>
    <w:rsid w:val="00C05BEA"/>
    <w:rsid w:val="00C06137"/>
    <w:rsid w:val="00C070E8"/>
    <w:rsid w:val="00C0753B"/>
    <w:rsid w:val="00C079B8"/>
    <w:rsid w:val="00C10037"/>
    <w:rsid w:val="00C10489"/>
    <w:rsid w:val="00C104D6"/>
    <w:rsid w:val="00C10DF5"/>
    <w:rsid w:val="00C11A94"/>
    <w:rsid w:val="00C1230D"/>
    <w:rsid w:val="00C123EA"/>
    <w:rsid w:val="00C127A5"/>
    <w:rsid w:val="00C12A49"/>
    <w:rsid w:val="00C133EE"/>
    <w:rsid w:val="00C141CC"/>
    <w:rsid w:val="00C14281"/>
    <w:rsid w:val="00C143EC"/>
    <w:rsid w:val="00C149D0"/>
    <w:rsid w:val="00C14C4A"/>
    <w:rsid w:val="00C15716"/>
    <w:rsid w:val="00C15970"/>
    <w:rsid w:val="00C16427"/>
    <w:rsid w:val="00C16DAF"/>
    <w:rsid w:val="00C173BA"/>
    <w:rsid w:val="00C201C3"/>
    <w:rsid w:val="00C20BFE"/>
    <w:rsid w:val="00C21804"/>
    <w:rsid w:val="00C223F0"/>
    <w:rsid w:val="00C2298B"/>
    <w:rsid w:val="00C2305B"/>
    <w:rsid w:val="00C239E6"/>
    <w:rsid w:val="00C23E60"/>
    <w:rsid w:val="00C249BA"/>
    <w:rsid w:val="00C26588"/>
    <w:rsid w:val="00C27050"/>
    <w:rsid w:val="00C27DE9"/>
    <w:rsid w:val="00C31CA2"/>
    <w:rsid w:val="00C325EA"/>
    <w:rsid w:val="00C32989"/>
    <w:rsid w:val="00C33206"/>
    <w:rsid w:val="00C33388"/>
    <w:rsid w:val="00C33657"/>
    <w:rsid w:val="00C33B2B"/>
    <w:rsid w:val="00C346E0"/>
    <w:rsid w:val="00C35484"/>
    <w:rsid w:val="00C35BDE"/>
    <w:rsid w:val="00C40B0E"/>
    <w:rsid w:val="00C4173A"/>
    <w:rsid w:val="00C41C73"/>
    <w:rsid w:val="00C42207"/>
    <w:rsid w:val="00C42992"/>
    <w:rsid w:val="00C42D1F"/>
    <w:rsid w:val="00C42F9B"/>
    <w:rsid w:val="00C43785"/>
    <w:rsid w:val="00C43AD5"/>
    <w:rsid w:val="00C43E7D"/>
    <w:rsid w:val="00C44D71"/>
    <w:rsid w:val="00C44FEB"/>
    <w:rsid w:val="00C45079"/>
    <w:rsid w:val="00C45953"/>
    <w:rsid w:val="00C46619"/>
    <w:rsid w:val="00C46714"/>
    <w:rsid w:val="00C47B79"/>
    <w:rsid w:val="00C5072A"/>
    <w:rsid w:val="00C50DED"/>
    <w:rsid w:val="00C5142B"/>
    <w:rsid w:val="00C51F0A"/>
    <w:rsid w:val="00C5202B"/>
    <w:rsid w:val="00C536EC"/>
    <w:rsid w:val="00C5399E"/>
    <w:rsid w:val="00C53AAC"/>
    <w:rsid w:val="00C53EAE"/>
    <w:rsid w:val="00C543B7"/>
    <w:rsid w:val="00C5682C"/>
    <w:rsid w:val="00C56BFD"/>
    <w:rsid w:val="00C57E55"/>
    <w:rsid w:val="00C600ED"/>
    <w:rsid w:val="00C602FF"/>
    <w:rsid w:val="00C60D7C"/>
    <w:rsid w:val="00C60FC2"/>
    <w:rsid w:val="00C61174"/>
    <w:rsid w:val="00C6117B"/>
    <w:rsid w:val="00C61451"/>
    <w:rsid w:val="00C6148F"/>
    <w:rsid w:val="00C614A0"/>
    <w:rsid w:val="00C621B1"/>
    <w:rsid w:val="00C62F7A"/>
    <w:rsid w:val="00C63B6A"/>
    <w:rsid w:val="00C63B9C"/>
    <w:rsid w:val="00C63D49"/>
    <w:rsid w:val="00C65FA3"/>
    <w:rsid w:val="00C66559"/>
    <w:rsid w:val="00C667FE"/>
    <w:rsid w:val="00C6682F"/>
    <w:rsid w:val="00C675E9"/>
    <w:rsid w:val="00C67608"/>
    <w:rsid w:val="00C67BF4"/>
    <w:rsid w:val="00C70771"/>
    <w:rsid w:val="00C70C2F"/>
    <w:rsid w:val="00C711C8"/>
    <w:rsid w:val="00C7275E"/>
    <w:rsid w:val="00C72CCF"/>
    <w:rsid w:val="00C73462"/>
    <w:rsid w:val="00C7383C"/>
    <w:rsid w:val="00C74728"/>
    <w:rsid w:val="00C74C5D"/>
    <w:rsid w:val="00C757B5"/>
    <w:rsid w:val="00C76AD4"/>
    <w:rsid w:val="00C76C83"/>
    <w:rsid w:val="00C7788F"/>
    <w:rsid w:val="00C80CF4"/>
    <w:rsid w:val="00C80E10"/>
    <w:rsid w:val="00C8285D"/>
    <w:rsid w:val="00C8315A"/>
    <w:rsid w:val="00C83274"/>
    <w:rsid w:val="00C83E42"/>
    <w:rsid w:val="00C84E04"/>
    <w:rsid w:val="00C863C4"/>
    <w:rsid w:val="00C8746D"/>
    <w:rsid w:val="00C87B30"/>
    <w:rsid w:val="00C91E22"/>
    <w:rsid w:val="00C920EA"/>
    <w:rsid w:val="00C92985"/>
    <w:rsid w:val="00C93C3E"/>
    <w:rsid w:val="00C94844"/>
    <w:rsid w:val="00C96565"/>
    <w:rsid w:val="00C96E14"/>
    <w:rsid w:val="00C9765B"/>
    <w:rsid w:val="00C978F4"/>
    <w:rsid w:val="00CA12E3"/>
    <w:rsid w:val="00CA13BD"/>
    <w:rsid w:val="00CA1476"/>
    <w:rsid w:val="00CA21EA"/>
    <w:rsid w:val="00CA2F64"/>
    <w:rsid w:val="00CA3065"/>
    <w:rsid w:val="00CA3F0C"/>
    <w:rsid w:val="00CA4DB0"/>
    <w:rsid w:val="00CA561F"/>
    <w:rsid w:val="00CA56CD"/>
    <w:rsid w:val="00CA5BA7"/>
    <w:rsid w:val="00CA6611"/>
    <w:rsid w:val="00CA689C"/>
    <w:rsid w:val="00CA6AE6"/>
    <w:rsid w:val="00CA782F"/>
    <w:rsid w:val="00CB187B"/>
    <w:rsid w:val="00CB2835"/>
    <w:rsid w:val="00CB2EAF"/>
    <w:rsid w:val="00CB3285"/>
    <w:rsid w:val="00CB3D74"/>
    <w:rsid w:val="00CB4500"/>
    <w:rsid w:val="00CB48ED"/>
    <w:rsid w:val="00CB52AD"/>
    <w:rsid w:val="00CB6562"/>
    <w:rsid w:val="00CB7800"/>
    <w:rsid w:val="00CB7802"/>
    <w:rsid w:val="00CB7F3E"/>
    <w:rsid w:val="00CC0526"/>
    <w:rsid w:val="00CC08E7"/>
    <w:rsid w:val="00CC0C72"/>
    <w:rsid w:val="00CC0DDB"/>
    <w:rsid w:val="00CC11E3"/>
    <w:rsid w:val="00CC2851"/>
    <w:rsid w:val="00CC2971"/>
    <w:rsid w:val="00CC2BFD"/>
    <w:rsid w:val="00CC38C9"/>
    <w:rsid w:val="00CC4AF5"/>
    <w:rsid w:val="00CC51FF"/>
    <w:rsid w:val="00CC552B"/>
    <w:rsid w:val="00CC5E6E"/>
    <w:rsid w:val="00CC61F3"/>
    <w:rsid w:val="00CD0601"/>
    <w:rsid w:val="00CD0889"/>
    <w:rsid w:val="00CD08B1"/>
    <w:rsid w:val="00CD0F59"/>
    <w:rsid w:val="00CD132D"/>
    <w:rsid w:val="00CD17F6"/>
    <w:rsid w:val="00CD2FD6"/>
    <w:rsid w:val="00CD3476"/>
    <w:rsid w:val="00CD34D0"/>
    <w:rsid w:val="00CD36EE"/>
    <w:rsid w:val="00CD421C"/>
    <w:rsid w:val="00CD42C9"/>
    <w:rsid w:val="00CD4712"/>
    <w:rsid w:val="00CD4AD4"/>
    <w:rsid w:val="00CD4E3D"/>
    <w:rsid w:val="00CD64DF"/>
    <w:rsid w:val="00CD664E"/>
    <w:rsid w:val="00CD6708"/>
    <w:rsid w:val="00CE068A"/>
    <w:rsid w:val="00CE0E74"/>
    <w:rsid w:val="00CE0E77"/>
    <w:rsid w:val="00CE113F"/>
    <w:rsid w:val="00CE18F8"/>
    <w:rsid w:val="00CE1955"/>
    <w:rsid w:val="00CE1E1D"/>
    <w:rsid w:val="00CE225F"/>
    <w:rsid w:val="00CE293E"/>
    <w:rsid w:val="00CE40D8"/>
    <w:rsid w:val="00CE4534"/>
    <w:rsid w:val="00CE4878"/>
    <w:rsid w:val="00CE5DF0"/>
    <w:rsid w:val="00CE5E17"/>
    <w:rsid w:val="00CE60C1"/>
    <w:rsid w:val="00CE61C8"/>
    <w:rsid w:val="00CE6A9B"/>
    <w:rsid w:val="00CE73CA"/>
    <w:rsid w:val="00CE7852"/>
    <w:rsid w:val="00CF094F"/>
    <w:rsid w:val="00CF09AB"/>
    <w:rsid w:val="00CF12E8"/>
    <w:rsid w:val="00CF19DD"/>
    <w:rsid w:val="00CF2F50"/>
    <w:rsid w:val="00CF42FA"/>
    <w:rsid w:val="00CF4319"/>
    <w:rsid w:val="00CF5740"/>
    <w:rsid w:val="00CF5BC5"/>
    <w:rsid w:val="00CF6198"/>
    <w:rsid w:val="00D00041"/>
    <w:rsid w:val="00D000EF"/>
    <w:rsid w:val="00D013CE"/>
    <w:rsid w:val="00D02919"/>
    <w:rsid w:val="00D030E3"/>
    <w:rsid w:val="00D03555"/>
    <w:rsid w:val="00D0461F"/>
    <w:rsid w:val="00D04C61"/>
    <w:rsid w:val="00D04CCF"/>
    <w:rsid w:val="00D04E9B"/>
    <w:rsid w:val="00D05714"/>
    <w:rsid w:val="00D05B8D"/>
    <w:rsid w:val="00D065A2"/>
    <w:rsid w:val="00D079AA"/>
    <w:rsid w:val="00D07F00"/>
    <w:rsid w:val="00D109B1"/>
    <w:rsid w:val="00D10C85"/>
    <w:rsid w:val="00D1130F"/>
    <w:rsid w:val="00D122E0"/>
    <w:rsid w:val="00D12313"/>
    <w:rsid w:val="00D12382"/>
    <w:rsid w:val="00D126F9"/>
    <w:rsid w:val="00D136BA"/>
    <w:rsid w:val="00D13B25"/>
    <w:rsid w:val="00D169B3"/>
    <w:rsid w:val="00D169F3"/>
    <w:rsid w:val="00D17B72"/>
    <w:rsid w:val="00D21296"/>
    <w:rsid w:val="00D21FAE"/>
    <w:rsid w:val="00D22783"/>
    <w:rsid w:val="00D22B8B"/>
    <w:rsid w:val="00D24565"/>
    <w:rsid w:val="00D25032"/>
    <w:rsid w:val="00D2650D"/>
    <w:rsid w:val="00D26775"/>
    <w:rsid w:val="00D26E68"/>
    <w:rsid w:val="00D27350"/>
    <w:rsid w:val="00D275E8"/>
    <w:rsid w:val="00D27D1E"/>
    <w:rsid w:val="00D27E33"/>
    <w:rsid w:val="00D3185C"/>
    <w:rsid w:val="00D3205F"/>
    <w:rsid w:val="00D32F82"/>
    <w:rsid w:val="00D3318E"/>
    <w:rsid w:val="00D33E72"/>
    <w:rsid w:val="00D34045"/>
    <w:rsid w:val="00D343A7"/>
    <w:rsid w:val="00D34554"/>
    <w:rsid w:val="00D34D10"/>
    <w:rsid w:val="00D34FC1"/>
    <w:rsid w:val="00D354B5"/>
    <w:rsid w:val="00D35BD6"/>
    <w:rsid w:val="00D361B5"/>
    <w:rsid w:val="00D37012"/>
    <w:rsid w:val="00D3762E"/>
    <w:rsid w:val="00D37DC9"/>
    <w:rsid w:val="00D4032A"/>
    <w:rsid w:val="00D405AC"/>
    <w:rsid w:val="00D41002"/>
    <w:rsid w:val="00D411A2"/>
    <w:rsid w:val="00D43607"/>
    <w:rsid w:val="00D451D0"/>
    <w:rsid w:val="00D4606D"/>
    <w:rsid w:val="00D469AE"/>
    <w:rsid w:val="00D46C92"/>
    <w:rsid w:val="00D471D4"/>
    <w:rsid w:val="00D4738F"/>
    <w:rsid w:val="00D50507"/>
    <w:rsid w:val="00D50B9C"/>
    <w:rsid w:val="00D51441"/>
    <w:rsid w:val="00D51513"/>
    <w:rsid w:val="00D52CCC"/>
    <w:rsid w:val="00D52D73"/>
    <w:rsid w:val="00D52E48"/>
    <w:rsid w:val="00D52E58"/>
    <w:rsid w:val="00D536C9"/>
    <w:rsid w:val="00D53CAA"/>
    <w:rsid w:val="00D5422D"/>
    <w:rsid w:val="00D55CDD"/>
    <w:rsid w:val="00D564BC"/>
    <w:rsid w:val="00D56B20"/>
    <w:rsid w:val="00D578B3"/>
    <w:rsid w:val="00D60BE2"/>
    <w:rsid w:val="00D611D8"/>
    <w:rsid w:val="00D616B7"/>
    <w:rsid w:val="00D618F4"/>
    <w:rsid w:val="00D61CC1"/>
    <w:rsid w:val="00D6286E"/>
    <w:rsid w:val="00D632E7"/>
    <w:rsid w:val="00D633BD"/>
    <w:rsid w:val="00D63E95"/>
    <w:rsid w:val="00D65AB0"/>
    <w:rsid w:val="00D65EA6"/>
    <w:rsid w:val="00D668A5"/>
    <w:rsid w:val="00D670F4"/>
    <w:rsid w:val="00D6774E"/>
    <w:rsid w:val="00D67A9F"/>
    <w:rsid w:val="00D67BC4"/>
    <w:rsid w:val="00D71015"/>
    <w:rsid w:val="00D714CC"/>
    <w:rsid w:val="00D724F0"/>
    <w:rsid w:val="00D7284E"/>
    <w:rsid w:val="00D73D2F"/>
    <w:rsid w:val="00D73D3D"/>
    <w:rsid w:val="00D74839"/>
    <w:rsid w:val="00D74CE8"/>
    <w:rsid w:val="00D75EA7"/>
    <w:rsid w:val="00D76234"/>
    <w:rsid w:val="00D77043"/>
    <w:rsid w:val="00D77607"/>
    <w:rsid w:val="00D815B1"/>
    <w:rsid w:val="00D81ADF"/>
    <w:rsid w:val="00D81F21"/>
    <w:rsid w:val="00D82EAC"/>
    <w:rsid w:val="00D8345A"/>
    <w:rsid w:val="00D83B4D"/>
    <w:rsid w:val="00D84572"/>
    <w:rsid w:val="00D85869"/>
    <w:rsid w:val="00D85C15"/>
    <w:rsid w:val="00D863C1"/>
    <w:rsid w:val="00D864F2"/>
    <w:rsid w:val="00D865E3"/>
    <w:rsid w:val="00D87D7D"/>
    <w:rsid w:val="00D87DEE"/>
    <w:rsid w:val="00D90F77"/>
    <w:rsid w:val="00D91084"/>
    <w:rsid w:val="00D91D06"/>
    <w:rsid w:val="00D91E78"/>
    <w:rsid w:val="00D92B4D"/>
    <w:rsid w:val="00D92F95"/>
    <w:rsid w:val="00D93E16"/>
    <w:rsid w:val="00D9400E"/>
    <w:rsid w:val="00D943F8"/>
    <w:rsid w:val="00D950B0"/>
    <w:rsid w:val="00D95470"/>
    <w:rsid w:val="00D9665F"/>
    <w:rsid w:val="00D96973"/>
    <w:rsid w:val="00D96B55"/>
    <w:rsid w:val="00DA060E"/>
    <w:rsid w:val="00DA0E64"/>
    <w:rsid w:val="00DA2619"/>
    <w:rsid w:val="00DA2EDA"/>
    <w:rsid w:val="00DA3025"/>
    <w:rsid w:val="00DA4239"/>
    <w:rsid w:val="00DA4449"/>
    <w:rsid w:val="00DA54C5"/>
    <w:rsid w:val="00DA5E84"/>
    <w:rsid w:val="00DA65DE"/>
    <w:rsid w:val="00DA6839"/>
    <w:rsid w:val="00DB0B61"/>
    <w:rsid w:val="00DB0D14"/>
    <w:rsid w:val="00DB1474"/>
    <w:rsid w:val="00DB15DE"/>
    <w:rsid w:val="00DB17DE"/>
    <w:rsid w:val="00DB17EC"/>
    <w:rsid w:val="00DB1BE7"/>
    <w:rsid w:val="00DB2281"/>
    <w:rsid w:val="00DB229A"/>
    <w:rsid w:val="00DB2613"/>
    <w:rsid w:val="00DB2962"/>
    <w:rsid w:val="00DB366D"/>
    <w:rsid w:val="00DB36E3"/>
    <w:rsid w:val="00DB3987"/>
    <w:rsid w:val="00DB4A44"/>
    <w:rsid w:val="00DB4B59"/>
    <w:rsid w:val="00DB52FB"/>
    <w:rsid w:val="00DB593D"/>
    <w:rsid w:val="00DB613A"/>
    <w:rsid w:val="00DB62FB"/>
    <w:rsid w:val="00DB642C"/>
    <w:rsid w:val="00DB6B03"/>
    <w:rsid w:val="00DB6BAE"/>
    <w:rsid w:val="00DB6F03"/>
    <w:rsid w:val="00DB74AC"/>
    <w:rsid w:val="00DC013B"/>
    <w:rsid w:val="00DC07E5"/>
    <w:rsid w:val="00DC090B"/>
    <w:rsid w:val="00DC0B13"/>
    <w:rsid w:val="00DC1679"/>
    <w:rsid w:val="00DC1A20"/>
    <w:rsid w:val="00DC1EA3"/>
    <w:rsid w:val="00DC200D"/>
    <w:rsid w:val="00DC206E"/>
    <w:rsid w:val="00DC219B"/>
    <w:rsid w:val="00DC26B4"/>
    <w:rsid w:val="00DC26F2"/>
    <w:rsid w:val="00DC2CF1"/>
    <w:rsid w:val="00DC3ACD"/>
    <w:rsid w:val="00DC442A"/>
    <w:rsid w:val="00DC4FCF"/>
    <w:rsid w:val="00DC4FEF"/>
    <w:rsid w:val="00DC5005"/>
    <w:rsid w:val="00DC50E0"/>
    <w:rsid w:val="00DC5224"/>
    <w:rsid w:val="00DC58FD"/>
    <w:rsid w:val="00DC60D8"/>
    <w:rsid w:val="00DC6386"/>
    <w:rsid w:val="00DC6723"/>
    <w:rsid w:val="00DC767E"/>
    <w:rsid w:val="00DC7CF8"/>
    <w:rsid w:val="00DD1130"/>
    <w:rsid w:val="00DD1951"/>
    <w:rsid w:val="00DD2FD2"/>
    <w:rsid w:val="00DD34EA"/>
    <w:rsid w:val="00DD3619"/>
    <w:rsid w:val="00DD4187"/>
    <w:rsid w:val="00DD4664"/>
    <w:rsid w:val="00DD487D"/>
    <w:rsid w:val="00DD4E83"/>
    <w:rsid w:val="00DD5E26"/>
    <w:rsid w:val="00DD6011"/>
    <w:rsid w:val="00DD6628"/>
    <w:rsid w:val="00DD6945"/>
    <w:rsid w:val="00DD7143"/>
    <w:rsid w:val="00DD76C5"/>
    <w:rsid w:val="00DE01D4"/>
    <w:rsid w:val="00DE21C2"/>
    <w:rsid w:val="00DE27FD"/>
    <w:rsid w:val="00DE2D04"/>
    <w:rsid w:val="00DE311C"/>
    <w:rsid w:val="00DE3250"/>
    <w:rsid w:val="00DE32A0"/>
    <w:rsid w:val="00DE3C9D"/>
    <w:rsid w:val="00DE451A"/>
    <w:rsid w:val="00DE4AB2"/>
    <w:rsid w:val="00DE54AD"/>
    <w:rsid w:val="00DE6028"/>
    <w:rsid w:val="00DE6F5C"/>
    <w:rsid w:val="00DE78A3"/>
    <w:rsid w:val="00DF0FEA"/>
    <w:rsid w:val="00DF1A71"/>
    <w:rsid w:val="00DF3C02"/>
    <w:rsid w:val="00DF3EE5"/>
    <w:rsid w:val="00DF4949"/>
    <w:rsid w:val="00DF50FC"/>
    <w:rsid w:val="00DF6781"/>
    <w:rsid w:val="00DF67DD"/>
    <w:rsid w:val="00DF68C7"/>
    <w:rsid w:val="00DF731A"/>
    <w:rsid w:val="00DF770D"/>
    <w:rsid w:val="00DF7835"/>
    <w:rsid w:val="00E018D1"/>
    <w:rsid w:val="00E01990"/>
    <w:rsid w:val="00E04723"/>
    <w:rsid w:val="00E04C4C"/>
    <w:rsid w:val="00E04E7A"/>
    <w:rsid w:val="00E05375"/>
    <w:rsid w:val="00E06393"/>
    <w:rsid w:val="00E064DC"/>
    <w:rsid w:val="00E06B75"/>
    <w:rsid w:val="00E06CBA"/>
    <w:rsid w:val="00E06F86"/>
    <w:rsid w:val="00E07A4C"/>
    <w:rsid w:val="00E1034A"/>
    <w:rsid w:val="00E10CE8"/>
    <w:rsid w:val="00E1110A"/>
    <w:rsid w:val="00E11332"/>
    <w:rsid w:val="00E11352"/>
    <w:rsid w:val="00E113C8"/>
    <w:rsid w:val="00E1150F"/>
    <w:rsid w:val="00E11E55"/>
    <w:rsid w:val="00E120E8"/>
    <w:rsid w:val="00E144F7"/>
    <w:rsid w:val="00E14E9E"/>
    <w:rsid w:val="00E15632"/>
    <w:rsid w:val="00E1573C"/>
    <w:rsid w:val="00E170DC"/>
    <w:rsid w:val="00E17546"/>
    <w:rsid w:val="00E20281"/>
    <w:rsid w:val="00E210B5"/>
    <w:rsid w:val="00E21A55"/>
    <w:rsid w:val="00E235D4"/>
    <w:rsid w:val="00E23D5A"/>
    <w:rsid w:val="00E2589C"/>
    <w:rsid w:val="00E258E3"/>
    <w:rsid w:val="00E261B3"/>
    <w:rsid w:val="00E26818"/>
    <w:rsid w:val="00E26AF4"/>
    <w:rsid w:val="00E27534"/>
    <w:rsid w:val="00E2762A"/>
    <w:rsid w:val="00E27FFC"/>
    <w:rsid w:val="00E309E3"/>
    <w:rsid w:val="00E30B15"/>
    <w:rsid w:val="00E31A7F"/>
    <w:rsid w:val="00E31DD9"/>
    <w:rsid w:val="00E31EDE"/>
    <w:rsid w:val="00E33237"/>
    <w:rsid w:val="00E34015"/>
    <w:rsid w:val="00E34442"/>
    <w:rsid w:val="00E34ED0"/>
    <w:rsid w:val="00E35C68"/>
    <w:rsid w:val="00E37038"/>
    <w:rsid w:val="00E40181"/>
    <w:rsid w:val="00E407F9"/>
    <w:rsid w:val="00E40DBA"/>
    <w:rsid w:val="00E4325A"/>
    <w:rsid w:val="00E466CC"/>
    <w:rsid w:val="00E46A55"/>
    <w:rsid w:val="00E504A2"/>
    <w:rsid w:val="00E52066"/>
    <w:rsid w:val="00E52D44"/>
    <w:rsid w:val="00E53331"/>
    <w:rsid w:val="00E5415B"/>
    <w:rsid w:val="00E54950"/>
    <w:rsid w:val="00E5599D"/>
    <w:rsid w:val="00E55AAB"/>
    <w:rsid w:val="00E56A01"/>
    <w:rsid w:val="00E56B7D"/>
    <w:rsid w:val="00E56BCE"/>
    <w:rsid w:val="00E571F5"/>
    <w:rsid w:val="00E57DEE"/>
    <w:rsid w:val="00E62622"/>
    <w:rsid w:val="00E629A1"/>
    <w:rsid w:val="00E6316E"/>
    <w:rsid w:val="00E65F4B"/>
    <w:rsid w:val="00E66072"/>
    <w:rsid w:val="00E6685C"/>
    <w:rsid w:val="00E66A40"/>
    <w:rsid w:val="00E6794C"/>
    <w:rsid w:val="00E70E7B"/>
    <w:rsid w:val="00E7121D"/>
    <w:rsid w:val="00E71591"/>
    <w:rsid w:val="00E71974"/>
    <w:rsid w:val="00E71CEB"/>
    <w:rsid w:val="00E72282"/>
    <w:rsid w:val="00E7251D"/>
    <w:rsid w:val="00E72850"/>
    <w:rsid w:val="00E728CD"/>
    <w:rsid w:val="00E72A97"/>
    <w:rsid w:val="00E72D75"/>
    <w:rsid w:val="00E72F9B"/>
    <w:rsid w:val="00E736B3"/>
    <w:rsid w:val="00E7371C"/>
    <w:rsid w:val="00E73860"/>
    <w:rsid w:val="00E73DE0"/>
    <w:rsid w:val="00E74596"/>
    <w:rsid w:val="00E7474F"/>
    <w:rsid w:val="00E74F38"/>
    <w:rsid w:val="00E7696B"/>
    <w:rsid w:val="00E76FC0"/>
    <w:rsid w:val="00E77A80"/>
    <w:rsid w:val="00E80DE3"/>
    <w:rsid w:val="00E821BB"/>
    <w:rsid w:val="00E82241"/>
    <w:rsid w:val="00E8278D"/>
    <w:rsid w:val="00E82940"/>
    <w:rsid w:val="00E829C6"/>
    <w:rsid w:val="00E82C55"/>
    <w:rsid w:val="00E83533"/>
    <w:rsid w:val="00E841D2"/>
    <w:rsid w:val="00E858C4"/>
    <w:rsid w:val="00E85EA4"/>
    <w:rsid w:val="00E8787E"/>
    <w:rsid w:val="00E87F2E"/>
    <w:rsid w:val="00E91407"/>
    <w:rsid w:val="00E91473"/>
    <w:rsid w:val="00E929D3"/>
    <w:rsid w:val="00E92AC3"/>
    <w:rsid w:val="00E92BA0"/>
    <w:rsid w:val="00E947D1"/>
    <w:rsid w:val="00E96523"/>
    <w:rsid w:val="00E97DFF"/>
    <w:rsid w:val="00E97E60"/>
    <w:rsid w:val="00EA078F"/>
    <w:rsid w:val="00EA085F"/>
    <w:rsid w:val="00EA1360"/>
    <w:rsid w:val="00EA14DE"/>
    <w:rsid w:val="00EA19E6"/>
    <w:rsid w:val="00EA1FEC"/>
    <w:rsid w:val="00EA2D1B"/>
    <w:rsid w:val="00EA2F6A"/>
    <w:rsid w:val="00EA35FA"/>
    <w:rsid w:val="00EA375E"/>
    <w:rsid w:val="00EA39AE"/>
    <w:rsid w:val="00EA3FC6"/>
    <w:rsid w:val="00EA400A"/>
    <w:rsid w:val="00EA4F72"/>
    <w:rsid w:val="00EA6A6E"/>
    <w:rsid w:val="00EA6BE1"/>
    <w:rsid w:val="00EA72E6"/>
    <w:rsid w:val="00EA7A8D"/>
    <w:rsid w:val="00EB00E0"/>
    <w:rsid w:val="00EB2A25"/>
    <w:rsid w:val="00EB3392"/>
    <w:rsid w:val="00EB53D3"/>
    <w:rsid w:val="00EB5691"/>
    <w:rsid w:val="00EB5BB5"/>
    <w:rsid w:val="00EB5E79"/>
    <w:rsid w:val="00EB6913"/>
    <w:rsid w:val="00EB6AEF"/>
    <w:rsid w:val="00EB6C31"/>
    <w:rsid w:val="00EB7324"/>
    <w:rsid w:val="00EB7756"/>
    <w:rsid w:val="00EB7E7B"/>
    <w:rsid w:val="00EC0025"/>
    <w:rsid w:val="00EC01C7"/>
    <w:rsid w:val="00EC0299"/>
    <w:rsid w:val="00EC059F"/>
    <w:rsid w:val="00EC096B"/>
    <w:rsid w:val="00EC0C7F"/>
    <w:rsid w:val="00EC1F24"/>
    <w:rsid w:val="00EC22F6"/>
    <w:rsid w:val="00EC3603"/>
    <w:rsid w:val="00EC40D5"/>
    <w:rsid w:val="00EC4D5D"/>
    <w:rsid w:val="00EC5ED3"/>
    <w:rsid w:val="00ED00B6"/>
    <w:rsid w:val="00ED07F5"/>
    <w:rsid w:val="00ED08E7"/>
    <w:rsid w:val="00ED0EF7"/>
    <w:rsid w:val="00ED1749"/>
    <w:rsid w:val="00ED2639"/>
    <w:rsid w:val="00ED3F37"/>
    <w:rsid w:val="00ED5B9B"/>
    <w:rsid w:val="00ED6BAD"/>
    <w:rsid w:val="00ED7447"/>
    <w:rsid w:val="00EE00D6"/>
    <w:rsid w:val="00EE010B"/>
    <w:rsid w:val="00EE11E7"/>
    <w:rsid w:val="00EE1415"/>
    <w:rsid w:val="00EE1488"/>
    <w:rsid w:val="00EE1FBE"/>
    <w:rsid w:val="00EE29AD"/>
    <w:rsid w:val="00EE3E24"/>
    <w:rsid w:val="00EE3E7C"/>
    <w:rsid w:val="00EE40F9"/>
    <w:rsid w:val="00EE4D5D"/>
    <w:rsid w:val="00EE5131"/>
    <w:rsid w:val="00EE5492"/>
    <w:rsid w:val="00EE57BA"/>
    <w:rsid w:val="00EE593C"/>
    <w:rsid w:val="00EE596D"/>
    <w:rsid w:val="00EE62CC"/>
    <w:rsid w:val="00EE6377"/>
    <w:rsid w:val="00EE7A94"/>
    <w:rsid w:val="00EF0D95"/>
    <w:rsid w:val="00EF109B"/>
    <w:rsid w:val="00EF201C"/>
    <w:rsid w:val="00EF2C10"/>
    <w:rsid w:val="00EF36AF"/>
    <w:rsid w:val="00EF3A55"/>
    <w:rsid w:val="00EF3F99"/>
    <w:rsid w:val="00EF45EA"/>
    <w:rsid w:val="00EF4C3D"/>
    <w:rsid w:val="00EF59A3"/>
    <w:rsid w:val="00EF6675"/>
    <w:rsid w:val="00EF71FA"/>
    <w:rsid w:val="00EF72D9"/>
    <w:rsid w:val="00EF7776"/>
    <w:rsid w:val="00EF7AE5"/>
    <w:rsid w:val="00F00B0E"/>
    <w:rsid w:val="00F00F9C"/>
    <w:rsid w:val="00F01447"/>
    <w:rsid w:val="00F01CB2"/>
    <w:rsid w:val="00F01E5F"/>
    <w:rsid w:val="00F024F3"/>
    <w:rsid w:val="00F025D5"/>
    <w:rsid w:val="00F02ABA"/>
    <w:rsid w:val="00F036C6"/>
    <w:rsid w:val="00F03AB9"/>
    <w:rsid w:val="00F03CB2"/>
    <w:rsid w:val="00F03E3E"/>
    <w:rsid w:val="00F0437A"/>
    <w:rsid w:val="00F070C6"/>
    <w:rsid w:val="00F079DB"/>
    <w:rsid w:val="00F07E0A"/>
    <w:rsid w:val="00F101B8"/>
    <w:rsid w:val="00F10459"/>
    <w:rsid w:val="00F11037"/>
    <w:rsid w:val="00F11B57"/>
    <w:rsid w:val="00F12212"/>
    <w:rsid w:val="00F13EC5"/>
    <w:rsid w:val="00F158BC"/>
    <w:rsid w:val="00F16F1B"/>
    <w:rsid w:val="00F1767E"/>
    <w:rsid w:val="00F17C6D"/>
    <w:rsid w:val="00F17E33"/>
    <w:rsid w:val="00F20A46"/>
    <w:rsid w:val="00F20BD1"/>
    <w:rsid w:val="00F20CDE"/>
    <w:rsid w:val="00F21A7B"/>
    <w:rsid w:val="00F22B28"/>
    <w:rsid w:val="00F2389E"/>
    <w:rsid w:val="00F241AB"/>
    <w:rsid w:val="00F24A61"/>
    <w:rsid w:val="00F250A9"/>
    <w:rsid w:val="00F26493"/>
    <w:rsid w:val="00F2675E"/>
    <w:rsid w:val="00F267AF"/>
    <w:rsid w:val="00F26F13"/>
    <w:rsid w:val="00F277D1"/>
    <w:rsid w:val="00F30FF4"/>
    <w:rsid w:val="00F3122E"/>
    <w:rsid w:val="00F32368"/>
    <w:rsid w:val="00F331AD"/>
    <w:rsid w:val="00F35287"/>
    <w:rsid w:val="00F365A6"/>
    <w:rsid w:val="00F36923"/>
    <w:rsid w:val="00F36EF2"/>
    <w:rsid w:val="00F4075D"/>
    <w:rsid w:val="00F40A70"/>
    <w:rsid w:val="00F40B65"/>
    <w:rsid w:val="00F4192E"/>
    <w:rsid w:val="00F41F30"/>
    <w:rsid w:val="00F42038"/>
    <w:rsid w:val="00F42E29"/>
    <w:rsid w:val="00F43A37"/>
    <w:rsid w:val="00F442D9"/>
    <w:rsid w:val="00F451AB"/>
    <w:rsid w:val="00F45999"/>
    <w:rsid w:val="00F45D5B"/>
    <w:rsid w:val="00F4641B"/>
    <w:rsid w:val="00F46A9C"/>
    <w:rsid w:val="00F46EB8"/>
    <w:rsid w:val="00F47618"/>
    <w:rsid w:val="00F47729"/>
    <w:rsid w:val="00F4773D"/>
    <w:rsid w:val="00F47B0C"/>
    <w:rsid w:val="00F47B39"/>
    <w:rsid w:val="00F47CE6"/>
    <w:rsid w:val="00F50CD1"/>
    <w:rsid w:val="00F50D3D"/>
    <w:rsid w:val="00F511E4"/>
    <w:rsid w:val="00F52D09"/>
    <w:rsid w:val="00F52E08"/>
    <w:rsid w:val="00F52E9A"/>
    <w:rsid w:val="00F53A66"/>
    <w:rsid w:val="00F53DDD"/>
    <w:rsid w:val="00F5462D"/>
    <w:rsid w:val="00F54645"/>
    <w:rsid w:val="00F549D1"/>
    <w:rsid w:val="00F5575B"/>
    <w:rsid w:val="00F55B21"/>
    <w:rsid w:val="00F56EF6"/>
    <w:rsid w:val="00F577FA"/>
    <w:rsid w:val="00F60082"/>
    <w:rsid w:val="00F615FF"/>
    <w:rsid w:val="00F61A9F"/>
    <w:rsid w:val="00F61B5F"/>
    <w:rsid w:val="00F62FC4"/>
    <w:rsid w:val="00F64696"/>
    <w:rsid w:val="00F646D0"/>
    <w:rsid w:val="00F65AA9"/>
    <w:rsid w:val="00F6654B"/>
    <w:rsid w:val="00F6768F"/>
    <w:rsid w:val="00F712C4"/>
    <w:rsid w:val="00F71489"/>
    <w:rsid w:val="00F71C74"/>
    <w:rsid w:val="00F72B75"/>
    <w:rsid w:val="00F72C2C"/>
    <w:rsid w:val="00F7385C"/>
    <w:rsid w:val="00F73B9A"/>
    <w:rsid w:val="00F75F1A"/>
    <w:rsid w:val="00F76BD0"/>
    <w:rsid w:val="00F76CAB"/>
    <w:rsid w:val="00F7723C"/>
    <w:rsid w:val="00F772C6"/>
    <w:rsid w:val="00F80EED"/>
    <w:rsid w:val="00F81549"/>
    <w:rsid w:val="00F815B5"/>
    <w:rsid w:val="00F81BE2"/>
    <w:rsid w:val="00F841B8"/>
    <w:rsid w:val="00F84820"/>
    <w:rsid w:val="00F84FA0"/>
    <w:rsid w:val="00F85195"/>
    <w:rsid w:val="00F868E3"/>
    <w:rsid w:val="00F8745F"/>
    <w:rsid w:val="00F87CFB"/>
    <w:rsid w:val="00F87F47"/>
    <w:rsid w:val="00F9060B"/>
    <w:rsid w:val="00F90D03"/>
    <w:rsid w:val="00F9333C"/>
    <w:rsid w:val="00F934B7"/>
    <w:rsid w:val="00F936AE"/>
    <w:rsid w:val="00F938BA"/>
    <w:rsid w:val="00F94F14"/>
    <w:rsid w:val="00F94F6A"/>
    <w:rsid w:val="00F956ED"/>
    <w:rsid w:val="00F96722"/>
    <w:rsid w:val="00F97197"/>
    <w:rsid w:val="00F97280"/>
    <w:rsid w:val="00F97919"/>
    <w:rsid w:val="00FA0149"/>
    <w:rsid w:val="00FA1638"/>
    <w:rsid w:val="00FA1984"/>
    <w:rsid w:val="00FA202A"/>
    <w:rsid w:val="00FA230C"/>
    <w:rsid w:val="00FA2C46"/>
    <w:rsid w:val="00FA3525"/>
    <w:rsid w:val="00FA4BDA"/>
    <w:rsid w:val="00FA5A53"/>
    <w:rsid w:val="00FA76B5"/>
    <w:rsid w:val="00FA76DF"/>
    <w:rsid w:val="00FA7D15"/>
    <w:rsid w:val="00FB153E"/>
    <w:rsid w:val="00FB17EC"/>
    <w:rsid w:val="00FB2551"/>
    <w:rsid w:val="00FB2641"/>
    <w:rsid w:val="00FB2D68"/>
    <w:rsid w:val="00FB3CA9"/>
    <w:rsid w:val="00FB44C9"/>
    <w:rsid w:val="00FB4769"/>
    <w:rsid w:val="00FB4BB9"/>
    <w:rsid w:val="00FB4BFD"/>
    <w:rsid w:val="00FB4CDA"/>
    <w:rsid w:val="00FB5322"/>
    <w:rsid w:val="00FB566E"/>
    <w:rsid w:val="00FB5B4B"/>
    <w:rsid w:val="00FB5BB4"/>
    <w:rsid w:val="00FB606A"/>
    <w:rsid w:val="00FB6186"/>
    <w:rsid w:val="00FB6481"/>
    <w:rsid w:val="00FB65C4"/>
    <w:rsid w:val="00FB6D36"/>
    <w:rsid w:val="00FB7313"/>
    <w:rsid w:val="00FB741D"/>
    <w:rsid w:val="00FB75A8"/>
    <w:rsid w:val="00FC0268"/>
    <w:rsid w:val="00FC0965"/>
    <w:rsid w:val="00FC0F81"/>
    <w:rsid w:val="00FC21DF"/>
    <w:rsid w:val="00FC233F"/>
    <w:rsid w:val="00FC252F"/>
    <w:rsid w:val="00FC395C"/>
    <w:rsid w:val="00FC3B45"/>
    <w:rsid w:val="00FC5CA5"/>
    <w:rsid w:val="00FC5E8E"/>
    <w:rsid w:val="00FC61A9"/>
    <w:rsid w:val="00FC7AA9"/>
    <w:rsid w:val="00FD0B5E"/>
    <w:rsid w:val="00FD1312"/>
    <w:rsid w:val="00FD14FC"/>
    <w:rsid w:val="00FD15C0"/>
    <w:rsid w:val="00FD1970"/>
    <w:rsid w:val="00FD2D6C"/>
    <w:rsid w:val="00FD3585"/>
    <w:rsid w:val="00FD3766"/>
    <w:rsid w:val="00FD47C4"/>
    <w:rsid w:val="00FD4E5F"/>
    <w:rsid w:val="00FD722A"/>
    <w:rsid w:val="00FD72C1"/>
    <w:rsid w:val="00FE2175"/>
    <w:rsid w:val="00FE2DCF"/>
    <w:rsid w:val="00FE32A0"/>
    <w:rsid w:val="00FE3601"/>
    <w:rsid w:val="00FE3A44"/>
    <w:rsid w:val="00FE3CF7"/>
    <w:rsid w:val="00FE3FA7"/>
    <w:rsid w:val="00FE6310"/>
    <w:rsid w:val="00FE68CB"/>
    <w:rsid w:val="00FE73B0"/>
    <w:rsid w:val="00FE78A8"/>
    <w:rsid w:val="00FE794E"/>
    <w:rsid w:val="00FE7FF7"/>
    <w:rsid w:val="00FF03FD"/>
    <w:rsid w:val="00FF099F"/>
    <w:rsid w:val="00FF2090"/>
    <w:rsid w:val="00FF2812"/>
    <w:rsid w:val="00FF2A4E"/>
    <w:rsid w:val="00FF2C24"/>
    <w:rsid w:val="00FF2FCE"/>
    <w:rsid w:val="00FF31D9"/>
    <w:rsid w:val="00FF3D9B"/>
    <w:rsid w:val="00FF45FB"/>
    <w:rsid w:val="00FF4664"/>
    <w:rsid w:val="00FF4D02"/>
    <w:rsid w:val="00FF4DE4"/>
    <w:rsid w:val="00FF4F7D"/>
    <w:rsid w:val="00FF54DF"/>
    <w:rsid w:val="00FF6C8B"/>
    <w:rsid w:val="00FF6D9D"/>
    <w:rsid w:val="00FF7DD5"/>
    <w:rsid w:val="0F7C3F50"/>
    <w:rsid w:val="13EB0C65"/>
    <w:rsid w:val="15EEA207"/>
    <w:rsid w:val="16D752A0"/>
    <w:rsid w:val="17348F0E"/>
    <w:rsid w:val="1E7CB150"/>
    <w:rsid w:val="1FFC52EE"/>
    <w:rsid w:val="2081B6D6"/>
    <w:rsid w:val="2E40F7CC"/>
    <w:rsid w:val="300E88A0"/>
    <w:rsid w:val="31333E35"/>
    <w:rsid w:val="349ACEF8"/>
    <w:rsid w:val="35552DFE"/>
    <w:rsid w:val="37EDF60D"/>
    <w:rsid w:val="37F17CDB"/>
    <w:rsid w:val="394A7DFA"/>
    <w:rsid w:val="3C0E99DD"/>
    <w:rsid w:val="40E94415"/>
    <w:rsid w:val="4813B3E3"/>
    <w:rsid w:val="4D6692A3"/>
    <w:rsid w:val="599BD017"/>
    <w:rsid w:val="5E771BD4"/>
    <w:rsid w:val="629A766D"/>
    <w:rsid w:val="68F3103F"/>
    <w:rsid w:val="69578284"/>
    <w:rsid w:val="6A00E69C"/>
    <w:rsid w:val="6CA93BC6"/>
    <w:rsid w:val="6EA8A178"/>
    <w:rsid w:val="715BACB2"/>
    <w:rsid w:val="7BC6BB56"/>
    <w:rsid w:val="7C593FFB"/>
    <w:rsid w:val="7F789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C6D4DF25-A5DD-4059-AE7A-852924A9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5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913406"/>
    <w:pPr>
      <w:spacing w:before="80" w:after="60"/>
    </w:pPr>
    <w:rPr>
      <w:rFonts w:ascii="Arial" w:hAnsi="Arial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5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8F0D1A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normaltextrun">
    <w:name w:val="normaltextrun"/>
    <w:basedOn w:val="DefaultParagraphFont"/>
    <w:rsid w:val="008F0D1A"/>
  </w:style>
  <w:style w:type="paragraph" w:customStyle="1" w:styleId="paragraph">
    <w:name w:val="paragraph"/>
    <w:basedOn w:val="Normal"/>
    <w:rsid w:val="008F0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8F0D1A"/>
  </w:style>
  <w:style w:type="paragraph" w:styleId="ListParagraph">
    <w:name w:val="List Paragraph"/>
    <w:aliases w:val="Bullet List,Bullet point,List Paragraph1,List Paragraph11,Recommendation,List Bullet 1,L"/>
    <w:basedOn w:val="Normal"/>
    <w:link w:val="ListParagraphChar"/>
    <w:uiPriority w:val="34"/>
    <w:qFormat/>
    <w:rsid w:val="00DA3025"/>
    <w:pPr>
      <w:ind w:left="720"/>
      <w:contextualSpacing/>
    </w:pPr>
  </w:style>
  <w:style w:type="character" w:customStyle="1" w:styleId="ListParagraphChar">
    <w:name w:val="List Paragraph Char"/>
    <w:aliases w:val="Bullet List Char,Bullet point Char,List Paragraph1 Char,List Paragraph11 Char,Recommendation Char,List Bullet 1 Char,L Char"/>
    <w:link w:val="ListParagraph"/>
    <w:uiPriority w:val="34"/>
    <w:locked/>
    <w:rsid w:val="002A6914"/>
    <w:rPr>
      <w:rFonts w:ascii="Arial" w:hAnsi="Arial"/>
      <w:sz w:val="21"/>
      <w:lang w:eastAsia="en-US"/>
    </w:rPr>
  </w:style>
  <w:style w:type="character" w:styleId="Mention">
    <w:name w:val="Mention"/>
    <w:basedOn w:val="DefaultParagraphFont"/>
    <w:uiPriority w:val="99"/>
    <w:unhideWhenUsed/>
    <w:rsid w:val="005917B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77440"/>
    <w:rPr>
      <w:rFonts w:ascii="Arial" w:hAnsi="Arial" w:cs="Arial"/>
      <w:szCs w:val="18"/>
      <w:lang w:eastAsia="en-US"/>
    </w:rPr>
  </w:style>
  <w:style w:type="paragraph" w:customStyle="1" w:styleId="Bullet3">
    <w:name w:val="Bullet 3"/>
    <w:basedOn w:val="Bullet2"/>
    <w:uiPriority w:val="11"/>
    <w:rsid w:val="00216EB3"/>
    <w:pPr>
      <w:numPr>
        <w:ilvl w:val="2"/>
      </w:num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safercare.vic.gov.au/report-manage-issues/sentinel-events" TargetMode="External"/><Relationship Id="rId26" Type="http://schemas.openxmlformats.org/officeDocument/2006/relationships/hyperlink" Target="mailto:legandregreform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ntinel.events@safercare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rivate-health-service-establishments/legislation-updates-for-private-health-service-establishments" TargetMode="External"/><Relationship Id="rId25" Type="http://schemas.openxmlformats.org/officeDocument/2006/relationships/hyperlink" Target="https://www.safercare.vic.gov.au/best-practice-improvement/publications/policy-adverse-patient-safety-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s://www.safercare.vic.gov.au/report-manage-issues/sentinel-events/about-the-sentinel-events-port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afercare.vic.gov.au/best-practice-improvement/publications/sentinel-events-gui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encoded-592c9deb-987b-4562-aa3c-9fa3d37d83e9.uri/mailto%3aDuty%2520Of%2520Candour%2520(SAFERCARE)%2520%253cdutyofcandour%40safercare.vic.gov.au%253e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rivate-health-service-establishments/legislation-updates-for-private-health-service-establish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legislation/reforms-to-health-regulation-in-victoria" TargetMode="External"/><Relationship Id="rId27" Type="http://schemas.openxmlformats.org/officeDocument/2006/relationships/hyperlink" Target="https://www.health.vic.gov.au/hospitals-and-health-services/private-health-service-establishments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>
      <Value>1</Value>
    </TaxCatchAll>
    <ce509ad5fbeb4bc7bdde1ba401049b88 xmlns="5ce0f2b5-5be5-4508-bce9-d7011ece06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df0ee81d-089c-4707-9ef8-ac9a7d96e4bd</TermId>
        </TermInfo>
      </Terms>
    </ce509ad5fbeb4bc7bdde1ba401049b88>
    <AddedtoMaster xmlns="47f98658-1cbe-4b10-a767-4f9447a207a3">false</AddedtoMaster>
    <lcf76f155ced4ddcb4097134ff3c332f xmlns="47f98658-1cbe-4b10-a767-4f9447a207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D80F382B83A49BA2054F60A134852" ma:contentTypeVersion="19" ma:contentTypeDescription="Create a new document." ma:contentTypeScope="" ma:versionID="63e252d301be594abd0ef4a16a17af27">
  <xsd:schema xmlns:xsd="http://www.w3.org/2001/XMLSchema" xmlns:xs="http://www.w3.org/2001/XMLSchema" xmlns:p="http://schemas.microsoft.com/office/2006/metadata/properties" xmlns:ns2="47f98658-1cbe-4b10-a767-4f9447a207a3" xmlns:ns3="52aff747-003e-4611-b895-d7c5be62f82a" xmlns:ns4="5ce0f2b5-5be5-4508-bce9-d7011ece0659" targetNamespace="http://schemas.microsoft.com/office/2006/metadata/properties" ma:root="true" ma:fieldsID="b06cc691950cd66c9dce8a236351f01b" ns2:_="" ns3:_="" ns4:_="">
    <xsd:import namespace="47f98658-1cbe-4b10-a767-4f9447a207a3"/>
    <xsd:import namespace="52aff747-003e-4611-b895-d7c5be62f82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ce509ad5fbeb4bc7bdde1ba401049b88" minOccurs="0"/>
                <xsd:element ref="ns4:TaxCatchAll" minOccurs="0"/>
                <xsd:element ref="ns2:AddedtoMaster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98658-1cbe-4b10-a767-4f9447a20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edtoMaster" ma:index="17" nillable="true" ma:displayName="Added to Master" ma:default="0" ma:description="This section has been added to the Master Discussion paper and is no longer in use" ma:format="Dropdown" ma:internalName="AddedtoMaster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f747-003e-4611-b895-d7c5be62f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ce509ad5fbeb4bc7bdde1ba401049b88" ma:index="15" nillable="true" ma:taxonomy="true" ma:internalName="ce509ad5fbeb4bc7bdde1ba401049b88" ma:taxonomyFieldName="Sensitivity" ma:displayName="Sensitivity" ma:default="1;#OFFICIAL|df0ee81d-089c-4707-9ef8-ac9a7d96e4bd" ma:fieldId="{ce509ad5-fbeb-4bc7-bdde-1ba401049b88}" ma:sspId="6e24e156-28e6-48ad-9c0f-4171595c9d94" ma:termSetId="7e5c6045-41cb-46b6-8d08-702c034f00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9a04787b-b796-45e3-b54e-368ff14c50a0}" ma:internalName="TaxCatchAll" ma:showField="CatchAllData" ma:web="52aff747-003e-4611-b895-d7c5be62f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47f98658-1cbe-4b10-a767-4f9447a207a3"/>
    <ds:schemaRef ds:uri="52aff747-003e-4611-b895-d7c5be62f8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79060A-51AB-432B-AA67-BC7496F71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98658-1cbe-4b10-a767-4f9447a207a3"/>
    <ds:schemaRef ds:uri="52aff747-003e-4611-b895-d7c5be62f82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3034</Words>
  <Characters>20923</Characters>
  <Application>Microsoft Office Word</Application>
  <DocSecurity>0</DocSecurity>
  <Lines>634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for Health Service Establishments</vt:lpstr>
    </vt:vector>
  </TitlesOfParts>
  <Manager/>
  <Company>Victoria State Government, Department of Health</Company>
  <LinksUpToDate>false</LinksUpToDate>
  <CharactersWithSpaces>23658</CharactersWithSpaces>
  <SharedDoc>false</SharedDoc>
  <HyperlinkBase/>
  <HLinks>
    <vt:vector size="174" baseType="variant">
      <vt:variant>
        <vt:i4>1769544</vt:i4>
      </vt:variant>
      <vt:variant>
        <vt:i4>135</vt:i4>
      </vt:variant>
      <vt:variant>
        <vt:i4>0</vt:i4>
      </vt:variant>
      <vt:variant>
        <vt:i4>5</vt:i4>
      </vt:variant>
      <vt:variant>
        <vt:lpwstr>https://www.health.vic.gov.au/hospitals-and-health-services/private-health-service-establishments</vt:lpwstr>
      </vt:variant>
      <vt:variant>
        <vt:lpwstr/>
      </vt:variant>
      <vt:variant>
        <vt:i4>5570669</vt:i4>
      </vt:variant>
      <vt:variant>
        <vt:i4>132</vt:i4>
      </vt:variant>
      <vt:variant>
        <vt:i4>0</vt:i4>
      </vt:variant>
      <vt:variant>
        <vt:i4>5</vt:i4>
      </vt:variant>
      <vt:variant>
        <vt:lpwstr>mailto:legandregreform@health.vic.gov.au</vt:lpwstr>
      </vt:variant>
      <vt:variant>
        <vt:lpwstr/>
      </vt:variant>
      <vt:variant>
        <vt:i4>6029387</vt:i4>
      </vt:variant>
      <vt:variant>
        <vt:i4>129</vt:i4>
      </vt:variant>
      <vt:variant>
        <vt:i4>0</vt:i4>
      </vt:variant>
      <vt:variant>
        <vt:i4>5</vt:i4>
      </vt:variant>
      <vt:variant>
        <vt:lpwstr>https://www.safercare.vic.gov.au/best-practice-improvement/publications/policy-adverse-patient-safety-events</vt:lpwstr>
      </vt:variant>
      <vt:variant>
        <vt:lpwstr/>
      </vt:variant>
      <vt:variant>
        <vt:i4>4849757</vt:i4>
      </vt:variant>
      <vt:variant>
        <vt:i4>126</vt:i4>
      </vt:variant>
      <vt:variant>
        <vt:i4>0</vt:i4>
      </vt:variant>
      <vt:variant>
        <vt:i4>5</vt:i4>
      </vt:variant>
      <vt:variant>
        <vt:lpwstr>https://www.safercare.vic.gov.au/best-practice-improvement/publications/sentinel-events-guide</vt:lpwstr>
      </vt:variant>
      <vt:variant>
        <vt:lpwstr/>
      </vt:variant>
      <vt:variant>
        <vt:i4>393300</vt:i4>
      </vt:variant>
      <vt:variant>
        <vt:i4>123</vt:i4>
      </vt:variant>
      <vt:variant>
        <vt:i4>0</vt:i4>
      </vt:variant>
      <vt:variant>
        <vt:i4>5</vt:i4>
      </vt:variant>
      <vt:variant>
        <vt:lpwstr>https://encoded-592c9deb-987b-4562-aa3c-9fa3d37d83e9.uri/mailto%3aDuty%2520Of%2520Candour%2520(SAFERCARE)%2520%253cdutyofcandour%40safercare.vic.gov.au%253e</vt:lpwstr>
      </vt:variant>
      <vt:variant>
        <vt:lpwstr/>
      </vt:variant>
      <vt:variant>
        <vt:i4>8257633</vt:i4>
      </vt:variant>
      <vt:variant>
        <vt:i4>120</vt:i4>
      </vt:variant>
      <vt:variant>
        <vt:i4>0</vt:i4>
      </vt:variant>
      <vt:variant>
        <vt:i4>5</vt:i4>
      </vt:variant>
      <vt:variant>
        <vt:lpwstr>https://www.health.vic.gov.au/legislation/reforms-to-health-regulation-in-victoria</vt:lpwstr>
      </vt:variant>
      <vt:variant>
        <vt:lpwstr/>
      </vt:variant>
      <vt:variant>
        <vt:i4>3145808</vt:i4>
      </vt:variant>
      <vt:variant>
        <vt:i4>117</vt:i4>
      </vt:variant>
      <vt:variant>
        <vt:i4>0</vt:i4>
      </vt:variant>
      <vt:variant>
        <vt:i4>5</vt:i4>
      </vt:variant>
      <vt:variant>
        <vt:lpwstr>mailto:sentinel.events@safercare.vic.gov.au</vt:lpwstr>
      </vt:variant>
      <vt:variant>
        <vt:lpwstr/>
      </vt:variant>
      <vt:variant>
        <vt:i4>6422563</vt:i4>
      </vt:variant>
      <vt:variant>
        <vt:i4>114</vt:i4>
      </vt:variant>
      <vt:variant>
        <vt:i4>0</vt:i4>
      </vt:variant>
      <vt:variant>
        <vt:i4>5</vt:i4>
      </vt:variant>
      <vt:variant>
        <vt:lpwstr>https://www.safercare.vic.gov.au/report-manage-issues/sentinel-events/about-the-sentinel-events-portal</vt:lpwstr>
      </vt:variant>
      <vt:variant>
        <vt:lpwstr/>
      </vt:variant>
      <vt:variant>
        <vt:i4>65551</vt:i4>
      </vt:variant>
      <vt:variant>
        <vt:i4>111</vt:i4>
      </vt:variant>
      <vt:variant>
        <vt:i4>0</vt:i4>
      </vt:variant>
      <vt:variant>
        <vt:i4>5</vt:i4>
      </vt:variant>
      <vt:variant>
        <vt:lpwstr>https://www.health.vic.gov.au/private-health-service-establishments/legislation-updates-for-private-health-service-establishments</vt:lpwstr>
      </vt:variant>
      <vt:variant>
        <vt:lpwstr/>
      </vt:variant>
      <vt:variant>
        <vt:i4>983055</vt:i4>
      </vt:variant>
      <vt:variant>
        <vt:i4>108</vt:i4>
      </vt:variant>
      <vt:variant>
        <vt:i4>0</vt:i4>
      </vt:variant>
      <vt:variant>
        <vt:i4>5</vt:i4>
      </vt:variant>
      <vt:variant>
        <vt:lpwstr>https://www.safercare.vic.gov.au/report-manage-issues/sentinel-events</vt:lpwstr>
      </vt:variant>
      <vt:variant>
        <vt:lpwstr/>
      </vt:variant>
      <vt:variant>
        <vt:i4>65551</vt:i4>
      </vt:variant>
      <vt:variant>
        <vt:i4>105</vt:i4>
      </vt:variant>
      <vt:variant>
        <vt:i4>0</vt:i4>
      </vt:variant>
      <vt:variant>
        <vt:i4>5</vt:i4>
      </vt:variant>
      <vt:variant>
        <vt:lpwstr>https://www.health.vic.gov.au/private-health-service-establishments/legislation-updates-for-private-health-service-establishments</vt:lpwstr>
      </vt:variant>
      <vt:variant>
        <vt:lpwstr/>
      </vt:variant>
      <vt:variant>
        <vt:i4>4784214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_Appendix_1</vt:lpwstr>
      </vt:variant>
      <vt:variant>
        <vt:i4>4784214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_Appendix_1</vt:lpwstr>
      </vt:variant>
      <vt:variant>
        <vt:i4>8323190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_Toc174547553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_Toc174547552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_Toc174547551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_Toc174547550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_Toc174547549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_Toc174547548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_Toc174547547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_Toc174547546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_Toc174547545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_Toc174547544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_Toc174547543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_Toc174547542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_Toc174547541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_Toc174547540</vt:lpwstr>
      </vt:variant>
      <vt:variant>
        <vt:i4>1114164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_Toc174547539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for Health Service Establishments</dc:title>
  <dc:subject>Fact Sheet for Health Service Establishments</dc:subject>
  <dc:creator>Legislative and Regulatory Reform</dc:creator>
  <cp:keywords/>
  <dc:description/>
  <cp:lastModifiedBy>Tyler McPherson (Health)</cp:lastModifiedBy>
  <cp:revision>2</cp:revision>
  <cp:lastPrinted>2020-04-01T09:28:00Z</cp:lastPrinted>
  <dcterms:created xsi:type="dcterms:W3CDTF">2024-08-21T05:56:00Z</dcterms:created>
  <dcterms:modified xsi:type="dcterms:W3CDTF">2024-08-21T05:56:00Z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0x010100B71D80F382B83A49BA2054F60A134852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2022-10-05T04:43:23Z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31e88003-2e60-4338-9274-0a23fd88171a</vt:lpwstr>
  </property>
  <property fmtid="{D5CDD505-2E9C-101B-9397-08002B2CF9AE}" pid="21" name="MSIP_Label_43e64453-338c-4f93-8a4d-0039a0a41f2a_ContentBits">
    <vt:lpwstr>2</vt:lpwstr>
  </property>
  <property fmtid="{D5CDD505-2E9C-101B-9397-08002B2CF9AE}" pid="22" name="MediaServiceImageTags">
    <vt:lpwstr/>
  </property>
  <property fmtid="{D5CDD505-2E9C-101B-9397-08002B2CF9AE}" pid="23" name="Sensitivity">
    <vt:lpwstr>1;#OFFICIAL|df0ee81d-089c-4707-9ef8-ac9a7d96e4bd</vt:lpwstr>
  </property>
  <property fmtid="{D5CDD505-2E9C-101B-9397-08002B2CF9AE}" pid="24" name="GrammarlyDocumentId">
    <vt:lpwstr>0a139df521c600e84aeafe6beacfe333b39c7eaba64ea97cc2b4cfec5320188a</vt:lpwstr>
  </property>
</Properties>
</file>